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B473A" w14:textId="4A88142A" w:rsidR="00643D34" w:rsidRDefault="00643D34" w:rsidP="00EF4492">
      <w:pPr>
        <w:tabs>
          <w:tab w:val="left" w:pos="4680"/>
          <w:tab w:val="center" w:pos="7200"/>
        </w:tabs>
        <w:spacing w:after="0"/>
        <w:jc w:val="center"/>
        <w:rPr>
          <w:sz w:val="36"/>
        </w:rPr>
      </w:pPr>
      <w:r>
        <w:rPr>
          <w:b/>
          <w:sz w:val="36"/>
        </w:rPr>
        <w:t>IN THE SUPREME COURT OF CALIFORNIA</w:t>
      </w:r>
    </w:p>
    <w:p w14:paraId="44649751" w14:textId="77777777" w:rsidR="00643D34" w:rsidRDefault="00643D34" w:rsidP="00EF4492">
      <w:pPr>
        <w:tabs>
          <w:tab w:val="left" w:pos="4680"/>
          <w:tab w:val="center" w:pos="7200"/>
        </w:tabs>
        <w:spacing w:after="0"/>
        <w:jc w:val="center"/>
      </w:pPr>
    </w:p>
    <w:p w14:paraId="620DCB4D" w14:textId="21017AD8" w:rsidR="00643D34" w:rsidRPr="00BD1E34" w:rsidRDefault="004A4266" w:rsidP="00BD1E34">
      <w:pPr>
        <w:tabs>
          <w:tab w:val="left" w:pos="4680"/>
          <w:tab w:val="center" w:pos="7200"/>
        </w:tabs>
        <w:spacing w:after="0"/>
        <w:jc w:val="center"/>
        <w:rPr>
          <w:lang w:val="da-DK"/>
        </w:rPr>
      </w:pPr>
      <w:bookmarkStart w:id="0" w:name="plaintiff"/>
      <w:bookmarkEnd w:id="0"/>
      <w:r w:rsidRPr="00BD1E34">
        <w:rPr>
          <w:lang w:val="da-DK"/>
        </w:rPr>
        <w:t>IXCHEL PHARMA</w:t>
      </w:r>
      <w:r w:rsidR="002339AD" w:rsidRPr="00BD1E34">
        <w:rPr>
          <w:lang w:val="da-DK"/>
        </w:rPr>
        <w:t>, LLC</w:t>
      </w:r>
      <w:r w:rsidR="00643D34" w:rsidRPr="00BD1E34">
        <w:rPr>
          <w:lang w:val="da-DK"/>
        </w:rPr>
        <w:t>,</w:t>
      </w:r>
    </w:p>
    <w:p w14:paraId="463D30C0" w14:textId="130AD831" w:rsidR="00643D34" w:rsidRDefault="00643D34" w:rsidP="00BD1E34">
      <w:pPr>
        <w:tabs>
          <w:tab w:val="left" w:pos="4680"/>
          <w:tab w:val="center" w:pos="7200"/>
        </w:tabs>
        <w:spacing w:after="0"/>
        <w:jc w:val="center"/>
      </w:pPr>
      <w:bookmarkStart w:id="1" w:name="LD"/>
      <w:bookmarkEnd w:id="1"/>
      <w:r>
        <w:t>Plaintiff and Appellant,</w:t>
      </w:r>
    </w:p>
    <w:p w14:paraId="3483FF2E" w14:textId="1F6664E7" w:rsidR="00643D34" w:rsidRDefault="00643D34" w:rsidP="00BD1E34">
      <w:pPr>
        <w:tabs>
          <w:tab w:val="left" w:pos="4680"/>
          <w:tab w:val="center" w:pos="7200"/>
        </w:tabs>
        <w:spacing w:after="0"/>
        <w:jc w:val="center"/>
      </w:pPr>
      <w:r>
        <w:t>v.</w:t>
      </w:r>
    </w:p>
    <w:p w14:paraId="46E161D9" w14:textId="3846EECB" w:rsidR="00643D34" w:rsidRDefault="002339AD" w:rsidP="00BD1E34">
      <w:pPr>
        <w:tabs>
          <w:tab w:val="left" w:pos="4680"/>
          <w:tab w:val="center" w:pos="7200"/>
        </w:tabs>
        <w:spacing w:after="0"/>
        <w:jc w:val="center"/>
      </w:pPr>
      <w:bookmarkStart w:id="2" w:name="appealnum"/>
      <w:bookmarkStart w:id="3" w:name="defendant"/>
      <w:bookmarkEnd w:id="2"/>
      <w:bookmarkEnd w:id="3"/>
      <w:r>
        <w:t>BIOGEN</w:t>
      </w:r>
      <w:r w:rsidR="00643D34">
        <w:t>, INC.,</w:t>
      </w:r>
    </w:p>
    <w:p w14:paraId="4F73AF60" w14:textId="2AFB3165" w:rsidR="00643D34" w:rsidRDefault="00643D34" w:rsidP="00BD1E34">
      <w:pPr>
        <w:tabs>
          <w:tab w:val="left" w:pos="4680"/>
          <w:tab w:val="center" w:pos="7200"/>
        </w:tabs>
        <w:spacing w:after="0"/>
        <w:jc w:val="center"/>
      </w:pPr>
      <w:bookmarkStart w:id="4" w:name="VD"/>
      <w:bookmarkEnd w:id="4"/>
      <w:r>
        <w:t>Defendant and Respondent.</w:t>
      </w:r>
      <w:bookmarkStart w:id="5" w:name="supernum"/>
      <w:bookmarkEnd w:id="5"/>
    </w:p>
    <w:p w14:paraId="241BE525" w14:textId="1CD81D85" w:rsidR="00643D34" w:rsidRDefault="00643D34" w:rsidP="00643D34">
      <w:pPr>
        <w:tabs>
          <w:tab w:val="left" w:pos="4680"/>
          <w:tab w:val="center" w:pos="7200"/>
        </w:tabs>
        <w:spacing w:after="0"/>
        <w:jc w:val="center"/>
      </w:pPr>
      <w:bookmarkStart w:id="6" w:name="justice"/>
      <w:bookmarkEnd w:id="6"/>
    </w:p>
    <w:p w14:paraId="5D328C2A" w14:textId="2F1C26BD" w:rsidR="00643D34" w:rsidRDefault="00643D34" w:rsidP="00BD1E34">
      <w:pPr>
        <w:tabs>
          <w:tab w:val="left" w:pos="4680"/>
          <w:tab w:val="center" w:pos="7200"/>
        </w:tabs>
        <w:spacing w:after="0"/>
        <w:jc w:val="center"/>
      </w:pPr>
      <w:r>
        <w:t>S2</w:t>
      </w:r>
      <w:r w:rsidR="002339AD">
        <w:t>56927</w:t>
      </w:r>
    </w:p>
    <w:p w14:paraId="77380B49" w14:textId="77777777" w:rsidR="00643D34" w:rsidRDefault="00643D34" w:rsidP="00643D34">
      <w:pPr>
        <w:tabs>
          <w:tab w:val="left" w:pos="4680"/>
          <w:tab w:val="center" w:pos="7200"/>
        </w:tabs>
        <w:spacing w:after="0"/>
        <w:jc w:val="center"/>
      </w:pPr>
    </w:p>
    <w:p w14:paraId="3C15DC2B" w14:textId="452D52A5" w:rsidR="00643D34" w:rsidRDefault="00AE3230" w:rsidP="00643D34">
      <w:pPr>
        <w:tabs>
          <w:tab w:val="left" w:pos="4680"/>
          <w:tab w:val="center" w:pos="7200"/>
        </w:tabs>
        <w:spacing w:after="0"/>
        <w:jc w:val="center"/>
      </w:pPr>
      <w:r>
        <w:t>Ninth Circuit</w:t>
      </w:r>
    </w:p>
    <w:p w14:paraId="2DAC1FC9" w14:textId="0E818D99" w:rsidR="00643D34" w:rsidRDefault="00643D34" w:rsidP="00BD1E34">
      <w:pPr>
        <w:tabs>
          <w:tab w:val="left" w:pos="4680"/>
          <w:tab w:val="center" w:pos="7200"/>
        </w:tabs>
        <w:spacing w:after="0"/>
        <w:jc w:val="center"/>
      </w:pPr>
      <w:r>
        <w:t>1</w:t>
      </w:r>
      <w:r w:rsidR="002339AD">
        <w:t>8</w:t>
      </w:r>
      <w:r>
        <w:t>-15</w:t>
      </w:r>
      <w:r w:rsidR="002339AD">
        <w:t>258</w:t>
      </w:r>
    </w:p>
    <w:p w14:paraId="3F4C2468" w14:textId="77777777" w:rsidR="00643D34" w:rsidRDefault="00643D34" w:rsidP="00643D34">
      <w:pPr>
        <w:tabs>
          <w:tab w:val="left" w:pos="4680"/>
          <w:tab w:val="center" w:pos="7200"/>
        </w:tabs>
        <w:spacing w:after="0"/>
        <w:jc w:val="center"/>
      </w:pPr>
    </w:p>
    <w:p w14:paraId="671D8112" w14:textId="2C636AE9" w:rsidR="00643D34" w:rsidRDefault="001839F7" w:rsidP="00643D34">
      <w:pPr>
        <w:tabs>
          <w:tab w:val="left" w:pos="4680"/>
          <w:tab w:val="center" w:pos="7200"/>
        </w:tabs>
        <w:spacing w:after="0"/>
        <w:jc w:val="center"/>
      </w:pPr>
      <w:r>
        <w:t>Eastern</w:t>
      </w:r>
      <w:r w:rsidR="00643D34">
        <w:t xml:space="preserve"> District of California</w:t>
      </w:r>
    </w:p>
    <w:p w14:paraId="71ED80D4" w14:textId="0AF165B0" w:rsidR="00643D34" w:rsidRDefault="001839F7" w:rsidP="00643D34">
      <w:pPr>
        <w:tabs>
          <w:tab w:val="left" w:pos="4680"/>
          <w:tab w:val="center" w:pos="7200"/>
        </w:tabs>
        <w:spacing w:after="0"/>
        <w:jc w:val="center"/>
      </w:pPr>
      <w:r>
        <w:t>2</w:t>
      </w:r>
      <w:r w:rsidR="00643D34">
        <w:t>:1</w:t>
      </w:r>
      <w:r>
        <w:t>7</w:t>
      </w:r>
      <w:r w:rsidR="00643D34">
        <w:t>-cv-00</w:t>
      </w:r>
      <w:r w:rsidR="00860BF9">
        <w:t>715</w:t>
      </w:r>
      <w:r w:rsidR="00AE3230">
        <w:t>-</w:t>
      </w:r>
      <w:r w:rsidR="00860BF9">
        <w:t>WBS</w:t>
      </w:r>
      <w:r w:rsidR="00AE3230">
        <w:t>-</w:t>
      </w:r>
      <w:r w:rsidR="00860BF9">
        <w:t>EFB</w:t>
      </w:r>
    </w:p>
    <w:p w14:paraId="3F74376E" w14:textId="77777777" w:rsidR="00643D34" w:rsidRDefault="00643D34" w:rsidP="00643D34">
      <w:pPr>
        <w:pBdr>
          <w:bottom w:val="single" w:sz="4" w:space="1" w:color="auto"/>
        </w:pBdr>
        <w:tabs>
          <w:tab w:val="left" w:pos="4680"/>
          <w:tab w:val="center" w:pos="7200"/>
        </w:tabs>
        <w:spacing w:after="0"/>
        <w:jc w:val="center"/>
      </w:pPr>
    </w:p>
    <w:p w14:paraId="687F5EE2" w14:textId="77777777" w:rsidR="00643D34" w:rsidRDefault="00643D34" w:rsidP="00643D34">
      <w:pPr>
        <w:tabs>
          <w:tab w:val="left" w:pos="4680"/>
          <w:tab w:val="center" w:pos="7200"/>
        </w:tabs>
        <w:spacing w:after="0"/>
        <w:jc w:val="center"/>
      </w:pPr>
    </w:p>
    <w:p w14:paraId="796801D4" w14:textId="05E5E165" w:rsidR="00643D34" w:rsidRDefault="0042190C" w:rsidP="00643D34">
      <w:pPr>
        <w:tabs>
          <w:tab w:val="left" w:pos="4680"/>
          <w:tab w:val="center" w:pos="7200"/>
        </w:tabs>
        <w:spacing w:after="0"/>
        <w:jc w:val="center"/>
      </w:pPr>
      <w:r>
        <w:t>August 3</w:t>
      </w:r>
      <w:r w:rsidR="00643D34">
        <w:t>, 2020</w:t>
      </w:r>
    </w:p>
    <w:p w14:paraId="2C45DB18" w14:textId="77777777" w:rsidR="00643D34" w:rsidRDefault="00643D34" w:rsidP="00643D34">
      <w:pPr>
        <w:tabs>
          <w:tab w:val="left" w:pos="4680"/>
          <w:tab w:val="center" w:pos="7200"/>
        </w:tabs>
        <w:spacing w:after="0"/>
        <w:jc w:val="center"/>
      </w:pPr>
    </w:p>
    <w:p w14:paraId="0EF2E982" w14:textId="30088DBC" w:rsidR="00643D34" w:rsidRDefault="00643D34" w:rsidP="00643D34">
      <w:pPr>
        <w:tabs>
          <w:tab w:val="left" w:pos="4680"/>
          <w:tab w:val="center" w:pos="7200"/>
        </w:tabs>
        <w:spacing w:after="0"/>
        <w:jc w:val="left"/>
      </w:pPr>
      <w:r>
        <w:t xml:space="preserve">Justice </w:t>
      </w:r>
      <w:r w:rsidR="004A4266">
        <w:t>Liu</w:t>
      </w:r>
      <w:r>
        <w:t xml:space="preserve"> authored the opinion of the Court, in which </w:t>
      </w:r>
      <w:r w:rsidR="0042190C" w:rsidRPr="0042190C">
        <w:t>Chief Justice Cantil-Sakauye and Justices Chin, Corrigan, Cuéllar, Kruger, and Groban</w:t>
      </w:r>
      <w:r>
        <w:t xml:space="preserve"> concurred.</w:t>
      </w:r>
      <w:bookmarkStart w:id="7" w:name="MarkDocLoc"/>
      <w:bookmarkEnd w:id="7"/>
    </w:p>
    <w:p w14:paraId="17F4E623" w14:textId="77777777" w:rsidR="00643D34" w:rsidRDefault="00643D34" w:rsidP="00643D34">
      <w:pPr>
        <w:pBdr>
          <w:bottom w:val="single" w:sz="4" w:space="1" w:color="auto"/>
        </w:pBdr>
        <w:tabs>
          <w:tab w:val="left" w:pos="4680"/>
          <w:tab w:val="center" w:pos="7200"/>
        </w:tabs>
        <w:spacing w:after="0"/>
        <w:jc w:val="center"/>
      </w:pPr>
    </w:p>
    <w:p w14:paraId="292D9240" w14:textId="77777777" w:rsidR="00643D34" w:rsidRDefault="00643D34" w:rsidP="00643D34">
      <w:pPr>
        <w:tabs>
          <w:tab w:val="left" w:pos="1440"/>
          <w:tab w:val="left" w:pos="4680"/>
          <w:tab w:val="center" w:pos="7200"/>
        </w:tabs>
        <w:spacing w:line="480" w:lineRule="atLeast"/>
        <w:rPr>
          <w:szCs w:val="26"/>
        </w:rPr>
      </w:pPr>
    </w:p>
    <w:p w14:paraId="54506A4E" w14:textId="77777777" w:rsidR="00643D34" w:rsidRDefault="00643D34" w:rsidP="00643D34">
      <w:pPr>
        <w:tabs>
          <w:tab w:val="left" w:pos="1440"/>
          <w:tab w:val="left" w:pos="4680"/>
          <w:tab w:val="center" w:pos="7200"/>
        </w:tabs>
        <w:spacing w:line="480" w:lineRule="atLeast"/>
        <w:rPr>
          <w:szCs w:val="26"/>
        </w:rPr>
        <w:sectPr w:rsidR="00643D34" w:rsidSect="00DE731A">
          <w:headerReference w:type="default" r:id="rId8"/>
          <w:footerReference w:type="default" r:id="rId9"/>
          <w:pgSz w:w="12240" w:h="15840" w:code="1"/>
          <w:pgMar w:top="1800" w:right="2160" w:bottom="1440" w:left="2160" w:header="720" w:footer="720" w:gutter="0"/>
          <w:cols w:space="720"/>
          <w:titlePg/>
          <w:docGrid w:linePitch="367"/>
        </w:sectPr>
      </w:pPr>
    </w:p>
    <w:p w14:paraId="2C0B0FFF" w14:textId="29952B07" w:rsidR="00643D34" w:rsidRDefault="00860BF9" w:rsidP="00643D34">
      <w:pPr>
        <w:tabs>
          <w:tab w:val="left" w:pos="4680"/>
          <w:tab w:val="center" w:pos="7200"/>
        </w:tabs>
        <w:jc w:val="center"/>
      </w:pPr>
      <w:r>
        <w:lastRenderedPageBreak/>
        <w:t>IXCHEL PHARMA, LLC</w:t>
      </w:r>
      <w:r w:rsidR="00643D34">
        <w:t xml:space="preserve"> v. </w:t>
      </w:r>
      <w:r>
        <w:t>BIOGEN, INC</w:t>
      </w:r>
      <w:r w:rsidR="00643D34">
        <w:t>.</w:t>
      </w:r>
    </w:p>
    <w:p w14:paraId="3F71856D" w14:textId="04697DB4" w:rsidR="00643D34" w:rsidRPr="00BD1E34" w:rsidRDefault="00643D34" w:rsidP="00BD1E34">
      <w:pPr>
        <w:tabs>
          <w:tab w:val="left" w:pos="4680"/>
          <w:tab w:val="center" w:pos="7200"/>
        </w:tabs>
        <w:jc w:val="center"/>
      </w:pPr>
      <w:r w:rsidRPr="00BD1E34">
        <w:t>S</w:t>
      </w:r>
      <w:r w:rsidR="00C53883" w:rsidRPr="00BD1E34">
        <w:t>256927</w:t>
      </w:r>
    </w:p>
    <w:p w14:paraId="01186DA2" w14:textId="77777777" w:rsidR="00643D34" w:rsidRDefault="00643D34" w:rsidP="00BD1E34">
      <w:pPr>
        <w:tabs>
          <w:tab w:val="left" w:pos="4680"/>
          <w:tab w:val="center" w:pos="7200"/>
        </w:tabs>
        <w:jc w:val="center"/>
      </w:pPr>
    </w:p>
    <w:p w14:paraId="370D49BC" w14:textId="13F254F2" w:rsidR="00643D34" w:rsidRPr="00BD1E34" w:rsidRDefault="00643D34" w:rsidP="00BD1E34">
      <w:pPr>
        <w:tabs>
          <w:tab w:val="left" w:pos="4680"/>
          <w:tab w:val="center" w:pos="7200"/>
        </w:tabs>
        <w:jc w:val="center"/>
      </w:pPr>
      <w:r>
        <w:t>Opinion of the Court by Liu</w:t>
      </w:r>
      <w:r w:rsidRPr="00BD1E34">
        <w:t>, J.</w:t>
      </w:r>
    </w:p>
    <w:p w14:paraId="0B2EBBB6" w14:textId="521DE9FC" w:rsidR="00594EDA" w:rsidRPr="00643D34" w:rsidRDefault="00FF16D6" w:rsidP="00643D34">
      <w:pPr>
        <w:tabs>
          <w:tab w:val="left" w:pos="4680"/>
          <w:tab w:val="center" w:pos="7200"/>
        </w:tabs>
        <w:jc w:val="center"/>
      </w:pPr>
      <w:r>
        <w:rPr>
          <w:b/>
        </w:rPr>
        <w:t xml:space="preserve"> </w:t>
      </w:r>
    </w:p>
    <w:p w14:paraId="6A378EFE" w14:textId="6ECCAD17" w:rsidR="00451775" w:rsidRPr="008471B1" w:rsidRDefault="00451775" w:rsidP="00EF4492">
      <w:pPr>
        <w:tabs>
          <w:tab w:val="left" w:pos="720"/>
        </w:tabs>
      </w:pPr>
      <w:bookmarkStart w:id="8" w:name="mainstory"/>
      <w:bookmarkEnd w:id="8"/>
      <w:r w:rsidRPr="00C61B53">
        <w:tab/>
      </w:r>
      <w:r w:rsidR="00D94406">
        <w:t>This case presents</w:t>
      </w:r>
      <w:r w:rsidR="006A15D2" w:rsidRPr="008471B1">
        <w:t xml:space="preserve"> </w:t>
      </w:r>
      <w:r w:rsidR="009C1286" w:rsidRPr="008471B1">
        <w:t xml:space="preserve">two </w:t>
      </w:r>
      <w:r w:rsidR="006A15D2" w:rsidRPr="008471B1">
        <w:t xml:space="preserve">questions about the bounds </w:t>
      </w:r>
      <w:r w:rsidR="009C1286" w:rsidRPr="008471B1">
        <w:t xml:space="preserve">of legitimate </w:t>
      </w:r>
      <w:r w:rsidR="00DC1AE6" w:rsidRPr="008471B1">
        <w:t xml:space="preserve">business </w:t>
      </w:r>
      <w:r w:rsidR="009C1286" w:rsidRPr="008471B1">
        <w:t>competition under California tort and antitrust law.</w:t>
      </w:r>
      <w:r w:rsidR="000146C0" w:rsidRPr="008471B1">
        <w:t xml:space="preserve">  </w:t>
      </w:r>
      <w:r w:rsidR="00B005D4" w:rsidRPr="008471B1">
        <w:t xml:space="preserve">Plaintiff </w:t>
      </w:r>
      <w:proofErr w:type="spellStart"/>
      <w:r w:rsidR="009E435D" w:rsidRPr="008471B1">
        <w:t>Ixchel</w:t>
      </w:r>
      <w:proofErr w:type="spellEnd"/>
      <w:r w:rsidR="009E435D" w:rsidRPr="008471B1">
        <w:t xml:space="preserve"> Pharma</w:t>
      </w:r>
      <w:r w:rsidR="0024070B" w:rsidRPr="008471B1">
        <w:t>, LLC (</w:t>
      </w:r>
      <w:proofErr w:type="spellStart"/>
      <w:r w:rsidR="0024070B" w:rsidRPr="008471B1">
        <w:t>Ixchel</w:t>
      </w:r>
      <w:proofErr w:type="spellEnd"/>
      <w:r w:rsidR="0024070B" w:rsidRPr="008471B1">
        <w:t>)</w:t>
      </w:r>
      <w:r w:rsidR="00D94406">
        <w:t>, a biotechnology company,</w:t>
      </w:r>
      <w:r w:rsidR="008471B1" w:rsidRPr="008471B1">
        <w:t xml:space="preserve"> </w:t>
      </w:r>
      <w:r w:rsidR="00F23D1B" w:rsidRPr="008471B1">
        <w:t xml:space="preserve">entered </w:t>
      </w:r>
      <w:r w:rsidR="00593C6B" w:rsidRPr="008471B1">
        <w:t xml:space="preserve">into </w:t>
      </w:r>
      <w:r w:rsidR="00F23D1B" w:rsidRPr="008471B1">
        <w:t xml:space="preserve">an </w:t>
      </w:r>
      <w:r w:rsidR="00E4677F" w:rsidRPr="008471B1">
        <w:t>agree</w:t>
      </w:r>
      <w:r w:rsidR="00F23D1B" w:rsidRPr="008471B1">
        <w:t xml:space="preserve">ment </w:t>
      </w:r>
      <w:r w:rsidR="00E4677F" w:rsidRPr="008471B1">
        <w:t>with</w:t>
      </w:r>
      <w:r w:rsidR="002A6583" w:rsidRPr="008471B1">
        <w:t xml:space="preserve"> </w:t>
      </w:r>
      <w:r w:rsidR="009E435D" w:rsidRPr="008471B1">
        <w:t>Forward Pharma</w:t>
      </w:r>
      <w:r w:rsidR="002A6583" w:rsidRPr="008471B1">
        <w:t xml:space="preserve"> </w:t>
      </w:r>
      <w:r w:rsidR="00C70E16" w:rsidRPr="008471B1">
        <w:t xml:space="preserve">(Forward) </w:t>
      </w:r>
      <w:r w:rsidR="0032005F" w:rsidRPr="008471B1">
        <w:t xml:space="preserve">to jointly </w:t>
      </w:r>
      <w:r w:rsidR="009E435D" w:rsidRPr="008471B1">
        <w:t>develop</w:t>
      </w:r>
      <w:r w:rsidR="0032005F" w:rsidRPr="008471B1">
        <w:t xml:space="preserve"> a </w:t>
      </w:r>
      <w:r w:rsidR="00474D07" w:rsidRPr="008471B1">
        <w:t>drug</w:t>
      </w:r>
      <w:r w:rsidR="0032005F" w:rsidRPr="008471B1">
        <w:t xml:space="preserve"> for</w:t>
      </w:r>
      <w:r w:rsidR="009E435D" w:rsidRPr="008471B1">
        <w:t xml:space="preserve"> </w:t>
      </w:r>
      <w:r w:rsidR="00474D07" w:rsidRPr="008471B1">
        <w:t xml:space="preserve">the treatment of </w:t>
      </w:r>
      <w:r w:rsidR="004920EE" w:rsidRPr="008471B1">
        <w:t>a disorder called Friedreich’s ataxia</w:t>
      </w:r>
      <w:r w:rsidR="006F3A85" w:rsidRPr="008471B1">
        <w:t>.</w:t>
      </w:r>
      <w:r w:rsidR="00E4677F" w:rsidRPr="008471B1">
        <w:t xml:space="preserve">  </w:t>
      </w:r>
      <w:r w:rsidR="0023158D" w:rsidRPr="008471B1">
        <w:t xml:space="preserve">The </w:t>
      </w:r>
      <w:r w:rsidR="0051544A">
        <w:t>drug development</w:t>
      </w:r>
      <w:r w:rsidR="0023158D" w:rsidRPr="008471B1">
        <w:t xml:space="preserve"> </w:t>
      </w:r>
      <w:r w:rsidR="00640A72" w:rsidRPr="008471B1">
        <w:t>went</w:t>
      </w:r>
      <w:r w:rsidR="00F23D1B" w:rsidRPr="008471B1">
        <w:t xml:space="preserve"> according to plan </w:t>
      </w:r>
      <w:r w:rsidR="00640A72" w:rsidRPr="008471B1">
        <w:t xml:space="preserve">until </w:t>
      </w:r>
      <w:r w:rsidR="00F23D1B" w:rsidRPr="008471B1">
        <w:t>Forward decided to withdraw from the agreement</w:t>
      </w:r>
      <w:r w:rsidR="00C74F51" w:rsidRPr="008471B1">
        <w:t xml:space="preserve">, as was allowed by </w:t>
      </w:r>
      <w:r w:rsidR="003F5984">
        <w:t>its</w:t>
      </w:r>
      <w:r w:rsidR="00C74F51" w:rsidRPr="008471B1">
        <w:t xml:space="preserve"> terms.</w:t>
      </w:r>
      <w:r w:rsidR="00F23D1B" w:rsidRPr="008471B1">
        <w:t xml:space="preserve"> </w:t>
      </w:r>
      <w:r w:rsidR="00C74F51" w:rsidRPr="008471B1">
        <w:t xml:space="preserve"> </w:t>
      </w:r>
      <w:r w:rsidR="008471B1" w:rsidRPr="008471B1">
        <w:t xml:space="preserve">Pursuant to a settlement with </w:t>
      </w:r>
      <w:r w:rsidR="00385805" w:rsidRPr="008471B1">
        <w:t>another biotechnology company</w:t>
      </w:r>
      <w:r w:rsidR="00FA1A8F" w:rsidRPr="008471B1">
        <w:t>,</w:t>
      </w:r>
      <w:r w:rsidR="00385805" w:rsidRPr="008471B1">
        <w:t xml:space="preserve"> </w:t>
      </w:r>
      <w:r w:rsidR="00AE3230">
        <w:t>d</w:t>
      </w:r>
      <w:r w:rsidR="001961F3" w:rsidRPr="008471B1">
        <w:t xml:space="preserve">efendant </w:t>
      </w:r>
      <w:r w:rsidR="00627FDF" w:rsidRPr="008471B1">
        <w:t>Biogen</w:t>
      </w:r>
      <w:r w:rsidR="0024070B" w:rsidRPr="008471B1">
        <w:t>, Inc. (Biogen)</w:t>
      </w:r>
      <w:r w:rsidR="008471B1" w:rsidRPr="008471B1">
        <w:t xml:space="preserve">, </w:t>
      </w:r>
      <w:r w:rsidR="00474D07" w:rsidRPr="008471B1">
        <w:t xml:space="preserve">Forward </w:t>
      </w:r>
      <w:r w:rsidR="008471B1" w:rsidRPr="008471B1">
        <w:t xml:space="preserve">had </w:t>
      </w:r>
      <w:r w:rsidR="00FA1A8F" w:rsidRPr="008471B1">
        <w:t xml:space="preserve">agreed </w:t>
      </w:r>
      <w:r w:rsidR="00474D07" w:rsidRPr="008471B1">
        <w:t xml:space="preserve">to terminate its </w:t>
      </w:r>
      <w:r w:rsidR="00C84294">
        <w:t>contract</w:t>
      </w:r>
      <w:r w:rsidR="00474D07" w:rsidRPr="008471B1">
        <w:t xml:space="preserve"> with </w:t>
      </w:r>
      <w:proofErr w:type="spellStart"/>
      <w:r w:rsidR="00474D07" w:rsidRPr="008471B1">
        <w:t>Ixchel</w:t>
      </w:r>
      <w:proofErr w:type="spellEnd"/>
      <w:r w:rsidR="00474D07" w:rsidRPr="008471B1">
        <w:t>.</w:t>
      </w:r>
    </w:p>
    <w:p w14:paraId="6AD04FF9" w14:textId="4A0C461B" w:rsidR="00D471FB" w:rsidRPr="008471B1" w:rsidRDefault="00451775" w:rsidP="00EF4492">
      <w:pPr>
        <w:tabs>
          <w:tab w:val="left" w:pos="720"/>
        </w:tabs>
      </w:pPr>
      <w:r w:rsidRPr="008471B1">
        <w:tab/>
      </w:r>
      <w:proofErr w:type="spellStart"/>
      <w:r w:rsidR="001961F3" w:rsidRPr="008471B1">
        <w:t>Ixchel</w:t>
      </w:r>
      <w:proofErr w:type="spellEnd"/>
      <w:r w:rsidR="001961F3" w:rsidRPr="008471B1">
        <w:t xml:space="preserve"> </w:t>
      </w:r>
      <w:r w:rsidR="004B31D4" w:rsidRPr="008471B1">
        <w:t>sued Biogen in federal court</w:t>
      </w:r>
      <w:r w:rsidR="007F1E2F" w:rsidRPr="008471B1">
        <w:t xml:space="preserve"> for </w:t>
      </w:r>
      <w:proofErr w:type="spellStart"/>
      <w:r w:rsidR="007F1E2F" w:rsidRPr="008471B1">
        <w:t>tortious</w:t>
      </w:r>
      <w:r w:rsidR="00D94406">
        <w:t>ly</w:t>
      </w:r>
      <w:proofErr w:type="spellEnd"/>
      <w:r w:rsidR="007F1E2F" w:rsidRPr="008471B1">
        <w:t xml:space="preserve"> </w:t>
      </w:r>
      <w:r w:rsidR="00533A8C" w:rsidRPr="008471B1">
        <w:t>interfer</w:t>
      </w:r>
      <w:r w:rsidR="00D94406">
        <w:t xml:space="preserve">ing with </w:t>
      </w:r>
      <w:proofErr w:type="spellStart"/>
      <w:r w:rsidR="007F1E2F" w:rsidRPr="008471B1">
        <w:t>Ixchel’s</w:t>
      </w:r>
      <w:proofErr w:type="spellEnd"/>
      <w:r w:rsidR="00544D83" w:rsidRPr="008471B1">
        <w:t xml:space="preserve"> </w:t>
      </w:r>
      <w:r w:rsidR="00B7799A" w:rsidRPr="008471B1">
        <w:t xml:space="preserve">contractual and </w:t>
      </w:r>
      <w:r w:rsidR="00FC4EEB" w:rsidRPr="008471B1">
        <w:t xml:space="preserve">prospective </w:t>
      </w:r>
      <w:r w:rsidR="00B7799A" w:rsidRPr="008471B1">
        <w:t xml:space="preserve">economic relationship </w:t>
      </w:r>
      <w:r w:rsidR="00544D83" w:rsidRPr="008471B1">
        <w:t>with Forward</w:t>
      </w:r>
      <w:r w:rsidRPr="008471B1">
        <w:t xml:space="preserve"> </w:t>
      </w:r>
      <w:r w:rsidR="00A57A78" w:rsidRPr="008471B1">
        <w:t>and</w:t>
      </w:r>
      <w:r w:rsidR="00E6434E" w:rsidRPr="008471B1">
        <w:t xml:space="preserve"> </w:t>
      </w:r>
      <w:r w:rsidR="007F1E2F" w:rsidRPr="008471B1">
        <w:t>claimed</w:t>
      </w:r>
      <w:r w:rsidR="00E6434E" w:rsidRPr="008471B1">
        <w:t xml:space="preserve"> </w:t>
      </w:r>
      <w:r w:rsidR="00A57A78" w:rsidRPr="008471B1">
        <w:t xml:space="preserve">that </w:t>
      </w:r>
      <w:r w:rsidR="00852BD7" w:rsidRPr="008471B1">
        <w:t xml:space="preserve">Biogen did so </w:t>
      </w:r>
      <w:r w:rsidR="00A70404" w:rsidRPr="008471B1">
        <w:t xml:space="preserve">in violation of </w:t>
      </w:r>
      <w:r w:rsidR="00D4579D" w:rsidRPr="008471B1">
        <w:t>Business and Professions Code section 16600</w:t>
      </w:r>
      <w:r w:rsidR="00A70404" w:rsidRPr="008471B1">
        <w:t>.</w:t>
      </w:r>
      <w:r w:rsidR="00124507" w:rsidRPr="008471B1">
        <w:t xml:space="preserve">  On appeal, t</w:t>
      </w:r>
      <w:r w:rsidR="00E4677F" w:rsidRPr="008471B1">
        <w:t>he United States Court of Appeal</w:t>
      </w:r>
      <w:r w:rsidR="00593C6B" w:rsidRPr="008471B1">
        <w:t>s</w:t>
      </w:r>
      <w:r w:rsidR="00E4677F" w:rsidRPr="008471B1">
        <w:t xml:space="preserve"> for the Ninth Circuit asked us to decide </w:t>
      </w:r>
      <w:r w:rsidR="005E011A" w:rsidRPr="008471B1">
        <w:t xml:space="preserve">(1) </w:t>
      </w:r>
      <w:r w:rsidR="002F5BFC" w:rsidRPr="008471B1">
        <w:t xml:space="preserve">whether </w:t>
      </w:r>
      <w:r w:rsidR="00063ECB" w:rsidRPr="008471B1">
        <w:t xml:space="preserve">Biogen’s interference in </w:t>
      </w:r>
      <w:proofErr w:type="spellStart"/>
      <w:r w:rsidR="00063ECB" w:rsidRPr="008471B1">
        <w:t>Ixchel’s</w:t>
      </w:r>
      <w:proofErr w:type="spellEnd"/>
      <w:r w:rsidR="00063ECB" w:rsidRPr="008471B1">
        <w:t xml:space="preserve"> at-will contract with Forward must be independently wrongful</w:t>
      </w:r>
      <w:r w:rsidRPr="008471B1">
        <w:t xml:space="preserve"> a</w:t>
      </w:r>
      <w:r w:rsidR="00A3170D" w:rsidRPr="008471B1">
        <w:t xml:space="preserve">nd </w:t>
      </w:r>
      <w:r w:rsidR="005E011A" w:rsidRPr="008471B1">
        <w:t xml:space="preserve">(2) </w:t>
      </w:r>
      <w:r w:rsidR="005251BB" w:rsidRPr="008471B1">
        <w:t>how</w:t>
      </w:r>
      <w:r w:rsidR="00FC4EEB" w:rsidRPr="008471B1">
        <w:t xml:space="preserve"> Business and Professions Code section 16600 applies to the settlement provision requiring Forward to terminate its agreement with </w:t>
      </w:r>
      <w:proofErr w:type="spellStart"/>
      <w:r w:rsidR="00FC4EEB" w:rsidRPr="008471B1">
        <w:t>Ixchel</w:t>
      </w:r>
      <w:proofErr w:type="spellEnd"/>
      <w:r w:rsidR="00FC4EEB" w:rsidRPr="008471B1">
        <w:t>.</w:t>
      </w:r>
      <w:r w:rsidR="00143B21" w:rsidRPr="008471B1">
        <w:t xml:space="preserve">  </w:t>
      </w:r>
    </w:p>
    <w:p w14:paraId="33E75A06" w14:textId="580090F2" w:rsidR="004439E5" w:rsidRPr="00C61B53" w:rsidRDefault="00D471FB" w:rsidP="00EF4492">
      <w:pPr>
        <w:tabs>
          <w:tab w:val="left" w:pos="720"/>
        </w:tabs>
      </w:pPr>
      <w:r w:rsidRPr="00C61B53">
        <w:tab/>
      </w:r>
      <w:r w:rsidR="00C70E16">
        <w:t>W</w:t>
      </w:r>
      <w:r w:rsidRPr="00C61B53">
        <w:t>e hold</w:t>
      </w:r>
      <w:r w:rsidR="00D67EB4" w:rsidRPr="00C61B53">
        <w:t xml:space="preserve"> </w:t>
      </w:r>
      <w:r w:rsidR="00461397" w:rsidRPr="00C61B53">
        <w:t xml:space="preserve">that tortious interference with at-will contracts requires independent wrongfulness and </w:t>
      </w:r>
      <w:r w:rsidR="00E253E8" w:rsidRPr="00C61B53">
        <w:t>that</w:t>
      </w:r>
      <w:r w:rsidR="00DB26FE" w:rsidRPr="00C61B53">
        <w:t xml:space="preserve"> a</w:t>
      </w:r>
      <w:r w:rsidR="004439E5" w:rsidRPr="00C61B53">
        <w:t xml:space="preserve"> rule of reason </w:t>
      </w:r>
      <w:r w:rsidR="004439E5" w:rsidRPr="00C61B53">
        <w:lastRenderedPageBreak/>
        <w:t xml:space="preserve">applies to </w:t>
      </w:r>
      <w:r w:rsidR="00DB26FE" w:rsidRPr="00C61B53">
        <w:t xml:space="preserve">determine the validity of the settlement provision </w:t>
      </w:r>
      <w:r w:rsidR="00143B21" w:rsidRPr="00C61B53">
        <w:t>under Business and Professions Code section 16600</w:t>
      </w:r>
      <w:r w:rsidR="00DB26FE" w:rsidRPr="00C61B53">
        <w:t>.</w:t>
      </w:r>
    </w:p>
    <w:p w14:paraId="6AA25922" w14:textId="77777777" w:rsidR="00E02CF1" w:rsidRPr="00C61B53" w:rsidRDefault="00E02CF1" w:rsidP="00E02CF1">
      <w:pPr>
        <w:pStyle w:val="Heading1"/>
      </w:pPr>
      <w:r w:rsidRPr="00C61B53">
        <w:t xml:space="preserve">I. </w:t>
      </w:r>
    </w:p>
    <w:p w14:paraId="71425653" w14:textId="16F780CD" w:rsidR="00E02CF1" w:rsidRPr="00C61B53" w:rsidRDefault="00E02CF1" w:rsidP="00EF4492">
      <w:pPr>
        <w:tabs>
          <w:tab w:val="left" w:pos="720"/>
        </w:tabs>
      </w:pPr>
      <w:r w:rsidRPr="00C61B53">
        <w:tab/>
        <w:t xml:space="preserve">Because this case comes to us from the Ninth Circuit at the motion to dismiss stage, we assume the truth of the facts as alleged in </w:t>
      </w:r>
      <w:proofErr w:type="spellStart"/>
      <w:r w:rsidRPr="00C61B53">
        <w:t>Ixchel’s</w:t>
      </w:r>
      <w:proofErr w:type="spellEnd"/>
      <w:r w:rsidRPr="00C61B53">
        <w:t xml:space="preserve"> operative complaint.  (</w:t>
      </w:r>
      <w:r w:rsidRPr="00C61B53">
        <w:rPr>
          <w:i/>
        </w:rPr>
        <w:t>Grisham v. Philip Morris U.S.A., Inc.</w:t>
      </w:r>
      <w:r w:rsidRPr="00C61B53">
        <w:t xml:space="preserve"> (2007) 40 Cal.4th 623, 629.)  </w:t>
      </w:r>
      <w:proofErr w:type="spellStart"/>
      <w:r w:rsidRPr="00C61B53">
        <w:t>Ixchel</w:t>
      </w:r>
      <w:proofErr w:type="spellEnd"/>
      <w:r w:rsidRPr="00C61B53">
        <w:t xml:space="preserve"> is a biotechnology company that develops drugs to treat mitochondrial disease.  Since 2012, it has been developing a drug containing the active ingredient dimethyl fumarate (DMF) to treat Friedreich’s ataxia, a neurodegenerative disorder affecting one in 50,000 Americans.  </w:t>
      </w:r>
    </w:p>
    <w:p w14:paraId="18F69A5A" w14:textId="53EA5838" w:rsidR="00E02CF1" w:rsidRPr="00C61B53" w:rsidRDefault="00E02CF1" w:rsidP="00EF4492">
      <w:pPr>
        <w:tabs>
          <w:tab w:val="left" w:pos="720"/>
        </w:tabs>
      </w:pPr>
      <w:r w:rsidRPr="00C61B53">
        <w:tab/>
        <w:t xml:space="preserve">Because </w:t>
      </w:r>
      <w:proofErr w:type="spellStart"/>
      <w:r w:rsidRPr="00C61B53">
        <w:t>Ixchel</w:t>
      </w:r>
      <w:proofErr w:type="spellEnd"/>
      <w:r w:rsidRPr="00C61B53">
        <w:t xml:space="preserve"> did not have the resources to develop the drug by itself, in 2016 it entered into a Collaboration Agreement with Forward, a biotechnology company that also develops drugs containing DMF for the treatment of neurological diseases.</w:t>
      </w:r>
      <w:r>
        <w:t xml:space="preserve">  </w:t>
      </w:r>
      <w:r w:rsidRPr="00C61B53">
        <w:t xml:space="preserve">Under the terms of the Collaboration Agreement, </w:t>
      </w:r>
      <w:proofErr w:type="spellStart"/>
      <w:r w:rsidRPr="00C61B53">
        <w:t>Ixchel</w:t>
      </w:r>
      <w:proofErr w:type="spellEnd"/>
      <w:r w:rsidRPr="00C61B53">
        <w:t xml:space="preserve"> agreed to assign certain patent rights it possessed to Forward.  In return, Forward agreed to work with </w:t>
      </w:r>
      <w:proofErr w:type="spellStart"/>
      <w:r w:rsidRPr="00C61B53">
        <w:t>Ixchel</w:t>
      </w:r>
      <w:proofErr w:type="spellEnd"/>
      <w:r w:rsidRPr="00C61B53">
        <w:t xml:space="preserve"> to develop a new drug containing DMF to treat Friedreich’s ataxia.  Forward would investigate the feasibility of conducting clinical trials for the drug and, if feasible, would conduct those trials and pay for them.  </w:t>
      </w:r>
      <w:proofErr w:type="spellStart"/>
      <w:r w:rsidRPr="00C61B53">
        <w:t>Ixchel</w:t>
      </w:r>
      <w:proofErr w:type="spellEnd"/>
      <w:r w:rsidRPr="00C61B53">
        <w:t xml:space="preserve"> would provide assistance with the clinical trials as necessary.</w:t>
      </w:r>
      <w:r>
        <w:t xml:space="preserve">  </w:t>
      </w:r>
      <w:r w:rsidRPr="00C61B53">
        <w:t xml:space="preserve">If the clinical trials were successful, Forward agreed to manage and pay for the manufacturing and commercialization of the drug with the assistance of </w:t>
      </w:r>
      <w:proofErr w:type="spellStart"/>
      <w:r w:rsidRPr="00C61B53">
        <w:t>Ixchel</w:t>
      </w:r>
      <w:proofErr w:type="spellEnd"/>
      <w:r w:rsidRPr="00C61B53">
        <w:t xml:space="preserve">.  </w:t>
      </w:r>
      <w:proofErr w:type="spellStart"/>
      <w:r w:rsidRPr="00C61B53">
        <w:t>Ixchel</w:t>
      </w:r>
      <w:proofErr w:type="spellEnd"/>
      <w:r w:rsidRPr="00C61B53">
        <w:t xml:space="preserve"> was entitled to a percentage of royalt</w:t>
      </w:r>
      <w:r w:rsidR="00D94406">
        <w:t>ies</w:t>
      </w:r>
      <w:r w:rsidRPr="00C61B53">
        <w:t xml:space="preserve"> on sales of the drug and retained certain rights to engage in its own commercialization of the drug independent of Forward.  </w:t>
      </w:r>
    </w:p>
    <w:p w14:paraId="478C2D43" w14:textId="3B0D5BA8" w:rsidR="00E02CF1" w:rsidRPr="00C61B53" w:rsidRDefault="00E02CF1" w:rsidP="00EF4492">
      <w:pPr>
        <w:tabs>
          <w:tab w:val="left" w:pos="720"/>
        </w:tabs>
      </w:pPr>
      <w:r w:rsidRPr="00C61B53">
        <w:lastRenderedPageBreak/>
        <w:tab/>
        <w:t xml:space="preserve">The Collaboration Agreement authorized Forward to terminate the agreement “at any time” so long as it provided notice to </w:t>
      </w:r>
      <w:proofErr w:type="spellStart"/>
      <w:r w:rsidRPr="00C61B53">
        <w:t>Ixchel</w:t>
      </w:r>
      <w:proofErr w:type="spellEnd"/>
      <w:r w:rsidRPr="00C61B53">
        <w:t xml:space="preserve"> 60 days in advance.  </w:t>
      </w:r>
      <w:proofErr w:type="spellStart"/>
      <w:r w:rsidRPr="00C61B53">
        <w:t>Ixchel</w:t>
      </w:r>
      <w:proofErr w:type="spellEnd"/>
      <w:r w:rsidRPr="00C61B53">
        <w:t xml:space="preserve"> was authorized to terminate the agreement if Forward informed </w:t>
      </w:r>
      <w:proofErr w:type="spellStart"/>
      <w:r w:rsidRPr="00C61B53">
        <w:t>Ixchel</w:t>
      </w:r>
      <w:proofErr w:type="spellEnd"/>
      <w:r w:rsidRPr="00C61B53">
        <w:t xml:space="preserve"> that it would not conduct clinical trials of the new drug or if it would not or did not timely submit a new drug application for the </w:t>
      </w:r>
      <w:r>
        <w:t xml:space="preserve">developed </w:t>
      </w:r>
      <w:r w:rsidRPr="00C61B53">
        <w:t xml:space="preserve">drug to the Food and Drug Administration.  In October 2016, </w:t>
      </w:r>
      <w:proofErr w:type="gramStart"/>
      <w:r w:rsidRPr="00C61B53">
        <w:t>Forward</w:t>
      </w:r>
      <w:proofErr w:type="gramEnd"/>
      <w:r w:rsidRPr="00C61B53">
        <w:t xml:space="preserve"> informed </w:t>
      </w:r>
      <w:proofErr w:type="spellStart"/>
      <w:r w:rsidRPr="00C61B53">
        <w:t>Ixchel</w:t>
      </w:r>
      <w:proofErr w:type="spellEnd"/>
      <w:r w:rsidRPr="00C61B53">
        <w:t xml:space="preserve"> that it had confirmed the feasibility of conducting clinical trials and would proceed to conduct those trials.  </w:t>
      </w:r>
      <w:r>
        <w:t xml:space="preserve">Thereafter, </w:t>
      </w:r>
      <w:proofErr w:type="spellStart"/>
      <w:r w:rsidRPr="00C61B53">
        <w:t>Ixchel</w:t>
      </w:r>
      <w:proofErr w:type="spellEnd"/>
      <w:r w:rsidRPr="00C61B53">
        <w:t xml:space="preserve"> and Forward began to develop a plan for a trial study.  </w:t>
      </w:r>
    </w:p>
    <w:p w14:paraId="67B13084" w14:textId="28143716" w:rsidR="00E02CF1" w:rsidRPr="00C61B53" w:rsidRDefault="00E02CF1" w:rsidP="00EF4492">
      <w:pPr>
        <w:tabs>
          <w:tab w:val="left" w:pos="720"/>
        </w:tabs>
      </w:pPr>
      <w:r w:rsidRPr="00C61B53">
        <w:tab/>
        <w:t xml:space="preserve">At the same time that Forward and </w:t>
      </w:r>
      <w:proofErr w:type="spellStart"/>
      <w:r w:rsidRPr="00C61B53">
        <w:t>Ixchel</w:t>
      </w:r>
      <w:proofErr w:type="spellEnd"/>
      <w:r w:rsidRPr="00C61B53">
        <w:t xml:space="preserve"> were working together, Forward was negotiating with Biogen</w:t>
      </w:r>
      <w:r w:rsidR="0091061D">
        <w:t>, another biotechnology company,</w:t>
      </w:r>
      <w:r w:rsidRPr="00C61B53">
        <w:t xml:space="preserve"> to settle a patent dispute related to the use of DMF for the treatment of multiple sclerosis.</w:t>
      </w:r>
      <w:r>
        <w:t xml:space="preserve">  </w:t>
      </w:r>
      <w:r w:rsidRPr="00C61B53">
        <w:t xml:space="preserve">One of </w:t>
      </w:r>
      <w:r w:rsidR="00AE3230">
        <w:t>Biogen’s</w:t>
      </w:r>
      <w:r w:rsidRPr="00C61B53">
        <w:t xml:space="preserve"> drugs, Tecfidera, is used to treat multiple sclerosis and contains DMF as an active ingredient. </w:t>
      </w:r>
      <w:r>
        <w:t xml:space="preserve"> </w:t>
      </w:r>
      <w:proofErr w:type="spellStart"/>
      <w:r w:rsidRPr="00C61B53">
        <w:t>Ixchel</w:t>
      </w:r>
      <w:proofErr w:type="spellEnd"/>
      <w:r w:rsidRPr="00C61B53">
        <w:t xml:space="preserve"> alleges that because physicians can prescribe </w:t>
      </w:r>
      <w:r w:rsidR="005B7A05">
        <w:t xml:space="preserve">a </w:t>
      </w:r>
      <w:r w:rsidRPr="00C61B53">
        <w:t xml:space="preserve">drug containing DMF to treat conditions that the drug was not approved to treat, </w:t>
      </w:r>
      <w:proofErr w:type="spellStart"/>
      <w:r w:rsidRPr="00C61B53">
        <w:t>Ixchel’s</w:t>
      </w:r>
      <w:proofErr w:type="spellEnd"/>
      <w:r w:rsidRPr="00C61B53">
        <w:t xml:space="preserve"> drug development poses a competitive threat to Biogen’s Tecfidera drug.  </w:t>
      </w:r>
    </w:p>
    <w:p w14:paraId="139F153E" w14:textId="60A59DAF" w:rsidR="00E02CF1" w:rsidRPr="00C61B53" w:rsidRDefault="00E02CF1" w:rsidP="00EF4492">
      <w:pPr>
        <w:tabs>
          <w:tab w:val="left" w:pos="720"/>
        </w:tabs>
      </w:pPr>
      <w:r w:rsidRPr="00C61B53">
        <w:tab/>
        <w:t>As a result of negotiations, Forward and Biogen entered into a settlement and license agreement (Forward-Biogen Agreement) in which Biogen agreed to pay Forward $1.25 billion in exchange for a license to certain Forward patents and other intellectual property.</w:t>
      </w:r>
      <w:r>
        <w:t xml:space="preserve">  </w:t>
      </w:r>
      <w:r w:rsidRPr="00C61B53">
        <w:t xml:space="preserve">In addition, section 2.13 of the Forward-Biogen Agreement required Forward to “terminate any and all existing, and not enter into any new, Contracts or obligations to </w:t>
      </w:r>
      <w:proofErr w:type="spellStart"/>
      <w:r w:rsidRPr="00C61B53">
        <w:t>Ixchel</w:t>
      </w:r>
      <w:proofErr w:type="spellEnd"/>
      <w:r w:rsidRPr="00C61B53">
        <w:t xml:space="preserve"> Pharma LLC . . . and/or any other Person, to the extent related to the development [by Forward and its affiliate companies] of any pharmaceutical product having </w:t>
      </w:r>
      <w:r w:rsidRPr="00C61B53">
        <w:rPr>
          <w:i/>
        </w:rPr>
        <w:t xml:space="preserve">dimethyl </w:t>
      </w:r>
      <w:r w:rsidRPr="00C61B53">
        <w:rPr>
          <w:i/>
        </w:rPr>
        <w:lastRenderedPageBreak/>
        <w:t xml:space="preserve">fumarate </w:t>
      </w:r>
      <w:r w:rsidRPr="00C61B53">
        <w:t xml:space="preserve">as an [active ingredient] for the treatment of a human for any indication, including Friedreich’s ataxia.”  Because Forward’s only business is the development of drugs containing DMF as an active ingredient to treat humans, </w:t>
      </w:r>
      <w:proofErr w:type="spellStart"/>
      <w:r w:rsidRPr="00C61B53">
        <w:t>Ixchel</w:t>
      </w:r>
      <w:proofErr w:type="spellEnd"/>
      <w:r w:rsidRPr="00C61B53">
        <w:t xml:space="preserve"> alleges that the Forward-Biogen Agreement effectively prohibit</w:t>
      </w:r>
      <w:r w:rsidR="006E4C00">
        <w:t>ed</w:t>
      </w:r>
      <w:r w:rsidRPr="00C61B53">
        <w:t xml:space="preserve"> Forward from engaging in its entire business or a substantial part of it.  </w:t>
      </w:r>
    </w:p>
    <w:p w14:paraId="58FEA478" w14:textId="488E7A44" w:rsidR="00E02CF1" w:rsidRPr="00C61B53" w:rsidRDefault="00E02CF1" w:rsidP="00EF4492">
      <w:pPr>
        <w:tabs>
          <w:tab w:val="left" w:pos="720"/>
        </w:tabs>
      </w:pPr>
      <w:r w:rsidRPr="00C61B53">
        <w:tab/>
        <w:t xml:space="preserve">Forward notified </w:t>
      </w:r>
      <w:proofErr w:type="spellStart"/>
      <w:r w:rsidRPr="00C61B53">
        <w:t>Ixchel</w:t>
      </w:r>
      <w:proofErr w:type="spellEnd"/>
      <w:r w:rsidRPr="00C61B53">
        <w:t xml:space="preserve"> that because it had entered into the Forward-Biogen Agreement, it would be terminating the Collaboration Agreement </w:t>
      </w:r>
      <w:r w:rsidR="00360FB9">
        <w:t xml:space="preserve">with </w:t>
      </w:r>
      <w:proofErr w:type="spellStart"/>
      <w:r w:rsidR="00360FB9">
        <w:t>Ixchel</w:t>
      </w:r>
      <w:proofErr w:type="spellEnd"/>
      <w:r w:rsidR="00360FB9">
        <w:t xml:space="preserve"> </w:t>
      </w:r>
      <w:r w:rsidRPr="00C61B53">
        <w:t xml:space="preserve">in 60 days.  </w:t>
      </w:r>
      <w:r>
        <w:t>After Forward terminat</w:t>
      </w:r>
      <w:r w:rsidR="00ED0415">
        <w:t>ed</w:t>
      </w:r>
      <w:r>
        <w:t xml:space="preserve"> the agreement</w:t>
      </w:r>
      <w:r w:rsidRPr="00C61B53">
        <w:t xml:space="preserve">, </w:t>
      </w:r>
      <w:proofErr w:type="spellStart"/>
      <w:r w:rsidRPr="00C61B53">
        <w:t>Ixchel</w:t>
      </w:r>
      <w:proofErr w:type="spellEnd"/>
      <w:r w:rsidRPr="00C61B53">
        <w:t xml:space="preserve"> lost its ability to develop its Friedreich’s ataxia treatment and has been unable to find another development partner to do so.  </w:t>
      </w:r>
    </w:p>
    <w:p w14:paraId="3BF86B3B" w14:textId="0E1BAA37" w:rsidR="00E02CF1" w:rsidRPr="00C61B53" w:rsidRDefault="00E02CF1" w:rsidP="00EF4492">
      <w:pPr>
        <w:tabs>
          <w:tab w:val="left" w:pos="720"/>
        </w:tabs>
      </w:pPr>
      <w:r w:rsidRPr="00C61B53">
        <w:tab/>
      </w:r>
      <w:proofErr w:type="spellStart"/>
      <w:r w:rsidRPr="00C61B53">
        <w:t>Ixchel</w:t>
      </w:r>
      <w:proofErr w:type="spellEnd"/>
      <w:r w:rsidRPr="00C61B53">
        <w:t xml:space="preserve"> filed suit against Biogen in federal district court</w:t>
      </w:r>
      <w:r>
        <w:t>,</w:t>
      </w:r>
      <w:r w:rsidRPr="00C61B53">
        <w:t xml:space="preserve"> asserting (1) violations of the federal and state antitrust laws (15 U.S.C. § 1; Bus. &amp; Prof. Code, § 16700 et seq.)</w:t>
      </w:r>
      <w:r w:rsidR="002811F3">
        <w:t>,</w:t>
      </w:r>
      <w:r w:rsidRPr="00C61B53">
        <w:t xml:space="preserve"> (2) tortious interference with contractual relations</w:t>
      </w:r>
      <w:r w:rsidR="002811F3">
        <w:t>,</w:t>
      </w:r>
      <w:r w:rsidRPr="00C61B53">
        <w:t xml:space="preserve"> (3) intentional and negligent interference with prospective economic advantage</w:t>
      </w:r>
      <w:r w:rsidR="002811F3">
        <w:t>,</w:t>
      </w:r>
      <w:r w:rsidRPr="00C61B53">
        <w:t xml:space="preserve"> and (4) violations of the unfair competition law (UCL) (Bus. &amp; Prof. Code, § 17200 et seq.). </w:t>
      </w:r>
      <w:r>
        <w:t xml:space="preserve"> </w:t>
      </w:r>
      <w:r w:rsidRPr="00C61B53">
        <w:t xml:space="preserve">(All undesignated references are to the Business and Professions Code.)  </w:t>
      </w:r>
    </w:p>
    <w:p w14:paraId="443695E4" w14:textId="60782C64" w:rsidR="00E02CF1" w:rsidRPr="00C61B53" w:rsidRDefault="00E02CF1" w:rsidP="00EF4492">
      <w:pPr>
        <w:tabs>
          <w:tab w:val="left" w:pos="720"/>
        </w:tabs>
      </w:pPr>
      <w:r w:rsidRPr="00C61B53">
        <w:tab/>
        <w:t xml:space="preserve">The district court granted Biogen’s motion to dismiss with respect to each of </w:t>
      </w:r>
      <w:proofErr w:type="spellStart"/>
      <w:r w:rsidRPr="00C61B53">
        <w:t>Ixchel’s</w:t>
      </w:r>
      <w:proofErr w:type="spellEnd"/>
      <w:r w:rsidRPr="00C61B53">
        <w:t xml:space="preserve"> claims.  (</w:t>
      </w:r>
      <w:proofErr w:type="spellStart"/>
      <w:r w:rsidRPr="00C61B53">
        <w:rPr>
          <w:i/>
        </w:rPr>
        <w:t>Ixchel</w:t>
      </w:r>
      <w:proofErr w:type="spellEnd"/>
      <w:r w:rsidRPr="00C61B53">
        <w:rPr>
          <w:i/>
        </w:rPr>
        <w:t xml:space="preserve"> Pharma, LLC v. Biogen Inc</w:t>
      </w:r>
      <w:r w:rsidRPr="00C61B53">
        <w:t>. (</w:t>
      </w:r>
      <w:proofErr w:type="spellStart"/>
      <w:r w:rsidRPr="00C61B53">
        <w:t>E.D.Cal</w:t>
      </w:r>
      <w:proofErr w:type="spellEnd"/>
      <w:r w:rsidRPr="00C61B53">
        <w:t>., Sept. 12, 2017, No. 2</w:t>
      </w:r>
      <w:r w:rsidR="00AE3230">
        <w:t>:</w:t>
      </w:r>
      <w:r w:rsidRPr="00C61B53">
        <w:t>17</w:t>
      </w:r>
      <w:r w:rsidR="00AE3230">
        <w:t>-cv</w:t>
      </w:r>
      <w:r w:rsidRPr="00C61B53">
        <w:t>-00715</w:t>
      </w:r>
      <w:r w:rsidR="00AE3230">
        <w:t>-</w:t>
      </w:r>
      <w:r w:rsidRPr="00C61B53">
        <w:t>WBS</w:t>
      </w:r>
      <w:r w:rsidR="00AE3230">
        <w:t>-</w:t>
      </w:r>
      <w:r w:rsidRPr="00C61B53">
        <w:t xml:space="preserve">EFB) 2017 WL 4012337.)  It determined that </w:t>
      </w:r>
      <w:proofErr w:type="spellStart"/>
      <w:r w:rsidRPr="00C61B53">
        <w:t>Ixchel</w:t>
      </w:r>
      <w:proofErr w:type="spellEnd"/>
      <w:r w:rsidRPr="00C61B53">
        <w:t xml:space="preserve"> had failed to state a claim for interference with prospective economic advantage or interference with contractual relations because </w:t>
      </w:r>
      <w:proofErr w:type="spellStart"/>
      <w:r w:rsidRPr="00C61B53">
        <w:t>Ixchel</w:t>
      </w:r>
      <w:proofErr w:type="spellEnd"/>
      <w:r w:rsidRPr="00C61B53">
        <w:t xml:space="preserve"> did not plead that Biogen engaged in an independently wrongful act.  (</w:t>
      </w:r>
      <w:r w:rsidRPr="00C61B53">
        <w:rPr>
          <w:i/>
        </w:rPr>
        <w:t>Id</w:t>
      </w:r>
      <w:r w:rsidRPr="00C61B53">
        <w:t xml:space="preserve">. at </w:t>
      </w:r>
      <w:r w:rsidR="00AE3230">
        <w:t>p. </w:t>
      </w:r>
      <w:r w:rsidRPr="00C61B53">
        <w:t xml:space="preserve">*5.)  The district court acknowledged that tortious interference with contract claims do not generally require independent wrongfulness, but it held that because the contract </w:t>
      </w:r>
      <w:r w:rsidRPr="00C61B53">
        <w:lastRenderedPageBreak/>
        <w:t>at issue was one terminable at will, independent wrongfulness was required.  (</w:t>
      </w:r>
      <w:r w:rsidRPr="00C61B53">
        <w:rPr>
          <w:i/>
        </w:rPr>
        <w:t>Id.</w:t>
      </w:r>
      <w:r w:rsidR="00B14150">
        <w:rPr>
          <w:i/>
        </w:rPr>
        <w:t xml:space="preserve"> </w:t>
      </w:r>
      <w:r w:rsidR="00B14150">
        <w:t xml:space="preserve">at </w:t>
      </w:r>
      <w:r w:rsidR="00AE3230">
        <w:t>p. </w:t>
      </w:r>
      <w:r w:rsidR="00B14150">
        <w:t>*4.</w:t>
      </w:r>
      <w:r w:rsidRPr="00C61B53">
        <w:t xml:space="preserve">)  The district court also dismissed </w:t>
      </w:r>
      <w:proofErr w:type="spellStart"/>
      <w:r w:rsidRPr="00C61B53">
        <w:t>Ixchel’s</w:t>
      </w:r>
      <w:proofErr w:type="spellEnd"/>
      <w:r w:rsidRPr="00C61B53">
        <w:t xml:space="preserve"> federal and state antitrust claims for lack of antitrust standing.  (</w:t>
      </w:r>
      <w:r w:rsidRPr="00C61B53">
        <w:rPr>
          <w:i/>
        </w:rPr>
        <w:t>Id</w:t>
      </w:r>
      <w:r w:rsidRPr="00C61B53">
        <w:t xml:space="preserve">. at </w:t>
      </w:r>
      <w:r w:rsidR="00AE3230">
        <w:t>p. </w:t>
      </w:r>
      <w:r w:rsidRPr="00C61B53">
        <w:t xml:space="preserve">*3.)  Finally, because </w:t>
      </w:r>
      <w:proofErr w:type="spellStart"/>
      <w:r w:rsidRPr="00C61B53">
        <w:t>Ixchel’s</w:t>
      </w:r>
      <w:proofErr w:type="spellEnd"/>
      <w:r w:rsidRPr="00C61B53">
        <w:t xml:space="preserve"> other claims had been dismissed, the district court dismissed </w:t>
      </w:r>
      <w:proofErr w:type="spellStart"/>
      <w:r w:rsidRPr="00C61B53">
        <w:t>Ixchel’s</w:t>
      </w:r>
      <w:proofErr w:type="spellEnd"/>
      <w:r w:rsidRPr="00C61B53">
        <w:t xml:space="preserve"> UCL claim for failing to allege an actionable unlawful practice.  (</w:t>
      </w:r>
      <w:r w:rsidRPr="00C61B53">
        <w:rPr>
          <w:i/>
        </w:rPr>
        <w:t>Id</w:t>
      </w:r>
      <w:r w:rsidRPr="00C61B53">
        <w:t xml:space="preserve">. at </w:t>
      </w:r>
      <w:r w:rsidR="00AE3230">
        <w:t>pp. </w:t>
      </w:r>
      <w:r w:rsidRPr="00C61B53">
        <w:t>*5–*6.)</w:t>
      </w:r>
    </w:p>
    <w:p w14:paraId="7D213566" w14:textId="7D4BE1AD" w:rsidR="00E02CF1" w:rsidRPr="00C61B53" w:rsidRDefault="00E02CF1" w:rsidP="00EF4492">
      <w:pPr>
        <w:tabs>
          <w:tab w:val="left" w:pos="720"/>
        </w:tabs>
      </w:pPr>
      <w:r w:rsidRPr="00C61B53">
        <w:tab/>
      </w:r>
      <w:proofErr w:type="spellStart"/>
      <w:r w:rsidRPr="00C61B53">
        <w:t>Ixchel</w:t>
      </w:r>
      <w:proofErr w:type="spellEnd"/>
      <w:r w:rsidRPr="00C61B53">
        <w:t xml:space="preserve"> then filed a </w:t>
      </w:r>
      <w:r w:rsidR="006F2A9D">
        <w:t>s</w:t>
      </w:r>
      <w:r w:rsidRPr="00C61B53">
        <w:t xml:space="preserve">econd </w:t>
      </w:r>
      <w:r w:rsidR="006F2A9D">
        <w:t>a</w:t>
      </w:r>
      <w:r w:rsidRPr="00C61B53">
        <w:t xml:space="preserve">mended </w:t>
      </w:r>
      <w:r w:rsidR="006F2A9D">
        <w:t>c</w:t>
      </w:r>
      <w:r w:rsidRPr="00C61B53">
        <w:t xml:space="preserve">omplaint, the operative complaint in this case, </w:t>
      </w:r>
      <w:r>
        <w:t xml:space="preserve">to </w:t>
      </w:r>
      <w:r w:rsidRPr="00C61B53">
        <w:t>alleg</w:t>
      </w:r>
      <w:r>
        <w:t>e</w:t>
      </w:r>
      <w:r w:rsidRPr="00C61B53">
        <w:t xml:space="preserve"> that Biogen had </w:t>
      </w:r>
      <w:r>
        <w:t>committed the wrongful act of violating section 16600’s prohibition against restraint</w:t>
      </w:r>
      <w:r w:rsidR="00372BD7">
        <w:t>s</w:t>
      </w:r>
      <w:r>
        <w:t xml:space="preserve"> of trade.  </w:t>
      </w:r>
      <w:proofErr w:type="spellStart"/>
      <w:r>
        <w:t>Ixchel</w:t>
      </w:r>
      <w:proofErr w:type="spellEnd"/>
      <w:r>
        <w:t xml:space="preserve"> claimed that by </w:t>
      </w:r>
      <w:r w:rsidRPr="00C61B53">
        <w:t>agreeing to section 2.13 of the Forward-Biogen Agreement</w:t>
      </w:r>
      <w:r>
        <w:t xml:space="preserve">, Biogen </w:t>
      </w:r>
      <w:r w:rsidRPr="00C61B53">
        <w:t xml:space="preserve">restrained Forward from engaging in lawful business with </w:t>
      </w:r>
      <w:proofErr w:type="spellStart"/>
      <w:r w:rsidRPr="00C61B53">
        <w:t>Ixchel</w:t>
      </w:r>
      <w:proofErr w:type="spellEnd"/>
      <w:r w:rsidRPr="00C61B53">
        <w:t xml:space="preserve"> and any other entity to develop neurological treatments containing DMF</w:t>
      </w:r>
      <w:r>
        <w:t>.</w:t>
      </w:r>
    </w:p>
    <w:p w14:paraId="7E0A87A2" w14:textId="6D02A848" w:rsidR="00E02CF1" w:rsidRPr="00C61B53" w:rsidRDefault="00E02CF1" w:rsidP="00EF4492">
      <w:pPr>
        <w:tabs>
          <w:tab w:val="left" w:pos="720"/>
        </w:tabs>
      </w:pPr>
      <w:r w:rsidRPr="00C61B53">
        <w:tab/>
        <w:t>The district court disagreed and again dismissed the complaint, this time on the grounds that the Forward-Biogen Agreement must be analyzed under the antitrust rule of reason and that section 16600 does not apply outside the employment context.  (</w:t>
      </w:r>
      <w:proofErr w:type="spellStart"/>
      <w:r w:rsidRPr="00C61B53">
        <w:rPr>
          <w:i/>
        </w:rPr>
        <w:t>Ixchel</w:t>
      </w:r>
      <w:proofErr w:type="spellEnd"/>
      <w:r w:rsidRPr="00C61B53">
        <w:rPr>
          <w:i/>
        </w:rPr>
        <w:t xml:space="preserve"> Pharma, LLC v. Biogen Inc</w:t>
      </w:r>
      <w:r w:rsidRPr="00C61B53">
        <w:t>. (</w:t>
      </w:r>
      <w:proofErr w:type="spellStart"/>
      <w:r w:rsidRPr="00C61B53">
        <w:t>E.D.Cal</w:t>
      </w:r>
      <w:proofErr w:type="spellEnd"/>
      <w:r w:rsidRPr="00C61B53">
        <w:t>., Jan. 25, 2018, No. 2</w:t>
      </w:r>
      <w:r w:rsidR="006F2A9D">
        <w:t>:</w:t>
      </w:r>
      <w:r w:rsidRPr="00C61B53">
        <w:t>17-</w:t>
      </w:r>
      <w:r w:rsidR="006F2A9D">
        <w:t>cv-</w:t>
      </w:r>
      <w:r w:rsidRPr="00C61B53">
        <w:t>00715</w:t>
      </w:r>
      <w:r w:rsidR="006F2A9D">
        <w:t>-</w:t>
      </w:r>
      <w:r w:rsidRPr="00C61B53">
        <w:t>WBS</w:t>
      </w:r>
      <w:r w:rsidR="006F2A9D">
        <w:t>-</w:t>
      </w:r>
      <w:r w:rsidRPr="00C61B53">
        <w:t xml:space="preserve">EFB) 2018 WL 558781, </w:t>
      </w:r>
      <w:r w:rsidR="006F2A9D">
        <w:t>p. </w:t>
      </w:r>
      <w:r w:rsidRPr="00C61B53">
        <w:t xml:space="preserve">*4.)  </w:t>
      </w:r>
    </w:p>
    <w:p w14:paraId="75023C2C" w14:textId="52DBDCE1" w:rsidR="00E02CF1" w:rsidRPr="00C61B53" w:rsidRDefault="00E02CF1" w:rsidP="00EF4492">
      <w:pPr>
        <w:tabs>
          <w:tab w:val="left" w:pos="720"/>
        </w:tabs>
      </w:pPr>
      <w:r w:rsidRPr="00C61B53">
        <w:tab/>
      </w:r>
      <w:proofErr w:type="spellStart"/>
      <w:r w:rsidRPr="00C61B53">
        <w:t>Ixchel</w:t>
      </w:r>
      <w:proofErr w:type="spellEnd"/>
      <w:r w:rsidRPr="00C61B53">
        <w:t xml:space="preserve"> sought review of its tort and UCL claims.  After oral argument, the Ninth Circuit certified two questions to this court:  (1) “Does section 16600 of the California Business and Professions Code void a contract by which a business is restrained from engaging in a lawful trade or business with another business?”  (2) “Is a plaintiff required to plead an independently wrongful act in order to state a claim for intentional interference with a contract that can be terminated by a party at any time, or does that requirement apply only to </w:t>
      </w:r>
      <w:r w:rsidRPr="00C61B53">
        <w:lastRenderedPageBreak/>
        <w:t>at-will employment contracts?”  (</w:t>
      </w:r>
      <w:proofErr w:type="spellStart"/>
      <w:r w:rsidRPr="00C61B53">
        <w:rPr>
          <w:i/>
        </w:rPr>
        <w:t>Ixchel</w:t>
      </w:r>
      <w:proofErr w:type="spellEnd"/>
      <w:r w:rsidRPr="00C61B53">
        <w:rPr>
          <w:i/>
        </w:rPr>
        <w:t xml:space="preserve"> Pharma, LLC v. Biogen, Inc</w:t>
      </w:r>
      <w:r w:rsidRPr="00C61B53">
        <w:t>. (9th Cir. 2019) 930 F.3d 1031, 1033 (</w:t>
      </w:r>
      <w:proofErr w:type="spellStart"/>
      <w:r w:rsidRPr="00C61B53">
        <w:rPr>
          <w:i/>
        </w:rPr>
        <w:t>Ixchel</w:t>
      </w:r>
      <w:proofErr w:type="spellEnd"/>
      <w:r w:rsidRPr="00C61B53">
        <w:t>).</w:t>
      </w:r>
      <w:r>
        <w:t>)</w:t>
      </w:r>
    </w:p>
    <w:p w14:paraId="71CB5A98" w14:textId="57B57855" w:rsidR="00E02CF1" w:rsidRPr="00C61B53" w:rsidRDefault="00E02CF1" w:rsidP="00EF4492">
      <w:pPr>
        <w:tabs>
          <w:tab w:val="left" w:pos="720"/>
        </w:tabs>
      </w:pPr>
      <w:r w:rsidRPr="00C61B53">
        <w:tab/>
      </w:r>
      <w:r w:rsidR="002811F3">
        <w:t>W</w:t>
      </w:r>
      <w:r w:rsidRPr="00C61B53">
        <w:t xml:space="preserve">e rephrase and reorder the questions as follows </w:t>
      </w:r>
      <w:r>
        <w:t>(</w:t>
      </w:r>
      <w:r w:rsidRPr="00C61B53">
        <w:t xml:space="preserve">see Cal. Rules of Court, rule 8.548(f)(5)):  (1) Is a plaintiff required to plead an independently wrongful act in order to state a claim for tortious interference with a contract that is terminable at will?  (2) </w:t>
      </w:r>
      <w:r w:rsidRPr="00B9683E">
        <w:rPr>
          <w:szCs w:val="26"/>
        </w:rPr>
        <w:t>What is the proper standard to determine whether section 16600 voids a contract by which a business is restrained from engaging in a lawful trade or business with another business</w:t>
      </w:r>
      <w:r w:rsidRPr="00C61B53">
        <w:t>?</w:t>
      </w:r>
      <w:r w:rsidR="00575587">
        <w:t xml:space="preserve">  The questions are related; </w:t>
      </w:r>
      <w:r w:rsidR="00575587" w:rsidRPr="0013056A">
        <w:t xml:space="preserve">the alleged violation of section 16600 is the independently wrongful act in </w:t>
      </w:r>
      <w:proofErr w:type="spellStart"/>
      <w:r w:rsidR="00575587" w:rsidRPr="0013056A">
        <w:t>Ixchel’s</w:t>
      </w:r>
      <w:proofErr w:type="spellEnd"/>
      <w:r w:rsidR="00575587" w:rsidRPr="0013056A">
        <w:t xml:space="preserve"> </w:t>
      </w:r>
      <w:r w:rsidR="00ED0415">
        <w:t xml:space="preserve">contractual </w:t>
      </w:r>
      <w:r w:rsidR="00575587" w:rsidRPr="0013056A">
        <w:t>interference claim.</w:t>
      </w:r>
    </w:p>
    <w:p w14:paraId="73C28753" w14:textId="2DD93AB3" w:rsidR="00DF207B" w:rsidRPr="00C61B53" w:rsidRDefault="00DF207B" w:rsidP="00C61B53">
      <w:pPr>
        <w:pStyle w:val="Heading1"/>
      </w:pPr>
      <w:r w:rsidRPr="00C61B53">
        <w:t>I</w:t>
      </w:r>
      <w:r w:rsidR="00C9185F" w:rsidRPr="00C61B53">
        <w:t>I.</w:t>
      </w:r>
    </w:p>
    <w:p w14:paraId="22A1378D" w14:textId="1BECE750" w:rsidR="00C9185F" w:rsidRPr="00E63E66" w:rsidRDefault="00CC1B6A" w:rsidP="00051CD7">
      <w:pPr>
        <w:tabs>
          <w:tab w:val="left" w:pos="720"/>
        </w:tabs>
        <w:rPr>
          <w:highlight w:val="yellow"/>
        </w:rPr>
      </w:pPr>
      <w:r w:rsidRPr="00C61B53">
        <w:tab/>
      </w:r>
      <w:r w:rsidR="003B69DC" w:rsidRPr="00C61B53">
        <w:t xml:space="preserve">We </w:t>
      </w:r>
      <w:r w:rsidR="00CB53BA" w:rsidRPr="00C61B53">
        <w:t>first address</w:t>
      </w:r>
      <w:r w:rsidR="003B69DC" w:rsidRPr="00C61B53">
        <w:t xml:space="preserve"> </w:t>
      </w:r>
      <w:proofErr w:type="spellStart"/>
      <w:r w:rsidR="00A458DE" w:rsidRPr="00C61B53">
        <w:t>Ixchel</w:t>
      </w:r>
      <w:r w:rsidR="003B69DC" w:rsidRPr="00C61B53">
        <w:t>’s</w:t>
      </w:r>
      <w:proofErr w:type="spellEnd"/>
      <w:r w:rsidR="00A458DE" w:rsidRPr="00C61B53">
        <w:t xml:space="preserve"> </w:t>
      </w:r>
      <w:r w:rsidR="003B69DC" w:rsidRPr="00C61B53">
        <w:t>claim</w:t>
      </w:r>
      <w:r w:rsidR="00A458DE" w:rsidRPr="00C61B53">
        <w:t xml:space="preserve"> that Biogen </w:t>
      </w:r>
      <w:proofErr w:type="spellStart"/>
      <w:r w:rsidR="00A458DE" w:rsidRPr="00C61B53">
        <w:t>tortiously</w:t>
      </w:r>
      <w:proofErr w:type="spellEnd"/>
      <w:r w:rsidR="00A458DE" w:rsidRPr="00C61B53">
        <w:t xml:space="preserve"> interfered in </w:t>
      </w:r>
      <w:proofErr w:type="spellStart"/>
      <w:r w:rsidR="00A458DE" w:rsidRPr="00C61B53">
        <w:t>Ixchel’s</w:t>
      </w:r>
      <w:proofErr w:type="spellEnd"/>
      <w:r w:rsidR="00A458DE" w:rsidRPr="00C61B53">
        <w:t xml:space="preserve"> </w:t>
      </w:r>
      <w:r w:rsidR="008B6598">
        <w:t>contract</w:t>
      </w:r>
      <w:r w:rsidR="00A458DE" w:rsidRPr="00C61B53">
        <w:t xml:space="preserve"> with Forward.</w:t>
      </w:r>
      <w:r w:rsidR="00C9185F" w:rsidRPr="00C61B53">
        <w:t xml:space="preserve">  </w:t>
      </w:r>
      <w:r w:rsidR="00E60630" w:rsidRPr="00C61B53">
        <w:t xml:space="preserve">Before this court, neither party </w:t>
      </w:r>
      <w:r w:rsidR="003B69DC" w:rsidRPr="00C61B53">
        <w:t>contests</w:t>
      </w:r>
      <w:r w:rsidR="00E60630" w:rsidRPr="00C61B53">
        <w:t xml:space="preserve"> that the Cooperation Agreement is a </w:t>
      </w:r>
      <w:r w:rsidR="00EB6233" w:rsidRPr="00C61B53">
        <w:t>valid contract that Forward was entitled to terminate at</w:t>
      </w:r>
      <w:r w:rsidR="00790CC4" w:rsidRPr="00C61B53">
        <w:t xml:space="preserve"> </w:t>
      </w:r>
      <w:r w:rsidR="00EB6233" w:rsidRPr="00C61B53">
        <w:t>will.</w:t>
      </w:r>
      <w:r w:rsidR="00DC39F8" w:rsidRPr="00C61B53">
        <w:t xml:space="preserve">  </w:t>
      </w:r>
      <w:r w:rsidR="008B0A83">
        <w:t>Nor is</w:t>
      </w:r>
      <w:r w:rsidR="00933887">
        <w:t xml:space="preserve"> it</w:t>
      </w:r>
      <w:r w:rsidR="00536748" w:rsidRPr="00415A36">
        <w:t xml:space="preserve"> at issue</w:t>
      </w:r>
      <w:r w:rsidR="007478F5" w:rsidRPr="00415A36">
        <w:t xml:space="preserve"> </w:t>
      </w:r>
      <w:r w:rsidR="00933887">
        <w:t xml:space="preserve">whether </w:t>
      </w:r>
      <w:r w:rsidR="00DC39F8" w:rsidRPr="00415A36">
        <w:t xml:space="preserve">Forward terminated </w:t>
      </w:r>
      <w:r w:rsidR="00536748" w:rsidRPr="00415A36">
        <w:t>the</w:t>
      </w:r>
      <w:r w:rsidR="003B69DC" w:rsidRPr="00415A36">
        <w:t xml:space="preserve"> agreement </w:t>
      </w:r>
      <w:r w:rsidR="00DC39F8" w:rsidRPr="00415A36">
        <w:t xml:space="preserve">according to its terms by giving </w:t>
      </w:r>
      <w:proofErr w:type="spellStart"/>
      <w:r w:rsidR="00E1076D" w:rsidRPr="00415A36">
        <w:t>Ixchel</w:t>
      </w:r>
      <w:proofErr w:type="spellEnd"/>
      <w:r w:rsidR="00DC39F8" w:rsidRPr="00415A36">
        <w:t xml:space="preserve"> </w:t>
      </w:r>
      <w:r w:rsidR="00E971FD" w:rsidRPr="00415A36">
        <w:t xml:space="preserve">notice </w:t>
      </w:r>
      <w:r w:rsidR="00BD03D4" w:rsidRPr="00415A36">
        <w:t>60 days</w:t>
      </w:r>
      <w:r w:rsidR="00E971FD" w:rsidRPr="00415A36">
        <w:t xml:space="preserve"> prior to termination</w:t>
      </w:r>
      <w:r w:rsidR="00E1076D" w:rsidRPr="00415A36">
        <w:t>.</w:t>
      </w:r>
      <w:r w:rsidR="00C9185F" w:rsidRPr="00C61B53">
        <w:t xml:space="preserve">  </w:t>
      </w:r>
      <w:r w:rsidR="00FB0DAC">
        <w:t xml:space="preserve">The only question before us is </w:t>
      </w:r>
      <w:r w:rsidR="00790CC4" w:rsidRPr="00C61B53">
        <w:t xml:space="preserve">whether </w:t>
      </w:r>
      <w:proofErr w:type="spellStart"/>
      <w:r w:rsidR="00790CC4" w:rsidRPr="00C61B53">
        <w:t>Ixchel</w:t>
      </w:r>
      <w:proofErr w:type="spellEnd"/>
      <w:r w:rsidR="00790CC4" w:rsidRPr="00C61B53">
        <w:t xml:space="preserve"> </w:t>
      </w:r>
      <w:r w:rsidR="003B69DC" w:rsidRPr="00C61B53">
        <w:t>must</w:t>
      </w:r>
      <w:r w:rsidR="00790CC4" w:rsidRPr="00C61B53">
        <w:t xml:space="preserve"> </w:t>
      </w:r>
      <w:r w:rsidR="00334FA4">
        <w:t>allege</w:t>
      </w:r>
      <w:r w:rsidR="00027954" w:rsidRPr="00C61B53">
        <w:t xml:space="preserve"> </w:t>
      </w:r>
      <w:r w:rsidR="00790CC4" w:rsidRPr="00C61B53">
        <w:t>that Biogen committed an independently wrongful act</w:t>
      </w:r>
      <w:r w:rsidR="00E971FD" w:rsidRPr="00C61B53">
        <w:t xml:space="preserve"> </w:t>
      </w:r>
      <w:r w:rsidR="00027954">
        <w:t xml:space="preserve">in order </w:t>
      </w:r>
      <w:r w:rsidR="00E971FD" w:rsidRPr="00C61B53">
        <w:t xml:space="preserve">to </w:t>
      </w:r>
      <w:r w:rsidR="001330F2">
        <w:t>state</w:t>
      </w:r>
      <w:r w:rsidR="00F23C1F">
        <w:t xml:space="preserve"> a claim for</w:t>
      </w:r>
      <w:r w:rsidR="00E971FD" w:rsidRPr="00C61B53">
        <w:t xml:space="preserve"> </w:t>
      </w:r>
      <w:r w:rsidR="00790CC4" w:rsidRPr="00C61B53">
        <w:t xml:space="preserve">tortious interference </w:t>
      </w:r>
      <w:r w:rsidR="001E48F5" w:rsidRPr="00C61B53">
        <w:t xml:space="preserve">with </w:t>
      </w:r>
      <w:r w:rsidR="00790CC4" w:rsidRPr="00C61B53">
        <w:t>contract</w:t>
      </w:r>
      <w:r w:rsidR="00027954">
        <w:t xml:space="preserve"> in light of the fact that</w:t>
      </w:r>
      <w:r w:rsidR="00790CC4" w:rsidRPr="00C61B53">
        <w:t xml:space="preserve"> </w:t>
      </w:r>
      <w:r w:rsidR="001E48F5" w:rsidRPr="00C61B53">
        <w:t>the</w:t>
      </w:r>
      <w:r w:rsidR="003B69DC" w:rsidRPr="00C61B53">
        <w:t xml:space="preserve"> Cooperation Agreement is an </w:t>
      </w:r>
      <w:r w:rsidR="00BC7B78" w:rsidRPr="00C61B53">
        <w:t>at-will</w:t>
      </w:r>
      <w:r w:rsidR="001E48F5" w:rsidRPr="00C61B53">
        <w:t xml:space="preserve"> contract.</w:t>
      </w:r>
    </w:p>
    <w:p w14:paraId="641C3AC1" w14:textId="77777777" w:rsidR="00CB53BA" w:rsidRPr="00C61B53" w:rsidRDefault="00CB53BA" w:rsidP="00E63E66">
      <w:pPr>
        <w:pStyle w:val="Heading2"/>
        <w:ind w:left="0" w:firstLine="0"/>
        <w:jc w:val="center"/>
      </w:pPr>
      <w:r w:rsidRPr="00C61B53">
        <w:t>A.</w:t>
      </w:r>
    </w:p>
    <w:p w14:paraId="50BB1E96" w14:textId="389C7A5D" w:rsidR="00D2085A" w:rsidRPr="00C61B53" w:rsidRDefault="00D00728" w:rsidP="00E63E66">
      <w:pPr>
        <w:tabs>
          <w:tab w:val="left" w:pos="720"/>
        </w:tabs>
      </w:pPr>
      <w:r>
        <w:tab/>
      </w:r>
      <w:r w:rsidR="00DE3EB2" w:rsidRPr="00C61B53">
        <w:t xml:space="preserve">California has traditionally recognized </w:t>
      </w:r>
      <w:r w:rsidR="002769C2">
        <w:t xml:space="preserve">two economic relations torts:  </w:t>
      </w:r>
      <w:r w:rsidR="005A3B96" w:rsidRPr="00C61B53">
        <w:t>interfere</w:t>
      </w:r>
      <w:r w:rsidR="002769C2">
        <w:t>nce</w:t>
      </w:r>
      <w:r w:rsidR="005A3B96" w:rsidRPr="00C61B53">
        <w:t xml:space="preserve"> with </w:t>
      </w:r>
      <w:r w:rsidR="00765773" w:rsidRPr="00C61B53">
        <w:t>the performance of a contract</w:t>
      </w:r>
      <w:r w:rsidR="00904DA1" w:rsidRPr="00C61B53">
        <w:t xml:space="preserve"> (</w:t>
      </w:r>
      <w:r w:rsidR="00904DA1" w:rsidRPr="00C61B53">
        <w:rPr>
          <w:i/>
        </w:rPr>
        <w:t xml:space="preserve">Imperial Ice </w:t>
      </w:r>
      <w:r w:rsidR="00B14150" w:rsidRPr="00C36A99">
        <w:rPr>
          <w:i/>
        </w:rPr>
        <w:t>Co.</w:t>
      </w:r>
      <w:r w:rsidR="00B14150">
        <w:t xml:space="preserve"> </w:t>
      </w:r>
      <w:r w:rsidR="00904DA1" w:rsidRPr="00C61B53">
        <w:rPr>
          <w:i/>
        </w:rPr>
        <w:t xml:space="preserve">v. </w:t>
      </w:r>
      <w:proofErr w:type="spellStart"/>
      <w:r w:rsidR="00904DA1" w:rsidRPr="00C61B53">
        <w:rPr>
          <w:i/>
        </w:rPr>
        <w:t>Rossier</w:t>
      </w:r>
      <w:proofErr w:type="spellEnd"/>
      <w:r w:rsidR="00904DA1" w:rsidRPr="00C61B53">
        <w:t xml:space="preserve"> (1941) 18 Cal.2d 33</w:t>
      </w:r>
      <w:r w:rsidR="00E7193D" w:rsidRPr="00C61B53">
        <w:t>, 35</w:t>
      </w:r>
      <w:r w:rsidR="00BD03D4" w:rsidRPr="00C61B53">
        <w:t xml:space="preserve"> (</w:t>
      </w:r>
      <w:r w:rsidR="00BD03D4" w:rsidRPr="00C61B53">
        <w:rPr>
          <w:i/>
        </w:rPr>
        <w:t>Imperial Ice</w:t>
      </w:r>
      <w:r w:rsidR="00BD03D4" w:rsidRPr="00C61B53">
        <w:t>)</w:t>
      </w:r>
      <w:r w:rsidR="00904DA1" w:rsidRPr="00C61B53">
        <w:t>)</w:t>
      </w:r>
      <w:r w:rsidR="00765773" w:rsidRPr="00C61B53">
        <w:t xml:space="preserve"> </w:t>
      </w:r>
      <w:r w:rsidR="002769C2">
        <w:t>and interference</w:t>
      </w:r>
      <w:r w:rsidR="00696870" w:rsidRPr="00C61B53">
        <w:t xml:space="preserve"> </w:t>
      </w:r>
      <w:r w:rsidR="004C403B" w:rsidRPr="00C61B53">
        <w:t xml:space="preserve">with </w:t>
      </w:r>
      <w:r w:rsidR="00BD3B9B">
        <w:t xml:space="preserve">a </w:t>
      </w:r>
      <w:r w:rsidR="00AC739E" w:rsidRPr="00C61B53">
        <w:t xml:space="preserve">prospective </w:t>
      </w:r>
      <w:r w:rsidR="004C403B" w:rsidRPr="00C61B53">
        <w:t>economic relationship</w:t>
      </w:r>
      <w:r w:rsidR="008A6620" w:rsidRPr="00C61B53">
        <w:t xml:space="preserve"> </w:t>
      </w:r>
      <w:r w:rsidR="00C91A2A" w:rsidRPr="00C61B53">
        <w:t>(</w:t>
      </w:r>
      <w:proofErr w:type="spellStart"/>
      <w:r w:rsidR="008A6620" w:rsidRPr="00C61B53">
        <w:rPr>
          <w:i/>
        </w:rPr>
        <w:t>Buckaloo</w:t>
      </w:r>
      <w:proofErr w:type="spellEnd"/>
      <w:r w:rsidR="008A6620" w:rsidRPr="00C61B53">
        <w:rPr>
          <w:i/>
        </w:rPr>
        <w:t xml:space="preserve"> v. Johnson</w:t>
      </w:r>
      <w:r w:rsidR="008A6620" w:rsidRPr="00C61B53">
        <w:t xml:space="preserve"> (1975) 14 Cal.3d 815</w:t>
      </w:r>
      <w:r w:rsidR="00D25334" w:rsidRPr="00C61B53">
        <w:t>, 822</w:t>
      </w:r>
      <w:r w:rsidR="00BD03D4" w:rsidRPr="00C61B53">
        <w:t xml:space="preserve"> (</w:t>
      </w:r>
      <w:proofErr w:type="spellStart"/>
      <w:r w:rsidR="00BD03D4" w:rsidRPr="00C61B53">
        <w:rPr>
          <w:i/>
        </w:rPr>
        <w:t>Buckaloo</w:t>
      </w:r>
      <w:proofErr w:type="spellEnd"/>
      <w:r w:rsidR="00C91A2A" w:rsidRPr="00C61B53">
        <w:t>)</w:t>
      </w:r>
      <w:r w:rsidR="00A408F6">
        <w:t>)</w:t>
      </w:r>
      <w:r w:rsidR="00C47A8D" w:rsidRPr="00C61B53">
        <w:t>.</w:t>
      </w:r>
      <w:r w:rsidR="00D2085A" w:rsidRPr="00C61B53">
        <w:t xml:space="preserve">  </w:t>
      </w:r>
      <w:r w:rsidR="000712A8" w:rsidRPr="00C61B53">
        <w:lastRenderedPageBreak/>
        <w:t>“</w:t>
      </w:r>
      <w:r w:rsidR="00515F4B" w:rsidRPr="00C61B53">
        <w:t>[B]</w:t>
      </w:r>
      <w:proofErr w:type="spellStart"/>
      <w:r w:rsidR="000712A8" w:rsidRPr="00C61B53">
        <w:t>oth</w:t>
      </w:r>
      <w:proofErr w:type="spellEnd"/>
      <w:r w:rsidR="000712A8" w:rsidRPr="00C61B53">
        <w:t xml:space="preserve"> of these torts protect the public interest in stable economic relationships</w:t>
      </w:r>
      <w:r w:rsidR="00B9328C" w:rsidRPr="00C61B53">
        <w:t xml:space="preserve"> . . .</w:t>
      </w:r>
      <w:r w:rsidR="00A408F6">
        <w:t> </w:t>
      </w:r>
      <w:r w:rsidR="00B9328C" w:rsidRPr="00C61B53">
        <w:t>.</w:t>
      </w:r>
      <w:r w:rsidR="000712A8" w:rsidRPr="00C61B53">
        <w:t xml:space="preserve">” </w:t>
      </w:r>
      <w:r w:rsidR="00515F4B" w:rsidRPr="00C61B53">
        <w:t xml:space="preserve"> (</w:t>
      </w:r>
      <w:r w:rsidR="000712A8" w:rsidRPr="00C61B53">
        <w:rPr>
          <w:i/>
        </w:rPr>
        <w:t>Reeves v. Hanlon</w:t>
      </w:r>
      <w:r w:rsidR="000712A8" w:rsidRPr="00C61B53">
        <w:t xml:space="preserve"> (2004) 33 Cal.4th 1140, 1152</w:t>
      </w:r>
      <w:r w:rsidR="00BD03D4" w:rsidRPr="00C61B53">
        <w:t xml:space="preserve"> (</w:t>
      </w:r>
      <w:r w:rsidR="00BD03D4" w:rsidRPr="00C61B53">
        <w:rPr>
          <w:i/>
        </w:rPr>
        <w:t>Reeves</w:t>
      </w:r>
      <w:r w:rsidR="00BD03D4" w:rsidRPr="00C61B53">
        <w:t>)</w:t>
      </w:r>
      <w:r w:rsidR="00515F4B" w:rsidRPr="00C61B53">
        <w:t>.)</w:t>
      </w:r>
    </w:p>
    <w:p w14:paraId="5D3186D0" w14:textId="30F752B9" w:rsidR="00D2085A" w:rsidRPr="00C61B53" w:rsidRDefault="00D2085A" w:rsidP="00E63E66">
      <w:pPr>
        <w:tabs>
          <w:tab w:val="left" w:pos="720"/>
        </w:tabs>
      </w:pPr>
      <w:r w:rsidRPr="00C61B53">
        <w:tab/>
      </w:r>
      <w:r w:rsidR="00B529FB" w:rsidRPr="00C61B53">
        <w:t>T</w:t>
      </w:r>
      <w:r w:rsidR="00074B06" w:rsidRPr="00C61B53">
        <w:t>he two</w:t>
      </w:r>
      <w:r w:rsidR="003D4822" w:rsidRPr="00C61B53">
        <w:t xml:space="preserve"> </w:t>
      </w:r>
      <w:r w:rsidR="00074B06" w:rsidRPr="00C61B53">
        <w:t>torts are related</w:t>
      </w:r>
      <w:r w:rsidR="00515F4B" w:rsidRPr="00C61B53">
        <w:t xml:space="preserve"> </w:t>
      </w:r>
      <w:r w:rsidR="00B529FB" w:rsidRPr="00C61B53">
        <w:t xml:space="preserve">but </w:t>
      </w:r>
      <w:r w:rsidR="00074B06" w:rsidRPr="00C61B53">
        <w:t>distinct.</w:t>
      </w:r>
      <w:r w:rsidRPr="00C61B53">
        <w:t xml:space="preserve">  </w:t>
      </w:r>
      <w:r w:rsidR="00A976C2" w:rsidRPr="00C61B53">
        <w:t>T</w:t>
      </w:r>
      <w:r w:rsidR="00A01FAB" w:rsidRPr="00C61B53">
        <w:t xml:space="preserve">ortious interference with </w:t>
      </w:r>
      <w:r w:rsidR="00980C7E" w:rsidRPr="00C61B53">
        <w:t>contractual relations</w:t>
      </w:r>
      <w:r w:rsidR="00A01FAB" w:rsidRPr="00C61B53">
        <w:t xml:space="preserve"> requires </w:t>
      </w:r>
      <w:r w:rsidR="000B7BD0" w:rsidRPr="00C61B53">
        <w:t>“</w:t>
      </w:r>
      <w:r w:rsidR="005C7399" w:rsidRPr="00C61B53">
        <w:t>(1) the existence of a valid contract between the plaintiff and a</w:t>
      </w:r>
      <w:r w:rsidR="00B529FB" w:rsidRPr="00C61B53">
        <w:t xml:space="preserve"> third party; (2) the defendant’</w:t>
      </w:r>
      <w:r w:rsidR="005C7399" w:rsidRPr="00C61B53">
        <w:t>s knowledge of t</w:t>
      </w:r>
      <w:r w:rsidR="00B529FB" w:rsidRPr="00C61B53">
        <w:t>hat contract; (3) the defendant’</w:t>
      </w:r>
      <w:r w:rsidR="005C7399" w:rsidRPr="00C61B53">
        <w:t>s intentional acts designed to induce a breach or disruption of the contractual relationship; (4) actual breach or disruption of the contractual relationship; and (5) resulting damage.</w:t>
      </w:r>
      <w:r w:rsidR="000B7BD0" w:rsidRPr="00C61B53">
        <w:t xml:space="preserve">”  </w:t>
      </w:r>
      <w:r w:rsidR="00E96A6A" w:rsidRPr="00C61B53">
        <w:t>(</w:t>
      </w:r>
      <w:r w:rsidR="00961E2C" w:rsidRPr="00C61B53">
        <w:rPr>
          <w:i/>
        </w:rPr>
        <w:t>Reeves</w:t>
      </w:r>
      <w:r w:rsidR="00B529FB" w:rsidRPr="00C61B53">
        <w:t xml:space="preserve">, </w:t>
      </w:r>
      <w:r w:rsidR="00B529FB" w:rsidRPr="00C61B53">
        <w:rPr>
          <w:i/>
        </w:rPr>
        <w:t>supra</w:t>
      </w:r>
      <w:r w:rsidR="00B529FB" w:rsidRPr="00C61B53">
        <w:t>,</w:t>
      </w:r>
      <w:r w:rsidR="00961E2C" w:rsidRPr="00C61B53">
        <w:rPr>
          <w:i/>
        </w:rPr>
        <w:t xml:space="preserve"> </w:t>
      </w:r>
      <w:r w:rsidR="00B529FB" w:rsidRPr="00C61B53">
        <w:t>33 Cal.4th at p. </w:t>
      </w:r>
      <w:r w:rsidR="00961E2C" w:rsidRPr="00C61B53">
        <w:t>1148</w:t>
      </w:r>
      <w:r w:rsidR="005C7399" w:rsidRPr="00C61B53">
        <w:t xml:space="preserve">; </w:t>
      </w:r>
      <w:r w:rsidR="00CB53BA" w:rsidRPr="00C61B53">
        <w:t xml:space="preserve">see </w:t>
      </w:r>
      <w:r w:rsidR="005C7399" w:rsidRPr="00C61B53">
        <w:rPr>
          <w:i/>
        </w:rPr>
        <w:t>Pacific Gas &amp; Electric Co. v. Bear Stearns &amp; Co</w:t>
      </w:r>
      <w:r w:rsidR="005C7399" w:rsidRPr="00C61B53">
        <w:t>. (1990) 50 Cal.3d 1118, 1126</w:t>
      </w:r>
      <w:r w:rsidR="00BD03D4" w:rsidRPr="00C61B53">
        <w:t xml:space="preserve"> (</w:t>
      </w:r>
      <w:r w:rsidR="00BD03D4" w:rsidRPr="00C61B53">
        <w:rPr>
          <w:i/>
        </w:rPr>
        <w:t>Pacific Gas</w:t>
      </w:r>
      <w:r w:rsidR="00BD03D4" w:rsidRPr="00C61B53">
        <w:t>)</w:t>
      </w:r>
      <w:r w:rsidR="00E96A6A" w:rsidRPr="00C61B53">
        <w:t>.)</w:t>
      </w:r>
      <w:r w:rsidRPr="00C61B53">
        <w:t xml:space="preserve">  </w:t>
      </w:r>
      <w:r w:rsidR="00CB53BA" w:rsidRPr="00C61B53">
        <w:t>I</w:t>
      </w:r>
      <w:r w:rsidR="00634E49" w:rsidRPr="00C61B53">
        <w:t xml:space="preserve">t is </w:t>
      </w:r>
      <w:r w:rsidR="00CB53BA" w:rsidRPr="00C61B53">
        <w:t xml:space="preserve">generally </w:t>
      </w:r>
      <w:r w:rsidR="00634E49" w:rsidRPr="00C61B53">
        <w:t>not necessary that the defendant’s conduct be wrongful apart from the interference with the contract itself.</w:t>
      </w:r>
      <w:r w:rsidR="00FB0072" w:rsidRPr="00C61B53">
        <w:t xml:space="preserve">  </w:t>
      </w:r>
      <w:r w:rsidR="00260677" w:rsidRPr="00C61B53">
        <w:t>(</w:t>
      </w:r>
      <w:proofErr w:type="spellStart"/>
      <w:r w:rsidR="00260677" w:rsidRPr="00C61B53">
        <w:rPr>
          <w:i/>
        </w:rPr>
        <w:t>Quelimane</w:t>
      </w:r>
      <w:proofErr w:type="spellEnd"/>
      <w:r w:rsidR="00260677" w:rsidRPr="00C61B53">
        <w:rPr>
          <w:i/>
        </w:rPr>
        <w:t xml:space="preserve"> Co. v. Stewart Title Guaranty Co</w:t>
      </w:r>
      <w:r w:rsidR="00260677" w:rsidRPr="00C61B53">
        <w:t>. (1998) 19 Cal.4th 26, 55</w:t>
      </w:r>
      <w:r w:rsidR="00704D47" w:rsidRPr="00C61B53">
        <w:t xml:space="preserve"> (</w:t>
      </w:r>
      <w:proofErr w:type="spellStart"/>
      <w:r w:rsidR="00704D47" w:rsidRPr="00C61B53">
        <w:rPr>
          <w:i/>
        </w:rPr>
        <w:t>Quelimane</w:t>
      </w:r>
      <w:proofErr w:type="spellEnd"/>
      <w:r w:rsidR="00704D47" w:rsidRPr="00C61B53">
        <w:t>)</w:t>
      </w:r>
      <w:r w:rsidR="0092079F" w:rsidRPr="00C61B53">
        <w:t>.</w:t>
      </w:r>
      <w:r w:rsidR="00DF680A" w:rsidRPr="00C61B53">
        <w:t>)</w:t>
      </w:r>
      <w:r w:rsidRPr="00C61B53">
        <w:t xml:space="preserve">  </w:t>
      </w:r>
      <w:r w:rsidR="00CB53BA" w:rsidRPr="00C61B53">
        <w:t>This</w:t>
      </w:r>
      <w:r w:rsidR="00256058" w:rsidRPr="00C61B53">
        <w:t xml:space="preserve"> general rule </w:t>
      </w:r>
      <w:r w:rsidR="0092079F" w:rsidRPr="00C61B53">
        <w:t xml:space="preserve">is subject to certain </w:t>
      </w:r>
      <w:r w:rsidR="00D7727A" w:rsidRPr="00C61B53">
        <w:t>exceptions discuss</w:t>
      </w:r>
      <w:r w:rsidR="00CB53BA" w:rsidRPr="00C61B53">
        <w:t>ed below</w:t>
      </w:r>
      <w:r w:rsidR="00D7727A" w:rsidRPr="00C61B53">
        <w:t>.</w:t>
      </w:r>
    </w:p>
    <w:p w14:paraId="4CFD850C" w14:textId="00C02137" w:rsidR="00D2085A" w:rsidRPr="00C61B53" w:rsidRDefault="00D2085A" w:rsidP="00E63E66">
      <w:pPr>
        <w:tabs>
          <w:tab w:val="left" w:pos="720"/>
        </w:tabs>
      </w:pPr>
      <w:r w:rsidRPr="00C61B53">
        <w:tab/>
      </w:r>
      <w:r w:rsidR="00CB53BA" w:rsidRPr="00C61B53">
        <w:t>Tortious i</w:t>
      </w:r>
      <w:r w:rsidR="001A5228" w:rsidRPr="00C61B53">
        <w:t>nterference with prospective economic advantage</w:t>
      </w:r>
      <w:r w:rsidR="006D5C72" w:rsidRPr="00C61B53">
        <w:t>, on the other hand,</w:t>
      </w:r>
      <w:r w:rsidR="00AD1F2A" w:rsidRPr="00C61B53">
        <w:t xml:space="preserve"> </w:t>
      </w:r>
      <w:r w:rsidR="00D30AB3" w:rsidRPr="00C61B53">
        <w:t>does not depend on the existence of a legally binding contract</w:t>
      </w:r>
      <w:r w:rsidR="00AD1F2A" w:rsidRPr="00C61B53">
        <w:t xml:space="preserve">.  </w:t>
      </w:r>
      <w:r w:rsidR="00CB53BA" w:rsidRPr="00C61B53">
        <w:t>A</w:t>
      </w:r>
      <w:r w:rsidR="00103FBD" w:rsidRPr="00C61B53">
        <w:t xml:space="preserve"> plaintiff </w:t>
      </w:r>
      <w:r w:rsidR="00CB53BA" w:rsidRPr="00C61B53">
        <w:t xml:space="preserve">asserting this tort </w:t>
      </w:r>
      <w:r w:rsidR="00103FBD" w:rsidRPr="00C61B53">
        <w:t xml:space="preserve">must </w:t>
      </w:r>
      <w:r w:rsidR="00CB53BA" w:rsidRPr="00C61B53">
        <w:t xml:space="preserve">show </w:t>
      </w:r>
      <w:r w:rsidR="00A348A4" w:rsidRPr="00C61B53">
        <w:t xml:space="preserve">that the </w:t>
      </w:r>
      <w:r w:rsidR="00F92AF4" w:rsidRPr="00C61B53">
        <w:t>defendant k</w:t>
      </w:r>
      <w:r w:rsidR="002F06CB" w:rsidRPr="00C61B53">
        <w:t>nowingly interfere</w:t>
      </w:r>
      <w:r w:rsidR="0031355F" w:rsidRPr="00C61B53">
        <w:t>d</w:t>
      </w:r>
      <w:r w:rsidR="002F06CB" w:rsidRPr="00C61B53">
        <w:t xml:space="preserve"> with an</w:t>
      </w:r>
      <w:r w:rsidR="00F92AF4" w:rsidRPr="00C61B53">
        <w:t xml:space="preserve"> </w:t>
      </w:r>
      <w:r w:rsidR="002F06CB" w:rsidRPr="00C61B53">
        <w:t>“</w:t>
      </w:r>
      <w:r w:rsidR="00E93B55" w:rsidRPr="00C61B53">
        <w:t> ‘ “</w:t>
      </w:r>
      <w:r w:rsidR="002F06CB" w:rsidRPr="00C61B53">
        <w:t xml:space="preserve">economic relationship between the plaintiff and some third party, </w:t>
      </w:r>
      <w:r w:rsidR="00F92AF4" w:rsidRPr="00C61B53">
        <w:t>[which carries]</w:t>
      </w:r>
      <w:r w:rsidR="002F06CB" w:rsidRPr="00C61B53">
        <w:t xml:space="preserve"> the probability of future economic benefit to the plaintiff</w:t>
      </w:r>
      <w:r w:rsidR="007628C7" w:rsidRPr="00C61B53">
        <w:t>.</w:t>
      </w:r>
      <w:r w:rsidR="00E93B55" w:rsidRPr="00C61B53">
        <w:t>” ’ </w:t>
      </w:r>
      <w:r w:rsidR="002F06CB" w:rsidRPr="00C61B53">
        <w:t>”</w:t>
      </w:r>
      <w:r w:rsidR="007F2E13" w:rsidRPr="00C61B53">
        <w:t xml:space="preserve">  (</w:t>
      </w:r>
      <w:r w:rsidR="007F2E13" w:rsidRPr="00C61B53">
        <w:rPr>
          <w:i/>
        </w:rPr>
        <w:t>Korea Supply Co. v. Lockheed Martin Corp</w:t>
      </w:r>
      <w:r w:rsidR="007F2E13" w:rsidRPr="00C61B53">
        <w:t>. (2003) 29 Cal.4th 1134, 1153</w:t>
      </w:r>
      <w:r w:rsidR="00704D47" w:rsidRPr="00C61B53">
        <w:t xml:space="preserve"> (</w:t>
      </w:r>
      <w:r w:rsidR="00704D47" w:rsidRPr="00C61B53">
        <w:rPr>
          <w:i/>
        </w:rPr>
        <w:t>Korea Supply</w:t>
      </w:r>
      <w:r w:rsidR="00704D47" w:rsidRPr="00C61B53">
        <w:t>)</w:t>
      </w:r>
      <w:r w:rsidR="007C1F49" w:rsidRPr="00C61B53">
        <w:t>.</w:t>
      </w:r>
      <w:r w:rsidR="007F2E13" w:rsidRPr="00C61B53">
        <w:t>)</w:t>
      </w:r>
    </w:p>
    <w:p w14:paraId="763B712D" w14:textId="11B12803" w:rsidR="00D2085A" w:rsidRPr="00C61B53" w:rsidRDefault="00D2085A" w:rsidP="00E63E66">
      <w:pPr>
        <w:tabs>
          <w:tab w:val="left" w:pos="720"/>
        </w:tabs>
      </w:pPr>
      <w:r w:rsidRPr="00C61B53">
        <w:tab/>
      </w:r>
      <w:r w:rsidR="00CB53BA" w:rsidRPr="00C61B53">
        <w:t>Before</w:t>
      </w:r>
      <w:r w:rsidR="00C60083" w:rsidRPr="00C61B53">
        <w:t xml:space="preserve"> our decision in </w:t>
      </w:r>
      <w:r w:rsidR="000A7F8D" w:rsidRPr="00C61B53">
        <w:rPr>
          <w:i/>
        </w:rPr>
        <w:t>Della Penna</w:t>
      </w:r>
      <w:r w:rsidR="00A408F6">
        <w:rPr>
          <w:i/>
        </w:rPr>
        <w:t xml:space="preserve"> v. Toyota Motor Sales, U.S.A.</w:t>
      </w:r>
      <w:r w:rsidR="00A408F6" w:rsidRPr="000A2B15">
        <w:t xml:space="preserve">, </w:t>
      </w:r>
      <w:r w:rsidR="00A408F6" w:rsidRPr="00194768">
        <w:rPr>
          <w:i/>
        </w:rPr>
        <w:t>Inc</w:t>
      </w:r>
      <w:r w:rsidR="00A408F6">
        <w:t>. (1995)</w:t>
      </w:r>
      <w:r w:rsidR="000A7F8D" w:rsidRPr="00C61B53">
        <w:t xml:space="preserve"> 11 Cal.4th 376</w:t>
      </w:r>
      <w:r w:rsidR="00A408F6">
        <w:t xml:space="preserve"> (</w:t>
      </w:r>
      <w:r w:rsidR="00A408F6">
        <w:rPr>
          <w:i/>
        </w:rPr>
        <w:t>Della Penna</w:t>
      </w:r>
      <w:r w:rsidR="00A408F6">
        <w:t>)</w:t>
      </w:r>
      <w:r w:rsidR="000A7F8D" w:rsidRPr="00C61B53">
        <w:t xml:space="preserve">, </w:t>
      </w:r>
      <w:r w:rsidR="004B7DD5" w:rsidRPr="00C61B53">
        <w:t xml:space="preserve">we treated interference with contractual relations and interference with prospective economic advantage as two </w:t>
      </w:r>
      <w:r w:rsidR="00581068" w:rsidRPr="00C61B53">
        <w:t>species of the same tort.</w:t>
      </w:r>
      <w:r w:rsidR="00E26094" w:rsidRPr="00C61B53">
        <w:t xml:space="preserve">  (</w:t>
      </w:r>
      <w:r w:rsidR="005C048C" w:rsidRPr="00C61B53">
        <w:t>S</w:t>
      </w:r>
      <w:r w:rsidR="00E26094" w:rsidRPr="00C61B53">
        <w:t xml:space="preserve">ee </w:t>
      </w:r>
      <w:proofErr w:type="spellStart"/>
      <w:r w:rsidR="00E26094" w:rsidRPr="00C61B53">
        <w:rPr>
          <w:i/>
        </w:rPr>
        <w:t>Buckaloo</w:t>
      </w:r>
      <w:proofErr w:type="spellEnd"/>
      <w:r w:rsidR="00E26094" w:rsidRPr="00C61B53">
        <w:t xml:space="preserve">, </w:t>
      </w:r>
      <w:r w:rsidR="00E26094" w:rsidRPr="00C61B53">
        <w:rPr>
          <w:i/>
        </w:rPr>
        <w:t>supra</w:t>
      </w:r>
      <w:r w:rsidR="00E26094" w:rsidRPr="00C61B53">
        <w:t>, 14 Cal.3d at p. 823.)</w:t>
      </w:r>
      <w:r w:rsidRPr="00C61B53">
        <w:t xml:space="preserve">  </w:t>
      </w:r>
      <w:r w:rsidR="005D3D24" w:rsidRPr="00C61B53">
        <w:t xml:space="preserve">Each </w:t>
      </w:r>
      <w:r w:rsidR="005C048C" w:rsidRPr="00C61B53">
        <w:t xml:space="preserve">tort </w:t>
      </w:r>
      <w:r w:rsidR="005D3D24" w:rsidRPr="00C61B53">
        <w:t>contained</w:t>
      </w:r>
      <w:r w:rsidR="001956B3" w:rsidRPr="00C61B53">
        <w:t xml:space="preserve"> </w:t>
      </w:r>
      <w:r w:rsidR="001956B3" w:rsidRPr="00C61B53">
        <w:lastRenderedPageBreak/>
        <w:t xml:space="preserve">the same </w:t>
      </w:r>
      <w:r w:rsidR="005D3D24" w:rsidRPr="00C61B53">
        <w:t xml:space="preserve">elements </w:t>
      </w:r>
      <w:r w:rsidR="001956B3" w:rsidRPr="00C61B53">
        <w:t xml:space="preserve">with the </w:t>
      </w:r>
      <w:r w:rsidR="005C048C" w:rsidRPr="00C61B53">
        <w:t>exception</w:t>
      </w:r>
      <w:r w:rsidR="001956B3" w:rsidRPr="00C61B53">
        <w:t xml:space="preserve"> that </w:t>
      </w:r>
      <w:r w:rsidR="00B842EA" w:rsidRPr="00C61B53">
        <w:t xml:space="preserve">interference with contractual relations required the existence of a binding contract.  </w:t>
      </w:r>
      <w:r w:rsidR="00384440" w:rsidRPr="00C61B53">
        <w:t xml:space="preserve">(Compare </w:t>
      </w:r>
      <w:r w:rsidR="00CB53BA" w:rsidRPr="00C61B53">
        <w:rPr>
          <w:i/>
        </w:rPr>
        <w:t>id.</w:t>
      </w:r>
      <w:r w:rsidR="004248AB" w:rsidRPr="00C61B53">
        <w:t xml:space="preserve"> at p. 827 [</w:t>
      </w:r>
      <w:r w:rsidR="00766625" w:rsidRPr="00C61B53">
        <w:t xml:space="preserve">elements of </w:t>
      </w:r>
      <w:r w:rsidR="004248AB" w:rsidRPr="00C61B53">
        <w:t xml:space="preserve">interference with prospective economic advantage] with </w:t>
      </w:r>
      <w:r w:rsidR="004248AB" w:rsidRPr="00C61B53">
        <w:rPr>
          <w:i/>
        </w:rPr>
        <w:t>Pacific Gas</w:t>
      </w:r>
      <w:r w:rsidR="00CB1804" w:rsidRPr="00C61B53">
        <w:rPr>
          <w:i/>
        </w:rPr>
        <w:t>, supra</w:t>
      </w:r>
      <w:r w:rsidR="00CB1804" w:rsidRPr="00C61B53">
        <w:t>, 50 Cal.3d at p. </w:t>
      </w:r>
      <w:r w:rsidR="00C3639C" w:rsidRPr="00C61B53">
        <w:t>1126 [</w:t>
      </w:r>
      <w:r w:rsidR="00766625" w:rsidRPr="00C61B53">
        <w:t xml:space="preserve">elements of </w:t>
      </w:r>
      <w:r w:rsidR="00C3639C" w:rsidRPr="00C61B53">
        <w:t>interference with contractual relations].)</w:t>
      </w:r>
      <w:r w:rsidR="004248AB" w:rsidRPr="00C61B53">
        <w:t xml:space="preserve"> </w:t>
      </w:r>
      <w:r w:rsidRPr="00C61B53">
        <w:t xml:space="preserve"> </w:t>
      </w:r>
      <w:r w:rsidR="00B842EA" w:rsidRPr="00C61B53">
        <w:t>The primary difference</w:t>
      </w:r>
      <w:r w:rsidR="007F6C98" w:rsidRPr="00C61B53">
        <w:t xml:space="preserve"> between the two torts</w:t>
      </w:r>
      <w:r w:rsidR="00B842EA" w:rsidRPr="00C61B53">
        <w:t xml:space="preserve"> </w:t>
      </w:r>
      <w:r w:rsidR="005D1D77" w:rsidRPr="00C61B53">
        <w:t xml:space="preserve">was </w:t>
      </w:r>
      <w:r w:rsidR="007F6C98" w:rsidRPr="00C61B53">
        <w:t xml:space="preserve">that </w:t>
      </w:r>
      <w:r w:rsidR="00C32B5E" w:rsidRPr="00C61B53">
        <w:t>the range of acceptable justifications</w:t>
      </w:r>
      <w:r w:rsidR="006A321F" w:rsidRPr="00C61B53">
        <w:t xml:space="preserve"> — that is, affirmative defenses —</w:t>
      </w:r>
      <w:r w:rsidR="00C32B5E" w:rsidRPr="00C61B53">
        <w:t xml:space="preserve"> </w:t>
      </w:r>
      <w:r w:rsidR="00896F31" w:rsidRPr="00C61B53">
        <w:t>was broader</w:t>
      </w:r>
      <w:r w:rsidR="006A321F" w:rsidRPr="00C61B53">
        <w:t xml:space="preserve"> when a defendant interfered with an </w:t>
      </w:r>
      <w:r w:rsidR="00BE425C" w:rsidRPr="00C61B53">
        <w:t>unconsummated</w:t>
      </w:r>
      <w:r w:rsidR="0052432B" w:rsidRPr="00C61B53">
        <w:t xml:space="preserve"> prospective</w:t>
      </w:r>
      <w:r w:rsidR="006A321F" w:rsidRPr="00C61B53">
        <w:t xml:space="preserve"> </w:t>
      </w:r>
      <w:r w:rsidR="00BE425C" w:rsidRPr="00C61B53">
        <w:t xml:space="preserve">economic </w:t>
      </w:r>
      <w:r w:rsidR="006A321F" w:rsidRPr="00C61B53">
        <w:t>relationship</w:t>
      </w:r>
      <w:r w:rsidR="005D1D77" w:rsidRPr="00C61B53">
        <w:t xml:space="preserve">. </w:t>
      </w:r>
      <w:r w:rsidR="00127907" w:rsidRPr="00C61B53">
        <w:t xml:space="preserve"> </w:t>
      </w:r>
      <w:r w:rsidR="003E04EA" w:rsidRPr="00C61B53">
        <w:t>(</w:t>
      </w:r>
      <w:r w:rsidR="003E04EA" w:rsidRPr="00C61B53">
        <w:rPr>
          <w:i/>
        </w:rPr>
        <w:t>Pacific Gas</w:t>
      </w:r>
      <w:r w:rsidR="003E04EA" w:rsidRPr="00C61B53">
        <w:t>, at p. 1126</w:t>
      </w:r>
      <w:r w:rsidR="00786393" w:rsidRPr="00C61B53">
        <w:t xml:space="preserve">; </w:t>
      </w:r>
      <w:r w:rsidR="007F04D8" w:rsidRPr="00C61B53">
        <w:rPr>
          <w:i/>
        </w:rPr>
        <w:t>Environmental Planning &amp; Information Council v. Superior Court</w:t>
      </w:r>
      <w:r w:rsidR="007F04D8" w:rsidRPr="00C61B53">
        <w:t xml:space="preserve"> (1984) 36 Cal.3d 188, 194</w:t>
      </w:r>
      <w:r w:rsidR="007F6C98" w:rsidRPr="00C61B53">
        <w:t xml:space="preserve"> (</w:t>
      </w:r>
      <w:r w:rsidR="007F6C98" w:rsidRPr="00C61B53">
        <w:rPr>
          <w:i/>
        </w:rPr>
        <w:t>EPIC</w:t>
      </w:r>
      <w:r w:rsidR="007F6C98" w:rsidRPr="00C61B53">
        <w:t>)</w:t>
      </w:r>
      <w:r w:rsidR="00D8673B" w:rsidRPr="00C61B53">
        <w:t xml:space="preserve">; </w:t>
      </w:r>
      <w:proofErr w:type="spellStart"/>
      <w:r w:rsidR="00D8673B" w:rsidRPr="00C61B53">
        <w:rPr>
          <w:i/>
        </w:rPr>
        <w:t>Buckaloo</w:t>
      </w:r>
      <w:proofErr w:type="spellEnd"/>
      <w:r w:rsidR="00D8673B" w:rsidRPr="00C61B53">
        <w:t>, at p. 828</w:t>
      </w:r>
      <w:r w:rsidR="005D1D77" w:rsidRPr="00C61B53">
        <w:t>.</w:t>
      </w:r>
      <w:r w:rsidR="00786393" w:rsidRPr="00C61B53">
        <w:t>)</w:t>
      </w:r>
      <w:r w:rsidRPr="00C61B53">
        <w:t xml:space="preserve">  </w:t>
      </w:r>
      <w:r w:rsidR="00354DDB" w:rsidRPr="00C61B53">
        <w:t>“[</w:t>
      </w:r>
      <w:r w:rsidR="007760EE" w:rsidRPr="00C61B53">
        <w:t>A]</w:t>
      </w:r>
      <w:r w:rsidR="00354DDB" w:rsidRPr="00C61B53">
        <w:t xml:space="preserve"> competitor’s stake in advancing his own economic interest will not justify the intentional inducement of a contract breach </w:t>
      </w:r>
      <w:r w:rsidR="00181005" w:rsidRPr="00C61B53">
        <w:t>[citation]</w:t>
      </w:r>
      <w:r w:rsidR="00354DDB" w:rsidRPr="00C61B53">
        <w:t>, whereas such interests will suffice where contractual relations are merely contemplated or potential.</w:t>
      </w:r>
      <w:r w:rsidR="00181005" w:rsidRPr="00C61B53">
        <w:t>”  (</w:t>
      </w:r>
      <w:r w:rsidR="007F6C98" w:rsidRPr="00C61B53">
        <w:rPr>
          <w:i/>
        </w:rPr>
        <w:t>EPIC</w:t>
      </w:r>
      <w:r w:rsidR="00181005" w:rsidRPr="00C61B53">
        <w:t>, at p. 194.)</w:t>
      </w:r>
    </w:p>
    <w:p w14:paraId="1674F677" w14:textId="1B2D540F" w:rsidR="00D2085A" w:rsidRPr="00C61B53" w:rsidRDefault="00D2085A" w:rsidP="00E63E66">
      <w:pPr>
        <w:tabs>
          <w:tab w:val="left" w:pos="720"/>
        </w:tabs>
      </w:pPr>
      <w:r w:rsidRPr="00C61B53">
        <w:tab/>
      </w:r>
      <w:r w:rsidR="005D1D77" w:rsidRPr="00C61B53">
        <w:t>That changed i</w:t>
      </w:r>
      <w:r w:rsidR="00D12EB9" w:rsidRPr="00C61B53">
        <w:t xml:space="preserve">n </w:t>
      </w:r>
      <w:r w:rsidR="00B13A92" w:rsidRPr="00C61B53">
        <w:rPr>
          <w:i/>
        </w:rPr>
        <w:t>Della Penna</w:t>
      </w:r>
      <w:r w:rsidR="00D12EB9" w:rsidRPr="00C61B53">
        <w:t xml:space="preserve">, </w:t>
      </w:r>
      <w:r w:rsidR="00181005" w:rsidRPr="00C61B53">
        <w:t>when</w:t>
      </w:r>
      <w:r w:rsidR="005D1D77" w:rsidRPr="00C61B53">
        <w:t xml:space="preserve"> </w:t>
      </w:r>
      <w:r w:rsidR="00D12EB9" w:rsidRPr="00C61B53">
        <w:t xml:space="preserve">we </w:t>
      </w:r>
      <w:r w:rsidR="00487206" w:rsidRPr="00C61B53">
        <w:t>“</w:t>
      </w:r>
      <w:proofErr w:type="spellStart"/>
      <w:r w:rsidR="00487206" w:rsidRPr="00C61B53">
        <w:t>dr</w:t>
      </w:r>
      <w:proofErr w:type="spellEnd"/>
      <w:r w:rsidR="00487206" w:rsidRPr="00C61B53">
        <w:t xml:space="preserve">[e]w and enforce[d] a sharpened distinction between claims for the tortious disruption of an </w:t>
      </w:r>
      <w:r w:rsidR="00487206" w:rsidRPr="00C61B53">
        <w:rPr>
          <w:i/>
        </w:rPr>
        <w:t>existing</w:t>
      </w:r>
      <w:r w:rsidR="00487206" w:rsidRPr="00C61B53">
        <w:t xml:space="preserve"> contract and claims that a </w:t>
      </w:r>
      <w:r w:rsidR="00487206" w:rsidRPr="00C61B53">
        <w:rPr>
          <w:i/>
        </w:rPr>
        <w:t>prospective</w:t>
      </w:r>
      <w:r w:rsidR="00487206" w:rsidRPr="00C61B53">
        <w:t xml:space="preserve"> contractual or economic relationship has been interfered with.”  (</w:t>
      </w:r>
      <w:r w:rsidR="00487206" w:rsidRPr="00C61B53">
        <w:rPr>
          <w:i/>
        </w:rPr>
        <w:t>Della Penna</w:t>
      </w:r>
      <w:r w:rsidR="00487206" w:rsidRPr="00C61B53">
        <w:t xml:space="preserve">, </w:t>
      </w:r>
      <w:r w:rsidR="00487206" w:rsidRPr="00C61B53">
        <w:rPr>
          <w:i/>
        </w:rPr>
        <w:t>supra</w:t>
      </w:r>
      <w:r w:rsidR="00487206" w:rsidRPr="00C61B53">
        <w:t>, 11 Cal.4th at p. 392.)</w:t>
      </w:r>
      <w:r w:rsidR="000A4615" w:rsidRPr="00C61B53">
        <w:t xml:space="preserve">  W</w:t>
      </w:r>
      <w:r w:rsidR="00DD1900" w:rsidRPr="00C61B53">
        <w:t xml:space="preserve">e </w:t>
      </w:r>
      <w:r w:rsidR="002C03B5" w:rsidRPr="00C61B53">
        <w:t xml:space="preserve">held that a plaintiff seeking to recover damages for interference with prospective economic advantage must plead </w:t>
      </w:r>
      <w:r w:rsidR="00181005" w:rsidRPr="00C61B53">
        <w:t xml:space="preserve">as an element of the claim </w:t>
      </w:r>
      <w:r w:rsidR="002C03B5" w:rsidRPr="00C61B53">
        <w:t>that the defendant</w:t>
      </w:r>
      <w:r w:rsidR="00181005" w:rsidRPr="00C61B53">
        <w:t>’</w:t>
      </w:r>
      <w:r w:rsidR="002C03B5" w:rsidRPr="00C61B53">
        <w:t>s conduct was “wrongful by some legal measure other than the fact of interference itself.”</w:t>
      </w:r>
      <w:r w:rsidR="00DD1900" w:rsidRPr="00C61B53">
        <w:t xml:space="preserve">  (</w:t>
      </w:r>
      <w:r w:rsidR="00DD1900" w:rsidRPr="00C61B53">
        <w:rPr>
          <w:i/>
        </w:rPr>
        <w:t>Id</w:t>
      </w:r>
      <w:r w:rsidR="00DD1900" w:rsidRPr="00C61B53">
        <w:t xml:space="preserve">. </w:t>
      </w:r>
      <w:r w:rsidR="00FE3BCA" w:rsidRPr="00C61B53">
        <w:t xml:space="preserve">at </w:t>
      </w:r>
      <w:r w:rsidR="00DD1900" w:rsidRPr="00C61B53">
        <w:t>p. 393.)</w:t>
      </w:r>
      <w:r w:rsidRPr="00C61B53">
        <w:t xml:space="preserve">  </w:t>
      </w:r>
      <w:r w:rsidR="008C14D4" w:rsidRPr="00C61B53">
        <w:t xml:space="preserve">We reasoned that </w:t>
      </w:r>
      <w:r w:rsidR="00AF2A60" w:rsidRPr="00C61B53">
        <w:t>“</w:t>
      </w:r>
      <w:r w:rsidR="00DA6BA4" w:rsidRPr="00C61B53">
        <w:t xml:space="preserve">courts provide a damage remedy against third party conduct intended to disrupt an existing contract precisely because the exchange of promises resulting in such a formally cemented economic relationship is deemed worthy of protection from interference by a stranger to the agreement. </w:t>
      </w:r>
      <w:r w:rsidR="00AF2A60" w:rsidRPr="00C61B53">
        <w:t xml:space="preserve"> </w:t>
      </w:r>
      <w:r w:rsidR="00DA6BA4" w:rsidRPr="00C61B53">
        <w:t xml:space="preserve">Economic relationships short of contractual, </w:t>
      </w:r>
      <w:r w:rsidR="00DA6BA4" w:rsidRPr="00C61B53">
        <w:lastRenderedPageBreak/>
        <w:t xml:space="preserve">however, should stand on a different legal footing </w:t>
      </w:r>
      <w:r w:rsidR="003B09FC" w:rsidRPr="00C61B53">
        <w:t xml:space="preserve">as far as the potential for tort liability is reckoned. </w:t>
      </w:r>
      <w:r w:rsidR="00DA6BA4" w:rsidRPr="00C61B53">
        <w:t xml:space="preserve"> </w:t>
      </w:r>
      <w:r w:rsidR="003B09FC" w:rsidRPr="00C61B53">
        <w:t>B</w:t>
      </w:r>
      <w:r w:rsidR="00DA6BA4" w:rsidRPr="00C61B53">
        <w:t>ecause ours is a culture firmly wedded to the social rewards of commercial contests,</w:t>
      </w:r>
      <w:r w:rsidR="00AF2A60" w:rsidRPr="00C61B53">
        <w:t xml:space="preserve"> </w:t>
      </w:r>
      <w:r w:rsidR="00DA6BA4" w:rsidRPr="00C61B53">
        <w:t>the law usually takes care to draw lines of legal liability in a way that maximizes areas of competition free of legal penalties.</w:t>
      </w:r>
      <w:r w:rsidR="00AF2A60" w:rsidRPr="00C61B53">
        <w:t>”  (</w:t>
      </w:r>
      <w:r w:rsidR="00067B20" w:rsidRPr="00C61B53">
        <w:rPr>
          <w:i/>
        </w:rPr>
        <w:t>Id.</w:t>
      </w:r>
      <w:r w:rsidR="00DA6BA4" w:rsidRPr="00C61B53">
        <w:t xml:space="preserve"> </w:t>
      </w:r>
      <w:r w:rsidR="00AF2A60" w:rsidRPr="00C61B53">
        <w:t>at p. </w:t>
      </w:r>
      <w:r w:rsidR="00DA6BA4" w:rsidRPr="00C61B53">
        <w:t>392</w:t>
      </w:r>
      <w:r w:rsidR="00AF2A60" w:rsidRPr="00C61B53">
        <w:t>.)</w:t>
      </w:r>
      <w:r w:rsidRPr="00C61B53">
        <w:t xml:space="preserve">  </w:t>
      </w:r>
      <w:r w:rsidR="009E60F7" w:rsidRPr="00C61B53">
        <w:t>Concerned that</w:t>
      </w:r>
      <w:r w:rsidR="004A5898" w:rsidRPr="00C61B53">
        <w:t xml:space="preserve"> the old rule led</w:t>
      </w:r>
      <w:r w:rsidR="007E55FF" w:rsidRPr="00C61B53">
        <w:t xml:space="preserve"> </w:t>
      </w:r>
      <w:r w:rsidR="009E60F7" w:rsidRPr="00C61B53">
        <w:t>“to time consuming and expensive lawsuits . . . by a rival</w:t>
      </w:r>
      <w:r w:rsidR="008A6601" w:rsidRPr="00C61B53">
        <w:t>, based on conduct that was regarded by the commercial world as both commonplace and appropriate”</w:t>
      </w:r>
      <w:r w:rsidR="001D283E" w:rsidRPr="00C61B53">
        <w:t xml:space="preserve"> (</w:t>
      </w:r>
      <w:r w:rsidR="001D283E" w:rsidRPr="00C61B53">
        <w:rPr>
          <w:i/>
        </w:rPr>
        <w:t>id</w:t>
      </w:r>
      <w:r w:rsidR="001D283E" w:rsidRPr="00C61B53">
        <w:t>. at p. 384),</w:t>
      </w:r>
      <w:r w:rsidR="007E55FF" w:rsidRPr="00C61B53">
        <w:t xml:space="preserve"> </w:t>
      </w:r>
      <w:r w:rsidR="0093496E" w:rsidRPr="00C61B53">
        <w:t xml:space="preserve">we </w:t>
      </w:r>
      <w:r w:rsidR="009D4029" w:rsidRPr="00C61B53">
        <w:t xml:space="preserve">found </w:t>
      </w:r>
      <w:r w:rsidR="0093496E" w:rsidRPr="00C61B53">
        <w:t xml:space="preserve">it important to </w:t>
      </w:r>
      <w:r w:rsidR="00181005" w:rsidRPr="00C61B53">
        <w:t xml:space="preserve">afford </w:t>
      </w:r>
      <w:r w:rsidR="0093496E" w:rsidRPr="00C61B53">
        <w:t>“greater solicitude to those relationships that have ripened into agreements, while recognizing that relationships short of that subsist in a zone where the rewards and risks of competition are dominant” (</w:t>
      </w:r>
      <w:r w:rsidR="001D283E" w:rsidRPr="00C61B53">
        <w:rPr>
          <w:i/>
        </w:rPr>
        <w:t>i</w:t>
      </w:r>
      <w:r w:rsidR="008073A2" w:rsidRPr="00C61B53">
        <w:rPr>
          <w:i/>
        </w:rPr>
        <w:t xml:space="preserve">d. </w:t>
      </w:r>
      <w:r w:rsidR="008073A2" w:rsidRPr="00C61B53">
        <w:t>at p. 392</w:t>
      </w:r>
      <w:r w:rsidR="0093496E" w:rsidRPr="00C61B53">
        <w:t>)</w:t>
      </w:r>
      <w:r w:rsidR="001D283E" w:rsidRPr="00C61B53">
        <w:t>.</w:t>
      </w:r>
      <w:r w:rsidRPr="00C61B53">
        <w:t xml:space="preserve">  </w:t>
      </w:r>
      <w:r w:rsidR="009C1248" w:rsidRPr="00C61B53">
        <w:t xml:space="preserve">Imposing an </w:t>
      </w:r>
      <w:r w:rsidR="00AF2A60" w:rsidRPr="00C61B53">
        <w:t>independent wrongfulness requirement</w:t>
      </w:r>
      <w:r w:rsidR="009C1248" w:rsidRPr="00C61B53">
        <w:t xml:space="preserve"> at the pleading stage</w:t>
      </w:r>
      <w:r w:rsidR="00AF2A60" w:rsidRPr="00C61B53">
        <w:t xml:space="preserve"> thus </w:t>
      </w:r>
      <w:r w:rsidR="0093496E" w:rsidRPr="00C61B53">
        <w:t xml:space="preserve">struck </w:t>
      </w:r>
      <w:r w:rsidR="00AF2A60" w:rsidRPr="00C61B53">
        <w:t>a “balance between providing a remedy for predatory economic behavior and keeping legitimate business competition outside litigative bounds</w:t>
      </w:r>
      <w:r w:rsidR="004A5898" w:rsidRPr="00C61B53">
        <w:t>.</w:t>
      </w:r>
      <w:r w:rsidR="00AF2A60" w:rsidRPr="00C61B53">
        <w:t>”  (</w:t>
      </w:r>
      <w:r w:rsidR="004A5898" w:rsidRPr="00C61B53">
        <w:rPr>
          <w:i/>
        </w:rPr>
        <w:t>Id.</w:t>
      </w:r>
      <w:r w:rsidR="00AF2A60" w:rsidRPr="00C61B53">
        <w:t xml:space="preserve"> at p. 378.)</w:t>
      </w:r>
    </w:p>
    <w:p w14:paraId="29EFBA72" w14:textId="34FE768D" w:rsidR="00094804" w:rsidRPr="00C61B53" w:rsidRDefault="00D2085A" w:rsidP="00E63E66">
      <w:pPr>
        <w:tabs>
          <w:tab w:val="left" w:pos="720"/>
        </w:tabs>
      </w:pPr>
      <w:r w:rsidRPr="00C61B53">
        <w:tab/>
      </w:r>
      <w:r w:rsidR="00F07F6F">
        <w:t>Our</w:t>
      </w:r>
      <w:r w:rsidR="004A5898" w:rsidRPr="00C61B53">
        <w:t xml:space="preserve"> d</w:t>
      </w:r>
      <w:r w:rsidR="00D42291" w:rsidRPr="00C61B53">
        <w:t>ecisions</w:t>
      </w:r>
      <w:r w:rsidR="00B76A99" w:rsidRPr="00C61B53">
        <w:t xml:space="preserve"> since </w:t>
      </w:r>
      <w:r w:rsidR="00B76A99" w:rsidRPr="00C61B53">
        <w:rPr>
          <w:i/>
        </w:rPr>
        <w:t>Della Penna</w:t>
      </w:r>
      <w:r w:rsidR="00B76A99" w:rsidRPr="00C61B53">
        <w:t xml:space="preserve"> have reaffirmed the distinction between the two torts.</w:t>
      </w:r>
      <w:r w:rsidR="008448E6" w:rsidRPr="00C61B53">
        <w:t xml:space="preserve">  (See </w:t>
      </w:r>
      <w:proofErr w:type="spellStart"/>
      <w:r w:rsidR="008448E6" w:rsidRPr="00C61B53">
        <w:rPr>
          <w:i/>
        </w:rPr>
        <w:t>Quelimane</w:t>
      </w:r>
      <w:proofErr w:type="spellEnd"/>
      <w:r w:rsidR="008448E6" w:rsidRPr="00C61B53">
        <w:t xml:space="preserve">, </w:t>
      </w:r>
      <w:r w:rsidR="008448E6" w:rsidRPr="00C61B53">
        <w:rPr>
          <w:i/>
        </w:rPr>
        <w:t>supra</w:t>
      </w:r>
      <w:r w:rsidR="008448E6" w:rsidRPr="00C61B53">
        <w:t xml:space="preserve">, 19 Cal.4th at pp. 55–56; </w:t>
      </w:r>
      <w:r w:rsidR="008448E6" w:rsidRPr="00C61B53">
        <w:rPr>
          <w:i/>
        </w:rPr>
        <w:t>Korea Supply</w:t>
      </w:r>
      <w:r w:rsidR="008448E6" w:rsidRPr="00C61B53">
        <w:t xml:space="preserve">, </w:t>
      </w:r>
      <w:r w:rsidR="003C32CC" w:rsidRPr="00C61B53">
        <w:rPr>
          <w:i/>
        </w:rPr>
        <w:t>supra</w:t>
      </w:r>
      <w:r w:rsidR="003C32CC" w:rsidRPr="00C61B53">
        <w:t>, 29 Cal.4th at p. </w:t>
      </w:r>
      <w:r w:rsidR="00325578" w:rsidRPr="00C61B53">
        <w:t>1158</w:t>
      </w:r>
      <w:r w:rsidR="003C32CC" w:rsidRPr="00C61B53">
        <w:t>.)</w:t>
      </w:r>
      <w:r w:rsidRPr="00C61B53">
        <w:t xml:space="preserve">  </w:t>
      </w:r>
      <w:r w:rsidR="003C6D46" w:rsidRPr="00C61B53">
        <w:t>So</w:t>
      </w:r>
      <w:r w:rsidR="004168E5" w:rsidRPr="00C61B53">
        <w:t xml:space="preserve">, </w:t>
      </w:r>
      <w:r w:rsidR="00AC76CE" w:rsidRPr="00C61B53">
        <w:t>while intentionally interfering with an existing contract is generally “a wrong in and of itself” (</w:t>
      </w:r>
      <w:proofErr w:type="spellStart"/>
      <w:r w:rsidR="00AC76CE" w:rsidRPr="00C61B53">
        <w:rPr>
          <w:i/>
        </w:rPr>
        <w:t>Quelimane</w:t>
      </w:r>
      <w:proofErr w:type="spellEnd"/>
      <w:r w:rsidR="00AC76CE" w:rsidRPr="00C61B53">
        <w:t xml:space="preserve">, </w:t>
      </w:r>
      <w:r w:rsidR="000A4615" w:rsidRPr="00C61B53">
        <w:t>at p. </w:t>
      </w:r>
      <w:r w:rsidR="00AC76CE" w:rsidRPr="00C61B53">
        <w:t>56), intentionally interfering with prospective economic advantage requires</w:t>
      </w:r>
      <w:r w:rsidR="004168E5" w:rsidRPr="00C61B53">
        <w:t xml:space="preserve"> pleading that the defendant committed an independently wrongful act (</w:t>
      </w:r>
      <w:r w:rsidR="004168E5" w:rsidRPr="00C61B53">
        <w:rPr>
          <w:i/>
        </w:rPr>
        <w:t>Korea Supply</w:t>
      </w:r>
      <w:r w:rsidR="004168E5" w:rsidRPr="00C61B53">
        <w:t>, at p. </w:t>
      </w:r>
      <w:r w:rsidR="009B37F0" w:rsidRPr="00C61B53">
        <w:t>1158</w:t>
      </w:r>
      <w:r w:rsidR="004168E5" w:rsidRPr="00C61B53">
        <w:t>)</w:t>
      </w:r>
      <w:r w:rsidR="008414BE" w:rsidRPr="00C61B53">
        <w:t>.</w:t>
      </w:r>
      <w:r w:rsidR="004168E5" w:rsidRPr="00C61B53">
        <w:t xml:space="preserve"> </w:t>
      </w:r>
      <w:r w:rsidR="00B76A99" w:rsidRPr="00C61B53">
        <w:t xml:space="preserve"> </w:t>
      </w:r>
      <w:r w:rsidR="003E04EA" w:rsidRPr="00C61B53">
        <w:t>“[A]n act is independently wrongful if it is unlawful, that is, if it is proscribed by some constitutional, statutory, regulatory, common law, or other determinable legal standard.”  (</w:t>
      </w:r>
      <w:r w:rsidR="007A786B" w:rsidRPr="00C61B53">
        <w:rPr>
          <w:i/>
        </w:rPr>
        <w:t>Id</w:t>
      </w:r>
      <w:r w:rsidR="003E04EA" w:rsidRPr="00C61B53">
        <w:t>.</w:t>
      </w:r>
      <w:r w:rsidR="007A786B" w:rsidRPr="00C61B53">
        <w:t xml:space="preserve"> at p. 1159.</w:t>
      </w:r>
      <w:r w:rsidR="003E04EA" w:rsidRPr="00C61B53">
        <w:t>)</w:t>
      </w:r>
    </w:p>
    <w:p w14:paraId="26311AA0" w14:textId="60985F19" w:rsidR="00CC1B6A" w:rsidRPr="00C61B53" w:rsidRDefault="00CC1B6A" w:rsidP="00E63E66">
      <w:pPr>
        <w:pStyle w:val="Heading2"/>
        <w:ind w:left="0" w:firstLine="0"/>
        <w:jc w:val="center"/>
      </w:pPr>
      <w:r w:rsidRPr="00C61B53">
        <w:lastRenderedPageBreak/>
        <w:t>B.</w:t>
      </w:r>
    </w:p>
    <w:p w14:paraId="254C1FDF" w14:textId="5458B78E" w:rsidR="001A1FB1" w:rsidRPr="00C61B53" w:rsidRDefault="00CC1B6A" w:rsidP="00E63E66">
      <w:pPr>
        <w:tabs>
          <w:tab w:val="left" w:pos="720"/>
        </w:tabs>
      </w:pPr>
      <w:r w:rsidRPr="00C61B53">
        <w:tab/>
      </w:r>
      <w:r w:rsidR="00846971" w:rsidRPr="00C61B53">
        <w:t>With th</w:t>
      </w:r>
      <w:r w:rsidR="00DD23A6" w:rsidRPr="00C61B53">
        <w:t>at</w:t>
      </w:r>
      <w:r w:rsidR="00846971" w:rsidRPr="00C61B53">
        <w:t xml:space="preserve"> framework in mind, we </w:t>
      </w:r>
      <w:r w:rsidR="009D4029" w:rsidRPr="00C61B53">
        <w:t xml:space="preserve">consider </w:t>
      </w:r>
      <w:r w:rsidR="00846971" w:rsidRPr="00C61B53">
        <w:t xml:space="preserve">whether </w:t>
      </w:r>
      <w:r w:rsidR="003F649D" w:rsidRPr="00C61B53">
        <w:t xml:space="preserve">stating a claim for </w:t>
      </w:r>
      <w:r w:rsidR="001E0B32" w:rsidRPr="00C61B53">
        <w:t xml:space="preserve">interference with </w:t>
      </w:r>
      <w:r w:rsidR="003F649D" w:rsidRPr="00C61B53">
        <w:t xml:space="preserve">an </w:t>
      </w:r>
      <w:r w:rsidR="00BC7B78" w:rsidRPr="00C61B53">
        <w:t>at-will</w:t>
      </w:r>
      <w:r w:rsidR="00846971" w:rsidRPr="00C61B53">
        <w:t xml:space="preserve"> contract </w:t>
      </w:r>
      <w:r w:rsidR="001E0B32" w:rsidRPr="00C61B53">
        <w:t>requires pleading an independently wrongful act.</w:t>
      </w:r>
      <w:r w:rsidR="001A1FB1" w:rsidRPr="00C61B53">
        <w:t xml:space="preserve">  </w:t>
      </w:r>
      <w:r w:rsidR="00E31F4E" w:rsidRPr="00C61B53">
        <w:t>W</w:t>
      </w:r>
      <w:r w:rsidR="00043928" w:rsidRPr="00C61B53">
        <w:t xml:space="preserve">e have long recognized </w:t>
      </w:r>
      <w:r w:rsidR="00D70515" w:rsidRPr="00C61B53">
        <w:t xml:space="preserve">that </w:t>
      </w:r>
      <w:r w:rsidR="003F649D" w:rsidRPr="00C61B53">
        <w:t xml:space="preserve">interference with </w:t>
      </w:r>
      <w:r w:rsidR="00BC7B78" w:rsidRPr="00C61B53">
        <w:t>at-will</w:t>
      </w:r>
      <w:r w:rsidR="007D0871" w:rsidRPr="00C61B53">
        <w:t xml:space="preserve"> contracts is actionable</w:t>
      </w:r>
      <w:r w:rsidR="00F86B0C" w:rsidRPr="00C61B53">
        <w:t xml:space="preserve"> </w:t>
      </w:r>
      <w:r w:rsidR="00D348A5" w:rsidRPr="00C61B53">
        <w:t>as an</w:t>
      </w:r>
      <w:r w:rsidR="001D244E" w:rsidRPr="00C61B53">
        <w:t xml:space="preserve"> economic tort</w:t>
      </w:r>
      <w:r w:rsidR="00B215C1" w:rsidRPr="00C61B53">
        <w:t xml:space="preserve">. </w:t>
      </w:r>
      <w:r w:rsidR="00D348A5" w:rsidRPr="00C61B53">
        <w:t xml:space="preserve"> </w:t>
      </w:r>
      <w:r w:rsidR="002F1FD2" w:rsidRPr="00C61B53">
        <w:t>(</w:t>
      </w:r>
      <w:r w:rsidR="00BD234A" w:rsidRPr="00C61B53">
        <w:rPr>
          <w:i/>
        </w:rPr>
        <w:t>Pacific Gas</w:t>
      </w:r>
      <w:r w:rsidR="00F121F7" w:rsidRPr="00C61B53">
        <w:t xml:space="preserve">, </w:t>
      </w:r>
      <w:r w:rsidR="00F121F7" w:rsidRPr="00C61B53">
        <w:rPr>
          <w:i/>
        </w:rPr>
        <w:t>supra</w:t>
      </w:r>
      <w:r w:rsidR="00F121F7" w:rsidRPr="00C61B53">
        <w:t>,</w:t>
      </w:r>
      <w:r w:rsidR="00BD234A" w:rsidRPr="00C61B53">
        <w:t xml:space="preserve"> 50 Cal.3d </w:t>
      </w:r>
      <w:r w:rsidR="00F121F7" w:rsidRPr="00C61B53">
        <w:t>at p. </w:t>
      </w:r>
      <w:r w:rsidR="00BD234A" w:rsidRPr="00C61B53">
        <w:t>1127</w:t>
      </w:r>
      <w:r w:rsidR="00E31F4E" w:rsidRPr="00C61B53">
        <w:t xml:space="preserve"> [citing cases]</w:t>
      </w:r>
      <w:r w:rsidR="00BF7B0C" w:rsidRPr="00C61B53">
        <w:t>; accord</w:t>
      </w:r>
      <w:r w:rsidR="009D4029" w:rsidRPr="00C61B53">
        <w:t>,</w:t>
      </w:r>
      <w:r w:rsidR="00BF7B0C" w:rsidRPr="00C61B53">
        <w:t xml:space="preserve"> </w:t>
      </w:r>
      <w:r w:rsidR="00BF7B0C" w:rsidRPr="00C61B53">
        <w:rPr>
          <w:i/>
        </w:rPr>
        <w:t xml:space="preserve">Truax v. </w:t>
      </w:r>
      <w:proofErr w:type="spellStart"/>
      <w:r w:rsidR="00BF7B0C" w:rsidRPr="00C61B53">
        <w:rPr>
          <w:i/>
        </w:rPr>
        <w:t>Raich</w:t>
      </w:r>
      <w:proofErr w:type="spellEnd"/>
      <w:r w:rsidR="00BF7B0C" w:rsidRPr="00C61B53">
        <w:t xml:space="preserve"> (1915) 239 U.S. 33, 38 </w:t>
      </w:r>
      <w:r w:rsidR="009D4029" w:rsidRPr="00C61B53">
        <w:t>[</w:t>
      </w:r>
      <w:r w:rsidR="00BF7B0C" w:rsidRPr="00C61B53">
        <w:t>recognizing that the weight of au</w:t>
      </w:r>
      <w:r w:rsidR="003F649D" w:rsidRPr="00C61B53">
        <w:t>thority considers a third party’</w:t>
      </w:r>
      <w:r w:rsidR="00BF7B0C" w:rsidRPr="00C61B53">
        <w:t>s unjustified interference with an employment-at-will contract actionable</w:t>
      </w:r>
      <w:r w:rsidR="009D4029" w:rsidRPr="00C61B53">
        <w:t>]</w:t>
      </w:r>
      <w:r w:rsidR="00B215C1" w:rsidRPr="00C61B53">
        <w:t>.</w:t>
      </w:r>
      <w:r w:rsidR="00F121F7" w:rsidRPr="00C61B53">
        <w:t>)</w:t>
      </w:r>
      <w:r w:rsidR="001A1FB1" w:rsidRPr="00C61B53">
        <w:t xml:space="preserve">  </w:t>
      </w:r>
      <w:r w:rsidR="00906507" w:rsidRPr="00C61B53">
        <w:t>“</w:t>
      </w:r>
      <w:r w:rsidR="00A408F6">
        <w:t>[</w:t>
      </w:r>
      <w:r w:rsidR="00906507" w:rsidRPr="00C61B53">
        <w:t>T</w:t>
      </w:r>
      <w:r w:rsidR="00A408F6">
        <w:t>]</w:t>
      </w:r>
      <w:r w:rsidR="00906507" w:rsidRPr="00C61B53">
        <w:t xml:space="preserve">he fact that a contract is </w:t>
      </w:r>
      <w:r w:rsidR="0096304E" w:rsidRPr="00C61B53">
        <w:t>‘at the will of the parties, respectively does not make it one at the will of others</w:t>
      </w:r>
      <w:r w:rsidR="00A408F6">
        <w:t xml:space="preserve"> . . . .</w:t>
      </w:r>
      <w:r w:rsidR="0096304E" w:rsidRPr="00C61B53">
        <w:t>’</w:t>
      </w:r>
      <w:r w:rsidR="00842966" w:rsidRPr="00C61B53">
        <w:t> ”</w:t>
      </w:r>
      <w:r w:rsidR="0096304E" w:rsidRPr="00C61B53">
        <w:t xml:space="preserve">  </w:t>
      </w:r>
      <w:r w:rsidR="00842966" w:rsidRPr="00C61B53">
        <w:t>(</w:t>
      </w:r>
      <w:proofErr w:type="spellStart"/>
      <w:r w:rsidR="00842966" w:rsidRPr="00C61B53">
        <w:rPr>
          <w:i/>
        </w:rPr>
        <w:t>Speegle</w:t>
      </w:r>
      <w:proofErr w:type="spellEnd"/>
      <w:r w:rsidR="00842966" w:rsidRPr="00C61B53">
        <w:rPr>
          <w:i/>
        </w:rPr>
        <w:t xml:space="preserve"> v. Board of Fire Underwriters of the Pacific</w:t>
      </w:r>
      <w:r w:rsidR="00842966" w:rsidRPr="00C61B53">
        <w:t xml:space="preserve"> (1946) 29 Cal.2d 34, 39</w:t>
      </w:r>
      <w:r w:rsidR="00C0199F" w:rsidRPr="00C61B53">
        <w:t xml:space="preserve"> (</w:t>
      </w:r>
      <w:proofErr w:type="spellStart"/>
      <w:r w:rsidR="00C0199F" w:rsidRPr="00C61B53">
        <w:rPr>
          <w:i/>
        </w:rPr>
        <w:t>Speegle</w:t>
      </w:r>
      <w:proofErr w:type="spellEnd"/>
      <w:r w:rsidR="00C0199F" w:rsidRPr="00C61B53">
        <w:t>)</w:t>
      </w:r>
      <w:r w:rsidR="00842966" w:rsidRPr="00C61B53">
        <w:t>.)</w:t>
      </w:r>
    </w:p>
    <w:p w14:paraId="7E74A679" w14:textId="30E88C58" w:rsidR="001A1FB1" w:rsidRPr="00C61B53" w:rsidRDefault="001A1FB1" w:rsidP="00E63E66">
      <w:pPr>
        <w:tabs>
          <w:tab w:val="left" w:pos="720"/>
        </w:tabs>
      </w:pPr>
      <w:r w:rsidRPr="00C61B53">
        <w:tab/>
      </w:r>
      <w:r w:rsidR="00734603" w:rsidRPr="00C61B53">
        <w:t>But</w:t>
      </w:r>
      <w:r w:rsidR="001B4373" w:rsidRPr="00C61B53">
        <w:t xml:space="preserve"> </w:t>
      </w:r>
      <w:r w:rsidR="00D74129" w:rsidRPr="00C61B53">
        <w:t xml:space="preserve">we have </w:t>
      </w:r>
      <w:r w:rsidR="00581096" w:rsidRPr="00C61B53">
        <w:t xml:space="preserve">not </w:t>
      </w:r>
      <w:r w:rsidR="00DF6EFB">
        <w:t>decided</w:t>
      </w:r>
      <w:r w:rsidR="00581096" w:rsidRPr="00C61B53">
        <w:t xml:space="preserve"> whether </w:t>
      </w:r>
      <w:r w:rsidR="00734603" w:rsidRPr="00C61B53">
        <w:t xml:space="preserve">interference with an at-will contract </w:t>
      </w:r>
      <w:r w:rsidR="00372662" w:rsidRPr="00C61B53">
        <w:t>more closely resembles</w:t>
      </w:r>
      <w:r w:rsidR="003B245F" w:rsidRPr="00C61B53">
        <w:t xml:space="preserve"> interference with contractual </w:t>
      </w:r>
      <w:r w:rsidR="000F7BF5" w:rsidRPr="00C61B53">
        <w:t>relations or interference with prospective economic advantage.</w:t>
      </w:r>
      <w:r w:rsidRPr="00C61B53">
        <w:t xml:space="preserve">  </w:t>
      </w:r>
      <w:r w:rsidR="000F7BF5" w:rsidRPr="00C61B53">
        <w:t>That is because</w:t>
      </w:r>
      <w:r w:rsidRPr="00C61B53">
        <w:t xml:space="preserve"> </w:t>
      </w:r>
      <w:r w:rsidR="00FF05B9" w:rsidRPr="00C61B53">
        <w:t xml:space="preserve">the distinction was not </w:t>
      </w:r>
      <w:r w:rsidR="00200AB2" w:rsidRPr="00C61B53">
        <w:t>important</w:t>
      </w:r>
      <w:r w:rsidR="00C0199F" w:rsidRPr="00C61B53">
        <w:t xml:space="preserve"> for </w:t>
      </w:r>
      <w:r w:rsidR="00734603" w:rsidRPr="00C61B53">
        <w:t xml:space="preserve">the </w:t>
      </w:r>
      <w:r w:rsidR="00C0199F" w:rsidRPr="00C61B53">
        <w:t>many decades</w:t>
      </w:r>
      <w:r w:rsidR="00734603" w:rsidRPr="00C61B53">
        <w:t xml:space="preserve"> when the two interference torts contained basically the same elements</w:t>
      </w:r>
      <w:r w:rsidR="00C0199F" w:rsidRPr="00C61B53">
        <w:t xml:space="preserve">.  </w:t>
      </w:r>
      <w:proofErr w:type="spellStart"/>
      <w:r w:rsidR="00B2392B" w:rsidRPr="00C61B53">
        <w:t>Ixchel</w:t>
      </w:r>
      <w:proofErr w:type="spellEnd"/>
      <w:r w:rsidR="00B2392B" w:rsidRPr="00C61B53">
        <w:t xml:space="preserve"> argues that </w:t>
      </w:r>
      <w:r w:rsidR="00734603" w:rsidRPr="00C61B53">
        <w:t xml:space="preserve">we settled the question in </w:t>
      </w:r>
      <w:r w:rsidR="00200AB2" w:rsidRPr="00C61B53">
        <w:rPr>
          <w:i/>
        </w:rPr>
        <w:t>Pacific Gas</w:t>
      </w:r>
      <w:r w:rsidR="00200AB2" w:rsidRPr="00C61B53">
        <w:t>,</w:t>
      </w:r>
      <w:r w:rsidR="004A0D9D" w:rsidRPr="00C61B53">
        <w:t xml:space="preserve"> </w:t>
      </w:r>
      <w:r w:rsidR="004A0D9D" w:rsidRPr="00C61B53">
        <w:rPr>
          <w:i/>
        </w:rPr>
        <w:t>supra</w:t>
      </w:r>
      <w:r w:rsidR="004A0D9D" w:rsidRPr="00C61B53">
        <w:t>, 50 Cal.3d 1118,</w:t>
      </w:r>
      <w:r w:rsidR="00200AB2" w:rsidRPr="00C61B53">
        <w:t xml:space="preserve"> a case decided five years before </w:t>
      </w:r>
      <w:r w:rsidR="00200AB2" w:rsidRPr="00C61B53">
        <w:rPr>
          <w:i/>
        </w:rPr>
        <w:t xml:space="preserve">Della </w:t>
      </w:r>
      <w:r w:rsidR="000928C6" w:rsidRPr="00C61B53">
        <w:rPr>
          <w:i/>
        </w:rPr>
        <w:t xml:space="preserve">Penna </w:t>
      </w:r>
      <w:r w:rsidR="000928C6" w:rsidRPr="00C61B53">
        <w:t>distinguished the two torts.</w:t>
      </w:r>
      <w:r w:rsidR="00B2392B" w:rsidRPr="00C61B53">
        <w:t xml:space="preserve">  </w:t>
      </w:r>
      <w:r w:rsidR="00734603" w:rsidRPr="00C61B53">
        <w:t xml:space="preserve">According to </w:t>
      </w:r>
      <w:proofErr w:type="spellStart"/>
      <w:r w:rsidR="00734603" w:rsidRPr="00C61B53">
        <w:t>Ixchel</w:t>
      </w:r>
      <w:proofErr w:type="spellEnd"/>
      <w:r w:rsidR="00734603" w:rsidRPr="00C61B53">
        <w:t>,</w:t>
      </w:r>
      <w:r w:rsidR="00B2392B" w:rsidRPr="00C61B53">
        <w:t xml:space="preserve"> </w:t>
      </w:r>
      <w:r w:rsidR="00B2392B" w:rsidRPr="00C61B53">
        <w:rPr>
          <w:i/>
        </w:rPr>
        <w:t xml:space="preserve">Pacific Gas </w:t>
      </w:r>
      <w:r w:rsidR="00B2392B" w:rsidRPr="00C61B53">
        <w:t xml:space="preserve">set </w:t>
      </w:r>
      <w:r w:rsidR="0003592A" w:rsidRPr="00C61B53">
        <w:t>“</w:t>
      </w:r>
      <w:r w:rsidR="005A0232" w:rsidRPr="00C61B53">
        <w:t>the default rule that, for an intentional interference with contract claim, there is no requirement of an independently wrongful act, even where the alleged misconduct is inducing a party to te</w:t>
      </w:r>
      <w:r w:rsidR="004A0D9D" w:rsidRPr="00C61B53">
        <w:t>rminate an at-will contract.”</w:t>
      </w:r>
      <w:r>
        <w:t xml:space="preserve">  </w:t>
      </w:r>
      <w:r w:rsidR="004A0D9D" w:rsidRPr="00C61B53">
        <w:t>We disagree.</w:t>
      </w:r>
    </w:p>
    <w:p w14:paraId="6817BD9D" w14:textId="645CCBE1" w:rsidR="000642DE" w:rsidRPr="00C61B53" w:rsidRDefault="001A1FB1" w:rsidP="00E63E66">
      <w:pPr>
        <w:tabs>
          <w:tab w:val="left" w:pos="720"/>
        </w:tabs>
      </w:pPr>
      <w:r w:rsidRPr="00C61B53">
        <w:tab/>
      </w:r>
      <w:r w:rsidR="0007447D" w:rsidRPr="00C61B53">
        <w:t>I</w:t>
      </w:r>
      <w:r w:rsidR="00B2392B" w:rsidRPr="00C61B53">
        <w:t xml:space="preserve">n </w:t>
      </w:r>
      <w:r w:rsidR="00765543" w:rsidRPr="00C61B53">
        <w:t>that case,</w:t>
      </w:r>
      <w:r w:rsidR="00B2392B" w:rsidRPr="00C61B53">
        <w:t xml:space="preserve"> the </w:t>
      </w:r>
      <w:r w:rsidR="00BB149E" w:rsidRPr="00C61B53">
        <w:t xml:space="preserve">Pacific Gas and Electric Company </w:t>
      </w:r>
      <w:r w:rsidR="00A2128D" w:rsidRPr="00C61B53">
        <w:t xml:space="preserve">sued Bear Stearns </w:t>
      </w:r>
      <w:r w:rsidR="00440859" w:rsidRPr="00C61B53">
        <w:t xml:space="preserve">for interfering in the utility’s </w:t>
      </w:r>
      <w:r w:rsidR="00AD1F6E" w:rsidRPr="00C61B53">
        <w:t xml:space="preserve">contract to purchase hydroelectric power from a water </w:t>
      </w:r>
      <w:r w:rsidR="0008739E" w:rsidRPr="00C61B53">
        <w:t xml:space="preserve">resource </w:t>
      </w:r>
      <w:r w:rsidR="00AD1F6E" w:rsidRPr="00C61B53">
        <w:t>agency</w:t>
      </w:r>
      <w:r w:rsidR="00780965" w:rsidRPr="00C61B53">
        <w:t xml:space="preserve"> and for interfering with the utility’s prospective economic relations</w:t>
      </w:r>
      <w:r w:rsidR="001768BC" w:rsidRPr="00C61B53">
        <w:t>.</w:t>
      </w:r>
      <w:r w:rsidRPr="00C61B53">
        <w:t xml:space="preserve">  </w:t>
      </w:r>
      <w:r w:rsidR="00E87EF3" w:rsidRPr="00C61B53">
        <w:lastRenderedPageBreak/>
        <w:t>(</w:t>
      </w:r>
      <w:r w:rsidR="00E87EF3" w:rsidRPr="00C61B53">
        <w:rPr>
          <w:i/>
        </w:rPr>
        <w:t>Pacific Gas</w:t>
      </w:r>
      <w:r w:rsidR="00E87EF3" w:rsidRPr="00C61B53">
        <w:t xml:space="preserve">, </w:t>
      </w:r>
      <w:r w:rsidR="00E87EF3" w:rsidRPr="00C61B53">
        <w:rPr>
          <w:i/>
        </w:rPr>
        <w:t>supra,</w:t>
      </w:r>
      <w:r w:rsidR="00E87EF3" w:rsidRPr="00C61B53">
        <w:t xml:space="preserve"> 50 Cal.3d at pp. 1123–1124.)  </w:t>
      </w:r>
      <w:r w:rsidR="008F459F" w:rsidRPr="00C61B53">
        <w:t>T</w:t>
      </w:r>
      <w:r w:rsidR="008F7267" w:rsidRPr="00C61B53">
        <w:t>he contract</w:t>
      </w:r>
      <w:r w:rsidR="004A0D9D" w:rsidRPr="00C61B53">
        <w:t xml:space="preserve"> at issue</w:t>
      </w:r>
      <w:r w:rsidR="008F7267" w:rsidRPr="00C61B53">
        <w:t xml:space="preserve"> allowed the </w:t>
      </w:r>
      <w:r w:rsidR="004A0D9D" w:rsidRPr="00C61B53">
        <w:t xml:space="preserve">water resource </w:t>
      </w:r>
      <w:r w:rsidR="0008739E" w:rsidRPr="00C61B53">
        <w:t>a</w:t>
      </w:r>
      <w:r w:rsidR="008F7267" w:rsidRPr="00C61B53">
        <w:t xml:space="preserve">gency </w:t>
      </w:r>
      <w:r w:rsidR="00597282" w:rsidRPr="00C61B53">
        <w:t xml:space="preserve">to </w:t>
      </w:r>
      <w:r w:rsidR="001122FC" w:rsidRPr="00C61B53">
        <w:t>terminate</w:t>
      </w:r>
      <w:r w:rsidR="008F459F" w:rsidRPr="00C61B53">
        <w:t xml:space="preserve"> the agreement at the end of the year in which the agency retired all of its project bonds. </w:t>
      </w:r>
      <w:r w:rsidRPr="00C61B53">
        <w:t xml:space="preserve"> </w:t>
      </w:r>
      <w:r w:rsidR="007D1790" w:rsidRPr="00C61B53">
        <w:t xml:space="preserve">Bear Stearns </w:t>
      </w:r>
      <w:r w:rsidR="00F2545A" w:rsidRPr="00C61B53">
        <w:t>convinced</w:t>
      </w:r>
      <w:r w:rsidR="00075A71" w:rsidRPr="00C61B53">
        <w:t xml:space="preserve"> the agency </w:t>
      </w:r>
      <w:r w:rsidR="00F2545A" w:rsidRPr="00C61B53">
        <w:t>to seek</w:t>
      </w:r>
      <w:r w:rsidR="00997D47" w:rsidRPr="00C61B53">
        <w:t xml:space="preserve"> a determination </w:t>
      </w:r>
      <w:r w:rsidR="00582A14" w:rsidRPr="00C61B53">
        <w:t>in state court that it could terminate the contract by retiring its project bonds early.</w:t>
      </w:r>
      <w:r w:rsidR="00FF0C4C" w:rsidRPr="00C61B53">
        <w:t xml:space="preserve">  </w:t>
      </w:r>
      <w:r w:rsidR="00E87EF3" w:rsidRPr="00C61B53">
        <w:t>(</w:t>
      </w:r>
      <w:r w:rsidR="00E87EF3" w:rsidRPr="00C61B53">
        <w:rPr>
          <w:i/>
        </w:rPr>
        <w:t>Ibid.</w:t>
      </w:r>
      <w:r w:rsidR="00E87EF3" w:rsidRPr="00C61B53">
        <w:t>)</w:t>
      </w:r>
      <w:r w:rsidR="003364B8" w:rsidRPr="00C61B53">
        <w:t xml:space="preserve">  </w:t>
      </w:r>
      <w:r w:rsidR="00966A3F" w:rsidRPr="00C61B53">
        <w:t xml:space="preserve">We held that </w:t>
      </w:r>
      <w:r w:rsidR="001768BC" w:rsidRPr="00C61B53">
        <w:t xml:space="preserve">merely </w:t>
      </w:r>
      <w:r w:rsidR="00966A3F" w:rsidRPr="00C61B53">
        <w:t xml:space="preserve">inducing a </w:t>
      </w:r>
      <w:r w:rsidR="001768BC" w:rsidRPr="00C61B53">
        <w:t>contracting party</w:t>
      </w:r>
      <w:r w:rsidR="00966A3F" w:rsidRPr="00C61B53">
        <w:t xml:space="preserve"> to seek a judicial determination whether it can terminate </w:t>
      </w:r>
      <w:r w:rsidR="001C43F1">
        <w:t>a</w:t>
      </w:r>
      <w:r w:rsidR="00966A3F" w:rsidRPr="00C61B53">
        <w:t xml:space="preserve"> contract according to its terms </w:t>
      </w:r>
      <w:r w:rsidR="003D4822" w:rsidRPr="00C61B53">
        <w:t xml:space="preserve">is not sufficient to state a claim </w:t>
      </w:r>
      <w:r w:rsidR="007D768C" w:rsidRPr="00C61B53">
        <w:t>under</w:t>
      </w:r>
      <w:r w:rsidR="003D4822" w:rsidRPr="00C61B53">
        <w:t xml:space="preserve"> either economic tort.</w:t>
      </w:r>
      <w:r w:rsidRPr="00C61B53">
        <w:t xml:space="preserve">  </w:t>
      </w:r>
      <w:r w:rsidR="00A51926" w:rsidRPr="00C61B53">
        <w:t>(</w:t>
      </w:r>
      <w:r w:rsidR="003364B8" w:rsidRPr="00C61B53">
        <w:rPr>
          <w:i/>
        </w:rPr>
        <w:t xml:space="preserve">Id. </w:t>
      </w:r>
      <w:r w:rsidR="003E4932" w:rsidRPr="00C61B53">
        <w:t>at p. 1137</w:t>
      </w:r>
      <w:r w:rsidR="00A51926" w:rsidRPr="00C61B53">
        <w:t xml:space="preserve">.)  </w:t>
      </w:r>
      <w:r w:rsidR="00FA0DFD" w:rsidRPr="00C61B53">
        <w:t xml:space="preserve">We </w:t>
      </w:r>
      <w:r w:rsidR="004A0D9D" w:rsidRPr="00C61B53">
        <w:t>outlined</w:t>
      </w:r>
      <w:r w:rsidR="006859F7" w:rsidRPr="00C61B53">
        <w:t xml:space="preserve"> the elements of </w:t>
      </w:r>
      <w:r w:rsidR="00B7273F" w:rsidRPr="00C61B53">
        <w:t xml:space="preserve">a </w:t>
      </w:r>
      <w:r w:rsidR="006859F7" w:rsidRPr="00C61B53">
        <w:t>contract interference claim</w:t>
      </w:r>
      <w:r w:rsidR="004A0D9D" w:rsidRPr="00C61B53">
        <w:t xml:space="preserve"> for the first time</w:t>
      </w:r>
      <w:r w:rsidR="00890956" w:rsidRPr="00C61B53">
        <w:t xml:space="preserve"> and</w:t>
      </w:r>
      <w:r w:rsidR="002B2853" w:rsidRPr="00C61B53">
        <w:t xml:space="preserve"> </w:t>
      </w:r>
      <w:r w:rsidR="00C24543" w:rsidRPr="00C61B53">
        <w:t>did</w:t>
      </w:r>
      <w:r w:rsidR="002B2853" w:rsidRPr="00C61B53">
        <w:t xml:space="preserve"> not require </w:t>
      </w:r>
      <w:r w:rsidR="00AF0BCA" w:rsidRPr="00C61B53">
        <w:t xml:space="preserve">that the interference be independently wrongful. </w:t>
      </w:r>
      <w:r w:rsidR="00A51926" w:rsidRPr="00C61B53">
        <w:t xml:space="preserve"> (</w:t>
      </w:r>
      <w:r w:rsidR="00A51926" w:rsidRPr="00C61B53">
        <w:rPr>
          <w:i/>
        </w:rPr>
        <w:t>Id.</w:t>
      </w:r>
      <w:r w:rsidR="00A51926" w:rsidRPr="00C61B53">
        <w:t xml:space="preserve"> at p. 1126.)  </w:t>
      </w:r>
      <w:r w:rsidR="00CB5B95" w:rsidRPr="00C61B53">
        <w:t>Separately, w</w:t>
      </w:r>
      <w:r w:rsidR="00AF0BCA" w:rsidRPr="00C61B53">
        <w:t xml:space="preserve">e </w:t>
      </w:r>
      <w:r w:rsidR="00815F1B" w:rsidRPr="00C61B53">
        <w:t>explained</w:t>
      </w:r>
      <w:r w:rsidR="000642DE" w:rsidRPr="00C61B53">
        <w:t xml:space="preserve"> that interference with an </w:t>
      </w:r>
      <w:r w:rsidR="00BC7B78" w:rsidRPr="00C61B53">
        <w:t>at-will</w:t>
      </w:r>
      <w:r w:rsidR="00634CE8" w:rsidRPr="00C61B53">
        <w:t xml:space="preserve"> contract</w:t>
      </w:r>
      <w:r w:rsidR="00B7273F" w:rsidRPr="00C61B53">
        <w:t xml:space="preserve"> </w:t>
      </w:r>
      <w:r w:rsidR="00E4531F" w:rsidRPr="00C61B53">
        <w:t>ha</w:t>
      </w:r>
      <w:r w:rsidR="00815F1B" w:rsidRPr="00C61B53">
        <w:t>s</w:t>
      </w:r>
      <w:r w:rsidR="00E4531F" w:rsidRPr="00C61B53">
        <w:t xml:space="preserve"> long been</w:t>
      </w:r>
      <w:r w:rsidR="00B7273F" w:rsidRPr="00C61B53">
        <w:t xml:space="preserve"> </w:t>
      </w:r>
      <w:r w:rsidR="001A5BED" w:rsidRPr="00C61B53">
        <w:t>actionable</w:t>
      </w:r>
      <w:r w:rsidR="00AF0816" w:rsidRPr="00C61B53">
        <w:t>.  (</w:t>
      </w:r>
      <w:r w:rsidR="00AF0816" w:rsidRPr="00C61B53">
        <w:rPr>
          <w:i/>
        </w:rPr>
        <w:t>Id</w:t>
      </w:r>
      <w:r w:rsidR="00AF0816" w:rsidRPr="00C61B53">
        <w:t>. at p. 1127.)</w:t>
      </w:r>
      <w:r w:rsidRPr="00C61B53">
        <w:t xml:space="preserve">  </w:t>
      </w:r>
    </w:p>
    <w:p w14:paraId="406AF6A1" w14:textId="4C874C9A" w:rsidR="001A1FB1" w:rsidRPr="00C61B53" w:rsidRDefault="000642DE" w:rsidP="00E63E66">
      <w:pPr>
        <w:tabs>
          <w:tab w:val="left" w:pos="720"/>
        </w:tabs>
      </w:pPr>
      <w:r w:rsidRPr="00C61B53">
        <w:tab/>
      </w:r>
      <w:r w:rsidR="00F360A2">
        <w:t>C</w:t>
      </w:r>
      <w:r w:rsidR="00B2392B" w:rsidRPr="00C61B53">
        <w:t xml:space="preserve">ritically, </w:t>
      </w:r>
      <w:r w:rsidR="00BA1C94" w:rsidRPr="00C61B53">
        <w:t xml:space="preserve">we acknowledged that “[m]any cases have treated claims of interference with voidable and terminable contracts as </w:t>
      </w:r>
      <w:r w:rsidR="008E1AA3" w:rsidRPr="00C61B53">
        <w:t>coming within the cause of action for interference with prospective advantage.  [Citations.]</w:t>
      </w:r>
      <w:r w:rsidR="00E83B17" w:rsidRPr="00C61B53">
        <w:t xml:space="preserve"> . . . [I]t may be preferable not to distinguish the two as separate torts [citation] but we need not resolve that point here, in view of our conclusion that the activity complained of is not included within either tort.”  (</w:t>
      </w:r>
      <w:r w:rsidR="00E83B17" w:rsidRPr="00C61B53">
        <w:rPr>
          <w:i/>
        </w:rPr>
        <w:t>Pacific Gas</w:t>
      </w:r>
      <w:r w:rsidR="00E83B17" w:rsidRPr="00C61B53">
        <w:t xml:space="preserve">, </w:t>
      </w:r>
      <w:r w:rsidR="00C81E76" w:rsidRPr="00C61B53">
        <w:rPr>
          <w:i/>
        </w:rPr>
        <w:t>supra</w:t>
      </w:r>
      <w:r w:rsidR="00C81E76" w:rsidRPr="00C61B53">
        <w:t xml:space="preserve">, 50 Cal.3d </w:t>
      </w:r>
      <w:r w:rsidR="00E83B17" w:rsidRPr="00C61B53">
        <w:t>at p. </w:t>
      </w:r>
      <w:r w:rsidR="00667021" w:rsidRPr="00C61B53">
        <w:t>1128, fn. 4.)</w:t>
      </w:r>
      <w:r w:rsidRPr="00C61B53">
        <w:t xml:space="preserve">  </w:t>
      </w:r>
      <w:r w:rsidR="00E610D1" w:rsidRPr="00C61B53">
        <w:t>Thus, c</w:t>
      </w:r>
      <w:r w:rsidR="00880619" w:rsidRPr="00C61B53">
        <w:t xml:space="preserve">ontrary to </w:t>
      </w:r>
      <w:proofErr w:type="spellStart"/>
      <w:r w:rsidR="00880619" w:rsidRPr="00C61B53">
        <w:t>Ixchel’s</w:t>
      </w:r>
      <w:proofErr w:type="spellEnd"/>
      <w:r w:rsidR="00880619" w:rsidRPr="00C61B53">
        <w:t xml:space="preserve"> argument</w:t>
      </w:r>
      <w:r w:rsidR="00667021" w:rsidRPr="00C61B53">
        <w:t xml:space="preserve">, </w:t>
      </w:r>
      <w:r w:rsidR="00E610D1" w:rsidRPr="00C61B53">
        <w:rPr>
          <w:i/>
        </w:rPr>
        <w:t>Pacific Gas</w:t>
      </w:r>
      <w:r w:rsidR="00667021" w:rsidRPr="00C61B53">
        <w:t xml:space="preserve"> expressly reserved the question of </w:t>
      </w:r>
      <w:r w:rsidRPr="00C61B53">
        <w:t xml:space="preserve">whether interference with an </w:t>
      </w:r>
      <w:r w:rsidR="00BC7B78" w:rsidRPr="00C61B53">
        <w:t>at-will</w:t>
      </w:r>
      <w:r w:rsidR="00667021" w:rsidRPr="00C61B53">
        <w:t xml:space="preserve"> contract </w:t>
      </w:r>
      <w:r w:rsidR="00D91231" w:rsidRPr="00C61B53">
        <w:t>sh</w:t>
      </w:r>
      <w:r w:rsidR="006C6A3F" w:rsidRPr="00C61B53">
        <w:t xml:space="preserve">ould be </w:t>
      </w:r>
      <w:r w:rsidR="00890956" w:rsidRPr="00C61B53">
        <w:t xml:space="preserve">treated </w:t>
      </w:r>
      <w:r w:rsidR="00172041" w:rsidRPr="00C61B53">
        <w:t>as</w:t>
      </w:r>
      <w:r w:rsidR="00890956" w:rsidRPr="00C61B53">
        <w:t xml:space="preserve"> a claim </w:t>
      </w:r>
      <w:r w:rsidR="00F360A2">
        <w:t>of</w:t>
      </w:r>
      <w:r w:rsidR="00172041" w:rsidRPr="00C61B53">
        <w:t xml:space="preserve"> interference with contractual relations or as</w:t>
      </w:r>
      <w:r w:rsidR="00890956" w:rsidRPr="00C61B53">
        <w:t xml:space="preserve"> a claim </w:t>
      </w:r>
      <w:r w:rsidR="00F360A2">
        <w:t>of</w:t>
      </w:r>
      <w:r w:rsidR="00172041" w:rsidRPr="00C61B53">
        <w:t xml:space="preserve"> interference with </w:t>
      </w:r>
      <w:r w:rsidR="005714BA" w:rsidRPr="00C61B53">
        <w:t xml:space="preserve">prospective economic advantage. </w:t>
      </w:r>
      <w:r w:rsidR="00834FDD" w:rsidRPr="00C61B53">
        <w:t xml:space="preserve"> Because the alleged misconduct</w:t>
      </w:r>
      <w:r w:rsidR="00E610D1" w:rsidRPr="00C61B53">
        <w:t xml:space="preserve"> in that case</w:t>
      </w:r>
      <w:r w:rsidR="00834FDD" w:rsidRPr="00C61B53">
        <w:t xml:space="preserve"> did not constitute interference</w:t>
      </w:r>
      <w:r w:rsidR="00834FDD" w:rsidRPr="00C61B53">
        <w:rPr>
          <w:i/>
        </w:rPr>
        <w:t xml:space="preserve"> </w:t>
      </w:r>
      <w:r w:rsidR="00934263" w:rsidRPr="00C61B53">
        <w:t>with any economic relationship</w:t>
      </w:r>
      <w:r w:rsidR="00834FDD" w:rsidRPr="00C61B53">
        <w:t>,</w:t>
      </w:r>
      <w:r w:rsidR="00F368CB" w:rsidRPr="00C61B53">
        <w:t xml:space="preserve"> contractual or otherwise,</w:t>
      </w:r>
      <w:r w:rsidR="00834FDD" w:rsidRPr="00C61B53">
        <w:t xml:space="preserve"> </w:t>
      </w:r>
      <w:r w:rsidR="002555AB" w:rsidRPr="00C61B53">
        <w:t>it was unnecessary to resolve the question.</w:t>
      </w:r>
    </w:p>
    <w:p w14:paraId="7E9BF643" w14:textId="7B3B9B91" w:rsidR="001A1FB1" w:rsidRPr="00C61B53" w:rsidRDefault="001A1FB1" w:rsidP="00E63E66">
      <w:pPr>
        <w:tabs>
          <w:tab w:val="left" w:pos="720"/>
        </w:tabs>
      </w:pPr>
      <w:r w:rsidRPr="00C61B53">
        <w:lastRenderedPageBreak/>
        <w:tab/>
      </w:r>
      <w:r w:rsidR="00D76BC1" w:rsidRPr="00C61B53">
        <w:t xml:space="preserve">It was </w:t>
      </w:r>
      <w:r w:rsidR="00AA4F0A" w:rsidRPr="00C61B53">
        <w:t xml:space="preserve">also </w:t>
      </w:r>
      <w:r w:rsidR="00D76BC1" w:rsidRPr="00C61B53">
        <w:t xml:space="preserve">unnecessary to resolve the question </w:t>
      </w:r>
      <w:r w:rsidR="00AA4F0A" w:rsidRPr="00C61B53">
        <w:t>because</w:t>
      </w:r>
      <w:r w:rsidR="00890956" w:rsidRPr="00C61B53">
        <w:t xml:space="preserve">, as </w:t>
      </w:r>
      <w:r w:rsidR="00421478">
        <w:t>explained</w:t>
      </w:r>
      <w:r w:rsidR="00890956" w:rsidRPr="00C61B53">
        <w:t>,</w:t>
      </w:r>
      <w:r w:rsidR="004E19D9" w:rsidRPr="00C61B53">
        <w:t xml:space="preserve"> </w:t>
      </w:r>
      <w:r w:rsidR="00D76BC1" w:rsidRPr="00C61B53">
        <w:t xml:space="preserve">the elements of both torts were </w:t>
      </w:r>
      <w:r w:rsidR="00E610D1" w:rsidRPr="00C61B53">
        <w:t xml:space="preserve">largely </w:t>
      </w:r>
      <w:r w:rsidR="00D76BC1" w:rsidRPr="00C61B53">
        <w:t>the same</w:t>
      </w:r>
      <w:r w:rsidR="00890956" w:rsidRPr="00C61B53">
        <w:t xml:space="preserve"> at that time</w:t>
      </w:r>
      <w:r w:rsidR="00D76BC1" w:rsidRPr="00C61B53">
        <w:t>.</w:t>
      </w:r>
      <w:r w:rsidR="00880619" w:rsidRPr="00C61B53">
        <w:t xml:space="preserve">  We had yet </w:t>
      </w:r>
      <w:r w:rsidR="00A3766F" w:rsidRPr="00C61B53">
        <w:t xml:space="preserve">to </w:t>
      </w:r>
      <w:r w:rsidR="00736B22" w:rsidRPr="00C61B53">
        <w:t>differentiate the two torts in</w:t>
      </w:r>
      <w:r w:rsidR="004E19D9" w:rsidRPr="00C61B53">
        <w:t xml:space="preserve"> </w:t>
      </w:r>
      <w:r w:rsidR="00A314A5" w:rsidRPr="00C61B53">
        <w:rPr>
          <w:i/>
        </w:rPr>
        <w:t>Della Penna</w:t>
      </w:r>
      <w:r w:rsidR="00736B22" w:rsidRPr="00C61B53">
        <w:t xml:space="preserve"> </w:t>
      </w:r>
      <w:r w:rsidR="00E610D1" w:rsidRPr="00C61B53">
        <w:t xml:space="preserve">by requiring </w:t>
      </w:r>
      <w:r w:rsidR="00F674EE" w:rsidRPr="00C61B53">
        <w:t xml:space="preserve">an </w:t>
      </w:r>
      <w:r w:rsidR="00E610D1" w:rsidRPr="00C61B53">
        <w:t xml:space="preserve">independent wrongfulness </w:t>
      </w:r>
      <w:r w:rsidR="00F674EE" w:rsidRPr="00C61B53">
        <w:t>element for</w:t>
      </w:r>
      <w:r w:rsidR="00A3766F" w:rsidRPr="00C61B53">
        <w:t xml:space="preserve"> interference with prospective economic advantage. </w:t>
      </w:r>
      <w:r w:rsidR="00A314A5" w:rsidRPr="00C61B53">
        <w:t xml:space="preserve"> </w:t>
      </w:r>
      <w:r w:rsidR="00134456" w:rsidRPr="00C61B53">
        <w:t xml:space="preserve">There was thus </w:t>
      </w:r>
      <w:r w:rsidR="00A314A5" w:rsidRPr="00C61B53">
        <w:t xml:space="preserve">no occasion to address </w:t>
      </w:r>
      <w:r w:rsidR="00940E21" w:rsidRPr="00C61B53">
        <w:t xml:space="preserve">whether interference with an </w:t>
      </w:r>
      <w:r w:rsidR="00BC7B78" w:rsidRPr="00C61B53">
        <w:t>at-will</w:t>
      </w:r>
      <w:r w:rsidR="00A314A5" w:rsidRPr="00C61B53">
        <w:t xml:space="preserve"> contract required pleading an independent</w:t>
      </w:r>
      <w:r w:rsidR="00F674EE" w:rsidRPr="00C61B53">
        <w:t>ly</w:t>
      </w:r>
      <w:r w:rsidR="00A314A5" w:rsidRPr="00C61B53">
        <w:t xml:space="preserve"> wrongful act</w:t>
      </w:r>
      <w:r w:rsidR="00F674EE" w:rsidRPr="00C61B53">
        <w:t xml:space="preserve"> since it was not </w:t>
      </w:r>
      <w:r w:rsidR="00890956" w:rsidRPr="00C61B53">
        <w:t xml:space="preserve">then </w:t>
      </w:r>
      <w:r w:rsidR="00F674EE" w:rsidRPr="00C61B53">
        <w:t>a requirement for either tort</w:t>
      </w:r>
      <w:r w:rsidR="00A314A5" w:rsidRPr="00C61B53">
        <w:t>.</w:t>
      </w:r>
      <w:r w:rsidR="00092DD6" w:rsidRPr="00C61B53">
        <w:t xml:space="preserve">  </w:t>
      </w:r>
      <w:r w:rsidR="003C12A9" w:rsidRPr="00C61B53">
        <w:t>(</w:t>
      </w:r>
      <w:r w:rsidR="004545FD" w:rsidRPr="00C61B53">
        <w:t>Cf.</w:t>
      </w:r>
      <w:r w:rsidR="003C12A9" w:rsidRPr="00C61B53">
        <w:t xml:space="preserve"> </w:t>
      </w:r>
      <w:r w:rsidR="00E02C95" w:rsidRPr="00C61B53">
        <w:rPr>
          <w:i/>
        </w:rPr>
        <w:t>Bed, Bath &amp; Beyond of La Jolla, Inc. v. La Jolla Village Square Venture Partners</w:t>
      </w:r>
      <w:r w:rsidR="00E02C95" w:rsidRPr="00C61B53">
        <w:t xml:space="preserve"> (1997) 52 Cal.App.4th 867, 880</w:t>
      </w:r>
      <w:r w:rsidR="00F94809" w:rsidRPr="00C61B53">
        <w:t>, fn. 9</w:t>
      </w:r>
      <w:r w:rsidR="00E02C95" w:rsidRPr="00C61B53">
        <w:t xml:space="preserve"> [cases decided before </w:t>
      </w:r>
      <w:r w:rsidR="00E02C95" w:rsidRPr="00C61B53">
        <w:rPr>
          <w:i/>
        </w:rPr>
        <w:t>Della Penna</w:t>
      </w:r>
      <w:r w:rsidR="00E02C95" w:rsidRPr="00C61B53">
        <w:t xml:space="preserve"> </w:t>
      </w:r>
      <w:r w:rsidR="00326E86" w:rsidRPr="00C61B53">
        <w:t xml:space="preserve">are not relevant to </w:t>
      </w:r>
      <w:r w:rsidR="00107C37" w:rsidRPr="00C61B53">
        <w:t xml:space="preserve">determining </w:t>
      </w:r>
      <w:r w:rsidR="00326E86" w:rsidRPr="00C61B53">
        <w:t xml:space="preserve">whether interference with </w:t>
      </w:r>
      <w:r w:rsidR="00107C37" w:rsidRPr="00C61B53">
        <w:t xml:space="preserve">an unenforceable contract </w:t>
      </w:r>
      <w:r w:rsidR="00C971E7" w:rsidRPr="00C61B53">
        <w:t>constitutes</w:t>
      </w:r>
      <w:r w:rsidR="00B91EBE" w:rsidRPr="00C61B53">
        <w:t xml:space="preserve"> </w:t>
      </w:r>
      <w:r w:rsidR="00C971E7" w:rsidRPr="00C61B53">
        <w:t>i</w:t>
      </w:r>
      <w:r w:rsidR="00B91EBE" w:rsidRPr="00C61B53">
        <w:t>nterference with contractual relations or interference with prospective economic advantage</w:t>
      </w:r>
      <w:r w:rsidR="00C971E7" w:rsidRPr="00C61B53">
        <w:t>].)</w:t>
      </w:r>
      <w:r w:rsidR="002236B3" w:rsidRPr="00C61B53">
        <w:t xml:space="preserve"> </w:t>
      </w:r>
      <w:r w:rsidR="00F674EE" w:rsidRPr="00C61B53">
        <w:t xml:space="preserve"> </w:t>
      </w:r>
      <w:r w:rsidR="005B3B27">
        <w:t>So,</w:t>
      </w:r>
      <w:r w:rsidR="00092DD6" w:rsidRPr="00C61B53">
        <w:t xml:space="preserve"> </w:t>
      </w:r>
      <w:r w:rsidR="00A314A5" w:rsidRPr="00C61B53">
        <w:rPr>
          <w:i/>
        </w:rPr>
        <w:t>Pacific Gas</w:t>
      </w:r>
      <w:r w:rsidR="0069329F" w:rsidRPr="00C61B53">
        <w:t xml:space="preserve"> did not answer the question now before us.</w:t>
      </w:r>
    </w:p>
    <w:p w14:paraId="6690E333" w14:textId="77796E2F" w:rsidR="001A1FB1" w:rsidRPr="00C61B53" w:rsidRDefault="001A1FB1" w:rsidP="00E63E66">
      <w:pPr>
        <w:tabs>
          <w:tab w:val="left" w:pos="720"/>
        </w:tabs>
      </w:pPr>
      <w:r w:rsidRPr="00C61B53">
        <w:tab/>
      </w:r>
      <w:r w:rsidR="0069329F" w:rsidRPr="00C61B53">
        <w:t xml:space="preserve">Fourteen </w:t>
      </w:r>
      <w:r w:rsidR="00763FF4" w:rsidRPr="00C61B53">
        <w:t xml:space="preserve">years later </w:t>
      </w:r>
      <w:r w:rsidR="00134456" w:rsidRPr="00C61B53">
        <w:t xml:space="preserve">in </w:t>
      </w:r>
      <w:r w:rsidR="004A750E" w:rsidRPr="00C61B53">
        <w:rPr>
          <w:i/>
        </w:rPr>
        <w:t>Reeves</w:t>
      </w:r>
      <w:r w:rsidR="00560AE6" w:rsidRPr="00C61B53">
        <w:t xml:space="preserve">, </w:t>
      </w:r>
      <w:r w:rsidR="00560AE6" w:rsidRPr="00C61B53">
        <w:rPr>
          <w:i/>
        </w:rPr>
        <w:t>supra</w:t>
      </w:r>
      <w:r w:rsidR="00E73D1B" w:rsidRPr="00C61B53">
        <w:t>, 33 Cal.4th 1140</w:t>
      </w:r>
      <w:r w:rsidR="00560AE6" w:rsidRPr="00C61B53">
        <w:t>,</w:t>
      </w:r>
      <w:r w:rsidR="00EB0010" w:rsidRPr="00C61B53">
        <w:t xml:space="preserve"> </w:t>
      </w:r>
      <w:r w:rsidR="00134456" w:rsidRPr="00C61B53">
        <w:t xml:space="preserve">we </w:t>
      </w:r>
      <w:r w:rsidR="004E3348" w:rsidRPr="00C61B53">
        <w:t xml:space="preserve">resolved </w:t>
      </w:r>
      <w:r w:rsidR="00EB0010" w:rsidRPr="00C61B53">
        <w:t xml:space="preserve">part of the question </w:t>
      </w:r>
      <w:r w:rsidR="00EB0010" w:rsidRPr="00C61B53">
        <w:rPr>
          <w:i/>
        </w:rPr>
        <w:t xml:space="preserve">Pacific Gas </w:t>
      </w:r>
      <w:r w:rsidR="00EB0010" w:rsidRPr="00C61B53">
        <w:t>left open.</w:t>
      </w:r>
      <w:r w:rsidR="00DB689F" w:rsidRPr="00C61B53">
        <w:t xml:space="preserve">  </w:t>
      </w:r>
      <w:r w:rsidR="00134456" w:rsidRPr="00C61B53">
        <w:rPr>
          <w:i/>
        </w:rPr>
        <w:t>Reeves</w:t>
      </w:r>
      <w:r w:rsidR="00EB0010" w:rsidRPr="00C61B53">
        <w:t xml:space="preserve"> held </w:t>
      </w:r>
      <w:r w:rsidR="00DB689F" w:rsidRPr="00C61B53">
        <w:t xml:space="preserve">that </w:t>
      </w:r>
      <w:r w:rsidR="007B5F9E" w:rsidRPr="00C61B53">
        <w:t xml:space="preserve">a plaintiff </w:t>
      </w:r>
      <w:r w:rsidR="0069329F" w:rsidRPr="00C61B53">
        <w:t>must</w:t>
      </w:r>
      <w:r w:rsidR="007B5F9E" w:rsidRPr="00C61B53">
        <w:t xml:space="preserve"> plead independent wrongful</w:t>
      </w:r>
      <w:r w:rsidR="00783C5C" w:rsidRPr="00C61B53">
        <w:t>ness</w:t>
      </w:r>
      <w:r w:rsidR="007B5F9E" w:rsidRPr="00C61B53">
        <w:t xml:space="preserve"> to state a claim for interference with</w:t>
      </w:r>
      <w:r w:rsidR="006360BE" w:rsidRPr="00C61B53">
        <w:t xml:space="preserve"> </w:t>
      </w:r>
      <w:r w:rsidR="003862A1" w:rsidRPr="00C61B53">
        <w:t xml:space="preserve">a specific </w:t>
      </w:r>
      <w:r w:rsidR="00252175" w:rsidRPr="00C61B53">
        <w:t>category</w:t>
      </w:r>
      <w:r w:rsidR="00E73D1B" w:rsidRPr="00C61B53">
        <w:t xml:space="preserve"> of </w:t>
      </w:r>
      <w:r w:rsidR="00BC7B78" w:rsidRPr="00C61B53">
        <w:t>at-will</w:t>
      </w:r>
      <w:r w:rsidR="003862A1" w:rsidRPr="00C61B53">
        <w:t xml:space="preserve"> </w:t>
      </w:r>
      <w:proofErr w:type="gramStart"/>
      <w:r w:rsidR="004708F9" w:rsidRPr="00C61B53">
        <w:t>contracts</w:t>
      </w:r>
      <w:r w:rsidR="0069329F" w:rsidRPr="00C61B53">
        <w:t>:</w:t>
      </w:r>
      <w:proofErr w:type="gramEnd"/>
      <w:r w:rsidR="0069329F" w:rsidRPr="00C61B53">
        <w:t xml:space="preserve">  </w:t>
      </w:r>
      <w:r w:rsidR="003862A1" w:rsidRPr="00C61B53">
        <w:t>employment contracts</w:t>
      </w:r>
      <w:r w:rsidR="007B5F9E" w:rsidRPr="00C61B53">
        <w:t>.</w:t>
      </w:r>
      <w:r w:rsidRPr="00C61B53">
        <w:t xml:space="preserve">  </w:t>
      </w:r>
      <w:r w:rsidR="00E73D1B" w:rsidRPr="00C61B53">
        <w:t>(</w:t>
      </w:r>
      <w:r w:rsidR="0069329F" w:rsidRPr="00C61B53">
        <w:rPr>
          <w:i/>
        </w:rPr>
        <w:t>Reeves</w:t>
      </w:r>
      <w:r w:rsidR="0069329F" w:rsidRPr="00C61B53">
        <w:t>,</w:t>
      </w:r>
      <w:r w:rsidR="00E73D1B" w:rsidRPr="00C61B53">
        <w:t xml:space="preserve"> at p. 1145.)  </w:t>
      </w:r>
      <w:r w:rsidR="00AA1748" w:rsidRPr="00C61B53">
        <w:t>That hold</w:t>
      </w:r>
      <w:r w:rsidRPr="00C61B53">
        <w:t>ing</w:t>
      </w:r>
      <w:r w:rsidR="00AA1748" w:rsidRPr="00C61B53">
        <w:t xml:space="preserve"> was based on</w:t>
      </w:r>
      <w:r w:rsidR="00783C5C" w:rsidRPr="00C61B53">
        <w:t xml:space="preserve"> two </w:t>
      </w:r>
      <w:r w:rsidR="00DC1356" w:rsidRPr="00C61B53">
        <w:t xml:space="preserve">rationales.  First, </w:t>
      </w:r>
      <w:r w:rsidR="00DD6083" w:rsidRPr="00C61B53">
        <w:t>California</w:t>
      </w:r>
      <w:r w:rsidR="004C5B38" w:rsidRPr="00C61B53">
        <w:t>’s</w:t>
      </w:r>
      <w:r w:rsidR="00DD6083" w:rsidRPr="00C61B53">
        <w:t xml:space="preserve"> public policy</w:t>
      </w:r>
      <w:r w:rsidR="00647BE4" w:rsidRPr="00C61B53">
        <w:t xml:space="preserve"> </w:t>
      </w:r>
      <w:r w:rsidR="004C5B38" w:rsidRPr="00C61B53">
        <w:t>favoring employment competition</w:t>
      </w:r>
      <w:r w:rsidR="00647BE4" w:rsidRPr="00C61B53">
        <w:t xml:space="preserve"> </w:t>
      </w:r>
      <w:r w:rsidR="00F35B8F" w:rsidRPr="00C61B53">
        <w:t>supported</w:t>
      </w:r>
      <w:r w:rsidR="00036399" w:rsidRPr="00C61B53">
        <w:t xml:space="preserve"> such a rule.</w:t>
      </w:r>
      <w:r w:rsidRPr="00C61B53">
        <w:t xml:space="preserve"> </w:t>
      </w:r>
      <w:r w:rsidR="00240602" w:rsidRPr="00C61B53">
        <w:t xml:space="preserve"> </w:t>
      </w:r>
      <w:r w:rsidR="00FE197A" w:rsidRPr="00C61B53">
        <w:t xml:space="preserve">We </w:t>
      </w:r>
      <w:r w:rsidR="003456B5" w:rsidRPr="00C61B53">
        <w:t>observed</w:t>
      </w:r>
      <w:r w:rsidR="00FE197A" w:rsidRPr="00C61B53">
        <w:t xml:space="preserve"> that </w:t>
      </w:r>
      <w:r w:rsidR="00E73D1B" w:rsidRPr="00C61B53">
        <w:t>“</w:t>
      </w:r>
      <w:r w:rsidR="00FE197A" w:rsidRPr="00C61B53">
        <w:t>i</w:t>
      </w:r>
      <w:r w:rsidR="004C5B38" w:rsidRPr="00C61B53">
        <w:t xml:space="preserve">t has long been the public policy </w:t>
      </w:r>
      <w:r w:rsidR="006416E1" w:rsidRPr="00C61B53">
        <w:t>of our state that ‘[a] former employee has the right to engage in a competitive business for himself and to enter into competition with his former employer, even for the business of . . . his former employer, provided such competition is fairly and legally conducted.’ ”  (</w:t>
      </w:r>
      <w:r w:rsidR="00C35457" w:rsidRPr="00C61B53">
        <w:rPr>
          <w:i/>
        </w:rPr>
        <w:t>Id</w:t>
      </w:r>
      <w:r w:rsidR="00C35457" w:rsidRPr="00C61B53">
        <w:t>. at p. 1149.)</w:t>
      </w:r>
      <w:r w:rsidRPr="00C61B53">
        <w:t xml:space="preserve">  </w:t>
      </w:r>
      <w:r w:rsidR="00E264A4" w:rsidRPr="00C61B53">
        <w:t>O</w:t>
      </w:r>
      <w:r w:rsidR="00531371" w:rsidRPr="00C61B53">
        <w:t xml:space="preserve">ur </w:t>
      </w:r>
      <w:r w:rsidR="00E21DA6" w:rsidRPr="00C61B53">
        <w:t xml:space="preserve">previous </w:t>
      </w:r>
      <w:r w:rsidR="00B43975" w:rsidRPr="00C61B53">
        <w:t>decisions</w:t>
      </w:r>
      <w:r w:rsidR="00531371" w:rsidRPr="00C61B53">
        <w:t xml:space="preserve"> </w:t>
      </w:r>
      <w:r w:rsidR="00EA3628">
        <w:t>indicated</w:t>
      </w:r>
      <w:r w:rsidR="00E21DA6" w:rsidRPr="00C61B53">
        <w:t xml:space="preserve"> </w:t>
      </w:r>
      <w:r w:rsidR="00531371" w:rsidRPr="00C61B53">
        <w:t>that</w:t>
      </w:r>
      <w:r w:rsidR="00411B97" w:rsidRPr="00C61B53">
        <w:t xml:space="preserve"> </w:t>
      </w:r>
      <w:r w:rsidR="00DD6083" w:rsidRPr="00C61B53">
        <w:t xml:space="preserve">“[w]here no unlawful methods are used, public policy generally supports a competitor’s right to offer more pay or better terms to another’s employee, so long as the employee is </w:t>
      </w:r>
      <w:r w:rsidR="00DD6083" w:rsidRPr="00C61B53">
        <w:lastRenderedPageBreak/>
        <w:t>free to leave.”</w:t>
      </w:r>
      <w:r w:rsidR="00411B97" w:rsidRPr="00C61B53">
        <w:t xml:space="preserve">  (</w:t>
      </w:r>
      <w:r w:rsidR="00411B97" w:rsidRPr="00C61B53">
        <w:rPr>
          <w:i/>
        </w:rPr>
        <w:t>Id</w:t>
      </w:r>
      <w:r w:rsidR="00411B97" w:rsidRPr="00C61B53">
        <w:t>. at p. </w:t>
      </w:r>
      <w:r w:rsidR="00243011" w:rsidRPr="00C61B53">
        <w:t>1151</w:t>
      </w:r>
      <w:r w:rsidR="00531371" w:rsidRPr="00C61B53">
        <w:t xml:space="preserve">; see also </w:t>
      </w:r>
      <w:r w:rsidR="00531371" w:rsidRPr="00C61B53">
        <w:rPr>
          <w:i/>
        </w:rPr>
        <w:t>id</w:t>
      </w:r>
      <w:r w:rsidR="00531371" w:rsidRPr="00C61B53">
        <w:t>. at p. 1145 [</w:t>
      </w:r>
      <w:r w:rsidR="003456B5" w:rsidRPr="00C61B53">
        <w:t>observing</w:t>
      </w:r>
      <w:r w:rsidR="00531371" w:rsidRPr="00C61B53">
        <w:t xml:space="preserve"> that the independent wrongfulness requirement “will promote the public policies supporting the right of at-will employees to pursue opportunities for economic betterment and the right of employers to compete for talented workers”].)</w:t>
      </w:r>
    </w:p>
    <w:p w14:paraId="228DDD09" w14:textId="423796E9" w:rsidR="001A1FB1" w:rsidRPr="00C61B53" w:rsidRDefault="001A1FB1" w:rsidP="00E63E66">
      <w:pPr>
        <w:tabs>
          <w:tab w:val="left" w:pos="720"/>
        </w:tabs>
      </w:pPr>
      <w:r w:rsidRPr="00C61B53">
        <w:tab/>
      </w:r>
      <w:r w:rsidR="0086117F" w:rsidRPr="00C61B53">
        <w:t>Second, w</w:t>
      </w:r>
      <w:r w:rsidR="0011152E" w:rsidRPr="00C61B53">
        <w:t xml:space="preserve">e reasoned </w:t>
      </w:r>
      <w:r w:rsidR="006B240F">
        <w:t xml:space="preserve">that </w:t>
      </w:r>
      <w:r w:rsidR="0011152E" w:rsidRPr="00C61B53">
        <w:t>“the economic relationship between parties to contracts that are terminable at will is distinguishable from the relationship between parties to other legally binding contracts.”</w:t>
      </w:r>
      <w:r w:rsidR="00F02BAA" w:rsidRPr="00C61B53">
        <w:t xml:space="preserve">  (</w:t>
      </w:r>
      <w:r w:rsidR="00F02BAA" w:rsidRPr="00C61B53">
        <w:rPr>
          <w:i/>
        </w:rPr>
        <w:t>Reeves</w:t>
      </w:r>
      <w:r w:rsidR="00F02BAA" w:rsidRPr="00C61B53">
        <w:t xml:space="preserve">, </w:t>
      </w:r>
      <w:r w:rsidR="00F02BAA" w:rsidRPr="00C61B53">
        <w:rPr>
          <w:i/>
        </w:rPr>
        <w:t>supra</w:t>
      </w:r>
      <w:r w:rsidR="00F02BAA" w:rsidRPr="00C61B53">
        <w:t>, 33 Cal.4th at p. 1151.)</w:t>
      </w:r>
      <w:r w:rsidRPr="00C61B53">
        <w:t xml:space="preserve">  </w:t>
      </w:r>
      <w:r w:rsidR="00A96D1F" w:rsidRPr="00C61B53">
        <w:t>W</w:t>
      </w:r>
      <w:r w:rsidR="00382F88" w:rsidRPr="00C61B53">
        <w:t xml:space="preserve">e </w:t>
      </w:r>
      <w:r w:rsidR="00A31C68" w:rsidRPr="00C61B53">
        <w:t xml:space="preserve">explained that interference with </w:t>
      </w:r>
      <w:r w:rsidR="00352FD7" w:rsidRPr="00C61B53">
        <w:t xml:space="preserve">other legally </w:t>
      </w:r>
      <w:r w:rsidR="00452967" w:rsidRPr="00C61B53">
        <w:t>binding contracts</w:t>
      </w:r>
      <w:r w:rsidR="0066292B" w:rsidRPr="00C61B53">
        <w:t>,</w:t>
      </w:r>
      <w:r w:rsidR="00A96D1F" w:rsidRPr="00C61B53">
        <w:t xml:space="preserve"> such as contracts of a definite term,</w:t>
      </w:r>
      <w:r w:rsidR="00A31C68" w:rsidRPr="00C61B53">
        <w:t xml:space="preserve"> is tortious </w:t>
      </w:r>
      <w:r w:rsidR="0078084E" w:rsidRPr="00C61B53">
        <w:t>“ ‘because the exchange of promises resulting in such a formally cemented economic relationship is deemed worthy of protection from interference by a stranger to the agreement.’ ”</w:t>
      </w:r>
      <w:r w:rsidR="00A31C68" w:rsidRPr="00C61B53">
        <w:t xml:space="preserve">  (</w:t>
      </w:r>
      <w:r w:rsidR="00A408F6">
        <w:rPr>
          <w:i/>
        </w:rPr>
        <w:t>Ibid.</w:t>
      </w:r>
      <w:r w:rsidR="00810276" w:rsidRPr="00C61B53">
        <w:t xml:space="preserve">, quoting </w:t>
      </w:r>
      <w:r w:rsidR="00810276" w:rsidRPr="00C61B53">
        <w:rPr>
          <w:i/>
        </w:rPr>
        <w:t xml:space="preserve">Della </w:t>
      </w:r>
      <w:r w:rsidR="00E04890" w:rsidRPr="00C61B53">
        <w:rPr>
          <w:i/>
        </w:rPr>
        <w:t>Penna</w:t>
      </w:r>
      <w:r w:rsidR="00E04890" w:rsidRPr="00C61B53">
        <w:t xml:space="preserve">, </w:t>
      </w:r>
      <w:r w:rsidR="00E04890" w:rsidRPr="00C61B53">
        <w:rPr>
          <w:i/>
        </w:rPr>
        <w:t>supra</w:t>
      </w:r>
      <w:r w:rsidR="00E04890" w:rsidRPr="00C61B53">
        <w:t>, 11 Cal.4th at p. 392.</w:t>
      </w:r>
      <w:r w:rsidR="00A31C68" w:rsidRPr="00C61B53">
        <w:t>)</w:t>
      </w:r>
      <w:r w:rsidRPr="00C61B53">
        <w:t xml:space="preserve">  </w:t>
      </w:r>
      <w:r w:rsidR="00A31C68" w:rsidRPr="00C61B53">
        <w:t xml:space="preserve">But </w:t>
      </w:r>
      <w:r w:rsidR="00352FD7" w:rsidRPr="00C61B53">
        <w:t>at-will contracts</w:t>
      </w:r>
      <w:r w:rsidR="00452967" w:rsidRPr="00C61B53">
        <w:t xml:space="preserve"> do not </w:t>
      </w:r>
      <w:r w:rsidR="004713D8" w:rsidRPr="00C61B53">
        <w:t>involve the same “cemented economic relationship</w:t>
      </w:r>
      <w:r w:rsidR="003B2901" w:rsidRPr="00C61B53">
        <w:t>[s]</w:t>
      </w:r>
      <w:r w:rsidR="004713D8" w:rsidRPr="00C61B53">
        <w:t xml:space="preserve">” </w:t>
      </w:r>
      <w:r w:rsidR="00A96D1F" w:rsidRPr="00C61B53">
        <w:t>as contract</w:t>
      </w:r>
      <w:r w:rsidR="00E04890" w:rsidRPr="00C61B53">
        <w:t>s</w:t>
      </w:r>
      <w:r w:rsidR="00A96D1F" w:rsidRPr="00C61B53">
        <w:t xml:space="preserve"> of a definite term.</w:t>
      </w:r>
      <w:r w:rsidRPr="00C61B53">
        <w:t xml:space="preserve">  </w:t>
      </w:r>
      <w:r w:rsidR="00E306E7" w:rsidRPr="00C61B53">
        <w:t>(</w:t>
      </w:r>
      <w:r w:rsidR="00E306E7" w:rsidRPr="00C61B53">
        <w:rPr>
          <w:i/>
        </w:rPr>
        <w:t>Della Penna</w:t>
      </w:r>
      <w:r w:rsidR="00E306E7" w:rsidRPr="00C61B53">
        <w:t xml:space="preserve">, at p. 392.)  </w:t>
      </w:r>
      <w:r w:rsidR="003F5971" w:rsidRPr="00C61B53">
        <w:t xml:space="preserve">Quoting </w:t>
      </w:r>
      <w:r w:rsidR="00A96D1F" w:rsidRPr="00C61B53">
        <w:t xml:space="preserve">the Restatement Second of Torts, we explained that </w:t>
      </w:r>
      <w:r w:rsidR="00810276" w:rsidRPr="00C61B53">
        <w:t xml:space="preserve">“ ‘any interference with </w:t>
      </w:r>
      <w:r w:rsidR="00E04890" w:rsidRPr="00C61B53">
        <w:t>[an at-will contract]</w:t>
      </w:r>
      <w:r w:rsidR="00810276" w:rsidRPr="00C61B53">
        <w:t xml:space="preserve"> that induces its termination is primarily an interference with the future relation between the parties, and the plaintiff has no legal assurance of them. </w:t>
      </w:r>
      <w:r w:rsidR="00480444" w:rsidRPr="00C61B53">
        <w:t xml:space="preserve"> </w:t>
      </w:r>
      <w:r w:rsidR="00810276" w:rsidRPr="00C61B53">
        <w:t xml:space="preserve">As for the future hopes he has no legal right but only an expectancy; and when the contract is terminated by the choice of [a contracting party] there is no breach of it. </w:t>
      </w:r>
      <w:r w:rsidR="00480444" w:rsidRPr="00C61B53">
        <w:t xml:space="preserve"> </w:t>
      </w:r>
      <w:r w:rsidR="00810276" w:rsidRPr="00C61B53">
        <w:t xml:space="preserve">The competitor is therefore free, for his own competitive advantage, to obtain the future benefits for himself by causing the termination. </w:t>
      </w:r>
      <w:r w:rsidR="00480444" w:rsidRPr="00C61B53">
        <w:t xml:space="preserve"> </w:t>
      </w:r>
      <w:r w:rsidR="00810276" w:rsidRPr="00C61B53">
        <w:t>Thus, he may offer better contract terms, as by offering an employee of the plaintiff more money to work for him or by offering a seller higher prices for goods, and he may make use of persuasion or other suitable means, all without liability.</w:t>
      </w:r>
      <w:r w:rsidR="00E04890" w:rsidRPr="00C61B53">
        <w:t>’ </w:t>
      </w:r>
      <w:r w:rsidR="00810276" w:rsidRPr="00C61B53">
        <w:t>”</w:t>
      </w:r>
      <w:r w:rsidR="00E04890" w:rsidRPr="00C61B53">
        <w:t xml:space="preserve">  </w:t>
      </w:r>
      <w:r w:rsidR="00E04890" w:rsidRPr="00C61B53">
        <w:lastRenderedPageBreak/>
        <w:t>(</w:t>
      </w:r>
      <w:r w:rsidR="00E04890" w:rsidRPr="00C61B53">
        <w:rPr>
          <w:i/>
        </w:rPr>
        <w:t>Reeves</w:t>
      </w:r>
      <w:r w:rsidR="00E04890" w:rsidRPr="00C61B53">
        <w:t xml:space="preserve">, at </w:t>
      </w:r>
      <w:r w:rsidR="004339D0" w:rsidRPr="00C61B53">
        <w:t>pp. 1151–1152,</w:t>
      </w:r>
      <w:r w:rsidR="00A838CB" w:rsidRPr="00C61B53">
        <w:t xml:space="preserve"> first </w:t>
      </w:r>
      <w:r w:rsidR="00574EE0" w:rsidRPr="00C61B53">
        <w:t>bracket</w:t>
      </w:r>
      <w:r w:rsidR="003A6B0C">
        <w:t>ed insertion</w:t>
      </w:r>
      <w:r w:rsidR="00A838CB" w:rsidRPr="00C61B53">
        <w:t xml:space="preserve"> added,</w:t>
      </w:r>
      <w:r w:rsidR="004339D0" w:rsidRPr="00C61B53">
        <w:t xml:space="preserve"> quoting Rest.2d Torts, § 768, com.</w:t>
      </w:r>
      <w:r w:rsidR="003E3715" w:rsidRPr="00C61B53">
        <w:t> </w:t>
      </w:r>
      <w:proofErr w:type="spellStart"/>
      <w:r w:rsidR="00430729">
        <w:t>i</w:t>
      </w:r>
      <w:proofErr w:type="spellEnd"/>
      <w:r w:rsidR="004339D0" w:rsidRPr="00C61B53">
        <w:t>.)</w:t>
      </w:r>
    </w:p>
    <w:p w14:paraId="667C1337" w14:textId="6ACE2A12" w:rsidR="001A1FB1" w:rsidRPr="00C61B53" w:rsidRDefault="001A1FB1" w:rsidP="00E63E66">
      <w:pPr>
        <w:tabs>
          <w:tab w:val="left" w:pos="720"/>
        </w:tabs>
      </w:pPr>
      <w:r w:rsidRPr="00C61B53">
        <w:tab/>
      </w:r>
      <w:proofErr w:type="spellStart"/>
      <w:r w:rsidR="00456AAF" w:rsidRPr="00C61B53">
        <w:t>Ixchel</w:t>
      </w:r>
      <w:proofErr w:type="spellEnd"/>
      <w:r w:rsidR="00C83D2D" w:rsidRPr="00C61B53">
        <w:t xml:space="preserve"> </w:t>
      </w:r>
      <w:r w:rsidR="00FC0735" w:rsidRPr="00C61B53">
        <w:t xml:space="preserve">argues </w:t>
      </w:r>
      <w:r w:rsidR="00456AAF" w:rsidRPr="00C61B53">
        <w:t xml:space="preserve">that we should limit </w:t>
      </w:r>
      <w:r w:rsidR="00456AAF" w:rsidRPr="00C61B53">
        <w:rPr>
          <w:i/>
        </w:rPr>
        <w:t>Reeves</w:t>
      </w:r>
      <w:r w:rsidR="00456AAF" w:rsidRPr="00C61B53">
        <w:t xml:space="preserve"> </w:t>
      </w:r>
      <w:r w:rsidR="007C7B9E" w:rsidRPr="00C61B53">
        <w:t>to the employment context</w:t>
      </w:r>
      <w:r w:rsidR="00A67CFB" w:rsidRPr="00C61B53">
        <w:t>.</w:t>
      </w:r>
      <w:r w:rsidR="007C7B9E" w:rsidRPr="00C61B53">
        <w:t xml:space="preserve"> </w:t>
      </w:r>
      <w:r w:rsidR="00A67CFB" w:rsidRPr="00C61B53">
        <w:t xml:space="preserve"> It cites </w:t>
      </w:r>
      <w:r w:rsidR="00BB715E" w:rsidRPr="00C61B53">
        <w:t>the employment</w:t>
      </w:r>
      <w:r w:rsidR="00763FF4" w:rsidRPr="00C61B53">
        <w:t>-</w:t>
      </w:r>
      <w:r w:rsidR="00BB715E" w:rsidRPr="00C61B53">
        <w:t xml:space="preserve">specific policy concerns animating </w:t>
      </w:r>
      <w:r w:rsidR="00BB715E" w:rsidRPr="00C61B53">
        <w:rPr>
          <w:i/>
        </w:rPr>
        <w:t>Reeves</w:t>
      </w:r>
      <w:r w:rsidR="00BB715E" w:rsidRPr="00C61B53">
        <w:t xml:space="preserve"> </w:t>
      </w:r>
      <w:r w:rsidR="00763FF4" w:rsidRPr="00C61B53">
        <w:t>as well as appellate</w:t>
      </w:r>
      <w:r w:rsidR="00EA32C8" w:rsidRPr="00C61B53">
        <w:t xml:space="preserve"> </w:t>
      </w:r>
      <w:r w:rsidR="00B43975" w:rsidRPr="00C61B53">
        <w:t>decisions</w:t>
      </w:r>
      <w:r w:rsidR="00EA32C8" w:rsidRPr="00C61B53">
        <w:t xml:space="preserve"> that have limited</w:t>
      </w:r>
      <w:r w:rsidR="00EA32C8" w:rsidRPr="00C61B53">
        <w:rPr>
          <w:i/>
        </w:rPr>
        <w:t xml:space="preserve"> </w:t>
      </w:r>
      <w:r w:rsidR="00175023" w:rsidRPr="00C61B53">
        <w:rPr>
          <w:i/>
        </w:rPr>
        <w:t>Reeves</w:t>
      </w:r>
      <w:r w:rsidR="00175023" w:rsidRPr="00C61B53">
        <w:t xml:space="preserve">’s </w:t>
      </w:r>
      <w:r w:rsidR="00EA32C8" w:rsidRPr="00C61B53">
        <w:t xml:space="preserve">holding to </w:t>
      </w:r>
      <w:r w:rsidR="004D0D07" w:rsidRPr="00C61B53">
        <w:t xml:space="preserve">suits </w:t>
      </w:r>
      <w:r w:rsidR="004602B3" w:rsidRPr="00C61B53">
        <w:t xml:space="preserve">involving </w:t>
      </w:r>
      <w:r w:rsidR="004D0D07" w:rsidRPr="00C61B53">
        <w:t>a</w:t>
      </w:r>
      <w:r w:rsidR="00156D7D" w:rsidRPr="00C61B53">
        <w:t xml:space="preserve"> former employer </w:t>
      </w:r>
      <w:r w:rsidR="004602B3" w:rsidRPr="00C61B53">
        <w:t xml:space="preserve">suing </w:t>
      </w:r>
      <w:r w:rsidR="00156D7D" w:rsidRPr="00C61B53">
        <w:t xml:space="preserve">a competitor for hiring </w:t>
      </w:r>
      <w:r w:rsidR="004D0D07" w:rsidRPr="00C61B53">
        <w:t>a</w:t>
      </w:r>
      <w:r w:rsidR="004602B3" w:rsidRPr="00C61B53">
        <w:t>way a</w:t>
      </w:r>
      <w:r w:rsidR="004D0D07" w:rsidRPr="00C61B53">
        <w:t xml:space="preserve"> </w:t>
      </w:r>
      <w:r w:rsidR="00156D7D" w:rsidRPr="00C61B53">
        <w:t>former employee.</w:t>
      </w:r>
      <w:r w:rsidR="00927962" w:rsidRPr="00C61B53">
        <w:t xml:space="preserve">  </w:t>
      </w:r>
      <w:r w:rsidR="004602B3" w:rsidRPr="00C61B53">
        <w:t>(See</w:t>
      </w:r>
      <w:r w:rsidR="00A57585" w:rsidRPr="00C61B53">
        <w:t xml:space="preserve"> </w:t>
      </w:r>
      <w:r w:rsidR="00A57585" w:rsidRPr="00C61B53">
        <w:rPr>
          <w:i/>
        </w:rPr>
        <w:t>Redfearn v. Trader Joe’s Co</w:t>
      </w:r>
      <w:r w:rsidR="00A57585" w:rsidRPr="00C61B53">
        <w:t xml:space="preserve">. (2018) 20 Cal.App.5th 989, 1003; </w:t>
      </w:r>
      <w:r w:rsidR="00A57585" w:rsidRPr="00C61B53">
        <w:rPr>
          <w:i/>
        </w:rPr>
        <w:t>Popescu v. Apple Inc.</w:t>
      </w:r>
      <w:r w:rsidR="00A57585" w:rsidRPr="00C61B53">
        <w:t xml:space="preserve"> (2016) 1 Cal.App.5th 39, 62.)</w:t>
      </w:r>
      <w:r w:rsidRPr="00C61B53">
        <w:t xml:space="preserve">  </w:t>
      </w:r>
      <w:r w:rsidR="007C7B9E" w:rsidRPr="00C61B53">
        <w:t xml:space="preserve">Biogen contends that </w:t>
      </w:r>
      <w:r w:rsidR="00A751F0" w:rsidRPr="00C61B53">
        <w:t xml:space="preserve">the </w:t>
      </w:r>
      <w:r w:rsidR="00927962" w:rsidRPr="00C61B53">
        <w:t>rationale</w:t>
      </w:r>
      <w:r w:rsidR="00A751F0" w:rsidRPr="00C61B53">
        <w:t xml:space="preserve"> </w:t>
      </w:r>
      <w:r w:rsidR="00783E3B" w:rsidRPr="00C61B53">
        <w:t xml:space="preserve">in </w:t>
      </w:r>
      <w:r w:rsidR="0087551B" w:rsidRPr="00C61B53">
        <w:rPr>
          <w:i/>
        </w:rPr>
        <w:t>Reeves</w:t>
      </w:r>
      <w:r w:rsidR="0083552B" w:rsidRPr="00C61B53">
        <w:t xml:space="preserve"> appl</w:t>
      </w:r>
      <w:r w:rsidR="00927962" w:rsidRPr="00C61B53">
        <w:t>ies</w:t>
      </w:r>
      <w:r w:rsidR="0083552B" w:rsidRPr="00C61B53">
        <w:t xml:space="preserve"> </w:t>
      </w:r>
      <w:r w:rsidR="0086117F" w:rsidRPr="00C61B53">
        <w:t xml:space="preserve">beyond the employment context </w:t>
      </w:r>
      <w:r w:rsidR="0083552B" w:rsidRPr="00C61B53">
        <w:t xml:space="preserve">to </w:t>
      </w:r>
      <w:r w:rsidR="00E34EC6" w:rsidRPr="00C61B53">
        <w:t xml:space="preserve">intentional interference with contract </w:t>
      </w:r>
      <w:r w:rsidR="00123AC0">
        <w:t xml:space="preserve">whenever a </w:t>
      </w:r>
      <w:r w:rsidR="00E34EC6" w:rsidRPr="00C61B53">
        <w:t>“</w:t>
      </w:r>
      <w:r w:rsidR="001F7731" w:rsidRPr="00C61B53">
        <w:t xml:space="preserve">defendant induces a new partner to terminate an at-will agreement.” </w:t>
      </w:r>
      <w:r w:rsidR="0012462A">
        <w:t xml:space="preserve"> </w:t>
      </w:r>
    </w:p>
    <w:p w14:paraId="045BFDE2" w14:textId="6592D897" w:rsidR="001A1FB1" w:rsidRPr="00C61B53" w:rsidRDefault="001A1FB1" w:rsidP="00E63E66">
      <w:pPr>
        <w:tabs>
          <w:tab w:val="left" w:pos="720"/>
        </w:tabs>
      </w:pPr>
      <w:r w:rsidRPr="00C61B53">
        <w:tab/>
      </w:r>
      <w:r w:rsidR="00DE464E" w:rsidRPr="00C61B53">
        <w:t>It is true that</w:t>
      </w:r>
      <w:r w:rsidR="0073298B" w:rsidRPr="00C61B53">
        <w:t xml:space="preserve"> our holding in </w:t>
      </w:r>
      <w:r w:rsidR="0073298B" w:rsidRPr="00C61B53">
        <w:rPr>
          <w:i/>
        </w:rPr>
        <w:t>Reeves</w:t>
      </w:r>
      <w:r w:rsidR="0073298B" w:rsidRPr="00C61B53">
        <w:t xml:space="preserve"> </w:t>
      </w:r>
      <w:r w:rsidR="0010469E">
        <w:t>relied partly</w:t>
      </w:r>
      <w:r w:rsidR="0086117F" w:rsidRPr="00C61B53">
        <w:t xml:space="preserve"> </w:t>
      </w:r>
      <w:r w:rsidR="0073298B" w:rsidRPr="00C61B53">
        <w:t>on reasoning specific to the employment context</w:t>
      </w:r>
      <w:r w:rsidR="00DE464E" w:rsidRPr="00C61B53">
        <w:t xml:space="preserve">.  But </w:t>
      </w:r>
      <w:r w:rsidR="0073298B" w:rsidRPr="00C61B53">
        <w:t xml:space="preserve">the broader logic underlying that decision is persuasive </w:t>
      </w:r>
      <w:r w:rsidR="00F74840" w:rsidRPr="00C61B53">
        <w:t>with respect to</w:t>
      </w:r>
      <w:r w:rsidR="009D07C6" w:rsidRPr="00C61B53">
        <w:t xml:space="preserve"> other spheres </w:t>
      </w:r>
      <w:r w:rsidR="00324CB0" w:rsidRPr="00C61B53">
        <w:t>of</w:t>
      </w:r>
      <w:r w:rsidR="009D07C6" w:rsidRPr="00C61B53">
        <w:t xml:space="preserve"> economic </w:t>
      </w:r>
      <w:r w:rsidR="00276B11">
        <w:t>relations</w:t>
      </w:r>
      <w:r w:rsidR="005D7828" w:rsidRPr="00C61B53">
        <w:t>.</w:t>
      </w:r>
      <w:r w:rsidRPr="00C61B53">
        <w:t xml:space="preserve">  </w:t>
      </w:r>
      <w:r w:rsidR="00E05AD0" w:rsidRPr="00C61B53">
        <w:t xml:space="preserve">The Restatement’s rationale </w:t>
      </w:r>
      <w:r w:rsidR="00175023" w:rsidRPr="00C61B53">
        <w:t xml:space="preserve">on which </w:t>
      </w:r>
      <w:r w:rsidR="00E05AD0" w:rsidRPr="00C61B53">
        <w:rPr>
          <w:i/>
        </w:rPr>
        <w:t xml:space="preserve">Reeves </w:t>
      </w:r>
      <w:r w:rsidR="00175023" w:rsidRPr="00C61B53">
        <w:t xml:space="preserve">relied </w:t>
      </w:r>
      <w:r w:rsidR="005A6B03" w:rsidRPr="00C61B53">
        <w:t xml:space="preserve">is </w:t>
      </w:r>
      <w:r w:rsidR="00E05AD0" w:rsidRPr="00C61B53">
        <w:t xml:space="preserve">not limited to </w:t>
      </w:r>
      <w:r w:rsidR="00BE36F4" w:rsidRPr="00C61B53">
        <w:t xml:space="preserve">employment </w:t>
      </w:r>
      <w:r w:rsidR="00840079" w:rsidRPr="00C61B53">
        <w:t>relationships</w:t>
      </w:r>
      <w:r w:rsidR="00BE36F4" w:rsidRPr="00C61B53">
        <w:t xml:space="preserve">.  </w:t>
      </w:r>
      <w:r w:rsidR="00E13B07" w:rsidRPr="00C61B53">
        <w:t>The Restatement</w:t>
      </w:r>
      <w:r w:rsidR="001E1674" w:rsidRPr="00C61B53">
        <w:t xml:space="preserve"> </w:t>
      </w:r>
      <w:r w:rsidR="00BE36F4" w:rsidRPr="00C61B53">
        <w:t>explains</w:t>
      </w:r>
      <w:r w:rsidR="00175023" w:rsidRPr="00C61B53">
        <w:t xml:space="preserve">: </w:t>
      </w:r>
      <w:r w:rsidR="001E1674" w:rsidRPr="00C61B53">
        <w:t xml:space="preserve"> </w:t>
      </w:r>
      <w:r w:rsidR="005E5A76" w:rsidRPr="00C61B53">
        <w:t xml:space="preserve">“One’s interest in a contract terminable at will is primarily an interest in future relations between the parties, and he has no legal assurance of them. </w:t>
      </w:r>
      <w:r w:rsidR="00111626" w:rsidRPr="00C61B53">
        <w:t xml:space="preserve"> </w:t>
      </w:r>
      <w:r w:rsidR="005E5A76" w:rsidRPr="00C61B53">
        <w:t>For this reason, an interference with this interest is closely analogous to interference with prospective contractual relations</w:t>
      </w:r>
      <w:r w:rsidR="00BF085E" w:rsidRPr="00C61B53">
        <w:t>.</w:t>
      </w:r>
      <w:r w:rsidR="006845C6" w:rsidRPr="00C61B53">
        <w:t xml:space="preserve">  [Citation.]  </w:t>
      </w:r>
      <w:r w:rsidR="0054632F" w:rsidRPr="00C61B53">
        <w:t>If the defendant was a competitor regarding the business involved in the contract, his interference with the contract may be not improper.</w:t>
      </w:r>
      <w:r w:rsidR="005E5A76" w:rsidRPr="00C61B53">
        <w:t>”</w:t>
      </w:r>
      <w:r w:rsidR="004B1AAC" w:rsidRPr="00C61B53">
        <w:t xml:space="preserve">  (Rest.2d Torts, § 76</w:t>
      </w:r>
      <w:r w:rsidR="005E5A76" w:rsidRPr="00C61B53">
        <w:t>6</w:t>
      </w:r>
      <w:r w:rsidR="004B1AAC" w:rsidRPr="00C61B53">
        <w:t>, com.</w:t>
      </w:r>
      <w:r w:rsidR="003E3715" w:rsidRPr="00C61B53">
        <w:t> </w:t>
      </w:r>
      <w:r w:rsidR="00253880" w:rsidRPr="00C61B53">
        <w:t>g; accord</w:t>
      </w:r>
      <w:r w:rsidR="000A038E" w:rsidRPr="00C61B53">
        <w:t>,</w:t>
      </w:r>
      <w:r w:rsidR="00253880" w:rsidRPr="00C61B53">
        <w:t xml:space="preserve"> </w:t>
      </w:r>
      <w:r w:rsidR="00253880" w:rsidRPr="00C61B53">
        <w:rPr>
          <w:i/>
        </w:rPr>
        <w:t>id</w:t>
      </w:r>
      <w:r w:rsidR="00253880" w:rsidRPr="00C61B53">
        <w:t>., § 768, com.</w:t>
      </w:r>
      <w:r w:rsidR="003E3715" w:rsidRPr="00C61B53">
        <w:t> </w:t>
      </w:r>
      <w:proofErr w:type="spellStart"/>
      <w:r w:rsidR="00253880" w:rsidRPr="00C61B53">
        <w:t>i</w:t>
      </w:r>
      <w:proofErr w:type="spellEnd"/>
      <w:r w:rsidR="004B1AAC" w:rsidRPr="00C61B53">
        <w:t>.)</w:t>
      </w:r>
    </w:p>
    <w:p w14:paraId="26A27939" w14:textId="024813FE" w:rsidR="005A35A2" w:rsidRPr="00C61B53" w:rsidRDefault="001A1FB1" w:rsidP="00E63E66">
      <w:pPr>
        <w:tabs>
          <w:tab w:val="left" w:pos="720"/>
        </w:tabs>
      </w:pPr>
      <w:r w:rsidRPr="00C61B53">
        <w:tab/>
      </w:r>
      <w:r w:rsidR="00340397" w:rsidRPr="00C61B53">
        <w:t xml:space="preserve">A number of states have adopted </w:t>
      </w:r>
      <w:r w:rsidR="0067454B" w:rsidRPr="00C61B53">
        <w:t xml:space="preserve">this section of the </w:t>
      </w:r>
      <w:r w:rsidR="00340397" w:rsidRPr="00C61B53">
        <w:t xml:space="preserve">Restatement to require </w:t>
      </w:r>
      <w:r w:rsidR="002E455B" w:rsidRPr="00C61B53">
        <w:t xml:space="preserve">proof of </w:t>
      </w:r>
      <w:r w:rsidR="00340397" w:rsidRPr="00C61B53">
        <w:t xml:space="preserve">independent wrongfulness </w:t>
      </w:r>
      <w:r w:rsidR="002E455B" w:rsidRPr="00C61B53">
        <w:t xml:space="preserve">in </w:t>
      </w:r>
      <w:r w:rsidR="00340397" w:rsidRPr="00C61B53">
        <w:t>a claim for interference with at</w:t>
      </w:r>
      <w:r w:rsidR="0067454B" w:rsidRPr="00C61B53">
        <w:t>-</w:t>
      </w:r>
      <w:r w:rsidR="00340397" w:rsidRPr="00C61B53">
        <w:t>will contractual relations</w:t>
      </w:r>
      <w:r w:rsidR="00430729">
        <w:t>.</w:t>
      </w:r>
      <w:r w:rsidR="00340397" w:rsidRPr="00C61B53">
        <w:t xml:space="preserve">  (</w:t>
      </w:r>
      <w:r w:rsidR="007904D9" w:rsidRPr="00C61B53">
        <w:t xml:space="preserve">See </w:t>
      </w:r>
      <w:proofErr w:type="spellStart"/>
      <w:r w:rsidR="00340397" w:rsidRPr="00C61B53">
        <w:rPr>
          <w:i/>
        </w:rPr>
        <w:lastRenderedPageBreak/>
        <w:t>Nostrame</w:t>
      </w:r>
      <w:proofErr w:type="spellEnd"/>
      <w:r w:rsidR="00340397" w:rsidRPr="00C61B53">
        <w:rPr>
          <w:i/>
        </w:rPr>
        <w:t xml:space="preserve"> v. Santiago</w:t>
      </w:r>
      <w:r w:rsidR="00340397" w:rsidRPr="00C61B53">
        <w:t xml:space="preserve"> (2013) 213 N.J. 109, 121; </w:t>
      </w:r>
      <w:r w:rsidR="00340397" w:rsidRPr="00C61B53">
        <w:rPr>
          <w:i/>
        </w:rPr>
        <w:t xml:space="preserve">Macklin v. Robert Logan Associates </w:t>
      </w:r>
      <w:r w:rsidR="00340397" w:rsidRPr="00C61B53">
        <w:t xml:space="preserve">(1994) 334 Md. 287, 304; </w:t>
      </w:r>
      <w:proofErr w:type="spellStart"/>
      <w:r w:rsidR="00340397" w:rsidRPr="00C61B53">
        <w:rPr>
          <w:i/>
        </w:rPr>
        <w:t>Duggin</w:t>
      </w:r>
      <w:proofErr w:type="spellEnd"/>
      <w:r w:rsidR="00340397" w:rsidRPr="00C61B53">
        <w:rPr>
          <w:i/>
        </w:rPr>
        <w:t xml:space="preserve"> v. Adams</w:t>
      </w:r>
      <w:r w:rsidR="00340397" w:rsidRPr="00C61B53">
        <w:t xml:space="preserve"> (1987) 234 Va. 221, 226–227; </w:t>
      </w:r>
      <w:r w:rsidR="00340397" w:rsidRPr="00C61B53">
        <w:rPr>
          <w:i/>
        </w:rPr>
        <w:t>Memorial Gardens, Inc. v. Olympian Sales &amp; Management Consultants, Inc</w:t>
      </w:r>
      <w:r w:rsidR="00340397" w:rsidRPr="00C61B53">
        <w:t xml:space="preserve">. (Colo. 1984) 690 P.2d 207, 211; </w:t>
      </w:r>
      <w:r w:rsidR="00340397" w:rsidRPr="00C61B53">
        <w:rPr>
          <w:i/>
        </w:rPr>
        <w:t>Guard-Life Corp. v. S. Parker Hardware Mfg. Corp</w:t>
      </w:r>
      <w:r w:rsidR="00340397" w:rsidRPr="00C61B53">
        <w:t>. (1980) 50 N.Y.2d 183, 191.)</w:t>
      </w:r>
      <w:r w:rsidR="00106F79" w:rsidRPr="00C61B53">
        <w:t xml:space="preserve">  </w:t>
      </w:r>
      <w:r w:rsidR="00F74C38" w:rsidRPr="00C61B53">
        <w:t xml:space="preserve">We have </w:t>
      </w:r>
      <w:r w:rsidR="007B2062" w:rsidRPr="00C61B53">
        <w:t>often</w:t>
      </w:r>
      <w:r w:rsidR="00192609" w:rsidRPr="00C61B53">
        <w:t xml:space="preserve"> </w:t>
      </w:r>
      <w:r w:rsidR="00BD243E" w:rsidRPr="00C61B53">
        <w:t xml:space="preserve">aligned the elements of both economic relations torts with the Restatement </w:t>
      </w:r>
      <w:r w:rsidR="00192609" w:rsidRPr="00C61B53">
        <w:t>(</w:t>
      </w:r>
      <w:r w:rsidR="005A35A2" w:rsidRPr="00C61B53">
        <w:t>s</w:t>
      </w:r>
      <w:r w:rsidR="00192609" w:rsidRPr="00C61B53">
        <w:t xml:space="preserve">ee </w:t>
      </w:r>
      <w:r w:rsidR="00192609" w:rsidRPr="00C61B53">
        <w:rPr>
          <w:i/>
        </w:rPr>
        <w:t>Korea Supply</w:t>
      </w:r>
      <w:r w:rsidR="00192609" w:rsidRPr="00C61B53">
        <w:t xml:space="preserve">, </w:t>
      </w:r>
      <w:r w:rsidR="00192609" w:rsidRPr="00C61B53">
        <w:rPr>
          <w:i/>
        </w:rPr>
        <w:t>supra</w:t>
      </w:r>
      <w:r w:rsidR="00192609" w:rsidRPr="00C61B53">
        <w:t xml:space="preserve">, 29 Cal.4th at p. 1156 [intentional interference with contract does not contain a specific intent requirement]; </w:t>
      </w:r>
      <w:proofErr w:type="spellStart"/>
      <w:r w:rsidR="00192609" w:rsidRPr="00C61B53">
        <w:rPr>
          <w:i/>
        </w:rPr>
        <w:t>Quelimane</w:t>
      </w:r>
      <w:proofErr w:type="spellEnd"/>
      <w:r w:rsidR="00192609" w:rsidRPr="00C61B53">
        <w:t xml:space="preserve">, </w:t>
      </w:r>
      <w:r w:rsidR="00192609" w:rsidRPr="00C61B53">
        <w:rPr>
          <w:i/>
        </w:rPr>
        <w:t>supra</w:t>
      </w:r>
      <w:r w:rsidR="00192609" w:rsidRPr="00C61B53">
        <w:t>, 19 Cal.4th at p.</w:t>
      </w:r>
      <w:r w:rsidR="00194768">
        <w:t> </w:t>
      </w:r>
      <w:r w:rsidR="00192609" w:rsidRPr="00C61B53">
        <w:t>56 [interference with prospective economic advantage does not contain a specific intent requirement]</w:t>
      </w:r>
      <w:r w:rsidR="00591C26" w:rsidRPr="00C61B53">
        <w:t xml:space="preserve">; </w:t>
      </w:r>
      <w:r w:rsidR="00591C26" w:rsidRPr="00C61B53">
        <w:rPr>
          <w:i/>
        </w:rPr>
        <w:t>Della Penna</w:t>
      </w:r>
      <w:r w:rsidR="00591C26" w:rsidRPr="00C61B53">
        <w:t xml:space="preserve">, </w:t>
      </w:r>
      <w:r w:rsidR="00591C26" w:rsidRPr="00C61B53">
        <w:rPr>
          <w:i/>
        </w:rPr>
        <w:t>supra</w:t>
      </w:r>
      <w:r w:rsidR="00591C26" w:rsidRPr="00C61B53">
        <w:t xml:space="preserve">, 11 Cal.4th at </w:t>
      </w:r>
      <w:r w:rsidR="00D340F7" w:rsidRPr="00C61B53">
        <w:t>p. 378 [interference with prospective economic advantage requires proof of a “</w:t>
      </w:r>
      <w:r w:rsidR="00430729">
        <w:t> ‘</w:t>
      </w:r>
      <w:r w:rsidR="00D340F7" w:rsidRPr="00C61B53">
        <w:t>wrongful act</w:t>
      </w:r>
      <w:r w:rsidR="00430729">
        <w:t>’ </w:t>
      </w:r>
      <w:r w:rsidR="00D340F7" w:rsidRPr="00C61B53">
        <w:t>”</w:t>
      </w:r>
      <w:r w:rsidR="007B2062" w:rsidRPr="00C61B53">
        <w:t>]</w:t>
      </w:r>
      <w:r w:rsidR="00192609" w:rsidRPr="00C61B53">
        <w:t>)</w:t>
      </w:r>
      <w:r w:rsidR="005A35A2" w:rsidRPr="00C61B53">
        <w:t>, and w</w:t>
      </w:r>
      <w:r w:rsidR="00192609" w:rsidRPr="00C61B53">
        <w:t xml:space="preserve">e find </w:t>
      </w:r>
      <w:r w:rsidR="00B02B57" w:rsidRPr="00C61B53">
        <w:t xml:space="preserve">the Restatement </w:t>
      </w:r>
      <w:r w:rsidR="00192609" w:rsidRPr="00C61B53">
        <w:t>persuasive here as well.</w:t>
      </w:r>
    </w:p>
    <w:p w14:paraId="7751E772" w14:textId="3B05BB46" w:rsidR="001A1FB1" w:rsidRPr="00C61B53" w:rsidRDefault="005A35A2" w:rsidP="00E63E66">
      <w:pPr>
        <w:tabs>
          <w:tab w:val="left" w:pos="720"/>
        </w:tabs>
      </w:pPr>
      <w:r w:rsidRPr="00C61B53">
        <w:tab/>
      </w:r>
      <w:r w:rsidR="0051311C" w:rsidRPr="00C61B53">
        <w:t xml:space="preserve">The purpose </w:t>
      </w:r>
      <w:r w:rsidR="00481EAF" w:rsidRPr="00C61B53">
        <w:t xml:space="preserve">of </w:t>
      </w:r>
      <w:r w:rsidR="00244297" w:rsidRPr="00C61B53">
        <w:t xml:space="preserve">the independent wrongfulness requirement in economic interference torts </w:t>
      </w:r>
      <w:r w:rsidR="00E73195" w:rsidRPr="00C61B53">
        <w:t xml:space="preserve">is to </w:t>
      </w:r>
      <w:r w:rsidR="0051530E" w:rsidRPr="00C61B53">
        <w:t>“balance between providing a remedy for predatory economic behavior and keeping legitimate business competition outside litigative bounds</w:t>
      </w:r>
      <w:r w:rsidR="00541A4A" w:rsidRPr="00C61B53">
        <w:t>.</w:t>
      </w:r>
      <w:r w:rsidR="0051530E" w:rsidRPr="00C61B53">
        <w:t>”</w:t>
      </w:r>
      <w:r w:rsidR="00546E60" w:rsidRPr="00C61B53">
        <w:t xml:space="preserve">  (</w:t>
      </w:r>
      <w:r w:rsidR="00546E60" w:rsidRPr="00C61B53">
        <w:rPr>
          <w:i/>
        </w:rPr>
        <w:t>Della Penna</w:t>
      </w:r>
      <w:r w:rsidR="00546E60" w:rsidRPr="00C61B53">
        <w:t xml:space="preserve">, </w:t>
      </w:r>
      <w:r w:rsidR="00546E60" w:rsidRPr="00C61B53">
        <w:rPr>
          <w:i/>
        </w:rPr>
        <w:t>supra</w:t>
      </w:r>
      <w:r w:rsidR="00546E60" w:rsidRPr="00C61B53">
        <w:t>, 11 Cal.4th at p. 378</w:t>
      </w:r>
      <w:r w:rsidR="00B71D2E" w:rsidRPr="00C61B53">
        <w:t xml:space="preserve">; </w:t>
      </w:r>
      <w:r w:rsidR="004F1AAD" w:rsidRPr="00C61B53">
        <w:t xml:space="preserve">see </w:t>
      </w:r>
      <w:proofErr w:type="spellStart"/>
      <w:r w:rsidR="00B71D2E" w:rsidRPr="00C61B53">
        <w:rPr>
          <w:i/>
        </w:rPr>
        <w:t>Buckaloo</w:t>
      </w:r>
      <w:proofErr w:type="spellEnd"/>
      <w:r w:rsidR="00B71D2E" w:rsidRPr="00C61B53">
        <w:t xml:space="preserve">, </w:t>
      </w:r>
      <w:r w:rsidR="004E22AB" w:rsidRPr="00C61B53">
        <w:rPr>
          <w:i/>
        </w:rPr>
        <w:t>supra</w:t>
      </w:r>
      <w:r w:rsidR="004E22AB" w:rsidRPr="00C61B53">
        <w:t>, 14 Cal.3d at p. 828</w:t>
      </w:r>
      <w:r w:rsidR="005F1746" w:rsidRPr="00C61B53">
        <w:t xml:space="preserve">; </w:t>
      </w:r>
      <w:r w:rsidR="005F1746" w:rsidRPr="00C61B53">
        <w:rPr>
          <w:i/>
        </w:rPr>
        <w:t>Imperial Ice</w:t>
      </w:r>
      <w:r w:rsidR="00BD03D4" w:rsidRPr="00C61B53">
        <w:t xml:space="preserve">, </w:t>
      </w:r>
      <w:r w:rsidR="00BD03D4" w:rsidRPr="00C61B53">
        <w:rPr>
          <w:i/>
        </w:rPr>
        <w:t>supra</w:t>
      </w:r>
      <w:r w:rsidR="00BD03D4" w:rsidRPr="00C61B53">
        <w:t xml:space="preserve">, </w:t>
      </w:r>
      <w:r w:rsidR="005F1746" w:rsidRPr="00C61B53">
        <w:t>18</w:t>
      </w:r>
      <w:r w:rsidR="00BD03D4" w:rsidRPr="00C61B53">
        <w:t xml:space="preserve"> Cal.2d at p. </w:t>
      </w:r>
      <w:r w:rsidR="005F1746" w:rsidRPr="00C61B53">
        <w:t>36</w:t>
      </w:r>
      <w:r w:rsidR="0051530E" w:rsidRPr="00C61B53">
        <w:t>.</w:t>
      </w:r>
      <w:r w:rsidR="00546E60" w:rsidRPr="00C61B53">
        <w:t>)</w:t>
      </w:r>
      <w:r w:rsidR="001A1FB1" w:rsidRPr="00C61B53">
        <w:t xml:space="preserve">  </w:t>
      </w:r>
      <w:r w:rsidR="00243A55" w:rsidRPr="00C61B53">
        <w:t>Where economic relati</w:t>
      </w:r>
      <w:r w:rsidR="00AC5FD7" w:rsidRPr="00C61B53">
        <w:t xml:space="preserve">onships have solidified into </w:t>
      </w:r>
      <w:r w:rsidR="004F1AAD" w:rsidRPr="00C61B53">
        <w:t xml:space="preserve">binding </w:t>
      </w:r>
      <w:r w:rsidR="00AC5FD7" w:rsidRPr="00C61B53">
        <w:t>future promises</w:t>
      </w:r>
      <w:r w:rsidR="004B5FBC" w:rsidRPr="00C61B53">
        <w:t>, the stability of the contractual relationship takes precedence over business competition.</w:t>
      </w:r>
      <w:r w:rsidR="001A1FB1" w:rsidRPr="00C61B53">
        <w:t xml:space="preserve">  </w:t>
      </w:r>
      <w:r w:rsidR="004B5FBC" w:rsidRPr="00C61B53">
        <w:t>While “[o]</w:t>
      </w:r>
      <w:proofErr w:type="spellStart"/>
      <w:r w:rsidR="004B5FBC" w:rsidRPr="00C61B53">
        <w:t>urs</w:t>
      </w:r>
      <w:proofErr w:type="spellEnd"/>
      <w:r w:rsidR="004B5FBC" w:rsidRPr="00C61B53">
        <w:t xml:space="preserve"> is a competitive economy in which business entities vie for economic advantage” (</w:t>
      </w:r>
      <w:proofErr w:type="spellStart"/>
      <w:r w:rsidR="004B5FBC" w:rsidRPr="00C61B53">
        <w:rPr>
          <w:i/>
        </w:rPr>
        <w:t>Buckaloo</w:t>
      </w:r>
      <w:proofErr w:type="spellEnd"/>
      <w:r w:rsidR="004B5FBC" w:rsidRPr="00C61B53">
        <w:t xml:space="preserve">, </w:t>
      </w:r>
      <w:r w:rsidR="004F1AAD" w:rsidRPr="00C61B53">
        <w:t xml:space="preserve">at </w:t>
      </w:r>
      <w:r w:rsidR="00D31F52" w:rsidRPr="00C61B53">
        <w:t>p</w:t>
      </w:r>
      <w:r w:rsidR="00D31F52" w:rsidRPr="00C61B53">
        <w:rPr>
          <w:i/>
        </w:rPr>
        <w:t>. </w:t>
      </w:r>
      <w:r w:rsidR="004B5FBC" w:rsidRPr="00C61B53">
        <w:t>828), that competition must at some point result in entities making agreements and exchanging things of value</w:t>
      </w:r>
      <w:r w:rsidR="001A1FB1" w:rsidRPr="00C61B53">
        <w:t xml:space="preserve">.  </w:t>
      </w:r>
      <w:r w:rsidR="00CA04FD" w:rsidRPr="00C61B53">
        <w:t xml:space="preserve">When parties enter a contract not terminable at will, they cement their bargained-for intentions </w:t>
      </w:r>
      <w:r w:rsidRPr="00C61B53">
        <w:t>in accordance with</w:t>
      </w:r>
      <w:r w:rsidR="00CA04FD" w:rsidRPr="00C61B53">
        <w:t xml:space="preserve"> the terms of that contract into the future.  </w:t>
      </w:r>
      <w:r w:rsidRPr="00C61B53">
        <w:t xml:space="preserve">The concreteness of </w:t>
      </w:r>
      <w:r w:rsidR="004434EF" w:rsidRPr="00C61B53">
        <w:t>this</w:t>
      </w:r>
      <w:r w:rsidR="00CA04FD" w:rsidRPr="00C61B53">
        <w:t xml:space="preserve"> relationship </w:t>
      </w:r>
      <w:r w:rsidRPr="00C61B53">
        <w:t>means that</w:t>
      </w:r>
      <w:r w:rsidR="00CA04FD" w:rsidRPr="00C61B53">
        <w:t xml:space="preserve"> contracting parties </w:t>
      </w:r>
      <w:r w:rsidRPr="00C61B53">
        <w:lastRenderedPageBreak/>
        <w:t xml:space="preserve">as well as </w:t>
      </w:r>
      <w:r w:rsidR="00CA04FD" w:rsidRPr="00C61B53">
        <w:t xml:space="preserve">other entities </w:t>
      </w:r>
      <w:r w:rsidRPr="00C61B53">
        <w:t xml:space="preserve">may </w:t>
      </w:r>
      <w:r w:rsidR="00CA04FD" w:rsidRPr="00C61B53">
        <w:t xml:space="preserve">structure their decisions, invest resources, and take risks in reliance on </w:t>
      </w:r>
      <w:r w:rsidRPr="00C61B53">
        <w:t>it</w:t>
      </w:r>
      <w:r w:rsidR="00CA04FD" w:rsidRPr="00C61B53">
        <w:t>.</w:t>
      </w:r>
      <w:r w:rsidR="001A1FB1" w:rsidRPr="00C61B53">
        <w:t xml:space="preserve">  </w:t>
      </w:r>
      <w:r w:rsidR="004B4A9C" w:rsidRPr="00C61B53">
        <w:t xml:space="preserve">It is precisely this </w:t>
      </w:r>
      <w:r w:rsidR="00030790" w:rsidRPr="00C61B53">
        <w:t xml:space="preserve">“exchange of promises resulting in such a formally cemented economic relationship </w:t>
      </w:r>
      <w:r w:rsidR="004B4A9C" w:rsidRPr="00C61B53">
        <w:t xml:space="preserve">[that </w:t>
      </w:r>
      <w:r w:rsidR="0091023E" w:rsidRPr="00C61B53">
        <w:t>courts have]</w:t>
      </w:r>
      <w:r w:rsidR="00030790" w:rsidRPr="00C61B53">
        <w:t xml:space="preserve"> deemed worthy of protection from interference by a stranger to the agreement</w:t>
      </w:r>
      <w:r w:rsidR="0091023E" w:rsidRPr="00C61B53">
        <w:t>.</w:t>
      </w:r>
      <w:r w:rsidR="00030790" w:rsidRPr="00C61B53">
        <w:t>”  (</w:t>
      </w:r>
      <w:r w:rsidR="00030790" w:rsidRPr="00C61B53">
        <w:rPr>
          <w:i/>
        </w:rPr>
        <w:t>Della Penna</w:t>
      </w:r>
      <w:r w:rsidR="00030790" w:rsidRPr="00C61B53">
        <w:t>, at p. 392</w:t>
      </w:r>
      <w:r w:rsidR="0091023E" w:rsidRPr="00C61B53">
        <w:t>.</w:t>
      </w:r>
      <w:r w:rsidR="00030790" w:rsidRPr="00C61B53">
        <w:t>)</w:t>
      </w:r>
      <w:r w:rsidR="001A1FB1" w:rsidRPr="00C61B53">
        <w:t xml:space="preserve">  </w:t>
      </w:r>
      <w:r w:rsidR="00CA04FD" w:rsidRPr="00C61B53">
        <w:t>“</w:t>
      </w:r>
      <w:r w:rsidRPr="00C61B53">
        <w:t>I</w:t>
      </w:r>
      <w:r w:rsidR="00CA04FD" w:rsidRPr="00C61B53">
        <w:t>ntentionally inducing or causing a breach of an existing contract is therefore a wrong in and of itself.”  (</w:t>
      </w:r>
      <w:proofErr w:type="spellStart"/>
      <w:r w:rsidR="00CA04FD" w:rsidRPr="00C61B53">
        <w:rPr>
          <w:i/>
        </w:rPr>
        <w:t>Quelimane</w:t>
      </w:r>
      <w:proofErr w:type="spellEnd"/>
      <w:r w:rsidR="00CA04FD" w:rsidRPr="00C61B53">
        <w:t xml:space="preserve">, </w:t>
      </w:r>
      <w:r w:rsidR="00CA04FD" w:rsidRPr="00C61B53">
        <w:rPr>
          <w:i/>
        </w:rPr>
        <w:t>supra</w:t>
      </w:r>
      <w:r w:rsidR="00CA04FD" w:rsidRPr="00C61B53">
        <w:t>, 19 Cal.4th at pp. 55–56.)</w:t>
      </w:r>
    </w:p>
    <w:p w14:paraId="2B55C2B9" w14:textId="2FF14E98" w:rsidR="001A1FB1" w:rsidRPr="00C61B53" w:rsidRDefault="001A1FB1" w:rsidP="00E63E66">
      <w:pPr>
        <w:tabs>
          <w:tab w:val="left" w:pos="720"/>
        </w:tabs>
      </w:pPr>
      <w:r w:rsidRPr="00C61B53">
        <w:tab/>
      </w:r>
      <w:r w:rsidR="005A35A2" w:rsidRPr="00C61B53">
        <w:t>T</w:t>
      </w:r>
      <w:r w:rsidR="005F2603" w:rsidRPr="00C61B53">
        <w:t xml:space="preserve">he same balance of interests </w:t>
      </w:r>
      <w:r w:rsidR="00F77C89" w:rsidRPr="00C61B53">
        <w:t xml:space="preserve">does not apply to </w:t>
      </w:r>
      <w:r w:rsidR="005A35A2" w:rsidRPr="00C61B53">
        <w:t xml:space="preserve">prospective </w:t>
      </w:r>
      <w:r w:rsidR="00F77C89" w:rsidRPr="00C61B53">
        <w:t>economic relationships.</w:t>
      </w:r>
      <w:r w:rsidR="001F5F1B" w:rsidRPr="00C61B53">
        <w:t xml:space="preserve"> </w:t>
      </w:r>
      <w:r w:rsidRPr="00C61B53">
        <w:t xml:space="preserve"> </w:t>
      </w:r>
      <w:r w:rsidR="005A35A2" w:rsidRPr="00C61B53">
        <w:t>Such</w:t>
      </w:r>
      <w:r w:rsidR="001F5F1B" w:rsidRPr="00C61B53">
        <w:t xml:space="preserve"> relationship</w:t>
      </w:r>
      <w:r w:rsidR="00AC5FD7" w:rsidRPr="00C61B53">
        <w:t>s</w:t>
      </w:r>
      <w:r w:rsidR="001F5F1B" w:rsidRPr="00C61B53">
        <w:t xml:space="preserve"> </w:t>
      </w:r>
      <w:r w:rsidR="00AB0676" w:rsidRPr="00C61B53">
        <w:t xml:space="preserve">are </w:t>
      </w:r>
      <w:r w:rsidR="001F5F1B" w:rsidRPr="00C61B53">
        <w:t>only “probable” (</w:t>
      </w:r>
      <w:r w:rsidR="001F5F1B" w:rsidRPr="00C61B53">
        <w:rPr>
          <w:i/>
        </w:rPr>
        <w:t>Korea Supply</w:t>
      </w:r>
      <w:r w:rsidR="001F5F1B" w:rsidRPr="00C61B53">
        <w:t xml:space="preserve">, </w:t>
      </w:r>
      <w:r w:rsidR="001F5F1B" w:rsidRPr="00C61B53">
        <w:rPr>
          <w:i/>
        </w:rPr>
        <w:t>supra</w:t>
      </w:r>
      <w:r w:rsidR="001F5F1B" w:rsidRPr="00C61B53">
        <w:t>, 29 Cal.4th at p. 1164)</w:t>
      </w:r>
      <w:r w:rsidR="000F0ABA" w:rsidRPr="00C61B53">
        <w:t>,</w:t>
      </w:r>
      <w:r w:rsidR="001F5F1B" w:rsidRPr="00C61B53">
        <w:t xml:space="preserve"> and </w:t>
      </w:r>
      <w:r w:rsidR="00546E60" w:rsidRPr="00C61B53">
        <w:t>harms</w:t>
      </w:r>
      <w:r w:rsidR="001F5F1B" w:rsidRPr="00C61B53">
        <w:t xml:space="preserve"> resulting from </w:t>
      </w:r>
      <w:r w:rsidR="00546E60" w:rsidRPr="00C61B53">
        <w:t xml:space="preserve">a breach of </w:t>
      </w:r>
      <w:r w:rsidR="00AB0676" w:rsidRPr="00C61B53">
        <w:t>such</w:t>
      </w:r>
      <w:r w:rsidR="00546E60" w:rsidRPr="00C61B53">
        <w:t xml:space="preserve"> relationship</w:t>
      </w:r>
      <w:r w:rsidR="00AB0676" w:rsidRPr="00C61B53">
        <w:t>s</w:t>
      </w:r>
      <w:r w:rsidR="00546E60" w:rsidRPr="00C61B53">
        <w:t xml:space="preserve"> are “speculative” (</w:t>
      </w:r>
      <w:proofErr w:type="spellStart"/>
      <w:r w:rsidR="00546E60" w:rsidRPr="00C61B53">
        <w:rPr>
          <w:i/>
        </w:rPr>
        <w:t>Quelimane</w:t>
      </w:r>
      <w:proofErr w:type="spellEnd"/>
      <w:r w:rsidR="00546E60" w:rsidRPr="00C61B53">
        <w:t xml:space="preserve">, </w:t>
      </w:r>
      <w:r w:rsidR="00546E60" w:rsidRPr="00C61B53">
        <w:rPr>
          <w:i/>
        </w:rPr>
        <w:t>supra</w:t>
      </w:r>
      <w:r w:rsidR="00546E60" w:rsidRPr="00C61B53">
        <w:t>, 19 Cal.4th at p. 56)</w:t>
      </w:r>
      <w:r w:rsidR="0051530E" w:rsidRPr="00C61B53">
        <w:t>.</w:t>
      </w:r>
      <w:r w:rsidR="00932906" w:rsidRPr="00C61B53">
        <w:t xml:space="preserve">  </w:t>
      </w:r>
      <w:r w:rsidR="00ED5AAD" w:rsidRPr="00C61B53">
        <w:t xml:space="preserve">Neither party to such </w:t>
      </w:r>
      <w:r w:rsidR="00B9135A" w:rsidRPr="00C61B53">
        <w:t xml:space="preserve">a </w:t>
      </w:r>
      <w:r w:rsidR="00ED5AAD" w:rsidRPr="00C61B53">
        <w:t>relationship h</w:t>
      </w:r>
      <w:r w:rsidR="001B3A86" w:rsidRPr="00C61B53">
        <w:t>as</w:t>
      </w:r>
      <w:r w:rsidR="00ED5AAD" w:rsidRPr="00C61B53">
        <w:t xml:space="preserve"> a legal claim to </w:t>
      </w:r>
      <w:r w:rsidR="0041038B" w:rsidRPr="00C61B53">
        <w:t>continued relations with the other.</w:t>
      </w:r>
      <w:r w:rsidRPr="00C61B53">
        <w:t xml:space="preserve">  </w:t>
      </w:r>
      <w:r w:rsidR="00546E60" w:rsidRPr="00C61B53">
        <w:t xml:space="preserve">Because </w:t>
      </w:r>
      <w:r w:rsidR="00A17188" w:rsidRPr="00C61B53">
        <w:t xml:space="preserve">the </w:t>
      </w:r>
      <w:r w:rsidR="0051530E" w:rsidRPr="00C61B53">
        <w:t xml:space="preserve">expectation of future relations is </w:t>
      </w:r>
      <w:r w:rsidR="0041038B" w:rsidRPr="00C61B53">
        <w:t xml:space="preserve">weaker </w:t>
      </w:r>
      <w:r w:rsidR="00433152" w:rsidRPr="00C61B53">
        <w:t xml:space="preserve">and the interest in </w:t>
      </w:r>
      <w:r w:rsidR="003A16FD" w:rsidRPr="00C61B53">
        <w:t xml:space="preserve">maintaining open competition </w:t>
      </w:r>
      <w:r w:rsidR="000F0ABA" w:rsidRPr="00C61B53">
        <w:t xml:space="preserve">is </w:t>
      </w:r>
      <w:r w:rsidR="006B4BF2" w:rsidRPr="00C61B53">
        <w:t xml:space="preserve">stronger, </w:t>
      </w:r>
      <w:r w:rsidR="00F77C89" w:rsidRPr="00C61B53">
        <w:t>“</w:t>
      </w:r>
      <w:r w:rsidR="005F2603" w:rsidRPr="00C61B53">
        <w:t>the law usually takes care to draw lines of legal liability in a way that maximizes areas of competition free of legal penalties.</w:t>
      </w:r>
      <w:r w:rsidR="00F77C89" w:rsidRPr="00C61B53">
        <w:t>”</w:t>
      </w:r>
      <w:r w:rsidR="0051530E" w:rsidRPr="00C61B53">
        <w:t xml:space="preserve">  (</w:t>
      </w:r>
      <w:r w:rsidR="0051530E" w:rsidRPr="00C61B53">
        <w:rPr>
          <w:i/>
        </w:rPr>
        <w:t>Della Penna</w:t>
      </w:r>
      <w:r w:rsidR="0051530E" w:rsidRPr="00C61B53">
        <w:t xml:space="preserve">, </w:t>
      </w:r>
      <w:r w:rsidR="0051530E" w:rsidRPr="00C61B53">
        <w:rPr>
          <w:i/>
        </w:rPr>
        <w:t>supra</w:t>
      </w:r>
      <w:r w:rsidR="0051530E" w:rsidRPr="00C61B53">
        <w:t>, 11 Cal.4th at p. 392.)</w:t>
      </w:r>
      <w:r w:rsidRPr="00C61B53">
        <w:t xml:space="preserve">  </w:t>
      </w:r>
      <w:r w:rsidR="0041038B" w:rsidRPr="00C61B53">
        <w:t xml:space="preserve">In </w:t>
      </w:r>
      <w:r w:rsidR="005A35A2" w:rsidRPr="00C61B53">
        <w:t>circumstances where parties have no legal assurance of future relations,</w:t>
      </w:r>
      <w:r w:rsidR="00FD1257" w:rsidRPr="00C61B53">
        <w:t xml:space="preserve"> “the rewards and risks of competition are dominant</w:t>
      </w:r>
      <w:r w:rsidR="005A35A2" w:rsidRPr="00C61B53">
        <w:t>.</w:t>
      </w:r>
      <w:r w:rsidR="00FD1257" w:rsidRPr="00C61B53">
        <w:t>”</w:t>
      </w:r>
      <w:r w:rsidR="004E124C" w:rsidRPr="00C61B53">
        <w:t xml:space="preserve"> </w:t>
      </w:r>
      <w:r w:rsidR="005A35A2" w:rsidRPr="00C61B53">
        <w:t xml:space="preserve"> </w:t>
      </w:r>
      <w:r w:rsidR="00DD2F26" w:rsidRPr="00C61B53">
        <w:t>(</w:t>
      </w:r>
      <w:r w:rsidR="005A35A2" w:rsidRPr="00C61B53">
        <w:rPr>
          <w:i/>
        </w:rPr>
        <w:t>Ibid.</w:t>
      </w:r>
      <w:r w:rsidR="00DD2F26" w:rsidRPr="00C61B53">
        <w:t>)</w:t>
      </w:r>
    </w:p>
    <w:p w14:paraId="3BE150A5" w14:textId="35D326E5" w:rsidR="00903D0D" w:rsidRPr="00C61B53" w:rsidRDefault="001A1FB1" w:rsidP="00E63E66">
      <w:pPr>
        <w:tabs>
          <w:tab w:val="left" w:pos="720"/>
        </w:tabs>
      </w:pPr>
      <w:r w:rsidRPr="00C61B53">
        <w:tab/>
      </w:r>
      <w:r w:rsidR="00B1361C" w:rsidRPr="00C61B53">
        <w:t>Like parties to a prospective economic relationship, p</w:t>
      </w:r>
      <w:r w:rsidR="00B0743C" w:rsidRPr="00C61B53">
        <w:t>arties to</w:t>
      </w:r>
      <w:r w:rsidR="00144C4D" w:rsidRPr="00C61B53">
        <w:t xml:space="preserve"> at</w:t>
      </w:r>
      <w:r w:rsidR="00347F61" w:rsidRPr="00C61B53">
        <w:t>-</w:t>
      </w:r>
      <w:r w:rsidR="00426A25" w:rsidRPr="00C61B53">
        <w:t xml:space="preserve">will contracts </w:t>
      </w:r>
      <w:r w:rsidR="00B0743C" w:rsidRPr="00C61B53">
        <w:t xml:space="preserve">have no legal assurance </w:t>
      </w:r>
      <w:r w:rsidR="00B1361C" w:rsidRPr="00C61B53">
        <w:t xml:space="preserve">of </w:t>
      </w:r>
      <w:r w:rsidR="00B0743C" w:rsidRPr="00C61B53">
        <w:t xml:space="preserve">future </w:t>
      </w:r>
      <w:r w:rsidR="00F320BD" w:rsidRPr="00C61B53">
        <w:t xml:space="preserve">economic </w:t>
      </w:r>
      <w:r w:rsidR="00B0743C" w:rsidRPr="00C61B53">
        <w:t>relations.</w:t>
      </w:r>
      <w:r w:rsidR="00C16ABC" w:rsidRPr="00C61B53">
        <w:t xml:space="preserve">  (See </w:t>
      </w:r>
      <w:r w:rsidR="00C16ABC" w:rsidRPr="00C61B53">
        <w:rPr>
          <w:i/>
        </w:rPr>
        <w:t>Beckwith v. Dahl</w:t>
      </w:r>
      <w:r w:rsidR="00C16ABC" w:rsidRPr="00C61B53">
        <w:t xml:space="preserve"> (2012) 205 Cal.App.4th 1039, 1053 [at</w:t>
      </w:r>
      <w:r w:rsidR="004B04E3" w:rsidRPr="00C61B53">
        <w:t>-</w:t>
      </w:r>
      <w:r w:rsidR="00C16ABC" w:rsidRPr="00C61B53">
        <w:t>will contract</w:t>
      </w:r>
      <w:r w:rsidR="00FF29E4" w:rsidRPr="00C61B53">
        <w:t>s</w:t>
      </w:r>
      <w:r w:rsidR="00C16ABC" w:rsidRPr="00C61B53">
        <w:t xml:space="preserve"> </w:t>
      </w:r>
      <w:r w:rsidR="00515984" w:rsidRPr="00C61B53">
        <w:t xml:space="preserve">provide </w:t>
      </w:r>
      <w:r w:rsidR="00061FB5" w:rsidRPr="00C61B53">
        <w:t>“only an expectation of future contractual relations”</w:t>
      </w:r>
      <w:r w:rsidR="00C16ABC" w:rsidRPr="00C61B53">
        <w:t>]</w:t>
      </w:r>
      <w:r w:rsidR="00CC1B6A" w:rsidRPr="00C61B53">
        <w:t xml:space="preserve">.) </w:t>
      </w:r>
      <w:r w:rsidRPr="00C61B53">
        <w:t xml:space="preserve"> </w:t>
      </w:r>
      <w:r w:rsidR="004E5653" w:rsidRPr="00C61B53">
        <w:t>An at-will contract may be terminated, by its terms, at the prerogative of a single party</w:t>
      </w:r>
      <w:r w:rsidR="000F0ABA" w:rsidRPr="00C61B53">
        <w:t xml:space="preserve">, whether it is </w:t>
      </w:r>
      <w:r w:rsidR="004E5653" w:rsidRPr="00C61B53">
        <w:t xml:space="preserve">because </w:t>
      </w:r>
      <w:r w:rsidR="00904948" w:rsidRPr="00C61B53">
        <w:t>that</w:t>
      </w:r>
      <w:r w:rsidR="004E5653" w:rsidRPr="00C61B53">
        <w:t xml:space="preserve"> party found a better offer from a competitor, </w:t>
      </w:r>
      <w:r w:rsidR="000F0ABA" w:rsidRPr="00C61B53">
        <w:t xml:space="preserve">because the party </w:t>
      </w:r>
      <w:r w:rsidR="004E5653" w:rsidRPr="00C61B53">
        <w:t xml:space="preserve">decided not to continue doing business, or </w:t>
      </w:r>
      <w:r w:rsidR="00515984" w:rsidRPr="00C61B53">
        <w:t xml:space="preserve">for </w:t>
      </w:r>
      <w:r w:rsidR="004E5653" w:rsidRPr="00C61B53">
        <w:t xml:space="preserve">some other reason.  </w:t>
      </w:r>
      <w:r w:rsidR="00E82F60" w:rsidRPr="00C61B53">
        <w:t>And t</w:t>
      </w:r>
      <w:r w:rsidR="00DA109C" w:rsidRPr="00C61B53">
        <w:t xml:space="preserve">he other </w:t>
      </w:r>
      <w:r w:rsidR="00DA109C" w:rsidRPr="00C61B53">
        <w:lastRenderedPageBreak/>
        <w:t xml:space="preserve">party </w:t>
      </w:r>
      <w:r w:rsidR="004E5653" w:rsidRPr="00C61B53">
        <w:t xml:space="preserve">has no legal claim to the continuation of the </w:t>
      </w:r>
      <w:r w:rsidR="00904948" w:rsidRPr="00C61B53">
        <w:t>relationship</w:t>
      </w:r>
      <w:r w:rsidR="004E5653" w:rsidRPr="00C61B53">
        <w:t>.  The contracting parties presumably bargained for these terms</w:t>
      </w:r>
      <w:r w:rsidR="00B1361C" w:rsidRPr="00C61B53">
        <w:t xml:space="preserve">, </w:t>
      </w:r>
      <w:r w:rsidR="004E5653" w:rsidRPr="00C61B53">
        <w:t>aware of the risk that the relationship may be terminated at any time.</w:t>
      </w:r>
      <w:r w:rsidR="00CC1B6A" w:rsidRPr="00C61B53">
        <w:t xml:space="preserve">  </w:t>
      </w:r>
      <w:r w:rsidR="004E5653" w:rsidRPr="00C61B53">
        <w:t xml:space="preserve">At-will contractual relations are thus not </w:t>
      </w:r>
      <w:r w:rsidR="00727F96">
        <w:t>cemented</w:t>
      </w:r>
      <w:r w:rsidR="004E5653" w:rsidRPr="00C61B53">
        <w:t xml:space="preserve"> in the way that a contract not terminable at will is</w:t>
      </w:r>
      <w:r w:rsidR="00F320BD" w:rsidRPr="00C61B53">
        <w:t>.</w:t>
      </w:r>
      <w:r w:rsidR="00A850BC" w:rsidRPr="00C61B53">
        <w:t xml:space="preserve">  </w:t>
      </w:r>
      <w:r w:rsidR="00B1361C" w:rsidRPr="00C61B53">
        <w:t>T</w:t>
      </w:r>
      <w:r w:rsidR="00903D0D" w:rsidRPr="00C61B53">
        <w:t>he interest in protecting the contract from interferenc</w:t>
      </w:r>
      <w:r w:rsidR="00CA55BE" w:rsidRPr="00C61B53">
        <w:t xml:space="preserve">e </w:t>
      </w:r>
      <w:r w:rsidR="00B1361C" w:rsidRPr="00C61B53">
        <w:t xml:space="preserve">more closely </w:t>
      </w:r>
      <w:r w:rsidR="00CA55BE" w:rsidRPr="00C61B53">
        <w:t xml:space="preserve">resembles the interest in </w:t>
      </w:r>
      <w:r w:rsidR="00903D0D" w:rsidRPr="00C61B53">
        <w:t>protecting prospective economic relationships</w:t>
      </w:r>
      <w:r w:rsidR="00CA55BE" w:rsidRPr="00C61B53">
        <w:t xml:space="preserve"> </w:t>
      </w:r>
      <w:r w:rsidR="00B1361C" w:rsidRPr="00C61B53">
        <w:t>than the interest in protecting a contractual relationship that, by its terms, is expected to continue on pain of breach</w:t>
      </w:r>
      <w:r w:rsidR="00CA55BE" w:rsidRPr="00C61B53">
        <w:t>.</w:t>
      </w:r>
    </w:p>
    <w:p w14:paraId="589483B4" w14:textId="2731EAC3" w:rsidR="00F863B0" w:rsidRPr="00C61B53" w:rsidRDefault="00CC1B6A" w:rsidP="00E63E66">
      <w:pPr>
        <w:tabs>
          <w:tab w:val="left" w:pos="720"/>
        </w:tabs>
      </w:pPr>
      <w:r w:rsidRPr="00C61B53">
        <w:tab/>
      </w:r>
      <w:r w:rsidR="008E0636" w:rsidRPr="00C61B53">
        <w:t xml:space="preserve">Indeed, </w:t>
      </w:r>
      <w:r w:rsidR="00790857">
        <w:t xml:space="preserve">sometimes </w:t>
      </w:r>
      <w:r w:rsidR="008E0636" w:rsidRPr="00C61B53">
        <w:t xml:space="preserve">the </w:t>
      </w:r>
      <w:r w:rsidR="00790857">
        <w:t xml:space="preserve">only </w:t>
      </w:r>
      <w:r w:rsidR="008E0636" w:rsidRPr="00C61B53">
        <w:t>difference between an at-will contract an</w:t>
      </w:r>
      <w:r w:rsidR="0096676F" w:rsidRPr="00C61B53">
        <w:t>d</w:t>
      </w:r>
      <w:r w:rsidR="008E0636" w:rsidRPr="00C61B53">
        <w:t xml:space="preserve"> </w:t>
      </w:r>
      <w:r w:rsidR="0020080B" w:rsidRPr="00C61B53">
        <w:t xml:space="preserve">a </w:t>
      </w:r>
      <w:r w:rsidR="008E0636" w:rsidRPr="00C61B53">
        <w:t>prospective economic relation</w:t>
      </w:r>
      <w:r w:rsidR="0096676F" w:rsidRPr="00C61B53">
        <w:t xml:space="preserve">ship </w:t>
      </w:r>
      <w:r w:rsidR="00204711">
        <w:t>is the</w:t>
      </w:r>
      <w:r w:rsidR="00411FA5" w:rsidRPr="00C61B53">
        <w:t xml:space="preserve"> </w:t>
      </w:r>
      <w:r w:rsidR="00904948" w:rsidRPr="00C61B53">
        <w:t>formality of</w:t>
      </w:r>
      <w:r w:rsidR="0096676F" w:rsidRPr="00C61B53">
        <w:t xml:space="preserve"> how </w:t>
      </w:r>
      <w:r w:rsidR="009917E6">
        <w:t>a</w:t>
      </w:r>
      <w:r w:rsidR="0096676F" w:rsidRPr="00C61B53">
        <w:t xml:space="preserve"> contract</w:t>
      </w:r>
      <w:r w:rsidR="009917E6">
        <w:t>ual relationship</w:t>
      </w:r>
      <w:r w:rsidR="0096676F" w:rsidRPr="00C61B53">
        <w:t xml:space="preserve"> is structured.</w:t>
      </w:r>
      <w:r w:rsidRPr="00C61B53">
        <w:t xml:space="preserve">  </w:t>
      </w:r>
      <w:r w:rsidR="002C7332" w:rsidRPr="00C61B53">
        <w:t>For example,</w:t>
      </w:r>
      <w:r w:rsidR="00A15370" w:rsidRPr="00C61B53">
        <w:t xml:space="preserve"> a</w:t>
      </w:r>
      <w:r w:rsidR="005275DA" w:rsidRPr="00C61B53">
        <w:t xml:space="preserve"> buyer </w:t>
      </w:r>
      <w:r w:rsidR="00F14B99" w:rsidRPr="00C61B53">
        <w:t>who</w:t>
      </w:r>
      <w:r w:rsidR="00A15370" w:rsidRPr="00C61B53">
        <w:t xml:space="preserve"> </w:t>
      </w:r>
      <w:r w:rsidR="00827B27" w:rsidRPr="00C61B53">
        <w:t>regularly</w:t>
      </w:r>
      <w:r w:rsidR="005275DA" w:rsidRPr="00C61B53">
        <w:t xml:space="preserve"> renews </w:t>
      </w:r>
      <w:r w:rsidR="00077001" w:rsidRPr="00C61B53">
        <w:t xml:space="preserve">a </w:t>
      </w:r>
      <w:r w:rsidR="007B2476" w:rsidRPr="00C61B53">
        <w:t xml:space="preserve">one-time </w:t>
      </w:r>
      <w:r w:rsidR="00077001" w:rsidRPr="00C61B53">
        <w:t>contract</w:t>
      </w:r>
      <w:r w:rsidR="00AD20E4" w:rsidRPr="00C61B53">
        <w:t xml:space="preserve"> </w:t>
      </w:r>
      <w:r w:rsidR="007B2476" w:rsidRPr="00C61B53">
        <w:t xml:space="preserve">to purchase goods </w:t>
      </w:r>
      <w:r w:rsidR="000E7419" w:rsidRPr="00C61B53">
        <w:t xml:space="preserve">has a prospective economic relationship </w:t>
      </w:r>
      <w:r w:rsidR="00AD20E4" w:rsidRPr="00C61B53">
        <w:t xml:space="preserve">with </w:t>
      </w:r>
      <w:r w:rsidR="000E7419" w:rsidRPr="00C61B53">
        <w:t>the</w:t>
      </w:r>
      <w:r w:rsidR="00AD20E4" w:rsidRPr="00C61B53">
        <w:t xml:space="preserve"> vendor</w:t>
      </w:r>
      <w:r w:rsidR="00077001" w:rsidRPr="00C61B53">
        <w:t xml:space="preserve"> </w:t>
      </w:r>
      <w:r w:rsidR="002D5D32" w:rsidRPr="00C61B53">
        <w:t xml:space="preserve">with respect to future </w:t>
      </w:r>
      <w:r w:rsidR="00092C66" w:rsidRPr="00C61B53">
        <w:t>purchases</w:t>
      </w:r>
      <w:r w:rsidR="007B2476" w:rsidRPr="00C61B53">
        <w:t xml:space="preserve"> of those goods</w:t>
      </w:r>
      <w:r w:rsidR="00CA1590" w:rsidRPr="00C61B53">
        <w:t xml:space="preserve">.  (See </w:t>
      </w:r>
      <w:proofErr w:type="spellStart"/>
      <w:r w:rsidR="00CA1590" w:rsidRPr="00C61B53">
        <w:rPr>
          <w:i/>
        </w:rPr>
        <w:t>Shida</w:t>
      </w:r>
      <w:proofErr w:type="spellEnd"/>
      <w:r w:rsidR="00CA1590" w:rsidRPr="00C61B53">
        <w:rPr>
          <w:i/>
        </w:rPr>
        <w:t xml:space="preserve"> v. Japan Food Corp.</w:t>
      </w:r>
      <w:r w:rsidR="00CA1590" w:rsidRPr="00C61B53">
        <w:t xml:space="preserve"> (1967) 251 Cal.App.2d 864, 866 [interference with yearly renewal of contract </w:t>
      </w:r>
      <w:r w:rsidR="004628AC" w:rsidRPr="00C61B53">
        <w:t>treated</w:t>
      </w:r>
      <w:r w:rsidR="00CA1590" w:rsidRPr="00C61B53">
        <w:t xml:space="preserve"> as interference with prospective </w:t>
      </w:r>
      <w:r w:rsidR="00E315B6">
        <w:t xml:space="preserve">economic </w:t>
      </w:r>
      <w:r w:rsidR="00CA1590" w:rsidRPr="00C61B53">
        <w:t>advantage].)</w:t>
      </w:r>
      <w:r w:rsidRPr="00C61B53">
        <w:t xml:space="preserve">  </w:t>
      </w:r>
      <w:r w:rsidR="00AD20E4" w:rsidRPr="00C61B53">
        <w:t xml:space="preserve">But that same buyer </w:t>
      </w:r>
      <w:r w:rsidR="00797D43" w:rsidRPr="00C61B53">
        <w:t xml:space="preserve">would have an at-will contractual relationship if </w:t>
      </w:r>
      <w:r w:rsidR="00B1361C" w:rsidRPr="00C61B53">
        <w:t xml:space="preserve">it </w:t>
      </w:r>
      <w:r w:rsidR="001E3EC5" w:rsidRPr="00C61B53">
        <w:t>enter</w:t>
      </w:r>
      <w:r w:rsidR="00797D43" w:rsidRPr="00C61B53">
        <w:t>ed</w:t>
      </w:r>
      <w:r w:rsidR="001E3EC5" w:rsidRPr="00C61B53">
        <w:t xml:space="preserve"> into </w:t>
      </w:r>
      <w:r w:rsidR="005F475B" w:rsidRPr="00C61B53">
        <w:t>a</w:t>
      </w:r>
      <w:r w:rsidR="00904948" w:rsidRPr="00C61B53">
        <w:t xml:space="preserve"> single</w:t>
      </w:r>
      <w:r w:rsidR="00517ED5" w:rsidRPr="00C61B53">
        <w:t xml:space="preserve"> </w:t>
      </w:r>
      <w:r w:rsidR="008E0636" w:rsidRPr="00C61B53">
        <w:t xml:space="preserve">contract </w:t>
      </w:r>
      <w:r w:rsidR="00726182" w:rsidRPr="00C61B53">
        <w:t xml:space="preserve">with the vendor to provide </w:t>
      </w:r>
      <w:r w:rsidR="00A858DC">
        <w:t xml:space="preserve">those </w:t>
      </w:r>
      <w:r w:rsidR="00726182" w:rsidRPr="00C61B53">
        <w:t xml:space="preserve">goods at regular intervals </w:t>
      </w:r>
      <w:r w:rsidR="008E0636" w:rsidRPr="00C61B53">
        <w:t xml:space="preserve">terminable at </w:t>
      </w:r>
      <w:r w:rsidR="00165FEA">
        <w:t xml:space="preserve">the buyer’s </w:t>
      </w:r>
      <w:r w:rsidR="008E0636" w:rsidRPr="00C61B53">
        <w:t>will.</w:t>
      </w:r>
      <w:r w:rsidRPr="00C61B53">
        <w:t xml:space="preserve">  </w:t>
      </w:r>
      <w:r w:rsidR="00CB0A37" w:rsidRPr="00C61B53">
        <w:t>In both, the</w:t>
      </w:r>
      <w:r w:rsidR="00726182" w:rsidRPr="00C61B53">
        <w:t xml:space="preserve"> vendor has no </w:t>
      </w:r>
      <w:r w:rsidR="00C44EB2" w:rsidRPr="00C61B53">
        <w:t>legal assurance of the buyer’s continued purchases.</w:t>
      </w:r>
    </w:p>
    <w:p w14:paraId="1A1ED412" w14:textId="7F79E42D" w:rsidR="00CC1B6A" w:rsidRPr="00C61B53" w:rsidRDefault="00CC1B6A" w:rsidP="00E63E66">
      <w:pPr>
        <w:tabs>
          <w:tab w:val="left" w:pos="720"/>
        </w:tabs>
      </w:pPr>
      <w:r w:rsidRPr="00C61B53">
        <w:tab/>
      </w:r>
      <w:r w:rsidR="00C24417" w:rsidRPr="00C61B53">
        <w:t xml:space="preserve">We recognize that </w:t>
      </w:r>
      <w:r w:rsidR="00175023" w:rsidRPr="00C61B53">
        <w:t>i</w:t>
      </w:r>
      <w:r w:rsidR="00C24417" w:rsidRPr="00C61B53">
        <w:t xml:space="preserve">n an at-will contract, the </w:t>
      </w:r>
      <w:r w:rsidR="00175023" w:rsidRPr="00C61B53">
        <w:t xml:space="preserve">parties’ </w:t>
      </w:r>
      <w:r w:rsidR="00C24417" w:rsidRPr="00C61B53">
        <w:t>expectation</w:t>
      </w:r>
      <w:r w:rsidR="00165FEA">
        <w:t>s</w:t>
      </w:r>
      <w:r w:rsidR="00057BD7" w:rsidRPr="00C61B53">
        <w:t xml:space="preserve"> </w:t>
      </w:r>
      <w:r w:rsidR="00B921D3">
        <w:t>are</w:t>
      </w:r>
      <w:r w:rsidR="004930EA" w:rsidRPr="00C61B53">
        <w:t xml:space="preserve"> of</w:t>
      </w:r>
      <w:r w:rsidR="00C24417" w:rsidRPr="00C61B53">
        <w:t xml:space="preserve"> continuity unless one party terminates the contract</w:t>
      </w:r>
      <w:r w:rsidR="00175023" w:rsidRPr="00C61B53">
        <w:t>, whereas the expectation</w:t>
      </w:r>
      <w:r w:rsidR="00B921D3">
        <w:t>s</w:t>
      </w:r>
      <w:r w:rsidR="00175023" w:rsidRPr="00C61B53">
        <w:t xml:space="preserve"> of </w:t>
      </w:r>
      <w:r w:rsidR="00B954CD">
        <w:t xml:space="preserve">a continued </w:t>
      </w:r>
      <w:r w:rsidR="00175023" w:rsidRPr="00C61B53">
        <w:t xml:space="preserve">relationship </w:t>
      </w:r>
      <w:r w:rsidR="00B954CD">
        <w:t>are</w:t>
      </w:r>
      <w:r w:rsidR="00175023" w:rsidRPr="00C61B53">
        <w:t xml:space="preserve"> more speculative </w:t>
      </w:r>
      <w:r w:rsidR="00C24417" w:rsidRPr="00C61B53">
        <w:t xml:space="preserve">where no contract exists.  But </w:t>
      </w:r>
      <w:r w:rsidR="00057BD7" w:rsidRPr="00C61B53">
        <w:t xml:space="preserve">from the perspective </w:t>
      </w:r>
      <w:r w:rsidR="00DD462C" w:rsidRPr="00C61B53">
        <w:t>of</w:t>
      </w:r>
      <w:r w:rsidR="00057BD7" w:rsidRPr="00C61B53">
        <w:t xml:space="preserve"> third part</w:t>
      </w:r>
      <w:r w:rsidR="00C67C7E" w:rsidRPr="00C61B53">
        <w:t>ies</w:t>
      </w:r>
      <w:r w:rsidR="00057BD7" w:rsidRPr="00C61B53">
        <w:t xml:space="preserve">, </w:t>
      </w:r>
      <w:r w:rsidR="00726BDB" w:rsidRPr="00C61B53">
        <w:t xml:space="preserve">there is no legal basis </w:t>
      </w:r>
      <w:r w:rsidR="00175023" w:rsidRPr="00C61B53">
        <w:t xml:space="preserve">in either case </w:t>
      </w:r>
      <w:r w:rsidR="00726BDB" w:rsidRPr="00C61B53">
        <w:t xml:space="preserve">to </w:t>
      </w:r>
      <w:r w:rsidR="00C17E57" w:rsidRPr="00C61B53">
        <w:t xml:space="preserve">expect </w:t>
      </w:r>
      <w:r w:rsidR="004844A0" w:rsidRPr="00C61B53">
        <w:t xml:space="preserve">the continuity of the relationship </w:t>
      </w:r>
      <w:r w:rsidR="00175023" w:rsidRPr="00C61B53">
        <w:t xml:space="preserve">or </w:t>
      </w:r>
      <w:r w:rsidR="008176DA" w:rsidRPr="00C61B53">
        <w:t xml:space="preserve">to </w:t>
      </w:r>
      <w:r w:rsidR="00175023" w:rsidRPr="00C61B53">
        <w:t>make</w:t>
      </w:r>
      <w:r w:rsidR="005B620B" w:rsidRPr="00C61B53">
        <w:t xml:space="preserve"> decisions in reliance on the relationship.</w:t>
      </w:r>
      <w:r w:rsidR="00685F46" w:rsidRPr="00C61B53">
        <w:t xml:space="preserve">  </w:t>
      </w:r>
      <w:r w:rsidR="00562024" w:rsidRPr="00C61B53">
        <w:t xml:space="preserve">We are not convinced </w:t>
      </w:r>
      <w:r w:rsidR="009E3521" w:rsidRPr="00C61B53">
        <w:t xml:space="preserve">that </w:t>
      </w:r>
      <w:r w:rsidR="000A038E" w:rsidRPr="00C61B53">
        <w:t>any</w:t>
      </w:r>
      <w:r w:rsidR="00685F46" w:rsidRPr="00C61B53">
        <w:t xml:space="preserve"> </w:t>
      </w:r>
      <w:r w:rsidR="009E3521" w:rsidRPr="00C61B53">
        <w:t xml:space="preserve">difference </w:t>
      </w:r>
      <w:r w:rsidR="00685F46" w:rsidRPr="00C61B53">
        <w:t xml:space="preserve">in expectations between the parties </w:t>
      </w:r>
      <w:r w:rsidR="000A780E" w:rsidRPr="00C61B53">
        <w:t>require</w:t>
      </w:r>
      <w:r w:rsidR="00685F46" w:rsidRPr="00C61B53">
        <w:t>s</w:t>
      </w:r>
      <w:r w:rsidR="000A780E" w:rsidRPr="00C61B53">
        <w:t xml:space="preserve"> a different pleading standard between interference with </w:t>
      </w:r>
      <w:r w:rsidR="000A780E" w:rsidRPr="00C61B53">
        <w:lastRenderedPageBreak/>
        <w:t>prospective economic advantage and interference with at</w:t>
      </w:r>
      <w:r w:rsidR="00DA05B1" w:rsidRPr="00C61B53">
        <w:t>-</w:t>
      </w:r>
      <w:r w:rsidR="000A780E" w:rsidRPr="00C61B53">
        <w:t>will contractual relations</w:t>
      </w:r>
      <w:r w:rsidR="00A7259C" w:rsidRPr="00C61B53">
        <w:t>.</w:t>
      </w:r>
      <w:r w:rsidR="00DA05B1" w:rsidRPr="00C61B53">
        <w:t xml:space="preserve">  </w:t>
      </w:r>
    </w:p>
    <w:p w14:paraId="52BA1241" w14:textId="6914D522" w:rsidR="000F49D4" w:rsidRPr="00C61B53" w:rsidRDefault="00CC1B6A" w:rsidP="00E63E66">
      <w:pPr>
        <w:tabs>
          <w:tab w:val="left" w:pos="720"/>
        </w:tabs>
      </w:pPr>
      <w:r w:rsidRPr="00C61B53">
        <w:tab/>
      </w:r>
      <w:r w:rsidR="00E87658" w:rsidRPr="00C61B53">
        <w:t xml:space="preserve">Finally, </w:t>
      </w:r>
      <w:r w:rsidR="005F59D8" w:rsidRPr="00C61B53">
        <w:t>allowing interference with at-will contract claims</w:t>
      </w:r>
      <w:r w:rsidR="002328E6" w:rsidRPr="00C61B53">
        <w:t xml:space="preserve"> without</w:t>
      </w:r>
      <w:r w:rsidR="0045298E" w:rsidRPr="00C61B53">
        <w:t xml:space="preserve"> </w:t>
      </w:r>
      <w:r w:rsidR="002328E6" w:rsidRPr="00C61B53">
        <w:t xml:space="preserve">requiring </w:t>
      </w:r>
      <w:r w:rsidR="0045298E" w:rsidRPr="00C61B53">
        <w:t xml:space="preserve">independent wrongfulness </w:t>
      </w:r>
      <w:r w:rsidR="00F66D11" w:rsidRPr="00C61B53">
        <w:t xml:space="preserve">risks </w:t>
      </w:r>
      <w:r w:rsidR="0045298E" w:rsidRPr="00C61B53">
        <w:t>chill</w:t>
      </w:r>
      <w:r w:rsidR="00F66D11" w:rsidRPr="00C61B53">
        <w:t>ing</w:t>
      </w:r>
      <w:r w:rsidR="0045298E" w:rsidRPr="00C61B53">
        <w:t xml:space="preserve"> </w:t>
      </w:r>
      <w:r w:rsidR="00244FA9" w:rsidRPr="00C61B53">
        <w:t xml:space="preserve">legitimate business </w:t>
      </w:r>
      <w:r w:rsidR="00A6468F" w:rsidRPr="00C61B53">
        <w:t>competition</w:t>
      </w:r>
      <w:r w:rsidR="00244FA9" w:rsidRPr="00C61B53">
        <w:t>.</w:t>
      </w:r>
      <w:r w:rsidRPr="00C61B53">
        <w:t xml:space="preserve">  </w:t>
      </w:r>
      <w:r w:rsidR="002328E6" w:rsidRPr="00C61B53">
        <w:t>An actionable claim for i</w:t>
      </w:r>
      <w:r w:rsidR="00EF727A" w:rsidRPr="00C61B53">
        <w:t xml:space="preserve">nterference with contractual relations </w:t>
      </w:r>
      <w:r w:rsidR="00EC64EB" w:rsidRPr="00C61B53">
        <w:t xml:space="preserve">does not require that the </w:t>
      </w:r>
      <w:r w:rsidR="008439A9" w:rsidRPr="00C61B53">
        <w:t xml:space="preserve">defendant have the specific intent to </w:t>
      </w:r>
      <w:r w:rsidR="00274039" w:rsidRPr="00C61B53">
        <w:t>interfere with a contract.  A plaintiff states a claim so long as</w:t>
      </w:r>
      <w:r w:rsidR="002652CD" w:rsidRPr="00C61B53">
        <w:t xml:space="preserve"> </w:t>
      </w:r>
      <w:r w:rsidR="00B1361C" w:rsidRPr="00C61B53">
        <w:t xml:space="preserve">it </w:t>
      </w:r>
      <w:r w:rsidR="002652CD" w:rsidRPr="00C61B53">
        <w:t xml:space="preserve">alleges that the defendant </w:t>
      </w:r>
      <w:r w:rsidR="006465E4" w:rsidRPr="00C61B53">
        <w:t>knew</w:t>
      </w:r>
      <w:r w:rsidR="00274039" w:rsidRPr="00C61B53">
        <w:t xml:space="preserve"> interference </w:t>
      </w:r>
      <w:r w:rsidR="006465E4" w:rsidRPr="00C61B53">
        <w:t>was</w:t>
      </w:r>
      <w:r w:rsidR="00274039" w:rsidRPr="00C61B53">
        <w:t xml:space="preserve"> “</w:t>
      </w:r>
      <w:r w:rsidR="00C16546" w:rsidRPr="00C61B53">
        <w:t> ‘</w:t>
      </w:r>
      <w:r w:rsidR="00274039" w:rsidRPr="00C61B53">
        <w:t xml:space="preserve">certain or substantially certain to occur as a result of </w:t>
      </w:r>
      <w:r w:rsidR="00C16546" w:rsidRPr="00C61B53">
        <w:t>[defendant’s] action.’ </w:t>
      </w:r>
      <w:r w:rsidR="00274039" w:rsidRPr="00C61B53">
        <w:t>”</w:t>
      </w:r>
      <w:r w:rsidR="00EC64EB" w:rsidRPr="00C61B53">
        <w:t xml:space="preserve">  (</w:t>
      </w:r>
      <w:proofErr w:type="spellStart"/>
      <w:r w:rsidR="00EC64EB" w:rsidRPr="00C61B53">
        <w:rPr>
          <w:i/>
        </w:rPr>
        <w:t>Quelimane</w:t>
      </w:r>
      <w:proofErr w:type="spellEnd"/>
      <w:r w:rsidR="00EC64EB" w:rsidRPr="00C61B53">
        <w:t xml:space="preserve">, </w:t>
      </w:r>
      <w:r w:rsidR="00EC64EB" w:rsidRPr="00C61B53">
        <w:rPr>
          <w:i/>
        </w:rPr>
        <w:t>supra</w:t>
      </w:r>
      <w:r w:rsidR="00EC64EB" w:rsidRPr="00C61B53">
        <w:t>, 19 Cal.4th at p. 56.)</w:t>
      </w:r>
      <w:r w:rsidRPr="00C61B53">
        <w:t xml:space="preserve">  </w:t>
      </w:r>
      <w:r w:rsidR="00491B67" w:rsidRPr="00C61B53">
        <w:t>Without an</w:t>
      </w:r>
      <w:r w:rsidR="00E93918" w:rsidRPr="00C61B53">
        <w:t xml:space="preserve"> independent wrongfulness</w:t>
      </w:r>
      <w:r w:rsidR="00831BA6" w:rsidRPr="00C61B53">
        <w:t xml:space="preserve"> requirement</w:t>
      </w:r>
      <w:r w:rsidR="00E93918" w:rsidRPr="00C61B53">
        <w:t xml:space="preserve">, </w:t>
      </w:r>
      <w:r w:rsidR="005963FC" w:rsidRPr="00C61B53">
        <w:t>a</w:t>
      </w:r>
      <w:r w:rsidR="00122CD2" w:rsidRPr="00C61B53">
        <w:t xml:space="preserve"> competitor</w:t>
      </w:r>
      <w:r w:rsidR="005B339E" w:rsidRPr="00C61B53">
        <w:t>’s good faith offer</w:t>
      </w:r>
      <w:r w:rsidR="00C25490" w:rsidRPr="00C61B53">
        <w:t xml:space="preserve"> that causes a business to withdraw from an at-will contract </w:t>
      </w:r>
      <w:r w:rsidR="00681C68" w:rsidRPr="00C61B53">
        <w:t xml:space="preserve">could </w:t>
      </w:r>
      <w:r w:rsidR="00831BA6" w:rsidRPr="00C61B53">
        <w:t>trigger liability</w:t>
      </w:r>
      <w:r w:rsidR="00217AFF" w:rsidRPr="00C61B53">
        <w:t xml:space="preserve"> or at least subject the competitor to </w:t>
      </w:r>
      <w:r w:rsidR="001E4861" w:rsidRPr="00C61B53">
        <w:t>costly</w:t>
      </w:r>
      <w:r w:rsidR="00217AFF" w:rsidRPr="00C61B53">
        <w:t xml:space="preserve"> litigation.</w:t>
      </w:r>
      <w:r w:rsidRPr="00C61B53">
        <w:t xml:space="preserve">  </w:t>
      </w:r>
      <w:r w:rsidR="006C55DA" w:rsidRPr="00C61B53">
        <w:t>In fact, e</w:t>
      </w:r>
      <w:r w:rsidR="009B3BFD" w:rsidRPr="00C61B53">
        <w:t xml:space="preserve">ven if </w:t>
      </w:r>
      <w:r w:rsidR="006C55DA" w:rsidRPr="00C61B53">
        <w:t>a</w:t>
      </w:r>
      <w:r w:rsidR="009B3BFD" w:rsidRPr="00C61B53">
        <w:t xml:space="preserve"> business in </w:t>
      </w:r>
      <w:r w:rsidR="006C55DA" w:rsidRPr="00C61B53">
        <w:t>an</w:t>
      </w:r>
      <w:r w:rsidR="009B3BFD" w:rsidRPr="00C61B53">
        <w:t xml:space="preserve"> </w:t>
      </w:r>
      <w:r w:rsidR="00BC7B78" w:rsidRPr="00C61B53">
        <w:t>at-will</w:t>
      </w:r>
      <w:r w:rsidR="009B3BFD" w:rsidRPr="00C61B53">
        <w:t xml:space="preserve"> contract solicits offers</w:t>
      </w:r>
      <w:r w:rsidR="00CD3929" w:rsidRPr="00C61B53">
        <w:t xml:space="preserve"> </w:t>
      </w:r>
      <w:r w:rsidR="001E610E" w:rsidRPr="00C61B53">
        <w:t xml:space="preserve">on its own initiative, </w:t>
      </w:r>
      <w:r w:rsidR="009D0AF8" w:rsidRPr="00C61B53">
        <w:t xml:space="preserve">a third party that submits an offer </w:t>
      </w:r>
      <w:r w:rsidR="006C55DA" w:rsidRPr="00C61B53">
        <w:t xml:space="preserve">could </w:t>
      </w:r>
      <w:r w:rsidR="003A6C89" w:rsidRPr="00C61B53">
        <w:t xml:space="preserve">face </w:t>
      </w:r>
      <w:r w:rsidR="006C55DA" w:rsidRPr="00C61B53">
        <w:t xml:space="preserve">liability if it knew that </w:t>
      </w:r>
      <w:r w:rsidR="002420FF" w:rsidRPr="00C61B53">
        <w:t>acceptance of the offer</w:t>
      </w:r>
      <w:r w:rsidR="006C55DA" w:rsidRPr="00C61B53">
        <w:t xml:space="preserve"> would cause the soliciting business to withdraw from its </w:t>
      </w:r>
      <w:r w:rsidR="002420FF" w:rsidRPr="00C61B53">
        <w:t xml:space="preserve">existing </w:t>
      </w:r>
      <w:r w:rsidR="006C55DA" w:rsidRPr="00C61B53">
        <w:t>contract.</w:t>
      </w:r>
      <w:r w:rsidR="00DB65AC" w:rsidRPr="00C61B53">
        <w:t xml:space="preserve">  </w:t>
      </w:r>
      <w:r w:rsidR="001D0803" w:rsidRPr="00C61B53">
        <w:t xml:space="preserve">Allowing </w:t>
      </w:r>
      <w:r w:rsidR="00E30381" w:rsidRPr="00C61B53">
        <w:t>disappointed competitors</w:t>
      </w:r>
      <w:r w:rsidR="001D0803" w:rsidRPr="00C61B53">
        <w:t xml:space="preserve"> to </w:t>
      </w:r>
      <w:r w:rsidR="00DB65AC" w:rsidRPr="00C61B53">
        <w:t xml:space="preserve">state claims for </w:t>
      </w:r>
      <w:r w:rsidR="001D0803" w:rsidRPr="00C61B53">
        <w:t xml:space="preserve">interference </w:t>
      </w:r>
      <w:r w:rsidR="00E30381" w:rsidRPr="00C61B53">
        <w:t xml:space="preserve">with at-will contracts without </w:t>
      </w:r>
      <w:r w:rsidR="00DB65AC" w:rsidRPr="00C61B53">
        <w:t xml:space="preserve">alleging independently wrongful conduct </w:t>
      </w:r>
      <w:r w:rsidR="00F66D11" w:rsidRPr="00C61B53">
        <w:t xml:space="preserve">may </w:t>
      </w:r>
      <w:r w:rsidR="001D0803" w:rsidRPr="00C61B53">
        <w:t>expose</w:t>
      </w:r>
      <w:r w:rsidR="00667C49" w:rsidRPr="00C61B53">
        <w:t xml:space="preserve"> routine </w:t>
      </w:r>
      <w:r w:rsidR="00334FA4">
        <w:t>and</w:t>
      </w:r>
      <w:r w:rsidR="00667C49" w:rsidRPr="00C61B53">
        <w:t xml:space="preserve"> </w:t>
      </w:r>
      <w:r w:rsidR="000E69C6" w:rsidRPr="00C61B53">
        <w:t xml:space="preserve">legitimate </w:t>
      </w:r>
      <w:r w:rsidR="00667C49" w:rsidRPr="00C61B53">
        <w:t>business competitio</w:t>
      </w:r>
      <w:r w:rsidR="001D0803" w:rsidRPr="00C61B53">
        <w:t>n to litigation.</w:t>
      </w:r>
    </w:p>
    <w:p w14:paraId="502FB1FD" w14:textId="2433A887" w:rsidR="009C03D8" w:rsidRPr="00C61B53" w:rsidRDefault="00CC1B6A" w:rsidP="00630218">
      <w:pPr>
        <w:tabs>
          <w:tab w:val="left" w:pos="720"/>
        </w:tabs>
      </w:pPr>
      <w:r w:rsidRPr="00C61B53">
        <w:tab/>
      </w:r>
      <w:r w:rsidR="006C7A2D">
        <w:t>W</w:t>
      </w:r>
      <w:r w:rsidR="005B740D" w:rsidRPr="00C61B53">
        <w:t xml:space="preserve">e </w:t>
      </w:r>
      <w:r w:rsidR="002F0DD4">
        <w:t xml:space="preserve">therefore </w:t>
      </w:r>
      <w:r w:rsidR="005B740D" w:rsidRPr="00C61B53">
        <w:t xml:space="preserve">hold that to state a claim for interference with an </w:t>
      </w:r>
      <w:r w:rsidR="00BC7B78" w:rsidRPr="00C61B53">
        <w:t>at-will</w:t>
      </w:r>
      <w:r w:rsidR="005B740D" w:rsidRPr="00C61B53">
        <w:t xml:space="preserve"> contract </w:t>
      </w:r>
      <w:r w:rsidR="006B3644" w:rsidRPr="00C61B53">
        <w:t>by a third</w:t>
      </w:r>
      <w:r w:rsidR="005B740D" w:rsidRPr="00C61B53">
        <w:t xml:space="preserve"> part</w:t>
      </w:r>
      <w:r w:rsidR="006B3644" w:rsidRPr="00C61B53">
        <w:t>y</w:t>
      </w:r>
      <w:r w:rsidR="005B740D" w:rsidRPr="00C61B53">
        <w:t xml:space="preserve">, the plaintiff must allege that the defendant engaged in an independently wrongful act. </w:t>
      </w:r>
      <w:r w:rsidR="00C85E78" w:rsidRPr="00C61B53">
        <w:t xml:space="preserve"> </w:t>
      </w:r>
      <w:r w:rsidR="00A40DE8">
        <w:t>W</w:t>
      </w:r>
      <w:r w:rsidR="002A0CA0" w:rsidRPr="00C61B53">
        <w:t xml:space="preserve">e disapprove </w:t>
      </w:r>
      <w:r w:rsidR="00F66D11" w:rsidRPr="00C61B53">
        <w:rPr>
          <w:i/>
        </w:rPr>
        <w:t>Redfearn v. Trader Joe’s Co.</w:t>
      </w:r>
      <w:r w:rsidR="00F66D11" w:rsidRPr="00C61B53">
        <w:t xml:space="preserve">, </w:t>
      </w:r>
      <w:r w:rsidR="00F66D11" w:rsidRPr="00C61B53">
        <w:rPr>
          <w:i/>
        </w:rPr>
        <w:t>supra</w:t>
      </w:r>
      <w:r w:rsidR="00F66D11" w:rsidRPr="00C61B53">
        <w:t xml:space="preserve">, 20 Cal.App.5th 989 </w:t>
      </w:r>
      <w:r w:rsidR="00A40DE8">
        <w:t xml:space="preserve">and </w:t>
      </w:r>
      <w:r w:rsidR="00A40DE8" w:rsidRPr="001A1FB1">
        <w:rPr>
          <w:i/>
        </w:rPr>
        <w:t>Popescu v. Apple Inc.</w:t>
      </w:r>
      <w:r w:rsidR="00A40DE8">
        <w:t xml:space="preserve">, </w:t>
      </w:r>
      <w:r w:rsidR="00A40DE8" w:rsidRPr="007714A3">
        <w:rPr>
          <w:i/>
        </w:rPr>
        <w:t>supra</w:t>
      </w:r>
      <w:r w:rsidR="00A40DE8">
        <w:t xml:space="preserve">, 1 Cal.App.5th 39 </w:t>
      </w:r>
      <w:r w:rsidR="002A0CA0" w:rsidRPr="00C61B53">
        <w:t>t</w:t>
      </w:r>
      <w:r w:rsidR="009C03D8" w:rsidRPr="00C61B53">
        <w:t xml:space="preserve">o the extent </w:t>
      </w:r>
      <w:r w:rsidR="00472BBD">
        <w:t>they are</w:t>
      </w:r>
      <w:r w:rsidR="009C03D8" w:rsidRPr="00C61B53">
        <w:t xml:space="preserve"> inconsistent with this </w:t>
      </w:r>
      <w:r w:rsidR="00043E18">
        <w:t>opinion</w:t>
      </w:r>
      <w:r w:rsidR="002A0CA0" w:rsidRPr="00C61B53">
        <w:t>.</w:t>
      </w:r>
    </w:p>
    <w:p w14:paraId="6888A941" w14:textId="45A0001C" w:rsidR="00AC46BB" w:rsidRPr="00C61B53" w:rsidRDefault="00AC46BB" w:rsidP="00BD1E34">
      <w:pPr>
        <w:pStyle w:val="Heading1"/>
      </w:pPr>
      <w:r w:rsidRPr="00C61B53">
        <w:lastRenderedPageBreak/>
        <w:t>I</w:t>
      </w:r>
      <w:r w:rsidR="00CC1B6A" w:rsidRPr="00C61B53">
        <w:t>II.</w:t>
      </w:r>
    </w:p>
    <w:p w14:paraId="0B7CEE1D" w14:textId="1088E54F" w:rsidR="005015F8" w:rsidRDefault="00164CD6" w:rsidP="00BF4FC6">
      <w:pPr>
        <w:ind w:firstLine="720"/>
      </w:pPr>
      <w:proofErr w:type="spellStart"/>
      <w:r>
        <w:t>Ixchel</w:t>
      </w:r>
      <w:proofErr w:type="spellEnd"/>
      <w:r w:rsidR="002A608E">
        <w:t xml:space="preserve"> </w:t>
      </w:r>
      <w:r w:rsidR="00F94FF5">
        <w:t xml:space="preserve">alleges that the wrongful act </w:t>
      </w:r>
      <w:r w:rsidR="00A64003">
        <w:t xml:space="preserve">Biogen committed was including section 2.13 in the Forward-Biogen Agreement </w:t>
      </w:r>
      <w:r w:rsidR="000A6BCB">
        <w:t xml:space="preserve">in violation of Business and Professions Code section </w:t>
      </w:r>
      <w:r w:rsidR="009D0665">
        <w:t>16600</w:t>
      </w:r>
      <w:r w:rsidR="000A6BCB">
        <w:t>.  S</w:t>
      </w:r>
      <w:r w:rsidR="00746C31" w:rsidRPr="00C61B53">
        <w:t xml:space="preserve">ection 2.13 </w:t>
      </w:r>
      <w:r w:rsidR="000A6BCB">
        <w:t>of</w:t>
      </w:r>
      <w:r w:rsidR="00F054FB" w:rsidRPr="00C61B53">
        <w:t xml:space="preserve"> </w:t>
      </w:r>
      <w:r w:rsidR="00746C31" w:rsidRPr="00C61B53">
        <w:t>the Forward-Biogen Agreement</w:t>
      </w:r>
      <w:r w:rsidR="000A6BCB">
        <w:t xml:space="preserve"> require</w:t>
      </w:r>
      <w:r w:rsidR="00B72108">
        <w:t>d</w:t>
      </w:r>
      <w:r w:rsidR="000A6BCB">
        <w:t xml:space="preserve"> </w:t>
      </w:r>
      <w:r w:rsidR="001C145A" w:rsidRPr="00C61B53">
        <w:t xml:space="preserve">Forward </w:t>
      </w:r>
      <w:r w:rsidR="00F054FB" w:rsidRPr="00C61B53">
        <w:t xml:space="preserve">to terminate its Collaboration Agreement </w:t>
      </w:r>
      <w:r w:rsidR="001C145A" w:rsidRPr="00C61B53">
        <w:t xml:space="preserve">with </w:t>
      </w:r>
      <w:proofErr w:type="spellStart"/>
      <w:r w:rsidR="001C145A" w:rsidRPr="00C61B53">
        <w:t>Ixchel</w:t>
      </w:r>
      <w:proofErr w:type="spellEnd"/>
      <w:r w:rsidR="0069608C">
        <w:t xml:space="preserve"> and </w:t>
      </w:r>
      <w:r w:rsidR="00334FA4">
        <w:t>barred</w:t>
      </w:r>
      <w:r w:rsidR="00A52AEA" w:rsidRPr="00C61B53">
        <w:t xml:space="preserve"> Forward from engaging in business with any other entity to develop neurological treatments containing DMF</w:t>
      </w:r>
      <w:r w:rsidR="001C145A" w:rsidRPr="00C61B53">
        <w:t xml:space="preserve">.  </w:t>
      </w:r>
      <w:proofErr w:type="spellStart"/>
      <w:r w:rsidR="00A52AEA">
        <w:t>Ixchel</w:t>
      </w:r>
      <w:proofErr w:type="spellEnd"/>
      <w:r w:rsidR="001C145A" w:rsidRPr="00C61B53">
        <w:t xml:space="preserve"> claims that </w:t>
      </w:r>
      <w:r w:rsidR="00B72108">
        <w:t>this contractual</w:t>
      </w:r>
      <w:r w:rsidR="00110E66" w:rsidRPr="00C61B53">
        <w:t xml:space="preserve"> provision is </w:t>
      </w:r>
      <w:r w:rsidR="00EF0512" w:rsidRPr="00C61B53">
        <w:t xml:space="preserve">an unlawful restraint of trade </w:t>
      </w:r>
      <w:r w:rsidR="00110E66" w:rsidRPr="00C61B53">
        <w:t>in violation of section 16600</w:t>
      </w:r>
      <w:r w:rsidR="000F4EBE" w:rsidRPr="00C61B53">
        <w:t xml:space="preserve">, which provides: </w:t>
      </w:r>
      <w:r w:rsidR="002A0CA0" w:rsidRPr="00C61B53">
        <w:t xml:space="preserve"> </w:t>
      </w:r>
      <w:r w:rsidR="00C842F0" w:rsidRPr="00C61B53">
        <w:t>“Except as provided in this chapter, every contract by which anyone is restrained from engaging in a lawful profession, trade, or business of any kind is to that exten</w:t>
      </w:r>
      <w:r w:rsidR="00B02316" w:rsidRPr="00C61B53">
        <w:t>t</w:t>
      </w:r>
      <w:r w:rsidR="00C842F0" w:rsidRPr="00C61B53">
        <w:t xml:space="preserve"> void.”</w:t>
      </w:r>
    </w:p>
    <w:p w14:paraId="6D06DD64" w14:textId="0F343054" w:rsidR="00350165" w:rsidRPr="00C61B53" w:rsidRDefault="00551B52" w:rsidP="00BF4FC6">
      <w:pPr>
        <w:ind w:firstLine="720"/>
      </w:pPr>
      <w:r w:rsidRPr="00C61B53">
        <w:t xml:space="preserve">The Ninth Circuit </w:t>
      </w:r>
      <w:r w:rsidR="00474FE5" w:rsidRPr="00C61B53">
        <w:t xml:space="preserve">certified </w:t>
      </w:r>
      <w:r w:rsidR="00AD056C" w:rsidRPr="00C61B53">
        <w:t>the following question to us:</w:t>
      </w:r>
      <w:r w:rsidR="00350165" w:rsidRPr="00C61B53">
        <w:t xml:space="preserve">  </w:t>
      </w:r>
      <w:r w:rsidR="003D38D8" w:rsidRPr="00C61B53">
        <w:t>“Does section 16600 of the California Business and Professions Code void a contract by which a business is restrained from engaging in a lawful trade or business with another business?”</w:t>
      </w:r>
      <w:r w:rsidR="000F7799" w:rsidRPr="00C61B53">
        <w:t xml:space="preserve">  </w:t>
      </w:r>
      <w:r w:rsidR="003D38D8" w:rsidRPr="00C61B53">
        <w:t>(</w:t>
      </w:r>
      <w:proofErr w:type="spellStart"/>
      <w:r w:rsidR="003D38D8" w:rsidRPr="00C61B53">
        <w:rPr>
          <w:i/>
        </w:rPr>
        <w:t>Ixchel</w:t>
      </w:r>
      <w:proofErr w:type="spellEnd"/>
      <w:r w:rsidR="000F7799" w:rsidRPr="00C61B53">
        <w:t>,</w:t>
      </w:r>
      <w:r w:rsidR="000F7799" w:rsidRPr="00C61B53">
        <w:rPr>
          <w:i/>
        </w:rPr>
        <w:t xml:space="preserve"> supra</w:t>
      </w:r>
      <w:r w:rsidR="000F7799" w:rsidRPr="00C61B53">
        <w:t>,</w:t>
      </w:r>
      <w:r w:rsidR="003D38D8" w:rsidRPr="00C61B53">
        <w:t xml:space="preserve"> 930 F.3d </w:t>
      </w:r>
      <w:r w:rsidR="000F7799" w:rsidRPr="00C61B53">
        <w:t>at p. </w:t>
      </w:r>
      <w:r w:rsidR="003D38D8" w:rsidRPr="00C61B53">
        <w:t>1033.</w:t>
      </w:r>
      <w:r w:rsidR="00350165" w:rsidRPr="00C61B53">
        <w:t xml:space="preserve">)  </w:t>
      </w:r>
      <w:r w:rsidR="00422C3E" w:rsidRPr="00C61B53">
        <w:t xml:space="preserve">That question </w:t>
      </w:r>
      <w:r w:rsidR="006F7D1D" w:rsidRPr="00C61B53">
        <w:t>appears</w:t>
      </w:r>
      <w:r w:rsidR="00422C3E" w:rsidRPr="00C61B53">
        <w:t xml:space="preserve"> to ask </w:t>
      </w:r>
      <w:r w:rsidR="00F10B10" w:rsidRPr="00C61B53">
        <w:t>this court</w:t>
      </w:r>
      <w:r w:rsidR="00422C3E" w:rsidRPr="00C61B53">
        <w:t xml:space="preserve"> to decide whether section 16600 applies to contracts </w:t>
      </w:r>
      <w:r w:rsidR="00BC7B78" w:rsidRPr="00C61B53">
        <w:t>in the business context</w:t>
      </w:r>
      <w:r w:rsidR="00422C3E" w:rsidRPr="00C61B53">
        <w:t xml:space="preserve">.  </w:t>
      </w:r>
      <w:r w:rsidR="00D7316B" w:rsidRPr="00C61B53">
        <w:t>T</w:t>
      </w:r>
      <w:r w:rsidR="001577AF" w:rsidRPr="00C61B53">
        <w:t xml:space="preserve">he Ninth Circuit </w:t>
      </w:r>
      <w:r w:rsidR="006C54FC" w:rsidRPr="00C61B53">
        <w:t>suggested that “the California Supreme Court . . . [has not] considered whether section 16600 extends beyond the employment setting entirely to contractual restraints on business operations.”  (</w:t>
      </w:r>
      <w:proofErr w:type="spellStart"/>
      <w:r w:rsidR="00D320B7" w:rsidRPr="00C61B53">
        <w:rPr>
          <w:i/>
        </w:rPr>
        <w:t>I</w:t>
      </w:r>
      <w:r w:rsidR="001C59C9" w:rsidRPr="00C61B53">
        <w:rPr>
          <w:i/>
        </w:rPr>
        <w:t>xchel</w:t>
      </w:r>
      <w:proofErr w:type="spellEnd"/>
      <w:r w:rsidR="001C59C9" w:rsidRPr="00C61B53">
        <w:t>,</w:t>
      </w:r>
      <w:r w:rsidR="00D320B7" w:rsidRPr="00C61B53">
        <w:t xml:space="preserve"> at p. 1036.)</w:t>
      </w:r>
      <w:r w:rsidR="0070310F" w:rsidRPr="00C61B53">
        <w:t xml:space="preserve">  </w:t>
      </w:r>
    </w:p>
    <w:p w14:paraId="4DF7901A" w14:textId="5874F507" w:rsidR="00350165" w:rsidRPr="00C61B53" w:rsidRDefault="0070310F" w:rsidP="00BF4FC6">
      <w:pPr>
        <w:ind w:firstLine="720"/>
      </w:pPr>
      <w:proofErr w:type="spellStart"/>
      <w:r w:rsidRPr="00C61B53">
        <w:t>Ixchel</w:t>
      </w:r>
      <w:proofErr w:type="spellEnd"/>
      <w:r w:rsidRPr="00C61B53">
        <w:t xml:space="preserve"> asks us to decide that question only.</w:t>
      </w:r>
      <w:r w:rsidR="00350165">
        <w:t xml:space="preserve"> </w:t>
      </w:r>
      <w:r w:rsidR="006F7D1D">
        <w:t xml:space="preserve"> </w:t>
      </w:r>
      <w:r w:rsidR="00422C3E" w:rsidRPr="00C61B53">
        <w:t xml:space="preserve">But </w:t>
      </w:r>
      <w:r w:rsidR="001C59C9" w:rsidRPr="00C61B53">
        <w:t>t</w:t>
      </w:r>
      <w:r w:rsidR="00C664A7" w:rsidRPr="00C61B53">
        <w:t xml:space="preserve">he primary dispute between </w:t>
      </w:r>
      <w:proofErr w:type="spellStart"/>
      <w:r w:rsidR="00C664A7" w:rsidRPr="00C61B53">
        <w:t>Ixchel</w:t>
      </w:r>
      <w:proofErr w:type="spellEnd"/>
      <w:r w:rsidR="00C664A7" w:rsidRPr="00C61B53">
        <w:t xml:space="preserve"> and Biogen in the Ninth Circu</w:t>
      </w:r>
      <w:r w:rsidR="00CE393C" w:rsidRPr="00C61B53">
        <w:t>it</w:t>
      </w:r>
      <w:r w:rsidR="006F7D1D" w:rsidRPr="00C61B53">
        <w:t xml:space="preserve"> </w:t>
      </w:r>
      <w:r w:rsidR="00C664A7" w:rsidRPr="00C61B53">
        <w:t xml:space="preserve">was </w:t>
      </w:r>
      <w:r w:rsidR="00921186" w:rsidRPr="00C61B53">
        <w:t>not whether section 16600 applie</w:t>
      </w:r>
      <w:r w:rsidR="00150FC1">
        <w:t>s</w:t>
      </w:r>
      <w:r w:rsidR="00921186" w:rsidRPr="00C61B53">
        <w:t xml:space="preserve"> to business contracts.  At oral argument</w:t>
      </w:r>
      <w:r w:rsidR="002C3B0A">
        <w:t xml:space="preserve"> in the Ninth Circuit</w:t>
      </w:r>
      <w:r w:rsidR="00921186" w:rsidRPr="00C61B53">
        <w:t>, Biogen acknowledge</w:t>
      </w:r>
      <w:r w:rsidR="0076619B" w:rsidRPr="00C61B53">
        <w:t>d</w:t>
      </w:r>
      <w:r w:rsidR="00921186" w:rsidRPr="00C61B53">
        <w:t xml:space="preserve"> that it d</w:t>
      </w:r>
      <w:r w:rsidR="00150FC1">
        <w:t>oes</w:t>
      </w:r>
      <w:r w:rsidR="00921186" w:rsidRPr="00C61B53">
        <w:t>.</w:t>
      </w:r>
      <w:r w:rsidR="00D848EF" w:rsidRPr="00C61B53">
        <w:t xml:space="preserve">  Instead</w:t>
      </w:r>
      <w:r w:rsidR="0076619B" w:rsidRPr="00C61B53">
        <w:t>,</w:t>
      </w:r>
      <w:r w:rsidR="00D848EF" w:rsidRPr="00C61B53">
        <w:t xml:space="preserve"> the dispute was </w:t>
      </w:r>
      <w:r w:rsidR="00C664A7" w:rsidRPr="00C61B53">
        <w:t xml:space="preserve">whether </w:t>
      </w:r>
      <w:r w:rsidR="00E56468" w:rsidRPr="00C61B53">
        <w:t>contractual</w:t>
      </w:r>
      <w:r w:rsidR="00D33C19" w:rsidRPr="00C61B53">
        <w:t xml:space="preserve"> restraints </w:t>
      </w:r>
      <w:r w:rsidR="00E56468" w:rsidRPr="00C61B53">
        <w:t xml:space="preserve">on business operations or commercial dealings </w:t>
      </w:r>
      <w:r w:rsidR="00D33C19" w:rsidRPr="00C61B53">
        <w:t xml:space="preserve">are subject to a </w:t>
      </w:r>
      <w:r w:rsidR="00D33C19" w:rsidRPr="00C61B53">
        <w:lastRenderedPageBreak/>
        <w:t xml:space="preserve">reasonableness </w:t>
      </w:r>
      <w:r w:rsidR="00D848EF" w:rsidRPr="00C61B53">
        <w:t>standard</w:t>
      </w:r>
      <w:r w:rsidR="00A36602" w:rsidRPr="00C61B53">
        <w:t xml:space="preserve"> under section 16600</w:t>
      </w:r>
      <w:r w:rsidR="00D33C19" w:rsidRPr="00C61B53">
        <w:t>.</w:t>
      </w:r>
      <w:r w:rsidR="00350165">
        <w:t xml:space="preserve">  </w:t>
      </w:r>
      <w:r w:rsidR="002476FD" w:rsidRPr="00C61B53">
        <w:t xml:space="preserve">Moreover, the </w:t>
      </w:r>
      <w:r w:rsidR="00B1397A" w:rsidRPr="00C61B53">
        <w:t xml:space="preserve">proper </w:t>
      </w:r>
      <w:r w:rsidR="002476FD" w:rsidRPr="00C61B53">
        <w:t xml:space="preserve">standard </w:t>
      </w:r>
      <w:r w:rsidR="001C59C9" w:rsidRPr="00C61B53">
        <w:t>governing</w:t>
      </w:r>
      <w:r w:rsidR="002476FD" w:rsidRPr="00C61B53">
        <w:t xml:space="preserve"> alleged restraints of trade under section 16600 </w:t>
      </w:r>
      <w:r w:rsidR="00B049F3" w:rsidRPr="00C61B53">
        <w:t>presents</w:t>
      </w:r>
      <w:r w:rsidR="002476FD" w:rsidRPr="00C61B53">
        <w:t xml:space="preserve"> an important question of California law</w:t>
      </w:r>
      <w:r w:rsidR="00F66D11" w:rsidRPr="00C61B53">
        <w:t>,</w:t>
      </w:r>
      <w:r w:rsidR="00BD688B" w:rsidRPr="00C61B53">
        <w:t xml:space="preserve"> </w:t>
      </w:r>
      <w:r w:rsidR="00350165" w:rsidRPr="00C61B53">
        <w:t xml:space="preserve">potentially </w:t>
      </w:r>
      <w:r w:rsidR="00BD688B" w:rsidRPr="00C61B53">
        <w:t>affect</w:t>
      </w:r>
      <w:r w:rsidR="00F66D11" w:rsidRPr="00C61B53">
        <w:t>ing</w:t>
      </w:r>
      <w:r w:rsidR="00BD688B" w:rsidRPr="00C61B53">
        <w:t xml:space="preserve"> all contracts in California that </w:t>
      </w:r>
      <w:r w:rsidR="00CA3164" w:rsidRPr="00C61B53">
        <w:t xml:space="preserve">in some way </w:t>
      </w:r>
      <w:r w:rsidR="00834FE3" w:rsidRPr="00C61B53">
        <w:t>restrain a contracting party from engaging in</w:t>
      </w:r>
      <w:r w:rsidR="00B049F3" w:rsidRPr="00C61B53">
        <w:t xml:space="preserve"> a profession, trade, or business.</w:t>
      </w:r>
    </w:p>
    <w:p w14:paraId="1366D079" w14:textId="1463190B" w:rsidR="00350165" w:rsidRPr="00C61B53" w:rsidRDefault="00965B07" w:rsidP="00BF4FC6">
      <w:pPr>
        <w:ind w:firstLine="720"/>
      </w:pPr>
      <w:r w:rsidRPr="00C61B53">
        <w:t>T</w:t>
      </w:r>
      <w:r w:rsidR="00254A5D" w:rsidRPr="00C61B53">
        <w:t xml:space="preserve">o provide the Ninth Circuit sufficient guidance to resolve the </w:t>
      </w:r>
      <w:r w:rsidR="0044508B" w:rsidRPr="00C61B53">
        <w:t>contentions of the parties</w:t>
      </w:r>
      <w:r w:rsidR="00591E64" w:rsidRPr="00C61B53">
        <w:t xml:space="preserve"> and to answer an important question of California law, </w:t>
      </w:r>
      <w:r w:rsidR="0044508B" w:rsidRPr="00C61B53">
        <w:t xml:space="preserve">we </w:t>
      </w:r>
      <w:r w:rsidR="00EE176A" w:rsidRPr="00C61B53">
        <w:t xml:space="preserve">address </w:t>
      </w:r>
      <w:r w:rsidR="001C59C9" w:rsidRPr="00C61B53">
        <w:t xml:space="preserve">not </w:t>
      </w:r>
      <w:r w:rsidR="002C3901">
        <w:t>only</w:t>
      </w:r>
      <w:r w:rsidR="001C59C9" w:rsidRPr="00C61B53">
        <w:t xml:space="preserve"> whether section 16600 applies to contracts in the business context (the parties agree that it does) </w:t>
      </w:r>
      <w:r w:rsidR="007E6197">
        <w:t xml:space="preserve">but also </w:t>
      </w:r>
      <w:r w:rsidR="00214166">
        <w:t>the proper standard</w:t>
      </w:r>
      <w:r w:rsidR="00C81268">
        <w:t xml:space="preserve"> — in particular, whether a rule of reason applies —</w:t>
      </w:r>
      <w:r w:rsidR="00214166">
        <w:t xml:space="preserve"> to </w:t>
      </w:r>
      <w:r w:rsidR="00D40901">
        <w:t>evaluate</w:t>
      </w:r>
      <w:r w:rsidR="00F87864">
        <w:t xml:space="preserve"> w</w:t>
      </w:r>
      <w:r w:rsidR="00AD3C18">
        <w:t xml:space="preserve">hether </w:t>
      </w:r>
      <w:r w:rsidR="00240FDA">
        <w:t>restraints on trade in</w:t>
      </w:r>
      <w:r w:rsidR="00F87864">
        <w:t xml:space="preserve"> business contract</w:t>
      </w:r>
      <w:r w:rsidR="00240FDA">
        <w:t>s</w:t>
      </w:r>
      <w:r w:rsidR="00F87864">
        <w:t xml:space="preserve"> </w:t>
      </w:r>
      <w:r w:rsidR="00240FDA">
        <w:t>are</w:t>
      </w:r>
      <w:r w:rsidR="00F87864">
        <w:t xml:space="preserve"> void under </w:t>
      </w:r>
      <w:r w:rsidR="0032270F">
        <w:t xml:space="preserve">section </w:t>
      </w:r>
      <w:r w:rsidR="00F87864">
        <w:t xml:space="preserve">16600. </w:t>
      </w:r>
      <w:r w:rsidR="00C81268">
        <w:t xml:space="preserve"> </w:t>
      </w:r>
      <w:r w:rsidR="003C6BD8" w:rsidRPr="00C61B53">
        <w:t>(</w:t>
      </w:r>
      <w:r w:rsidR="005A767E" w:rsidRPr="00C61B53">
        <w:t>See Cal. Rules of Court, rule 8.548(f)(5);</w:t>
      </w:r>
      <w:r w:rsidR="003C6BD8" w:rsidRPr="00C61B53">
        <w:t xml:space="preserve"> </w:t>
      </w:r>
      <w:r w:rsidR="003C6BD8" w:rsidRPr="00C61B53">
        <w:rPr>
          <w:i/>
        </w:rPr>
        <w:t>Verdugo v. Target Corp</w:t>
      </w:r>
      <w:r w:rsidR="003C6BD8" w:rsidRPr="00C61B53">
        <w:t>. (2014) 59 Cal.4th 312, 31</w:t>
      </w:r>
      <w:r w:rsidR="00430729">
        <w:t>7</w:t>
      </w:r>
      <w:r w:rsidR="003C6BD8" w:rsidRPr="00C61B53">
        <w:t xml:space="preserve">, fn. 1 [restating certified question “to conform to the facts at </w:t>
      </w:r>
      <w:r w:rsidR="00FC19AA" w:rsidRPr="00C61B53">
        <w:t>issue in the underlying action”</w:t>
      </w:r>
      <w:r w:rsidR="003C6BD8" w:rsidRPr="00C61B53">
        <w:t>]</w:t>
      </w:r>
      <w:r w:rsidR="001C59C9" w:rsidRPr="00C61B53">
        <w:t>.)</w:t>
      </w:r>
    </w:p>
    <w:p w14:paraId="1803EC9C" w14:textId="694E1585" w:rsidR="00DE2766" w:rsidRPr="00C61B53" w:rsidRDefault="000C2842" w:rsidP="00BF4FC6">
      <w:pPr>
        <w:ind w:firstLine="720"/>
      </w:pPr>
      <w:proofErr w:type="spellStart"/>
      <w:r w:rsidRPr="00C61B53">
        <w:t>Ixchel</w:t>
      </w:r>
      <w:proofErr w:type="spellEnd"/>
      <w:r w:rsidRPr="00C61B53">
        <w:t xml:space="preserve"> argues tha</w:t>
      </w:r>
      <w:r w:rsidR="004D48F8" w:rsidRPr="00C61B53">
        <w:t xml:space="preserve">t deciding this question is premature </w:t>
      </w:r>
      <w:r w:rsidR="00000AE4" w:rsidRPr="00C61B53">
        <w:t>because the case is at the pleading stage</w:t>
      </w:r>
      <w:r w:rsidR="00662070" w:rsidRPr="00C61B53">
        <w:t xml:space="preserve"> and the parties have not had the opportunity to </w:t>
      </w:r>
      <w:r w:rsidR="00DE2766" w:rsidRPr="00C61B53">
        <w:t xml:space="preserve">discover facts that would show whether section 2.13 </w:t>
      </w:r>
      <w:r w:rsidR="008E2363">
        <w:t xml:space="preserve">of the Forward-Biogen Agreement </w:t>
      </w:r>
      <w:r w:rsidR="00DE2766" w:rsidRPr="00C61B53">
        <w:t>was unreasonable.</w:t>
      </w:r>
      <w:r w:rsidR="00350165">
        <w:t xml:space="preserve">  </w:t>
      </w:r>
      <w:r w:rsidR="00DE2766" w:rsidRPr="00C61B53">
        <w:t>But</w:t>
      </w:r>
      <w:r w:rsidR="00FB4BEC" w:rsidRPr="00C61B53">
        <w:t xml:space="preserve"> i</w:t>
      </w:r>
      <w:r w:rsidR="00DE2766" w:rsidRPr="00C61B53">
        <w:t xml:space="preserve">n deciding whether </w:t>
      </w:r>
      <w:r w:rsidR="00D10DF9" w:rsidRPr="00C61B53">
        <w:t>section 16600 includes a reasonableness requirement</w:t>
      </w:r>
      <w:r w:rsidR="005C45A2" w:rsidRPr="00C61B53">
        <w:t xml:space="preserve"> in the context of business contracts</w:t>
      </w:r>
      <w:r w:rsidR="00DE2766" w:rsidRPr="00C61B53">
        <w:t>, we are deciding a pure question of law.</w:t>
      </w:r>
      <w:r w:rsidR="005C45A2" w:rsidRPr="00C61B53">
        <w:t xml:space="preserve">  </w:t>
      </w:r>
      <w:r w:rsidR="00F66D11" w:rsidRPr="00C61B53">
        <w:t>T</w:t>
      </w:r>
      <w:r w:rsidR="00D10DF9" w:rsidRPr="00C61B53">
        <w:t xml:space="preserve">he question </w:t>
      </w:r>
      <w:r w:rsidR="004D2078" w:rsidRPr="00C61B53">
        <w:t>at this stage</w:t>
      </w:r>
      <w:r w:rsidR="005C45A2" w:rsidRPr="00C61B53">
        <w:t xml:space="preserve"> is </w:t>
      </w:r>
      <w:r w:rsidR="00D10DF9" w:rsidRPr="00C61B53">
        <w:t>w</w:t>
      </w:r>
      <w:r w:rsidR="00DE2766" w:rsidRPr="00C61B53">
        <w:t xml:space="preserve">hether </w:t>
      </w:r>
      <w:proofErr w:type="spellStart"/>
      <w:r w:rsidR="00D10DF9" w:rsidRPr="00C61B53">
        <w:t>Ixchel</w:t>
      </w:r>
      <w:proofErr w:type="spellEnd"/>
      <w:r w:rsidR="00D10DF9" w:rsidRPr="00C61B53">
        <w:t xml:space="preserve"> </w:t>
      </w:r>
      <w:r w:rsidR="004F4686" w:rsidRPr="00C61B53">
        <w:t>must</w:t>
      </w:r>
      <w:r w:rsidR="00DE2766" w:rsidRPr="00C61B53">
        <w:t xml:space="preserve"> plead and prove </w:t>
      </w:r>
      <w:r w:rsidR="005C45A2" w:rsidRPr="00C61B53">
        <w:t xml:space="preserve">unreasonableness, not whether it has actually done so.  </w:t>
      </w:r>
      <w:r w:rsidR="0076619B" w:rsidRPr="00C61B53">
        <w:t>W</w:t>
      </w:r>
      <w:r w:rsidR="005C45A2" w:rsidRPr="00C61B53">
        <w:t xml:space="preserve">hether the parties have </w:t>
      </w:r>
      <w:r w:rsidR="00BA6A98" w:rsidRPr="00C61B53">
        <w:t>put forth</w:t>
      </w:r>
      <w:r w:rsidR="005C45A2" w:rsidRPr="00C61B53">
        <w:t xml:space="preserve"> facts </w:t>
      </w:r>
      <w:r w:rsidR="00BA6A98" w:rsidRPr="00C61B53">
        <w:t xml:space="preserve">demonstrating unreasonableness </w:t>
      </w:r>
      <w:r w:rsidR="005C45A2" w:rsidRPr="00C61B53">
        <w:t xml:space="preserve">is </w:t>
      </w:r>
      <w:r w:rsidR="0076619B" w:rsidRPr="00C61B53">
        <w:t xml:space="preserve">immaterial </w:t>
      </w:r>
      <w:r w:rsidR="005C45A2" w:rsidRPr="00C61B53">
        <w:t xml:space="preserve">to the </w:t>
      </w:r>
      <w:r w:rsidR="0076619B" w:rsidRPr="00C61B53">
        <w:t xml:space="preserve">antecedent </w:t>
      </w:r>
      <w:r w:rsidR="005C45A2" w:rsidRPr="00C61B53">
        <w:t xml:space="preserve">question </w:t>
      </w:r>
      <w:r w:rsidR="0076619B" w:rsidRPr="00C61B53">
        <w:t>of whether a reasonableness requirement applies here</w:t>
      </w:r>
      <w:r w:rsidR="005C45A2" w:rsidRPr="00C61B53">
        <w:t>.</w:t>
      </w:r>
      <w:r w:rsidR="004F4686" w:rsidRPr="00C61B53">
        <w:t xml:space="preserve"> </w:t>
      </w:r>
    </w:p>
    <w:p w14:paraId="43D0D167" w14:textId="77777777" w:rsidR="001C59C9" w:rsidRPr="00C61B53" w:rsidRDefault="001C59C9" w:rsidP="00BF4FC6">
      <w:pPr>
        <w:pStyle w:val="Heading2"/>
        <w:ind w:left="0" w:firstLine="0"/>
        <w:jc w:val="center"/>
      </w:pPr>
      <w:r w:rsidRPr="00C61B53">
        <w:lastRenderedPageBreak/>
        <w:t>A.</w:t>
      </w:r>
    </w:p>
    <w:p w14:paraId="27A5E4D6" w14:textId="34FEBAD1" w:rsidR="0084088A" w:rsidRPr="00C61B53" w:rsidRDefault="00406FEB" w:rsidP="00BF4FC6">
      <w:pPr>
        <w:ind w:firstLine="720"/>
      </w:pPr>
      <w:r>
        <w:t>As an initial matter, w</w:t>
      </w:r>
      <w:r w:rsidR="00363A41">
        <w:t>e agree with the parties that s</w:t>
      </w:r>
      <w:r w:rsidR="002C3901">
        <w:t>ection 16600 applies t</w:t>
      </w:r>
      <w:r w:rsidR="00BA43FE">
        <w:t>o business</w:t>
      </w:r>
      <w:r w:rsidR="002C3901">
        <w:t xml:space="preserve"> </w:t>
      </w:r>
      <w:r w:rsidR="00BA43FE">
        <w:t>contracts.</w:t>
      </w:r>
      <w:r w:rsidR="00363A41">
        <w:t xml:space="preserve">  </w:t>
      </w:r>
      <w:r w:rsidR="00172E56" w:rsidRPr="00C61B53">
        <w:t xml:space="preserve">The chapter </w:t>
      </w:r>
      <w:r w:rsidR="004F4686" w:rsidRPr="00C61B53">
        <w:t xml:space="preserve">of the Business and Professions Code </w:t>
      </w:r>
      <w:r w:rsidR="00172E56" w:rsidRPr="00C61B53">
        <w:t xml:space="preserve">containing section 16600 excepts </w:t>
      </w:r>
      <w:r w:rsidR="0084088A" w:rsidRPr="00C61B53">
        <w:t xml:space="preserve">from section 16600’s coverage </w:t>
      </w:r>
      <w:r w:rsidR="00172E56" w:rsidRPr="00C61B53">
        <w:t xml:space="preserve">certain noncompetition agreements upon the sale of goodwill or </w:t>
      </w:r>
      <w:r w:rsidR="00DD6273" w:rsidRPr="00C61B53">
        <w:t xml:space="preserve">of </w:t>
      </w:r>
      <w:r w:rsidR="00172E56" w:rsidRPr="00C61B53">
        <w:t>ownership interest in a business (</w:t>
      </w:r>
      <w:r w:rsidR="000D4D55" w:rsidRPr="00C61B53">
        <w:t>§ </w:t>
      </w:r>
      <w:r w:rsidR="00172E56" w:rsidRPr="00C61B53">
        <w:t xml:space="preserve">16601) and upon the dissolution or dissociation from a partnership (§ 16602) or limited liability corporation (§ 16602.5).  </w:t>
      </w:r>
      <w:r w:rsidR="00363A41">
        <w:t>If section 16600 did not apply</w:t>
      </w:r>
      <w:r w:rsidR="00334FA4">
        <w:t xml:space="preserve"> to business contracts</w:t>
      </w:r>
      <w:r w:rsidR="0084088A" w:rsidRPr="00C61B53">
        <w:t>, the</w:t>
      </w:r>
      <w:r w:rsidR="00334FA4">
        <w:t>se</w:t>
      </w:r>
      <w:r w:rsidR="0084088A" w:rsidRPr="00C61B53">
        <w:t xml:space="preserve"> exceptions </w:t>
      </w:r>
      <w:r w:rsidR="00334FA4">
        <w:t>would be unnecessary</w:t>
      </w:r>
      <w:r w:rsidR="00B41364" w:rsidRPr="00C61B53">
        <w:t>.</w:t>
      </w:r>
      <w:r w:rsidR="00350165" w:rsidRPr="00C61B53">
        <w:t xml:space="preserve">  </w:t>
      </w:r>
      <w:r w:rsidR="0084088A" w:rsidRPr="00C61B53">
        <w:t xml:space="preserve">Indeed, </w:t>
      </w:r>
      <w:r w:rsidR="00B41364" w:rsidRPr="00C61B53">
        <w:t>California courts have frequently</w:t>
      </w:r>
      <w:r w:rsidR="00BA6A98" w:rsidRPr="00C61B53">
        <w:t xml:space="preserve"> analyzed whether contracts </w:t>
      </w:r>
      <w:r w:rsidR="004870F4" w:rsidRPr="00C61B53">
        <w:t>involving business dealings</w:t>
      </w:r>
      <w:r w:rsidR="00BA6A98" w:rsidRPr="00C61B53">
        <w:t xml:space="preserve"> are void under section 16600.</w:t>
      </w:r>
      <w:r w:rsidR="00350165" w:rsidRPr="00C61B53">
        <w:t xml:space="preserve">  </w:t>
      </w:r>
      <w:r w:rsidR="00A727C8" w:rsidRPr="00C61B53">
        <w:t xml:space="preserve">(See, e.g., </w:t>
      </w:r>
      <w:r w:rsidR="00181314" w:rsidRPr="00C61B53">
        <w:rPr>
          <w:i/>
        </w:rPr>
        <w:t>Centeno v. Roseville Community Hospital</w:t>
      </w:r>
      <w:r w:rsidR="00181314" w:rsidRPr="00C61B53">
        <w:t xml:space="preserve"> (1979) 107 Cal.App.3d 62, 68</w:t>
      </w:r>
      <w:r w:rsidR="00DD6273" w:rsidRPr="00C61B53">
        <w:t xml:space="preserve"> (</w:t>
      </w:r>
      <w:r w:rsidR="00DD6273" w:rsidRPr="00C61B53">
        <w:rPr>
          <w:i/>
        </w:rPr>
        <w:t>Centeno</w:t>
      </w:r>
      <w:r w:rsidR="00DD6273" w:rsidRPr="00C61B53">
        <w:t>)</w:t>
      </w:r>
      <w:r w:rsidR="00181314" w:rsidRPr="00C61B53">
        <w:t>;</w:t>
      </w:r>
      <w:r w:rsidR="00181314" w:rsidRPr="00C61B53">
        <w:rPr>
          <w:i/>
        </w:rPr>
        <w:t xml:space="preserve"> </w:t>
      </w:r>
      <w:r w:rsidR="00A727C8" w:rsidRPr="00C61B53">
        <w:rPr>
          <w:i/>
        </w:rPr>
        <w:t>Dayton Time Lock Service, Inc. v. Silent Watchman Corp.</w:t>
      </w:r>
      <w:r w:rsidR="00A727C8" w:rsidRPr="00C61B53">
        <w:t xml:space="preserve"> (1975) 52 Cal.App.3d 1, 6</w:t>
      </w:r>
      <w:r w:rsidR="00DD6273" w:rsidRPr="00C61B53">
        <w:t xml:space="preserve"> (</w:t>
      </w:r>
      <w:r w:rsidR="00DD6273" w:rsidRPr="00C61B53">
        <w:rPr>
          <w:i/>
        </w:rPr>
        <w:t>Dayton Time Lock</w:t>
      </w:r>
      <w:r w:rsidR="00DD6273" w:rsidRPr="00C61B53">
        <w:t>)</w:t>
      </w:r>
      <w:r w:rsidR="003E5DC0" w:rsidRPr="00C61B53">
        <w:t xml:space="preserve">; </w:t>
      </w:r>
      <w:r w:rsidR="00181314" w:rsidRPr="00C61B53">
        <w:rPr>
          <w:i/>
        </w:rPr>
        <w:t xml:space="preserve">Great Western Distillery Products v. John A. </w:t>
      </w:r>
      <w:proofErr w:type="spellStart"/>
      <w:r w:rsidR="00181314" w:rsidRPr="00C61B53">
        <w:rPr>
          <w:i/>
        </w:rPr>
        <w:t>Wathen</w:t>
      </w:r>
      <w:proofErr w:type="spellEnd"/>
      <w:r w:rsidR="00181314" w:rsidRPr="00C61B53">
        <w:rPr>
          <w:i/>
        </w:rPr>
        <w:t xml:space="preserve"> Distillery Co</w:t>
      </w:r>
      <w:r w:rsidR="00181314" w:rsidRPr="00C61B53">
        <w:t>. (1937) 10 Cal.2d 442</w:t>
      </w:r>
      <w:r w:rsidR="0030104D" w:rsidRPr="00C61B53">
        <w:t>, 445–446</w:t>
      </w:r>
      <w:r w:rsidR="00CF0958" w:rsidRPr="00C61B53">
        <w:t xml:space="preserve"> </w:t>
      </w:r>
      <w:r w:rsidR="00DD6273" w:rsidRPr="00C61B53">
        <w:t>(</w:t>
      </w:r>
      <w:r w:rsidR="00DD6273" w:rsidRPr="00C61B53">
        <w:rPr>
          <w:i/>
        </w:rPr>
        <w:t>Great Western</w:t>
      </w:r>
      <w:r w:rsidR="00C452A6" w:rsidRPr="00C61B53">
        <w:rPr>
          <w:i/>
        </w:rPr>
        <w:t xml:space="preserve"> Distillery</w:t>
      </w:r>
      <w:r w:rsidR="00DD6273" w:rsidRPr="00C61B53">
        <w:t xml:space="preserve">) </w:t>
      </w:r>
      <w:r w:rsidR="00CF0958" w:rsidRPr="00C61B53">
        <w:t>[applying Civ</w:t>
      </w:r>
      <w:r w:rsidR="008E2363">
        <w:t>.</w:t>
      </w:r>
      <w:r w:rsidR="00CF0958" w:rsidRPr="00C61B53">
        <w:t xml:space="preserve"> Code</w:t>
      </w:r>
      <w:r w:rsidR="008E2363">
        <w:t>, former</w:t>
      </w:r>
      <w:r w:rsidR="00CF0958" w:rsidRPr="00C61B53">
        <w:t xml:space="preserve"> </w:t>
      </w:r>
      <w:r w:rsidR="008E2363" w:rsidRPr="00C61B53">
        <w:t>§ </w:t>
      </w:r>
      <w:r w:rsidR="00CF0958" w:rsidRPr="00C61B53">
        <w:t xml:space="preserve">1673, the predecessor statute to </w:t>
      </w:r>
      <w:r w:rsidR="008E2363">
        <w:t xml:space="preserve">Bus. &amp; Prof. Code, </w:t>
      </w:r>
      <w:r w:rsidR="008E2363" w:rsidRPr="00C61B53">
        <w:t>§ </w:t>
      </w:r>
      <w:r w:rsidR="00CF0958" w:rsidRPr="00C61B53">
        <w:t xml:space="preserve">16600]; </w:t>
      </w:r>
      <w:r w:rsidR="00D314FE" w:rsidRPr="00C61B53">
        <w:rPr>
          <w:i/>
        </w:rPr>
        <w:t>Getz Bros. &amp; Co. v. Federal Salt Co</w:t>
      </w:r>
      <w:r w:rsidR="00D314FE" w:rsidRPr="00C61B53">
        <w:t>. (1905) 147 Cal. 115, 11</w:t>
      </w:r>
      <w:r w:rsidR="009D0665">
        <w:t>8–119</w:t>
      </w:r>
      <w:r w:rsidR="00D25EFA" w:rsidRPr="00C61B53">
        <w:t xml:space="preserve"> (</w:t>
      </w:r>
      <w:r w:rsidR="00D25EFA" w:rsidRPr="00C61B53">
        <w:rPr>
          <w:i/>
        </w:rPr>
        <w:t>Getz Brothers</w:t>
      </w:r>
      <w:r w:rsidR="00D25EFA" w:rsidRPr="00C61B53">
        <w:t>)</w:t>
      </w:r>
      <w:r w:rsidR="00D314FE" w:rsidRPr="00C61B53">
        <w:t xml:space="preserve"> [</w:t>
      </w:r>
      <w:r w:rsidR="00CF0958" w:rsidRPr="00C61B53">
        <w:t>same</w:t>
      </w:r>
      <w:r w:rsidR="00D314FE" w:rsidRPr="00C61B53">
        <w:t>]</w:t>
      </w:r>
      <w:r w:rsidR="00EF2E5A" w:rsidRPr="00C61B53">
        <w:t>.</w:t>
      </w:r>
      <w:r w:rsidR="00A727C8" w:rsidRPr="00C61B53">
        <w:t>)</w:t>
      </w:r>
    </w:p>
    <w:p w14:paraId="158FEB16" w14:textId="4D33AE64" w:rsidR="00A54D00" w:rsidRPr="00C61B53" w:rsidRDefault="0084088A" w:rsidP="00BF4FC6">
      <w:pPr>
        <w:ind w:firstLine="720"/>
      </w:pPr>
      <w:r w:rsidRPr="00C61B53">
        <w:t>The parties do not</w:t>
      </w:r>
      <w:r w:rsidR="00786C96" w:rsidRPr="00C61B53">
        <w:t xml:space="preserve"> </w:t>
      </w:r>
      <w:r w:rsidR="003E5DC0" w:rsidRPr="00C61B53">
        <w:t>contend</w:t>
      </w:r>
      <w:r w:rsidR="00786C96" w:rsidRPr="00C61B53">
        <w:t xml:space="preserve"> that any of the exceptions </w:t>
      </w:r>
      <w:r w:rsidR="003E5DC0" w:rsidRPr="00C61B53">
        <w:t>t</w:t>
      </w:r>
      <w:r w:rsidR="00786C96" w:rsidRPr="00C61B53">
        <w:t>o section 16600 apply here.</w:t>
      </w:r>
      <w:r w:rsidRPr="00C61B53">
        <w:t xml:space="preserve">  </w:t>
      </w:r>
      <w:r w:rsidR="006041BA" w:rsidRPr="00C61B53">
        <w:t xml:space="preserve">Instead, </w:t>
      </w:r>
      <w:r w:rsidR="001A0538" w:rsidRPr="00C61B53">
        <w:t>the</w:t>
      </w:r>
      <w:r w:rsidR="007F47F6">
        <w:t xml:space="preserve">y </w:t>
      </w:r>
      <w:r w:rsidR="00F94411">
        <w:t xml:space="preserve">disagree </w:t>
      </w:r>
      <w:r w:rsidR="00630466">
        <w:t>on</w:t>
      </w:r>
      <w:r w:rsidR="00F94411">
        <w:t xml:space="preserve"> </w:t>
      </w:r>
      <w:r w:rsidR="006041BA" w:rsidRPr="00C61B53">
        <w:t xml:space="preserve">the </w:t>
      </w:r>
      <w:r w:rsidR="008B26E2" w:rsidRPr="00C61B53">
        <w:t>applicable</w:t>
      </w:r>
      <w:r w:rsidR="006041BA" w:rsidRPr="00C61B53">
        <w:t xml:space="preserve"> standard</w:t>
      </w:r>
      <w:r w:rsidR="002834F2" w:rsidRPr="00C61B53">
        <w:t xml:space="preserve"> to </w:t>
      </w:r>
      <w:r w:rsidR="008B26E2" w:rsidRPr="00C61B53">
        <w:t xml:space="preserve">examine the validity of </w:t>
      </w:r>
      <w:r w:rsidR="000D4D55" w:rsidRPr="00C61B53">
        <w:t xml:space="preserve">section 2.13 of </w:t>
      </w:r>
      <w:r w:rsidR="00530B86" w:rsidRPr="00C61B53">
        <w:t>the Forward-Biogen Agreement</w:t>
      </w:r>
      <w:r w:rsidR="008B26E2" w:rsidRPr="00C61B53">
        <w:t xml:space="preserve"> under section 16600</w:t>
      </w:r>
      <w:r w:rsidR="00A422CF" w:rsidRPr="00C61B53">
        <w:t>.</w:t>
      </w:r>
      <w:r w:rsidR="00A54D00" w:rsidRPr="00C61B53">
        <w:t xml:space="preserve">  </w:t>
      </w:r>
      <w:r w:rsidR="00A422CF" w:rsidRPr="00C61B53">
        <w:t>Biogen</w:t>
      </w:r>
      <w:r w:rsidR="00A62147" w:rsidRPr="00C61B53">
        <w:t xml:space="preserve"> </w:t>
      </w:r>
      <w:r w:rsidR="003C5816" w:rsidRPr="00C61B53">
        <w:t>argues</w:t>
      </w:r>
      <w:r w:rsidR="00A62147" w:rsidRPr="00C61B53">
        <w:t xml:space="preserve"> that </w:t>
      </w:r>
      <w:r w:rsidR="00A54D00" w:rsidRPr="00C61B53">
        <w:t>the rule of r</w:t>
      </w:r>
      <w:r w:rsidR="00DD1F8F" w:rsidRPr="00C61B53">
        <w:t>easo</w:t>
      </w:r>
      <w:r w:rsidR="00262DC2" w:rsidRPr="00C61B53">
        <w:t>n</w:t>
      </w:r>
      <w:r w:rsidR="00DD1F8F" w:rsidRPr="00C61B53">
        <w:t xml:space="preserve"> </w:t>
      </w:r>
      <w:r w:rsidR="001D3F3B" w:rsidRPr="00C61B53">
        <w:t xml:space="preserve">used to analyze </w:t>
      </w:r>
      <w:r w:rsidR="00440011" w:rsidRPr="00C61B53">
        <w:t>antitrust violations</w:t>
      </w:r>
      <w:r w:rsidR="001D3F3B" w:rsidRPr="00C61B53">
        <w:t xml:space="preserve"> </w:t>
      </w:r>
      <w:r w:rsidR="00315B1E" w:rsidRPr="00C61B53">
        <w:t>under the Cartwright Act</w:t>
      </w:r>
      <w:r w:rsidR="00262DC2" w:rsidRPr="00C61B53">
        <w:t xml:space="preserve"> (§ </w:t>
      </w:r>
      <w:r w:rsidR="008953B0" w:rsidRPr="00C61B53">
        <w:t>1670</w:t>
      </w:r>
      <w:r w:rsidR="0063098F" w:rsidRPr="00C61B53">
        <w:t>0 et seq.)</w:t>
      </w:r>
      <w:r w:rsidR="001D3F3B" w:rsidRPr="00C61B53">
        <w:t xml:space="preserve"> </w:t>
      </w:r>
      <w:r w:rsidR="005977A2">
        <w:t xml:space="preserve">should </w:t>
      </w:r>
      <w:r w:rsidR="001D3F3B" w:rsidRPr="00C61B53">
        <w:t xml:space="preserve">also </w:t>
      </w:r>
      <w:r w:rsidR="00DD1F8F" w:rsidRPr="00C61B53">
        <w:t xml:space="preserve">govern </w:t>
      </w:r>
      <w:r w:rsidR="003974C7" w:rsidRPr="00C61B53">
        <w:t>restraints on business</w:t>
      </w:r>
      <w:r w:rsidR="0063098F" w:rsidRPr="00C61B53">
        <w:t xml:space="preserve"> dealings</w:t>
      </w:r>
      <w:r w:rsidR="003974C7" w:rsidRPr="00C61B53">
        <w:t xml:space="preserve"> under section 16600.</w:t>
      </w:r>
      <w:r w:rsidR="00A54D00" w:rsidRPr="00C61B53">
        <w:t xml:space="preserve">  </w:t>
      </w:r>
      <w:r w:rsidR="006E341F">
        <w:t>That inquiry</w:t>
      </w:r>
      <w:r w:rsidR="006E341F" w:rsidRPr="006E341F">
        <w:rPr>
          <w:szCs w:val="26"/>
        </w:rPr>
        <w:t xml:space="preserve"> </w:t>
      </w:r>
      <w:r w:rsidR="006E341F" w:rsidRPr="00E114FA">
        <w:rPr>
          <w:szCs w:val="26"/>
        </w:rPr>
        <w:t xml:space="preserve">asks “whether </w:t>
      </w:r>
      <w:r w:rsidR="00D75B33">
        <w:rPr>
          <w:szCs w:val="26"/>
        </w:rPr>
        <w:t>an agreement</w:t>
      </w:r>
      <w:r w:rsidR="006E341F" w:rsidRPr="00E114FA">
        <w:rPr>
          <w:szCs w:val="26"/>
        </w:rPr>
        <w:t xml:space="preserve"> </w:t>
      </w:r>
      <w:r w:rsidR="00CB26AF">
        <w:rPr>
          <w:szCs w:val="26"/>
        </w:rPr>
        <w:t>harms competition more than it helps</w:t>
      </w:r>
      <w:r w:rsidR="006E341F" w:rsidRPr="00E114FA">
        <w:rPr>
          <w:szCs w:val="26"/>
        </w:rPr>
        <w:t>” by considering “</w:t>
      </w:r>
      <w:r w:rsidR="006E341F">
        <w:rPr>
          <w:szCs w:val="26"/>
        </w:rPr>
        <w:t> </w:t>
      </w:r>
      <w:r w:rsidR="006E341F" w:rsidRPr="00E114FA">
        <w:rPr>
          <w:szCs w:val="26"/>
        </w:rPr>
        <w:t xml:space="preserve">‘the facts peculiar to the business in which the restraint is applied, the nature of the restraint and its effects, and the history of the restraint and the </w:t>
      </w:r>
      <w:r w:rsidR="006E341F" w:rsidRPr="00E114FA">
        <w:rPr>
          <w:szCs w:val="26"/>
        </w:rPr>
        <w:lastRenderedPageBreak/>
        <w:t>reasons for its adoption.’</w:t>
      </w:r>
      <w:r w:rsidR="006E341F">
        <w:rPr>
          <w:szCs w:val="26"/>
        </w:rPr>
        <w:t> </w:t>
      </w:r>
      <w:r w:rsidR="006E341F" w:rsidRPr="00E114FA">
        <w:rPr>
          <w:szCs w:val="26"/>
        </w:rPr>
        <w:t>”  (</w:t>
      </w:r>
      <w:r w:rsidR="006E341F" w:rsidRPr="00E114FA">
        <w:rPr>
          <w:i/>
          <w:iCs/>
          <w:szCs w:val="26"/>
        </w:rPr>
        <w:t>In re Cipro Cases I &amp; II</w:t>
      </w:r>
      <w:r w:rsidR="006E341F" w:rsidRPr="00E114FA">
        <w:rPr>
          <w:szCs w:val="26"/>
        </w:rPr>
        <w:t xml:space="preserve"> (2015) 61 Cal.4th 116, 146</w:t>
      </w:r>
      <w:r w:rsidR="006E341F">
        <w:rPr>
          <w:szCs w:val="26"/>
        </w:rPr>
        <w:t xml:space="preserve"> (</w:t>
      </w:r>
      <w:r w:rsidR="006E341F">
        <w:rPr>
          <w:i/>
          <w:szCs w:val="26"/>
        </w:rPr>
        <w:t>Cipro</w:t>
      </w:r>
      <w:r w:rsidR="005A3367">
        <w:rPr>
          <w:szCs w:val="26"/>
        </w:rPr>
        <w:t>)</w:t>
      </w:r>
      <w:r w:rsidR="006E341F" w:rsidRPr="00E114FA">
        <w:rPr>
          <w:szCs w:val="26"/>
        </w:rPr>
        <w:t>.)</w:t>
      </w:r>
      <w:r w:rsidR="009B6E3B">
        <w:t xml:space="preserve">  </w:t>
      </w:r>
      <w:proofErr w:type="spellStart"/>
      <w:r w:rsidR="00CD33E1" w:rsidRPr="00C61B53">
        <w:t>Ixchel</w:t>
      </w:r>
      <w:proofErr w:type="spellEnd"/>
      <w:r w:rsidR="00CD33E1" w:rsidRPr="00C61B53">
        <w:t xml:space="preserve"> </w:t>
      </w:r>
      <w:r w:rsidR="0063098F" w:rsidRPr="00C61B53">
        <w:t>counters</w:t>
      </w:r>
      <w:r w:rsidR="003C5816" w:rsidRPr="00C61B53">
        <w:t xml:space="preserve"> that</w:t>
      </w:r>
      <w:r w:rsidR="00CF4641" w:rsidRPr="00C61B53">
        <w:t xml:space="preserve"> </w:t>
      </w:r>
      <w:r w:rsidR="00F346F4" w:rsidRPr="00C61B53">
        <w:t>section 16600 is not subject to</w:t>
      </w:r>
      <w:r w:rsidR="00F404BA" w:rsidRPr="00C61B53">
        <w:t xml:space="preserve"> a</w:t>
      </w:r>
      <w:r w:rsidR="00F346F4" w:rsidRPr="00C61B53">
        <w:t xml:space="preserve"> reasonableness </w:t>
      </w:r>
      <w:r w:rsidR="00525B07" w:rsidRPr="00C61B53">
        <w:t>standard</w:t>
      </w:r>
      <w:r w:rsidR="003E33AC" w:rsidRPr="00C61B53">
        <w:t xml:space="preserve">; it </w:t>
      </w:r>
      <w:r w:rsidR="007506D1" w:rsidRPr="00C61B53">
        <w:t xml:space="preserve">urges the court to extend </w:t>
      </w:r>
      <w:r w:rsidR="003758D0" w:rsidRPr="00C61B53">
        <w:rPr>
          <w:i/>
        </w:rPr>
        <w:t xml:space="preserve">Edwards v. Arthur Andersen LLP </w:t>
      </w:r>
      <w:r w:rsidR="003758D0" w:rsidRPr="00C61B53">
        <w:t>(2008) 44 Cal.4th 937</w:t>
      </w:r>
      <w:r w:rsidR="00066D5B" w:rsidRPr="00C61B53">
        <w:t xml:space="preserve"> (</w:t>
      </w:r>
      <w:r w:rsidR="00066D5B" w:rsidRPr="00C61B53">
        <w:rPr>
          <w:i/>
        </w:rPr>
        <w:t>Edwards</w:t>
      </w:r>
      <w:r w:rsidR="00066D5B" w:rsidRPr="00C61B53">
        <w:t>)</w:t>
      </w:r>
      <w:r w:rsidR="003758D0" w:rsidRPr="00C61B53">
        <w:t xml:space="preserve"> </w:t>
      </w:r>
      <w:r w:rsidR="0063098F" w:rsidRPr="00C61B53">
        <w:t>and</w:t>
      </w:r>
      <w:r w:rsidR="003758D0" w:rsidRPr="00C61B53">
        <w:t xml:space="preserve"> hold that </w:t>
      </w:r>
      <w:r w:rsidR="00CF4641" w:rsidRPr="00C61B53">
        <w:t>any contract in restraint of trade is per se void</w:t>
      </w:r>
      <w:r w:rsidR="003758D0" w:rsidRPr="00C61B53">
        <w:t xml:space="preserve">. </w:t>
      </w:r>
      <w:r w:rsidR="003758D0">
        <w:t xml:space="preserve"> </w:t>
      </w:r>
    </w:p>
    <w:p w14:paraId="32281B8F" w14:textId="3821D0E7" w:rsidR="00BC544B" w:rsidRPr="00C61B53" w:rsidRDefault="00C5569E" w:rsidP="00BF4FC6">
      <w:pPr>
        <w:ind w:firstLine="720"/>
      </w:pPr>
      <w:r w:rsidRPr="00C61B53">
        <w:t xml:space="preserve">The language of section </w:t>
      </w:r>
      <w:r w:rsidR="00A044B7" w:rsidRPr="00C61B53">
        <w:t xml:space="preserve">16600 </w:t>
      </w:r>
      <w:r w:rsidR="002A34CC">
        <w:t>is broad on its face</w:t>
      </w:r>
      <w:r w:rsidR="002811F3">
        <w:t xml:space="preserve">: </w:t>
      </w:r>
      <w:r w:rsidR="002A34CC">
        <w:t xml:space="preserve"> </w:t>
      </w:r>
      <w:r w:rsidR="00A044B7" w:rsidRPr="00C61B53">
        <w:t>“</w:t>
      </w:r>
      <w:r w:rsidRPr="00C61B53">
        <w:t xml:space="preserve">Except as provided in this chapter, </w:t>
      </w:r>
      <w:r w:rsidR="00A044B7" w:rsidRPr="00C61B53">
        <w:t>every contract by which anyone is restrained from engaging in a lawful profession, trade, or business of any ki</w:t>
      </w:r>
      <w:r w:rsidR="009B2C1E">
        <w:t>n</w:t>
      </w:r>
      <w:r w:rsidR="00A044B7" w:rsidRPr="00C61B53">
        <w:t>d is to that extent void</w:t>
      </w:r>
      <w:r w:rsidR="002A34CC">
        <w:t>.</w:t>
      </w:r>
      <w:r w:rsidR="00A044B7" w:rsidRPr="00C61B53">
        <w:t xml:space="preserve">” </w:t>
      </w:r>
      <w:r w:rsidR="00A54D00" w:rsidRPr="00C61B53">
        <w:t xml:space="preserve"> </w:t>
      </w:r>
      <w:r w:rsidR="006825A6" w:rsidRPr="00C61B53">
        <w:t>Read in isolation</w:t>
      </w:r>
      <w:r w:rsidR="0030506F" w:rsidRPr="00C61B53">
        <w:t xml:space="preserve">, </w:t>
      </w:r>
      <w:r w:rsidR="00D459C6" w:rsidRPr="00C61B53">
        <w:t>the</w:t>
      </w:r>
      <w:r w:rsidR="00530B04" w:rsidRPr="00C61B53">
        <w:t xml:space="preserve"> </w:t>
      </w:r>
      <w:r w:rsidRPr="00C61B53">
        <w:t xml:space="preserve">text </w:t>
      </w:r>
      <w:r w:rsidR="0094351E" w:rsidRPr="00C61B53">
        <w:t>suggest</w:t>
      </w:r>
      <w:r w:rsidR="002811F3">
        <w:t>s</w:t>
      </w:r>
      <w:r w:rsidR="0094351E" w:rsidRPr="00C61B53">
        <w:t xml:space="preserve"> that any </w:t>
      </w:r>
      <w:r w:rsidR="002C7AAB">
        <w:t xml:space="preserve">part of an </w:t>
      </w:r>
      <w:r w:rsidR="0094351E" w:rsidRPr="00C61B53">
        <w:t xml:space="preserve">agreement </w:t>
      </w:r>
      <w:r w:rsidR="003E2294" w:rsidRPr="00C61B53">
        <w:t>restrain</w:t>
      </w:r>
      <w:r w:rsidR="00CA657C" w:rsidRPr="00C61B53">
        <w:t>ing</w:t>
      </w:r>
      <w:r w:rsidR="003E2294" w:rsidRPr="00C61B53">
        <w:t xml:space="preserve"> a party from engaging in a trade, profession, or business</w:t>
      </w:r>
      <w:r w:rsidR="0094351E" w:rsidRPr="00C61B53">
        <w:t xml:space="preserve"> is per se invalid</w:t>
      </w:r>
      <w:r w:rsidR="00DE044E" w:rsidRPr="00C61B53">
        <w:t xml:space="preserve"> unless certain exceptions apply.</w:t>
      </w:r>
      <w:r w:rsidR="00BC544B" w:rsidRPr="00C61B53">
        <w:t xml:space="preserve">  </w:t>
      </w:r>
      <w:r w:rsidR="00332F51" w:rsidRPr="00C61B53">
        <w:t xml:space="preserve">But </w:t>
      </w:r>
      <w:r w:rsidR="00D50863">
        <w:t xml:space="preserve">in reading statutes, </w:t>
      </w:r>
      <w:r w:rsidR="00DF57F5">
        <w:t xml:space="preserve">we consider the </w:t>
      </w:r>
      <w:r w:rsidR="0053666C">
        <w:t xml:space="preserve">text </w:t>
      </w:r>
      <w:r w:rsidR="00BC544B" w:rsidRPr="00C61B53">
        <w:t>in the context of</w:t>
      </w:r>
      <w:r w:rsidR="00BC544B" w:rsidRPr="00E0796D">
        <w:t xml:space="preserve"> </w:t>
      </w:r>
      <w:r w:rsidR="00832FF0" w:rsidRPr="00C61B53">
        <w:t>“the statutory framework as a whole in order to determine its scope and purpose.”  (</w:t>
      </w:r>
      <w:r w:rsidR="00832FF0" w:rsidRPr="00C61B53">
        <w:rPr>
          <w:i/>
        </w:rPr>
        <w:t>Coalition of Concerned Communities, Inc. v. City of Los Angeles</w:t>
      </w:r>
      <w:r w:rsidR="00832FF0" w:rsidRPr="00C61B53">
        <w:t xml:space="preserve"> (2004) 34 Cal.4th 733, 737.)</w:t>
      </w:r>
      <w:r w:rsidR="002B3D8C" w:rsidRPr="00C61B53" w:rsidDel="002B3D8C">
        <w:t xml:space="preserve"> </w:t>
      </w:r>
      <w:r w:rsidR="00E57D04" w:rsidRPr="00C61B53">
        <w:t xml:space="preserve"> </w:t>
      </w:r>
      <w:r w:rsidR="00832FF0" w:rsidRPr="00C61B53">
        <w:t xml:space="preserve">And </w:t>
      </w:r>
      <w:r w:rsidR="003052AE" w:rsidRPr="00C61B53">
        <w:t xml:space="preserve">we must consider </w:t>
      </w:r>
      <w:r w:rsidR="00780E93" w:rsidRPr="00C61B53">
        <w:t>the statute i</w:t>
      </w:r>
      <w:r w:rsidR="00031140" w:rsidRPr="00C61B53">
        <w:t xml:space="preserve">n light of </w:t>
      </w:r>
      <w:r w:rsidR="00780E93" w:rsidRPr="00C61B53">
        <w:t>precedent</w:t>
      </w:r>
      <w:r w:rsidR="00BC544B" w:rsidRPr="00C61B53">
        <w:t xml:space="preserve"> construing it</w:t>
      </w:r>
      <w:r w:rsidR="00780E93" w:rsidRPr="00C61B53">
        <w:t>.</w:t>
      </w:r>
      <w:r w:rsidR="00F554B3" w:rsidRPr="00C61B53">
        <w:t xml:space="preserve">  (See </w:t>
      </w:r>
      <w:r w:rsidR="00F554B3" w:rsidRPr="00C61B53">
        <w:rPr>
          <w:i/>
        </w:rPr>
        <w:t>Coker v. JPMorgan Chase Bank, N.A</w:t>
      </w:r>
      <w:r w:rsidR="00F554B3" w:rsidRPr="00C61B53">
        <w:t>. (2016) 62 Cal.4th 667, 676.)</w:t>
      </w:r>
    </w:p>
    <w:p w14:paraId="14B56371" w14:textId="08F04C3C" w:rsidR="00A1622F" w:rsidRPr="00C61B53" w:rsidRDefault="00E346B5" w:rsidP="00BF4FC6">
      <w:pPr>
        <w:ind w:firstLine="720"/>
      </w:pPr>
      <w:r>
        <w:t xml:space="preserve">In context, section 16600 </w:t>
      </w:r>
      <w:r w:rsidR="00C85A9A">
        <w:t xml:space="preserve">is best read </w:t>
      </w:r>
      <w:r w:rsidR="002D4353">
        <w:t xml:space="preserve">not to render void per se all </w:t>
      </w:r>
      <w:r w:rsidR="00A37EAF" w:rsidRPr="00C61B53">
        <w:t xml:space="preserve">contractual restraints </w:t>
      </w:r>
      <w:r w:rsidR="002D4353">
        <w:t xml:space="preserve">on business </w:t>
      </w:r>
      <w:r w:rsidR="00A37EAF" w:rsidRPr="00C61B53">
        <w:t>dealings</w:t>
      </w:r>
      <w:r w:rsidR="002D4353">
        <w:t>, but rather to subject such restraints to a rule of reason.  S</w:t>
      </w:r>
      <w:r w:rsidR="00332F51" w:rsidRPr="00C61B53">
        <w:t xml:space="preserve">ection 16600 was </w:t>
      </w:r>
      <w:r w:rsidR="0007574F">
        <w:t>initially</w:t>
      </w:r>
      <w:r w:rsidR="00332F51" w:rsidRPr="00C61B53">
        <w:t xml:space="preserve"> enacted in 1872 as section 1673 of the Civil Code</w:t>
      </w:r>
      <w:r w:rsidR="00A3197A" w:rsidRPr="00C61B53">
        <w:t xml:space="preserve"> </w:t>
      </w:r>
      <w:r w:rsidR="00525B07" w:rsidRPr="00C61B53">
        <w:t>using</w:t>
      </w:r>
      <w:r w:rsidR="00A3197A" w:rsidRPr="00C61B53">
        <w:t xml:space="preserve"> substantively identical language</w:t>
      </w:r>
      <w:r w:rsidR="00332F51" w:rsidRPr="00C61B53">
        <w:t>.  (Civ.</w:t>
      </w:r>
      <w:r w:rsidR="0057516E" w:rsidRPr="00C61B53">
        <w:t xml:space="preserve"> </w:t>
      </w:r>
      <w:r w:rsidR="00332F51" w:rsidRPr="00C61B53">
        <w:t xml:space="preserve">Code, </w:t>
      </w:r>
      <w:r w:rsidR="008E2363">
        <w:t xml:space="preserve">former </w:t>
      </w:r>
      <w:r w:rsidR="00332F51" w:rsidRPr="00C61B53">
        <w:t>§ 1673, repealed by Stats.</w:t>
      </w:r>
      <w:r w:rsidR="0057516E" w:rsidRPr="00C61B53">
        <w:t> </w:t>
      </w:r>
      <w:r w:rsidR="00332F51" w:rsidRPr="00C61B53">
        <w:t xml:space="preserve">1941, </w:t>
      </w:r>
      <w:proofErr w:type="spellStart"/>
      <w:r w:rsidR="00332F51" w:rsidRPr="00C61B53">
        <w:t>ch.</w:t>
      </w:r>
      <w:proofErr w:type="spellEnd"/>
      <w:r w:rsidR="0057516E" w:rsidRPr="00C61B53">
        <w:t> </w:t>
      </w:r>
      <w:r w:rsidR="00332F51" w:rsidRPr="00C61B53">
        <w:t>526, §</w:t>
      </w:r>
      <w:r w:rsidR="0057516E" w:rsidRPr="00C61B53">
        <w:t> </w:t>
      </w:r>
      <w:r w:rsidR="00332F51" w:rsidRPr="00C61B53">
        <w:t>2, p.</w:t>
      </w:r>
      <w:r w:rsidR="0057516E" w:rsidRPr="00C61B53">
        <w:t> </w:t>
      </w:r>
      <w:r w:rsidR="00332F51" w:rsidRPr="00C61B53">
        <w:t>1847 and enacted as Bus. &amp; Prof.</w:t>
      </w:r>
      <w:r w:rsidR="0057516E" w:rsidRPr="00C61B53">
        <w:t xml:space="preserve"> </w:t>
      </w:r>
      <w:r w:rsidR="00332F51" w:rsidRPr="00C61B53">
        <w:t>Code, § 16600</w:t>
      </w:r>
      <w:r w:rsidR="008E2363">
        <w:t xml:space="preserve"> by</w:t>
      </w:r>
      <w:r w:rsidR="00332F51" w:rsidRPr="00C61B53">
        <w:t xml:space="preserve"> Stats.</w:t>
      </w:r>
      <w:r w:rsidR="0057516E" w:rsidRPr="00C61B53">
        <w:t> </w:t>
      </w:r>
      <w:r w:rsidR="00332F51" w:rsidRPr="00C61B53">
        <w:t xml:space="preserve">1941, </w:t>
      </w:r>
      <w:proofErr w:type="spellStart"/>
      <w:r w:rsidR="00332F51" w:rsidRPr="00C61B53">
        <w:t>ch.</w:t>
      </w:r>
      <w:proofErr w:type="spellEnd"/>
      <w:r w:rsidR="0057516E" w:rsidRPr="00C61B53">
        <w:t> </w:t>
      </w:r>
      <w:r w:rsidR="00332F51" w:rsidRPr="00C61B53">
        <w:t>526, §</w:t>
      </w:r>
      <w:r w:rsidR="0057516E" w:rsidRPr="00C61B53">
        <w:t> </w:t>
      </w:r>
      <w:r w:rsidR="00A62D9D" w:rsidRPr="00C61B53">
        <w:t>1</w:t>
      </w:r>
      <w:r w:rsidR="00332F51" w:rsidRPr="00C61B53">
        <w:t>, p.</w:t>
      </w:r>
      <w:r w:rsidR="0057516E" w:rsidRPr="00C61B53">
        <w:t> </w:t>
      </w:r>
      <w:r w:rsidR="00332F51" w:rsidRPr="00C61B53">
        <w:t xml:space="preserve">1834.) </w:t>
      </w:r>
      <w:r w:rsidR="00A54D00" w:rsidRPr="00C61B53">
        <w:t xml:space="preserve"> </w:t>
      </w:r>
      <w:r w:rsidR="00E378E1" w:rsidRPr="00C61B53">
        <w:t>Our decisions interpreting Civil Code</w:t>
      </w:r>
      <w:r w:rsidR="008E2363">
        <w:t xml:space="preserve"> former</w:t>
      </w:r>
      <w:r w:rsidR="00E378E1" w:rsidRPr="00C61B53">
        <w:t xml:space="preserve"> section 1673 </w:t>
      </w:r>
      <w:r w:rsidR="00203D9E" w:rsidRPr="00C61B53">
        <w:t>thus inform</w:t>
      </w:r>
      <w:r w:rsidR="00E378E1" w:rsidRPr="00C61B53">
        <w:t xml:space="preserve"> </w:t>
      </w:r>
      <w:r w:rsidR="00161056" w:rsidRPr="00C61B53">
        <w:t xml:space="preserve">the </w:t>
      </w:r>
      <w:r w:rsidR="00E378E1" w:rsidRPr="00C61B53">
        <w:t>interpretation of section 16600.</w:t>
      </w:r>
      <w:r w:rsidR="00A54D00" w:rsidRPr="00C61B53">
        <w:t xml:space="preserve">  (See </w:t>
      </w:r>
      <w:r w:rsidR="00A54D00" w:rsidRPr="00C61B53">
        <w:rPr>
          <w:i/>
        </w:rPr>
        <w:t xml:space="preserve">People v. Bonnetta </w:t>
      </w:r>
      <w:r w:rsidR="00A54D00" w:rsidRPr="00C61B53">
        <w:t xml:space="preserve">(2009) 46 Cal.4th 143, 151 [“[W]hen a statute has been construed by the courts and the Legislature thereafter reenacts the statute without changing the interpreted language, a </w:t>
      </w:r>
      <w:r w:rsidR="00A54D00" w:rsidRPr="00C61B53">
        <w:lastRenderedPageBreak/>
        <w:t xml:space="preserve">presumption is raised that the Legislature was aware of and has acquiesced in that construction.”].)  </w:t>
      </w:r>
      <w:r w:rsidR="00EE4DE5" w:rsidRPr="00C61B53">
        <w:t xml:space="preserve">And </w:t>
      </w:r>
      <w:r w:rsidR="00E57D04" w:rsidRPr="00C61B53">
        <w:t>Civil Code</w:t>
      </w:r>
      <w:r w:rsidR="008E2363">
        <w:t xml:space="preserve"> former</w:t>
      </w:r>
      <w:r w:rsidR="00E57D04" w:rsidRPr="00C61B53">
        <w:t xml:space="preserve"> section 1673 was enacted against the backdrop of </w:t>
      </w:r>
      <w:r w:rsidR="00203D9E" w:rsidRPr="00C61B53">
        <w:t>well</w:t>
      </w:r>
      <w:r w:rsidR="00951203" w:rsidRPr="00C61B53">
        <w:t>-</w:t>
      </w:r>
      <w:r w:rsidR="00E57D04" w:rsidRPr="00C61B53">
        <w:t>established common law prohibit</w:t>
      </w:r>
      <w:r w:rsidR="00564301" w:rsidRPr="00C61B53">
        <w:t>ions</w:t>
      </w:r>
      <w:r w:rsidR="00E57D04" w:rsidRPr="00C61B53">
        <w:t xml:space="preserve"> against restraints of trade.</w:t>
      </w:r>
      <w:r w:rsidR="00403F86" w:rsidRPr="00C61B53">
        <w:t xml:space="preserve">  (See </w:t>
      </w:r>
      <w:r w:rsidR="00403F86" w:rsidRPr="00C61B53">
        <w:rPr>
          <w:i/>
        </w:rPr>
        <w:t>Vulcan Powder Co. v. Hercules Powder Co</w:t>
      </w:r>
      <w:r w:rsidR="00403F86" w:rsidRPr="00C61B53">
        <w:t>. (1892) 96 Cal. 510, 51</w:t>
      </w:r>
      <w:r w:rsidR="00EE4DE5" w:rsidRPr="00C61B53">
        <w:t>3</w:t>
      </w:r>
      <w:r w:rsidR="00525B07" w:rsidRPr="00C61B53">
        <w:t xml:space="preserve"> (</w:t>
      </w:r>
      <w:r w:rsidR="00525B07" w:rsidRPr="00C61B53">
        <w:rPr>
          <w:i/>
        </w:rPr>
        <w:t>Vulcan Powder</w:t>
      </w:r>
      <w:r w:rsidR="00525B07" w:rsidRPr="00C61B53">
        <w:t>)</w:t>
      </w:r>
      <w:r w:rsidR="00403F86" w:rsidRPr="00C61B53">
        <w:t>.)</w:t>
      </w:r>
      <w:r w:rsidR="00D34D8A" w:rsidRPr="00C61B53">
        <w:t xml:space="preserve">  </w:t>
      </w:r>
      <w:r w:rsidR="00203D9E" w:rsidRPr="00C61B53">
        <w:t>As explained below, t</w:t>
      </w:r>
      <w:r w:rsidR="00143F7A" w:rsidRPr="00C61B53">
        <w:t xml:space="preserve">his court has interpreted section 16600 and its </w:t>
      </w:r>
      <w:r w:rsidR="00203D9E" w:rsidRPr="00C61B53">
        <w:t xml:space="preserve">Civil Code </w:t>
      </w:r>
      <w:r w:rsidR="00143F7A" w:rsidRPr="00C61B53">
        <w:t>predecessor on numerous occasions</w:t>
      </w:r>
      <w:r w:rsidR="00203D9E" w:rsidRPr="00C61B53">
        <w:t>,</w:t>
      </w:r>
      <w:r w:rsidR="00143F7A" w:rsidRPr="00C61B53">
        <w:t xml:space="preserve"> </w:t>
      </w:r>
      <w:r w:rsidR="00203D9E" w:rsidRPr="00C61B53">
        <w:t>and w</w:t>
      </w:r>
      <w:r w:rsidR="002064CD" w:rsidRPr="00C61B53">
        <w:t xml:space="preserve">e have declined to </w:t>
      </w:r>
      <w:r w:rsidR="002E0A7B" w:rsidRPr="00C61B53">
        <w:t xml:space="preserve">categorically invalidate </w:t>
      </w:r>
      <w:r w:rsidR="007D3EFC" w:rsidRPr="00C61B53">
        <w:t xml:space="preserve">all </w:t>
      </w:r>
      <w:r w:rsidR="000A153A" w:rsidRPr="00C61B53">
        <w:t xml:space="preserve">agreements limiting the freedom to engage in </w:t>
      </w:r>
      <w:r w:rsidR="00051636" w:rsidRPr="00C61B53">
        <w:t>trade</w:t>
      </w:r>
      <w:r w:rsidR="002E0A7B" w:rsidRPr="00C61B53">
        <w:t xml:space="preserve">.  </w:t>
      </w:r>
      <w:r w:rsidR="002D4353">
        <w:t>O</w:t>
      </w:r>
      <w:r w:rsidR="00E473A5">
        <w:t>ver time</w:t>
      </w:r>
      <w:r w:rsidR="007D3EFC" w:rsidRPr="00C61B53">
        <w:t xml:space="preserve">, </w:t>
      </w:r>
      <w:r w:rsidR="002D4353">
        <w:t>our case law</w:t>
      </w:r>
      <w:r w:rsidR="002D4353" w:rsidRPr="00C61B53">
        <w:t xml:space="preserve"> </w:t>
      </w:r>
      <w:r w:rsidR="0076619B" w:rsidRPr="00C61B53">
        <w:t>ha</w:t>
      </w:r>
      <w:r w:rsidR="002D4353">
        <w:t>s</w:t>
      </w:r>
      <w:r w:rsidR="007D3EFC" w:rsidRPr="00C61B53">
        <w:t xml:space="preserve"> </w:t>
      </w:r>
      <w:r w:rsidR="00A77C7A" w:rsidRPr="00C61B53">
        <w:t xml:space="preserve">generally </w:t>
      </w:r>
      <w:r w:rsidR="007D3EFC" w:rsidRPr="00C61B53">
        <w:t xml:space="preserve">invalidated </w:t>
      </w:r>
      <w:r w:rsidR="005341C8" w:rsidRPr="00C61B53">
        <w:t xml:space="preserve">agreements not to compete upon the termination of employment or </w:t>
      </w:r>
      <w:r w:rsidR="00472A36">
        <w:t xml:space="preserve">upon </w:t>
      </w:r>
      <w:r w:rsidR="005341C8" w:rsidRPr="00C61B53">
        <w:t>the sale of</w:t>
      </w:r>
      <w:r w:rsidR="00525B07" w:rsidRPr="00C61B53">
        <w:t xml:space="preserve"> interest</w:t>
      </w:r>
      <w:r w:rsidR="005341C8" w:rsidRPr="00C61B53">
        <w:t xml:space="preserve"> in a business</w:t>
      </w:r>
      <w:r w:rsidR="003C06EC" w:rsidRPr="00C61B53">
        <w:t xml:space="preserve"> </w:t>
      </w:r>
      <w:r w:rsidR="007D3EFC" w:rsidRPr="00C61B53">
        <w:t xml:space="preserve">without inquiring </w:t>
      </w:r>
      <w:r w:rsidR="00BC7B78" w:rsidRPr="00C61B53">
        <w:t xml:space="preserve">into </w:t>
      </w:r>
      <w:r w:rsidR="003C06EC" w:rsidRPr="00C61B53">
        <w:t>their</w:t>
      </w:r>
      <w:r w:rsidR="007D3EFC" w:rsidRPr="00C61B53">
        <w:t xml:space="preserve"> </w:t>
      </w:r>
      <w:r w:rsidR="003C06EC" w:rsidRPr="00C61B53">
        <w:t>reasonableness</w:t>
      </w:r>
      <w:r w:rsidR="0076619B" w:rsidRPr="00C61B53">
        <w:t>,</w:t>
      </w:r>
      <w:r w:rsidR="003C06EC" w:rsidRPr="00C61B53">
        <w:t xml:space="preserve"> </w:t>
      </w:r>
      <w:r w:rsidR="00525B07" w:rsidRPr="00C61B53">
        <w:t>while</w:t>
      </w:r>
      <w:r w:rsidR="007D3EFC" w:rsidRPr="00C61B53">
        <w:t xml:space="preserve"> </w:t>
      </w:r>
      <w:r w:rsidR="00525B07" w:rsidRPr="00C61B53">
        <w:t>invalidating</w:t>
      </w:r>
      <w:r w:rsidR="007D3EFC" w:rsidRPr="00C61B53">
        <w:t xml:space="preserve"> </w:t>
      </w:r>
      <w:r w:rsidR="00165415">
        <w:t xml:space="preserve">other </w:t>
      </w:r>
      <w:r w:rsidR="00BC7B78" w:rsidRPr="00C61B53">
        <w:t xml:space="preserve">contractual </w:t>
      </w:r>
      <w:r w:rsidR="003C06EC" w:rsidRPr="00C61B53">
        <w:t>r</w:t>
      </w:r>
      <w:r w:rsidR="007D3EFC" w:rsidRPr="00C61B53">
        <w:t xml:space="preserve">estraints on businesses </w:t>
      </w:r>
      <w:r w:rsidR="00BC7B78" w:rsidRPr="00C61B53">
        <w:t xml:space="preserve">operations </w:t>
      </w:r>
      <w:r w:rsidR="00051636" w:rsidRPr="00C61B53">
        <w:t xml:space="preserve">and commercial dealings </w:t>
      </w:r>
      <w:r w:rsidR="007D3EFC" w:rsidRPr="00C61B53">
        <w:t xml:space="preserve">only if </w:t>
      </w:r>
      <w:r w:rsidR="00A77C7A" w:rsidRPr="00C61B53">
        <w:t xml:space="preserve">such restraints </w:t>
      </w:r>
      <w:r w:rsidR="007D3EFC" w:rsidRPr="00C61B53">
        <w:t>were unreasonable.</w:t>
      </w:r>
    </w:p>
    <w:p w14:paraId="63C02A44" w14:textId="7ACDD942" w:rsidR="00D47F47" w:rsidRPr="00C61B53" w:rsidRDefault="002D4353" w:rsidP="00BF4FC6">
      <w:pPr>
        <w:ind w:firstLine="720"/>
      </w:pPr>
      <w:r>
        <w:t>W</w:t>
      </w:r>
      <w:r w:rsidR="00203D9E" w:rsidRPr="00C61B53">
        <w:t>e</w:t>
      </w:r>
      <w:r w:rsidR="004C5733" w:rsidRPr="00C61B53">
        <w:t xml:space="preserve"> </w:t>
      </w:r>
      <w:r w:rsidR="00AA7A32">
        <w:t xml:space="preserve">must </w:t>
      </w:r>
      <w:r>
        <w:t xml:space="preserve">also </w:t>
      </w:r>
      <w:r w:rsidR="004E5DE8" w:rsidRPr="00C61B53">
        <w:t xml:space="preserve">consider section 16600’s </w:t>
      </w:r>
      <w:r w:rsidR="00CA657C" w:rsidRPr="00C61B53">
        <w:t>“language in its ‘broader statutory context’ and, where possible, harmonize that language with related provisions by interpreting them in a consistent fashion.”  (</w:t>
      </w:r>
      <w:r w:rsidR="00CA657C" w:rsidRPr="00C61B53">
        <w:rPr>
          <w:i/>
        </w:rPr>
        <w:t>ZB, N.A. v. Superior Court</w:t>
      </w:r>
      <w:r w:rsidR="000565B0" w:rsidRPr="00C61B53">
        <w:t xml:space="preserve"> (2019) 8 Cal.5th 175, 189 (</w:t>
      </w:r>
      <w:r w:rsidR="000565B0" w:rsidRPr="00C61B53">
        <w:rPr>
          <w:i/>
        </w:rPr>
        <w:t>ZB</w:t>
      </w:r>
      <w:r w:rsidR="00100867" w:rsidRPr="00C61B53">
        <w:t>)</w:t>
      </w:r>
      <w:r w:rsidR="000565B0" w:rsidRPr="00C61B53">
        <w:t>.</w:t>
      </w:r>
      <w:r w:rsidR="00CA657C" w:rsidRPr="00C61B53">
        <w:t>)</w:t>
      </w:r>
      <w:r w:rsidR="004C5733" w:rsidRPr="00C61B53">
        <w:t xml:space="preserve">  </w:t>
      </w:r>
      <w:r w:rsidR="00D178B2" w:rsidRPr="00C61B53">
        <w:t>Section 16600 sits alongside another antitrust stat</w:t>
      </w:r>
      <w:r w:rsidR="005728A4" w:rsidRPr="00C61B53">
        <w:t xml:space="preserve">ute, the Cartwright Act </w:t>
      </w:r>
      <w:r w:rsidR="008953B0" w:rsidRPr="00C61B53">
        <w:t>(§ 1670</w:t>
      </w:r>
      <w:r w:rsidR="00D178B2" w:rsidRPr="00C61B53">
        <w:t xml:space="preserve">0 et seq.), </w:t>
      </w:r>
      <w:r w:rsidR="00703A9E">
        <w:t xml:space="preserve">which </w:t>
      </w:r>
      <w:r w:rsidR="0094699C">
        <w:t xml:space="preserve">we have </w:t>
      </w:r>
      <w:r>
        <w:t>construed to</w:t>
      </w:r>
      <w:r w:rsidR="00231D14">
        <w:t xml:space="preserve"> </w:t>
      </w:r>
      <w:r w:rsidR="000D2B92">
        <w:t xml:space="preserve">permit </w:t>
      </w:r>
      <w:r w:rsidR="0021316B">
        <w:t xml:space="preserve">reasonable </w:t>
      </w:r>
      <w:r w:rsidR="00231D14">
        <w:t>restraints of trade</w:t>
      </w:r>
      <w:r w:rsidR="0094699C">
        <w:t xml:space="preserve">.  </w:t>
      </w:r>
      <w:r w:rsidR="0094699C" w:rsidRPr="00C61B53">
        <w:t>(</w:t>
      </w:r>
      <w:r w:rsidR="00B15086">
        <w:rPr>
          <w:i/>
        </w:rPr>
        <w:t>Cipro</w:t>
      </w:r>
      <w:r w:rsidR="00B15086">
        <w:t xml:space="preserve">, </w:t>
      </w:r>
      <w:r w:rsidR="00B15086" w:rsidRPr="00B15086">
        <w:rPr>
          <w:i/>
        </w:rPr>
        <w:t>supra</w:t>
      </w:r>
      <w:r w:rsidR="00B15086">
        <w:t>,</w:t>
      </w:r>
      <w:r w:rsidR="0094699C" w:rsidRPr="00C61B53">
        <w:t xml:space="preserve"> 61 Cal.4th </w:t>
      </w:r>
      <w:r w:rsidR="00B15086">
        <w:t>at</w:t>
      </w:r>
      <w:r w:rsidR="0094699C" w:rsidRPr="00C61B53">
        <w:t xml:space="preserve"> </w:t>
      </w:r>
      <w:r w:rsidR="00B15086">
        <w:t>p. </w:t>
      </w:r>
      <w:r w:rsidR="0094699C" w:rsidRPr="00C61B53">
        <w:t>13</w:t>
      </w:r>
      <w:r w:rsidR="004B0EA1">
        <w:t>7</w:t>
      </w:r>
      <w:r w:rsidR="0094699C" w:rsidRPr="00C61B53">
        <w:t>.)</w:t>
      </w:r>
      <w:r w:rsidR="000420A0" w:rsidRPr="00C61B53">
        <w:t xml:space="preserve">  </w:t>
      </w:r>
      <w:r w:rsidR="00880782">
        <w:t>T</w:t>
      </w:r>
      <w:r w:rsidR="00203D9E" w:rsidRPr="00C61B53">
        <w:t>h</w:t>
      </w:r>
      <w:r w:rsidR="00A95427">
        <w:t>is</w:t>
      </w:r>
      <w:r w:rsidR="00203D9E" w:rsidRPr="00C61B53">
        <w:t xml:space="preserve"> </w:t>
      </w:r>
      <w:r w:rsidR="004E5DE8" w:rsidRPr="00C61B53">
        <w:t xml:space="preserve">statutory </w:t>
      </w:r>
      <w:r w:rsidR="00A95427">
        <w:t xml:space="preserve">context </w:t>
      </w:r>
      <w:r w:rsidR="004E5DE8" w:rsidRPr="00C61B53">
        <w:t>further supports the conclusion that a</w:t>
      </w:r>
      <w:r w:rsidR="007B67A6" w:rsidRPr="00C61B53">
        <w:t xml:space="preserve"> rule of reason </w:t>
      </w:r>
      <w:r w:rsidR="008670E5" w:rsidRPr="00C61B53">
        <w:t xml:space="preserve">applies </w:t>
      </w:r>
      <w:r w:rsidR="007B67A6" w:rsidRPr="00C61B53">
        <w:t>to contract</w:t>
      </w:r>
      <w:r w:rsidR="006D47A0" w:rsidRPr="00C61B53">
        <w:t xml:space="preserve">ual restraints </w:t>
      </w:r>
      <w:r w:rsidR="008670E5" w:rsidRPr="00C61B53">
        <w:t>on business operations and commercial dealings</w:t>
      </w:r>
      <w:r w:rsidR="004E5DE8" w:rsidRPr="00C61B53">
        <w:t xml:space="preserve"> under section 16600.</w:t>
      </w:r>
    </w:p>
    <w:p w14:paraId="77D6131F" w14:textId="588F93FF" w:rsidR="00A54D00" w:rsidRPr="00C61B53" w:rsidRDefault="002C5BC4" w:rsidP="00E0796D">
      <w:pPr>
        <w:pStyle w:val="Heading2"/>
        <w:ind w:left="0" w:firstLine="0"/>
        <w:jc w:val="center"/>
      </w:pPr>
      <w:r w:rsidRPr="00C61B53">
        <w:t>B</w:t>
      </w:r>
      <w:r w:rsidR="00A54D00" w:rsidRPr="00C61B53">
        <w:t>.</w:t>
      </w:r>
    </w:p>
    <w:p w14:paraId="7E3E2C91" w14:textId="3D8396FA" w:rsidR="00384176" w:rsidRPr="00C61B53" w:rsidRDefault="004C232B" w:rsidP="00E0796D">
      <w:pPr>
        <w:ind w:firstLine="720"/>
      </w:pPr>
      <w:r w:rsidRPr="00C61B53">
        <w:t xml:space="preserve">We </w:t>
      </w:r>
      <w:r w:rsidR="006B537B" w:rsidRPr="00C61B53">
        <w:t xml:space="preserve">turn first to </w:t>
      </w:r>
      <w:r w:rsidR="00A7621B" w:rsidRPr="00C61B53">
        <w:t xml:space="preserve">the </w:t>
      </w:r>
      <w:r w:rsidR="00867674" w:rsidRPr="00C61B53">
        <w:t xml:space="preserve">statute’s </w:t>
      </w:r>
      <w:r w:rsidR="006B537B" w:rsidRPr="00C61B53">
        <w:t>history</w:t>
      </w:r>
      <w:r w:rsidR="00A7621B" w:rsidRPr="00C61B53">
        <w:t xml:space="preserve"> and our precedent.</w:t>
      </w:r>
      <w:r w:rsidR="00A54D00" w:rsidRPr="00C61B53">
        <w:t xml:space="preserve">  </w:t>
      </w:r>
      <w:r w:rsidR="00AC22D5" w:rsidRPr="00C61B53">
        <w:t xml:space="preserve">“Under the common law, . . . contractual restraints on the practice of a profession, business, or trade, were considered </w:t>
      </w:r>
      <w:r w:rsidR="00AC22D5" w:rsidRPr="00C61B53">
        <w:lastRenderedPageBreak/>
        <w:t>valid, as long as they were reasonably imposed.”  (</w:t>
      </w:r>
      <w:r w:rsidR="00AC22D5" w:rsidRPr="00C61B53">
        <w:rPr>
          <w:i/>
        </w:rPr>
        <w:t>Edwards</w:t>
      </w:r>
      <w:r w:rsidR="00AC22D5" w:rsidRPr="00C61B53">
        <w:t xml:space="preserve">, </w:t>
      </w:r>
      <w:r w:rsidR="00AC22D5" w:rsidRPr="00C61B53">
        <w:rPr>
          <w:i/>
        </w:rPr>
        <w:t>supra</w:t>
      </w:r>
      <w:r w:rsidR="00AC22D5" w:rsidRPr="00C61B53">
        <w:t xml:space="preserve">, </w:t>
      </w:r>
      <w:r w:rsidR="009B7264" w:rsidRPr="00C61B53">
        <w:t>4</w:t>
      </w:r>
      <w:r w:rsidR="00AC22D5" w:rsidRPr="00C61B53">
        <w:t xml:space="preserve">4 Cal.4th at </w:t>
      </w:r>
      <w:r w:rsidR="003C67EF" w:rsidRPr="00C61B53">
        <w:t>p. </w:t>
      </w:r>
      <w:r w:rsidR="00AC22D5" w:rsidRPr="00C61B53">
        <w:t xml:space="preserve">945; </w:t>
      </w:r>
      <w:r w:rsidR="006B3D68" w:rsidRPr="00C61B53">
        <w:t>accord</w:t>
      </w:r>
      <w:r w:rsidR="00AA5003">
        <w:t>,</w:t>
      </w:r>
      <w:r w:rsidR="00AC22D5" w:rsidRPr="00C61B53">
        <w:t xml:space="preserve"> </w:t>
      </w:r>
      <w:r w:rsidR="00D5222A" w:rsidRPr="00C61B53">
        <w:rPr>
          <w:i/>
        </w:rPr>
        <w:t>Wright v. Ryder</w:t>
      </w:r>
      <w:r w:rsidR="00D5222A" w:rsidRPr="00C61B53">
        <w:t xml:space="preserve"> (1868) 36 Cal. 342, 357</w:t>
      </w:r>
      <w:r w:rsidR="008670E5" w:rsidRPr="00C61B53">
        <w:t xml:space="preserve"> (</w:t>
      </w:r>
      <w:r w:rsidR="008670E5" w:rsidRPr="00C61B53">
        <w:rPr>
          <w:i/>
        </w:rPr>
        <w:t>Wright</w:t>
      </w:r>
      <w:r w:rsidR="008670E5" w:rsidRPr="00C61B53">
        <w:t>)</w:t>
      </w:r>
      <w:r w:rsidR="00AB43FD" w:rsidRPr="00C61B53">
        <w:rPr>
          <w:i/>
        </w:rPr>
        <w:t>.</w:t>
      </w:r>
      <w:r w:rsidR="00AB43FD" w:rsidRPr="00C61B53">
        <w:t>)</w:t>
      </w:r>
      <w:r w:rsidR="00751394" w:rsidRPr="00C61B53">
        <w:t xml:space="preserve">  </w:t>
      </w:r>
      <w:r w:rsidR="004E5DE8" w:rsidRPr="00C61B53">
        <w:t>As noted</w:t>
      </w:r>
      <w:r w:rsidR="00A7621B" w:rsidRPr="00C61B53">
        <w:t xml:space="preserve">, the </w:t>
      </w:r>
      <w:r w:rsidR="008670E5" w:rsidRPr="00C61B53">
        <w:t>L</w:t>
      </w:r>
      <w:r w:rsidR="00A7621B" w:rsidRPr="00C61B53">
        <w:t xml:space="preserve">egislature </w:t>
      </w:r>
      <w:r w:rsidR="004E5DE8" w:rsidRPr="00C61B53">
        <w:t xml:space="preserve">in 1872 </w:t>
      </w:r>
      <w:r w:rsidR="001806D8" w:rsidRPr="00C61B53">
        <w:t>adopted</w:t>
      </w:r>
      <w:r w:rsidR="004E5DE8" w:rsidRPr="00C61B53">
        <w:t xml:space="preserve"> </w:t>
      </w:r>
      <w:r w:rsidR="001806D8" w:rsidRPr="00C61B53">
        <w:t xml:space="preserve">Civil Code </w:t>
      </w:r>
      <w:r w:rsidR="008E2363">
        <w:t xml:space="preserve">former section </w:t>
      </w:r>
      <w:r w:rsidR="004E5DE8" w:rsidRPr="00C61B53">
        <w:t>1673, which</w:t>
      </w:r>
      <w:r w:rsidR="00D54597" w:rsidRPr="00C61B53">
        <w:t xml:space="preserve"> </w:t>
      </w:r>
      <w:r w:rsidR="00315204" w:rsidRPr="00C61B53">
        <w:t>provided</w:t>
      </w:r>
      <w:r w:rsidR="004E5DE8" w:rsidRPr="00C61B53">
        <w:t xml:space="preserve">: </w:t>
      </w:r>
      <w:r w:rsidR="002D4FA4" w:rsidRPr="00C61B53">
        <w:t xml:space="preserve"> “</w:t>
      </w:r>
      <w:r w:rsidR="001806D8" w:rsidRPr="00C61B53">
        <w:t>E</w:t>
      </w:r>
      <w:r w:rsidR="002D4FA4" w:rsidRPr="00C61B53">
        <w:t>very contract by which any one is restrained from exercising a lawful profession, trade, or business of any kind</w:t>
      </w:r>
      <w:r w:rsidR="00D14E1C" w:rsidRPr="00C61B53">
        <w:t>, otherwise than is provided by the next two sections,</w:t>
      </w:r>
      <w:r w:rsidR="002D4FA4" w:rsidRPr="00C61B53">
        <w:t xml:space="preserve"> is to that extent void.”</w:t>
      </w:r>
      <w:r w:rsidR="004E5DE8" w:rsidRPr="00C61B53">
        <w:t xml:space="preserve">  </w:t>
      </w:r>
      <w:r w:rsidR="00F7534E" w:rsidRPr="00C61B53">
        <w:t xml:space="preserve">The next two sections excepted </w:t>
      </w:r>
      <w:r w:rsidR="00384176" w:rsidRPr="00C61B53">
        <w:t>certain contractual restraints upon the sale of goodwill in a business</w:t>
      </w:r>
      <w:r w:rsidR="00AF4B6D" w:rsidRPr="00C61B53">
        <w:t xml:space="preserve"> (Civ. Code,</w:t>
      </w:r>
      <w:r w:rsidR="008E2363">
        <w:t xml:space="preserve"> former</w:t>
      </w:r>
      <w:r w:rsidR="00AF4B6D" w:rsidRPr="00C61B53">
        <w:t xml:space="preserve"> § </w:t>
      </w:r>
      <w:r w:rsidR="00E218C8" w:rsidRPr="00C61B53">
        <w:t>167</w:t>
      </w:r>
      <w:r w:rsidR="00E218C8">
        <w:t>4</w:t>
      </w:r>
      <w:r w:rsidR="00B62B8E" w:rsidRPr="00C61B53">
        <w:t xml:space="preserve">) or upon dissolution of a partnership (Civ. Code, </w:t>
      </w:r>
      <w:r w:rsidR="008E2363">
        <w:t xml:space="preserve">former </w:t>
      </w:r>
      <w:r w:rsidR="00B62B8E" w:rsidRPr="00C61B53">
        <w:t>§ 167</w:t>
      </w:r>
      <w:r w:rsidR="00E218C8">
        <w:t>5</w:t>
      </w:r>
      <w:r w:rsidR="00B62B8E" w:rsidRPr="00C61B53">
        <w:t>)</w:t>
      </w:r>
      <w:r w:rsidR="0094391F" w:rsidRPr="00C61B53">
        <w:t>.</w:t>
      </w:r>
    </w:p>
    <w:p w14:paraId="21EF6379" w14:textId="72676FAB" w:rsidR="00BE04F6" w:rsidRPr="00C61B53" w:rsidRDefault="002A0EFF" w:rsidP="00E0796D">
      <w:pPr>
        <w:ind w:firstLine="720"/>
      </w:pPr>
      <w:r w:rsidRPr="00C61B53">
        <w:t>T</w:t>
      </w:r>
      <w:r w:rsidR="00D17510" w:rsidRPr="00C61B53">
        <w:t xml:space="preserve">he </w:t>
      </w:r>
      <w:r w:rsidR="00ED41D1" w:rsidRPr="00C61B53">
        <w:t>Code Commissioners</w:t>
      </w:r>
      <w:r w:rsidRPr="00C61B53">
        <w:t xml:space="preserve">’ </w:t>
      </w:r>
      <w:r w:rsidR="004E4908">
        <w:t>n</w:t>
      </w:r>
      <w:r w:rsidRPr="00C61B53">
        <w:t xml:space="preserve">ote stated that </w:t>
      </w:r>
      <w:r w:rsidR="00E46141" w:rsidRPr="00C61B53">
        <w:t xml:space="preserve">Civil Code </w:t>
      </w:r>
      <w:r w:rsidR="008E2363">
        <w:t xml:space="preserve">former </w:t>
      </w:r>
      <w:r w:rsidR="00D85FD4" w:rsidRPr="00C61B53">
        <w:t xml:space="preserve">section </w:t>
      </w:r>
      <w:r w:rsidR="00E46141" w:rsidRPr="00C61B53">
        <w:t xml:space="preserve">1673 </w:t>
      </w:r>
      <w:r w:rsidR="007911A3" w:rsidRPr="00C61B53">
        <w:t xml:space="preserve">was </w:t>
      </w:r>
      <w:r w:rsidR="004F7C25" w:rsidRPr="00C61B53">
        <w:t>enacted in response to certain “modern decisions”</w:t>
      </w:r>
      <w:r w:rsidR="00FF5AA0" w:rsidRPr="00C61B53">
        <w:t xml:space="preserve"> that </w:t>
      </w:r>
      <w:r w:rsidR="00F56E80" w:rsidRPr="00C61B53">
        <w:t xml:space="preserve">allowed </w:t>
      </w:r>
      <w:r w:rsidR="00BD7F0E" w:rsidRPr="00C61B53">
        <w:t xml:space="preserve">contractual restraints </w:t>
      </w:r>
      <w:r w:rsidR="00FF5AA0" w:rsidRPr="00C61B53">
        <w:t xml:space="preserve">to a “dangerous extent.” </w:t>
      </w:r>
      <w:r w:rsidR="008909BD" w:rsidRPr="00C61B53">
        <w:t xml:space="preserve"> (Code </w:t>
      </w:r>
      <w:proofErr w:type="spellStart"/>
      <w:r w:rsidR="008909BD" w:rsidRPr="00C61B53">
        <w:t>commrs</w:t>
      </w:r>
      <w:proofErr w:type="spellEnd"/>
      <w:r w:rsidR="008909BD" w:rsidRPr="00C61B53">
        <w:t>.</w:t>
      </w:r>
      <w:r w:rsidR="008E2363">
        <w:t>,</w:t>
      </w:r>
      <w:r w:rsidR="0010291B" w:rsidRPr="00C61B53">
        <w:t xml:space="preserve"> note </w:t>
      </w:r>
      <w:proofErr w:type="spellStart"/>
      <w:r w:rsidR="0010291B" w:rsidRPr="00C61B53">
        <w:t>foll</w:t>
      </w:r>
      <w:proofErr w:type="spellEnd"/>
      <w:r w:rsidR="006E68C7" w:rsidRPr="00C61B53">
        <w:t>.</w:t>
      </w:r>
      <w:r w:rsidR="0010291B" w:rsidRPr="00C61B53">
        <w:t xml:space="preserve"> 1 Ann. Civ. Code, § 1673</w:t>
      </w:r>
      <w:r w:rsidR="006E68C7" w:rsidRPr="00C61B53">
        <w:t xml:space="preserve"> (1st ed. 1872, </w:t>
      </w:r>
      <w:proofErr w:type="spellStart"/>
      <w:r w:rsidR="006E68C7" w:rsidRPr="00C61B53">
        <w:t>Haymond</w:t>
      </w:r>
      <w:proofErr w:type="spellEnd"/>
      <w:r w:rsidR="006E68C7" w:rsidRPr="00C61B53">
        <w:t xml:space="preserve"> &amp; Burch, </w:t>
      </w:r>
      <w:proofErr w:type="spellStart"/>
      <w:r w:rsidR="006E68C7" w:rsidRPr="00C61B53">
        <w:t>commrs</w:t>
      </w:r>
      <w:proofErr w:type="spellEnd"/>
      <w:r w:rsidR="006E68C7" w:rsidRPr="00C61B53">
        <w:t>.-annotators</w:t>
      </w:r>
      <w:r w:rsidR="00EF7E2B" w:rsidRPr="00C61B53">
        <w:t>) p. 50</w:t>
      </w:r>
      <w:r w:rsidR="007D3330" w:rsidRPr="00C61B53">
        <w:t>2</w:t>
      </w:r>
      <w:r w:rsidR="00452592" w:rsidRPr="00C61B53">
        <w:t xml:space="preserve"> (Commis</w:t>
      </w:r>
      <w:r w:rsidR="00432DFE" w:rsidRPr="00C61B53">
        <w:t>s</w:t>
      </w:r>
      <w:r w:rsidR="00452592" w:rsidRPr="00C61B53">
        <w:t>ioners’ Note)</w:t>
      </w:r>
      <w:r w:rsidR="00D85FD4" w:rsidRPr="00C61B53">
        <w:t>.</w:t>
      </w:r>
      <w:r w:rsidR="00BC2CE8" w:rsidRPr="00C61B53">
        <w:t>)</w:t>
      </w:r>
      <w:r w:rsidR="006E68C7" w:rsidRPr="00C61B53">
        <w:t xml:space="preserve"> </w:t>
      </w:r>
      <w:r w:rsidR="009A0579" w:rsidRPr="00C61B53">
        <w:t xml:space="preserve"> </w:t>
      </w:r>
      <w:r w:rsidR="00FF1D71" w:rsidRPr="00C61B53">
        <w:t>Specifically, i</w:t>
      </w:r>
      <w:r w:rsidR="009A0579" w:rsidRPr="00C61B53">
        <w:t xml:space="preserve">t </w:t>
      </w:r>
      <w:r w:rsidR="00FF1D71" w:rsidRPr="00C61B53">
        <w:t>dis</w:t>
      </w:r>
      <w:r w:rsidR="00F61526" w:rsidRPr="00C61B53">
        <w:t>ap</w:t>
      </w:r>
      <w:r w:rsidR="00FF1D71" w:rsidRPr="00C61B53">
        <w:t xml:space="preserve">proved of </w:t>
      </w:r>
      <w:r w:rsidR="00763F97" w:rsidRPr="00C61B53">
        <w:t xml:space="preserve">two cases upholding agreements not to </w:t>
      </w:r>
      <w:r w:rsidR="0032110A" w:rsidRPr="00C61B53">
        <w:t xml:space="preserve">compete </w:t>
      </w:r>
      <w:r w:rsidR="00DE6FDA" w:rsidRPr="00C61B53">
        <w:t>in the operation of boats</w:t>
      </w:r>
      <w:r w:rsidR="00165C56" w:rsidRPr="00C61B53">
        <w:t xml:space="preserve">.  </w:t>
      </w:r>
      <w:r w:rsidR="00EF77B2" w:rsidRPr="00C61B53">
        <w:t>(</w:t>
      </w:r>
      <w:r w:rsidR="00A30901" w:rsidRPr="00C61B53">
        <w:rPr>
          <w:i/>
        </w:rPr>
        <w:t>Id</w:t>
      </w:r>
      <w:r w:rsidR="00A30901" w:rsidRPr="00C61B53">
        <w:t>.</w:t>
      </w:r>
      <w:r w:rsidR="007D3330" w:rsidRPr="00C61B53">
        <w:t xml:space="preserve"> a</w:t>
      </w:r>
      <w:r w:rsidR="00237CE0" w:rsidRPr="00C61B53">
        <w:t>t p</w:t>
      </w:r>
      <w:r w:rsidR="007D3330" w:rsidRPr="00C61B53">
        <w:t>p. 502–503</w:t>
      </w:r>
      <w:r w:rsidR="00A30901" w:rsidRPr="00C61B53">
        <w:t>, c</w:t>
      </w:r>
      <w:r w:rsidR="00EF77B2" w:rsidRPr="00C61B53">
        <w:t xml:space="preserve">iting </w:t>
      </w:r>
      <w:r w:rsidR="00A30901" w:rsidRPr="00C61B53">
        <w:rPr>
          <w:i/>
        </w:rPr>
        <w:t>Dunlop v. Gregory</w:t>
      </w:r>
      <w:r w:rsidR="00A30901" w:rsidRPr="00C61B53">
        <w:t xml:space="preserve"> (1851) 10 N.Y. 241, </w:t>
      </w:r>
      <w:r w:rsidR="003D254A" w:rsidRPr="00C61B53">
        <w:rPr>
          <w:i/>
        </w:rPr>
        <w:t>California Steam Nav. Co. v. Wright</w:t>
      </w:r>
      <w:r w:rsidR="003D254A" w:rsidRPr="00C61B53">
        <w:t xml:space="preserve"> (1856) 6 Cal. 258</w:t>
      </w:r>
      <w:r w:rsidR="00751394" w:rsidRPr="00C61B53">
        <w:t>.</w:t>
      </w:r>
      <w:r w:rsidR="00EF77B2" w:rsidRPr="00C61B53">
        <w:t>)</w:t>
      </w:r>
      <w:r w:rsidR="00751394" w:rsidRPr="00C61B53">
        <w:t xml:space="preserve">  </w:t>
      </w:r>
      <w:r w:rsidR="00963D62" w:rsidRPr="00C61B53">
        <w:t xml:space="preserve">But </w:t>
      </w:r>
      <w:r w:rsidR="00874385" w:rsidRPr="00C61B53">
        <w:t xml:space="preserve">the </w:t>
      </w:r>
      <w:r w:rsidR="008676B4" w:rsidRPr="00C61B53">
        <w:t>Commissioners</w:t>
      </w:r>
      <w:r w:rsidR="000861B4" w:rsidRPr="00C61B53">
        <w:t xml:space="preserve">’ Note </w:t>
      </w:r>
      <w:r w:rsidR="00874385" w:rsidRPr="00C61B53">
        <w:t xml:space="preserve">did not go so far as to </w:t>
      </w:r>
      <w:r w:rsidR="00C7655F" w:rsidRPr="00C61B53">
        <w:t>say</w:t>
      </w:r>
      <w:r w:rsidR="00963D62" w:rsidRPr="00C61B53">
        <w:t xml:space="preserve"> </w:t>
      </w:r>
      <w:r w:rsidR="00B4416E" w:rsidRPr="00C61B53">
        <w:t xml:space="preserve">that </w:t>
      </w:r>
      <w:r w:rsidR="00C7655F" w:rsidRPr="00C61B53">
        <w:t xml:space="preserve">Civil Code </w:t>
      </w:r>
      <w:r w:rsidR="008E2363">
        <w:t xml:space="preserve">former </w:t>
      </w:r>
      <w:r w:rsidR="00C7655F" w:rsidRPr="00C61B53">
        <w:t>section 1673</w:t>
      </w:r>
      <w:r w:rsidR="0045411E" w:rsidRPr="00C61B53">
        <w:t xml:space="preserve"> categorically </w:t>
      </w:r>
      <w:r w:rsidR="00874385" w:rsidRPr="00C61B53">
        <w:t>replaced</w:t>
      </w:r>
      <w:r w:rsidR="00B4416E" w:rsidRPr="00C61B53">
        <w:t xml:space="preserve"> </w:t>
      </w:r>
      <w:r w:rsidR="004D3701" w:rsidRPr="00C61B53">
        <w:t xml:space="preserve">the common law </w:t>
      </w:r>
      <w:r w:rsidR="00EA25FE" w:rsidRPr="00C61B53">
        <w:t>standard</w:t>
      </w:r>
      <w:r w:rsidR="004D3701" w:rsidRPr="00C61B53">
        <w:t xml:space="preserve"> of reasonableness</w:t>
      </w:r>
      <w:r w:rsidR="00874385" w:rsidRPr="00C61B53">
        <w:t xml:space="preserve"> with a per se </w:t>
      </w:r>
      <w:r w:rsidR="00EA25FE" w:rsidRPr="00C61B53">
        <w:t>rule</w:t>
      </w:r>
      <w:r w:rsidR="00874385" w:rsidRPr="00C61B53">
        <w:t>.</w:t>
      </w:r>
      <w:r w:rsidR="00BE04F6" w:rsidRPr="00C61B53">
        <w:t xml:space="preserve">  </w:t>
      </w:r>
      <w:r w:rsidR="00B4416E" w:rsidRPr="00C61B53">
        <w:t xml:space="preserve">In fact, </w:t>
      </w:r>
      <w:r w:rsidR="00EA25FE" w:rsidRPr="00C61B53">
        <w:t xml:space="preserve">the note </w:t>
      </w:r>
      <w:r w:rsidR="00C7655F" w:rsidRPr="00C61B53">
        <w:t xml:space="preserve">stated </w:t>
      </w:r>
      <w:r w:rsidR="00D70EE5" w:rsidRPr="00C61B53">
        <w:t>that</w:t>
      </w:r>
      <w:r w:rsidR="00BB3DDA" w:rsidRPr="00C61B53">
        <w:t xml:space="preserve"> the statute</w:t>
      </w:r>
      <w:r w:rsidR="0015297F" w:rsidRPr="00C61B53">
        <w:t>’s limitation on</w:t>
      </w:r>
      <w:r w:rsidR="00AA1BE6" w:rsidRPr="00C61B53">
        <w:t xml:space="preserve"> contractual restraints </w:t>
      </w:r>
      <w:r w:rsidR="00BB3DDA" w:rsidRPr="00C61B53">
        <w:t xml:space="preserve">was consistent with </w:t>
      </w:r>
      <w:r w:rsidR="00EA25FE" w:rsidRPr="00C61B53">
        <w:t xml:space="preserve">two </w:t>
      </w:r>
      <w:r w:rsidR="00BB3DDA" w:rsidRPr="00C61B53">
        <w:t>decisions</w:t>
      </w:r>
      <w:r w:rsidR="00325756" w:rsidRPr="00C61B53">
        <w:t xml:space="preserve"> </w:t>
      </w:r>
      <w:r w:rsidR="00526F6B" w:rsidRPr="00C61B53">
        <w:t>adopt</w:t>
      </w:r>
      <w:r w:rsidR="002D41DE" w:rsidRPr="00C61B53">
        <w:t>ing</w:t>
      </w:r>
      <w:r w:rsidR="00526F6B" w:rsidRPr="00C61B53">
        <w:t xml:space="preserve"> the common law reasonab</w:t>
      </w:r>
      <w:r w:rsidR="00B74BBA" w:rsidRPr="00C61B53">
        <w:t>leness</w:t>
      </w:r>
      <w:r w:rsidR="00526F6B" w:rsidRPr="00C61B53">
        <w:t xml:space="preserve"> standard.</w:t>
      </w:r>
      <w:r w:rsidR="00325756" w:rsidRPr="00C61B53">
        <w:t xml:space="preserve">  (</w:t>
      </w:r>
      <w:r w:rsidR="00452592" w:rsidRPr="00C61B53">
        <w:t>Commissioners’ Note</w:t>
      </w:r>
      <w:r w:rsidR="007D3330" w:rsidRPr="00C61B53">
        <w:t xml:space="preserve">, at p. 503, citing </w:t>
      </w:r>
      <w:r w:rsidR="008670E5" w:rsidRPr="00C61B53">
        <w:rPr>
          <w:i/>
        </w:rPr>
        <w:t>Wright</w:t>
      </w:r>
      <w:r w:rsidR="007D3330" w:rsidRPr="00C61B53">
        <w:t xml:space="preserve">, </w:t>
      </w:r>
      <w:r w:rsidR="007D3330" w:rsidRPr="00C61B53">
        <w:rPr>
          <w:i/>
        </w:rPr>
        <w:t>supra</w:t>
      </w:r>
      <w:r w:rsidR="007D3330" w:rsidRPr="00C61B53">
        <w:t xml:space="preserve">, </w:t>
      </w:r>
      <w:r w:rsidR="00E73892" w:rsidRPr="00C61B53">
        <w:t xml:space="preserve">36 Cal. 342, </w:t>
      </w:r>
      <w:r w:rsidR="00E73892" w:rsidRPr="00C61B53">
        <w:rPr>
          <w:i/>
        </w:rPr>
        <w:t>More v. Bonnet</w:t>
      </w:r>
      <w:r w:rsidR="00CF1BF1" w:rsidRPr="00C61B53">
        <w:t xml:space="preserve"> (1870) 40 Cal. 251</w:t>
      </w:r>
      <w:r w:rsidR="00BB2955" w:rsidRPr="00C61B53">
        <w:t xml:space="preserve"> (</w:t>
      </w:r>
      <w:r w:rsidR="00BB2955" w:rsidRPr="00C61B53">
        <w:rPr>
          <w:i/>
        </w:rPr>
        <w:t>More</w:t>
      </w:r>
      <w:r w:rsidR="00BB2955" w:rsidRPr="00C61B53">
        <w:t>)</w:t>
      </w:r>
      <w:r w:rsidR="00CF1BF1" w:rsidRPr="00C61B53">
        <w:t>.)</w:t>
      </w:r>
      <w:r w:rsidR="00234892" w:rsidRPr="00C61B53">
        <w:t xml:space="preserve">  </w:t>
      </w:r>
      <w:r w:rsidR="003A15EB">
        <w:t>And o</w:t>
      </w:r>
      <w:r w:rsidR="00234892" w:rsidRPr="00C61B53">
        <w:t xml:space="preserve">ne of those decisions </w:t>
      </w:r>
      <w:r w:rsidR="00303C86">
        <w:t xml:space="preserve">expressly </w:t>
      </w:r>
      <w:r w:rsidR="003B6299" w:rsidRPr="00C61B53">
        <w:t>upheld a</w:t>
      </w:r>
      <w:r w:rsidR="00D63EF0" w:rsidRPr="00C61B53">
        <w:t xml:space="preserve"> noncompetition</w:t>
      </w:r>
      <w:r w:rsidR="003B6299" w:rsidRPr="00C61B53">
        <w:t xml:space="preserve"> agreement </w:t>
      </w:r>
      <w:r w:rsidR="003C67FB" w:rsidRPr="00C61B53">
        <w:t xml:space="preserve">“because the limits </w:t>
      </w:r>
      <w:r w:rsidR="006C4529">
        <w:t>[were]</w:t>
      </w:r>
      <w:r w:rsidR="003C67FB" w:rsidRPr="00C61B53">
        <w:t xml:space="preserve"> not unreasonable.”  (</w:t>
      </w:r>
      <w:r w:rsidR="003C67FB" w:rsidRPr="00C61B53">
        <w:rPr>
          <w:i/>
        </w:rPr>
        <w:t>More</w:t>
      </w:r>
      <w:r w:rsidR="003C67FB" w:rsidRPr="00C61B53">
        <w:t>, at p. 254.)</w:t>
      </w:r>
      <w:r w:rsidR="00BE04F6" w:rsidRPr="00C61B53">
        <w:t xml:space="preserve">  </w:t>
      </w:r>
      <w:r w:rsidR="00BB2955" w:rsidRPr="00C61B53">
        <w:t>Thus, t</w:t>
      </w:r>
      <w:r w:rsidR="00FB0E2C" w:rsidRPr="00C61B53">
        <w:t xml:space="preserve">he Commissioners’ </w:t>
      </w:r>
      <w:r w:rsidR="000D56FB" w:rsidRPr="00C61B53">
        <w:t>N</w:t>
      </w:r>
      <w:r w:rsidR="00FB0E2C" w:rsidRPr="00C61B53">
        <w:t>ote s</w:t>
      </w:r>
      <w:r w:rsidR="00C05B9A" w:rsidRPr="00C61B53">
        <w:t>uggests that Civil Code</w:t>
      </w:r>
      <w:r w:rsidR="00003719" w:rsidRPr="00C61B53">
        <w:t xml:space="preserve"> </w:t>
      </w:r>
      <w:r w:rsidR="00882D47">
        <w:t xml:space="preserve">former </w:t>
      </w:r>
      <w:r w:rsidR="00003719" w:rsidRPr="00C61B53">
        <w:t>section 1673</w:t>
      </w:r>
      <w:r w:rsidR="00622E6B" w:rsidRPr="00C61B53">
        <w:t xml:space="preserve">, in </w:t>
      </w:r>
      <w:r w:rsidR="0013053B" w:rsidRPr="00C61B53">
        <w:t>prohibit</w:t>
      </w:r>
      <w:r w:rsidR="00622E6B" w:rsidRPr="00C61B53">
        <w:t>ing</w:t>
      </w:r>
      <w:r w:rsidR="0013053B" w:rsidRPr="00C61B53">
        <w:t xml:space="preserve"> agreements that restrained trade to a “dangerous </w:t>
      </w:r>
      <w:r w:rsidR="0013053B" w:rsidRPr="00C61B53">
        <w:lastRenderedPageBreak/>
        <w:t xml:space="preserve">extent,” </w:t>
      </w:r>
      <w:r w:rsidR="00622E6B" w:rsidRPr="00C61B53">
        <w:t xml:space="preserve">was not intended </w:t>
      </w:r>
      <w:r w:rsidR="002E30C5" w:rsidRPr="00C61B53">
        <w:t>to invalidate all restraints o</w:t>
      </w:r>
      <w:r w:rsidR="00102DCA" w:rsidRPr="00C61B53">
        <w:t>n</w:t>
      </w:r>
      <w:r w:rsidR="002E30C5" w:rsidRPr="00C61B53">
        <w:t xml:space="preserve"> </w:t>
      </w:r>
      <w:r w:rsidR="00463056" w:rsidRPr="00C61B53">
        <w:t>trade</w:t>
      </w:r>
      <w:r w:rsidR="00952695" w:rsidRPr="00C61B53">
        <w:t xml:space="preserve">.  </w:t>
      </w:r>
      <w:r w:rsidR="00C238B4" w:rsidRPr="00C61B53">
        <w:t>(</w:t>
      </w:r>
      <w:r w:rsidR="004E4908" w:rsidRPr="00C61B53">
        <w:t>Commissioners’ Note, at p. 50</w:t>
      </w:r>
      <w:r w:rsidR="004E4908">
        <w:t>2; s</w:t>
      </w:r>
      <w:r w:rsidR="00C238B4" w:rsidRPr="00C61B53">
        <w:t xml:space="preserve">ee </w:t>
      </w:r>
      <w:r w:rsidR="00C238B4" w:rsidRPr="00C61B53">
        <w:rPr>
          <w:i/>
        </w:rPr>
        <w:t>People v. Chun</w:t>
      </w:r>
      <w:r w:rsidR="00C238B4" w:rsidRPr="00C61B53">
        <w:t xml:space="preserve"> (2009) 45 Cal.4th 1172, 1187 [Commissioners’ notes are “entitled to substantial weight”]</w:t>
      </w:r>
      <w:r w:rsidR="00463056" w:rsidRPr="00C61B53">
        <w:t>.)</w:t>
      </w:r>
    </w:p>
    <w:p w14:paraId="56FA63EB" w14:textId="3527479B" w:rsidR="00BE04F6" w:rsidRPr="00C61B53" w:rsidRDefault="008E1491" w:rsidP="00E0796D">
      <w:pPr>
        <w:ind w:firstLine="720"/>
      </w:pPr>
      <w:r w:rsidRPr="00C61B53">
        <w:t xml:space="preserve">Nor </w:t>
      </w:r>
      <w:r w:rsidR="00F06CC2" w:rsidRPr="00C61B53">
        <w:t>did</w:t>
      </w:r>
      <w:r w:rsidR="0006337E" w:rsidRPr="00C61B53">
        <w:t xml:space="preserve"> this court’s decisions interpreting Civil Code </w:t>
      </w:r>
      <w:r w:rsidR="004E4908">
        <w:t xml:space="preserve">former </w:t>
      </w:r>
      <w:r w:rsidR="0006337E" w:rsidRPr="00C61B53">
        <w:t>section 1673</w:t>
      </w:r>
      <w:r w:rsidR="00F06CC2" w:rsidRPr="00C61B53">
        <w:t xml:space="preserve"> </w:t>
      </w:r>
      <w:r w:rsidR="00B15258" w:rsidRPr="00C61B53">
        <w:t xml:space="preserve">adopt a per se rule </w:t>
      </w:r>
      <w:r w:rsidR="00622E6B" w:rsidRPr="00C61B53">
        <w:t xml:space="preserve">invalidating </w:t>
      </w:r>
      <w:r w:rsidR="00B15258" w:rsidRPr="00C61B53">
        <w:t xml:space="preserve">all contracts </w:t>
      </w:r>
      <w:r w:rsidR="00AA5003">
        <w:t>that limit</w:t>
      </w:r>
      <w:r w:rsidR="00622E6B" w:rsidRPr="00C61B53">
        <w:t xml:space="preserve"> </w:t>
      </w:r>
      <w:r w:rsidR="00D605A4">
        <w:t>business</w:t>
      </w:r>
      <w:r w:rsidR="00B15258" w:rsidRPr="00C61B53">
        <w:t xml:space="preserve"> dealings.</w:t>
      </w:r>
      <w:r w:rsidR="00BE04F6" w:rsidRPr="00C61B53">
        <w:t xml:space="preserve">  </w:t>
      </w:r>
      <w:r w:rsidR="00AA5003">
        <w:t>Our cases initially</w:t>
      </w:r>
      <w:r w:rsidR="0006337E" w:rsidRPr="00C61B53">
        <w:t xml:space="preserve"> </w:t>
      </w:r>
      <w:r w:rsidR="00726CFC" w:rsidRPr="00C61B53">
        <w:t xml:space="preserve">offered little </w:t>
      </w:r>
      <w:r w:rsidR="007F007B" w:rsidRPr="00C61B53">
        <w:t xml:space="preserve">clarity </w:t>
      </w:r>
      <w:r w:rsidR="00622E6B" w:rsidRPr="00C61B53">
        <w:t>on</w:t>
      </w:r>
      <w:r w:rsidR="00A66220" w:rsidRPr="00C61B53">
        <w:t xml:space="preserve"> the appropriate standard to evaluate agreements </w:t>
      </w:r>
      <w:r w:rsidR="00A648A0">
        <w:t>restraining trade</w:t>
      </w:r>
      <w:r w:rsidR="00BE04F6" w:rsidRPr="00C61B53">
        <w:t xml:space="preserve">.  </w:t>
      </w:r>
      <w:r w:rsidR="00A50DC7" w:rsidRPr="00C61B53">
        <w:t>In our first reasoned opinion interpreting</w:t>
      </w:r>
      <w:r w:rsidR="00A275A1" w:rsidRPr="00C61B53">
        <w:t xml:space="preserve"> the statute</w:t>
      </w:r>
      <w:r w:rsidR="001429D2" w:rsidRPr="00C61B53">
        <w:t xml:space="preserve">, </w:t>
      </w:r>
      <w:r w:rsidR="00BB2955" w:rsidRPr="00C61B53">
        <w:t>we</w:t>
      </w:r>
      <w:r w:rsidR="001429D2" w:rsidRPr="00C61B53">
        <w:t xml:space="preserve"> invalidated a</w:t>
      </w:r>
      <w:r w:rsidR="00DC328C" w:rsidRPr="00C61B53">
        <w:t>n</w:t>
      </w:r>
      <w:r w:rsidR="001429D2" w:rsidRPr="00C61B53">
        <w:t xml:space="preserve"> agreement between manufacturers of dynamite </w:t>
      </w:r>
      <w:r w:rsidR="00102210" w:rsidRPr="00C61B53">
        <w:t xml:space="preserve">to </w:t>
      </w:r>
      <w:r w:rsidR="00621E7C" w:rsidRPr="00C61B53">
        <w:t>f</w:t>
      </w:r>
      <w:r w:rsidR="00102210" w:rsidRPr="00C61B53">
        <w:t xml:space="preserve">ix </w:t>
      </w:r>
      <w:r w:rsidR="00621E7C" w:rsidRPr="00C61B53">
        <w:t xml:space="preserve">prices and limit </w:t>
      </w:r>
      <w:r w:rsidR="00102210" w:rsidRPr="00C61B53">
        <w:t>output</w:t>
      </w:r>
      <w:r w:rsidR="00621E7C" w:rsidRPr="00C61B53">
        <w:t xml:space="preserve">.  </w:t>
      </w:r>
      <w:r w:rsidR="00A275A1" w:rsidRPr="00C61B53">
        <w:t>(</w:t>
      </w:r>
      <w:r w:rsidR="00EF7852" w:rsidRPr="00C61B53">
        <w:rPr>
          <w:i/>
        </w:rPr>
        <w:t>Vulcan Powder</w:t>
      </w:r>
      <w:r w:rsidR="002664AD" w:rsidRPr="00C61B53">
        <w:t xml:space="preserve">, </w:t>
      </w:r>
      <w:r w:rsidR="002664AD" w:rsidRPr="00C61B53">
        <w:rPr>
          <w:i/>
        </w:rPr>
        <w:t>supra</w:t>
      </w:r>
      <w:r w:rsidR="002664AD" w:rsidRPr="00C61B53">
        <w:t xml:space="preserve">, </w:t>
      </w:r>
      <w:r w:rsidR="00EF7852" w:rsidRPr="00C61B53">
        <w:t xml:space="preserve">96 Cal. </w:t>
      </w:r>
      <w:r w:rsidR="002664AD" w:rsidRPr="00C61B53">
        <w:t>at pp. </w:t>
      </w:r>
      <w:r w:rsidR="00EF7852" w:rsidRPr="00C61B53">
        <w:t>514–515.)</w:t>
      </w:r>
      <w:r w:rsidR="00BE04F6" w:rsidRPr="00C61B53">
        <w:t xml:space="preserve">  </w:t>
      </w:r>
      <w:r w:rsidR="000A1355" w:rsidRPr="00C61B53">
        <w:t xml:space="preserve">We </w:t>
      </w:r>
      <w:r w:rsidR="006D29D6" w:rsidRPr="00C61B53">
        <w:t xml:space="preserve">noted that the common law rule of </w:t>
      </w:r>
      <w:r w:rsidR="00E52693">
        <w:t>reason</w:t>
      </w:r>
      <w:r w:rsidR="006D29D6" w:rsidRPr="00C61B53">
        <w:t xml:space="preserve"> “led to much perplexing legislation” and had been replaced by Civil Code </w:t>
      </w:r>
      <w:r w:rsidR="00D06A81">
        <w:t xml:space="preserve">former </w:t>
      </w:r>
      <w:r w:rsidR="006D29D6" w:rsidRPr="00C61B53">
        <w:t xml:space="preserve">section 1673, but </w:t>
      </w:r>
      <w:r w:rsidR="00DC328C" w:rsidRPr="00C61B53">
        <w:t xml:space="preserve">we </w:t>
      </w:r>
      <w:r w:rsidR="006D29D6" w:rsidRPr="00C61B53">
        <w:t xml:space="preserve">did not explain </w:t>
      </w:r>
      <w:r w:rsidR="0046342D" w:rsidRPr="00C61B53">
        <w:t xml:space="preserve">what standard </w:t>
      </w:r>
      <w:r w:rsidR="00DC328C" w:rsidRPr="00C61B53">
        <w:t xml:space="preserve">the new statute </w:t>
      </w:r>
      <w:r w:rsidR="00913268" w:rsidRPr="00C61B53">
        <w:t>imposed.</w:t>
      </w:r>
      <w:r w:rsidR="00BE04F6" w:rsidRPr="00C61B53">
        <w:t xml:space="preserve">  </w:t>
      </w:r>
      <w:r w:rsidR="00DC564A" w:rsidRPr="00C61B53">
        <w:t>(</w:t>
      </w:r>
      <w:r w:rsidR="003C67EF" w:rsidRPr="00C61B53">
        <w:rPr>
          <w:i/>
        </w:rPr>
        <w:t>Vulcan Powder</w:t>
      </w:r>
      <w:r w:rsidR="003C67EF" w:rsidRPr="00C61B53">
        <w:t>,</w:t>
      </w:r>
      <w:r w:rsidR="00DC564A" w:rsidRPr="00C61B53">
        <w:t xml:space="preserve"> at p. 513.)  </w:t>
      </w:r>
      <w:r w:rsidR="008B2AFC" w:rsidRPr="00C61B53">
        <w:t>W</w:t>
      </w:r>
      <w:r w:rsidR="00F95A63" w:rsidRPr="00C61B53">
        <w:t>e</w:t>
      </w:r>
      <w:r w:rsidR="008B41A9" w:rsidRPr="00C61B53">
        <w:t xml:space="preserve"> </w:t>
      </w:r>
      <w:r w:rsidR="0015297F" w:rsidRPr="00C61B53">
        <w:t>simply said</w:t>
      </w:r>
      <w:r w:rsidR="00A411CD" w:rsidRPr="00C61B53">
        <w:t xml:space="preserve"> that </w:t>
      </w:r>
      <w:r w:rsidR="008B2AFC" w:rsidRPr="00C61B53">
        <w:t xml:space="preserve">the agreement at issue </w:t>
      </w:r>
      <w:r w:rsidR="00A411CD" w:rsidRPr="00C61B53">
        <w:t>was</w:t>
      </w:r>
      <w:r w:rsidR="008B41A9" w:rsidRPr="00C61B53">
        <w:t xml:space="preserve"> </w:t>
      </w:r>
      <w:r w:rsidR="00563D38" w:rsidRPr="00C61B53">
        <w:t>“clearly in restraint of trade and against public policy; and this conclusion is too obvious to need argument, authorities, or elucidation</w:t>
      </w:r>
      <w:r w:rsidR="00BE3244" w:rsidRPr="00C61B53">
        <w:t>.</w:t>
      </w:r>
      <w:r w:rsidR="00563D38" w:rsidRPr="00C61B53">
        <w:t>”</w:t>
      </w:r>
      <w:r w:rsidR="00BE3244" w:rsidRPr="00C61B53">
        <w:t xml:space="preserve">  (</w:t>
      </w:r>
      <w:r w:rsidR="00BE3244" w:rsidRPr="00C61B53">
        <w:rPr>
          <w:i/>
        </w:rPr>
        <w:t>Id</w:t>
      </w:r>
      <w:r w:rsidR="00BE3244" w:rsidRPr="00C61B53">
        <w:t>. at p. </w:t>
      </w:r>
      <w:r w:rsidR="00512B55" w:rsidRPr="00C61B53">
        <w:t>515.)</w:t>
      </w:r>
      <w:r w:rsidR="00AE605F" w:rsidRPr="00C61B53">
        <w:t xml:space="preserve">  </w:t>
      </w:r>
      <w:r w:rsidR="00A411CD" w:rsidRPr="00C61B53">
        <w:t>O</w:t>
      </w:r>
      <w:r w:rsidR="004A275D" w:rsidRPr="00C61B53">
        <w:t>ur reasoning</w:t>
      </w:r>
      <w:r w:rsidR="00B34CEE" w:rsidRPr="00C61B53">
        <w:t xml:space="preserve"> did not explain whether </w:t>
      </w:r>
      <w:r w:rsidR="008C0167" w:rsidRPr="00C61B53">
        <w:t>we found t</w:t>
      </w:r>
      <w:r w:rsidR="00E94AA7" w:rsidRPr="00C61B53">
        <w:t>he ag</w:t>
      </w:r>
      <w:r w:rsidR="00CA39EC" w:rsidRPr="00C61B53">
        <w:t xml:space="preserve">reement </w:t>
      </w:r>
      <w:r w:rsidR="001A62FD" w:rsidRPr="00C61B53">
        <w:t xml:space="preserve">per se invalid or invalid by </w:t>
      </w:r>
      <w:r w:rsidR="008C0167" w:rsidRPr="00C61B53">
        <w:t>some other standard</w:t>
      </w:r>
      <w:r w:rsidR="001A62FD" w:rsidRPr="00C61B53">
        <w:t>.</w:t>
      </w:r>
      <w:r w:rsidR="00BE04F6" w:rsidRPr="00C61B53">
        <w:t xml:space="preserve">  </w:t>
      </w:r>
      <w:r w:rsidR="00A50DC7" w:rsidRPr="00C61B53">
        <w:t>(</w:t>
      </w:r>
      <w:r w:rsidR="008C0167" w:rsidRPr="00C61B53">
        <w:t>See also</w:t>
      </w:r>
      <w:r w:rsidR="00A50DC7" w:rsidRPr="00C61B53">
        <w:t xml:space="preserve"> </w:t>
      </w:r>
      <w:proofErr w:type="spellStart"/>
      <w:r w:rsidR="00E525C2" w:rsidRPr="00C61B53">
        <w:rPr>
          <w:i/>
        </w:rPr>
        <w:t>Schwalm</w:t>
      </w:r>
      <w:proofErr w:type="spellEnd"/>
      <w:r w:rsidR="00E525C2" w:rsidRPr="00C61B53">
        <w:rPr>
          <w:i/>
        </w:rPr>
        <w:t xml:space="preserve"> v. Holmes</w:t>
      </w:r>
      <w:r w:rsidR="00E525C2" w:rsidRPr="00C61B53">
        <w:t xml:space="preserve"> (1875) 49 Cal. 665, 669</w:t>
      </w:r>
      <w:r w:rsidR="00A50DC7" w:rsidRPr="00C61B53">
        <w:t xml:space="preserve"> </w:t>
      </w:r>
      <w:r w:rsidR="00E525C2" w:rsidRPr="00C61B53">
        <w:t>[</w:t>
      </w:r>
      <w:r w:rsidR="004610E7" w:rsidRPr="00C61B53">
        <w:t xml:space="preserve">holding that </w:t>
      </w:r>
      <w:r w:rsidR="004A4CE0" w:rsidRPr="00C61B53">
        <w:t xml:space="preserve">exclusive sales contract </w:t>
      </w:r>
      <w:r w:rsidR="004610E7" w:rsidRPr="00C61B53">
        <w:t>was</w:t>
      </w:r>
      <w:r w:rsidR="004A4CE0" w:rsidRPr="00C61B53">
        <w:t xml:space="preserve"> </w:t>
      </w:r>
      <w:r w:rsidR="00301163" w:rsidRPr="00C61B53">
        <w:t>“not illegal, as being in restrain</w:t>
      </w:r>
      <w:r w:rsidR="001B4189" w:rsidRPr="00C61B53">
        <w:t>t</w:t>
      </w:r>
      <w:r w:rsidR="00301163" w:rsidRPr="00C61B53">
        <w:t xml:space="preserve"> of trade” </w:t>
      </w:r>
      <w:r w:rsidR="00A50DC7" w:rsidRPr="00C61B53">
        <w:t xml:space="preserve">in two-sentence disposition </w:t>
      </w:r>
      <w:r w:rsidR="00301163" w:rsidRPr="00C61B53">
        <w:t>without further analysis</w:t>
      </w:r>
      <w:r w:rsidR="001C2306" w:rsidRPr="00C61B53">
        <w:t>]</w:t>
      </w:r>
      <w:r w:rsidR="00907C03" w:rsidRPr="00C61B53">
        <w:t>.</w:t>
      </w:r>
      <w:r w:rsidR="00797D3F" w:rsidRPr="00C61B53">
        <w:t>)</w:t>
      </w:r>
    </w:p>
    <w:p w14:paraId="6325E69F" w14:textId="3F47F06C" w:rsidR="00BE04F6" w:rsidRPr="00C61B53" w:rsidRDefault="00DD78B4" w:rsidP="00E0796D">
      <w:pPr>
        <w:ind w:firstLine="720"/>
      </w:pPr>
      <w:r>
        <w:t>Over time</w:t>
      </w:r>
      <w:r w:rsidR="00063933">
        <w:t xml:space="preserve">, however, </w:t>
      </w:r>
      <w:r w:rsidR="00AA5003">
        <w:t xml:space="preserve">two </w:t>
      </w:r>
      <w:r w:rsidR="00190B18">
        <w:t xml:space="preserve">discernible </w:t>
      </w:r>
      <w:r w:rsidR="00CE5BE9">
        <w:t xml:space="preserve">categories </w:t>
      </w:r>
      <w:r w:rsidR="00AA5003">
        <w:t xml:space="preserve">of holdings </w:t>
      </w:r>
      <w:r w:rsidR="00CE5BE9">
        <w:t>emerged</w:t>
      </w:r>
      <w:r w:rsidR="00AA5003">
        <w:t xml:space="preserve"> in our case law</w:t>
      </w:r>
      <w:r w:rsidR="000B2BC8">
        <w:t xml:space="preserve">:  </w:t>
      </w:r>
      <w:r w:rsidR="0052242A" w:rsidRPr="00C61B53">
        <w:t xml:space="preserve">Agreements not to compete </w:t>
      </w:r>
      <w:r w:rsidR="00BB2955" w:rsidRPr="00C61B53">
        <w:t>after</w:t>
      </w:r>
      <w:r w:rsidR="0052242A" w:rsidRPr="00C61B53">
        <w:t xml:space="preserve"> the termination of employment or the sale of </w:t>
      </w:r>
      <w:r w:rsidR="00BB2955" w:rsidRPr="00C61B53">
        <w:t>interest</w:t>
      </w:r>
      <w:r w:rsidR="0052242A" w:rsidRPr="00C61B53">
        <w:t xml:space="preserve"> in a business were invalid </w:t>
      </w:r>
      <w:r w:rsidR="00622E6B" w:rsidRPr="00C61B53">
        <w:t>without regard to</w:t>
      </w:r>
      <w:r w:rsidR="0052242A" w:rsidRPr="00C61B53">
        <w:t xml:space="preserve"> their reasonab</w:t>
      </w:r>
      <w:r w:rsidR="00622E6B" w:rsidRPr="00C61B53">
        <w:t>leness</w:t>
      </w:r>
      <w:r w:rsidR="0052242A" w:rsidRPr="00C61B53">
        <w:t>.</w:t>
      </w:r>
      <w:r w:rsidR="00BE04F6" w:rsidRPr="00C61B53">
        <w:t xml:space="preserve">  </w:t>
      </w:r>
      <w:r w:rsidR="000B509E">
        <w:t>A</w:t>
      </w:r>
      <w:r w:rsidR="00AA5003">
        <w:t>nd a</w:t>
      </w:r>
      <w:r w:rsidR="00BB2955" w:rsidRPr="00C61B53">
        <w:t>greements</w:t>
      </w:r>
      <w:r w:rsidR="00CE5BE9">
        <w:t xml:space="preserve"> </w:t>
      </w:r>
      <w:r w:rsidR="00BB2955" w:rsidRPr="00C61B53">
        <w:t xml:space="preserve">limiting commercial dealings and business operations </w:t>
      </w:r>
      <w:r w:rsidR="0052242A" w:rsidRPr="00C61B53">
        <w:t>were generally invalid if they were unreasonable.</w:t>
      </w:r>
    </w:p>
    <w:p w14:paraId="45F2C33E" w14:textId="252EA148" w:rsidR="00BE04F6" w:rsidRPr="00C61B53" w:rsidRDefault="00B1574C" w:rsidP="00E0796D">
      <w:pPr>
        <w:ind w:firstLine="720"/>
      </w:pPr>
      <w:r w:rsidRPr="00C61B53">
        <w:lastRenderedPageBreak/>
        <w:t xml:space="preserve">As to </w:t>
      </w:r>
      <w:r w:rsidR="007F5577" w:rsidRPr="00C61B53">
        <w:t>a</w:t>
      </w:r>
      <w:r w:rsidR="001F1103" w:rsidRPr="00C61B53">
        <w:t>greement</w:t>
      </w:r>
      <w:r w:rsidR="007F5577" w:rsidRPr="00C61B53">
        <w:t>s</w:t>
      </w:r>
      <w:r w:rsidR="001F1103" w:rsidRPr="00C61B53">
        <w:t xml:space="preserve"> not to compete </w:t>
      </w:r>
      <w:r w:rsidR="00F91868" w:rsidRPr="00C61B53">
        <w:t>after</w:t>
      </w:r>
      <w:r w:rsidR="001F1103" w:rsidRPr="00C61B53">
        <w:t xml:space="preserve"> termination of employment or </w:t>
      </w:r>
      <w:r w:rsidR="007F5577" w:rsidRPr="00C61B53">
        <w:t xml:space="preserve">the </w:t>
      </w:r>
      <w:r w:rsidR="001F1103" w:rsidRPr="00C61B53">
        <w:t>sale of</w:t>
      </w:r>
      <w:r w:rsidR="00F91868" w:rsidRPr="00C61B53">
        <w:t xml:space="preserve"> interest in a</w:t>
      </w:r>
      <w:r w:rsidR="001F1103" w:rsidRPr="00C61B53">
        <w:t xml:space="preserve"> business</w:t>
      </w:r>
      <w:r w:rsidR="006D44D8" w:rsidRPr="00C61B53">
        <w:t xml:space="preserve">, an early case was </w:t>
      </w:r>
      <w:r w:rsidR="008A75D4" w:rsidRPr="00C61B53">
        <w:rPr>
          <w:i/>
        </w:rPr>
        <w:t xml:space="preserve">Merchants’ Ad-Sign Co. v. Sterling </w:t>
      </w:r>
      <w:r w:rsidR="008A75D4" w:rsidRPr="00C61B53">
        <w:t>(1899)</w:t>
      </w:r>
      <w:r w:rsidR="008A75D4" w:rsidRPr="00C61B53">
        <w:rPr>
          <w:i/>
        </w:rPr>
        <w:t xml:space="preserve"> </w:t>
      </w:r>
      <w:r w:rsidR="008A75D4" w:rsidRPr="00C61B53">
        <w:t>124 Cal. 429</w:t>
      </w:r>
      <w:r w:rsidR="00ED3F3D">
        <w:t xml:space="preserve"> (</w:t>
      </w:r>
      <w:r w:rsidR="00ED3F3D">
        <w:rPr>
          <w:i/>
          <w:iCs/>
        </w:rPr>
        <w:t>Merchants’ Ad-Sign</w:t>
      </w:r>
      <w:r w:rsidR="00ED3F3D">
        <w:t>)</w:t>
      </w:r>
      <w:r w:rsidR="008A75D4" w:rsidRPr="00C61B53">
        <w:t xml:space="preserve">, </w:t>
      </w:r>
      <w:r w:rsidR="006D44D8" w:rsidRPr="00C61B53">
        <w:t>which</w:t>
      </w:r>
      <w:r w:rsidR="007C6E41" w:rsidRPr="00C61B53">
        <w:t xml:space="preserve"> invalidated an </w:t>
      </w:r>
      <w:r w:rsidR="00551591" w:rsidRPr="00C61B53">
        <w:t xml:space="preserve">agreement not to compete as part of </w:t>
      </w:r>
      <w:r w:rsidR="007C6E41" w:rsidRPr="00C61B53">
        <w:t xml:space="preserve">the </w:t>
      </w:r>
      <w:r w:rsidR="00B12A19" w:rsidRPr="00C61B53">
        <w:t>sale of stock</w:t>
      </w:r>
      <w:r w:rsidR="007C6E41" w:rsidRPr="00C61B53">
        <w:t xml:space="preserve"> in </w:t>
      </w:r>
      <w:r w:rsidR="00640CA6" w:rsidRPr="00C61B53">
        <w:t>a</w:t>
      </w:r>
      <w:r w:rsidR="00C22897" w:rsidRPr="00C61B53">
        <w:t>n</w:t>
      </w:r>
      <w:r w:rsidR="00640CA6" w:rsidRPr="00C61B53">
        <w:t xml:space="preserve"> </w:t>
      </w:r>
      <w:r w:rsidR="00C22897" w:rsidRPr="00C61B53">
        <w:t xml:space="preserve">advertising </w:t>
      </w:r>
      <w:r w:rsidR="007C6E41" w:rsidRPr="00C61B53">
        <w:t>company.</w:t>
      </w:r>
      <w:r w:rsidR="006D44D8" w:rsidRPr="00C61B53">
        <w:t xml:space="preserve">  (</w:t>
      </w:r>
      <w:r w:rsidR="006D44D8" w:rsidRPr="00C61B53">
        <w:rPr>
          <w:i/>
        </w:rPr>
        <w:t>Id.</w:t>
      </w:r>
      <w:r w:rsidR="006D44D8" w:rsidRPr="00C61B53">
        <w:t xml:space="preserve"> at p. 434.)</w:t>
      </w:r>
      <w:r w:rsidR="008D12ED" w:rsidRPr="00C61B53">
        <w:t xml:space="preserve">  </w:t>
      </w:r>
      <w:r w:rsidR="00837E0F" w:rsidRPr="00C61B53">
        <w:t>O</w:t>
      </w:r>
      <w:r w:rsidR="00CB16F7" w:rsidRPr="00C61B53">
        <w:t xml:space="preserve">ur reasoning </w:t>
      </w:r>
      <w:r w:rsidR="00D76D0D">
        <w:t xml:space="preserve">in that case </w:t>
      </w:r>
      <w:r w:rsidR="00FB104B" w:rsidRPr="00C61B53">
        <w:t>rested on the plain language of the statute</w:t>
      </w:r>
      <w:r w:rsidR="00622E6B" w:rsidRPr="00C61B53">
        <w:t>,</w:t>
      </w:r>
      <w:r w:rsidR="00FB104B" w:rsidRPr="00C61B53">
        <w:t xml:space="preserve"> and </w:t>
      </w:r>
      <w:r w:rsidR="00837E0F" w:rsidRPr="00C61B53">
        <w:t xml:space="preserve">we </w:t>
      </w:r>
      <w:r w:rsidR="00591374" w:rsidRPr="00C61B53">
        <w:t xml:space="preserve">did not examine </w:t>
      </w:r>
      <w:r w:rsidR="00252F02" w:rsidRPr="00C61B53">
        <w:t>whether the restraint was reasonable.</w:t>
      </w:r>
      <w:r w:rsidR="004A4808" w:rsidRPr="00C61B53">
        <w:t xml:space="preserve">  </w:t>
      </w:r>
      <w:r w:rsidR="00252F02" w:rsidRPr="00C61B53">
        <w:t xml:space="preserve">We </w:t>
      </w:r>
      <w:r w:rsidR="0017561E" w:rsidRPr="00C61B53">
        <w:t>emphasiz</w:t>
      </w:r>
      <w:r w:rsidR="00252F02" w:rsidRPr="00C61B53">
        <w:t xml:space="preserve">ed </w:t>
      </w:r>
      <w:r w:rsidR="0017561E" w:rsidRPr="00C61B53">
        <w:t>that “</w:t>
      </w:r>
      <w:r w:rsidR="00D06A81">
        <w:t>[</w:t>
      </w:r>
      <w:r w:rsidR="0017561E" w:rsidRPr="00C61B53">
        <w:t>t</w:t>
      </w:r>
      <w:r w:rsidR="00D06A81">
        <w:t>]</w:t>
      </w:r>
      <w:r w:rsidR="0017561E" w:rsidRPr="00C61B53">
        <w:t>he language of the code is unmistakable”</w:t>
      </w:r>
      <w:r w:rsidR="00252F02" w:rsidRPr="00C61B53">
        <w:t xml:space="preserve"> and </w:t>
      </w:r>
      <w:r w:rsidR="004A4808" w:rsidRPr="00C61B53">
        <w:t>rejected the applicability of</w:t>
      </w:r>
      <w:r w:rsidR="00252F02" w:rsidRPr="00C61B53">
        <w:t xml:space="preserve"> </w:t>
      </w:r>
      <w:r w:rsidR="004A4808" w:rsidRPr="00C61B53">
        <w:t>cases adopting a more “liberal construction” of the statute.  (</w:t>
      </w:r>
      <w:r w:rsidR="004A4808" w:rsidRPr="00C61B53">
        <w:rPr>
          <w:i/>
        </w:rPr>
        <w:t>I</w:t>
      </w:r>
      <w:r w:rsidR="006D44D8" w:rsidRPr="00C61B53">
        <w:rPr>
          <w:i/>
        </w:rPr>
        <w:t>bi</w:t>
      </w:r>
      <w:r w:rsidR="004A4808" w:rsidRPr="00C61B53">
        <w:rPr>
          <w:i/>
        </w:rPr>
        <w:t>d.</w:t>
      </w:r>
      <w:r w:rsidR="004A4808" w:rsidRPr="00C61B53">
        <w:t xml:space="preserve">) </w:t>
      </w:r>
      <w:r w:rsidR="002C5957" w:rsidRPr="00C61B53">
        <w:t xml:space="preserve"> Because the noncompet</w:t>
      </w:r>
      <w:r w:rsidR="00C22897" w:rsidRPr="00C61B53">
        <w:t xml:space="preserve">ition agreement </w:t>
      </w:r>
      <w:r w:rsidR="00F91868" w:rsidRPr="00C61B53">
        <w:t>prevented</w:t>
      </w:r>
      <w:r w:rsidR="00E16441" w:rsidRPr="00C61B53">
        <w:t xml:space="preserve"> one party from engaging in the business of bill posting</w:t>
      </w:r>
      <w:r w:rsidR="00F91868" w:rsidRPr="00C61B53">
        <w:t xml:space="preserve"> after he sold his</w:t>
      </w:r>
      <w:r w:rsidR="003A6B2C" w:rsidRPr="00C61B53">
        <w:t xml:space="preserve"> interest in the </w:t>
      </w:r>
      <w:r w:rsidR="00F91868" w:rsidRPr="00C61B53">
        <w:t>advertising business to the other party</w:t>
      </w:r>
      <w:r w:rsidR="00E16441" w:rsidRPr="00C61B53">
        <w:t xml:space="preserve">, </w:t>
      </w:r>
      <w:r w:rsidR="00950D4B" w:rsidRPr="00C61B53">
        <w:t xml:space="preserve">it </w:t>
      </w:r>
      <w:r w:rsidR="00E16441" w:rsidRPr="00C61B53">
        <w:t xml:space="preserve">violated </w:t>
      </w:r>
      <w:r w:rsidR="005216F8" w:rsidRPr="00C61B53">
        <w:t xml:space="preserve">the plain language of Civil Code </w:t>
      </w:r>
      <w:r w:rsidR="00D06A81">
        <w:t xml:space="preserve">former </w:t>
      </w:r>
      <w:r w:rsidR="005216F8" w:rsidRPr="00C61B53">
        <w:t>section 1673 and was therefore void.  (</w:t>
      </w:r>
      <w:r w:rsidR="00D06A81">
        <w:rPr>
          <w:i/>
        </w:rPr>
        <w:t>Merchants Ad-</w:t>
      </w:r>
      <w:r w:rsidR="00D06A81" w:rsidRPr="000A2B15">
        <w:rPr>
          <w:i/>
        </w:rPr>
        <w:t>Sign</w:t>
      </w:r>
      <w:r w:rsidR="00D06A81">
        <w:t xml:space="preserve">, </w:t>
      </w:r>
      <w:r w:rsidR="00D06A81" w:rsidRPr="00D06A81">
        <w:t>at</w:t>
      </w:r>
      <w:r w:rsidR="00D06A81">
        <w:t xml:space="preserve"> p. 434</w:t>
      </w:r>
      <w:r w:rsidR="005216F8" w:rsidRPr="00C61B53">
        <w:rPr>
          <w:i/>
        </w:rPr>
        <w:t>.</w:t>
      </w:r>
      <w:r w:rsidR="005216F8" w:rsidRPr="00C61B53">
        <w:t>)</w:t>
      </w:r>
    </w:p>
    <w:p w14:paraId="48832601" w14:textId="2D7B419A" w:rsidR="00190B18" w:rsidRDefault="00863B5F">
      <w:pPr>
        <w:ind w:firstLine="720"/>
      </w:pPr>
      <w:r>
        <w:t>Likewise, i</w:t>
      </w:r>
      <w:r w:rsidR="00CA7300" w:rsidRPr="00C61B53">
        <w:t>n</w:t>
      </w:r>
      <w:r w:rsidR="004C15B5" w:rsidRPr="00C61B53">
        <w:t xml:space="preserve"> </w:t>
      </w:r>
      <w:r w:rsidR="00C254CE" w:rsidRPr="00C61B53">
        <w:rPr>
          <w:i/>
        </w:rPr>
        <w:t>Chamberlain v. Augustine</w:t>
      </w:r>
      <w:r w:rsidR="00F96F33" w:rsidRPr="00C61B53">
        <w:t xml:space="preserve"> </w:t>
      </w:r>
      <w:r w:rsidR="0003020C" w:rsidRPr="00C61B53">
        <w:t xml:space="preserve">(1916) </w:t>
      </w:r>
      <w:r w:rsidR="004C15B5" w:rsidRPr="00C61B53">
        <w:t>172 Cal. 285</w:t>
      </w:r>
      <w:r w:rsidR="00F91868" w:rsidRPr="00C61B53">
        <w:t xml:space="preserve"> (</w:t>
      </w:r>
      <w:r w:rsidR="00F91868" w:rsidRPr="00C61B53">
        <w:rPr>
          <w:i/>
        </w:rPr>
        <w:t>Chamberlain</w:t>
      </w:r>
      <w:r w:rsidR="00F91868" w:rsidRPr="00C61B53">
        <w:t>)</w:t>
      </w:r>
      <w:r w:rsidR="00CA7300" w:rsidRPr="00C61B53">
        <w:t>,</w:t>
      </w:r>
      <w:r w:rsidR="004C15B5" w:rsidRPr="00C61B53">
        <w:t xml:space="preserve"> </w:t>
      </w:r>
      <w:r w:rsidR="00F96F33" w:rsidRPr="00C61B53">
        <w:t>we invalidated an agreement</w:t>
      </w:r>
      <w:r w:rsidR="004870D4" w:rsidRPr="00C61B53">
        <w:t xml:space="preserve"> </w:t>
      </w:r>
      <w:r w:rsidR="002D4A3C" w:rsidRPr="00C61B53">
        <w:t>imposing a financial penalty for competition, which was included as</w:t>
      </w:r>
      <w:r w:rsidR="00F96F33" w:rsidRPr="00C61B53">
        <w:t xml:space="preserve"> part of the sale of stock </w:t>
      </w:r>
      <w:r w:rsidR="0003020C" w:rsidRPr="00C61B53">
        <w:t xml:space="preserve">in </w:t>
      </w:r>
      <w:r w:rsidR="00B53D83">
        <w:t>a foundry</w:t>
      </w:r>
      <w:r w:rsidR="0003020C" w:rsidRPr="00C61B53">
        <w:t xml:space="preserve"> company</w:t>
      </w:r>
      <w:r w:rsidR="002D4A3C" w:rsidRPr="00C61B53">
        <w:t>.</w:t>
      </w:r>
      <w:r w:rsidR="008B194B" w:rsidRPr="00C61B53">
        <w:t xml:space="preserve">  (</w:t>
      </w:r>
      <w:r w:rsidR="008B194B" w:rsidRPr="00C61B53">
        <w:rPr>
          <w:i/>
        </w:rPr>
        <w:t>Id</w:t>
      </w:r>
      <w:r w:rsidR="008B194B" w:rsidRPr="00C61B53">
        <w:t xml:space="preserve">. at p. 288.)  </w:t>
      </w:r>
      <w:r w:rsidR="00AD693A">
        <w:t>T</w:t>
      </w:r>
      <w:r w:rsidR="004870D4" w:rsidRPr="00C61B53">
        <w:t>he $5</w:t>
      </w:r>
      <w:r w:rsidR="00622E6B" w:rsidRPr="00C61B53">
        <w:t>,</w:t>
      </w:r>
      <w:r w:rsidR="004870D4" w:rsidRPr="00C61B53">
        <w:t xml:space="preserve">000 penalty </w:t>
      </w:r>
      <w:r w:rsidR="008B194B" w:rsidRPr="00C61B53">
        <w:t>was a</w:t>
      </w:r>
      <w:r w:rsidR="00D50ED0" w:rsidRPr="00C61B53">
        <w:t xml:space="preserve"> sufficient </w:t>
      </w:r>
      <w:r w:rsidR="008B194B" w:rsidRPr="00C61B53">
        <w:t>deterrent</w:t>
      </w:r>
      <w:r w:rsidR="00D50ED0" w:rsidRPr="00C61B53">
        <w:t xml:space="preserve"> </w:t>
      </w:r>
      <w:r w:rsidR="00642A45">
        <w:t xml:space="preserve">to competition </w:t>
      </w:r>
      <w:r w:rsidR="00D50ED0" w:rsidRPr="00C61B53">
        <w:t>to constitute a restraint of trade under Civil Code</w:t>
      </w:r>
      <w:r w:rsidR="00D06A81">
        <w:t xml:space="preserve"> former</w:t>
      </w:r>
      <w:r w:rsidR="00D50ED0" w:rsidRPr="00C61B53">
        <w:t xml:space="preserve"> section 1673.</w:t>
      </w:r>
      <w:r w:rsidR="008B194B" w:rsidRPr="00C61B53">
        <w:t xml:space="preserve">  Pointing to “the very language of </w:t>
      </w:r>
      <w:r w:rsidR="00D06A81">
        <w:t xml:space="preserve">[former] </w:t>
      </w:r>
      <w:r w:rsidR="008B194B" w:rsidRPr="00C61B53">
        <w:t xml:space="preserve">section 1673,” we determined that “[t]he statute makes no exception in favor of contracts only </w:t>
      </w:r>
      <w:r w:rsidR="002955A8" w:rsidRPr="00C61B53">
        <w:t xml:space="preserve">in </w:t>
      </w:r>
      <w:r w:rsidR="008B194B" w:rsidRPr="00C61B53">
        <w:t>partial restraint of trade.”  (</w:t>
      </w:r>
      <w:r w:rsidR="001133EE" w:rsidRPr="00C61B53">
        <w:rPr>
          <w:i/>
        </w:rPr>
        <w:t>Chamberlain</w:t>
      </w:r>
      <w:r w:rsidR="001133EE" w:rsidRPr="00C61B53">
        <w:t>,</w:t>
      </w:r>
      <w:r w:rsidR="008B194B" w:rsidRPr="00C61B53">
        <w:t xml:space="preserve"> at pp. 288</w:t>
      </w:r>
      <w:r w:rsidR="005579A9">
        <w:t xml:space="preserve">, </w:t>
      </w:r>
      <w:r w:rsidR="008B194B" w:rsidRPr="00C61B53">
        <w:t>289; accord</w:t>
      </w:r>
      <w:r w:rsidR="006D44D8" w:rsidRPr="00C61B53">
        <w:t>,</w:t>
      </w:r>
      <w:r w:rsidR="008B194B" w:rsidRPr="00C61B53">
        <w:t xml:space="preserve"> </w:t>
      </w:r>
      <w:r w:rsidR="005C78CC" w:rsidRPr="00C61B53">
        <w:rPr>
          <w:i/>
        </w:rPr>
        <w:t xml:space="preserve">Gregory v. </w:t>
      </w:r>
      <w:proofErr w:type="spellStart"/>
      <w:r w:rsidR="005C78CC" w:rsidRPr="00C61B53">
        <w:rPr>
          <w:i/>
        </w:rPr>
        <w:t>Spieker</w:t>
      </w:r>
      <w:proofErr w:type="spellEnd"/>
      <w:r w:rsidR="005C78CC" w:rsidRPr="00C61B53">
        <w:t xml:space="preserve"> (1895) 110 Cal. 150, 154 [agreement </w:t>
      </w:r>
      <w:r w:rsidR="009A040F" w:rsidRPr="00C61B53">
        <w:t>not to</w:t>
      </w:r>
      <w:r w:rsidR="00D06CA4" w:rsidRPr="00C61B53">
        <w:t xml:space="preserve"> compete</w:t>
      </w:r>
      <w:r w:rsidR="009A040F" w:rsidRPr="00C61B53">
        <w:t xml:space="preserve"> </w:t>
      </w:r>
      <w:r w:rsidR="00D06CA4" w:rsidRPr="00C61B53">
        <w:t>in a</w:t>
      </w:r>
      <w:r w:rsidR="009A040F" w:rsidRPr="00C61B53">
        <w:t xml:space="preserve"> particular county </w:t>
      </w:r>
      <w:r w:rsidR="00D06CA4" w:rsidRPr="00C61B53">
        <w:t xml:space="preserve">as part of the sale of a liquor business </w:t>
      </w:r>
      <w:r w:rsidR="00394DCF" w:rsidRPr="00C61B53">
        <w:t>“transgressed the statute”]</w:t>
      </w:r>
      <w:r w:rsidR="008B194B" w:rsidRPr="00C61B53">
        <w:t>.</w:t>
      </w:r>
      <w:r w:rsidR="00394DCF" w:rsidRPr="00C61B53">
        <w:t>)</w:t>
      </w:r>
    </w:p>
    <w:p w14:paraId="33469C57" w14:textId="7DB94EC0" w:rsidR="007763C0" w:rsidRPr="00E0796D" w:rsidRDefault="00012685" w:rsidP="00273F9B">
      <w:pPr>
        <w:ind w:firstLine="720"/>
        <w:rPr>
          <w:sz w:val="26"/>
        </w:rPr>
      </w:pPr>
      <w:r>
        <w:t>It is true that these decisions spoke in broad terms, suggesting that restraints on trade in all contexts were void per se</w:t>
      </w:r>
      <w:r w:rsidR="00B164DD">
        <w:t>.  (</w:t>
      </w:r>
      <w:r w:rsidR="00DE157A">
        <w:rPr>
          <w:i/>
          <w:iCs/>
        </w:rPr>
        <w:t>See Merchants’ Ad-Sign</w:t>
      </w:r>
      <w:r w:rsidR="00DE157A">
        <w:t xml:space="preserve">, </w:t>
      </w:r>
      <w:r w:rsidR="00DE157A">
        <w:rPr>
          <w:i/>
          <w:iCs/>
        </w:rPr>
        <w:t>supra</w:t>
      </w:r>
      <w:r w:rsidR="00DE157A">
        <w:t xml:space="preserve">, 124 Cal. at </w:t>
      </w:r>
      <w:r w:rsidR="00ED3F3D">
        <w:t>p. 434 [</w:t>
      </w:r>
      <w:r w:rsidR="00305FD0" w:rsidRPr="00C61B53">
        <w:t>“</w:t>
      </w:r>
      <w:r w:rsidR="005579A9">
        <w:t>[</w:t>
      </w:r>
      <w:r w:rsidR="00305FD0" w:rsidRPr="00C61B53">
        <w:t>t</w:t>
      </w:r>
      <w:r w:rsidR="005579A9">
        <w:t>]</w:t>
      </w:r>
      <w:r w:rsidR="00305FD0" w:rsidRPr="00C61B53">
        <w:t>he language of the code is unmistakable”</w:t>
      </w:r>
      <w:r w:rsidR="00ED3F3D">
        <w:t xml:space="preserve">]; </w:t>
      </w:r>
      <w:r w:rsidR="00ED3F3D">
        <w:rPr>
          <w:i/>
          <w:iCs/>
        </w:rPr>
        <w:t>Chamberlain</w:t>
      </w:r>
      <w:r w:rsidR="00ED3F3D">
        <w:t xml:space="preserve">, </w:t>
      </w:r>
      <w:r w:rsidR="005579A9" w:rsidRPr="005579A9">
        <w:rPr>
          <w:i/>
        </w:rPr>
        <w:t>supra</w:t>
      </w:r>
      <w:r w:rsidR="005579A9">
        <w:t xml:space="preserve">, </w:t>
      </w:r>
      <w:r w:rsidR="005579A9">
        <w:lastRenderedPageBreak/>
        <w:t xml:space="preserve">172 Cal. </w:t>
      </w:r>
      <w:r w:rsidR="00305FD0" w:rsidRPr="005579A9">
        <w:t>at</w:t>
      </w:r>
      <w:r w:rsidR="00305FD0">
        <w:t xml:space="preserve"> </w:t>
      </w:r>
      <w:r w:rsidR="00541BEA">
        <w:t>p</w:t>
      </w:r>
      <w:r w:rsidR="00305FD0">
        <w:t>p. </w:t>
      </w:r>
      <w:r w:rsidR="00541BEA">
        <w:t>288–289 [“</w:t>
      </w:r>
      <w:r w:rsidR="00541BEA" w:rsidRPr="008804B7">
        <w:rPr>
          <w:sz w:val="26"/>
          <w:szCs w:val="26"/>
        </w:rPr>
        <w:t xml:space="preserve">the very language of </w:t>
      </w:r>
      <w:r w:rsidR="005579A9">
        <w:rPr>
          <w:sz w:val="26"/>
          <w:szCs w:val="26"/>
        </w:rPr>
        <w:t xml:space="preserve">[former] </w:t>
      </w:r>
      <w:r w:rsidR="00541BEA" w:rsidRPr="008804B7">
        <w:rPr>
          <w:sz w:val="26"/>
          <w:szCs w:val="26"/>
        </w:rPr>
        <w:t xml:space="preserve">section 1673 </w:t>
      </w:r>
      <w:r w:rsidR="00F94E73">
        <w:rPr>
          <w:sz w:val="26"/>
          <w:szCs w:val="26"/>
        </w:rPr>
        <w:t xml:space="preserve">. . . </w:t>
      </w:r>
      <w:r w:rsidR="00541BEA" w:rsidRPr="008804B7">
        <w:rPr>
          <w:sz w:val="26"/>
          <w:szCs w:val="26"/>
        </w:rPr>
        <w:t>makes no exception in favor of contracts only in partial restraint of trade</w:t>
      </w:r>
      <w:r w:rsidR="00541BEA">
        <w:rPr>
          <w:sz w:val="26"/>
          <w:szCs w:val="26"/>
        </w:rPr>
        <w:t>”]</w:t>
      </w:r>
      <w:r w:rsidR="0055082A">
        <w:rPr>
          <w:sz w:val="26"/>
          <w:szCs w:val="26"/>
        </w:rPr>
        <w:t>.)</w:t>
      </w:r>
      <w:r w:rsidR="00EC74B6">
        <w:rPr>
          <w:sz w:val="26"/>
          <w:szCs w:val="26"/>
        </w:rPr>
        <w:t xml:space="preserve">  But </w:t>
      </w:r>
      <w:r w:rsidR="00B84CEB">
        <w:rPr>
          <w:sz w:val="26"/>
          <w:szCs w:val="26"/>
        </w:rPr>
        <w:t>“[</w:t>
      </w:r>
      <w:proofErr w:type="spellStart"/>
      <w:r w:rsidR="00B84CEB">
        <w:rPr>
          <w:sz w:val="26"/>
          <w:szCs w:val="26"/>
        </w:rPr>
        <w:t>i</w:t>
      </w:r>
      <w:proofErr w:type="spellEnd"/>
      <w:r w:rsidR="00B84CEB">
        <w:rPr>
          <w:sz w:val="26"/>
          <w:szCs w:val="26"/>
        </w:rPr>
        <w:t xml:space="preserve">]t is </w:t>
      </w:r>
      <w:r w:rsidR="00E96831">
        <w:rPr>
          <w:sz w:val="26"/>
          <w:szCs w:val="26"/>
        </w:rPr>
        <w:t xml:space="preserve">axiomatic that </w:t>
      </w:r>
      <w:r w:rsidR="00B84CEB" w:rsidRPr="00B84CEB">
        <w:rPr>
          <w:sz w:val="26"/>
          <w:szCs w:val="26"/>
        </w:rPr>
        <w:t xml:space="preserve">an unnecessarily broad holding is </w:t>
      </w:r>
      <w:r w:rsidR="00E96831">
        <w:rPr>
          <w:sz w:val="26"/>
          <w:szCs w:val="26"/>
        </w:rPr>
        <w:t>‘</w:t>
      </w:r>
      <w:r w:rsidR="00B84CEB" w:rsidRPr="00B84CEB">
        <w:rPr>
          <w:sz w:val="26"/>
          <w:szCs w:val="26"/>
        </w:rPr>
        <w:t>informed and limited by the fact[s]</w:t>
      </w:r>
      <w:r w:rsidR="00E96831">
        <w:rPr>
          <w:sz w:val="26"/>
          <w:szCs w:val="26"/>
        </w:rPr>
        <w:t>’</w:t>
      </w:r>
      <w:r w:rsidR="00B84CEB" w:rsidRPr="00B84CEB">
        <w:rPr>
          <w:sz w:val="26"/>
          <w:szCs w:val="26"/>
        </w:rPr>
        <w:t xml:space="preserve"> of the case in which it is articulated.</w:t>
      </w:r>
      <w:r w:rsidR="00E96831">
        <w:rPr>
          <w:sz w:val="26"/>
          <w:szCs w:val="26"/>
        </w:rPr>
        <w:t>”  (</w:t>
      </w:r>
      <w:r w:rsidR="00B84CEB" w:rsidRPr="00E96831">
        <w:rPr>
          <w:i/>
          <w:iCs/>
          <w:sz w:val="26"/>
          <w:szCs w:val="26"/>
        </w:rPr>
        <w:t>Covenant Care, Inc.</w:t>
      </w:r>
      <w:r w:rsidR="00B84CEB" w:rsidRPr="00E0796D">
        <w:rPr>
          <w:i/>
          <w:sz w:val="26"/>
        </w:rPr>
        <w:t xml:space="preserve"> v. </w:t>
      </w:r>
      <w:r w:rsidR="00B84CEB" w:rsidRPr="00E96831">
        <w:rPr>
          <w:i/>
          <w:iCs/>
          <w:sz w:val="26"/>
          <w:szCs w:val="26"/>
        </w:rPr>
        <w:t>Superior Court</w:t>
      </w:r>
      <w:r w:rsidR="00B84CEB" w:rsidRPr="00B84CEB">
        <w:rPr>
          <w:sz w:val="26"/>
          <w:szCs w:val="26"/>
        </w:rPr>
        <w:t xml:space="preserve"> (2004) 32 Cal.4th 771, 790</w:t>
      </w:r>
      <w:r w:rsidR="005579A9">
        <w:rPr>
          <w:sz w:val="26"/>
          <w:szCs w:val="26"/>
        </w:rPr>
        <w:t>,</w:t>
      </w:r>
      <w:r w:rsidR="00B84CEB" w:rsidRPr="00B84CEB">
        <w:rPr>
          <w:sz w:val="26"/>
          <w:szCs w:val="26"/>
        </w:rPr>
        <w:t xml:space="preserve"> </w:t>
      </w:r>
      <w:r w:rsidR="00E96831">
        <w:rPr>
          <w:sz w:val="26"/>
          <w:szCs w:val="26"/>
        </w:rPr>
        <w:t>fn. 11</w:t>
      </w:r>
      <w:r w:rsidR="00EB2529">
        <w:rPr>
          <w:sz w:val="26"/>
          <w:szCs w:val="26"/>
        </w:rPr>
        <w:t xml:space="preserve">; see </w:t>
      </w:r>
      <w:r w:rsidR="00EB2529" w:rsidRPr="00EB2529">
        <w:rPr>
          <w:i/>
          <w:iCs/>
          <w:sz w:val="26"/>
          <w:szCs w:val="26"/>
        </w:rPr>
        <w:t>People v. Mendoza</w:t>
      </w:r>
      <w:r w:rsidR="00EB2529" w:rsidRPr="00EB2529">
        <w:rPr>
          <w:sz w:val="26"/>
          <w:szCs w:val="26"/>
        </w:rPr>
        <w:t xml:space="preserve"> (2000) 23 Cal.4th 896, 915 [</w:t>
      </w:r>
      <w:r w:rsidR="00EB2529">
        <w:rPr>
          <w:sz w:val="26"/>
          <w:szCs w:val="26"/>
        </w:rPr>
        <w:t>“ ‘</w:t>
      </w:r>
      <w:r w:rsidR="00EB2529" w:rsidRPr="00EB2529">
        <w:rPr>
          <w:sz w:val="26"/>
          <w:szCs w:val="26"/>
        </w:rPr>
        <w:t>we must view with caution seemingly categorical directives not essential to earlier decisions</w:t>
      </w:r>
      <w:r w:rsidR="00EB2529">
        <w:rPr>
          <w:sz w:val="26"/>
          <w:szCs w:val="26"/>
        </w:rPr>
        <w:t>’ ”].)</w:t>
      </w:r>
      <w:r w:rsidR="00C903BB">
        <w:rPr>
          <w:sz w:val="26"/>
          <w:szCs w:val="26"/>
        </w:rPr>
        <w:t xml:space="preserve">  </w:t>
      </w:r>
      <w:r w:rsidR="007763C0">
        <w:rPr>
          <w:sz w:val="26"/>
          <w:szCs w:val="26"/>
        </w:rPr>
        <w:t>The</w:t>
      </w:r>
      <w:r w:rsidR="001129C7">
        <w:rPr>
          <w:sz w:val="26"/>
          <w:szCs w:val="26"/>
        </w:rPr>
        <w:t xml:space="preserve"> contracts at issue in </w:t>
      </w:r>
      <w:r w:rsidR="006170B3">
        <w:rPr>
          <w:sz w:val="26"/>
          <w:szCs w:val="26"/>
        </w:rPr>
        <w:t>these cases involved</w:t>
      </w:r>
      <w:r w:rsidR="00E87979">
        <w:rPr>
          <w:sz w:val="26"/>
          <w:szCs w:val="26"/>
        </w:rPr>
        <w:t xml:space="preserve"> </w:t>
      </w:r>
      <w:r w:rsidR="006170B3" w:rsidRPr="00C61B53">
        <w:t xml:space="preserve">agreements not to compete </w:t>
      </w:r>
      <w:r w:rsidR="001E32BF">
        <w:t>upon</w:t>
      </w:r>
      <w:r w:rsidR="006170B3" w:rsidRPr="00C61B53">
        <w:t xml:space="preserve"> </w:t>
      </w:r>
      <w:r w:rsidR="00757EE6">
        <w:t>terminating</w:t>
      </w:r>
      <w:r w:rsidR="006170B3" w:rsidRPr="00C61B53">
        <w:t xml:space="preserve"> </w:t>
      </w:r>
      <w:r w:rsidR="00757EE6">
        <w:t>e</w:t>
      </w:r>
      <w:r w:rsidR="006170B3" w:rsidRPr="00C61B53">
        <w:t xml:space="preserve">mployment or </w:t>
      </w:r>
      <w:r w:rsidR="00757EE6">
        <w:t>selling</w:t>
      </w:r>
      <w:r w:rsidR="006170B3" w:rsidRPr="00C61B53">
        <w:t xml:space="preserve"> a business</w:t>
      </w:r>
      <w:r w:rsidR="00C903BB">
        <w:t xml:space="preserve">, </w:t>
      </w:r>
      <w:r w:rsidR="00190B18">
        <w:t xml:space="preserve">and </w:t>
      </w:r>
      <w:r w:rsidR="00C903BB">
        <w:t xml:space="preserve">we </w:t>
      </w:r>
      <w:r w:rsidR="00190B18">
        <w:t xml:space="preserve">understand </w:t>
      </w:r>
      <w:r w:rsidR="00C903BB">
        <w:t xml:space="preserve">their holdings </w:t>
      </w:r>
      <w:r w:rsidR="00190B18">
        <w:t>to be informed and limited by the</w:t>
      </w:r>
      <w:r w:rsidR="00C903BB">
        <w:t xml:space="preserve"> </w:t>
      </w:r>
      <w:r w:rsidR="00190B18">
        <w:t xml:space="preserve">factual </w:t>
      </w:r>
      <w:r w:rsidR="00C903BB">
        <w:t>context</w:t>
      </w:r>
      <w:r w:rsidR="00190B18">
        <w:t xml:space="preserve"> presented</w:t>
      </w:r>
      <w:r w:rsidR="00C903BB">
        <w:t>.</w:t>
      </w:r>
    </w:p>
    <w:p w14:paraId="6BF1A9A5" w14:textId="4FBF367C" w:rsidR="00BE04F6" w:rsidRPr="00C61B53" w:rsidRDefault="0050232B" w:rsidP="00E0796D">
      <w:pPr>
        <w:ind w:firstLine="720"/>
      </w:pPr>
      <w:r>
        <w:t>By contrast</w:t>
      </w:r>
      <w:r w:rsidR="00971989" w:rsidRPr="00C61B53">
        <w:t xml:space="preserve">, </w:t>
      </w:r>
      <w:r w:rsidR="00AF3F41" w:rsidRPr="00C61B53">
        <w:t>we</w:t>
      </w:r>
      <w:r w:rsidR="00971989" w:rsidRPr="00C61B53">
        <w:t xml:space="preserve"> </w:t>
      </w:r>
      <w:r w:rsidR="00D60076" w:rsidRPr="00C61B53">
        <w:t xml:space="preserve">did not </w:t>
      </w:r>
      <w:r w:rsidR="007C6235" w:rsidRPr="00C61B53">
        <w:t xml:space="preserve">interpret </w:t>
      </w:r>
      <w:r w:rsidR="007930E8" w:rsidRPr="00C61B53">
        <w:t xml:space="preserve">Civil Code </w:t>
      </w:r>
      <w:r w:rsidR="000047AD">
        <w:t xml:space="preserve">former </w:t>
      </w:r>
      <w:r w:rsidR="00BB72A3" w:rsidRPr="00C61B53">
        <w:t xml:space="preserve">section </w:t>
      </w:r>
      <w:r w:rsidR="00C32CCD" w:rsidRPr="00C61B53">
        <w:t>1673</w:t>
      </w:r>
      <w:r w:rsidR="00BB72A3" w:rsidRPr="00C61B53">
        <w:t xml:space="preserve"> </w:t>
      </w:r>
      <w:r w:rsidR="00D43A14" w:rsidRPr="00C61B53">
        <w:t xml:space="preserve">so </w:t>
      </w:r>
      <w:r w:rsidR="00BB72A3" w:rsidRPr="00C61B53">
        <w:t xml:space="preserve">literally </w:t>
      </w:r>
      <w:r w:rsidR="00AA18C5" w:rsidRPr="00C61B53">
        <w:t>with regard to contractual restraints on business operations</w:t>
      </w:r>
      <w:r w:rsidR="00F91868" w:rsidRPr="00C61B53">
        <w:t xml:space="preserve"> and commercial dealings</w:t>
      </w:r>
      <w:r w:rsidR="007C6235" w:rsidRPr="00C61B53">
        <w:t>.</w:t>
      </w:r>
      <w:r w:rsidR="00BE6280" w:rsidRPr="00C61B53">
        <w:t xml:space="preserve"> </w:t>
      </w:r>
      <w:r w:rsidR="00BD2123" w:rsidRPr="00C61B53">
        <w:t xml:space="preserve"> </w:t>
      </w:r>
      <w:r w:rsidR="005406C2" w:rsidRPr="00C61B53">
        <w:t xml:space="preserve">We </w:t>
      </w:r>
      <w:r w:rsidR="00D13D8F" w:rsidRPr="00C61B53">
        <w:t xml:space="preserve">generally </w:t>
      </w:r>
      <w:r w:rsidR="006B46D5" w:rsidRPr="00C61B53">
        <w:t xml:space="preserve">declared </w:t>
      </w:r>
      <w:r w:rsidR="005F35E6" w:rsidRPr="00C61B53">
        <w:t xml:space="preserve">agreements in this context </w:t>
      </w:r>
      <w:r w:rsidR="000C3630" w:rsidRPr="00C61B53">
        <w:t xml:space="preserve">valid </w:t>
      </w:r>
      <w:r w:rsidR="005F35E6" w:rsidRPr="00C61B53">
        <w:t xml:space="preserve">if </w:t>
      </w:r>
      <w:r w:rsidR="002B6930" w:rsidRPr="00C61B53">
        <w:t>the</w:t>
      </w:r>
      <w:r w:rsidR="00BE62F1" w:rsidRPr="00C61B53">
        <w:t xml:space="preserve"> restraints </w:t>
      </w:r>
      <w:r w:rsidR="006B3D68" w:rsidRPr="00C61B53">
        <w:t>they imposed were reasonable.</w:t>
      </w:r>
      <w:r w:rsidR="00BE04F6" w:rsidRPr="00C61B53">
        <w:t xml:space="preserve">  </w:t>
      </w:r>
      <w:r w:rsidR="004A6E76" w:rsidRPr="00C61B53">
        <w:t>I</w:t>
      </w:r>
      <w:r w:rsidR="002F1AA9" w:rsidRPr="00C61B53">
        <w:t xml:space="preserve">n </w:t>
      </w:r>
      <w:r w:rsidR="00124E4F" w:rsidRPr="00C61B53">
        <w:rPr>
          <w:i/>
        </w:rPr>
        <w:t>Grogan</w:t>
      </w:r>
      <w:r w:rsidR="004C638A" w:rsidRPr="00C61B53">
        <w:rPr>
          <w:i/>
        </w:rPr>
        <w:t xml:space="preserve"> v. Chaffee</w:t>
      </w:r>
      <w:r w:rsidR="004C638A" w:rsidRPr="00C61B53">
        <w:t xml:space="preserve"> (1909) 156 Cal. 611</w:t>
      </w:r>
      <w:r w:rsidR="00F91868" w:rsidRPr="00C61B53">
        <w:t xml:space="preserve"> (</w:t>
      </w:r>
      <w:r w:rsidR="00F91868" w:rsidRPr="00C61B53">
        <w:rPr>
          <w:i/>
        </w:rPr>
        <w:t>Grogan</w:t>
      </w:r>
      <w:r w:rsidR="00F91868" w:rsidRPr="00C61B53">
        <w:t>)</w:t>
      </w:r>
      <w:r w:rsidR="004C638A" w:rsidRPr="00C61B53">
        <w:t>, we upheld a contract</w:t>
      </w:r>
      <w:r w:rsidR="00A81266" w:rsidRPr="00C61B53">
        <w:t xml:space="preserve"> between a manufacturer and purchaser of olive oil </w:t>
      </w:r>
      <w:r w:rsidR="00306A32" w:rsidRPr="00C61B53">
        <w:t xml:space="preserve">requiring the </w:t>
      </w:r>
      <w:r w:rsidR="004C638A" w:rsidRPr="00C61B53">
        <w:t xml:space="preserve">purchaser to resell </w:t>
      </w:r>
      <w:r w:rsidR="00A81266" w:rsidRPr="00C61B53">
        <w:t>the product</w:t>
      </w:r>
      <w:r w:rsidR="004C638A" w:rsidRPr="00C61B53">
        <w:t xml:space="preserve"> at a certain price</w:t>
      </w:r>
      <w:r w:rsidR="004270CF" w:rsidRPr="00C61B53">
        <w:t>.</w:t>
      </w:r>
      <w:r w:rsidR="00A81266" w:rsidRPr="00C61B53">
        <w:t xml:space="preserve">  </w:t>
      </w:r>
      <w:r w:rsidR="008C14B3" w:rsidRPr="00C61B53">
        <w:t xml:space="preserve">We interpreted </w:t>
      </w:r>
      <w:r w:rsidR="00EA04E0" w:rsidRPr="00C61B53">
        <w:t xml:space="preserve">Civil Code </w:t>
      </w:r>
      <w:r w:rsidR="000047AD">
        <w:t xml:space="preserve">former </w:t>
      </w:r>
      <w:r w:rsidR="008C14B3" w:rsidRPr="00C61B53">
        <w:t>section 1673 to contain a reasonab</w:t>
      </w:r>
      <w:r w:rsidR="00CC6D1E" w:rsidRPr="00C61B53">
        <w:t>leness</w:t>
      </w:r>
      <w:r w:rsidR="008C14B3" w:rsidRPr="00C61B53">
        <w:t xml:space="preserve"> requirement</w:t>
      </w:r>
      <w:r w:rsidR="005E3579" w:rsidRPr="00C61B53">
        <w:t>:</w:t>
      </w:r>
      <w:r w:rsidR="008C14B3" w:rsidRPr="00C61B53">
        <w:t xml:space="preserve">  </w:t>
      </w:r>
      <w:r w:rsidR="00863A63" w:rsidRPr="00C61B53">
        <w:t>“</w:t>
      </w:r>
      <w:r w:rsidR="00404ED0" w:rsidRPr="00C61B53">
        <w:t>I</w:t>
      </w:r>
      <w:r w:rsidR="00863A63" w:rsidRPr="00C61B53">
        <w:t>t is not every limitation on absolute freedom</w:t>
      </w:r>
      <w:r w:rsidR="00D919DB" w:rsidRPr="00C61B53">
        <w:t xml:space="preserve"> of dealing that is prohibited. . . </w:t>
      </w:r>
      <w:r w:rsidR="00863A63" w:rsidRPr="00C61B53">
        <w:t>. ‘The question is whether, under the particular circumstances of the case, and the nature of the particular contract involved in it, the contract is, or is not, unreasonable.’</w:t>
      </w:r>
      <w:r w:rsidR="00D919DB" w:rsidRPr="00C61B53">
        <w:t xml:space="preserve">  . . </w:t>
      </w:r>
      <w:r w:rsidR="003216D2" w:rsidRPr="00C61B53">
        <w:t>. [I]t must be taken to be settled that the sec</w:t>
      </w:r>
      <w:r w:rsidR="004270CF" w:rsidRPr="00C61B53">
        <w:t xml:space="preserve">tions of the Civil Code, </w:t>
      </w:r>
      <w:r w:rsidR="000047AD">
        <w:t xml:space="preserve">[former] </w:t>
      </w:r>
      <w:r w:rsidR="004270CF" w:rsidRPr="00C61B53">
        <w:t>sections</w:t>
      </w:r>
      <w:r w:rsidR="003216D2" w:rsidRPr="00C61B53">
        <w:t xml:space="preserve"> 1673, 1674, 1675, relating to contracts in restraint of trade are to be construed in the light of these principles</w:t>
      </w:r>
      <w:r w:rsidR="004270CF" w:rsidRPr="00C61B53">
        <w:t>.</w:t>
      </w:r>
      <w:r w:rsidR="00863A63" w:rsidRPr="00C61B53">
        <w:t>”  (</w:t>
      </w:r>
      <w:r w:rsidR="00D919DB" w:rsidRPr="00C61B53">
        <w:rPr>
          <w:i/>
        </w:rPr>
        <w:t>Grogan</w:t>
      </w:r>
      <w:r w:rsidR="00D919DB" w:rsidRPr="00C61B53">
        <w:t>,</w:t>
      </w:r>
      <w:r w:rsidR="00863A63" w:rsidRPr="00C61B53">
        <w:t xml:space="preserve"> at p.</w:t>
      </w:r>
      <w:r w:rsidR="00F54C8A" w:rsidRPr="00C61B53">
        <w:t> </w:t>
      </w:r>
      <w:r w:rsidR="00863A63" w:rsidRPr="00C61B53">
        <w:t>615.)</w:t>
      </w:r>
      <w:r w:rsidR="00A81266" w:rsidRPr="00C61B53">
        <w:t xml:space="preserve">  </w:t>
      </w:r>
      <w:r w:rsidR="008C14B3" w:rsidRPr="00C61B53">
        <w:t>The agreement, we concluded, was a reasonable restraint</w:t>
      </w:r>
      <w:r w:rsidR="008A3B89" w:rsidRPr="00C61B53">
        <w:t xml:space="preserve"> because it</w:t>
      </w:r>
      <w:r w:rsidR="00A958B2">
        <w:t xml:space="preserve">s </w:t>
      </w:r>
      <w:r w:rsidR="005B2ABB">
        <w:t xml:space="preserve">purpose was not to </w:t>
      </w:r>
      <w:r w:rsidR="00A81266" w:rsidRPr="00C61B53">
        <w:t xml:space="preserve">create a </w:t>
      </w:r>
      <w:r w:rsidR="008C14B3" w:rsidRPr="00C61B53">
        <w:t>monopoly</w:t>
      </w:r>
      <w:r w:rsidR="005B2ABB">
        <w:t xml:space="preserve"> but to “</w:t>
      </w:r>
      <w:proofErr w:type="spellStart"/>
      <w:r w:rsidR="005B2ABB" w:rsidRPr="005B2ABB">
        <w:t>secur</w:t>
      </w:r>
      <w:proofErr w:type="spellEnd"/>
      <w:r w:rsidR="005B2ABB">
        <w:t>[e]</w:t>
      </w:r>
      <w:r w:rsidR="005B2ABB" w:rsidRPr="005B2ABB">
        <w:t xml:space="preserve"> the </w:t>
      </w:r>
      <w:r w:rsidR="005B2ABB" w:rsidRPr="005B2ABB">
        <w:lastRenderedPageBreak/>
        <w:t xml:space="preserve">legitimate benefits of the reputation which </w:t>
      </w:r>
      <w:r w:rsidR="009F2DE1">
        <w:t>[the manufacturer</w:t>
      </w:r>
      <w:r w:rsidR="00E71807">
        <w:t>’s]</w:t>
      </w:r>
      <w:r w:rsidR="005B2ABB" w:rsidRPr="005B2ABB">
        <w:t xml:space="preserve"> product may have attained</w:t>
      </w:r>
      <w:r w:rsidR="008C14B3" w:rsidRPr="00C61B53">
        <w:t>.</w:t>
      </w:r>
      <w:r w:rsidR="005B2ABB">
        <w:t>”</w:t>
      </w:r>
      <w:r w:rsidR="008C14B3" w:rsidRPr="00C61B53">
        <w:t xml:space="preserve">  (</w:t>
      </w:r>
      <w:r w:rsidR="008C14B3" w:rsidRPr="00C61B53">
        <w:rPr>
          <w:i/>
        </w:rPr>
        <w:t>Id</w:t>
      </w:r>
      <w:r w:rsidR="008C14B3" w:rsidRPr="00C61B53">
        <w:t>. at p.</w:t>
      </w:r>
      <w:r w:rsidR="006D4903">
        <w:t> </w:t>
      </w:r>
      <w:r w:rsidR="004B71BB" w:rsidRPr="00C61B53">
        <w:t>614</w:t>
      </w:r>
      <w:r w:rsidR="008C14B3" w:rsidRPr="00C61B53">
        <w:t>.)</w:t>
      </w:r>
    </w:p>
    <w:p w14:paraId="53B7F6C5" w14:textId="3A87D314" w:rsidR="00BE04F6" w:rsidRPr="00C61B53" w:rsidRDefault="00610BEC" w:rsidP="00E0796D">
      <w:pPr>
        <w:ind w:firstLine="720"/>
      </w:pPr>
      <w:r w:rsidRPr="00C61B53">
        <w:t>Similarly</w:t>
      </w:r>
      <w:r w:rsidR="006D44D8" w:rsidRPr="00C61B53">
        <w:t>,</w:t>
      </w:r>
      <w:r w:rsidRPr="00C61B53">
        <w:t xml:space="preserve"> i</w:t>
      </w:r>
      <w:r w:rsidR="004A6E76" w:rsidRPr="00C61B53">
        <w:t xml:space="preserve">n </w:t>
      </w:r>
      <w:r w:rsidR="004A6E76" w:rsidRPr="00C61B53">
        <w:rPr>
          <w:i/>
        </w:rPr>
        <w:t>Associated Oil Co. v. Myers</w:t>
      </w:r>
      <w:r w:rsidR="004A6E76" w:rsidRPr="00C61B53">
        <w:t xml:space="preserve"> (1</w:t>
      </w:r>
      <w:r w:rsidR="006259D3" w:rsidRPr="00C61B53">
        <w:t>933) 217 Cal. 297</w:t>
      </w:r>
      <w:r w:rsidR="00D919DB" w:rsidRPr="00C61B53">
        <w:t xml:space="preserve"> (</w:t>
      </w:r>
      <w:r w:rsidR="00D919DB" w:rsidRPr="00C61B53">
        <w:rPr>
          <w:i/>
        </w:rPr>
        <w:t>Associated Oil</w:t>
      </w:r>
      <w:r w:rsidR="00D919DB" w:rsidRPr="00C61B53">
        <w:t>)</w:t>
      </w:r>
      <w:r w:rsidR="006259D3" w:rsidRPr="00C61B53">
        <w:t xml:space="preserve">, we upheld a contract </w:t>
      </w:r>
      <w:r w:rsidR="00965192" w:rsidRPr="00C61B53">
        <w:t xml:space="preserve">between the </w:t>
      </w:r>
      <w:r w:rsidR="00BF52A1" w:rsidRPr="00C61B53">
        <w:t>lessor</w:t>
      </w:r>
      <w:r w:rsidR="00965192" w:rsidRPr="00C61B53">
        <w:t xml:space="preserve"> of an automobile service station </w:t>
      </w:r>
      <w:r w:rsidR="006259D3" w:rsidRPr="00C61B53">
        <w:t>and a less</w:t>
      </w:r>
      <w:r w:rsidR="00BF52A1" w:rsidRPr="00C61B53">
        <w:t>ee</w:t>
      </w:r>
      <w:r w:rsidR="006259D3" w:rsidRPr="00C61B53">
        <w:t xml:space="preserve"> of the station, which included an agreement that the </w:t>
      </w:r>
      <w:r w:rsidR="00BF52A1" w:rsidRPr="00C61B53">
        <w:t xml:space="preserve">lessor </w:t>
      </w:r>
      <w:r w:rsidR="006259D3" w:rsidRPr="00C61B53">
        <w:t>would only sell the less</w:t>
      </w:r>
      <w:r w:rsidR="00BF52A1" w:rsidRPr="00C61B53">
        <w:t>ee’s</w:t>
      </w:r>
      <w:r w:rsidR="006259D3" w:rsidRPr="00C61B53">
        <w:t xml:space="preserve"> petroleum products.</w:t>
      </w:r>
      <w:r w:rsidR="00D96040" w:rsidRPr="00C61B53">
        <w:t xml:space="preserve">  </w:t>
      </w:r>
      <w:r w:rsidR="00B62A8C" w:rsidRPr="00C61B53">
        <w:t xml:space="preserve">Citing the reasonableness standard in </w:t>
      </w:r>
      <w:r w:rsidR="00B62A8C" w:rsidRPr="00C61B53">
        <w:rPr>
          <w:i/>
        </w:rPr>
        <w:t>Grogan</w:t>
      </w:r>
      <w:r w:rsidR="00B62A8C" w:rsidRPr="00C61B53">
        <w:t xml:space="preserve">, </w:t>
      </w:r>
      <w:r w:rsidR="00D96040" w:rsidRPr="00C61B53">
        <w:t>w</w:t>
      </w:r>
      <w:r w:rsidR="006259D3" w:rsidRPr="00C61B53">
        <w:t>e concluded that the less</w:t>
      </w:r>
      <w:r w:rsidR="00BF52A1" w:rsidRPr="00C61B53">
        <w:t>ee</w:t>
      </w:r>
      <w:r w:rsidR="00965192" w:rsidRPr="00C61B53">
        <w:t xml:space="preserve"> </w:t>
      </w:r>
      <w:r w:rsidR="00CC6D1E" w:rsidRPr="00C61B53">
        <w:t>“</w:t>
      </w:r>
      <w:r w:rsidR="00965192" w:rsidRPr="00C61B53">
        <w:t xml:space="preserve">had the right to decline to sell any but its own product upon the leased property. </w:t>
      </w:r>
      <w:r w:rsidR="001A3EFE" w:rsidRPr="00C61B53">
        <w:t xml:space="preserve"> </w:t>
      </w:r>
      <w:r w:rsidR="00965192" w:rsidRPr="00C61B53">
        <w:t xml:space="preserve">We can see nothing unreasonable in requiring the </w:t>
      </w:r>
      <w:r w:rsidR="00D96040" w:rsidRPr="00C61B53">
        <w:t>[</w:t>
      </w:r>
      <w:r w:rsidR="001A3EFE" w:rsidRPr="00C61B53">
        <w:t>lessor</w:t>
      </w:r>
      <w:r w:rsidR="00D96040" w:rsidRPr="00C61B53">
        <w:t>]</w:t>
      </w:r>
      <w:r w:rsidR="00965192" w:rsidRPr="00C61B53">
        <w:t xml:space="preserve"> to do the same thing. </w:t>
      </w:r>
      <w:r w:rsidR="001A3EFE" w:rsidRPr="00C61B53">
        <w:t xml:space="preserve"> </w:t>
      </w:r>
      <w:r w:rsidR="00965192" w:rsidRPr="00C61B53">
        <w:t xml:space="preserve">The public interest is not </w:t>
      </w:r>
      <w:proofErr w:type="gramStart"/>
      <w:r w:rsidR="00965192" w:rsidRPr="00C61B53">
        <w:t>involved</w:t>
      </w:r>
      <w:proofErr w:type="gramEnd"/>
      <w:r w:rsidR="00965192" w:rsidRPr="00C61B53">
        <w:t xml:space="preserve"> and competition is not stifled. </w:t>
      </w:r>
      <w:r w:rsidR="001A3EFE" w:rsidRPr="00C61B53">
        <w:t xml:space="preserve"> </w:t>
      </w:r>
      <w:r w:rsidR="00965192" w:rsidRPr="00C61B53">
        <w:t>In no way does the agreement attempt to limit production or fix the price of the commodity involved.</w:t>
      </w:r>
      <w:r w:rsidR="00D96040" w:rsidRPr="00C61B53">
        <w:t>”  (</w:t>
      </w:r>
      <w:r w:rsidR="00D96040" w:rsidRPr="00C61B53">
        <w:rPr>
          <w:i/>
        </w:rPr>
        <w:t>Associated Oil</w:t>
      </w:r>
      <w:r w:rsidR="00D96040" w:rsidRPr="00C61B53">
        <w:t>, at p.</w:t>
      </w:r>
      <w:r w:rsidR="00761D45" w:rsidRPr="00C61B53">
        <w:t> </w:t>
      </w:r>
      <w:r w:rsidR="00D96040" w:rsidRPr="00C61B53">
        <w:t>306.)</w:t>
      </w:r>
    </w:p>
    <w:p w14:paraId="107377E3" w14:textId="6EFA80A9" w:rsidR="00FF631C" w:rsidRPr="00107F0E" w:rsidRDefault="00202459" w:rsidP="00E0796D">
      <w:pPr>
        <w:ind w:firstLine="720"/>
      </w:pPr>
      <w:r>
        <w:t>Some of our cases invalidating</w:t>
      </w:r>
      <w:r w:rsidR="00AF56B0" w:rsidRPr="00C61B53">
        <w:t xml:space="preserve"> </w:t>
      </w:r>
      <w:r w:rsidR="00E51BB4" w:rsidRPr="00C61B53">
        <w:t>contractual restraints in the business context</w:t>
      </w:r>
      <w:r w:rsidR="006B3D68" w:rsidRPr="00C61B53">
        <w:t xml:space="preserve"> </w:t>
      </w:r>
      <w:r>
        <w:t xml:space="preserve">did not </w:t>
      </w:r>
      <w:r w:rsidR="00486AD3">
        <w:t xml:space="preserve">expressly </w:t>
      </w:r>
      <w:r>
        <w:t xml:space="preserve">apply </w:t>
      </w:r>
      <w:r w:rsidR="00486AD3">
        <w:t xml:space="preserve">a reasonableness standard.  </w:t>
      </w:r>
      <w:r w:rsidR="00F903D0" w:rsidRPr="00C61B53">
        <w:t xml:space="preserve">(See </w:t>
      </w:r>
      <w:r w:rsidR="001807D9" w:rsidRPr="00C61B53">
        <w:rPr>
          <w:i/>
        </w:rPr>
        <w:t xml:space="preserve">Morey v. </w:t>
      </w:r>
      <w:proofErr w:type="spellStart"/>
      <w:r w:rsidR="001807D9" w:rsidRPr="00C61B53">
        <w:rPr>
          <w:i/>
        </w:rPr>
        <w:t>Paladini</w:t>
      </w:r>
      <w:proofErr w:type="spellEnd"/>
      <w:r w:rsidR="001807D9" w:rsidRPr="00C61B53">
        <w:t xml:space="preserve"> (1922) 187 Cal. 727</w:t>
      </w:r>
      <w:r w:rsidR="00610BEC" w:rsidRPr="00C61B53">
        <w:t xml:space="preserve"> (</w:t>
      </w:r>
      <w:r w:rsidR="00610BEC" w:rsidRPr="00C61B53">
        <w:rPr>
          <w:i/>
        </w:rPr>
        <w:t>Morey</w:t>
      </w:r>
      <w:r w:rsidR="00610BEC" w:rsidRPr="00C61B53">
        <w:t>)</w:t>
      </w:r>
      <w:r w:rsidR="001807D9" w:rsidRPr="00C61B53">
        <w:t xml:space="preserve">; </w:t>
      </w:r>
      <w:r w:rsidR="00EA4B5F" w:rsidRPr="00C61B53">
        <w:rPr>
          <w:i/>
        </w:rPr>
        <w:t xml:space="preserve">Pacific Wharf &amp; Storage Co. v. Standard Am. Dredging Co. </w:t>
      </w:r>
      <w:r w:rsidR="00EA4B5F" w:rsidRPr="00C61B53">
        <w:t>(1920) 184 Cal. 21</w:t>
      </w:r>
      <w:r w:rsidR="00610BEC" w:rsidRPr="00C61B53">
        <w:t xml:space="preserve"> (</w:t>
      </w:r>
      <w:r w:rsidR="00610BEC" w:rsidRPr="00C61B53">
        <w:rPr>
          <w:i/>
        </w:rPr>
        <w:t>Pacific Wharf</w:t>
      </w:r>
      <w:r w:rsidR="00610BEC" w:rsidRPr="00C61B53">
        <w:t>)</w:t>
      </w:r>
      <w:r w:rsidR="001807D9" w:rsidRPr="00C61B53">
        <w:t>;</w:t>
      </w:r>
      <w:r w:rsidR="00EC202E" w:rsidRPr="00C61B53">
        <w:t xml:space="preserve"> </w:t>
      </w:r>
      <w:r w:rsidR="00D25EFA" w:rsidRPr="00C61B53">
        <w:rPr>
          <w:i/>
        </w:rPr>
        <w:t>Getz Brothers</w:t>
      </w:r>
      <w:r w:rsidR="00D25EFA" w:rsidRPr="00C61B53">
        <w:t xml:space="preserve">, </w:t>
      </w:r>
      <w:r w:rsidR="00D25EFA" w:rsidRPr="00C61B53">
        <w:rPr>
          <w:i/>
        </w:rPr>
        <w:t>supra</w:t>
      </w:r>
      <w:r w:rsidR="00D25EFA" w:rsidRPr="00C61B53">
        <w:t xml:space="preserve">, </w:t>
      </w:r>
      <w:r w:rsidR="00EC202E" w:rsidRPr="00C61B53">
        <w:t>147 Cal. 115</w:t>
      </w:r>
      <w:r w:rsidR="001807D9" w:rsidRPr="00C61B53">
        <w:t xml:space="preserve">; </w:t>
      </w:r>
      <w:r w:rsidR="001807D9" w:rsidRPr="00C61B53">
        <w:rPr>
          <w:i/>
        </w:rPr>
        <w:t>Vulcan Powder</w:t>
      </w:r>
      <w:r w:rsidR="00235967" w:rsidRPr="00C61B53">
        <w:t xml:space="preserve">, </w:t>
      </w:r>
      <w:r w:rsidR="00235967" w:rsidRPr="00C61B53">
        <w:rPr>
          <w:i/>
        </w:rPr>
        <w:t>supra</w:t>
      </w:r>
      <w:r w:rsidR="00235967" w:rsidRPr="00C61B53">
        <w:t xml:space="preserve">, </w:t>
      </w:r>
      <w:r w:rsidR="001807D9" w:rsidRPr="00C61B53">
        <w:t>96 Cal. 510</w:t>
      </w:r>
      <w:r w:rsidR="00EC202E" w:rsidRPr="00C61B53">
        <w:t>.</w:t>
      </w:r>
      <w:r w:rsidR="001807D9" w:rsidRPr="00C61B53">
        <w:t>)</w:t>
      </w:r>
      <w:r w:rsidR="009A010F">
        <w:t xml:space="preserve"> </w:t>
      </w:r>
      <w:r w:rsidR="00B1049E" w:rsidRPr="00C61B53">
        <w:t xml:space="preserve"> But</w:t>
      </w:r>
      <w:r w:rsidR="001663E3" w:rsidRPr="00C61B53">
        <w:t xml:space="preserve"> </w:t>
      </w:r>
      <w:r w:rsidR="008E259C">
        <w:t xml:space="preserve">these </w:t>
      </w:r>
      <w:r>
        <w:t xml:space="preserve">decisions </w:t>
      </w:r>
      <w:r w:rsidR="00FF631C">
        <w:t>did not invalidate contractual provisions merely because they restrained trade</w:t>
      </w:r>
      <w:r w:rsidR="00724D3F">
        <w:t xml:space="preserve"> in some way</w:t>
      </w:r>
      <w:r w:rsidR="00FF631C">
        <w:t xml:space="preserve">.  Instead, </w:t>
      </w:r>
      <w:r>
        <w:t xml:space="preserve">we examined the purpose of the </w:t>
      </w:r>
      <w:r w:rsidR="0096571B" w:rsidRPr="00C61B53">
        <w:t xml:space="preserve">contracts </w:t>
      </w:r>
      <w:r>
        <w:t>at issue, much as we would do in a reasonableness inquiry, and we found</w:t>
      </w:r>
      <w:r w:rsidR="00107F0E">
        <w:t xml:space="preserve"> the</w:t>
      </w:r>
      <w:r>
        <w:t xml:space="preserve"> contracts to be </w:t>
      </w:r>
      <w:r w:rsidR="0096571B" w:rsidRPr="00C61B53">
        <w:t xml:space="preserve">invalid </w:t>
      </w:r>
      <w:r>
        <w:t xml:space="preserve">when </w:t>
      </w:r>
      <w:r w:rsidR="0096571B" w:rsidRPr="00C61B53">
        <w:t xml:space="preserve">their </w:t>
      </w:r>
      <w:r w:rsidR="001663E3" w:rsidRPr="00107F0E">
        <w:t>purpose</w:t>
      </w:r>
      <w:r w:rsidR="001663E3" w:rsidRPr="00C61B53">
        <w:t xml:space="preserve"> was to restrain trade by creating a monopoly, restricting supply, or fixing prices</w:t>
      </w:r>
      <w:r w:rsidR="00FF631C">
        <w:t>.  (</w:t>
      </w:r>
      <w:r w:rsidR="008B2D7E">
        <w:t xml:space="preserve">See </w:t>
      </w:r>
      <w:r w:rsidR="00FF631C">
        <w:rPr>
          <w:i/>
        </w:rPr>
        <w:t>Cipro</w:t>
      </w:r>
      <w:r w:rsidR="00FF631C">
        <w:t xml:space="preserve">, </w:t>
      </w:r>
      <w:r w:rsidR="00FF631C">
        <w:rPr>
          <w:i/>
        </w:rPr>
        <w:t>supra</w:t>
      </w:r>
      <w:r w:rsidR="00FF631C">
        <w:t xml:space="preserve">, 61 Cal.4th at p. 146 [recounting that the rule of reason asks </w:t>
      </w:r>
      <w:r w:rsidR="00FF631C" w:rsidRPr="00E114FA">
        <w:rPr>
          <w:szCs w:val="26"/>
        </w:rPr>
        <w:t>“</w:t>
      </w:r>
      <w:r w:rsidR="00FF631C">
        <w:rPr>
          <w:szCs w:val="26"/>
        </w:rPr>
        <w:t> </w:t>
      </w:r>
      <w:r w:rsidR="00FF631C" w:rsidRPr="00E114FA">
        <w:rPr>
          <w:szCs w:val="26"/>
        </w:rPr>
        <w:t>‘whether the challenged conduct promotes or suppresses competition’</w:t>
      </w:r>
      <w:r w:rsidR="00FF631C">
        <w:rPr>
          <w:szCs w:val="26"/>
        </w:rPr>
        <w:t> </w:t>
      </w:r>
      <w:r w:rsidR="00FF631C" w:rsidRPr="00E114FA">
        <w:rPr>
          <w:szCs w:val="26"/>
        </w:rPr>
        <w:t>”</w:t>
      </w:r>
      <w:r w:rsidR="00FF631C">
        <w:t>].)</w:t>
      </w:r>
    </w:p>
    <w:p w14:paraId="19EF7EC0" w14:textId="32772BEE" w:rsidR="00684934" w:rsidRDefault="0044294A" w:rsidP="00684934">
      <w:pPr>
        <w:ind w:firstLine="720"/>
      </w:pPr>
      <w:r>
        <w:lastRenderedPageBreak/>
        <w:t>I</w:t>
      </w:r>
      <w:r w:rsidR="0087212E" w:rsidRPr="00C61B53">
        <w:t xml:space="preserve">n </w:t>
      </w:r>
      <w:r w:rsidR="0032509D" w:rsidRPr="00C61B53">
        <w:rPr>
          <w:i/>
        </w:rPr>
        <w:t>Morey</w:t>
      </w:r>
      <w:r w:rsidR="00DC509A" w:rsidRPr="00C61B53">
        <w:t xml:space="preserve">, </w:t>
      </w:r>
      <w:r w:rsidR="00C21F42" w:rsidRPr="00C61B53">
        <w:t>for example</w:t>
      </w:r>
      <w:r w:rsidR="0032509D" w:rsidRPr="00C61B53">
        <w:t xml:space="preserve">, </w:t>
      </w:r>
      <w:r w:rsidR="0096571B" w:rsidRPr="00C61B53">
        <w:t xml:space="preserve">we </w:t>
      </w:r>
      <w:r w:rsidR="0032509D" w:rsidRPr="00C61B53">
        <w:t>invalidat</w:t>
      </w:r>
      <w:r w:rsidR="0096571B" w:rsidRPr="00C61B53">
        <w:t>ed</w:t>
      </w:r>
      <w:r w:rsidR="0032509D" w:rsidRPr="00C61B53">
        <w:t xml:space="preserve"> </w:t>
      </w:r>
      <w:r w:rsidR="0096571B" w:rsidRPr="00C61B53">
        <w:t xml:space="preserve">an agreement </w:t>
      </w:r>
      <w:r w:rsidR="00EE6603" w:rsidRPr="00C61B53">
        <w:t>r</w:t>
      </w:r>
      <w:r w:rsidR="00AB4759" w:rsidRPr="00C61B53">
        <w:t xml:space="preserve">equiring </w:t>
      </w:r>
      <w:r w:rsidR="00AB02E7" w:rsidRPr="00C61B53">
        <w:t xml:space="preserve">a </w:t>
      </w:r>
      <w:r w:rsidR="0032509D" w:rsidRPr="00C61B53">
        <w:t>vendor</w:t>
      </w:r>
      <w:r w:rsidR="00EE6603" w:rsidRPr="00C61B53">
        <w:t xml:space="preserve"> </w:t>
      </w:r>
      <w:r w:rsidR="00AB4759" w:rsidRPr="00C61B53">
        <w:t xml:space="preserve">to </w:t>
      </w:r>
      <w:r w:rsidR="0032509D" w:rsidRPr="00C61B53">
        <w:t>sell lobsters exclusively to a purchaser in a certain geographic area</w:t>
      </w:r>
      <w:r w:rsidR="00EE6603" w:rsidRPr="00C61B53">
        <w:t>.  (</w:t>
      </w:r>
      <w:r w:rsidR="00C21F42" w:rsidRPr="00C61B53">
        <w:rPr>
          <w:i/>
        </w:rPr>
        <w:t>Morey</w:t>
      </w:r>
      <w:r w:rsidR="00C21F42" w:rsidRPr="00C61B53">
        <w:t xml:space="preserve">, </w:t>
      </w:r>
      <w:r w:rsidR="00C21F42" w:rsidRPr="00C61B53">
        <w:rPr>
          <w:i/>
        </w:rPr>
        <w:t>supra</w:t>
      </w:r>
      <w:r w:rsidR="00C21F42" w:rsidRPr="00C61B53">
        <w:t xml:space="preserve">, 187 Cal. </w:t>
      </w:r>
      <w:r w:rsidR="00EE6603" w:rsidRPr="00C61B53">
        <w:t xml:space="preserve">at </w:t>
      </w:r>
      <w:r w:rsidR="00F23BF3">
        <w:t>p</w:t>
      </w:r>
      <w:r w:rsidR="00EE6603" w:rsidRPr="00C61B53">
        <w:t>p. 732</w:t>
      </w:r>
      <w:r w:rsidR="00E218C8">
        <w:t>, 736</w:t>
      </w:r>
      <w:r w:rsidR="00EE6603" w:rsidRPr="00C61B53">
        <w:t>.)</w:t>
      </w:r>
      <w:r w:rsidR="00472948" w:rsidRPr="00C61B53">
        <w:t xml:space="preserve">  </w:t>
      </w:r>
      <w:r w:rsidR="00E22DBB">
        <w:t>W</w:t>
      </w:r>
      <w:r w:rsidR="009259B4" w:rsidRPr="00C61B53">
        <w:t xml:space="preserve">e emphasized </w:t>
      </w:r>
      <w:r w:rsidR="00E22DBB">
        <w:t>that</w:t>
      </w:r>
      <w:r w:rsidR="009259B4" w:rsidRPr="00C61B53">
        <w:t xml:space="preserve"> </w:t>
      </w:r>
      <w:r w:rsidR="00E22DBB">
        <w:t>the</w:t>
      </w:r>
      <w:r w:rsidR="00E22DBB" w:rsidRPr="00C61B53">
        <w:t xml:space="preserve"> </w:t>
      </w:r>
      <w:r w:rsidR="009259B4" w:rsidRPr="00C61B53">
        <w:t xml:space="preserve">overall purpose </w:t>
      </w:r>
      <w:r w:rsidR="00E22DBB">
        <w:t xml:space="preserve">of the agreement </w:t>
      </w:r>
      <w:r w:rsidR="009259B4" w:rsidRPr="00C61B53">
        <w:t>was to “secure to [the purchaser], so far as possible, a monopoly of the lobster business</w:t>
      </w:r>
      <w:r w:rsidR="008927CD" w:rsidRPr="00C61B53">
        <w:t xml:space="preserve"> in the selected territory.”  (</w:t>
      </w:r>
      <w:r w:rsidR="008927CD" w:rsidRPr="00C61B53">
        <w:rPr>
          <w:i/>
        </w:rPr>
        <w:t>Id.</w:t>
      </w:r>
      <w:r w:rsidR="008927CD" w:rsidRPr="00C61B53">
        <w:t xml:space="preserve"> at p. 738; see </w:t>
      </w:r>
      <w:r w:rsidR="008927CD" w:rsidRPr="00C61B53">
        <w:rPr>
          <w:i/>
        </w:rPr>
        <w:t>id.</w:t>
      </w:r>
      <w:r w:rsidR="008927CD" w:rsidRPr="00C61B53">
        <w:t xml:space="preserve"> at p. 736 [contract had </w:t>
      </w:r>
      <w:r w:rsidR="00C2406F" w:rsidRPr="00C61B53">
        <w:t xml:space="preserve">“the purpose of putting </w:t>
      </w:r>
      <w:r w:rsidR="00F145F1" w:rsidRPr="00C61B53">
        <w:t>it</w:t>
      </w:r>
      <w:r w:rsidR="00C2406F" w:rsidRPr="00C61B53">
        <w:t xml:space="preserve"> into the power of the </w:t>
      </w:r>
      <w:r w:rsidR="0088071E" w:rsidRPr="00C61B53">
        <w:t>[purchaser]</w:t>
      </w:r>
      <w:r w:rsidR="00C2406F" w:rsidRPr="00C61B53">
        <w:t xml:space="preserve"> to control the lobster market”</w:t>
      </w:r>
      <w:r w:rsidR="00685336" w:rsidRPr="00C61B53">
        <w:t xml:space="preserve">]; </w:t>
      </w:r>
      <w:r w:rsidR="00677EF8" w:rsidRPr="00C61B53">
        <w:rPr>
          <w:i/>
        </w:rPr>
        <w:t>id</w:t>
      </w:r>
      <w:r w:rsidR="00677EF8" w:rsidRPr="00C61B53">
        <w:t>. at p. </w:t>
      </w:r>
      <w:r w:rsidR="00124048" w:rsidRPr="00C61B53">
        <w:t>737 [</w:t>
      </w:r>
      <w:r w:rsidR="00685336" w:rsidRPr="00C61B53">
        <w:t xml:space="preserve">contract </w:t>
      </w:r>
      <w:r w:rsidR="0032509D" w:rsidRPr="00C61B53">
        <w:t>“intended to effect a virtual monopoly of the lobster trade”]</w:t>
      </w:r>
      <w:r w:rsidR="00685336" w:rsidRPr="00C61B53">
        <w:t>.)</w:t>
      </w:r>
      <w:r w:rsidR="00610BEC" w:rsidRPr="00C61B53">
        <w:t xml:space="preserve">  </w:t>
      </w:r>
      <w:r w:rsidR="00E22DBB">
        <w:t>Our</w:t>
      </w:r>
      <w:r w:rsidR="006D44D8" w:rsidRPr="00C61B53">
        <w:t xml:space="preserve"> reasoning was</w:t>
      </w:r>
      <w:r w:rsidR="00CC6D1E" w:rsidRPr="00C61B53">
        <w:t xml:space="preserve"> </w:t>
      </w:r>
      <w:r w:rsidR="00610BEC" w:rsidRPr="00C61B53">
        <w:t xml:space="preserve">more concerned </w:t>
      </w:r>
      <w:r w:rsidR="006D44D8" w:rsidRPr="00C61B53">
        <w:t xml:space="preserve">with </w:t>
      </w:r>
      <w:r w:rsidR="00610BEC" w:rsidRPr="00C61B53">
        <w:t xml:space="preserve">the potential monopoly effect of the agreement than </w:t>
      </w:r>
      <w:r w:rsidR="006D44D8" w:rsidRPr="00C61B53">
        <w:t xml:space="preserve">with </w:t>
      </w:r>
      <w:r w:rsidR="00610BEC" w:rsidRPr="00C61B53">
        <w:t xml:space="preserve">whether its terms limited </w:t>
      </w:r>
      <w:r w:rsidR="00F64E0A" w:rsidRPr="00C61B53">
        <w:t>trade</w:t>
      </w:r>
      <w:r w:rsidR="009A010F">
        <w:t xml:space="preserve"> per se</w:t>
      </w:r>
      <w:r w:rsidR="00F64E0A" w:rsidRPr="00C61B53">
        <w:t>.</w:t>
      </w:r>
      <w:r w:rsidR="00121389">
        <w:t xml:space="preserve">  </w:t>
      </w:r>
    </w:p>
    <w:p w14:paraId="1AA19489" w14:textId="5D7FC312" w:rsidR="0044294A" w:rsidRDefault="00684934" w:rsidP="00107F0E">
      <w:pPr>
        <w:ind w:firstLine="720"/>
      </w:pPr>
      <w:r>
        <w:t xml:space="preserve">Our other decisions in the business context followed similar logic. </w:t>
      </w:r>
      <w:r w:rsidR="008515B1">
        <w:t xml:space="preserve"> </w:t>
      </w:r>
      <w:r w:rsidR="0032509D" w:rsidRPr="00C61B53">
        <w:t>(</w:t>
      </w:r>
      <w:r w:rsidR="005D249A" w:rsidRPr="00C61B53">
        <w:t>See</w:t>
      </w:r>
      <w:r w:rsidR="00FF631C">
        <w:t xml:space="preserve"> </w:t>
      </w:r>
      <w:r w:rsidR="001663E3" w:rsidRPr="00C61B53">
        <w:rPr>
          <w:i/>
        </w:rPr>
        <w:t>Endicott v. Rosenthal</w:t>
      </w:r>
      <w:r w:rsidR="001663E3" w:rsidRPr="00C61B53">
        <w:t xml:space="preserve"> (1932) 216 Cal. 721, 725</w:t>
      </w:r>
      <w:r w:rsidR="008C434A" w:rsidRPr="00C61B53">
        <w:t xml:space="preserve"> </w:t>
      </w:r>
      <w:r w:rsidR="00F64E0A" w:rsidRPr="00C61B53">
        <w:t>(</w:t>
      </w:r>
      <w:r w:rsidR="00F64E0A" w:rsidRPr="00C61B53">
        <w:rPr>
          <w:i/>
        </w:rPr>
        <w:t>Endicott</w:t>
      </w:r>
      <w:r w:rsidR="00F64E0A" w:rsidRPr="00C61B53">
        <w:t xml:space="preserve">) </w:t>
      </w:r>
      <w:r w:rsidR="005D249A" w:rsidRPr="00C61B53">
        <w:t>[</w:t>
      </w:r>
      <w:r w:rsidR="00AC5BAB" w:rsidRPr="00C61B53">
        <w:t>invalidat</w:t>
      </w:r>
      <w:r w:rsidR="00124253" w:rsidRPr="00C61B53">
        <w:t>ing</w:t>
      </w:r>
      <w:r w:rsidR="00AC5BAB" w:rsidRPr="00C61B53">
        <w:t xml:space="preserve"> </w:t>
      </w:r>
      <w:r w:rsidR="00E01A29" w:rsidRPr="00C61B53">
        <w:t>a</w:t>
      </w:r>
      <w:r w:rsidR="00C21B40" w:rsidRPr="00C61B53">
        <w:t xml:space="preserve">n agreement </w:t>
      </w:r>
      <w:r w:rsidR="00E01A29" w:rsidRPr="00C61B53">
        <w:t>between clothes dy</w:t>
      </w:r>
      <w:r w:rsidR="00C3261A" w:rsidRPr="00C61B53">
        <w:t>e</w:t>
      </w:r>
      <w:r w:rsidR="00E01A29" w:rsidRPr="00C61B53">
        <w:t>ing business</w:t>
      </w:r>
      <w:r w:rsidR="001B5309" w:rsidRPr="00C61B53">
        <w:t>es</w:t>
      </w:r>
      <w:r w:rsidR="00E01A29" w:rsidRPr="00C61B53">
        <w:t xml:space="preserve"> </w:t>
      </w:r>
      <w:r w:rsidR="00C21B40" w:rsidRPr="00C61B53">
        <w:t>to form a</w:t>
      </w:r>
      <w:r w:rsidR="00C3261A" w:rsidRPr="00C61B53">
        <w:t xml:space="preserve">n </w:t>
      </w:r>
      <w:r w:rsidR="00C21B40" w:rsidRPr="00C61B53">
        <w:t xml:space="preserve">association </w:t>
      </w:r>
      <w:r w:rsidR="00997FB7" w:rsidRPr="00C61B53">
        <w:t>that</w:t>
      </w:r>
      <w:r w:rsidR="00FD6B7F" w:rsidRPr="00C61B53">
        <w:t xml:space="preserve"> set industry-wide prices and </w:t>
      </w:r>
      <w:r w:rsidR="00997FB7" w:rsidRPr="00C61B53">
        <w:t>prevent</w:t>
      </w:r>
      <w:r w:rsidR="003A2D46" w:rsidRPr="00C61B53">
        <w:t>ed</w:t>
      </w:r>
      <w:r w:rsidR="00997FB7" w:rsidRPr="00C61B53">
        <w:t xml:space="preserve"> </w:t>
      </w:r>
      <w:r w:rsidR="003A2D46" w:rsidRPr="00C61B53">
        <w:t xml:space="preserve">its </w:t>
      </w:r>
      <w:r w:rsidR="00997FB7" w:rsidRPr="00C61B53">
        <w:t>members from soliciting each other’s customers</w:t>
      </w:r>
      <w:r w:rsidR="004730E4" w:rsidRPr="00C61B53">
        <w:t xml:space="preserve"> because </w:t>
      </w:r>
      <w:r w:rsidR="00E01A29" w:rsidRPr="00C61B53">
        <w:t>“the two main purposes for which this association was formed were to increase prices and eliminate competition</w:t>
      </w:r>
      <w:r w:rsidR="00F23BF3">
        <w:t>”</w:t>
      </w:r>
      <w:r w:rsidR="005D249A" w:rsidRPr="00C61B53">
        <w:t>]</w:t>
      </w:r>
      <w:r w:rsidR="0032509D" w:rsidRPr="00C61B53">
        <w:t xml:space="preserve">; </w:t>
      </w:r>
      <w:r w:rsidR="00BA7EE5" w:rsidRPr="00C61B53">
        <w:rPr>
          <w:i/>
        </w:rPr>
        <w:t xml:space="preserve">Getz </w:t>
      </w:r>
      <w:r w:rsidR="00D25EFA" w:rsidRPr="00C61B53">
        <w:rPr>
          <w:i/>
        </w:rPr>
        <w:t>Brothers</w:t>
      </w:r>
      <w:r w:rsidR="00BD4C6E" w:rsidRPr="00C61B53">
        <w:t xml:space="preserve">, </w:t>
      </w:r>
      <w:r w:rsidR="00BD4C6E" w:rsidRPr="00C61B53">
        <w:rPr>
          <w:i/>
        </w:rPr>
        <w:t>supra</w:t>
      </w:r>
      <w:r w:rsidR="00BD4C6E" w:rsidRPr="00C61B53">
        <w:t xml:space="preserve">, </w:t>
      </w:r>
      <w:r w:rsidR="00BA7EE5" w:rsidRPr="00C61B53">
        <w:t xml:space="preserve">147 Cal. </w:t>
      </w:r>
      <w:r w:rsidR="00BD4C6E" w:rsidRPr="00C61B53">
        <w:t>at p. </w:t>
      </w:r>
      <w:r w:rsidR="00BA7EE5" w:rsidRPr="00C61B53">
        <w:t xml:space="preserve">119 [invalidating a contract by two companies to exclusively buy and sell salt from each other and to discourage salt shipments by third parties because it had a “direct and primary purpose” to restrain trade]; </w:t>
      </w:r>
      <w:r w:rsidR="0032509D" w:rsidRPr="00C61B53">
        <w:rPr>
          <w:i/>
        </w:rPr>
        <w:t>Santa Clara Val. M. &amp; L. Co. v. Hayes</w:t>
      </w:r>
      <w:r w:rsidR="0032509D" w:rsidRPr="00C61B53">
        <w:t xml:space="preserve"> (1888) 76 Cal. 387, 392 [invalidating exclusive dealing agreement </w:t>
      </w:r>
      <w:r w:rsidR="00C539C8" w:rsidRPr="00C61B53">
        <w:t xml:space="preserve">with an </w:t>
      </w:r>
      <w:r w:rsidR="00D35E6D" w:rsidRPr="00C61B53">
        <w:t>“object and view to suppress the supply and enhance the price of lumber in four counties of the state”</w:t>
      </w:r>
      <w:r w:rsidR="00B45D74" w:rsidRPr="00C61B53">
        <w:t>]</w:t>
      </w:r>
      <w:r w:rsidR="00121389">
        <w:t xml:space="preserve">; </w:t>
      </w:r>
      <w:r w:rsidR="009A010F">
        <w:t xml:space="preserve">but see </w:t>
      </w:r>
      <w:r w:rsidR="009A010F" w:rsidRPr="00C61B53">
        <w:rPr>
          <w:i/>
        </w:rPr>
        <w:t>Pacific Wharf</w:t>
      </w:r>
      <w:r w:rsidR="009A010F" w:rsidRPr="00C61B53">
        <w:t xml:space="preserve">, </w:t>
      </w:r>
      <w:r w:rsidR="009A010F" w:rsidRPr="00C61B53">
        <w:rPr>
          <w:i/>
        </w:rPr>
        <w:t>supra</w:t>
      </w:r>
      <w:r w:rsidR="009A010F" w:rsidRPr="00C61B53">
        <w:t xml:space="preserve">, 184 Cal. </w:t>
      </w:r>
      <w:r w:rsidR="00E22DBB">
        <w:t>at p. </w:t>
      </w:r>
      <w:r w:rsidR="009A010F">
        <w:t xml:space="preserve">23 [invalidating agreement forbidding seller of harbor dredge to </w:t>
      </w:r>
      <w:r w:rsidR="00121389">
        <w:t>compete</w:t>
      </w:r>
      <w:r w:rsidR="009A010F">
        <w:t xml:space="preserve"> in the dredging business </w:t>
      </w:r>
      <w:r w:rsidR="001A0F8C">
        <w:t>because</w:t>
      </w:r>
      <w:r w:rsidR="00DA24AE" w:rsidRPr="00C61B53">
        <w:t xml:space="preserve"> “[t]he language of [</w:t>
      </w:r>
      <w:r w:rsidR="001375D2">
        <w:t xml:space="preserve">Civil Code former </w:t>
      </w:r>
      <w:r w:rsidR="00E22DBB">
        <w:t xml:space="preserve">section </w:t>
      </w:r>
      <w:r w:rsidR="00435085" w:rsidRPr="00C61B53">
        <w:t>1673]</w:t>
      </w:r>
      <w:r w:rsidR="00DA24AE" w:rsidRPr="00C61B53">
        <w:t xml:space="preserve"> is clear and unambiguous”</w:t>
      </w:r>
      <w:r w:rsidR="009A010F">
        <w:t>]</w:t>
      </w:r>
      <w:r w:rsidR="00121389">
        <w:t>.)</w:t>
      </w:r>
    </w:p>
    <w:p w14:paraId="7873D3CB" w14:textId="79CA3B25" w:rsidR="009428FB" w:rsidRDefault="00E22DBB">
      <w:pPr>
        <w:ind w:firstLine="720"/>
      </w:pPr>
      <w:r>
        <w:lastRenderedPageBreak/>
        <w:t>O</w:t>
      </w:r>
      <w:r w:rsidR="00C32CCD" w:rsidRPr="00C61B53">
        <w:t xml:space="preserve">ur </w:t>
      </w:r>
      <w:r w:rsidR="002E3DC3" w:rsidRPr="00C61B53">
        <w:t>last</w:t>
      </w:r>
      <w:r w:rsidR="00C32CCD" w:rsidRPr="00C61B53">
        <w:t xml:space="preserve"> decision </w:t>
      </w:r>
      <w:r w:rsidR="001A76A6" w:rsidRPr="00C61B53">
        <w:t>to interpret</w:t>
      </w:r>
      <w:r w:rsidR="00C32CCD" w:rsidRPr="00C61B53">
        <w:t xml:space="preserve"> </w:t>
      </w:r>
      <w:r w:rsidR="00EE6600" w:rsidRPr="00C61B53">
        <w:t xml:space="preserve">Civil Code </w:t>
      </w:r>
      <w:r w:rsidR="001375D2">
        <w:t xml:space="preserve">former </w:t>
      </w:r>
      <w:r w:rsidR="00C32CCD" w:rsidRPr="00C61B53">
        <w:t xml:space="preserve">section 1673 in the context of </w:t>
      </w:r>
      <w:r w:rsidR="00F64E0A" w:rsidRPr="00C61B53">
        <w:t>business dealings</w:t>
      </w:r>
      <w:r w:rsidR="00C32CCD" w:rsidRPr="00C61B53">
        <w:t xml:space="preserve"> </w:t>
      </w:r>
      <w:r>
        <w:t>made clear that</w:t>
      </w:r>
      <w:r w:rsidR="00F51B5E" w:rsidRPr="00C61B53">
        <w:t xml:space="preserve"> a rule of </w:t>
      </w:r>
      <w:r w:rsidR="00E52693">
        <w:t>reason</w:t>
      </w:r>
      <w:r>
        <w:t xml:space="preserve"> applies in this context</w:t>
      </w:r>
      <w:r w:rsidR="00407B9C" w:rsidRPr="00C61B53">
        <w:t xml:space="preserve">.  </w:t>
      </w:r>
      <w:r w:rsidR="002E3DC3" w:rsidRPr="00C61B53">
        <w:t>I</w:t>
      </w:r>
      <w:r w:rsidR="00C32CCD" w:rsidRPr="00C61B53">
        <w:t xml:space="preserve">n </w:t>
      </w:r>
      <w:r w:rsidR="00C32CCD" w:rsidRPr="00C61B53">
        <w:rPr>
          <w:i/>
        </w:rPr>
        <w:t>Great Western Distillery</w:t>
      </w:r>
      <w:r w:rsidR="00DD6273" w:rsidRPr="00C61B53">
        <w:t xml:space="preserve">, </w:t>
      </w:r>
      <w:r w:rsidR="00DD6273" w:rsidRPr="00C61B53">
        <w:rPr>
          <w:i/>
        </w:rPr>
        <w:t>supra</w:t>
      </w:r>
      <w:r w:rsidR="00DD6273" w:rsidRPr="00C61B53">
        <w:t>,</w:t>
      </w:r>
      <w:r w:rsidR="0003064E" w:rsidRPr="00C61B53">
        <w:t xml:space="preserve"> 10 Cal.2d 442</w:t>
      </w:r>
      <w:r w:rsidR="002E3DC3" w:rsidRPr="00C61B53">
        <w:t xml:space="preserve">, </w:t>
      </w:r>
      <w:r w:rsidR="0003064E" w:rsidRPr="00C61B53">
        <w:t xml:space="preserve">we upheld a contract </w:t>
      </w:r>
      <w:r w:rsidR="00AF1782" w:rsidRPr="00C61B53">
        <w:t xml:space="preserve">in which a buyer agreed to purchase whiskey exclusively from a distillery in exchange for </w:t>
      </w:r>
      <w:r w:rsidR="008B04CF" w:rsidRPr="00C61B53">
        <w:t xml:space="preserve">being the sole </w:t>
      </w:r>
      <w:r w:rsidR="002B6114" w:rsidRPr="00C61B53">
        <w:t>merchant</w:t>
      </w:r>
      <w:r w:rsidR="008B04CF" w:rsidRPr="00C61B53">
        <w:t xml:space="preserve"> of that whiskey in California</w:t>
      </w:r>
      <w:r w:rsidR="002B6114" w:rsidRPr="00C61B53">
        <w:t>.</w:t>
      </w:r>
      <w:r w:rsidR="00BE04F6" w:rsidRPr="00C61B53">
        <w:t xml:space="preserve">  </w:t>
      </w:r>
      <w:r w:rsidR="003E7B87" w:rsidRPr="00C61B53">
        <w:t xml:space="preserve">We </w:t>
      </w:r>
      <w:r w:rsidR="00A2280A" w:rsidRPr="00C61B53">
        <w:t>summarized the law as follows</w:t>
      </w:r>
      <w:r w:rsidR="00C452A6" w:rsidRPr="00C61B53">
        <w:t xml:space="preserve">: </w:t>
      </w:r>
      <w:r w:rsidR="003E7B87" w:rsidRPr="00C61B53">
        <w:t xml:space="preserve"> </w:t>
      </w:r>
      <w:r w:rsidR="00CB77C2" w:rsidRPr="00C61B53">
        <w:t>“</w:t>
      </w:r>
      <w:r w:rsidR="003243FE" w:rsidRPr="00C61B53">
        <w:t> </w:t>
      </w:r>
      <w:r w:rsidR="00CB77C2" w:rsidRPr="00C61B53">
        <w:t>‘Statutes are interpreted in the light of reason and common sense, and it may be stated as a general rule that courts will not hold to be in restraint of trade a contract between individuals, the main purpose and effect of which are to promote and increase business in the line affected, merely because its operations might possibly in some theoretical way incidentally and indirectly restrict trade in such line.’</w:t>
      </w:r>
      <w:r w:rsidR="003243FE" w:rsidRPr="00C61B53">
        <w:t> </w:t>
      </w:r>
      <w:r w:rsidR="00CB77C2" w:rsidRPr="00C61B53">
        <w:t>”  (</w:t>
      </w:r>
      <w:r w:rsidR="00CB77C2" w:rsidRPr="00C61B53">
        <w:rPr>
          <w:i/>
        </w:rPr>
        <w:t xml:space="preserve">Id. </w:t>
      </w:r>
      <w:r w:rsidR="00CB77C2" w:rsidRPr="00C61B53">
        <w:t>at p.</w:t>
      </w:r>
      <w:r w:rsidR="00EA073A" w:rsidRPr="00C61B53">
        <w:t> </w:t>
      </w:r>
      <w:r w:rsidR="00CB77C2" w:rsidRPr="00C61B53">
        <w:t>446.)</w:t>
      </w:r>
      <w:r w:rsidR="002214C7" w:rsidRPr="00C61B53">
        <w:t xml:space="preserve">  </w:t>
      </w:r>
      <w:r w:rsidR="00D64800" w:rsidRPr="00C61B53">
        <w:t>R</w:t>
      </w:r>
      <w:r w:rsidR="006F1EEC" w:rsidRPr="00C61B53">
        <w:t>eview</w:t>
      </w:r>
      <w:r w:rsidR="00A2280A" w:rsidRPr="00C61B53">
        <w:t>ing</w:t>
      </w:r>
      <w:r w:rsidR="006F1EEC" w:rsidRPr="00C61B53">
        <w:t xml:space="preserve"> </w:t>
      </w:r>
      <w:r w:rsidR="00C452A6" w:rsidRPr="00C61B53">
        <w:t>the case</w:t>
      </w:r>
      <w:r w:rsidR="009F2FA5">
        <w:t>s</w:t>
      </w:r>
      <w:r w:rsidR="00C452A6" w:rsidRPr="00C61B53">
        <w:t xml:space="preserve"> </w:t>
      </w:r>
      <w:r w:rsidR="006F1EEC" w:rsidRPr="00C61B53">
        <w:t xml:space="preserve">upholding and invalidating </w:t>
      </w:r>
      <w:r w:rsidR="00D64800" w:rsidRPr="00C61B53">
        <w:t xml:space="preserve">contractual agreements, we explained that this general rule was consistent with </w:t>
      </w:r>
      <w:r w:rsidR="00654F90" w:rsidRPr="00C61B53">
        <w:t xml:space="preserve">each of </w:t>
      </w:r>
      <w:r w:rsidR="00D64800" w:rsidRPr="00C61B53">
        <w:t xml:space="preserve">them.  </w:t>
      </w:r>
      <w:r w:rsidR="001B278D" w:rsidRPr="00C61B53">
        <w:t>(</w:t>
      </w:r>
      <w:r w:rsidR="006F1EEC" w:rsidRPr="00C61B53">
        <w:rPr>
          <w:i/>
        </w:rPr>
        <w:t>I</w:t>
      </w:r>
      <w:r w:rsidR="001B278D" w:rsidRPr="00C61B53">
        <w:rPr>
          <w:i/>
        </w:rPr>
        <w:t xml:space="preserve">d. </w:t>
      </w:r>
      <w:r w:rsidR="001B278D" w:rsidRPr="00C61B53">
        <w:t>at pp. 44</w:t>
      </w:r>
      <w:r w:rsidR="006F1EEC" w:rsidRPr="00C61B53">
        <w:t>7</w:t>
      </w:r>
      <w:r w:rsidR="001B278D" w:rsidRPr="00C61B53">
        <w:t xml:space="preserve">–449, citing </w:t>
      </w:r>
      <w:r w:rsidR="001B278D" w:rsidRPr="00C61B53">
        <w:rPr>
          <w:i/>
        </w:rPr>
        <w:t>Associated Oil</w:t>
      </w:r>
      <w:r w:rsidR="001B278D" w:rsidRPr="00C61B53">
        <w:t xml:space="preserve">, </w:t>
      </w:r>
      <w:r w:rsidR="001B278D" w:rsidRPr="00C61B53">
        <w:rPr>
          <w:i/>
        </w:rPr>
        <w:t>supra</w:t>
      </w:r>
      <w:r w:rsidR="001B278D" w:rsidRPr="00C61B53">
        <w:t xml:space="preserve">, </w:t>
      </w:r>
      <w:r w:rsidR="00EC01C1" w:rsidRPr="00C61B53">
        <w:t xml:space="preserve">217 Cal. </w:t>
      </w:r>
      <w:r w:rsidR="007638AC" w:rsidRPr="00C61B53">
        <w:t>at p. </w:t>
      </w:r>
      <w:r w:rsidR="00A1756A" w:rsidRPr="00C61B53">
        <w:t>304</w:t>
      </w:r>
      <w:r w:rsidR="00EC01C1" w:rsidRPr="00C61B53">
        <w:t xml:space="preserve">, </w:t>
      </w:r>
      <w:r w:rsidR="00EC01C1" w:rsidRPr="00C61B53">
        <w:rPr>
          <w:i/>
        </w:rPr>
        <w:t>Grogan</w:t>
      </w:r>
      <w:r w:rsidR="00EC01C1" w:rsidRPr="00C61B53">
        <w:t xml:space="preserve">, </w:t>
      </w:r>
      <w:r w:rsidR="00EC01C1" w:rsidRPr="00C61B53">
        <w:rPr>
          <w:i/>
        </w:rPr>
        <w:t>supra</w:t>
      </w:r>
      <w:r w:rsidR="00EC01C1" w:rsidRPr="00C61B53">
        <w:t xml:space="preserve">, 156 Cal. </w:t>
      </w:r>
      <w:r w:rsidR="00A1756A" w:rsidRPr="00C61B53">
        <w:t>at p. </w:t>
      </w:r>
      <w:r w:rsidR="007638AC" w:rsidRPr="00C61B53">
        <w:t>615</w:t>
      </w:r>
      <w:r w:rsidR="006F1EEC" w:rsidRPr="00C61B53">
        <w:t>,</w:t>
      </w:r>
      <w:r w:rsidR="00D308EF" w:rsidRPr="00C61B53">
        <w:t xml:space="preserve"> </w:t>
      </w:r>
      <w:r w:rsidR="00D308EF" w:rsidRPr="00C61B53">
        <w:rPr>
          <w:i/>
        </w:rPr>
        <w:t>Morey</w:t>
      </w:r>
      <w:r w:rsidR="00D308EF" w:rsidRPr="00C61B53">
        <w:t xml:space="preserve">, </w:t>
      </w:r>
      <w:r w:rsidR="00D308EF" w:rsidRPr="00C61B53">
        <w:rPr>
          <w:i/>
        </w:rPr>
        <w:t>supra</w:t>
      </w:r>
      <w:r w:rsidR="00D308EF" w:rsidRPr="00C61B53">
        <w:t>, 187 Cal. 727</w:t>
      </w:r>
      <w:r w:rsidR="00153624" w:rsidRPr="00C61B53">
        <w:t xml:space="preserve">, </w:t>
      </w:r>
      <w:r w:rsidR="00F107E9" w:rsidRPr="00C61B53">
        <w:rPr>
          <w:i/>
        </w:rPr>
        <w:t>Endicott</w:t>
      </w:r>
      <w:r w:rsidR="00F107E9" w:rsidRPr="00C61B53">
        <w:t xml:space="preserve">, </w:t>
      </w:r>
      <w:r w:rsidR="00F107E9" w:rsidRPr="00C61B53">
        <w:rPr>
          <w:i/>
        </w:rPr>
        <w:t>supra</w:t>
      </w:r>
      <w:r w:rsidR="00F107E9" w:rsidRPr="00C61B53">
        <w:t>, 216 Cal. 721</w:t>
      </w:r>
      <w:r w:rsidR="006F1EEC" w:rsidRPr="00C61B53">
        <w:t>.</w:t>
      </w:r>
      <w:r w:rsidR="00F107E9" w:rsidRPr="00C61B53">
        <w:t>)</w:t>
      </w:r>
      <w:r w:rsidR="00BE04F6" w:rsidRPr="00C61B53">
        <w:t xml:space="preserve">  </w:t>
      </w:r>
      <w:r w:rsidR="00FA2158">
        <w:t xml:space="preserve">Applying this rule </w:t>
      </w:r>
      <w:r w:rsidR="009F2FA5">
        <w:t xml:space="preserve">to </w:t>
      </w:r>
      <w:r w:rsidR="0002218F" w:rsidRPr="00C61B53">
        <w:t>the agreement at issue</w:t>
      </w:r>
      <w:r w:rsidR="009F2FA5">
        <w:t>,</w:t>
      </w:r>
      <w:r w:rsidR="00E94B91" w:rsidRPr="00C61B53">
        <w:t xml:space="preserve"> </w:t>
      </w:r>
      <w:r w:rsidR="009428FB">
        <w:t>we</w:t>
      </w:r>
      <w:r w:rsidR="00B65681">
        <w:t xml:space="preserve"> </w:t>
      </w:r>
      <w:r w:rsidR="00E14E82">
        <w:t xml:space="preserve">upheld the agreement because it </w:t>
      </w:r>
      <w:r w:rsidR="00CF1A25" w:rsidRPr="00C61B53">
        <w:t>“disclose</w:t>
      </w:r>
      <w:r w:rsidR="00460BEE" w:rsidRPr="00C61B53">
        <w:t>[d]</w:t>
      </w:r>
      <w:r w:rsidR="00CF1A25" w:rsidRPr="00C61B53">
        <w:t xml:space="preserve"> merely an intent to provide for the promotion of the business of the defendant” and </w:t>
      </w:r>
      <w:r w:rsidR="00B65681">
        <w:t>had the</w:t>
      </w:r>
      <w:r w:rsidR="00CF1A25" w:rsidRPr="00C61B53">
        <w:t xml:space="preserve"> effect </w:t>
      </w:r>
      <w:r w:rsidR="00B65681">
        <w:t xml:space="preserve">of </w:t>
      </w:r>
      <w:r w:rsidR="00460BEE" w:rsidRPr="00C61B53">
        <w:t>“develop</w:t>
      </w:r>
      <w:r w:rsidR="00B65681">
        <w:t>[</w:t>
      </w:r>
      <w:proofErr w:type="spellStart"/>
      <w:r w:rsidR="00B65681">
        <w:t>ing</w:t>
      </w:r>
      <w:proofErr w:type="spellEnd"/>
      <w:r w:rsidR="00B65681">
        <w:t>]</w:t>
      </w:r>
      <w:r w:rsidR="00460BEE" w:rsidRPr="00C61B53">
        <w:t xml:space="preserve"> a market for the sale of the commodity within the limited territory</w:t>
      </w:r>
      <w:r w:rsidR="0002218F" w:rsidRPr="00C61B53">
        <w:t>.</w:t>
      </w:r>
      <w:r w:rsidR="00E14E82">
        <w:t>”</w:t>
      </w:r>
      <w:r w:rsidR="0002218F" w:rsidRPr="00C61B53">
        <w:t xml:space="preserve"> </w:t>
      </w:r>
      <w:r w:rsidR="00460BEE" w:rsidRPr="00C61B53">
        <w:t xml:space="preserve"> (</w:t>
      </w:r>
      <w:r w:rsidR="005746E5" w:rsidRPr="00C61B53">
        <w:rPr>
          <w:i/>
        </w:rPr>
        <w:t>Great Western Distillery</w:t>
      </w:r>
      <w:r w:rsidR="005746E5" w:rsidRPr="00C61B53">
        <w:t>,</w:t>
      </w:r>
      <w:r w:rsidR="00460BEE" w:rsidRPr="00C61B53">
        <w:t xml:space="preserve"> at pp. 449, 450</w:t>
      </w:r>
      <w:r w:rsidR="0002218F" w:rsidRPr="00C61B53">
        <w:t>.)</w:t>
      </w:r>
    </w:p>
    <w:p w14:paraId="5DF6D853" w14:textId="24541842" w:rsidR="00235008" w:rsidRPr="00C61B53" w:rsidRDefault="00E94B91" w:rsidP="00107F0E">
      <w:pPr>
        <w:ind w:firstLine="720"/>
      </w:pPr>
      <w:r w:rsidRPr="00C61B53">
        <w:t>Thus, l</w:t>
      </w:r>
      <w:r w:rsidR="00EE5BBE" w:rsidRPr="00C61B53">
        <w:t xml:space="preserve">ike </w:t>
      </w:r>
      <w:r w:rsidR="00460BEE" w:rsidRPr="00C61B53">
        <w:t>previous</w:t>
      </w:r>
      <w:r w:rsidR="00EE5BBE" w:rsidRPr="00C61B53">
        <w:t xml:space="preserve"> </w:t>
      </w:r>
      <w:r w:rsidR="00FF6E78" w:rsidRPr="00C61B53">
        <w:t>decisions</w:t>
      </w:r>
      <w:r w:rsidR="00EE5BBE" w:rsidRPr="00C61B53">
        <w:t xml:space="preserve"> </w:t>
      </w:r>
      <w:r w:rsidR="0058469D" w:rsidRPr="00C61B53">
        <w:t>evaluating business contracts</w:t>
      </w:r>
      <w:r w:rsidR="00EE5BBE" w:rsidRPr="00C61B53">
        <w:t xml:space="preserve">, </w:t>
      </w:r>
      <w:r w:rsidR="009428FB">
        <w:rPr>
          <w:i/>
        </w:rPr>
        <w:t>Great Western Distillery</w:t>
      </w:r>
      <w:r w:rsidR="009428FB" w:rsidRPr="00C61B53">
        <w:t xml:space="preserve"> </w:t>
      </w:r>
      <w:r w:rsidR="003E7B87" w:rsidRPr="00C61B53">
        <w:t xml:space="preserve">rejected a literal reading of </w:t>
      </w:r>
      <w:r w:rsidR="00BB6810" w:rsidRPr="00C61B53">
        <w:t xml:space="preserve">Civil Code </w:t>
      </w:r>
      <w:r w:rsidR="00BB6DC9">
        <w:t xml:space="preserve">former </w:t>
      </w:r>
      <w:r w:rsidR="003E7B87" w:rsidRPr="00C61B53">
        <w:t>section 1673</w:t>
      </w:r>
      <w:r w:rsidR="002A3803" w:rsidRPr="00C61B53">
        <w:t xml:space="preserve"> in favor of a </w:t>
      </w:r>
      <w:r w:rsidR="003B52CC" w:rsidRPr="00C61B53">
        <w:t>rule o</w:t>
      </w:r>
      <w:r w:rsidR="002C219B" w:rsidRPr="00C61B53">
        <w:t>f</w:t>
      </w:r>
      <w:r w:rsidR="003B52CC" w:rsidRPr="00C61B53">
        <w:t xml:space="preserve"> reasonableness</w:t>
      </w:r>
      <w:r w:rsidR="002C219B" w:rsidRPr="00C61B53">
        <w:t>:</w:t>
      </w:r>
      <w:r w:rsidR="0058469D" w:rsidRPr="00C61B53">
        <w:t xml:space="preserve">  </w:t>
      </w:r>
      <w:r w:rsidR="00C452A6" w:rsidRPr="00C61B53">
        <w:t>C</w:t>
      </w:r>
      <w:r w:rsidR="00EE5BBE" w:rsidRPr="00C61B53">
        <w:t xml:space="preserve">ontracts with the purpose </w:t>
      </w:r>
      <w:r w:rsidR="00CD6C64" w:rsidRPr="00C61B53">
        <w:t xml:space="preserve">and effect </w:t>
      </w:r>
      <w:r w:rsidR="00EE5BBE" w:rsidRPr="00C61B53">
        <w:t xml:space="preserve">of promoting trade and competition </w:t>
      </w:r>
      <w:r w:rsidR="00832602" w:rsidRPr="00C61B53">
        <w:t xml:space="preserve">are </w:t>
      </w:r>
      <w:r w:rsidR="00EE5BBE" w:rsidRPr="00C61B53">
        <w:t>valid even if the</w:t>
      </w:r>
      <w:r w:rsidR="00223DEE" w:rsidRPr="00C61B53">
        <w:t>ir terms</w:t>
      </w:r>
      <w:r w:rsidR="00EE5BBE" w:rsidRPr="00C61B53">
        <w:t xml:space="preserve"> incidentally restrain commercial freedom in some way.</w:t>
      </w:r>
      <w:r w:rsidR="00CB73D1" w:rsidRPr="00C61B53">
        <w:t xml:space="preserve">  </w:t>
      </w:r>
      <w:r w:rsidR="00235008" w:rsidRPr="00C61B53">
        <w:t xml:space="preserve">After </w:t>
      </w:r>
      <w:r w:rsidR="00235008" w:rsidRPr="00C61B53">
        <w:rPr>
          <w:i/>
        </w:rPr>
        <w:t>Great Western</w:t>
      </w:r>
      <w:r w:rsidR="00C452A6" w:rsidRPr="00C61B53">
        <w:rPr>
          <w:i/>
        </w:rPr>
        <w:t xml:space="preserve"> Distillery</w:t>
      </w:r>
      <w:r w:rsidR="00235008" w:rsidRPr="00C61B53">
        <w:t xml:space="preserve">, the “trend of authorities [was] to </w:t>
      </w:r>
      <w:r w:rsidR="00235008" w:rsidRPr="00C61B53">
        <w:lastRenderedPageBreak/>
        <w:t xml:space="preserve">construe such statutes as </w:t>
      </w:r>
      <w:r w:rsidR="001375D2">
        <w:t xml:space="preserve">[former] </w:t>
      </w:r>
      <w:r w:rsidR="00235008" w:rsidRPr="00C61B53">
        <w:t xml:space="preserve">section 1673 of the Civil Code, and contracts between individuals intended to promote rather than to restrict a particular business, </w:t>
      </w:r>
      <w:r w:rsidR="00FE5336" w:rsidRPr="00C61B53">
        <w:t>‘</w:t>
      </w:r>
      <w:r w:rsidR="00C452A6" w:rsidRPr="00C61B53">
        <w:t>[</w:t>
      </w:r>
      <w:proofErr w:type="spellStart"/>
      <w:r w:rsidR="00C452A6" w:rsidRPr="00C61B53">
        <w:t>i</w:t>
      </w:r>
      <w:proofErr w:type="spellEnd"/>
      <w:r w:rsidR="00C452A6" w:rsidRPr="00C61B53">
        <w:t>]</w:t>
      </w:r>
      <w:r w:rsidR="00235008" w:rsidRPr="00C61B53">
        <w:t>n the light of reason and common sense</w:t>
      </w:r>
      <w:r w:rsidR="00FE5336" w:rsidRPr="00C61B53">
        <w:t>’</w:t>
      </w:r>
      <w:r w:rsidR="00235008" w:rsidRPr="00C61B53">
        <w:t xml:space="preserve"> so as to uphold reasonable limited restrictions.</w:t>
      </w:r>
      <w:r w:rsidR="00FE5336" w:rsidRPr="00C61B53">
        <w:t>”</w:t>
      </w:r>
      <w:r w:rsidR="00CB73D1" w:rsidRPr="00C61B53">
        <w:t xml:space="preserve">  (</w:t>
      </w:r>
      <w:r w:rsidR="00235008" w:rsidRPr="00C61B53">
        <w:rPr>
          <w:i/>
        </w:rPr>
        <w:t>Keating v. Preston</w:t>
      </w:r>
      <w:r w:rsidR="00235008" w:rsidRPr="00C61B53">
        <w:t xml:space="preserve"> (1940) 42 Cal.App.2d 110, 123</w:t>
      </w:r>
      <w:r w:rsidR="00FE5336" w:rsidRPr="00C61B53">
        <w:t xml:space="preserve">, quoting </w:t>
      </w:r>
      <w:r w:rsidR="00FE5336" w:rsidRPr="00C61B53">
        <w:rPr>
          <w:i/>
        </w:rPr>
        <w:t>Great Western</w:t>
      </w:r>
      <w:r w:rsidR="00C452A6" w:rsidRPr="00C61B53">
        <w:rPr>
          <w:i/>
        </w:rPr>
        <w:t xml:space="preserve"> Distillery</w:t>
      </w:r>
      <w:r w:rsidR="00FE5336" w:rsidRPr="00C61B53">
        <w:t>,</w:t>
      </w:r>
      <w:r w:rsidR="009428FB">
        <w:t xml:space="preserve"> </w:t>
      </w:r>
      <w:r w:rsidR="009428FB">
        <w:rPr>
          <w:i/>
        </w:rPr>
        <w:t>supra</w:t>
      </w:r>
      <w:r w:rsidR="009428FB">
        <w:t>, 10 Cal.2d</w:t>
      </w:r>
      <w:r w:rsidR="00FE5336" w:rsidRPr="00C61B53">
        <w:t xml:space="preserve"> at p. </w:t>
      </w:r>
      <w:r w:rsidR="00CB73D1" w:rsidRPr="00C61B53">
        <w:t>446.)</w:t>
      </w:r>
    </w:p>
    <w:p w14:paraId="2D262722" w14:textId="1E51FD33" w:rsidR="00BE04F6" w:rsidRPr="00C61B53" w:rsidRDefault="001918B3" w:rsidP="00107F0E">
      <w:pPr>
        <w:ind w:firstLine="720"/>
      </w:pPr>
      <w:r w:rsidRPr="00C61B53">
        <w:t xml:space="preserve">To summarize, </w:t>
      </w:r>
      <w:r w:rsidR="00E94B91" w:rsidRPr="00C61B53">
        <w:t xml:space="preserve">our </w:t>
      </w:r>
      <w:r w:rsidR="00FF6E78" w:rsidRPr="00C61B53">
        <w:t xml:space="preserve">decisions </w:t>
      </w:r>
      <w:r w:rsidR="00E94B91" w:rsidRPr="00C61B53">
        <w:t xml:space="preserve">interpreting Civil Code </w:t>
      </w:r>
      <w:r w:rsidR="00BB6DC9">
        <w:t xml:space="preserve">former </w:t>
      </w:r>
      <w:r w:rsidR="00E94B91" w:rsidRPr="00C61B53">
        <w:t>section 1673</w:t>
      </w:r>
      <w:r w:rsidR="00C452A6" w:rsidRPr="00C61B53">
        <w:t>,</w:t>
      </w:r>
      <w:r w:rsidR="0002218F" w:rsidRPr="00C61B53">
        <w:t xml:space="preserve"> </w:t>
      </w:r>
      <w:r w:rsidR="00E94B91" w:rsidRPr="00C61B53">
        <w:t xml:space="preserve">the predecessor to </w:t>
      </w:r>
      <w:r w:rsidR="001375D2">
        <w:t xml:space="preserve">Business and Professions Code </w:t>
      </w:r>
      <w:r w:rsidR="00E94B91" w:rsidRPr="00C61B53">
        <w:t>section 16600</w:t>
      </w:r>
      <w:r w:rsidR="00C452A6" w:rsidRPr="00C61B53">
        <w:t>,</w:t>
      </w:r>
      <w:r w:rsidR="0002218F" w:rsidRPr="00C61B53">
        <w:t xml:space="preserve"> </w:t>
      </w:r>
      <w:r w:rsidR="00124507">
        <w:t xml:space="preserve">gradually </w:t>
      </w:r>
      <w:r w:rsidR="002C51A0">
        <w:t xml:space="preserve">evolved to </w:t>
      </w:r>
      <w:r w:rsidR="005621C0" w:rsidRPr="00C61B53">
        <w:t xml:space="preserve">evaluate </w:t>
      </w:r>
      <w:r w:rsidR="00AA18C5" w:rsidRPr="00C61B53">
        <w:t>contractual restraints on business operations</w:t>
      </w:r>
      <w:r w:rsidR="00164777" w:rsidRPr="00C61B53">
        <w:t xml:space="preserve"> </w:t>
      </w:r>
      <w:r w:rsidR="00F64E0A" w:rsidRPr="00C61B53">
        <w:t>and commercial dealings</w:t>
      </w:r>
      <w:r w:rsidR="00BD7964" w:rsidRPr="00C61B53">
        <w:t xml:space="preserve"> </w:t>
      </w:r>
      <w:r w:rsidR="005621C0" w:rsidRPr="00C61B53">
        <w:t>based on a reasonableness standard</w:t>
      </w:r>
      <w:r w:rsidR="00BD7964" w:rsidRPr="00C61B53">
        <w:t>.</w:t>
      </w:r>
      <w:r w:rsidR="003A7603" w:rsidRPr="00C61B53">
        <w:t xml:space="preserve">  </w:t>
      </w:r>
      <w:r w:rsidR="001A67DE" w:rsidRPr="00C61B53">
        <w:t xml:space="preserve">In this respect, Civil Code </w:t>
      </w:r>
      <w:r w:rsidR="001375D2">
        <w:t xml:space="preserve">former </w:t>
      </w:r>
      <w:r w:rsidR="001A67DE" w:rsidRPr="00C61B53">
        <w:t xml:space="preserve">section 1673 did not depart from the common law </w:t>
      </w:r>
      <w:r w:rsidR="00E563F2" w:rsidRPr="00C61B53">
        <w:t xml:space="preserve">rule.  </w:t>
      </w:r>
      <w:r w:rsidR="00DA2BC2" w:rsidRPr="00C61B53">
        <w:t xml:space="preserve">(See </w:t>
      </w:r>
      <w:r w:rsidR="00E05BA6" w:rsidRPr="00C61B53">
        <w:rPr>
          <w:i/>
        </w:rPr>
        <w:t>Centeno</w:t>
      </w:r>
      <w:r w:rsidR="00DD6273" w:rsidRPr="00C61B53">
        <w:t xml:space="preserve">, </w:t>
      </w:r>
      <w:r w:rsidR="00DD6273" w:rsidRPr="00C61B53">
        <w:rPr>
          <w:i/>
        </w:rPr>
        <w:t>supra</w:t>
      </w:r>
      <w:r w:rsidR="00DD6273" w:rsidRPr="00C61B53">
        <w:t>, 107 Cal.App.3d at p. </w:t>
      </w:r>
      <w:r w:rsidR="00E05BA6" w:rsidRPr="00C61B53">
        <w:t>68 [</w:t>
      </w:r>
      <w:r w:rsidR="00FE4D84" w:rsidRPr="00C61B53">
        <w:t>o</w:t>
      </w:r>
      <w:r w:rsidR="00E05BA6" w:rsidRPr="00C61B53">
        <w:t xml:space="preserve">bserving in a </w:t>
      </w:r>
      <w:r w:rsidR="00DA2BC2" w:rsidRPr="00C61B53">
        <w:t xml:space="preserve">case </w:t>
      </w:r>
      <w:r w:rsidR="00FE4D84" w:rsidRPr="00C61B53">
        <w:t xml:space="preserve">involving an exclusive medical services contract </w:t>
      </w:r>
      <w:r w:rsidR="00E05BA6" w:rsidRPr="00C61B53">
        <w:t>that “</w:t>
      </w:r>
      <w:r w:rsidR="00FE4D84" w:rsidRPr="00C61B53">
        <w:t>[s]</w:t>
      </w:r>
      <w:proofErr w:type="spellStart"/>
      <w:r w:rsidR="00E05BA6" w:rsidRPr="00C61B53">
        <w:t>ection</w:t>
      </w:r>
      <w:proofErr w:type="spellEnd"/>
      <w:r w:rsidR="00E05BA6" w:rsidRPr="00C61B53">
        <w:t xml:space="preserve"> 16600 is basically a codification of the common law relating to contracts in restraint of trade”</w:t>
      </w:r>
      <w:r w:rsidR="00FE4D84" w:rsidRPr="00C61B53">
        <w:t xml:space="preserve">].)  </w:t>
      </w:r>
      <w:r w:rsidR="00683291" w:rsidRPr="00C61B53">
        <w:t>But w</w:t>
      </w:r>
      <w:r w:rsidR="00D53635" w:rsidRPr="00C61B53">
        <w:t>e</w:t>
      </w:r>
      <w:r w:rsidR="001B5BF3">
        <w:t xml:space="preserve"> often</w:t>
      </w:r>
      <w:r w:rsidR="00562339" w:rsidRPr="00C61B53">
        <w:t xml:space="preserve"> interpreted </w:t>
      </w:r>
      <w:r w:rsidR="00D53AF5" w:rsidRPr="00C61B53">
        <w:t xml:space="preserve">the statute </w:t>
      </w:r>
      <w:r w:rsidR="00683291" w:rsidRPr="00C61B53">
        <w:t xml:space="preserve">more </w:t>
      </w:r>
      <w:r w:rsidR="00E563F2" w:rsidRPr="00C61B53">
        <w:t>strictly</w:t>
      </w:r>
      <w:r w:rsidR="00562339" w:rsidRPr="00C61B53">
        <w:t xml:space="preserve"> </w:t>
      </w:r>
      <w:r w:rsidR="00E563F2" w:rsidRPr="00C61B53">
        <w:t>when it came to</w:t>
      </w:r>
      <w:r w:rsidR="00D53635" w:rsidRPr="00C61B53">
        <w:t xml:space="preserve"> agreements </w:t>
      </w:r>
      <w:r w:rsidR="00F64E0A" w:rsidRPr="00C61B53">
        <w:t>not to compete</w:t>
      </w:r>
      <w:r w:rsidR="000C1F53" w:rsidRPr="00C61B53">
        <w:t xml:space="preserve"> </w:t>
      </w:r>
      <w:r w:rsidR="00F64E0A" w:rsidRPr="00C61B53">
        <w:t>after</w:t>
      </w:r>
      <w:r w:rsidR="00807694" w:rsidRPr="00C61B53">
        <w:t xml:space="preserve"> </w:t>
      </w:r>
      <w:r w:rsidR="003A7603" w:rsidRPr="00C61B53">
        <w:t xml:space="preserve">the </w:t>
      </w:r>
      <w:r w:rsidR="00807694" w:rsidRPr="00C61B53">
        <w:t xml:space="preserve">termination of employment or the sale of </w:t>
      </w:r>
      <w:r w:rsidR="00F64E0A" w:rsidRPr="00C61B53">
        <w:t xml:space="preserve">interest in a </w:t>
      </w:r>
      <w:r w:rsidR="00807694" w:rsidRPr="00C61B53">
        <w:t>business</w:t>
      </w:r>
      <w:r w:rsidR="003A7603" w:rsidRPr="00C61B53">
        <w:t>.</w:t>
      </w:r>
      <w:r w:rsidR="00BE04F6" w:rsidRPr="00C61B53">
        <w:t xml:space="preserve">  </w:t>
      </w:r>
      <w:r w:rsidR="007B5E31" w:rsidRPr="00C61B53">
        <w:t xml:space="preserve">Thus, </w:t>
      </w:r>
      <w:r w:rsidR="00161BDE" w:rsidRPr="00C61B53">
        <w:t>instead of</w:t>
      </w:r>
      <w:r w:rsidR="007B5E31" w:rsidRPr="00C61B53">
        <w:t xml:space="preserve"> adopting a per se rule that all </w:t>
      </w:r>
      <w:r w:rsidR="00A16AD8" w:rsidRPr="00C61B53">
        <w:t xml:space="preserve">contractual limitations on the freedom to engage in commercial dealings are invalid, our </w:t>
      </w:r>
      <w:r w:rsidR="00722E61" w:rsidRPr="00C61B53">
        <w:t>precedent</w:t>
      </w:r>
      <w:r w:rsidR="00E061F0" w:rsidRPr="00C61B53">
        <w:t xml:space="preserve"> </w:t>
      </w:r>
      <w:r w:rsidR="00161BDE" w:rsidRPr="00C61B53">
        <w:t xml:space="preserve">interpreting </w:t>
      </w:r>
      <w:r w:rsidR="00E061F0" w:rsidRPr="00C61B53">
        <w:t xml:space="preserve">Civil Code </w:t>
      </w:r>
      <w:r w:rsidR="001375D2">
        <w:t xml:space="preserve">former </w:t>
      </w:r>
      <w:r w:rsidR="00722E61" w:rsidRPr="00C61B53">
        <w:t xml:space="preserve">section </w:t>
      </w:r>
      <w:r w:rsidR="00E061F0" w:rsidRPr="00C61B53">
        <w:t>1673</w:t>
      </w:r>
      <w:r w:rsidR="008C2977" w:rsidRPr="00C61B53">
        <w:t xml:space="preserve"> was more nuanced.</w:t>
      </w:r>
    </w:p>
    <w:p w14:paraId="11E45820" w14:textId="4E4D2102" w:rsidR="006017AA" w:rsidRPr="00C61B53" w:rsidRDefault="009920CA" w:rsidP="00107F0E">
      <w:pPr>
        <w:ind w:firstLine="720"/>
      </w:pPr>
      <w:r w:rsidRPr="00C61B53">
        <w:t xml:space="preserve">In 1941, the Legislature repealed Civil Code </w:t>
      </w:r>
      <w:r w:rsidR="00BB6DC9">
        <w:t xml:space="preserve">former </w:t>
      </w:r>
      <w:r w:rsidRPr="00C61B53">
        <w:t xml:space="preserve">section 1673 and </w:t>
      </w:r>
      <w:r w:rsidR="003D3474" w:rsidRPr="00C61B53">
        <w:t xml:space="preserve">reenacted </w:t>
      </w:r>
      <w:r w:rsidR="004F2FC0" w:rsidRPr="00C61B53">
        <w:t>it as Business and Professions Code section 16600</w:t>
      </w:r>
      <w:r w:rsidR="00734B11" w:rsidRPr="00C61B53">
        <w:t xml:space="preserve"> </w:t>
      </w:r>
      <w:r w:rsidR="0018335D" w:rsidRPr="00C61B53">
        <w:t xml:space="preserve">using substantively identical </w:t>
      </w:r>
      <w:r w:rsidR="00E57986" w:rsidRPr="00C61B53">
        <w:t>language</w:t>
      </w:r>
      <w:r w:rsidR="0068171D" w:rsidRPr="00C61B53">
        <w:t>.</w:t>
      </w:r>
      <w:r w:rsidR="00BE04F6" w:rsidRPr="00C61B53">
        <w:t xml:space="preserve">  </w:t>
      </w:r>
      <w:r w:rsidR="00D50BB5" w:rsidRPr="00C61B53">
        <w:t xml:space="preserve">(Stats. 1941, </w:t>
      </w:r>
      <w:proofErr w:type="spellStart"/>
      <w:r w:rsidR="00D50BB5" w:rsidRPr="00C61B53">
        <w:t>ch.</w:t>
      </w:r>
      <w:proofErr w:type="spellEnd"/>
      <w:r w:rsidR="00D50BB5" w:rsidRPr="00C61B53">
        <w:t xml:space="preserve"> 526, </w:t>
      </w:r>
      <w:r w:rsidR="00443139" w:rsidRPr="00C61B53">
        <w:t>§</w:t>
      </w:r>
      <w:r w:rsidR="00D61A7D" w:rsidRPr="00C61B53">
        <w:t> </w:t>
      </w:r>
      <w:r w:rsidR="00443139" w:rsidRPr="00C61B53">
        <w:t>1</w:t>
      </w:r>
      <w:r w:rsidR="00D50BB5" w:rsidRPr="00C61B53">
        <w:t>, p. 18</w:t>
      </w:r>
      <w:r w:rsidR="001059E0" w:rsidRPr="00C61B53">
        <w:t>34</w:t>
      </w:r>
      <w:r w:rsidR="00D50BB5" w:rsidRPr="00C61B53">
        <w:t xml:space="preserve">.)  </w:t>
      </w:r>
      <w:r w:rsidR="00E97F72" w:rsidRPr="00C61B53">
        <w:t xml:space="preserve">In doing so, </w:t>
      </w:r>
      <w:r w:rsidR="00706BE1" w:rsidRPr="00C61B53">
        <w:t>the Legislature is presume</w:t>
      </w:r>
      <w:r w:rsidR="00D51E9F" w:rsidRPr="00C61B53">
        <w:t>d</w:t>
      </w:r>
      <w:r w:rsidR="00706BE1" w:rsidRPr="00C61B53">
        <w:t xml:space="preserve"> to have </w:t>
      </w:r>
      <w:r w:rsidR="00714248" w:rsidRPr="00C61B53">
        <w:t>incorporated</w:t>
      </w:r>
      <w:r w:rsidR="00D51E9F" w:rsidRPr="00C61B53">
        <w:t xml:space="preserve"> this court’s construction of </w:t>
      </w:r>
      <w:r w:rsidR="0087716F" w:rsidRPr="00C61B53">
        <w:t xml:space="preserve">Civil Code </w:t>
      </w:r>
      <w:r w:rsidR="00BB6DC9">
        <w:t xml:space="preserve">former </w:t>
      </w:r>
      <w:r w:rsidR="005746E5" w:rsidRPr="00C61B53">
        <w:t xml:space="preserve">section </w:t>
      </w:r>
      <w:r w:rsidR="0087716F" w:rsidRPr="00C61B53">
        <w:t>1673</w:t>
      </w:r>
      <w:r w:rsidR="00714248" w:rsidRPr="00C61B53">
        <w:t xml:space="preserve"> into section 16600</w:t>
      </w:r>
      <w:r w:rsidR="0087716F" w:rsidRPr="00C61B53">
        <w:t xml:space="preserve">.  </w:t>
      </w:r>
      <w:r w:rsidR="00522CB0" w:rsidRPr="00C61B53">
        <w:t>(</w:t>
      </w:r>
      <w:r w:rsidR="00522CB0" w:rsidRPr="00C61B53">
        <w:rPr>
          <w:i/>
        </w:rPr>
        <w:t>People v. Bonnetta</w:t>
      </w:r>
      <w:r w:rsidR="0087716F" w:rsidRPr="00C61B53">
        <w:t xml:space="preserve">, </w:t>
      </w:r>
      <w:r w:rsidR="0087716F" w:rsidRPr="00C61B53">
        <w:rPr>
          <w:i/>
        </w:rPr>
        <w:t>supra</w:t>
      </w:r>
      <w:r w:rsidR="0087716F" w:rsidRPr="00C61B53">
        <w:t>,</w:t>
      </w:r>
      <w:r w:rsidR="00522CB0" w:rsidRPr="00C61B53">
        <w:rPr>
          <w:i/>
        </w:rPr>
        <w:t xml:space="preserve"> </w:t>
      </w:r>
      <w:r w:rsidR="00522CB0" w:rsidRPr="00C61B53">
        <w:t xml:space="preserve">46 Cal.4th </w:t>
      </w:r>
      <w:r w:rsidR="0087716F" w:rsidRPr="00C61B53">
        <w:t>at p. </w:t>
      </w:r>
      <w:r w:rsidR="00522CB0" w:rsidRPr="00C61B53">
        <w:t>151.)</w:t>
      </w:r>
      <w:r w:rsidR="0087716F" w:rsidRPr="00C61B53">
        <w:t xml:space="preserve">  </w:t>
      </w:r>
      <w:r w:rsidR="00140B1C" w:rsidRPr="00C61B53">
        <w:t xml:space="preserve">Since </w:t>
      </w:r>
      <w:r w:rsidR="0068171D" w:rsidRPr="00C61B53">
        <w:t xml:space="preserve">then, </w:t>
      </w:r>
      <w:r w:rsidR="004435CB" w:rsidRPr="00C61B53">
        <w:t>this court</w:t>
      </w:r>
      <w:r w:rsidR="00A446C5" w:rsidRPr="00C61B53">
        <w:t xml:space="preserve"> has </w:t>
      </w:r>
      <w:r w:rsidR="00703F89" w:rsidRPr="00C61B53">
        <w:t>had occasion to construe</w:t>
      </w:r>
      <w:r w:rsidR="00A446C5" w:rsidRPr="00C61B53">
        <w:t xml:space="preserve"> section 16600</w:t>
      </w:r>
      <w:r w:rsidR="0091640F" w:rsidRPr="00C61B53">
        <w:t xml:space="preserve"> </w:t>
      </w:r>
      <w:r w:rsidR="00161BDE" w:rsidRPr="00C61B53">
        <w:t xml:space="preserve">only </w:t>
      </w:r>
      <w:r w:rsidR="0091640F" w:rsidRPr="00C61B53">
        <w:t xml:space="preserve">in relation to contracts restraining competition </w:t>
      </w:r>
      <w:r w:rsidR="00676EFD" w:rsidRPr="00C61B53">
        <w:t>after</w:t>
      </w:r>
      <w:r w:rsidR="0091640F" w:rsidRPr="00C61B53">
        <w:t xml:space="preserve"> </w:t>
      </w:r>
      <w:r w:rsidR="00676EFD" w:rsidRPr="00C61B53">
        <w:t xml:space="preserve">the </w:t>
      </w:r>
      <w:r w:rsidR="0091640F" w:rsidRPr="00C61B53">
        <w:t xml:space="preserve">termination of </w:t>
      </w:r>
      <w:r w:rsidR="0091640F" w:rsidRPr="00C61B53">
        <w:lastRenderedPageBreak/>
        <w:t xml:space="preserve">employment or </w:t>
      </w:r>
      <w:r w:rsidR="00676EFD" w:rsidRPr="00C61B53">
        <w:t xml:space="preserve">the </w:t>
      </w:r>
      <w:r w:rsidR="0091640F" w:rsidRPr="00C61B53">
        <w:t xml:space="preserve">sale of </w:t>
      </w:r>
      <w:r w:rsidR="00676EFD" w:rsidRPr="00C61B53">
        <w:t xml:space="preserve">interest in a </w:t>
      </w:r>
      <w:r w:rsidR="0091640F" w:rsidRPr="00C61B53">
        <w:t>business.</w:t>
      </w:r>
      <w:r w:rsidR="00AF0F15" w:rsidRPr="00C61B53">
        <w:t xml:space="preserve">  (See </w:t>
      </w:r>
      <w:r w:rsidR="007709C6" w:rsidRPr="00C61B53">
        <w:rPr>
          <w:i/>
        </w:rPr>
        <w:t>Edwards</w:t>
      </w:r>
      <w:r w:rsidR="00525B07" w:rsidRPr="00C61B53">
        <w:t xml:space="preserve">, </w:t>
      </w:r>
      <w:r w:rsidR="00525B07" w:rsidRPr="00C61B53">
        <w:rPr>
          <w:i/>
        </w:rPr>
        <w:t>supra</w:t>
      </w:r>
      <w:r w:rsidR="00525B07" w:rsidRPr="00C61B53">
        <w:t xml:space="preserve">, </w:t>
      </w:r>
      <w:r w:rsidR="007709C6" w:rsidRPr="00C61B53">
        <w:t>44</w:t>
      </w:r>
      <w:r w:rsidR="00525B07" w:rsidRPr="00C61B53">
        <w:t xml:space="preserve"> Cal.4th at p. </w:t>
      </w:r>
      <w:r w:rsidR="00DC1198" w:rsidRPr="00C61B53">
        <w:t>950</w:t>
      </w:r>
      <w:r w:rsidR="007709C6" w:rsidRPr="00C61B53">
        <w:t xml:space="preserve"> [</w:t>
      </w:r>
      <w:r w:rsidR="00D809F6" w:rsidRPr="00C61B53">
        <w:t>termination of employment]</w:t>
      </w:r>
      <w:r w:rsidR="007709C6" w:rsidRPr="00C61B53">
        <w:t xml:space="preserve">; </w:t>
      </w:r>
      <w:r w:rsidR="007709C6" w:rsidRPr="00C61B53">
        <w:rPr>
          <w:i/>
        </w:rPr>
        <w:t>Swenson v. File</w:t>
      </w:r>
      <w:r w:rsidR="007709C6" w:rsidRPr="00C61B53">
        <w:t xml:space="preserve"> (1970) 3 Cal.3d 389</w:t>
      </w:r>
      <w:r w:rsidR="001D4959" w:rsidRPr="00C61B53">
        <w:t>, 395</w:t>
      </w:r>
      <w:r w:rsidR="00D809F6" w:rsidRPr="00C61B53">
        <w:t xml:space="preserve"> </w:t>
      </w:r>
      <w:r w:rsidR="00676EFD" w:rsidRPr="00C61B53">
        <w:t>(</w:t>
      </w:r>
      <w:r w:rsidR="00676EFD" w:rsidRPr="00C61B53">
        <w:rPr>
          <w:i/>
        </w:rPr>
        <w:t>Swenson</w:t>
      </w:r>
      <w:r w:rsidR="00676EFD" w:rsidRPr="00C61B53">
        <w:t xml:space="preserve">) </w:t>
      </w:r>
      <w:r w:rsidR="00D809F6" w:rsidRPr="00C61B53">
        <w:t>[termination of partnership]</w:t>
      </w:r>
      <w:r w:rsidR="007709C6" w:rsidRPr="00C61B53">
        <w:t xml:space="preserve">; </w:t>
      </w:r>
      <w:proofErr w:type="spellStart"/>
      <w:r w:rsidR="007709C6" w:rsidRPr="00C61B53">
        <w:rPr>
          <w:i/>
        </w:rPr>
        <w:t>Muggill</w:t>
      </w:r>
      <w:proofErr w:type="spellEnd"/>
      <w:r w:rsidR="007709C6" w:rsidRPr="00C61B53">
        <w:rPr>
          <w:i/>
        </w:rPr>
        <w:t xml:space="preserve"> v. Reuben H. Donnelley Corp</w:t>
      </w:r>
      <w:r w:rsidR="007709C6" w:rsidRPr="00C61B53">
        <w:t>. (1965) 62 Cal.2d 239</w:t>
      </w:r>
      <w:r w:rsidR="008B6060" w:rsidRPr="00C61B53">
        <w:t>, 242–243</w:t>
      </w:r>
      <w:r w:rsidR="00D809F6" w:rsidRPr="00C61B53">
        <w:t xml:space="preserve"> </w:t>
      </w:r>
      <w:r w:rsidR="00676EFD" w:rsidRPr="00C61B53">
        <w:t>(</w:t>
      </w:r>
      <w:proofErr w:type="spellStart"/>
      <w:r w:rsidR="00676EFD" w:rsidRPr="00C61B53">
        <w:rPr>
          <w:i/>
        </w:rPr>
        <w:t>Muggill</w:t>
      </w:r>
      <w:proofErr w:type="spellEnd"/>
      <w:r w:rsidR="00676EFD" w:rsidRPr="00C61B53">
        <w:t xml:space="preserve">) </w:t>
      </w:r>
      <w:r w:rsidR="00D809F6" w:rsidRPr="00C61B53">
        <w:t>[termination of employment]</w:t>
      </w:r>
      <w:r w:rsidR="007709C6" w:rsidRPr="00C61B53">
        <w:t xml:space="preserve">; </w:t>
      </w:r>
      <w:r w:rsidR="007709C6" w:rsidRPr="00C61B53">
        <w:rPr>
          <w:i/>
        </w:rPr>
        <w:t>Martinez v. Martinez</w:t>
      </w:r>
      <w:r w:rsidR="007709C6" w:rsidRPr="00C61B53">
        <w:t xml:space="preserve"> (1953) 41 Cal.2d 704</w:t>
      </w:r>
      <w:r w:rsidR="007E0C7D" w:rsidRPr="00C61B53">
        <w:t>, 706</w:t>
      </w:r>
      <w:r w:rsidR="00D809F6" w:rsidRPr="00C61B53">
        <w:t xml:space="preserve"> </w:t>
      </w:r>
      <w:r w:rsidR="00676EFD" w:rsidRPr="00C61B53">
        <w:t>(</w:t>
      </w:r>
      <w:r w:rsidR="00676EFD" w:rsidRPr="00C61B53">
        <w:rPr>
          <w:i/>
        </w:rPr>
        <w:t>Martinez</w:t>
      </w:r>
      <w:r w:rsidR="00676EFD" w:rsidRPr="00C61B53">
        <w:t xml:space="preserve">) </w:t>
      </w:r>
      <w:r w:rsidR="00D61A7D" w:rsidRPr="00C61B53">
        <w:t>[</w:t>
      </w:r>
      <w:r w:rsidR="00C45EAE" w:rsidRPr="00C61B53">
        <w:t>sale of business</w:t>
      </w:r>
      <w:r w:rsidR="00D809F6" w:rsidRPr="00C61B53">
        <w:t>]</w:t>
      </w:r>
      <w:r w:rsidR="005775CB" w:rsidRPr="00C61B53">
        <w:t>.</w:t>
      </w:r>
      <w:r w:rsidR="007709C6" w:rsidRPr="00C61B53">
        <w:t>)</w:t>
      </w:r>
      <w:r w:rsidR="00676EFD" w:rsidRPr="00C61B53">
        <w:t xml:space="preserve">  </w:t>
      </w:r>
      <w:r w:rsidR="00FE4D84" w:rsidRPr="00C61B53">
        <w:t xml:space="preserve">These cases </w:t>
      </w:r>
      <w:r w:rsidR="00703F89" w:rsidRPr="00C61B53">
        <w:t xml:space="preserve">have followed </w:t>
      </w:r>
      <w:r w:rsidR="00EF21F4" w:rsidRPr="00C61B53">
        <w:t>our</w:t>
      </w:r>
      <w:r w:rsidR="00703F89" w:rsidRPr="00C61B53">
        <w:t xml:space="preserve"> </w:t>
      </w:r>
      <w:r w:rsidR="00161BDE" w:rsidRPr="00C61B53">
        <w:t>earlier</w:t>
      </w:r>
      <w:r w:rsidR="00AB65F1" w:rsidRPr="00C61B53">
        <w:t xml:space="preserve"> </w:t>
      </w:r>
      <w:r w:rsidR="00EF21F4" w:rsidRPr="00C61B53">
        <w:t>decisions</w:t>
      </w:r>
      <w:r w:rsidR="00A9461C" w:rsidRPr="00C61B53">
        <w:t xml:space="preserve"> by </w:t>
      </w:r>
      <w:r w:rsidR="0052488C" w:rsidRPr="00C61B53">
        <w:t xml:space="preserve">strictly </w:t>
      </w:r>
      <w:r w:rsidR="00A9461C" w:rsidRPr="00C61B53">
        <w:t xml:space="preserve">construing the prohibition on restraint of trade </w:t>
      </w:r>
      <w:r w:rsidR="00676EFD" w:rsidRPr="00C61B53">
        <w:t>in such contexts</w:t>
      </w:r>
      <w:r w:rsidR="007C7A1C" w:rsidRPr="00C61B53">
        <w:t>.</w:t>
      </w:r>
    </w:p>
    <w:p w14:paraId="37417BC6" w14:textId="2C792756" w:rsidR="00BE04F6" w:rsidRPr="00C61B53" w:rsidRDefault="001E746D" w:rsidP="00107F0E">
      <w:pPr>
        <w:ind w:firstLine="720"/>
      </w:pPr>
      <w:r w:rsidRPr="00C61B53">
        <w:t xml:space="preserve">In </w:t>
      </w:r>
      <w:proofErr w:type="spellStart"/>
      <w:r w:rsidR="009771A1" w:rsidRPr="00C61B53">
        <w:rPr>
          <w:i/>
        </w:rPr>
        <w:t>Mu</w:t>
      </w:r>
      <w:r w:rsidR="00B5745F" w:rsidRPr="00C61B53">
        <w:rPr>
          <w:i/>
        </w:rPr>
        <w:t>g</w:t>
      </w:r>
      <w:r w:rsidR="009771A1" w:rsidRPr="00C61B53">
        <w:rPr>
          <w:i/>
        </w:rPr>
        <w:t>gill</w:t>
      </w:r>
      <w:proofErr w:type="spellEnd"/>
      <w:r w:rsidR="0070153E" w:rsidRPr="00C61B53">
        <w:t>,</w:t>
      </w:r>
      <w:r w:rsidR="00D030C3" w:rsidRPr="00C61B53">
        <w:t xml:space="preserve"> </w:t>
      </w:r>
      <w:r w:rsidR="009428FB">
        <w:t>we</w:t>
      </w:r>
      <w:r w:rsidR="00D030C3" w:rsidRPr="00C61B53">
        <w:t xml:space="preserve"> invalidated a noncompetition agreement between</w:t>
      </w:r>
      <w:r w:rsidR="00A41154" w:rsidRPr="00C61B53">
        <w:t xml:space="preserve"> a</w:t>
      </w:r>
      <w:r w:rsidR="00A96BE8" w:rsidRPr="00C61B53">
        <w:t xml:space="preserve"> retiree </w:t>
      </w:r>
      <w:r w:rsidR="00A41154" w:rsidRPr="00C61B53">
        <w:t xml:space="preserve">and his </w:t>
      </w:r>
      <w:r w:rsidR="00A96BE8" w:rsidRPr="00C61B53">
        <w:t xml:space="preserve">former </w:t>
      </w:r>
      <w:r w:rsidR="00A41154" w:rsidRPr="00C61B53">
        <w:t>employer</w:t>
      </w:r>
      <w:r w:rsidR="00A475AA" w:rsidRPr="00C61B53">
        <w:t xml:space="preserve"> w</w:t>
      </w:r>
      <w:r w:rsidR="005271B5" w:rsidRPr="00C61B53">
        <w:t>hen the</w:t>
      </w:r>
      <w:r w:rsidR="00A96BE8" w:rsidRPr="00C61B53">
        <w:t xml:space="preserve"> former</w:t>
      </w:r>
      <w:r w:rsidR="005271B5" w:rsidRPr="00C61B53">
        <w:t xml:space="preserve"> employer ceased </w:t>
      </w:r>
      <w:r w:rsidR="00A96BE8" w:rsidRPr="00C61B53">
        <w:t>pension payments</w:t>
      </w:r>
      <w:r w:rsidR="00A475AA" w:rsidRPr="00C61B53">
        <w:t xml:space="preserve"> after the employee went to work for a competitor.  </w:t>
      </w:r>
      <w:r w:rsidRPr="00C61B53">
        <w:t>(</w:t>
      </w:r>
      <w:proofErr w:type="spellStart"/>
      <w:r w:rsidR="00C21F42" w:rsidRPr="00C61B53">
        <w:rPr>
          <w:i/>
        </w:rPr>
        <w:t>Muggill</w:t>
      </w:r>
      <w:proofErr w:type="spellEnd"/>
      <w:r w:rsidR="00C21F42" w:rsidRPr="00C61B53">
        <w:t xml:space="preserve">, </w:t>
      </w:r>
      <w:r w:rsidR="00C21F42" w:rsidRPr="00C61B53">
        <w:rPr>
          <w:i/>
        </w:rPr>
        <w:t>supra</w:t>
      </w:r>
      <w:r w:rsidR="00C21F42" w:rsidRPr="00C61B53">
        <w:t xml:space="preserve">, 62 Cal.2d </w:t>
      </w:r>
      <w:r w:rsidRPr="00C61B53">
        <w:t>at p. 2</w:t>
      </w:r>
      <w:r w:rsidR="00A475AA" w:rsidRPr="00C61B53">
        <w:t>40</w:t>
      </w:r>
      <w:r w:rsidR="006017AA" w:rsidRPr="00C61B53">
        <w:t>.</w:t>
      </w:r>
      <w:r w:rsidR="00A475AA" w:rsidRPr="00C61B53">
        <w:t>)</w:t>
      </w:r>
      <w:r w:rsidRPr="00C61B53">
        <w:t xml:space="preserve"> </w:t>
      </w:r>
      <w:r w:rsidR="00BE04F6" w:rsidRPr="00C61B53">
        <w:t xml:space="preserve"> </w:t>
      </w:r>
      <w:r w:rsidR="00CA4A1D" w:rsidRPr="00C61B53">
        <w:t xml:space="preserve">We </w:t>
      </w:r>
      <w:r w:rsidR="00676EFD" w:rsidRPr="00C61B53">
        <w:t>said</w:t>
      </w:r>
      <w:r w:rsidR="00CA4A1D" w:rsidRPr="00C61B53">
        <w:t xml:space="preserve"> that </w:t>
      </w:r>
      <w:r w:rsidR="00270622" w:rsidRPr="00C61B53">
        <w:t xml:space="preserve">the “settled interpretation” of </w:t>
      </w:r>
      <w:r w:rsidR="00CA4A1D" w:rsidRPr="00C61B53">
        <w:t>section 16600</w:t>
      </w:r>
      <w:r w:rsidR="00BC4FB5" w:rsidRPr="00C61B53">
        <w:t xml:space="preserve"> </w:t>
      </w:r>
      <w:r w:rsidR="00270622" w:rsidRPr="00C61B53">
        <w:t>created a</w:t>
      </w:r>
      <w:r w:rsidR="00FD4A86" w:rsidRPr="00C61B53">
        <w:t xml:space="preserve">n unambiguous </w:t>
      </w:r>
      <w:r w:rsidR="00270622" w:rsidRPr="00C61B53">
        <w:t>rule:  “</w:t>
      </w:r>
      <w:r w:rsidR="00EC3A75" w:rsidRPr="00C61B53">
        <w:t>This section invalidates provisions in employment contracts prohibiting an employee from working for a competitor after completion of his employment</w:t>
      </w:r>
      <w:r w:rsidR="001375D2">
        <w:t xml:space="preserve"> . . . </w:t>
      </w:r>
      <w:r w:rsidR="009428FB">
        <w:t>.</w:t>
      </w:r>
      <w:r w:rsidR="00EC3A75" w:rsidRPr="00C61B53">
        <w:t>”</w:t>
      </w:r>
      <w:r w:rsidR="009428FB">
        <w:t xml:space="preserve"> </w:t>
      </w:r>
      <w:r w:rsidR="007059D4" w:rsidRPr="00C61B53">
        <w:t xml:space="preserve"> </w:t>
      </w:r>
      <w:r w:rsidR="00A138E5" w:rsidRPr="00C61B53">
        <w:t>(</w:t>
      </w:r>
      <w:proofErr w:type="spellStart"/>
      <w:r w:rsidR="009428FB">
        <w:rPr>
          <w:i/>
        </w:rPr>
        <w:t>Muggill</w:t>
      </w:r>
      <w:proofErr w:type="spellEnd"/>
      <w:r w:rsidR="009428FB">
        <w:t>,</w:t>
      </w:r>
      <w:r w:rsidR="00A138E5" w:rsidRPr="00C61B53">
        <w:t xml:space="preserve"> at </w:t>
      </w:r>
      <w:r w:rsidR="00BC4FB5" w:rsidRPr="00C61B53">
        <w:t>p</w:t>
      </w:r>
      <w:r w:rsidR="009428FB">
        <w:t>p</w:t>
      </w:r>
      <w:r w:rsidR="00BC4FB5" w:rsidRPr="00C61B53">
        <w:t>. </w:t>
      </w:r>
      <w:r w:rsidR="009428FB">
        <w:t xml:space="preserve">243, </w:t>
      </w:r>
      <w:r w:rsidR="00BC4FB5" w:rsidRPr="00C61B53">
        <w:t>242).</w:t>
      </w:r>
      <w:r w:rsidR="00BE04F6" w:rsidRPr="00C61B53">
        <w:t xml:space="preserve">  </w:t>
      </w:r>
      <w:r w:rsidR="00A96BE8" w:rsidRPr="00C61B53">
        <w:t xml:space="preserve">Comparing the </w:t>
      </w:r>
      <w:r w:rsidR="00CD7CD9" w:rsidRPr="00C61B53">
        <w:t>facts</w:t>
      </w:r>
      <w:r w:rsidR="00A96BE8" w:rsidRPr="00C61B53">
        <w:t xml:space="preserve"> to</w:t>
      </w:r>
      <w:r w:rsidR="00CD7CD9" w:rsidRPr="00C61B53">
        <w:t xml:space="preserve"> those in</w:t>
      </w:r>
      <w:r w:rsidR="00A96BE8" w:rsidRPr="00C61B53">
        <w:t xml:space="preserve"> </w:t>
      </w:r>
      <w:r w:rsidR="006E294D" w:rsidRPr="00C61B53">
        <w:rPr>
          <w:i/>
        </w:rPr>
        <w:t>Chamberlain</w:t>
      </w:r>
      <w:r w:rsidR="006E294D" w:rsidRPr="00C61B53">
        <w:t xml:space="preserve">, </w:t>
      </w:r>
      <w:r w:rsidR="0070153E" w:rsidRPr="00C61B53">
        <w:t xml:space="preserve">a </w:t>
      </w:r>
      <w:r w:rsidR="00DA2AA7" w:rsidRPr="00C61B53">
        <w:t xml:space="preserve">pre-reenactment decision </w:t>
      </w:r>
      <w:r w:rsidR="003C4BD2" w:rsidRPr="00C61B53">
        <w:t xml:space="preserve">involving the sale of </w:t>
      </w:r>
      <w:r w:rsidR="00676EFD" w:rsidRPr="00C61B53">
        <w:t xml:space="preserve">business stock </w:t>
      </w:r>
      <w:r w:rsidR="003C4BD2" w:rsidRPr="00C61B53">
        <w:t xml:space="preserve">by a former employee, </w:t>
      </w:r>
      <w:r w:rsidR="006E294D" w:rsidRPr="00C61B53">
        <w:t xml:space="preserve">we stated that </w:t>
      </w:r>
      <w:r w:rsidR="00CD7CD9" w:rsidRPr="00C61B53">
        <w:t>“</w:t>
      </w:r>
      <w:r w:rsidR="006A5D4B">
        <w:t>[</w:t>
      </w:r>
      <w:r w:rsidR="00CD7CD9" w:rsidRPr="00C61B53">
        <w:t>s</w:t>
      </w:r>
      <w:r w:rsidR="006A5D4B">
        <w:t>]</w:t>
      </w:r>
      <w:proofErr w:type="spellStart"/>
      <w:r w:rsidR="00CD7CD9" w:rsidRPr="00C61B53">
        <w:t>imilarly</w:t>
      </w:r>
      <w:proofErr w:type="spellEnd"/>
      <w:r w:rsidR="00CD7CD9" w:rsidRPr="00C61B53">
        <w:t>, in this case, the provision forfeiting plaintiff’s pension rights if he works for a competitor restrains him from engaging in a lawful business and is therefore void.”</w:t>
      </w:r>
      <w:r w:rsidR="003C4BD2" w:rsidRPr="00C61B53">
        <w:t xml:space="preserve">  (</w:t>
      </w:r>
      <w:r w:rsidR="006A5D4B">
        <w:rPr>
          <w:i/>
        </w:rPr>
        <w:t>Id.</w:t>
      </w:r>
      <w:r w:rsidR="003C4BD2" w:rsidRPr="00C61B53">
        <w:t xml:space="preserve"> at p. </w:t>
      </w:r>
      <w:r w:rsidR="00B5745F" w:rsidRPr="00C61B53">
        <w:t>243.)</w:t>
      </w:r>
    </w:p>
    <w:p w14:paraId="48582180" w14:textId="3A99085B" w:rsidR="00BE04F6" w:rsidRPr="00C61B53" w:rsidRDefault="005B2FEB" w:rsidP="00107F0E">
      <w:pPr>
        <w:ind w:firstLine="720"/>
      </w:pPr>
      <w:r w:rsidRPr="00C61B53">
        <w:t>E</w:t>
      </w:r>
      <w:r w:rsidR="00BC4FB5" w:rsidRPr="00C61B53">
        <w:t xml:space="preserve">ven when we </w:t>
      </w:r>
      <w:r w:rsidR="009A5B80" w:rsidRPr="00C61B53">
        <w:t xml:space="preserve">have </w:t>
      </w:r>
      <w:r w:rsidR="00BC4FB5" w:rsidRPr="00C61B53">
        <w:t>upheld portions of noncompet</w:t>
      </w:r>
      <w:r w:rsidR="006017AA" w:rsidRPr="00C61B53">
        <w:t>ition</w:t>
      </w:r>
      <w:r w:rsidR="00BC4FB5" w:rsidRPr="00C61B53">
        <w:t xml:space="preserve"> agreements</w:t>
      </w:r>
      <w:r w:rsidRPr="00C61B53">
        <w:t xml:space="preserve"> under </w:t>
      </w:r>
      <w:r w:rsidR="0023612C" w:rsidRPr="00C61B53">
        <w:t xml:space="preserve">statutory </w:t>
      </w:r>
      <w:r w:rsidRPr="00C61B53">
        <w:t xml:space="preserve">exceptions to </w:t>
      </w:r>
      <w:r w:rsidR="006017AA" w:rsidRPr="00C61B53">
        <w:t xml:space="preserve">section </w:t>
      </w:r>
      <w:r w:rsidRPr="00C61B53">
        <w:t xml:space="preserve">16600, we have </w:t>
      </w:r>
      <w:r w:rsidR="001159D6" w:rsidRPr="00C61B53">
        <w:t>recognize</w:t>
      </w:r>
      <w:r w:rsidR="0057186D" w:rsidRPr="00C61B53">
        <w:t>d</w:t>
      </w:r>
      <w:r w:rsidR="001159D6" w:rsidRPr="00C61B53">
        <w:t xml:space="preserve"> that any portion of the agreement</w:t>
      </w:r>
      <w:r w:rsidR="0023612C" w:rsidRPr="00C61B53">
        <w:t xml:space="preserve"> restraining competition not within an exception </w:t>
      </w:r>
      <w:r w:rsidR="001159D6" w:rsidRPr="00C61B53">
        <w:t>is per se invalid</w:t>
      </w:r>
      <w:r w:rsidR="0057186D" w:rsidRPr="00C61B53">
        <w:t>.</w:t>
      </w:r>
      <w:r w:rsidR="00BE04F6" w:rsidRPr="00C61B53">
        <w:t xml:space="preserve">  </w:t>
      </w:r>
      <w:r w:rsidR="00140CB2" w:rsidRPr="00C61B53">
        <w:t>For example,</w:t>
      </w:r>
      <w:r w:rsidR="006D28EF" w:rsidRPr="00C61B53">
        <w:t xml:space="preserve"> we said in</w:t>
      </w:r>
      <w:r w:rsidR="004A0CFA" w:rsidRPr="00C61B53">
        <w:t xml:space="preserve"> </w:t>
      </w:r>
      <w:r w:rsidR="004A0CFA" w:rsidRPr="00C61B53">
        <w:rPr>
          <w:i/>
        </w:rPr>
        <w:t>Swenson</w:t>
      </w:r>
      <w:r w:rsidR="00140CB2" w:rsidRPr="00C61B53">
        <w:t xml:space="preserve"> </w:t>
      </w:r>
      <w:r w:rsidR="00B5560D" w:rsidRPr="00C61B53">
        <w:t>that a</w:t>
      </w:r>
      <w:r w:rsidR="004A0CFA" w:rsidRPr="00C61B53">
        <w:t xml:space="preserve"> noncompetition agreement between a former partner </w:t>
      </w:r>
      <w:r w:rsidR="00660CD8" w:rsidRPr="00C61B53">
        <w:t>of an</w:t>
      </w:r>
      <w:r w:rsidR="00B5560D" w:rsidRPr="00C61B53">
        <w:t xml:space="preserve"> </w:t>
      </w:r>
      <w:r w:rsidR="00660CD8" w:rsidRPr="00C61B53">
        <w:t>accounting firm</w:t>
      </w:r>
      <w:r w:rsidR="00B5560D" w:rsidRPr="00C61B53">
        <w:t xml:space="preserve"> and his firm would </w:t>
      </w:r>
      <w:r w:rsidR="00A8363A" w:rsidRPr="00C61B53">
        <w:t xml:space="preserve">fall outside the section 16602 exception and thus </w:t>
      </w:r>
      <w:r w:rsidR="00B5560D" w:rsidRPr="00C61B53">
        <w:t>be invalid</w:t>
      </w:r>
      <w:r w:rsidR="00660CD8" w:rsidRPr="00C61B53">
        <w:t xml:space="preserve"> </w:t>
      </w:r>
      <w:r w:rsidR="00B5560D" w:rsidRPr="00C61B53">
        <w:t>“[o]n its face” if “it forb[</w:t>
      </w:r>
      <w:proofErr w:type="spellStart"/>
      <w:r w:rsidR="00B5560D" w:rsidRPr="00C61B53">
        <w:t>ade</w:t>
      </w:r>
      <w:proofErr w:type="spellEnd"/>
      <w:r w:rsidR="006A5D4B">
        <w:t xml:space="preserve"> </w:t>
      </w:r>
      <w:r w:rsidR="00D1050A" w:rsidRPr="00C61B53">
        <w:t>him]</w:t>
      </w:r>
      <w:r w:rsidR="00B5560D" w:rsidRPr="00C61B53">
        <w:t xml:space="preserve"> from serving former </w:t>
      </w:r>
      <w:r w:rsidR="00B5560D" w:rsidRPr="00C61B53">
        <w:lastRenderedPageBreak/>
        <w:t>partnership clients without regard to territorial limits.”</w:t>
      </w:r>
      <w:r w:rsidR="00140CB2" w:rsidRPr="00C61B53">
        <w:t xml:space="preserve">  </w:t>
      </w:r>
      <w:r w:rsidR="00660CD8" w:rsidRPr="00C61B53">
        <w:t>(</w:t>
      </w:r>
      <w:r w:rsidR="006017AA" w:rsidRPr="00C61B53">
        <w:rPr>
          <w:i/>
        </w:rPr>
        <w:t>Swenson</w:t>
      </w:r>
      <w:r w:rsidR="006017AA" w:rsidRPr="00C61B53">
        <w:t xml:space="preserve">, </w:t>
      </w:r>
      <w:r w:rsidR="006017AA" w:rsidRPr="00C61B53">
        <w:rPr>
          <w:i/>
        </w:rPr>
        <w:t>supra</w:t>
      </w:r>
      <w:r w:rsidR="006017AA" w:rsidRPr="00C61B53">
        <w:t>, 3 Cal.3d at p. 395; s</w:t>
      </w:r>
      <w:r w:rsidR="00660CD8" w:rsidRPr="00C61B53">
        <w:t>ee § 16602</w:t>
      </w:r>
      <w:r w:rsidR="00FC0AC2" w:rsidRPr="00C61B53">
        <w:t xml:space="preserve">, </w:t>
      </w:r>
      <w:proofErr w:type="spellStart"/>
      <w:r w:rsidR="00FC0AC2" w:rsidRPr="00C61B53">
        <w:t>subd</w:t>
      </w:r>
      <w:proofErr w:type="spellEnd"/>
      <w:r w:rsidR="00FC0AC2" w:rsidRPr="00C61B53">
        <w:t>. (a)</w:t>
      </w:r>
      <w:r w:rsidR="00212035" w:rsidRPr="00C61B53">
        <w:t xml:space="preserve"> [</w:t>
      </w:r>
      <w:r w:rsidR="00D274BC" w:rsidRPr="00C61B53">
        <w:t>“</w:t>
      </w:r>
      <w:r w:rsidR="00212035" w:rsidRPr="00C61B53">
        <w:t xml:space="preserve">Any partner may, upon </w:t>
      </w:r>
      <w:r w:rsidR="00F34B38" w:rsidRPr="00C61B53">
        <w:t>[</w:t>
      </w:r>
      <w:r w:rsidR="00495321" w:rsidRPr="00C61B53">
        <w:t xml:space="preserve">dissolution or </w:t>
      </w:r>
      <w:r w:rsidR="00F34B38" w:rsidRPr="00C61B53">
        <w:t>disassociation from the partnership]</w:t>
      </w:r>
      <w:r w:rsidR="00153438" w:rsidRPr="00C61B53">
        <w:t>,</w:t>
      </w:r>
      <w:r w:rsidR="00212035" w:rsidRPr="00C61B53">
        <w:t xml:space="preserve"> agree that he or she will not carry on a similar business within a specified geographic area where the partnership business has been transacted</w:t>
      </w:r>
      <w:r w:rsidR="00D274BC" w:rsidRPr="00C61B53">
        <w:t>, so long as any other member of the partnership . . . carries on a like business therein.</w:t>
      </w:r>
      <w:r w:rsidR="00212035" w:rsidRPr="00C61B53">
        <w:t>”]</w:t>
      </w:r>
      <w:r w:rsidR="000A5463" w:rsidRPr="00C61B53">
        <w:t>; s</w:t>
      </w:r>
      <w:r w:rsidR="00593EB2" w:rsidRPr="00C61B53">
        <w:t xml:space="preserve">ee also </w:t>
      </w:r>
      <w:r w:rsidR="00140CB2" w:rsidRPr="00C61B53">
        <w:rPr>
          <w:i/>
        </w:rPr>
        <w:t>Martinez</w:t>
      </w:r>
      <w:r w:rsidR="00F71B3B" w:rsidRPr="00C61B53">
        <w:t xml:space="preserve">, </w:t>
      </w:r>
      <w:r w:rsidR="007E0C7D" w:rsidRPr="00C61B53">
        <w:rPr>
          <w:i/>
        </w:rPr>
        <w:t>supra</w:t>
      </w:r>
      <w:r w:rsidR="007E0C7D" w:rsidRPr="00C61B53">
        <w:t>, 41 Cal.2d at p. 706</w:t>
      </w:r>
      <w:r w:rsidR="00593EB2" w:rsidRPr="00C61B53">
        <w:t xml:space="preserve"> [</w:t>
      </w:r>
      <w:r w:rsidR="00422002" w:rsidRPr="00C61B53">
        <w:t>trial court “properly limited the duration of the covenant</w:t>
      </w:r>
      <w:r w:rsidR="00593EB2" w:rsidRPr="00C61B53">
        <w:t xml:space="preserve"> [not to compete]</w:t>
      </w:r>
      <w:r w:rsidR="00422002" w:rsidRPr="00C61B53">
        <w:t xml:space="preserve"> by providing that it should continue so long as plaintiff </w:t>
      </w:r>
      <w:r w:rsidR="00593EB2" w:rsidRPr="00C61B53">
        <w:t>. . .</w:t>
      </w:r>
      <w:r w:rsidR="00422002" w:rsidRPr="00C61B53">
        <w:t xml:space="preserve"> should carry on a like business in San Diego County</w:t>
      </w:r>
      <w:r w:rsidR="00396BEA" w:rsidRPr="00C61B53">
        <w:t>, that being the period permitted by sections 16600 and 16601 of the Business and Professions Code</w:t>
      </w:r>
      <w:r w:rsidR="00593EB2" w:rsidRPr="00C61B53">
        <w:t>”</w:t>
      </w:r>
      <w:r w:rsidR="000A5463" w:rsidRPr="00C61B53">
        <w:t>].</w:t>
      </w:r>
      <w:r w:rsidR="00593EB2" w:rsidRPr="00C61B53">
        <w:t>)</w:t>
      </w:r>
    </w:p>
    <w:p w14:paraId="453CE1A5" w14:textId="54713DD1" w:rsidR="00BE04F6" w:rsidRPr="00C61B53" w:rsidRDefault="009204C8" w:rsidP="00107F0E">
      <w:pPr>
        <w:ind w:firstLine="720"/>
      </w:pPr>
      <w:r w:rsidRPr="00C61B53">
        <w:t>O</w:t>
      </w:r>
      <w:r w:rsidR="00084E58" w:rsidRPr="00C61B53">
        <w:t xml:space="preserve">ur most recent section 16600 </w:t>
      </w:r>
      <w:r w:rsidR="00B0128C" w:rsidRPr="00C61B53">
        <w:t xml:space="preserve">decision </w:t>
      </w:r>
      <w:r w:rsidR="00BB78C5" w:rsidRPr="00C61B53">
        <w:t>broke no new ground</w:t>
      </w:r>
      <w:r w:rsidR="006816CF" w:rsidRPr="00C61B53">
        <w:t xml:space="preserve"> </w:t>
      </w:r>
      <w:r w:rsidR="00D20B3A" w:rsidRPr="00C61B53">
        <w:t>i</w:t>
      </w:r>
      <w:r w:rsidR="00CF3C97" w:rsidRPr="00C61B53">
        <w:t xml:space="preserve">n holding that </w:t>
      </w:r>
      <w:r w:rsidR="00084E58" w:rsidRPr="00C61B53">
        <w:t xml:space="preserve">a noncompetition agreement between a tax manager and his employer was </w:t>
      </w:r>
      <w:r w:rsidR="00D20B3A" w:rsidRPr="00C61B53">
        <w:t xml:space="preserve">per se </w:t>
      </w:r>
      <w:r w:rsidR="00084E58" w:rsidRPr="00C61B53">
        <w:t>invalid.</w:t>
      </w:r>
      <w:r w:rsidR="00BE04F6" w:rsidRPr="00C61B53">
        <w:t xml:space="preserve">  </w:t>
      </w:r>
      <w:r w:rsidR="006017AA" w:rsidRPr="00C61B53">
        <w:t>(</w:t>
      </w:r>
      <w:r w:rsidR="006017AA" w:rsidRPr="00C61B53">
        <w:rPr>
          <w:i/>
        </w:rPr>
        <w:t>Edwards</w:t>
      </w:r>
      <w:r w:rsidR="006017AA" w:rsidRPr="00C61B53">
        <w:t xml:space="preserve">, </w:t>
      </w:r>
      <w:r w:rsidR="006017AA" w:rsidRPr="00C61B53">
        <w:rPr>
          <w:i/>
        </w:rPr>
        <w:t>supra</w:t>
      </w:r>
      <w:r w:rsidR="006017AA" w:rsidRPr="00C61B53">
        <w:t xml:space="preserve">, 44 Cal.4th at p. 955.)  </w:t>
      </w:r>
      <w:r w:rsidR="00084E58" w:rsidRPr="00C61B53">
        <w:t xml:space="preserve">The plaintiff in </w:t>
      </w:r>
      <w:r w:rsidR="009428FB">
        <w:rPr>
          <w:i/>
        </w:rPr>
        <w:t>Edwards</w:t>
      </w:r>
      <w:r w:rsidR="00084E58" w:rsidRPr="00C61B53">
        <w:t xml:space="preserve"> signed an agreement with his employer Arthur Andersen, which prohibited him from working for or soliciting certain clients of the firm for limited periods following his termination of employment.  (</w:t>
      </w:r>
      <w:r w:rsidR="00084E58" w:rsidRPr="00C61B53">
        <w:rPr>
          <w:i/>
        </w:rPr>
        <w:t xml:space="preserve">Id. </w:t>
      </w:r>
      <w:r w:rsidR="00084E58" w:rsidRPr="00C61B53">
        <w:t>at p. 942.)</w:t>
      </w:r>
      <w:r w:rsidR="00BE04F6" w:rsidRPr="00C61B53">
        <w:t xml:space="preserve">  </w:t>
      </w:r>
      <w:r w:rsidR="00084E58" w:rsidRPr="00C61B53">
        <w:t xml:space="preserve">When HSBC acquired Arthur Andersen, it offered to employ Edwards on the condition that he sign a </w:t>
      </w:r>
      <w:r w:rsidR="006017AA" w:rsidRPr="00C61B53">
        <w:t>“</w:t>
      </w:r>
      <w:r w:rsidR="006A5D4B">
        <w:t> ‘</w:t>
      </w:r>
      <w:r w:rsidR="006017AA" w:rsidRPr="00C61B53">
        <w:t>T</w:t>
      </w:r>
      <w:r w:rsidR="00084E58" w:rsidRPr="00C61B53">
        <w:t xml:space="preserve">ermination of </w:t>
      </w:r>
      <w:r w:rsidR="006017AA" w:rsidRPr="00C61B53">
        <w:t>N</w:t>
      </w:r>
      <w:r w:rsidR="00084E58" w:rsidRPr="00C61B53">
        <w:t xml:space="preserve">on-compete </w:t>
      </w:r>
      <w:r w:rsidR="006017AA" w:rsidRPr="00C61B53">
        <w:t>A</w:t>
      </w:r>
      <w:r w:rsidR="00084E58" w:rsidRPr="00C61B53">
        <w:t>greement,</w:t>
      </w:r>
      <w:r w:rsidR="006A5D4B">
        <w:t>’ </w:t>
      </w:r>
      <w:r w:rsidR="006017AA" w:rsidRPr="00C61B53">
        <w:t>”</w:t>
      </w:r>
      <w:r w:rsidR="00084E58" w:rsidRPr="00C61B53">
        <w:t xml:space="preserve"> which would</w:t>
      </w:r>
      <w:r w:rsidR="00B40F6B" w:rsidRPr="00C61B53">
        <w:t xml:space="preserve"> effect a general release of claims against Arthur Andersen and, in turn, </w:t>
      </w:r>
      <w:r w:rsidR="00084E58" w:rsidRPr="00C61B53">
        <w:t>induce Arthur Andersen to release Edwards from the noncompetition agreement</w:t>
      </w:r>
      <w:r w:rsidR="00B5745F" w:rsidRPr="00C61B53">
        <w:t xml:space="preserve"> he had previously signed</w:t>
      </w:r>
      <w:r w:rsidR="00084E58" w:rsidRPr="00C61B53">
        <w:t>.</w:t>
      </w:r>
      <w:r w:rsidR="00B40F6B" w:rsidRPr="00C61B53">
        <w:t xml:space="preserve">  (</w:t>
      </w:r>
      <w:r w:rsidR="00B40F6B" w:rsidRPr="00C61B53">
        <w:rPr>
          <w:i/>
        </w:rPr>
        <w:t>Id.</w:t>
      </w:r>
      <w:r w:rsidR="00B40F6B" w:rsidRPr="00C61B53">
        <w:t xml:space="preserve"> at p. 943.)</w:t>
      </w:r>
      <w:r w:rsidR="00BE04F6" w:rsidRPr="00C61B53">
        <w:t xml:space="preserve">  </w:t>
      </w:r>
      <w:r w:rsidR="00B40F6B" w:rsidRPr="00C61B53">
        <w:t xml:space="preserve">When </w:t>
      </w:r>
      <w:r w:rsidR="00513A2C" w:rsidRPr="00C61B53">
        <w:t>Edwards</w:t>
      </w:r>
      <w:r w:rsidR="00084E58" w:rsidRPr="00C61B53">
        <w:t xml:space="preserve"> refused to sign the termination of noncompete agreement, </w:t>
      </w:r>
      <w:r w:rsidR="00B40F6B" w:rsidRPr="00C61B53">
        <w:t>Arth</w:t>
      </w:r>
      <w:r w:rsidR="0091192A" w:rsidRPr="00C61B53">
        <w:t>u</w:t>
      </w:r>
      <w:r w:rsidR="00B40F6B" w:rsidRPr="00C61B53">
        <w:t>r Andersen fired him, and HSBC withdrew its offer to</w:t>
      </w:r>
      <w:r w:rsidR="00084E58" w:rsidRPr="00C61B53">
        <w:t xml:space="preserve"> employ</w:t>
      </w:r>
      <w:r w:rsidR="00B40F6B" w:rsidRPr="00C61B53">
        <w:t xml:space="preserve"> him</w:t>
      </w:r>
      <w:r w:rsidR="00084E58" w:rsidRPr="00C61B53">
        <w:t>.  (</w:t>
      </w:r>
      <w:r w:rsidR="00084E58" w:rsidRPr="00C61B53">
        <w:rPr>
          <w:i/>
        </w:rPr>
        <w:t>Ibid.</w:t>
      </w:r>
      <w:r w:rsidR="00084E58" w:rsidRPr="00C61B53">
        <w:t>)</w:t>
      </w:r>
      <w:r w:rsidR="00BE04F6" w:rsidRPr="00C61B53">
        <w:t xml:space="preserve">  </w:t>
      </w:r>
      <w:r w:rsidR="00513A2C" w:rsidRPr="00C61B53">
        <w:t>Edwards</w:t>
      </w:r>
      <w:r w:rsidR="00084E58" w:rsidRPr="00C61B53">
        <w:t xml:space="preserve"> </w:t>
      </w:r>
      <w:r w:rsidR="00B40F6B" w:rsidRPr="00C61B53">
        <w:t>sued</w:t>
      </w:r>
      <w:r w:rsidR="00084E58" w:rsidRPr="00C61B53">
        <w:t xml:space="preserve"> </w:t>
      </w:r>
      <w:r w:rsidR="00532358" w:rsidRPr="00C61B53">
        <w:t xml:space="preserve">Arthur </w:t>
      </w:r>
      <w:r w:rsidR="00513A2C" w:rsidRPr="00C61B53">
        <w:t xml:space="preserve">Andersen </w:t>
      </w:r>
      <w:r w:rsidR="00084E58" w:rsidRPr="00C61B53">
        <w:t>for interference with prospective economic advantage</w:t>
      </w:r>
      <w:r w:rsidR="00876603" w:rsidRPr="00C61B53">
        <w:t xml:space="preserve">, claiming </w:t>
      </w:r>
      <w:r w:rsidR="00084E58" w:rsidRPr="00C61B53">
        <w:t xml:space="preserve">that the interference was wrongful because the </w:t>
      </w:r>
      <w:r w:rsidR="00084E58" w:rsidRPr="00C61B53">
        <w:lastRenderedPageBreak/>
        <w:t>underlying noncompet</w:t>
      </w:r>
      <w:r w:rsidR="00B40F6B" w:rsidRPr="00C61B53">
        <w:t>ition</w:t>
      </w:r>
      <w:r w:rsidR="00084E58" w:rsidRPr="00C61B53">
        <w:t xml:space="preserve"> agreement he signed was invalid under section 16600.  (</w:t>
      </w:r>
      <w:r w:rsidR="009428FB">
        <w:rPr>
          <w:i/>
        </w:rPr>
        <w:t>Edwards</w:t>
      </w:r>
      <w:r w:rsidR="009428FB">
        <w:t>,</w:t>
      </w:r>
      <w:r w:rsidR="00084E58" w:rsidRPr="00C61B53">
        <w:rPr>
          <w:i/>
        </w:rPr>
        <w:t xml:space="preserve"> </w:t>
      </w:r>
      <w:r w:rsidR="00084E58" w:rsidRPr="00C61B53">
        <w:t>at p. 944.)</w:t>
      </w:r>
    </w:p>
    <w:p w14:paraId="3AB2C635" w14:textId="61FD7BA7" w:rsidR="00BE04F6" w:rsidRPr="00C61B53" w:rsidRDefault="00084E58" w:rsidP="00107F0E">
      <w:pPr>
        <w:ind w:firstLine="720"/>
      </w:pPr>
      <w:r w:rsidRPr="00C61B53">
        <w:t>We agreed, holding that “an employer cannot by contract restrain a former employee from engaging in his or her profession, trade, or business unless the agreement falls within one of the exceptions to the rule.”  (</w:t>
      </w:r>
      <w:r w:rsidRPr="00C61B53">
        <w:rPr>
          <w:i/>
        </w:rPr>
        <w:t>Edwards</w:t>
      </w:r>
      <w:r w:rsidRPr="00C61B53">
        <w:t xml:space="preserve">, </w:t>
      </w:r>
      <w:r w:rsidRPr="00C61B53">
        <w:rPr>
          <w:i/>
        </w:rPr>
        <w:t>supra</w:t>
      </w:r>
      <w:r w:rsidRPr="00C61B53">
        <w:t xml:space="preserve">, 44 Cal.4th at </w:t>
      </w:r>
      <w:r w:rsidR="000F4EDB" w:rsidRPr="00C61B53">
        <w:t>p</w:t>
      </w:r>
      <w:r w:rsidRPr="00C61B53">
        <w:t>p. </w:t>
      </w:r>
      <w:r w:rsidR="000F4EDB" w:rsidRPr="00C61B53">
        <w:t>946–</w:t>
      </w:r>
      <w:r w:rsidRPr="00C61B53">
        <w:t>947.)</w:t>
      </w:r>
      <w:r w:rsidR="00BE04F6" w:rsidRPr="00C61B53">
        <w:t xml:space="preserve">  </w:t>
      </w:r>
      <w:r w:rsidRPr="00C61B53">
        <w:t xml:space="preserve">We </w:t>
      </w:r>
      <w:r w:rsidR="00CD4AAD" w:rsidRPr="00C61B53">
        <w:t>said</w:t>
      </w:r>
      <w:r w:rsidRPr="00C61B53">
        <w:t xml:space="preserve"> that section 16600 and its predecessor statute had rejected the common law “</w:t>
      </w:r>
      <w:r w:rsidR="006A5D4B">
        <w:t> ‘</w:t>
      </w:r>
      <w:r w:rsidRPr="00C61B53">
        <w:t>rule of reasonableness</w:t>
      </w:r>
      <w:r w:rsidR="006A5D4B">
        <w:t>’ </w:t>
      </w:r>
      <w:r w:rsidRPr="00C61B53">
        <w:t>” for a “legislative policy in favor of open competition and employee mobility.”  (</w:t>
      </w:r>
      <w:r w:rsidRPr="00C61B53">
        <w:rPr>
          <w:i/>
        </w:rPr>
        <w:t>Edwards</w:t>
      </w:r>
      <w:r w:rsidRPr="00C61B53">
        <w:t>, at p</w:t>
      </w:r>
      <w:r w:rsidR="00E218C8">
        <w:t>p</w:t>
      </w:r>
      <w:r w:rsidRPr="00C61B53">
        <w:t>. </w:t>
      </w:r>
      <w:r w:rsidR="00E218C8">
        <w:t xml:space="preserve">945, </w:t>
      </w:r>
      <w:r w:rsidRPr="00C61B53">
        <w:t>946.)</w:t>
      </w:r>
      <w:r w:rsidR="00BE04F6" w:rsidRPr="00C61B53">
        <w:t xml:space="preserve">  </w:t>
      </w:r>
      <w:r w:rsidR="001C2043" w:rsidRPr="00C61B53">
        <w:t>S</w:t>
      </w:r>
      <w:r w:rsidRPr="00C61B53">
        <w:t>tress</w:t>
      </w:r>
      <w:r w:rsidR="001C2043" w:rsidRPr="00C61B53">
        <w:t>ing</w:t>
      </w:r>
      <w:r w:rsidRPr="00C61B53">
        <w:t xml:space="preserve"> the statute’s plain meaning</w:t>
      </w:r>
      <w:r w:rsidR="003021FB" w:rsidRPr="00C61B53">
        <w:t xml:space="preserve">, we </w:t>
      </w:r>
      <w:r w:rsidR="00A960A3" w:rsidRPr="00C61B53">
        <w:t>rejected</w:t>
      </w:r>
      <w:r w:rsidR="00B40F6B" w:rsidRPr="00C61B53">
        <w:t xml:space="preserve"> the </w:t>
      </w:r>
      <w:r w:rsidR="00A960A3" w:rsidRPr="00C61B53">
        <w:t>argument</w:t>
      </w:r>
      <w:r w:rsidR="00513A2C" w:rsidRPr="00C61B53">
        <w:t xml:space="preserve"> that section 16600</w:t>
      </w:r>
      <w:r w:rsidR="003021FB" w:rsidRPr="00C61B53">
        <w:t xml:space="preserve"> only </w:t>
      </w:r>
      <w:r w:rsidR="00B23757" w:rsidRPr="00C61B53">
        <w:t>voids restraints that entirely prohibit an employee from engaging in</w:t>
      </w:r>
      <w:r w:rsidR="00E1132C" w:rsidRPr="00C61B53">
        <w:t xml:space="preserve"> a profession and not </w:t>
      </w:r>
      <w:r w:rsidR="00566868" w:rsidRPr="00C61B53">
        <w:t xml:space="preserve">less restrictive </w:t>
      </w:r>
      <w:r w:rsidR="00E1132C" w:rsidRPr="00C61B53">
        <w:t xml:space="preserve">limitations </w:t>
      </w:r>
      <w:r w:rsidR="00566868" w:rsidRPr="00C61B53">
        <w:t>that are reasonable.  (</w:t>
      </w:r>
      <w:r w:rsidR="00B40F6B" w:rsidRPr="00C61B53">
        <w:rPr>
          <w:i/>
        </w:rPr>
        <w:t>Edwards</w:t>
      </w:r>
      <w:r w:rsidR="00B40F6B" w:rsidRPr="00C61B53">
        <w:t>,</w:t>
      </w:r>
      <w:r w:rsidR="00566868" w:rsidRPr="00C61B53">
        <w:rPr>
          <w:i/>
        </w:rPr>
        <w:t xml:space="preserve"> </w:t>
      </w:r>
      <w:r w:rsidR="00566868" w:rsidRPr="00C61B53">
        <w:t xml:space="preserve">at </w:t>
      </w:r>
      <w:r w:rsidR="004368A1" w:rsidRPr="00C61B53">
        <w:t>p</w:t>
      </w:r>
      <w:r w:rsidR="00761444">
        <w:t>p</w:t>
      </w:r>
      <w:r w:rsidR="004368A1" w:rsidRPr="00C61B53">
        <w:t>. 946</w:t>
      </w:r>
      <w:r w:rsidR="00761444">
        <w:t>–947</w:t>
      </w:r>
      <w:r w:rsidR="004368A1" w:rsidRPr="00C61B53">
        <w:t>.)</w:t>
      </w:r>
      <w:r w:rsidR="00BE04F6" w:rsidRPr="00C61B53">
        <w:t xml:space="preserve">  </w:t>
      </w:r>
      <w:r w:rsidR="00714148" w:rsidRPr="00C61B53">
        <w:t>Similarly, w</w:t>
      </w:r>
      <w:r w:rsidR="00566868" w:rsidRPr="00C61B53">
        <w:t xml:space="preserve">e </w:t>
      </w:r>
      <w:r w:rsidR="00CF3C97" w:rsidRPr="00C61B53">
        <w:t xml:space="preserve">rejected the Ninth Circuit’s </w:t>
      </w:r>
      <w:r w:rsidR="00761444">
        <w:t>“</w:t>
      </w:r>
      <w:r w:rsidR="00714148" w:rsidRPr="00C61B53">
        <w:t>narrow restraint</w:t>
      </w:r>
      <w:r w:rsidR="00761444">
        <w:t>”</w:t>
      </w:r>
      <w:r w:rsidR="00714148" w:rsidRPr="00C61B53">
        <w:t xml:space="preserve"> </w:t>
      </w:r>
      <w:r w:rsidR="00CF3C97" w:rsidRPr="00C61B53">
        <w:t>construction of section 16600</w:t>
      </w:r>
      <w:r w:rsidR="000E2B2D" w:rsidRPr="00C61B53">
        <w:t>, wh</w:t>
      </w:r>
      <w:r w:rsidR="00191308" w:rsidRPr="00C61B53">
        <w:t xml:space="preserve">ich excepted </w:t>
      </w:r>
      <w:r w:rsidR="000372C2" w:rsidRPr="00C61B53">
        <w:t xml:space="preserve">agreements limiting only a </w:t>
      </w:r>
      <w:r w:rsidR="00D66B2F" w:rsidRPr="00C61B53">
        <w:t>narrow</w:t>
      </w:r>
      <w:r w:rsidR="000372C2" w:rsidRPr="00C61B53">
        <w:t xml:space="preserve"> part of </w:t>
      </w:r>
      <w:r w:rsidR="00D66B2F" w:rsidRPr="00C61B53">
        <w:t>a party’s business, trade, or profession.  (</w:t>
      </w:r>
      <w:r w:rsidR="00B40F6B" w:rsidRPr="00C61B53">
        <w:rPr>
          <w:i/>
        </w:rPr>
        <w:t>Edwards</w:t>
      </w:r>
      <w:r w:rsidR="00B40F6B" w:rsidRPr="00C61B53">
        <w:t>,</w:t>
      </w:r>
      <w:r w:rsidR="00D66B2F" w:rsidRPr="00C61B53">
        <w:t xml:space="preserve"> at pp. 948–950.)</w:t>
      </w:r>
    </w:p>
    <w:p w14:paraId="03AFA70C" w14:textId="39E72568" w:rsidR="00BE04F6" w:rsidRPr="00C61B53" w:rsidRDefault="00CF3C97" w:rsidP="00107F0E">
      <w:pPr>
        <w:ind w:firstLine="720"/>
      </w:pPr>
      <w:proofErr w:type="spellStart"/>
      <w:r w:rsidRPr="00C61B53">
        <w:t>Ixchel</w:t>
      </w:r>
      <w:proofErr w:type="spellEnd"/>
      <w:r w:rsidR="009B3C61" w:rsidRPr="00C61B53">
        <w:t xml:space="preserve"> argues that </w:t>
      </w:r>
      <w:r w:rsidR="00876603" w:rsidRPr="00C61B53">
        <w:rPr>
          <w:i/>
        </w:rPr>
        <w:t>Edwards</w:t>
      </w:r>
      <w:r w:rsidR="008719D0" w:rsidRPr="00C61B53">
        <w:rPr>
          <w:i/>
        </w:rPr>
        <w:t xml:space="preserve"> </w:t>
      </w:r>
      <w:r w:rsidR="009B3C61" w:rsidRPr="00C61B53">
        <w:t xml:space="preserve">conclusively </w:t>
      </w:r>
      <w:r w:rsidR="00D754CC" w:rsidRPr="00C61B53">
        <w:t xml:space="preserve">held that </w:t>
      </w:r>
      <w:r w:rsidR="00B54010" w:rsidRPr="00C61B53">
        <w:t>section 16600 invalidates all restraints on trade</w:t>
      </w:r>
      <w:r w:rsidR="00867D87" w:rsidRPr="00C61B53">
        <w:t xml:space="preserve"> for all contracts</w:t>
      </w:r>
      <w:r w:rsidR="001A662F" w:rsidRPr="00C61B53">
        <w:t>,</w:t>
      </w:r>
      <w:r w:rsidR="00B54010" w:rsidRPr="00C61B53">
        <w:t xml:space="preserve"> no matter how reasonable</w:t>
      </w:r>
      <w:r w:rsidR="000047C9" w:rsidRPr="00C61B53">
        <w:t>.</w:t>
      </w:r>
      <w:r w:rsidR="00B01E41" w:rsidRPr="00C61B53">
        <w:t xml:space="preserve">  </w:t>
      </w:r>
      <w:r w:rsidR="00026201" w:rsidRPr="00C61B53">
        <w:t xml:space="preserve">It relies on our </w:t>
      </w:r>
      <w:r w:rsidR="00DE09AF" w:rsidRPr="00C61B53">
        <w:t xml:space="preserve">conclusion </w:t>
      </w:r>
      <w:r w:rsidR="00B61FC6" w:rsidRPr="00C61B53">
        <w:t xml:space="preserve">that </w:t>
      </w:r>
      <w:r w:rsidR="00684315" w:rsidRPr="00C61B53">
        <w:t>“</w:t>
      </w:r>
      <w:r w:rsidR="00867D87" w:rsidRPr="00C61B53">
        <w:t>[s]</w:t>
      </w:r>
      <w:proofErr w:type="spellStart"/>
      <w:r w:rsidR="00684315" w:rsidRPr="00C61B53">
        <w:t>ection</w:t>
      </w:r>
      <w:proofErr w:type="spellEnd"/>
      <w:r w:rsidR="00684315" w:rsidRPr="00C61B53">
        <w:t xml:space="preserve"> 16600 is unambiguous, and if the Legislature intended the statute to apply only to restraints that were unreasonable or overbroad, it could have included language to that effect.”  (</w:t>
      </w:r>
      <w:r w:rsidR="00532358" w:rsidRPr="00C61B53">
        <w:rPr>
          <w:i/>
        </w:rPr>
        <w:t>Edwards</w:t>
      </w:r>
      <w:r w:rsidR="00532358" w:rsidRPr="00C61B53">
        <w:t xml:space="preserve">, </w:t>
      </w:r>
      <w:r w:rsidR="00532358" w:rsidRPr="00C61B53">
        <w:rPr>
          <w:i/>
        </w:rPr>
        <w:t>supra</w:t>
      </w:r>
      <w:r w:rsidR="00532358" w:rsidRPr="00C61B53">
        <w:t>, 44 Cal.4th</w:t>
      </w:r>
      <w:r w:rsidR="00684315" w:rsidRPr="00C61B53">
        <w:t xml:space="preserve"> at p. 950.)</w:t>
      </w:r>
      <w:r w:rsidR="00B61FC6" w:rsidRPr="00C61B53">
        <w:t xml:space="preserve">  </w:t>
      </w:r>
      <w:r w:rsidR="00C21F42" w:rsidRPr="00C61B53">
        <w:t xml:space="preserve">But </w:t>
      </w:r>
      <w:proofErr w:type="spellStart"/>
      <w:r w:rsidR="00C21F42" w:rsidRPr="00C61B53">
        <w:t>Ixchel</w:t>
      </w:r>
      <w:proofErr w:type="spellEnd"/>
      <w:r w:rsidR="00C21F42" w:rsidRPr="00C61B53">
        <w:t xml:space="preserve"> </w:t>
      </w:r>
      <w:r w:rsidR="00DE09AF" w:rsidRPr="00C61B53">
        <w:t>reads too much into</w:t>
      </w:r>
      <w:r w:rsidR="00191308" w:rsidRPr="00C61B53">
        <w:t xml:space="preserve"> </w:t>
      </w:r>
      <w:r w:rsidR="00191308" w:rsidRPr="00C61B53">
        <w:rPr>
          <w:i/>
        </w:rPr>
        <w:t>Edwards</w:t>
      </w:r>
      <w:r w:rsidR="00191308" w:rsidRPr="00C61B53">
        <w:t>.</w:t>
      </w:r>
      <w:r w:rsidR="00BE04F6" w:rsidRPr="00C61B53">
        <w:t xml:space="preserve">  </w:t>
      </w:r>
      <w:r w:rsidR="00084E58" w:rsidRPr="00C61B53">
        <w:t>“It is axiomatic that language in a judicial opinion is to be understood in accordance with the facts and issues before the court.”  (</w:t>
      </w:r>
      <w:r w:rsidR="00084E58" w:rsidRPr="00C61B53">
        <w:rPr>
          <w:i/>
        </w:rPr>
        <w:t>Chevron U.S.A., Inc. v. Workers’ Comp. Appeals Bd</w:t>
      </w:r>
      <w:r w:rsidR="00084E58" w:rsidRPr="00C61B53">
        <w:t xml:space="preserve">. (1999) 19 Cal.4th 1182, 1195.)  The plaintiff in </w:t>
      </w:r>
      <w:r w:rsidR="00084E58" w:rsidRPr="00C61B53">
        <w:rPr>
          <w:i/>
        </w:rPr>
        <w:t>Edwards</w:t>
      </w:r>
      <w:r w:rsidR="00084E58" w:rsidRPr="00C61B53">
        <w:t xml:space="preserve"> sought to invalid</w:t>
      </w:r>
      <w:r w:rsidR="00FC16D3" w:rsidRPr="00C61B53">
        <w:t>ate</w:t>
      </w:r>
      <w:r w:rsidR="00084E58" w:rsidRPr="00C61B53">
        <w:t xml:space="preserve"> a noncompet</w:t>
      </w:r>
      <w:r w:rsidR="00C21F42" w:rsidRPr="00C61B53">
        <w:t>ition</w:t>
      </w:r>
      <w:r w:rsidR="00084E58" w:rsidRPr="00C61B53">
        <w:t xml:space="preserve"> clause in his employment agreement, and we </w:t>
      </w:r>
      <w:r w:rsidR="00F01318" w:rsidRPr="00C61B53">
        <w:t>“</w:t>
      </w:r>
      <w:r w:rsidR="00084E58" w:rsidRPr="00C61B53">
        <w:t xml:space="preserve">limited </w:t>
      </w:r>
      <w:r w:rsidR="00F01318" w:rsidRPr="00C61B53">
        <w:t xml:space="preserve">our </w:t>
      </w:r>
      <w:r w:rsidR="00084E58" w:rsidRPr="00C61B53">
        <w:t>review</w:t>
      </w:r>
      <w:r w:rsidR="00F01318" w:rsidRPr="00C61B53">
        <w:t>”</w:t>
      </w:r>
      <w:r w:rsidR="00084E58" w:rsidRPr="00C61B53">
        <w:t xml:space="preserve"> to whether </w:t>
      </w:r>
      <w:r w:rsidR="00084E58" w:rsidRPr="00C61B53">
        <w:lastRenderedPageBreak/>
        <w:t>“Business and Professions Code section 16600 prohibit[s] employee noncompetition agreements</w:t>
      </w:r>
      <w:r w:rsidR="001D5DA1">
        <w:t xml:space="preserve"> . . . .</w:t>
      </w:r>
      <w:r w:rsidR="00084E58" w:rsidRPr="00C61B53">
        <w:t>”  (</w:t>
      </w:r>
      <w:r w:rsidR="00084E58" w:rsidRPr="00C61B53">
        <w:rPr>
          <w:i/>
        </w:rPr>
        <w:t>Edwards</w:t>
      </w:r>
      <w:r w:rsidR="00084E58" w:rsidRPr="00C61B53">
        <w:t>, at p. 941</w:t>
      </w:r>
      <w:r w:rsidR="00B14150">
        <w:t>, fn. omitted</w:t>
      </w:r>
      <w:r w:rsidR="00084E58" w:rsidRPr="00C61B53">
        <w:t>.)  We held that “section 16600 prohibits employee noncompetition agreements unless the agreement falls within a statutory exception</w:t>
      </w:r>
      <w:r w:rsidR="001D5DA1">
        <w:t xml:space="preserve"> . . . .</w:t>
      </w:r>
      <w:r w:rsidR="00084E58" w:rsidRPr="00C61B53">
        <w:t>”  (</w:t>
      </w:r>
      <w:r w:rsidR="00084E58" w:rsidRPr="00C61B53">
        <w:rPr>
          <w:i/>
        </w:rPr>
        <w:t>Id</w:t>
      </w:r>
      <w:r w:rsidR="00084E58" w:rsidRPr="00C61B53">
        <w:t xml:space="preserve">. at p. 942.)  The question of whether noncompetition agreements outside the employment context are per se invalid was not presented in </w:t>
      </w:r>
      <w:r w:rsidR="00084E58" w:rsidRPr="00C61B53">
        <w:rPr>
          <w:i/>
        </w:rPr>
        <w:t>Edwards</w:t>
      </w:r>
      <w:r w:rsidR="00084E58" w:rsidRPr="00C61B53">
        <w:t xml:space="preserve">. </w:t>
      </w:r>
    </w:p>
    <w:p w14:paraId="788CB466" w14:textId="0457FF98" w:rsidR="00BE04F6" w:rsidRPr="00C61B53" w:rsidRDefault="00C21F42" w:rsidP="00107F0E">
      <w:pPr>
        <w:ind w:firstLine="720"/>
      </w:pPr>
      <w:r w:rsidRPr="00C61B53">
        <w:t>Moreover</w:t>
      </w:r>
      <w:r w:rsidR="003F5890" w:rsidRPr="00C61B53">
        <w:t xml:space="preserve">, </w:t>
      </w:r>
      <w:r w:rsidR="00DA7625" w:rsidRPr="00C61B53">
        <w:t>the</w:t>
      </w:r>
      <w:r w:rsidR="003F5890" w:rsidRPr="00C61B53">
        <w:t xml:space="preserve"> rationale in </w:t>
      </w:r>
      <w:r w:rsidR="003F5890" w:rsidRPr="00C61B53">
        <w:rPr>
          <w:i/>
        </w:rPr>
        <w:t>Edwards</w:t>
      </w:r>
      <w:r w:rsidR="003F5890" w:rsidRPr="00C61B53">
        <w:t xml:space="preserve"> </w:t>
      </w:r>
      <w:r w:rsidR="00551864" w:rsidRPr="00C61B53">
        <w:t>focused</w:t>
      </w:r>
      <w:r w:rsidR="00DA7625" w:rsidRPr="00C61B53">
        <w:t xml:space="preserve"> on policy </w:t>
      </w:r>
      <w:r w:rsidR="00856B49" w:rsidRPr="00C61B53">
        <w:t>considerations</w:t>
      </w:r>
      <w:r w:rsidR="00DA7625" w:rsidRPr="00C61B53">
        <w:t xml:space="preserve"> </w:t>
      </w:r>
      <w:r w:rsidR="00856B49" w:rsidRPr="00C61B53">
        <w:t xml:space="preserve">specific </w:t>
      </w:r>
      <w:r w:rsidR="00BF7C36" w:rsidRPr="00C61B53">
        <w:t xml:space="preserve">to </w:t>
      </w:r>
      <w:r w:rsidR="00856B49" w:rsidRPr="00C61B53">
        <w:t>employ</w:t>
      </w:r>
      <w:r w:rsidR="00867D87" w:rsidRPr="00C61B53">
        <w:t>ment</w:t>
      </w:r>
      <w:r w:rsidR="00BF7C36" w:rsidRPr="00C61B53">
        <w:t xml:space="preserve"> mobility</w:t>
      </w:r>
      <w:r w:rsidR="00867D87" w:rsidRPr="00C61B53">
        <w:t xml:space="preserve"> and competition</w:t>
      </w:r>
      <w:r w:rsidRPr="00C61B53">
        <w:t xml:space="preserve">:  </w:t>
      </w:r>
      <w:r w:rsidR="00B1587A" w:rsidRPr="00C61B53">
        <w:t>“</w:t>
      </w:r>
      <w:r w:rsidR="003B5264" w:rsidRPr="00C61B53">
        <w:t xml:space="preserve">The law protects Californians and ensures </w:t>
      </w:r>
      <w:r w:rsidR="00B1587A" w:rsidRPr="00C61B53">
        <w:t>‘</w:t>
      </w:r>
      <w:r w:rsidR="003B5264" w:rsidRPr="00C61B53">
        <w:t>that every citizen shall retain the right to pursue any lawful employment and enterprise of their choice.</w:t>
      </w:r>
      <w:r w:rsidR="00B1587A" w:rsidRPr="00C61B53">
        <w:t>’</w:t>
      </w:r>
      <w:r w:rsidR="003B5264" w:rsidRPr="00C61B53">
        <w:t xml:space="preserve"> </w:t>
      </w:r>
      <w:r w:rsidR="00867D87" w:rsidRPr="00C61B53">
        <w:t xml:space="preserve"> </w:t>
      </w:r>
      <w:r w:rsidR="003B5264" w:rsidRPr="00C61B53">
        <w:t xml:space="preserve">[Citation.] </w:t>
      </w:r>
      <w:r w:rsidR="00867D87" w:rsidRPr="00C61B53">
        <w:t xml:space="preserve"> </w:t>
      </w:r>
      <w:r w:rsidR="003B5264" w:rsidRPr="00C61B53">
        <w:t xml:space="preserve">It protects </w:t>
      </w:r>
      <w:r w:rsidR="00B1587A" w:rsidRPr="00C61B53">
        <w:t>‘</w:t>
      </w:r>
      <w:r w:rsidR="003B5264" w:rsidRPr="00C61B53">
        <w:t>the important legal right of persons to engage in businesses and occupations of their choosing.</w:t>
      </w:r>
      <w:r w:rsidR="00B1587A" w:rsidRPr="00C61B53">
        <w:t>’ </w:t>
      </w:r>
      <w:r w:rsidR="003B5264" w:rsidRPr="00C61B53">
        <w:t xml:space="preserve">” </w:t>
      </w:r>
      <w:r w:rsidR="00143383" w:rsidRPr="00C61B53">
        <w:t xml:space="preserve"> (</w:t>
      </w:r>
      <w:r w:rsidR="009252E7" w:rsidRPr="00C61B53">
        <w:rPr>
          <w:i/>
        </w:rPr>
        <w:t>Edwards</w:t>
      </w:r>
      <w:r w:rsidR="009252E7" w:rsidRPr="00C61B53">
        <w:t xml:space="preserve">, </w:t>
      </w:r>
      <w:r w:rsidR="009252E7" w:rsidRPr="00C61B53">
        <w:rPr>
          <w:i/>
        </w:rPr>
        <w:t>supra</w:t>
      </w:r>
      <w:r w:rsidR="009252E7" w:rsidRPr="00C61B53">
        <w:t xml:space="preserve">, 44 Cal.4th at </w:t>
      </w:r>
      <w:r w:rsidR="00551864" w:rsidRPr="00C61B53">
        <w:t>p. 946</w:t>
      </w:r>
      <w:r w:rsidRPr="00C61B53">
        <w:t xml:space="preserve">; see </w:t>
      </w:r>
      <w:r w:rsidRPr="00C61B53">
        <w:rPr>
          <w:i/>
        </w:rPr>
        <w:t>ibid.</w:t>
      </w:r>
      <w:r w:rsidRPr="00C61B53">
        <w:t xml:space="preserve"> [</w:t>
      </w:r>
      <w:r w:rsidR="00551864" w:rsidRPr="00C61B53">
        <w:t>t</w:t>
      </w:r>
      <w:r w:rsidR="00143383" w:rsidRPr="00C61B53">
        <w:t>he statute “evinces a settled legislative policy in favor of open competition and employee mobility”</w:t>
      </w:r>
      <w:r w:rsidRPr="00C61B53">
        <w:t>].)</w:t>
      </w:r>
      <w:r w:rsidR="00BE04F6" w:rsidRPr="00C61B53">
        <w:t xml:space="preserve">  </w:t>
      </w:r>
      <w:r w:rsidR="00BF7C36" w:rsidRPr="00C61B53">
        <w:t>And we cited cases exclusively from the employment context</w:t>
      </w:r>
      <w:r w:rsidR="004A3660" w:rsidRPr="00C61B53">
        <w:t xml:space="preserve"> </w:t>
      </w:r>
      <w:r w:rsidR="00323256">
        <w:t>in our reasoning</w:t>
      </w:r>
      <w:r w:rsidR="00BF7C36" w:rsidRPr="00C61B53">
        <w:t xml:space="preserve">.  </w:t>
      </w:r>
      <w:r w:rsidR="004A50BF" w:rsidRPr="00C61B53">
        <w:t>(</w:t>
      </w:r>
      <w:r w:rsidR="004A50BF" w:rsidRPr="00C61B53">
        <w:rPr>
          <w:i/>
        </w:rPr>
        <w:t>Id</w:t>
      </w:r>
      <w:r w:rsidR="004A50BF" w:rsidRPr="00C61B53">
        <w:t>. at pp. </w:t>
      </w:r>
      <w:r w:rsidR="004A3660" w:rsidRPr="00C61B53">
        <w:t>945–948</w:t>
      </w:r>
      <w:r w:rsidR="00854AC6" w:rsidRPr="00C61B53">
        <w:t>, citing</w:t>
      </w:r>
      <w:r w:rsidR="00BE04F6" w:rsidRPr="00C61B53">
        <w:t xml:space="preserve"> </w:t>
      </w:r>
      <w:proofErr w:type="spellStart"/>
      <w:r w:rsidR="009D5418" w:rsidRPr="00C61B53">
        <w:rPr>
          <w:i/>
        </w:rPr>
        <w:t>Bosley</w:t>
      </w:r>
      <w:proofErr w:type="spellEnd"/>
      <w:r w:rsidR="009D5418" w:rsidRPr="00C61B53">
        <w:rPr>
          <w:i/>
        </w:rPr>
        <w:t xml:space="preserve"> Medical Group v. Abramson</w:t>
      </w:r>
      <w:r w:rsidR="009D5418" w:rsidRPr="00C61B53">
        <w:t xml:space="preserve"> (1984) 161 Cal.App.3d 284</w:t>
      </w:r>
      <w:r w:rsidR="00854AC6" w:rsidRPr="00C61B53">
        <w:t xml:space="preserve">, </w:t>
      </w:r>
      <w:proofErr w:type="spellStart"/>
      <w:r w:rsidR="009D5418" w:rsidRPr="00C61B53">
        <w:rPr>
          <w:i/>
        </w:rPr>
        <w:t>D</w:t>
      </w:r>
      <w:r w:rsidR="00867D87" w:rsidRPr="00C61B53">
        <w:rPr>
          <w:i/>
        </w:rPr>
        <w:t>’</w:t>
      </w:r>
      <w:r w:rsidR="009D5418" w:rsidRPr="00C61B53">
        <w:rPr>
          <w:i/>
        </w:rPr>
        <w:t>sa</w:t>
      </w:r>
      <w:proofErr w:type="spellEnd"/>
      <w:r w:rsidR="009D5418" w:rsidRPr="00C61B53">
        <w:rPr>
          <w:i/>
        </w:rPr>
        <w:t xml:space="preserve"> v. </w:t>
      </w:r>
      <w:proofErr w:type="spellStart"/>
      <w:r w:rsidR="009D5418" w:rsidRPr="00C61B53">
        <w:rPr>
          <w:i/>
        </w:rPr>
        <w:t>Playhut</w:t>
      </w:r>
      <w:proofErr w:type="spellEnd"/>
      <w:r w:rsidR="009D5418" w:rsidRPr="00C61B53">
        <w:rPr>
          <w:i/>
        </w:rPr>
        <w:t>, Inc</w:t>
      </w:r>
      <w:r w:rsidR="009D5418" w:rsidRPr="00C61B53">
        <w:t>. (2000) 85 Cal.App.4th 927,</w:t>
      </w:r>
      <w:r w:rsidR="00BE04F6" w:rsidRPr="00C61B53">
        <w:t xml:space="preserve"> </w:t>
      </w:r>
      <w:proofErr w:type="spellStart"/>
      <w:r w:rsidR="003C5151" w:rsidRPr="00C61B53">
        <w:rPr>
          <w:i/>
        </w:rPr>
        <w:t>Muggill</w:t>
      </w:r>
      <w:proofErr w:type="spellEnd"/>
      <w:r w:rsidR="00867D87" w:rsidRPr="00C61B53">
        <w:t xml:space="preserve">, </w:t>
      </w:r>
      <w:r w:rsidR="00867D87" w:rsidRPr="00C61B53">
        <w:rPr>
          <w:i/>
        </w:rPr>
        <w:t>supra</w:t>
      </w:r>
      <w:r w:rsidR="00867D87" w:rsidRPr="00C61B53">
        <w:t xml:space="preserve">, </w:t>
      </w:r>
      <w:r w:rsidR="003C5151" w:rsidRPr="00C61B53">
        <w:t xml:space="preserve">62 Cal.2d 239, </w:t>
      </w:r>
      <w:r w:rsidR="003C5151" w:rsidRPr="00C61B53">
        <w:rPr>
          <w:i/>
        </w:rPr>
        <w:t>Chamberlain</w:t>
      </w:r>
      <w:r w:rsidR="00F03455" w:rsidRPr="00C61B53">
        <w:t xml:space="preserve">, </w:t>
      </w:r>
      <w:r w:rsidR="00F03455" w:rsidRPr="00C61B53">
        <w:rPr>
          <w:i/>
        </w:rPr>
        <w:t>supra</w:t>
      </w:r>
      <w:r w:rsidR="00F03455" w:rsidRPr="00C61B53">
        <w:t xml:space="preserve">, </w:t>
      </w:r>
      <w:r w:rsidR="003C5151" w:rsidRPr="00C61B53">
        <w:t>172 Cal. 285</w:t>
      </w:r>
      <w:r w:rsidR="00F03455" w:rsidRPr="00C61B53">
        <w:t>,</w:t>
      </w:r>
      <w:r w:rsidR="00BE04F6" w:rsidRPr="00C61B53">
        <w:t xml:space="preserve"> </w:t>
      </w:r>
      <w:r w:rsidR="0049630D" w:rsidRPr="00C61B53">
        <w:rPr>
          <w:i/>
        </w:rPr>
        <w:t xml:space="preserve">Armendariz v. Foundation Health </w:t>
      </w:r>
      <w:proofErr w:type="spellStart"/>
      <w:r w:rsidR="0049630D" w:rsidRPr="00C61B53">
        <w:rPr>
          <w:i/>
        </w:rPr>
        <w:t>Psychcare</w:t>
      </w:r>
      <w:proofErr w:type="spellEnd"/>
      <w:r w:rsidR="0049630D" w:rsidRPr="00C61B53">
        <w:rPr>
          <w:i/>
        </w:rPr>
        <w:t xml:space="preserve"> Services, Inc.</w:t>
      </w:r>
      <w:r w:rsidR="0049630D" w:rsidRPr="00C61B53">
        <w:t xml:space="preserve"> (2000) 24 Cal.4th 83, </w:t>
      </w:r>
      <w:r w:rsidR="0049630D" w:rsidRPr="00C61B53">
        <w:rPr>
          <w:i/>
        </w:rPr>
        <w:t>South Bay Radiology Medical Associates v. Asher</w:t>
      </w:r>
      <w:r w:rsidR="0049630D" w:rsidRPr="00C61B53">
        <w:t xml:space="preserve"> (1990) 220 Cal.App.3d 1074, </w:t>
      </w:r>
      <w:r w:rsidR="001A029D">
        <w:t xml:space="preserve">and </w:t>
      </w:r>
      <w:proofErr w:type="spellStart"/>
      <w:r w:rsidR="0049630D" w:rsidRPr="00C61B53">
        <w:rPr>
          <w:i/>
        </w:rPr>
        <w:t>Vacco</w:t>
      </w:r>
      <w:proofErr w:type="spellEnd"/>
      <w:r w:rsidR="0049630D" w:rsidRPr="00C61B53">
        <w:rPr>
          <w:i/>
        </w:rPr>
        <w:t xml:space="preserve"> Industries, Inc. v. Van Den Berg</w:t>
      </w:r>
      <w:r w:rsidR="0049630D" w:rsidRPr="00C61B53">
        <w:t xml:space="preserve"> (1992) 5 Cal.App.4th 34</w:t>
      </w:r>
      <w:r w:rsidR="00F03455" w:rsidRPr="00C61B53">
        <w:t>.</w:t>
      </w:r>
      <w:r w:rsidR="00BE04F6" w:rsidRPr="00C61B53">
        <w:t>)</w:t>
      </w:r>
    </w:p>
    <w:p w14:paraId="13BFA4DC" w14:textId="0EF6BA03" w:rsidR="00BE04F6" w:rsidRPr="00C61B53" w:rsidRDefault="003F5890" w:rsidP="00107F0E">
      <w:pPr>
        <w:ind w:firstLine="720"/>
      </w:pPr>
      <w:r w:rsidRPr="00C61B53">
        <w:t>Finally</w:t>
      </w:r>
      <w:r w:rsidR="00DE09AF" w:rsidRPr="00C61B53">
        <w:t xml:space="preserve">, </w:t>
      </w:r>
      <w:r w:rsidR="006F2B7A" w:rsidRPr="00C61B53">
        <w:t xml:space="preserve">the holding and language in </w:t>
      </w:r>
      <w:r w:rsidR="006F2B7A" w:rsidRPr="00C61B53">
        <w:rPr>
          <w:i/>
        </w:rPr>
        <w:t>Edwards</w:t>
      </w:r>
      <w:r w:rsidR="006F2B7A" w:rsidRPr="00C61B53">
        <w:t xml:space="preserve"> </w:t>
      </w:r>
      <w:r w:rsidR="001C4448" w:rsidRPr="00C61B53">
        <w:t>simp</w:t>
      </w:r>
      <w:r w:rsidR="00A55C49" w:rsidRPr="00C61B53">
        <w:t xml:space="preserve">ly confirmed </w:t>
      </w:r>
      <w:r w:rsidR="00AB7A45" w:rsidRPr="00C61B53">
        <w:t>our</w:t>
      </w:r>
      <w:r w:rsidR="004A7642" w:rsidRPr="00C61B53">
        <w:t xml:space="preserve"> </w:t>
      </w:r>
      <w:r w:rsidR="000565B0" w:rsidRPr="00C61B53">
        <w:t>long</w:t>
      </w:r>
      <w:r w:rsidR="009647DB" w:rsidRPr="00C61B53">
        <w:t xml:space="preserve"> line of decisions </w:t>
      </w:r>
      <w:r w:rsidR="00E764D6" w:rsidRPr="00C61B53">
        <w:t>interpreting</w:t>
      </w:r>
      <w:r w:rsidR="009647DB" w:rsidRPr="00C61B53">
        <w:t xml:space="preserve"> section 16600 strictly in the </w:t>
      </w:r>
      <w:r w:rsidR="00E764D6" w:rsidRPr="00C61B53">
        <w:t xml:space="preserve">context of </w:t>
      </w:r>
      <w:r w:rsidR="00EE671F" w:rsidRPr="00C61B53">
        <w:t xml:space="preserve">noncompetition agreements </w:t>
      </w:r>
      <w:r w:rsidR="000565B0" w:rsidRPr="00C61B53">
        <w:t>following</w:t>
      </w:r>
      <w:r w:rsidR="00EE671F" w:rsidRPr="00C61B53">
        <w:t xml:space="preserve"> the termination of employment or the sale of </w:t>
      </w:r>
      <w:r w:rsidR="000565B0" w:rsidRPr="00C61B53">
        <w:t xml:space="preserve">interest in a </w:t>
      </w:r>
      <w:r w:rsidR="00EE671F" w:rsidRPr="00C61B53">
        <w:t xml:space="preserve">business.  Nothing </w:t>
      </w:r>
      <w:r w:rsidR="00B3016D" w:rsidRPr="00C61B53">
        <w:t xml:space="preserve">about </w:t>
      </w:r>
      <w:r w:rsidR="00B3016D" w:rsidRPr="00C61B53">
        <w:rPr>
          <w:i/>
        </w:rPr>
        <w:t>Edwards</w:t>
      </w:r>
      <w:r w:rsidR="00B3016D" w:rsidRPr="00C61B53">
        <w:t xml:space="preserve"> </w:t>
      </w:r>
      <w:r w:rsidR="0078286A" w:rsidRPr="00C61B53">
        <w:t>indicates a departure from that precedent</w:t>
      </w:r>
      <w:r w:rsidR="000E2B60" w:rsidRPr="00C61B53">
        <w:t xml:space="preserve"> </w:t>
      </w:r>
      <w:r w:rsidR="00A55C49" w:rsidRPr="00C61B53">
        <w:t>to</w:t>
      </w:r>
      <w:r w:rsidR="00867D87" w:rsidRPr="00C61B53">
        <w:t xml:space="preserve"> also</w:t>
      </w:r>
      <w:r w:rsidR="00A55C49" w:rsidRPr="00C61B53">
        <w:t xml:space="preserve"> </w:t>
      </w:r>
      <w:r w:rsidR="00867D87" w:rsidRPr="00C61B53">
        <w:t>invalidate</w:t>
      </w:r>
      <w:r w:rsidR="00A55C49" w:rsidRPr="00C61B53">
        <w:t xml:space="preserve"> reasonable </w:t>
      </w:r>
      <w:r w:rsidR="00867D87" w:rsidRPr="00C61B53">
        <w:t xml:space="preserve">contractual </w:t>
      </w:r>
      <w:r w:rsidR="00A55C49" w:rsidRPr="00C61B53">
        <w:lastRenderedPageBreak/>
        <w:t xml:space="preserve">limitations </w:t>
      </w:r>
      <w:r w:rsidR="00C12F53" w:rsidRPr="00C61B53">
        <w:t>on business operations and commercial dealings</w:t>
      </w:r>
      <w:r w:rsidR="00A55C49" w:rsidRPr="00C61B53">
        <w:t>.</w:t>
      </w:r>
      <w:r w:rsidR="00AB7A45" w:rsidRPr="00C61B53">
        <w:t xml:space="preserve">  </w:t>
      </w:r>
      <w:r w:rsidR="006F0CC8" w:rsidRPr="00C61B53">
        <w:t xml:space="preserve">Nor </w:t>
      </w:r>
      <w:r w:rsidR="00AB7A45" w:rsidRPr="00C61B53">
        <w:t xml:space="preserve">did </w:t>
      </w:r>
      <w:r w:rsidR="00867D87" w:rsidRPr="00C61B53">
        <w:rPr>
          <w:i/>
        </w:rPr>
        <w:t>Edwards</w:t>
      </w:r>
      <w:r w:rsidR="006F0CC8" w:rsidRPr="00C61B53">
        <w:t xml:space="preserve"> </w:t>
      </w:r>
      <w:r w:rsidR="00AB7A45" w:rsidRPr="00C61B53">
        <w:t xml:space="preserve">address </w:t>
      </w:r>
      <w:r w:rsidR="00A45034" w:rsidRPr="00C61B53">
        <w:t>our</w:t>
      </w:r>
      <w:r w:rsidR="000E2B60" w:rsidRPr="00C61B53">
        <w:t xml:space="preserve"> </w:t>
      </w:r>
      <w:r w:rsidR="00867D87" w:rsidRPr="00C61B53">
        <w:t xml:space="preserve">substantial body of law </w:t>
      </w:r>
      <w:r w:rsidR="00A45034" w:rsidRPr="00C61B53">
        <w:t xml:space="preserve">permitting such reasonable </w:t>
      </w:r>
      <w:r w:rsidR="009019B6" w:rsidRPr="00C61B53">
        <w:t>limitations</w:t>
      </w:r>
      <w:r w:rsidR="006F0CC8" w:rsidRPr="00C61B53">
        <w:t>.</w:t>
      </w:r>
    </w:p>
    <w:p w14:paraId="7C14C907" w14:textId="3EF51D3F" w:rsidR="006F731D" w:rsidRPr="00C61B53" w:rsidRDefault="00135A92" w:rsidP="00107F0E">
      <w:pPr>
        <w:ind w:firstLine="720"/>
      </w:pPr>
      <w:r w:rsidRPr="00C61B53">
        <w:t xml:space="preserve">In sum, </w:t>
      </w:r>
      <w:r w:rsidR="00C21F42" w:rsidRPr="00C61B53">
        <w:t>a survey</w:t>
      </w:r>
      <w:r w:rsidR="00DD2EEB" w:rsidRPr="00C61B53">
        <w:t xml:space="preserve"> </w:t>
      </w:r>
      <w:r w:rsidR="004F7106" w:rsidRPr="00C61B53">
        <w:t xml:space="preserve">of </w:t>
      </w:r>
      <w:r w:rsidR="00C21F42" w:rsidRPr="00C61B53">
        <w:t xml:space="preserve">our </w:t>
      </w:r>
      <w:r w:rsidR="004F7106" w:rsidRPr="00C61B53">
        <w:t>precedent construing section 16</w:t>
      </w:r>
      <w:r w:rsidR="00993DA9" w:rsidRPr="00C61B53">
        <w:t>6</w:t>
      </w:r>
      <w:r w:rsidR="004F7106" w:rsidRPr="00C61B53">
        <w:t>00 and its predecessor</w:t>
      </w:r>
      <w:r w:rsidR="008E0AC5" w:rsidRPr="00C61B53">
        <w:t xml:space="preserve"> </w:t>
      </w:r>
      <w:r w:rsidR="0059250B" w:rsidRPr="00C61B53">
        <w:t>statute</w:t>
      </w:r>
      <w:r w:rsidRPr="00C61B53">
        <w:t xml:space="preserve"> </w:t>
      </w:r>
      <w:r w:rsidR="0033600F" w:rsidRPr="00C61B53">
        <w:t xml:space="preserve">reveals that we have </w:t>
      </w:r>
      <w:r w:rsidR="00334A34" w:rsidRPr="00C61B53">
        <w:t xml:space="preserve">long </w:t>
      </w:r>
      <w:r w:rsidR="008E0AC5" w:rsidRPr="00C61B53">
        <w:t>applied a reasonab</w:t>
      </w:r>
      <w:r w:rsidR="00993DA9" w:rsidRPr="00C61B53">
        <w:t>leness</w:t>
      </w:r>
      <w:r w:rsidR="008E0AC5" w:rsidRPr="00C61B53">
        <w:t xml:space="preserve"> standard </w:t>
      </w:r>
      <w:r w:rsidR="00993DA9" w:rsidRPr="00C61B53">
        <w:t>to</w:t>
      </w:r>
      <w:r w:rsidR="00334A34" w:rsidRPr="00C61B53">
        <w:t xml:space="preserve"> contractual restraints </w:t>
      </w:r>
      <w:r w:rsidR="00AA18C5" w:rsidRPr="00C61B53">
        <w:t>on business operations</w:t>
      </w:r>
      <w:r w:rsidR="000565B0" w:rsidRPr="00C61B53">
        <w:t xml:space="preserve"> and commercial dealings</w:t>
      </w:r>
      <w:r w:rsidR="00A14C51" w:rsidRPr="00C61B53">
        <w:t>.</w:t>
      </w:r>
      <w:r w:rsidR="006F731D" w:rsidRPr="00C61B53">
        <w:t xml:space="preserve">  </w:t>
      </w:r>
      <w:r w:rsidR="00372C00">
        <w:t xml:space="preserve">We do not disturb the holding in </w:t>
      </w:r>
      <w:r w:rsidR="00F10CE8" w:rsidRPr="00C61B53">
        <w:rPr>
          <w:i/>
        </w:rPr>
        <w:t>Edwards</w:t>
      </w:r>
      <w:r w:rsidR="00F10CE8" w:rsidRPr="00C61B53">
        <w:t xml:space="preserve"> and </w:t>
      </w:r>
      <w:r w:rsidR="005F6B18" w:rsidRPr="00C61B53">
        <w:t xml:space="preserve">other </w:t>
      </w:r>
      <w:r w:rsidR="00837578" w:rsidRPr="00C61B53">
        <w:t xml:space="preserve">decisions </w:t>
      </w:r>
      <w:r w:rsidR="002811F3" w:rsidRPr="00C61B53">
        <w:t xml:space="preserve">strictly </w:t>
      </w:r>
      <w:r w:rsidR="006F731D" w:rsidRPr="00C61B53">
        <w:t xml:space="preserve">interpreting </w:t>
      </w:r>
      <w:r w:rsidR="00837578" w:rsidRPr="00C61B53">
        <w:t xml:space="preserve">section 16600 </w:t>
      </w:r>
      <w:r w:rsidRPr="00C61B53">
        <w:t xml:space="preserve">to invalidate noncompetition agreements </w:t>
      </w:r>
      <w:r w:rsidR="000565B0" w:rsidRPr="00C61B53">
        <w:t>following</w:t>
      </w:r>
      <w:r w:rsidRPr="00C61B53">
        <w:t xml:space="preserve"> the termination of employment or sale of </w:t>
      </w:r>
      <w:r w:rsidR="000565B0" w:rsidRPr="00C61B53">
        <w:t xml:space="preserve">interest in a </w:t>
      </w:r>
      <w:r w:rsidRPr="00C61B53">
        <w:t>business</w:t>
      </w:r>
      <w:r w:rsidR="00372C00">
        <w:t xml:space="preserve">.  But </w:t>
      </w:r>
      <w:r w:rsidR="009E2881">
        <w:t>those cases</w:t>
      </w:r>
      <w:r w:rsidR="00372C00">
        <w:t xml:space="preserve"> </w:t>
      </w:r>
      <w:r w:rsidR="006F731D" w:rsidRPr="00C61B53">
        <w:t xml:space="preserve">do not call into doubt </w:t>
      </w:r>
      <w:r w:rsidR="00372C00">
        <w:t>the applica</w:t>
      </w:r>
      <w:r w:rsidR="00323256">
        <w:t>bility</w:t>
      </w:r>
      <w:r w:rsidR="00372C00">
        <w:t xml:space="preserve"> of a</w:t>
      </w:r>
      <w:r w:rsidR="006F731D" w:rsidRPr="00C61B53">
        <w:t xml:space="preserve"> reasonableness standard</w:t>
      </w:r>
      <w:r w:rsidR="00372C00">
        <w:t xml:space="preserve"> </w:t>
      </w:r>
      <w:r w:rsidR="00323256">
        <w:t>to</w:t>
      </w:r>
      <w:r w:rsidR="00E7777E">
        <w:t xml:space="preserve"> contractual restraints on business operations and commercial dealings</w:t>
      </w:r>
      <w:r w:rsidR="00372C00">
        <w:t>.</w:t>
      </w:r>
    </w:p>
    <w:p w14:paraId="2955A28E" w14:textId="2C9399FC" w:rsidR="00E97A21" w:rsidRPr="00C61B53" w:rsidRDefault="002C5BC4" w:rsidP="00630218">
      <w:pPr>
        <w:pStyle w:val="Heading2"/>
        <w:ind w:left="0" w:firstLine="0"/>
        <w:jc w:val="center"/>
      </w:pPr>
      <w:r w:rsidRPr="00C61B53">
        <w:t>C</w:t>
      </w:r>
      <w:r w:rsidR="00BE04F6" w:rsidRPr="00C61B53">
        <w:t>.</w:t>
      </w:r>
    </w:p>
    <w:p w14:paraId="3B705BCE" w14:textId="36AFA49B" w:rsidR="00860814" w:rsidRPr="00630218" w:rsidRDefault="00BB4679" w:rsidP="00630218">
      <w:pPr>
        <w:ind w:firstLine="720"/>
        <w:rPr>
          <w:i/>
        </w:rPr>
      </w:pPr>
      <w:r w:rsidRPr="00C61B53">
        <w:t xml:space="preserve">We also </w:t>
      </w:r>
      <w:r w:rsidR="00F40F3D" w:rsidRPr="00C61B53">
        <w:t xml:space="preserve">consider section 16600 in its broader statutory context and </w:t>
      </w:r>
      <w:r w:rsidR="002C5BC4" w:rsidRPr="00C61B53">
        <w:t xml:space="preserve">seek to </w:t>
      </w:r>
      <w:r w:rsidR="00F40F3D" w:rsidRPr="00C61B53">
        <w:t xml:space="preserve">harmonize </w:t>
      </w:r>
      <w:r w:rsidR="00A234B0" w:rsidRPr="00C61B53">
        <w:t xml:space="preserve">its </w:t>
      </w:r>
      <w:r w:rsidR="00F40F3D" w:rsidRPr="00C61B53">
        <w:t>language with related provisions.  (</w:t>
      </w:r>
      <w:r w:rsidR="00F40F3D" w:rsidRPr="00C61B53">
        <w:rPr>
          <w:i/>
        </w:rPr>
        <w:t>ZB</w:t>
      </w:r>
      <w:r w:rsidR="00F40F3D" w:rsidRPr="00C61B53">
        <w:t xml:space="preserve">, </w:t>
      </w:r>
      <w:r w:rsidR="00F40F3D" w:rsidRPr="00C61B53">
        <w:rPr>
          <w:i/>
        </w:rPr>
        <w:t>supra</w:t>
      </w:r>
      <w:r w:rsidR="00F40F3D" w:rsidRPr="00C61B53">
        <w:t>, 8 Cal.5th at p. 189.)</w:t>
      </w:r>
      <w:r w:rsidR="00A234B0" w:rsidRPr="00C61B53">
        <w:t xml:space="preserve">  </w:t>
      </w:r>
      <w:r w:rsidR="007D35A9" w:rsidRPr="00C61B53">
        <w:t xml:space="preserve">Section 16600 </w:t>
      </w:r>
      <w:r w:rsidR="001E17EC" w:rsidRPr="00C61B53">
        <w:t xml:space="preserve">appears </w:t>
      </w:r>
      <w:r w:rsidR="006825A6" w:rsidRPr="00C61B53">
        <w:t>alongside</w:t>
      </w:r>
      <w:r w:rsidR="003018FF" w:rsidRPr="00C61B53">
        <w:t xml:space="preserve"> the Cartwright Act</w:t>
      </w:r>
      <w:r w:rsidR="008F3932" w:rsidRPr="00C61B53">
        <w:t xml:space="preserve"> (</w:t>
      </w:r>
      <w:r w:rsidR="008953B0" w:rsidRPr="00C61B53">
        <w:t>§ 1670</w:t>
      </w:r>
      <w:r w:rsidR="006B0825" w:rsidRPr="00C61B53">
        <w:t>0 et seq.)</w:t>
      </w:r>
      <w:r w:rsidR="004E3243" w:rsidRPr="00C61B53">
        <w:t xml:space="preserve">, </w:t>
      </w:r>
      <w:r w:rsidR="001E6D10" w:rsidRPr="00C61B53">
        <w:t xml:space="preserve">which </w:t>
      </w:r>
      <w:r w:rsidR="00CA5E06">
        <w:t xml:space="preserve">also </w:t>
      </w:r>
      <w:r w:rsidR="001E6D10" w:rsidRPr="00C61B53">
        <w:t>employs</w:t>
      </w:r>
      <w:r w:rsidR="0030480F" w:rsidRPr="00C61B53">
        <w:t xml:space="preserve"> </w:t>
      </w:r>
      <w:r w:rsidR="00163C9D">
        <w:t>broadly worded</w:t>
      </w:r>
      <w:r w:rsidR="00163C9D" w:rsidRPr="00C61B53">
        <w:t xml:space="preserve"> </w:t>
      </w:r>
      <w:r w:rsidR="000D22FD" w:rsidRPr="00C61B53">
        <w:t>language</w:t>
      </w:r>
      <w:r w:rsidR="005419F9" w:rsidRPr="00C61B53">
        <w:t xml:space="preserve"> to prohibit </w:t>
      </w:r>
      <w:r w:rsidR="00255098" w:rsidRPr="00C61B53">
        <w:t>agreements in restraint of trade</w:t>
      </w:r>
      <w:r w:rsidR="000D22FD" w:rsidRPr="00C61B53">
        <w:t xml:space="preserve">.  </w:t>
      </w:r>
      <w:r w:rsidR="00163C9D">
        <w:t>S</w:t>
      </w:r>
      <w:r w:rsidR="00B47B4F" w:rsidRPr="00C61B53">
        <w:t>ection 16722 provides</w:t>
      </w:r>
      <w:r w:rsidR="00A234B0" w:rsidRPr="00C61B53">
        <w:t xml:space="preserve">: </w:t>
      </w:r>
      <w:r w:rsidR="00B47B4F" w:rsidRPr="00C61B53">
        <w:t xml:space="preserve"> “Any contract or agreement in violation of this chapter is absolutely void and is not enforceable at law or in equity.”  </w:t>
      </w:r>
      <w:r w:rsidR="001C4448" w:rsidRPr="00C61B53">
        <w:t>And s</w:t>
      </w:r>
      <w:r w:rsidR="00B47B4F" w:rsidRPr="00C61B53">
        <w:t>ection 16726 provides</w:t>
      </w:r>
      <w:r w:rsidR="00A234B0" w:rsidRPr="00C61B53">
        <w:t xml:space="preserve">: </w:t>
      </w:r>
      <w:r w:rsidR="00B47B4F" w:rsidRPr="00C61B53">
        <w:t xml:space="preserve"> “Except as provided in this chapter, every trust is unlawful, against public policy and void.”</w:t>
      </w:r>
      <w:r w:rsidR="00860814" w:rsidRPr="00C61B53">
        <w:t xml:space="preserve">  </w:t>
      </w:r>
      <w:r w:rsidR="00B47B4F" w:rsidRPr="00C61B53">
        <w:t xml:space="preserve">But </w:t>
      </w:r>
      <w:r w:rsidR="003018FF" w:rsidRPr="00C61B53">
        <w:t>we have not interpreted</w:t>
      </w:r>
      <w:r w:rsidR="007B45F0" w:rsidRPr="00C61B53">
        <w:t xml:space="preserve"> </w:t>
      </w:r>
      <w:r w:rsidR="000D22FD" w:rsidRPr="00C61B53">
        <w:t>these provisions</w:t>
      </w:r>
      <w:r w:rsidR="007D5E21" w:rsidRPr="00C61B53">
        <w:t xml:space="preserve"> </w:t>
      </w:r>
      <w:r w:rsidR="00A234B0" w:rsidRPr="00C61B53">
        <w:t>in a sweeping fashion</w:t>
      </w:r>
      <w:r w:rsidR="007D5E21" w:rsidRPr="00C61B53">
        <w:t>.</w:t>
      </w:r>
      <w:r w:rsidR="000D22FD" w:rsidRPr="00C61B53">
        <w:t xml:space="preserve">  </w:t>
      </w:r>
      <w:r w:rsidR="002E3234" w:rsidRPr="00C61B53">
        <w:t>“Though the Cartwright Act is written in absolute terms, in practice not every agreement within the four corners of its prohibitions has been deemed illegal.”  (</w:t>
      </w:r>
      <w:r w:rsidR="00163C9D" w:rsidRPr="00C61B53">
        <w:rPr>
          <w:i/>
        </w:rPr>
        <w:t>Cipro</w:t>
      </w:r>
      <w:r w:rsidR="00163C9D">
        <w:rPr>
          <w:iCs/>
        </w:rPr>
        <w:t xml:space="preserve">, </w:t>
      </w:r>
      <w:r w:rsidR="00163C9D">
        <w:rPr>
          <w:i/>
        </w:rPr>
        <w:t>supra</w:t>
      </w:r>
      <w:r w:rsidR="00163C9D">
        <w:rPr>
          <w:iCs/>
        </w:rPr>
        <w:t xml:space="preserve">, </w:t>
      </w:r>
      <w:r w:rsidR="00163C9D" w:rsidRPr="00C61B53">
        <w:t xml:space="preserve">61 Cal.4th </w:t>
      </w:r>
      <w:r w:rsidR="002E3234" w:rsidRPr="00C61B53">
        <w:t>at p. 136.)</w:t>
      </w:r>
      <w:r w:rsidR="00860814" w:rsidRPr="00C61B53">
        <w:t xml:space="preserve">  </w:t>
      </w:r>
      <w:r w:rsidR="001E6D10" w:rsidRPr="00C61B53">
        <w:t>T</w:t>
      </w:r>
      <w:r w:rsidR="005419F9" w:rsidRPr="00C61B53">
        <w:t>he provisions of the Cartwright Act “draw upon the common law prohibition against restraints of trade.”  (</w:t>
      </w:r>
      <w:r w:rsidR="00120437" w:rsidRPr="00C61B53">
        <w:rPr>
          <w:i/>
        </w:rPr>
        <w:t>Cipro</w:t>
      </w:r>
      <w:r w:rsidR="00120437" w:rsidRPr="00C61B53">
        <w:t>,</w:t>
      </w:r>
      <w:r w:rsidR="005419F9" w:rsidRPr="00C61B53">
        <w:rPr>
          <w:i/>
        </w:rPr>
        <w:t xml:space="preserve"> </w:t>
      </w:r>
      <w:r w:rsidR="005419F9" w:rsidRPr="00C61B53">
        <w:t>at p. 136</w:t>
      </w:r>
      <w:r w:rsidR="00021B86">
        <w:t>;</w:t>
      </w:r>
      <w:r w:rsidR="005419F9" w:rsidRPr="00C61B53">
        <w:t xml:space="preserve"> accord</w:t>
      </w:r>
      <w:r w:rsidR="00A234B0" w:rsidRPr="00C61B53">
        <w:t>,</w:t>
      </w:r>
      <w:r w:rsidR="005419F9" w:rsidRPr="00C61B53">
        <w:t xml:space="preserve"> </w:t>
      </w:r>
      <w:proofErr w:type="spellStart"/>
      <w:r w:rsidR="005419F9" w:rsidRPr="00C61B53">
        <w:rPr>
          <w:i/>
        </w:rPr>
        <w:t>Speegle</w:t>
      </w:r>
      <w:proofErr w:type="spellEnd"/>
      <w:r w:rsidR="00D96654" w:rsidRPr="00C61B53">
        <w:t xml:space="preserve">, </w:t>
      </w:r>
      <w:r w:rsidR="00D96654" w:rsidRPr="00C61B53">
        <w:rPr>
          <w:i/>
        </w:rPr>
        <w:lastRenderedPageBreak/>
        <w:t>supra</w:t>
      </w:r>
      <w:r w:rsidR="00D96654" w:rsidRPr="00C61B53">
        <w:t xml:space="preserve">, </w:t>
      </w:r>
      <w:r w:rsidR="005419F9" w:rsidRPr="00C61B53">
        <w:t xml:space="preserve">29 Cal.2d </w:t>
      </w:r>
      <w:r w:rsidR="00D96654" w:rsidRPr="00C61B53">
        <w:t>at p. </w:t>
      </w:r>
      <w:r w:rsidR="005419F9" w:rsidRPr="00C61B53">
        <w:t>44.)</w:t>
      </w:r>
      <w:r w:rsidR="00860814" w:rsidRPr="00C61B53">
        <w:t xml:space="preserve">  </w:t>
      </w:r>
      <w:r w:rsidR="00A234B0" w:rsidRPr="00C61B53">
        <w:t>Accordingly</w:t>
      </w:r>
      <w:r w:rsidR="005419F9" w:rsidRPr="00C61B53">
        <w:t xml:space="preserve">, </w:t>
      </w:r>
      <w:r w:rsidR="001E6369" w:rsidRPr="00C61B53">
        <w:t>this</w:t>
      </w:r>
      <w:r w:rsidR="00EA4629" w:rsidRPr="00C61B53">
        <w:t xml:space="preserve"> court </w:t>
      </w:r>
      <w:r w:rsidR="001E6369" w:rsidRPr="00C61B53">
        <w:t xml:space="preserve">has </w:t>
      </w:r>
      <w:r w:rsidR="000931FD" w:rsidRPr="00C61B53">
        <w:t>taken direction from</w:t>
      </w:r>
      <w:r w:rsidR="00E87390" w:rsidRPr="00C61B53">
        <w:t xml:space="preserve"> </w:t>
      </w:r>
      <w:r w:rsidR="001E6369" w:rsidRPr="00C61B53">
        <w:t xml:space="preserve">the common law </w:t>
      </w:r>
      <w:r w:rsidR="00A234B0" w:rsidRPr="00C61B53">
        <w:t>in establishing</w:t>
      </w:r>
      <w:r w:rsidR="001E6369" w:rsidRPr="00C61B53">
        <w:t xml:space="preserve"> </w:t>
      </w:r>
      <w:r w:rsidR="00580FDA" w:rsidRPr="00C61B53">
        <w:t xml:space="preserve">a </w:t>
      </w:r>
      <w:r w:rsidR="00D96654" w:rsidRPr="00C61B53">
        <w:t>reason</w:t>
      </w:r>
      <w:r w:rsidR="00A234B0" w:rsidRPr="00C61B53">
        <w:t>ableness</w:t>
      </w:r>
      <w:r w:rsidR="000931FD" w:rsidRPr="00C61B53">
        <w:t xml:space="preserve"> standard</w:t>
      </w:r>
      <w:r w:rsidR="001E6369" w:rsidRPr="00C61B53">
        <w:t xml:space="preserve"> for determining whether an agreement violates the Cartwright Act</w:t>
      </w:r>
      <w:r w:rsidR="00E87390" w:rsidRPr="00C61B53">
        <w:t xml:space="preserve">.  </w:t>
      </w:r>
      <w:r w:rsidR="005F30E6" w:rsidRPr="00C61B53">
        <w:t>(</w:t>
      </w:r>
      <w:r w:rsidR="005F30E6" w:rsidRPr="00C61B53">
        <w:rPr>
          <w:i/>
        </w:rPr>
        <w:t>Cipro</w:t>
      </w:r>
      <w:r w:rsidR="005F30E6" w:rsidRPr="00C61B53">
        <w:t xml:space="preserve">, </w:t>
      </w:r>
      <w:r w:rsidR="00355734" w:rsidRPr="00C61B53">
        <w:t xml:space="preserve">at </w:t>
      </w:r>
      <w:r w:rsidR="00A234B0" w:rsidRPr="00C61B53">
        <w:t>p</w:t>
      </w:r>
      <w:r w:rsidR="00355734" w:rsidRPr="00C61B53">
        <w:t>p. 137</w:t>
      </w:r>
      <w:r w:rsidR="00475EA0" w:rsidRPr="00C61B53">
        <w:t>, 146</w:t>
      </w:r>
      <w:r w:rsidR="00BF3D86" w:rsidRPr="00C61B53">
        <w:t>.)</w:t>
      </w:r>
      <w:r w:rsidR="00834EE0">
        <w:t xml:space="preserve">  That </w:t>
      </w:r>
      <w:r w:rsidR="005B03E6">
        <w:t>standard</w:t>
      </w:r>
      <w:r w:rsidR="00834EE0">
        <w:t xml:space="preserve"> asks whether an agreement “ ‘promotes or suppresses competition’ ” </w:t>
      </w:r>
      <w:r w:rsidR="00AD4638">
        <w:t>by considering the “</w:t>
      </w:r>
      <w:r w:rsidR="0055644F">
        <w:t> </w:t>
      </w:r>
      <w:r w:rsidR="00AD4638">
        <w:t>‘circumstances, details, and logic</w:t>
      </w:r>
      <w:r w:rsidR="002648A5">
        <w:t xml:space="preserve"> of a restraint.</w:t>
      </w:r>
      <w:r w:rsidR="0055644F">
        <w:t>’ ”  (</w:t>
      </w:r>
      <w:r w:rsidR="0055644F" w:rsidRPr="00CB2709">
        <w:rPr>
          <w:i/>
        </w:rPr>
        <w:t>Id</w:t>
      </w:r>
      <w:r w:rsidR="00B57B35">
        <w:rPr>
          <w:i/>
        </w:rPr>
        <w:t xml:space="preserve">. </w:t>
      </w:r>
      <w:r w:rsidR="00B57B35">
        <w:t xml:space="preserve">at </w:t>
      </w:r>
      <w:r w:rsidR="00021B86">
        <w:t>p</w:t>
      </w:r>
      <w:r w:rsidR="00B57B35">
        <w:t>p. </w:t>
      </w:r>
      <w:r w:rsidR="00CB2709">
        <w:t>146, 147.)</w:t>
      </w:r>
    </w:p>
    <w:p w14:paraId="7B2218B8" w14:textId="7DDE9D32" w:rsidR="0002525D" w:rsidRPr="00C61B53" w:rsidRDefault="006C0F47" w:rsidP="00630218">
      <w:pPr>
        <w:ind w:firstLine="720"/>
      </w:pPr>
      <w:r w:rsidRPr="00C61B53">
        <w:t>Similarly</w:t>
      </w:r>
      <w:r w:rsidR="00820B6E" w:rsidRPr="00C61B53">
        <w:t xml:space="preserve">, </w:t>
      </w:r>
      <w:r w:rsidR="005B59B2" w:rsidRPr="00C61B53">
        <w:t xml:space="preserve">Civil Code </w:t>
      </w:r>
      <w:r w:rsidR="00021B86">
        <w:t xml:space="preserve">former </w:t>
      </w:r>
      <w:r w:rsidR="005B59B2" w:rsidRPr="00C61B53">
        <w:t>section 1673 was enacted against the backdrop of a common law standard prohibiting unreasonable restraints of trade.</w:t>
      </w:r>
      <w:r w:rsidRPr="00C61B53">
        <w:t xml:space="preserve">  </w:t>
      </w:r>
      <w:r w:rsidR="00D05D9D" w:rsidRPr="00C61B53">
        <w:t>O</w:t>
      </w:r>
      <w:r w:rsidRPr="00C61B53">
        <w:t xml:space="preserve">ur interpretation of that statute and section 16600 </w:t>
      </w:r>
      <w:r w:rsidR="00F04209" w:rsidRPr="00C61B53">
        <w:t xml:space="preserve">did not </w:t>
      </w:r>
      <w:r w:rsidR="002442BE" w:rsidRPr="00C61B53">
        <w:t xml:space="preserve">depart from the common law </w:t>
      </w:r>
      <w:r w:rsidR="001C4448" w:rsidRPr="00C61B53">
        <w:t>reasonableness</w:t>
      </w:r>
      <w:r w:rsidR="002442BE" w:rsidRPr="00C61B53">
        <w:t xml:space="preserve"> standard </w:t>
      </w:r>
      <w:r w:rsidRPr="00C61B53">
        <w:t xml:space="preserve">for </w:t>
      </w:r>
      <w:r w:rsidR="00563A37" w:rsidRPr="00C61B53">
        <w:t>contractual restraints on business operations and commercial dealings</w:t>
      </w:r>
      <w:r w:rsidR="002442BE" w:rsidRPr="00C61B53">
        <w:t>.</w:t>
      </w:r>
      <w:r w:rsidR="009846BD" w:rsidRPr="00C61B53">
        <w:t xml:space="preserve">  </w:t>
      </w:r>
      <w:r w:rsidR="00A727C8" w:rsidRPr="00C61B53">
        <w:t xml:space="preserve">Section 16600 </w:t>
      </w:r>
      <w:r w:rsidR="005200A3" w:rsidRPr="00C61B53">
        <w:t xml:space="preserve">should therefore </w:t>
      </w:r>
      <w:r w:rsidR="00936AF4" w:rsidRPr="00C61B53">
        <w:t xml:space="preserve">be </w:t>
      </w:r>
      <w:r w:rsidR="005200A3" w:rsidRPr="00C61B53">
        <w:t xml:space="preserve">read in accordance with the Cartwright Act to incorporate </w:t>
      </w:r>
      <w:r w:rsidR="00C42877" w:rsidRPr="00C61B53">
        <w:t>the same</w:t>
      </w:r>
      <w:r w:rsidR="005200A3" w:rsidRPr="00C61B53">
        <w:t xml:space="preserve"> rule of reason in such cases.</w:t>
      </w:r>
      <w:r w:rsidR="009846BD" w:rsidRPr="00C61B53">
        <w:t xml:space="preserve">  </w:t>
      </w:r>
      <w:r w:rsidR="000D22FD" w:rsidRPr="00C61B53">
        <w:t xml:space="preserve">Indeed, </w:t>
      </w:r>
      <w:r w:rsidR="0037243E" w:rsidRPr="00C61B53">
        <w:t>we have</w:t>
      </w:r>
      <w:r w:rsidR="00286D72" w:rsidRPr="00C61B53">
        <w:t xml:space="preserve"> </w:t>
      </w:r>
      <w:r w:rsidR="007C0A77" w:rsidRPr="00C61B53">
        <w:t>occasionally</w:t>
      </w:r>
      <w:r w:rsidR="00E60B4E" w:rsidRPr="00C61B53">
        <w:t xml:space="preserve"> </w:t>
      </w:r>
      <w:r w:rsidR="00E02552" w:rsidRPr="00C61B53">
        <w:t>relied on</w:t>
      </w:r>
      <w:r w:rsidR="0037243E" w:rsidRPr="00C61B53">
        <w:t xml:space="preserve"> antitrust decisions </w:t>
      </w:r>
      <w:r w:rsidR="003F2C3D" w:rsidRPr="00C61B53">
        <w:t xml:space="preserve">when interpreting Civil Code </w:t>
      </w:r>
      <w:r w:rsidR="00021B86">
        <w:t xml:space="preserve">former </w:t>
      </w:r>
      <w:r w:rsidR="00EB50C1" w:rsidRPr="00C61B53">
        <w:t xml:space="preserve">section </w:t>
      </w:r>
      <w:r w:rsidR="003F2C3D" w:rsidRPr="00C61B53">
        <w:t xml:space="preserve">1673 </w:t>
      </w:r>
      <w:r w:rsidR="006664C6" w:rsidRPr="00C61B53">
        <w:t xml:space="preserve">(see </w:t>
      </w:r>
      <w:r w:rsidR="00B06317" w:rsidRPr="00C61B53">
        <w:rPr>
          <w:i/>
        </w:rPr>
        <w:t>Great Western</w:t>
      </w:r>
      <w:r w:rsidR="00C01A38" w:rsidRPr="00C61B53">
        <w:rPr>
          <w:i/>
        </w:rPr>
        <w:t xml:space="preserve"> Distillery</w:t>
      </w:r>
      <w:r w:rsidR="00B06317" w:rsidRPr="00C61B53">
        <w:t xml:space="preserve">, </w:t>
      </w:r>
      <w:r w:rsidR="00B06317" w:rsidRPr="00C61B53">
        <w:rPr>
          <w:i/>
        </w:rPr>
        <w:t>supra</w:t>
      </w:r>
      <w:r w:rsidR="00B06317" w:rsidRPr="00C61B53">
        <w:t>, 10 Cal.2d at pp. 448–449</w:t>
      </w:r>
      <w:r w:rsidR="00656452" w:rsidRPr="00C61B53">
        <w:t xml:space="preserve">, citing </w:t>
      </w:r>
      <w:r w:rsidR="00656452" w:rsidRPr="00C61B53">
        <w:rPr>
          <w:i/>
        </w:rPr>
        <w:t>U</w:t>
      </w:r>
      <w:r w:rsidR="00021B86">
        <w:rPr>
          <w:i/>
        </w:rPr>
        <w:t>nited States</w:t>
      </w:r>
      <w:r w:rsidR="00656452" w:rsidRPr="00C61B53">
        <w:rPr>
          <w:i/>
        </w:rPr>
        <w:t xml:space="preserve"> v. American Tobacco Co</w:t>
      </w:r>
      <w:r w:rsidR="00656452" w:rsidRPr="00C61B53">
        <w:t>. (1911) 221 U.S. 106, 1</w:t>
      </w:r>
      <w:r w:rsidR="0043096A" w:rsidRPr="00C61B53">
        <w:t>79</w:t>
      </w:r>
      <w:r w:rsidR="003F2C3D" w:rsidRPr="00C61B53">
        <w:t>)</w:t>
      </w:r>
      <w:r w:rsidR="00EB50C1" w:rsidRPr="00C61B53">
        <w:t xml:space="preserve">, and </w:t>
      </w:r>
      <w:r w:rsidR="005F43B0" w:rsidRPr="00C61B53">
        <w:t xml:space="preserve">Courts of Appeal </w:t>
      </w:r>
      <w:r w:rsidR="005D4199" w:rsidRPr="00C61B53">
        <w:t xml:space="preserve">have </w:t>
      </w:r>
      <w:r w:rsidR="00563A37" w:rsidRPr="00C61B53">
        <w:t>evaluated</w:t>
      </w:r>
      <w:r w:rsidR="005D4199" w:rsidRPr="00C61B53">
        <w:t xml:space="preserve"> </w:t>
      </w:r>
      <w:r w:rsidR="00854383" w:rsidRPr="00C61B53">
        <w:t>section 16</w:t>
      </w:r>
      <w:r w:rsidR="000264A9" w:rsidRPr="00C61B53">
        <w:t>6</w:t>
      </w:r>
      <w:r w:rsidR="00854383" w:rsidRPr="00C61B53">
        <w:t xml:space="preserve">00 and antitrust claims together under a </w:t>
      </w:r>
      <w:r w:rsidR="001C4448" w:rsidRPr="00C61B53">
        <w:t>reasonableness</w:t>
      </w:r>
      <w:r w:rsidR="00854383" w:rsidRPr="00C61B53">
        <w:t xml:space="preserve"> standard</w:t>
      </w:r>
      <w:r w:rsidR="00EB50C1" w:rsidRPr="00C61B53">
        <w:t xml:space="preserve"> (</w:t>
      </w:r>
      <w:r w:rsidR="00C01A38" w:rsidRPr="00C61B53">
        <w:t>s</w:t>
      </w:r>
      <w:r w:rsidR="00854383" w:rsidRPr="00C61B53">
        <w:t xml:space="preserve">ee </w:t>
      </w:r>
      <w:r w:rsidR="00E02552" w:rsidRPr="00C61B53">
        <w:rPr>
          <w:i/>
        </w:rPr>
        <w:t>Dayton Time Lock</w:t>
      </w:r>
      <w:r w:rsidR="00A727C8" w:rsidRPr="00C61B53">
        <w:t xml:space="preserve">, </w:t>
      </w:r>
      <w:r w:rsidR="00A727C8" w:rsidRPr="00C61B53">
        <w:rPr>
          <w:i/>
        </w:rPr>
        <w:t>supra</w:t>
      </w:r>
      <w:r w:rsidR="00A727C8" w:rsidRPr="00C61B53">
        <w:t xml:space="preserve">, </w:t>
      </w:r>
      <w:r w:rsidR="00E02552" w:rsidRPr="00C61B53">
        <w:t xml:space="preserve">52 Cal.App.3d </w:t>
      </w:r>
      <w:r w:rsidR="00A727C8" w:rsidRPr="00C61B53">
        <w:t>at p. </w:t>
      </w:r>
      <w:r w:rsidR="00E02552" w:rsidRPr="00C61B53">
        <w:t>6</w:t>
      </w:r>
      <w:r w:rsidR="009D0430" w:rsidRPr="00C61B53">
        <w:t xml:space="preserve">; </w:t>
      </w:r>
      <w:proofErr w:type="spellStart"/>
      <w:r w:rsidR="009D0430" w:rsidRPr="00C61B53">
        <w:rPr>
          <w:i/>
        </w:rPr>
        <w:t>Lafortune</w:t>
      </w:r>
      <w:proofErr w:type="spellEnd"/>
      <w:r w:rsidR="009D0430" w:rsidRPr="00C61B53">
        <w:rPr>
          <w:i/>
        </w:rPr>
        <w:t xml:space="preserve"> v. </w:t>
      </w:r>
      <w:proofErr w:type="spellStart"/>
      <w:r w:rsidR="009D0430" w:rsidRPr="00C61B53">
        <w:rPr>
          <w:i/>
        </w:rPr>
        <w:t>Ebie</w:t>
      </w:r>
      <w:proofErr w:type="spellEnd"/>
      <w:r w:rsidR="009D0430" w:rsidRPr="00C61B53">
        <w:t xml:space="preserve"> (1972) 26 Cal.App.3d 72, 74–75</w:t>
      </w:r>
      <w:r w:rsidR="009B1D8A" w:rsidRPr="00C61B53">
        <w:t>)</w:t>
      </w:r>
      <w:r w:rsidR="00C01A38" w:rsidRPr="00C61B53">
        <w:t>.</w:t>
      </w:r>
    </w:p>
    <w:p w14:paraId="0D8A9682" w14:textId="0BA30408" w:rsidR="000828D7" w:rsidRPr="00C61B53" w:rsidRDefault="00A72C06" w:rsidP="00630218">
      <w:pPr>
        <w:ind w:firstLine="720"/>
      </w:pPr>
      <w:r w:rsidRPr="00C61B53">
        <w:t>Amic</w:t>
      </w:r>
      <w:r w:rsidR="00A42154" w:rsidRPr="00C61B53">
        <w:t>us curiae Beckman Coulter, Inc.</w:t>
      </w:r>
      <w:r w:rsidRPr="00C61B53">
        <w:t xml:space="preserve"> </w:t>
      </w:r>
      <w:r w:rsidR="00A42154" w:rsidRPr="00C61B53">
        <w:t>argues that</w:t>
      </w:r>
      <w:r w:rsidR="004E5DE8" w:rsidRPr="00C61B53">
        <w:t xml:space="preserve"> </w:t>
      </w:r>
      <w:proofErr w:type="spellStart"/>
      <w:r w:rsidR="004E5DE8" w:rsidRPr="00C61B53">
        <w:rPr>
          <w:i/>
        </w:rPr>
        <w:t>Cianci</w:t>
      </w:r>
      <w:proofErr w:type="spellEnd"/>
      <w:r w:rsidR="004E5DE8" w:rsidRPr="00C61B53">
        <w:rPr>
          <w:i/>
        </w:rPr>
        <w:t xml:space="preserve"> v. Superior Court</w:t>
      </w:r>
      <w:r w:rsidR="004E5DE8" w:rsidRPr="00C61B53">
        <w:t xml:space="preserve"> (1985) 40 Cal.3d 903 (</w:t>
      </w:r>
      <w:proofErr w:type="spellStart"/>
      <w:r w:rsidR="004E5DE8" w:rsidRPr="00C61B53">
        <w:rPr>
          <w:i/>
        </w:rPr>
        <w:t>Cianci</w:t>
      </w:r>
      <w:proofErr w:type="spellEnd"/>
      <w:r w:rsidR="004E5DE8" w:rsidRPr="00C61B53">
        <w:t xml:space="preserve">) </w:t>
      </w:r>
      <w:r w:rsidR="009551E0" w:rsidRPr="00C61B53">
        <w:t xml:space="preserve">rejected </w:t>
      </w:r>
      <w:r w:rsidR="00A727C8" w:rsidRPr="00C61B53">
        <w:t>the use of</w:t>
      </w:r>
      <w:r w:rsidR="00A227BD" w:rsidRPr="00C61B53">
        <w:t xml:space="preserve"> the Cartwright Act as an aid to </w:t>
      </w:r>
      <w:r w:rsidR="00207A23" w:rsidRPr="00C61B53">
        <w:t xml:space="preserve">construing </w:t>
      </w:r>
      <w:r w:rsidR="00E64F03" w:rsidRPr="00C61B53">
        <w:t>section 16</w:t>
      </w:r>
      <w:r w:rsidR="009551E0" w:rsidRPr="00C61B53">
        <w:t>600</w:t>
      </w:r>
      <w:r w:rsidR="00A42154" w:rsidRPr="00C61B53">
        <w:t>.</w:t>
      </w:r>
      <w:r w:rsidR="00207A23" w:rsidRPr="00C61B53">
        <w:t xml:space="preserve">  </w:t>
      </w:r>
      <w:proofErr w:type="spellStart"/>
      <w:r w:rsidR="00A42154" w:rsidRPr="00C61B53">
        <w:rPr>
          <w:i/>
        </w:rPr>
        <w:t>Cianci</w:t>
      </w:r>
      <w:proofErr w:type="spellEnd"/>
      <w:r w:rsidR="00151719" w:rsidRPr="00C61B53">
        <w:rPr>
          <w:i/>
        </w:rPr>
        <w:t xml:space="preserve"> </w:t>
      </w:r>
      <w:r w:rsidR="00151719" w:rsidRPr="00C61B53">
        <w:t xml:space="preserve">held that the Cartwright Act </w:t>
      </w:r>
      <w:r w:rsidR="007B39F4" w:rsidRPr="00C61B53">
        <w:t>applied to the medical profession.</w:t>
      </w:r>
      <w:r w:rsidR="000552F6" w:rsidRPr="00C61B53">
        <w:t xml:space="preserve">  In doing so, </w:t>
      </w:r>
      <w:r w:rsidR="00371CA5" w:rsidRPr="00C61B53">
        <w:t>w</w:t>
      </w:r>
      <w:r w:rsidR="00151719" w:rsidRPr="00C61B53">
        <w:t>e overturned a previous decision</w:t>
      </w:r>
      <w:r w:rsidR="00C01A38" w:rsidRPr="00C61B53">
        <w:t xml:space="preserve"> that</w:t>
      </w:r>
      <w:r w:rsidR="00151719" w:rsidRPr="00C61B53">
        <w:t xml:space="preserve"> reasoned that because section 16600 </w:t>
      </w:r>
      <w:r w:rsidR="008C471B" w:rsidRPr="00C61B53">
        <w:t>include</w:t>
      </w:r>
      <w:r w:rsidR="00371CA5" w:rsidRPr="00C61B53">
        <w:t>s</w:t>
      </w:r>
      <w:r w:rsidR="008C471B" w:rsidRPr="00C61B53">
        <w:t xml:space="preserve"> the word “profession” in its scope</w:t>
      </w:r>
      <w:r w:rsidR="00F7000F" w:rsidRPr="00C61B53">
        <w:t xml:space="preserve">, </w:t>
      </w:r>
      <w:r w:rsidR="008C471B" w:rsidRPr="00C61B53">
        <w:t xml:space="preserve">the absence of the same word in the Cartwright Act implied </w:t>
      </w:r>
      <w:r w:rsidR="00B163D4" w:rsidRPr="00C61B53">
        <w:t xml:space="preserve">that it was not intended to apply to </w:t>
      </w:r>
      <w:r w:rsidR="00B163D4" w:rsidRPr="00C61B53">
        <w:lastRenderedPageBreak/>
        <w:t>professions.  (</w:t>
      </w:r>
      <w:proofErr w:type="spellStart"/>
      <w:r w:rsidR="00563A37" w:rsidRPr="00C61B53">
        <w:rPr>
          <w:i/>
        </w:rPr>
        <w:t>Cianci</w:t>
      </w:r>
      <w:proofErr w:type="spellEnd"/>
      <w:r w:rsidR="00563A37" w:rsidRPr="00C61B53">
        <w:t>,</w:t>
      </w:r>
      <w:r w:rsidR="00B163D4" w:rsidRPr="00C61B53">
        <w:t xml:space="preserve"> at </w:t>
      </w:r>
      <w:r w:rsidR="007D2FEA" w:rsidRPr="00C61B53">
        <w:t>p</w:t>
      </w:r>
      <w:r w:rsidR="00B163D4" w:rsidRPr="00C61B53">
        <w:t>p. </w:t>
      </w:r>
      <w:r w:rsidR="007D2FEA" w:rsidRPr="00C61B53">
        <w:t>921–</w:t>
      </w:r>
      <w:r w:rsidR="00B163D4" w:rsidRPr="00C61B53">
        <w:t xml:space="preserve">922, citing </w:t>
      </w:r>
      <w:r w:rsidR="00B163D4" w:rsidRPr="00C61B53">
        <w:rPr>
          <w:i/>
        </w:rPr>
        <w:t xml:space="preserve">Willis v. Santa Ana etc. Hospital Assn. </w:t>
      </w:r>
      <w:r w:rsidR="00B163D4" w:rsidRPr="00C61B53">
        <w:t>(1962) 58 Cal.2d 806, 809</w:t>
      </w:r>
      <w:r w:rsidR="00371CA5" w:rsidRPr="00C61B53">
        <w:t xml:space="preserve">.)  We concluded that because </w:t>
      </w:r>
      <w:r w:rsidR="00A727C8" w:rsidRPr="00C61B53">
        <w:t>s</w:t>
      </w:r>
      <w:r w:rsidR="00371CA5" w:rsidRPr="00C61B53">
        <w:t xml:space="preserve">ection 16600 and the Cartwright Act were enacted separately and only later consolidated in the Business and Professions </w:t>
      </w:r>
      <w:r w:rsidR="00A727C8" w:rsidRPr="00C61B53">
        <w:t>C</w:t>
      </w:r>
      <w:r w:rsidR="00371CA5" w:rsidRPr="00C61B53">
        <w:t xml:space="preserve">ode, </w:t>
      </w:r>
      <w:r w:rsidRPr="00C61B53">
        <w:t>“</w:t>
      </w:r>
      <w:r w:rsidR="00646916" w:rsidRPr="00C61B53">
        <w:t> </w:t>
      </w:r>
      <w:r w:rsidR="00835A0F" w:rsidRPr="00C61B53">
        <w:t>‘</w:t>
      </w:r>
      <w:r w:rsidRPr="00C61B53">
        <w:t>a finding of legislative intent to exclude the professions from the Cartwright Act, based upon nothing more than language differences between the two code sections, exceeds the limits of plausible inference.’</w:t>
      </w:r>
      <w:r w:rsidR="00835A0F" w:rsidRPr="00C61B53">
        <w:t> </w:t>
      </w:r>
      <w:r w:rsidRPr="00C61B53">
        <w:t>”</w:t>
      </w:r>
      <w:r w:rsidR="00371CA5" w:rsidRPr="00C61B53">
        <w:t xml:space="preserve">  (</w:t>
      </w:r>
      <w:proofErr w:type="spellStart"/>
      <w:r w:rsidR="00371CA5" w:rsidRPr="00C61B53">
        <w:rPr>
          <w:i/>
        </w:rPr>
        <w:t>Cianci</w:t>
      </w:r>
      <w:proofErr w:type="spellEnd"/>
      <w:r w:rsidR="00371CA5" w:rsidRPr="00C61B53">
        <w:t xml:space="preserve">, </w:t>
      </w:r>
      <w:r w:rsidR="00E705EC" w:rsidRPr="00C61B53">
        <w:t>at p. 922.)</w:t>
      </w:r>
      <w:r w:rsidR="00860814" w:rsidRPr="00C61B53">
        <w:t xml:space="preserve">  </w:t>
      </w:r>
      <w:r w:rsidRPr="00C61B53">
        <w:t xml:space="preserve">But </w:t>
      </w:r>
      <w:proofErr w:type="spellStart"/>
      <w:r w:rsidR="00C01A38" w:rsidRPr="00C61B53">
        <w:rPr>
          <w:i/>
        </w:rPr>
        <w:t>Cianci</w:t>
      </w:r>
      <w:r w:rsidR="00C01A38" w:rsidRPr="00C61B53">
        <w:t>’s</w:t>
      </w:r>
      <w:proofErr w:type="spellEnd"/>
      <w:r w:rsidR="00C01A38" w:rsidRPr="00C61B53">
        <w:t xml:space="preserve"> focus on a specific textual difference between the two statutes does not cast doubt on the broader point here:</w:t>
      </w:r>
      <w:r w:rsidR="00DF511D" w:rsidRPr="00C61B53">
        <w:t xml:space="preserve">  The similarities between the two statutes </w:t>
      </w:r>
      <w:r w:rsidR="00FE5191" w:rsidRPr="00C61B53">
        <w:t>stretch beyond</w:t>
      </w:r>
      <w:r w:rsidR="00383846" w:rsidRPr="00C61B53">
        <w:t xml:space="preserve"> </w:t>
      </w:r>
      <w:r w:rsidR="00DF511D" w:rsidRPr="00C61B53">
        <w:t>their language</w:t>
      </w:r>
      <w:r w:rsidR="00CF1C15">
        <w:t>.</w:t>
      </w:r>
      <w:r w:rsidR="005F12CD" w:rsidRPr="00C61B53">
        <w:t xml:space="preserve"> </w:t>
      </w:r>
      <w:r w:rsidR="00CC60C1">
        <w:t xml:space="preserve"> They </w:t>
      </w:r>
      <w:r w:rsidR="00FE5191" w:rsidRPr="00C61B53">
        <w:t>share</w:t>
      </w:r>
      <w:r w:rsidR="00CC60C1">
        <w:t xml:space="preserve"> a</w:t>
      </w:r>
      <w:r w:rsidR="00FE5191" w:rsidRPr="00C61B53">
        <w:t xml:space="preserve"> </w:t>
      </w:r>
      <w:r w:rsidR="00563A37" w:rsidRPr="00C61B53">
        <w:t xml:space="preserve">statutory </w:t>
      </w:r>
      <w:r w:rsidR="00B63A31" w:rsidRPr="00C61B53">
        <w:t xml:space="preserve">purpose and </w:t>
      </w:r>
      <w:r w:rsidR="00765F13" w:rsidRPr="00C61B53">
        <w:t xml:space="preserve">doctrinal </w:t>
      </w:r>
      <w:r w:rsidR="00F65EE2" w:rsidRPr="00C61B53">
        <w:t>heritage in common law</w:t>
      </w:r>
      <w:r w:rsidR="00563A37" w:rsidRPr="00C61B53">
        <w:t xml:space="preserve"> prohibitions on restraints of trade</w:t>
      </w:r>
      <w:r w:rsidR="00F65EE2" w:rsidRPr="00C61B53">
        <w:t>.</w:t>
      </w:r>
      <w:r w:rsidR="00765F13" w:rsidRPr="00C61B53">
        <w:t xml:space="preserve"> </w:t>
      </w:r>
      <w:r w:rsidR="00860814" w:rsidRPr="00C61B53">
        <w:t xml:space="preserve"> </w:t>
      </w:r>
      <w:r w:rsidR="001077B5" w:rsidRPr="00C61B53">
        <w:t>They should therefore be interpreted together.</w:t>
      </w:r>
    </w:p>
    <w:p w14:paraId="57A5532B" w14:textId="17E1C616" w:rsidR="000C7A3A" w:rsidRPr="00C61B53" w:rsidRDefault="002C5BC4" w:rsidP="00630218">
      <w:pPr>
        <w:pStyle w:val="Heading2"/>
        <w:ind w:left="0" w:firstLine="0"/>
        <w:jc w:val="center"/>
      </w:pPr>
      <w:r w:rsidRPr="00C61B53">
        <w:t>D</w:t>
      </w:r>
      <w:r w:rsidR="000C7A3A" w:rsidRPr="00C61B53">
        <w:t>.</w:t>
      </w:r>
    </w:p>
    <w:p w14:paraId="790AF72A" w14:textId="07B36852" w:rsidR="003413C8" w:rsidRPr="00C61B53" w:rsidRDefault="005F6B18" w:rsidP="00630218">
      <w:pPr>
        <w:ind w:firstLine="720"/>
      </w:pPr>
      <w:r w:rsidRPr="00C61B53">
        <w:t xml:space="preserve">Finally, we are mindful of the </w:t>
      </w:r>
      <w:r w:rsidR="005D7CD6" w:rsidRPr="00C61B53">
        <w:t xml:space="preserve">consequences of </w:t>
      </w:r>
      <w:r w:rsidR="008B230D" w:rsidRPr="00C61B53">
        <w:t>strictly</w:t>
      </w:r>
      <w:r w:rsidR="005D7CD6" w:rsidRPr="00C61B53">
        <w:t xml:space="preserve"> </w:t>
      </w:r>
      <w:r w:rsidR="008B230D" w:rsidRPr="00C61B53">
        <w:t xml:space="preserve">interpreting the language </w:t>
      </w:r>
      <w:r w:rsidR="005D7CD6" w:rsidRPr="00C61B53">
        <w:t xml:space="preserve">of section 16600 </w:t>
      </w:r>
      <w:r w:rsidR="008B230D" w:rsidRPr="00C61B53">
        <w:t xml:space="preserve">to invalidate </w:t>
      </w:r>
      <w:r w:rsidR="005D7CD6" w:rsidRPr="00C61B53">
        <w:t>all contracts</w:t>
      </w:r>
      <w:r w:rsidR="008B230D" w:rsidRPr="00C61B53">
        <w:t xml:space="preserve"> </w:t>
      </w:r>
      <w:r w:rsidR="00C91C9F" w:rsidRPr="00C61B53">
        <w:t>that limit the freedom to engage in commercial dealing</w:t>
      </w:r>
      <w:r w:rsidR="000867C9" w:rsidRPr="00C61B53">
        <w:t xml:space="preserve">. </w:t>
      </w:r>
      <w:r w:rsidR="00C91C9F" w:rsidRPr="00C61B53">
        <w:t xml:space="preserve"> </w:t>
      </w:r>
      <w:r w:rsidR="00BA4C87" w:rsidRPr="000A2B15">
        <w:t>“</w:t>
      </w:r>
      <w:r w:rsidR="000867C9" w:rsidRPr="000A2B15">
        <w:rPr>
          <w:i/>
        </w:rPr>
        <w:t>E</w:t>
      </w:r>
      <w:r w:rsidR="00BA4C87" w:rsidRPr="000A2B15">
        <w:rPr>
          <w:i/>
        </w:rPr>
        <w:t>very</w:t>
      </w:r>
      <w:r w:rsidR="00BA4C87" w:rsidRPr="003E335D">
        <w:t xml:space="preserve"> agreement concerning trade </w:t>
      </w:r>
      <w:r w:rsidR="00C91C9F" w:rsidRPr="003E335D">
        <w:t xml:space="preserve">. . . </w:t>
      </w:r>
      <w:r w:rsidR="00BA4C87" w:rsidRPr="003E335D">
        <w:t>restrains</w:t>
      </w:r>
      <w:r w:rsidR="00BA4C87" w:rsidRPr="000A2B15">
        <w:t>.”  (</w:t>
      </w:r>
      <w:r w:rsidR="00BA4C87" w:rsidRPr="003E335D">
        <w:rPr>
          <w:i/>
        </w:rPr>
        <w:t xml:space="preserve">Chicago Board of Trade v. United States </w:t>
      </w:r>
      <w:r w:rsidR="00BA4C87" w:rsidRPr="003E335D">
        <w:t>(1918) 246 U.S. 231, 238.)</w:t>
      </w:r>
      <w:r w:rsidR="00353ECD" w:rsidRPr="00C61B53">
        <w:t xml:space="preserve">  </w:t>
      </w:r>
      <w:r w:rsidR="0070137D" w:rsidRPr="00C61B53">
        <w:t>In certain circumstances, c</w:t>
      </w:r>
      <w:r w:rsidR="004343F4" w:rsidRPr="00C61B53">
        <w:t>ontractual limitations on the freedom to engage in commercial dealings can</w:t>
      </w:r>
      <w:r w:rsidR="0070137D" w:rsidRPr="00C61B53">
        <w:t xml:space="preserve"> </w:t>
      </w:r>
      <w:r w:rsidR="001E35E9" w:rsidRPr="00C61B53">
        <w:t>promote competition.</w:t>
      </w:r>
      <w:r w:rsidR="00516649" w:rsidRPr="00C61B53">
        <w:t xml:space="preserve">  B</w:t>
      </w:r>
      <w:r w:rsidR="00527757" w:rsidRPr="00C61B53">
        <w:t>usinesses engage</w:t>
      </w:r>
      <w:r w:rsidR="00BC3464" w:rsidRPr="00C61B53">
        <w:t xml:space="preserve">d in commerce routinely employ </w:t>
      </w:r>
      <w:r w:rsidR="003413C8" w:rsidRPr="00C61B53">
        <w:t xml:space="preserve">legitimate </w:t>
      </w:r>
      <w:r w:rsidR="00527757" w:rsidRPr="00C61B53">
        <w:t xml:space="preserve">partnership and </w:t>
      </w:r>
      <w:r w:rsidR="00BC3464" w:rsidRPr="00C61B53">
        <w:t>e</w:t>
      </w:r>
      <w:r w:rsidR="00472875" w:rsidRPr="00C61B53">
        <w:t>xclusive dealing arrangements</w:t>
      </w:r>
      <w:r w:rsidR="00104C00" w:rsidRPr="00C61B53">
        <w:t xml:space="preserve">, which limit </w:t>
      </w:r>
      <w:r w:rsidR="00E83268" w:rsidRPr="00C61B53">
        <w:t>the parties’ freedom to engage in commerce with third parties.</w:t>
      </w:r>
      <w:r w:rsidR="003413C8" w:rsidRPr="00C61B53">
        <w:t xml:space="preserve">  Such arrangements </w:t>
      </w:r>
      <w:r w:rsidR="003439F5" w:rsidRPr="00C61B53">
        <w:t xml:space="preserve">can </w:t>
      </w:r>
      <w:r w:rsidR="003413C8" w:rsidRPr="00C61B53">
        <w:t xml:space="preserve">help businesses </w:t>
      </w:r>
      <w:r w:rsidR="008E240E" w:rsidRPr="00C61B53">
        <w:t>leverage compl</w:t>
      </w:r>
      <w:r w:rsidR="00930370" w:rsidRPr="00C61B53">
        <w:t>e</w:t>
      </w:r>
      <w:r w:rsidR="008E240E" w:rsidRPr="00C61B53">
        <w:t>mentary capabilities</w:t>
      </w:r>
      <w:r w:rsidR="000E6F50" w:rsidRPr="00C61B53">
        <w:t>,</w:t>
      </w:r>
      <w:r w:rsidR="008E240E" w:rsidRPr="00C61B53">
        <w:t xml:space="preserve"> e</w:t>
      </w:r>
      <w:r w:rsidR="00527757" w:rsidRPr="00C61B53">
        <w:t xml:space="preserve">nsure </w:t>
      </w:r>
      <w:r w:rsidR="008E240E" w:rsidRPr="00C61B53">
        <w:t>stability in supply or demand</w:t>
      </w:r>
      <w:r w:rsidR="000E6F50" w:rsidRPr="00C61B53">
        <w:t>,</w:t>
      </w:r>
      <w:r w:rsidR="008E240E" w:rsidRPr="00C61B53">
        <w:t xml:space="preserve"> and </w:t>
      </w:r>
      <w:r w:rsidR="00527757" w:rsidRPr="00C61B53">
        <w:t xml:space="preserve">protect their research, development, and marketing efforts </w:t>
      </w:r>
      <w:r w:rsidR="008E240E" w:rsidRPr="00C61B53">
        <w:t>from being</w:t>
      </w:r>
      <w:r w:rsidR="00527757" w:rsidRPr="00C61B53">
        <w:t xml:space="preserve"> ex</w:t>
      </w:r>
      <w:r w:rsidR="008E240E" w:rsidRPr="00C61B53">
        <w:t>ploited by contractual partners.</w:t>
      </w:r>
    </w:p>
    <w:p w14:paraId="14FF0092" w14:textId="42829AAD" w:rsidR="0013471B" w:rsidRPr="00C61B53" w:rsidRDefault="00DB4C03" w:rsidP="00630218">
      <w:pPr>
        <w:ind w:firstLine="720"/>
      </w:pPr>
      <w:r w:rsidRPr="00C61B53">
        <w:lastRenderedPageBreak/>
        <w:t>The</w:t>
      </w:r>
      <w:r w:rsidR="000E6F50" w:rsidRPr="00C61B53">
        <w:t>se arrangements</w:t>
      </w:r>
      <w:r w:rsidRPr="00C61B53">
        <w:t xml:space="preserve"> can have procompetitive effects </w:t>
      </w:r>
      <w:r w:rsidR="00C83228" w:rsidRPr="00C61B53">
        <w:t>since they</w:t>
      </w:r>
      <w:r w:rsidR="0020508E" w:rsidRPr="00C61B53">
        <w:t xml:space="preserve"> “</w:t>
      </w:r>
      <w:r w:rsidR="00AC4D16" w:rsidRPr="00C61B53">
        <w:t>enable long-term planning on the basis of known costs</w:t>
      </w:r>
      <w:r w:rsidR="0020508E" w:rsidRPr="00C61B53">
        <w:t>,”</w:t>
      </w:r>
      <w:r w:rsidR="00176A8A">
        <w:t xml:space="preserve"> </w:t>
      </w:r>
      <w:r w:rsidR="0020508E" w:rsidRPr="00C61B53">
        <w:t>“give protection against price fluctuations, and</w:t>
      </w:r>
      <w:r w:rsidR="00580FDA" w:rsidRPr="00C61B53">
        <w:t xml:space="preserve"> </w:t>
      </w:r>
      <w:r w:rsidR="0020508E" w:rsidRPr="00C61B53">
        <w:t>—</w:t>
      </w:r>
      <w:r w:rsidR="00580FDA" w:rsidRPr="00C61B53">
        <w:t xml:space="preserve"> </w:t>
      </w:r>
      <w:r w:rsidR="0020508E" w:rsidRPr="00C61B53">
        <w:t>of particular advantage to a newcomer to the field to whom it is important to know what capital expenditures are justified</w:t>
      </w:r>
      <w:r w:rsidR="00580FDA" w:rsidRPr="00C61B53">
        <w:t xml:space="preserve"> </w:t>
      </w:r>
      <w:r w:rsidR="0020508E" w:rsidRPr="00C61B53">
        <w:t>—</w:t>
      </w:r>
      <w:r w:rsidR="00580FDA" w:rsidRPr="00C61B53">
        <w:t xml:space="preserve"> </w:t>
      </w:r>
      <w:r w:rsidR="0020508E" w:rsidRPr="00C61B53">
        <w:t>offer the possibility of a predictable market.”  (</w:t>
      </w:r>
      <w:r w:rsidR="0020508E" w:rsidRPr="00C61B53">
        <w:rPr>
          <w:i/>
        </w:rPr>
        <w:t>Standard Oil Co. of California v. United States</w:t>
      </w:r>
      <w:r w:rsidR="0020508E" w:rsidRPr="00C61B53">
        <w:t xml:space="preserve"> (1949) 337 U.S. 293, </w:t>
      </w:r>
      <w:r w:rsidR="00176A8A">
        <w:t>306–307</w:t>
      </w:r>
      <w:r w:rsidR="0020508E" w:rsidRPr="00C61B53">
        <w:t xml:space="preserve">; see also </w:t>
      </w:r>
      <w:r w:rsidR="0020508E" w:rsidRPr="00C61B53">
        <w:rPr>
          <w:i/>
        </w:rPr>
        <w:t>Sterling Merchandising, Inc. v. Nestle, S.A.</w:t>
      </w:r>
      <w:r w:rsidR="0020508E" w:rsidRPr="00C61B53">
        <w:t xml:space="preserve"> (1st Cir. 2011) 656 F.3d 112, 123 [“exclusive dealing agreements ‘can achieve legitimate economic benefits (reduced cost, stable long-term supply, predictable prices)’</w:t>
      </w:r>
      <w:r w:rsidR="00437067" w:rsidRPr="00C61B53">
        <w:t> </w:t>
      </w:r>
      <w:r w:rsidR="0020508E" w:rsidRPr="00C61B53">
        <w:t xml:space="preserve">”].)  </w:t>
      </w:r>
      <w:r w:rsidR="005D0771" w:rsidRPr="00C61B53">
        <w:t xml:space="preserve">Exclusive dealing arrangements </w:t>
      </w:r>
      <w:r w:rsidR="0020508E" w:rsidRPr="00C61B53">
        <w:t xml:space="preserve">also </w:t>
      </w:r>
      <w:r w:rsidR="00516649" w:rsidRPr="00C61B53">
        <w:t>“may provide an incentive for the marketing of new products and a guarantee of quality-control distribution.”  (</w:t>
      </w:r>
      <w:r w:rsidR="00516649" w:rsidRPr="00C61B53">
        <w:rPr>
          <w:i/>
        </w:rPr>
        <w:t>Dayton Time Lock</w:t>
      </w:r>
      <w:r w:rsidR="00516649" w:rsidRPr="00C61B53">
        <w:t xml:space="preserve">, </w:t>
      </w:r>
      <w:r w:rsidR="00516649" w:rsidRPr="00C61B53">
        <w:rPr>
          <w:i/>
        </w:rPr>
        <w:t>supra</w:t>
      </w:r>
      <w:r w:rsidR="00516649" w:rsidRPr="00C61B53">
        <w:t>, 52 Cal.App.3d at p.</w:t>
      </w:r>
      <w:r w:rsidR="007249B1">
        <w:t> </w:t>
      </w:r>
      <w:r w:rsidR="00516649" w:rsidRPr="00C61B53">
        <w:t>6</w:t>
      </w:r>
      <w:r w:rsidR="00506EE0" w:rsidRPr="00C61B53">
        <w:t>; accord</w:t>
      </w:r>
      <w:r w:rsidR="000E6F50" w:rsidRPr="00C61B53">
        <w:t>,</w:t>
      </w:r>
      <w:r w:rsidR="00506EE0" w:rsidRPr="00C61B53">
        <w:t xml:space="preserve"> </w:t>
      </w:r>
      <w:r w:rsidR="00506EE0" w:rsidRPr="00C61B53">
        <w:rPr>
          <w:i/>
        </w:rPr>
        <w:t>Fisherman’s Wharf Bay Cruise Corp. v. Superior Court of San Francisco</w:t>
      </w:r>
      <w:r w:rsidR="00506EE0" w:rsidRPr="00C61B53">
        <w:t xml:space="preserve"> (2003) 114 Cal.App.4th 309, 335</w:t>
      </w:r>
      <w:r w:rsidR="0095541B" w:rsidRPr="00C61B53">
        <w:t>.)</w:t>
      </w:r>
      <w:r w:rsidR="0090491A" w:rsidRPr="00C61B53">
        <w:t xml:space="preserve">  </w:t>
      </w:r>
      <w:r w:rsidR="0020508E" w:rsidRPr="00C61B53">
        <w:t xml:space="preserve">For example, exclusive dealing arrangements are “often </w:t>
      </w:r>
      <w:r w:rsidR="004E298C" w:rsidRPr="00C61B53">
        <w:t xml:space="preserve">a </w:t>
      </w:r>
      <w:r w:rsidR="0020508E" w:rsidRPr="00C61B53">
        <w:t>part of a franchise agreement or a distributorship contract.”  (</w:t>
      </w:r>
      <w:r w:rsidR="00B80DFD" w:rsidRPr="00C61B53">
        <w:rPr>
          <w:i/>
        </w:rPr>
        <w:t xml:space="preserve">UAS Management, Inc. v. Mater </w:t>
      </w:r>
      <w:proofErr w:type="spellStart"/>
      <w:r w:rsidR="00B80DFD" w:rsidRPr="00C61B53">
        <w:rPr>
          <w:i/>
        </w:rPr>
        <w:t>Misericordiae</w:t>
      </w:r>
      <w:proofErr w:type="spellEnd"/>
      <w:r w:rsidR="00B80DFD" w:rsidRPr="00C61B53">
        <w:rPr>
          <w:i/>
        </w:rPr>
        <w:t xml:space="preserve"> Hospital</w:t>
      </w:r>
      <w:r w:rsidR="00B80DFD" w:rsidRPr="00C61B53">
        <w:t xml:space="preserve"> (2008) 169 Cal.App.4th 357, 365</w:t>
      </w:r>
      <w:r w:rsidR="0020508E" w:rsidRPr="00C61B53">
        <w:t>.)</w:t>
      </w:r>
      <w:r w:rsidR="00B80DFD" w:rsidRPr="00C61B53">
        <w:t xml:space="preserve"> </w:t>
      </w:r>
      <w:r w:rsidR="0020508E" w:rsidRPr="00C61B53">
        <w:t xml:space="preserve"> </w:t>
      </w:r>
      <w:r w:rsidR="00B96D50" w:rsidRPr="00C61B53">
        <w:t>In exchange for the right to sell the franchisor’s products</w:t>
      </w:r>
      <w:r w:rsidR="00586D06" w:rsidRPr="00C61B53">
        <w:t>, f</w:t>
      </w:r>
      <w:r w:rsidR="00A64484" w:rsidRPr="00C61B53">
        <w:t>ranchis</w:t>
      </w:r>
      <w:r w:rsidR="00DD7A82" w:rsidRPr="00C61B53">
        <w:t xml:space="preserve">ees </w:t>
      </w:r>
      <w:r w:rsidR="00586D06" w:rsidRPr="00C61B53">
        <w:t xml:space="preserve">often </w:t>
      </w:r>
      <w:r w:rsidR="00DD7A82" w:rsidRPr="00C61B53">
        <w:t xml:space="preserve">agree to </w:t>
      </w:r>
      <w:r w:rsidR="00BF7E62" w:rsidRPr="00C61B53">
        <w:t>purchas</w:t>
      </w:r>
      <w:r w:rsidR="002F4B3E">
        <w:t>e</w:t>
      </w:r>
      <w:r w:rsidR="00BF7E62" w:rsidRPr="00C61B53">
        <w:t xml:space="preserve"> from a particular </w:t>
      </w:r>
      <w:r w:rsidR="00655633" w:rsidRPr="00C61B53">
        <w:t xml:space="preserve">supplier </w:t>
      </w:r>
      <w:r w:rsidR="002B326E" w:rsidRPr="00C61B53">
        <w:t>or operat</w:t>
      </w:r>
      <w:r w:rsidR="002F4B3E">
        <w:t>e</w:t>
      </w:r>
      <w:r w:rsidR="00B96D50" w:rsidRPr="00C61B53">
        <w:t xml:space="preserve"> in a particular geographic area.</w:t>
      </w:r>
      <w:r w:rsidR="002B326E" w:rsidRPr="00C61B53">
        <w:t xml:space="preserve"> </w:t>
      </w:r>
      <w:r w:rsidR="00586D06" w:rsidRPr="00C61B53">
        <w:t xml:space="preserve"> </w:t>
      </w:r>
      <w:r w:rsidR="00F43385" w:rsidRPr="00C61B53">
        <w:t>(</w:t>
      </w:r>
      <w:r w:rsidR="00586D06" w:rsidRPr="00C61B53">
        <w:t>S</w:t>
      </w:r>
      <w:r w:rsidR="00F43385" w:rsidRPr="00C61B53">
        <w:t xml:space="preserve">ee, e.g., </w:t>
      </w:r>
      <w:r w:rsidR="00F43385" w:rsidRPr="00C61B53">
        <w:rPr>
          <w:i/>
        </w:rPr>
        <w:t>Dayton Time Lock</w:t>
      </w:r>
      <w:r w:rsidR="00F43385" w:rsidRPr="00C61B53">
        <w:t>,</w:t>
      </w:r>
      <w:r w:rsidR="002B326E" w:rsidRPr="00C61B53">
        <w:t xml:space="preserve"> at pp. 4–5</w:t>
      </w:r>
      <w:r w:rsidR="00586D06" w:rsidRPr="00C61B53">
        <w:t xml:space="preserve"> [describing franchise agreement].</w:t>
      </w:r>
      <w:r w:rsidR="002B326E" w:rsidRPr="00C61B53">
        <w:t>)</w:t>
      </w:r>
      <w:r w:rsidR="00586D06" w:rsidRPr="00C61B53">
        <w:t xml:space="preserve">  </w:t>
      </w:r>
      <w:r w:rsidR="000E6F50" w:rsidRPr="00C61B53">
        <w:t>W</w:t>
      </w:r>
      <w:r w:rsidR="0090491A" w:rsidRPr="00C61B53">
        <w:t xml:space="preserve">e decline to construe </w:t>
      </w:r>
      <w:r w:rsidR="0013471B" w:rsidRPr="00C61B53">
        <w:t>se</w:t>
      </w:r>
      <w:r w:rsidR="007A6278" w:rsidRPr="00C61B53">
        <w:t xml:space="preserve">ction 16600 </w:t>
      </w:r>
      <w:r w:rsidR="0090491A" w:rsidRPr="00C61B53">
        <w:t xml:space="preserve">to </w:t>
      </w:r>
      <w:r w:rsidR="007A6278" w:rsidRPr="00C61B53">
        <w:t>call such</w:t>
      </w:r>
      <w:r w:rsidR="0013471B" w:rsidRPr="00C61B53">
        <w:t xml:space="preserve"> arrangements into question</w:t>
      </w:r>
      <w:r w:rsidR="00163C9D">
        <w:t xml:space="preserve"> simply because they restrain trade in some way</w:t>
      </w:r>
      <w:r w:rsidR="0013471B" w:rsidRPr="00C61B53">
        <w:t>.</w:t>
      </w:r>
    </w:p>
    <w:p w14:paraId="2FB6B3A7" w14:textId="2774A462" w:rsidR="00395ED1" w:rsidRPr="00395ED1" w:rsidRDefault="00C501D9" w:rsidP="00630218">
      <w:pPr>
        <w:ind w:firstLine="720"/>
      </w:pPr>
      <w:proofErr w:type="spellStart"/>
      <w:r>
        <w:t>Ixchel</w:t>
      </w:r>
      <w:proofErr w:type="spellEnd"/>
      <w:r>
        <w:t xml:space="preserve"> and a</w:t>
      </w:r>
      <w:r w:rsidR="00681129" w:rsidRPr="00C61B53">
        <w:t>mic</w:t>
      </w:r>
      <w:r w:rsidR="00F87BCF" w:rsidRPr="00C61B53">
        <w:t>us curiae Beckman Coulter, Inc.</w:t>
      </w:r>
      <w:r w:rsidR="00681129" w:rsidRPr="00C61B53">
        <w:t xml:space="preserve"> argue </w:t>
      </w:r>
      <w:r w:rsidR="00E72FBF" w:rsidRPr="00C61B53">
        <w:t xml:space="preserve">that </w:t>
      </w:r>
      <w:r w:rsidR="008A6BD5">
        <w:t>these</w:t>
      </w:r>
      <w:r w:rsidR="00C81176" w:rsidRPr="00C61B53">
        <w:t xml:space="preserve"> dire consequences are exaggerated because </w:t>
      </w:r>
      <w:r w:rsidR="00D4755F" w:rsidRPr="00C61B53">
        <w:t>s</w:t>
      </w:r>
      <w:r w:rsidR="00C81176" w:rsidRPr="00C61B53">
        <w:t xml:space="preserve">ection 16600 only </w:t>
      </w:r>
      <w:r w:rsidR="008A6BD5">
        <w:t>voids agreements that restrain a party from “</w:t>
      </w:r>
      <w:r w:rsidR="008A6BD5">
        <w:rPr>
          <w:i/>
        </w:rPr>
        <w:t>engaging</w:t>
      </w:r>
      <w:r w:rsidR="008A6BD5">
        <w:t xml:space="preserve"> </w:t>
      </w:r>
      <w:r w:rsidR="008A6BD5">
        <w:rPr>
          <w:i/>
        </w:rPr>
        <w:t xml:space="preserve">in </w:t>
      </w:r>
      <w:r w:rsidR="008A6BD5">
        <w:t>a lawful . . </w:t>
      </w:r>
      <w:r w:rsidR="008A6BD5">
        <w:rPr>
          <w:sz w:val="28"/>
        </w:rPr>
        <w:t>.</w:t>
      </w:r>
      <w:r w:rsidR="008A6BD5">
        <w:t xml:space="preserve"> business” and not all contractual restraints on business activity do so.</w:t>
      </w:r>
      <w:r w:rsidR="003F57F7">
        <w:t xml:space="preserve">  </w:t>
      </w:r>
      <w:r w:rsidR="00176A8A">
        <w:t xml:space="preserve">(Italics added.)  </w:t>
      </w:r>
      <w:r w:rsidR="003F57F7">
        <w:t>But they do not explain whe</w:t>
      </w:r>
      <w:r w:rsidR="001E7613">
        <w:t xml:space="preserve">re the line </w:t>
      </w:r>
      <w:r w:rsidR="00AD6B9C">
        <w:t>is to be drawn</w:t>
      </w:r>
      <w:r w:rsidR="001E7613">
        <w:t>.  M</w:t>
      </w:r>
      <w:r w:rsidR="0067363F" w:rsidRPr="00C61B53">
        <w:t xml:space="preserve">any forms of </w:t>
      </w:r>
      <w:r w:rsidR="0067363F" w:rsidRPr="00C61B53">
        <w:lastRenderedPageBreak/>
        <w:t>exclusive dealing</w:t>
      </w:r>
      <w:r w:rsidR="001E7613">
        <w:t xml:space="preserve"> restrain parties from </w:t>
      </w:r>
      <w:r w:rsidR="00ED076B">
        <w:t>“</w:t>
      </w:r>
      <w:r w:rsidR="001E7613">
        <w:t xml:space="preserve">engaging in </w:t>
      </w:r>
      <w:r w:rsidR="00ED076B">
        <w:t xml:space="preserve">a </w:t>
      </w:r>
      <w:r w:rsidR="0034250E">
        <w:t xml:space="preserve">lawful </w:t>
      </w:r>
      <w:r w:rsidR="00ED076B">
        <w:t xml:space="preserve">. . . </w:t>
      </w:r>
      <w:r w:rsidR="001E7613">
        <w:t>business.</w:t>
      </w:r>
      <w:r w:rsidR="0034250E">
        <w:t>”</w:t>
      </w:r>
      <w:r w:rsidR="0067363F" w:rsidRPr="00C61B53">
        <w:t xml:space="preserve">  </w:t>
      </w:r>
      <w:r w:rsidR="00ED076B">
        <w:t>(</w:t>
      </w:r>
      <w:r w:rsidR="0034250E" w:rsidRPr="00C61B53">
        <w:t>§</w:t>
      </w:r>
      <w:r w:rsidR="0034250E">
        <w:t xml:space="preserve"> 16600.)  </w:t>
      </w:r>
      <w:r w:rsidR="00114F65">
        <w:t>F</w:t>
      </w:r>
      <w:r w:rsidR="0067363F" w:rsidRPr="00C61B53">
        <w:t>ranchise agreements often prohibit the franchisee from selling a third party’s products</w:t>
      </w:r>
      <w:r w:rsidR="00114F65">
        <w:t xml:space="preserve">; </w:t>
      </w:r>
      <w:r w:rsidR="00AD6B9C">
        <w:t xml:space="preserve">requirements and output contracts </w:t>
      </w:r>
      <w:r w:rsidR="00E974B9">
        <w:t xml:space="preserve">restrain buyers and sellers respectively from doing business with third parties.  </w:t>
      </w:r>
      <w:r w:rsidR="0090491A" w:rsidRPr="00C61B53">
        <w:t>I</w:t>
      </w:r>
      <w:r w:rsidR="008775C9" w:rsidRPr="00C61B53">
        <w:t xml:space="preserve">n </w:t>
      </w:r>
      <w:r w:rsidR="008775C9" w:rsidRPr="00C61B53">
        <w:rPr>
          <w:i/>
        </w:rPr>
        <w:t>Great Western</w:t>
      </w:r>
      <w:r w:rsidR="000E6F50" w:rsidRPr="00C61B53">
        <w:rPr>
          <w:i/>
        </w:rPr>
        <w:t xml:space="preserve"> Distillery</w:t>
      </w:r>
      <w:r w:rsidR="008775C9" w:rsidRPr="00C61B53">
        <w:t xml:space="preserve">, </w:t>
      </w:r>
      <w:r w:rsidR="001A244B" w:rsidRPr="00C61B53">
        <w:t>we upheld a contract in which a</w:t>
      </w:r>
      <w:r w:rsidR="006D28A3" w:rsidRPr="00C61B53">
        <w:t xml:space="preserve"> business</w:t>
      </w:r>
      <w:r w:rsidR="001A244B" w:rsidRPr="00C61B53">
        <w:t xml:space="preserve"> agreed to purchase </w:t>
      </w:r>
      <w:r w:rsidR="00C25F4F">
        <w:t xml:space="preserve">whiskey </w:t>
      </w:r>
      <w:r w:rsidR="001A244B" w:rsidRPr="00C61B53">
        <w:t>exclusively from a</w:t>
      </w:r>
      <w:r w:rsidR="007D4C01" w:rsidRPr="00C61B53">
        <w:t xml:space="preserve">nother </w:t>
      </w:r>
      <w:r w:rsidR="00C25F4F">
        <w:t xml:space="preserve">whiskey </w:t>
      </w:r>
      <w:r w:rsidR="001A244B" w:rsidRPr="00C61B53">
        <w:t>distillery in exchange for being the sole merchant of that whiskey in California.</w:t>
      </w:r>
      <w:r w:rsidR="006D28A3" w:rsidRPr="00C61B53">
        <w:t xml:space="preserve">  (</w:t>
      </w:r>
      <w:r w:rsidR="006D28A3" w:rsidRPr="00C61B53">
        <w:rPr>
          <w:i/>
        </w:rPr>
        <w:t>Great Western</w:t>
      </w:r>
      <w:r w:rsidR="0067363F" w:rsidRPr="00C61B53">
        <w:rPr>
          <w:i/>
        </w:rPr>
        <w:t xml:space="preserve"> Distillery</w:t>
      </w:r>
      <w:r w:rsidR="006D28A3" w:rsidRPr="00C61B53">
        <w:t xml:space="preserve">, </w:t>
      </w:r>
      <w:r w:rsidR="006D28A3" w:rsidRPr="00C61B53">
        <w:rPr>
          <w:i/>
        </w:rPr>
        <w:t>supra</w:t>
      </w:r>
      <w:r w:rsidR="006D28A3" w:rsidRPr="00C61B53">
        <w:t xml:space="preserve">, </w:t>
      </w:r>
      <w:r w:rsidR="005D0771" w:rsidRPr="00C61B53">
        <w:t>10 Cal.2d at pp.</w:t>
      </w:r>
      <w:r w:rsidR="004E298C" w:rsidRPr="00C61B53">
        <w:t> </w:t>
      </w:r>
      <w:r w:rsidR="005D0771" w:rsidRPr="00C61B53">
        <w:t>445–446.</w:t>
      </w:r>
      <w:r w:rsidR="006D28A3" w:rsidRPr="00C61B53">
        <w:t xml:space="preserve">)  </w:t>
      </w:r>
      <w:r w:rsidR="00C25F4F">
        <w:t>Under the agreement, t</w:t>
      </w:r>
      <w:r w:rsidR="00D243E6" w:rsidRPr="00C61B53">
        <w:t xml:space="preserve">he purchaser was </w:t>
      </w:r>
      <w:r w:rsidR="00C25F4F">
        <w:t>restrained from engaging in the business of buying whiskey from a third party</w:t>
      </w:r>
      <w:r w:rsidR="00176A8A">
        <w:t>,</w:t>
      </w:r>
      <w:r w:rsidR="00C25F4F">
        <w:t xml:space="preserve"> and the whiskey distiller was restrained from doing any business with other potential whiskey buyers.</w:t>
      </w:r>
      <w:r w:rsidR="00395ED1">
        <w:t xml:space="preserve">  </w:t>
      </w:r>
      <w:r w:rsidR="00D243E6" w:rsidRPr="00C61B53">
        <w:t>O</w:t>
      </w:r>
      <w:r w:rsidR="0067363F" w:rsidRPr="00C61B53">
        <w:t xml:space="preserve">ur opinion </w:t>
      </w:r>
      <w:r w:rsidR="00B161D9">
        <w:t xml:space="preserve">applied a reasonableness standard </w:t>
      </w:r>
      <w:r w:rsidR="005F4116">
        <w:t>in determining whether the agreement ran afoul</w:t>
      </w:r>
      <w:r w:rsidR="00D243E6" w:rsidRPr="00C61B53">
        <w:t xml:space="preserve"> of Civil Code </w:t>
      </w:r>
      <w:r w:rsidR="00176A8A">
        <w:t xml:space="preserve">former </w:t>
      </w:r>
      <w:r w:rsidR="00D243E6" w:rsidRPr="00C61B53">
        <w:t>section 1673</w:t>
      </w:r>
      <w:r w:rsidR="00B161D9">
        <w:t>.</w:t>
      </w:r>
      <w:r w:rsidR="0067363F" w:rsidRPr="00C61B53">
        <w:t xml:space="preserve">  (</w:t>
      </w:r>
      <w:r w:rsidR="00D243E6" w:rsidRPr="00C61B53">
        <w:rPr>
          <w:i/>
        </w:rPr>
        <w:t>Great Western Distillery</w:t>
      </w:r>
      <w:r w:rsidR="00D243E6" w:rsidRPr="00C61B53">
        <w:t>, at pp. 445–446.</w:t>
      </w:r>
      <w:r w:rsidR="0067363F" w:rsidRPr="00C61B53">
        <w:t xml:space="preserve">)  </w:t>
      </w:r>
      <w:proofErr w:type="gramStart"/>
      <w:r w:rsidR="00163C9D">
        <w:t>Similarly</w:t>
      </w:r>
      <w:proofErr w:type="gramEnd"/>
      <w:r w:rsidR="00163C9D">
        <w:t xml:space="preserve"> h</w:t>
      </w:r>
      <w:r w:rsidR="00395ED1">
        <w:t xml:space="preserve">ere, </w:t>
      </w:r>
      <w:r w:rsidR="00163C9D">
        <w:t xml:space="preserve">the </w:t>
      </w:r>
      <w:r w:rsidR="00395ED1">
        <w:t>Forward</w:t>
      </w:r>
      <w:r w:rsidR="00163C9D">
        <w:t xml:space="preserve">-Biogen Agreement </w:t>
      </w:r>
      <w:r w:rsidR="00395ED1">
        <w:t xml:space="preserve">restrained </w:t>
      </w:r>
      <w:r w:rsidR="00163C9D">
        <w:t xml:space="preserve">Forward </w:t>
      </w:r>
      <w:r w:rsidR="00395ED1">
        <w:t xml:space="preserve">from engaging in business with </w:t>
      </w:r>
      <w:proofErr w:type="spellStart"/>
      <w:r w:rsidR="00395ED1">
        <w:t>Ixchel</w:t>
      </w:r>
      <w:proofErr w:type="spellEnd"/>
      <w:r w:rsidR="00395ED1">
        <w:t xml:space="preserve"> or another third party to develop drugs containing the active ingredient DMF.  </w:t>
      </w:r>
      <w:proofErr w:type="spellStart"/>
      <w:r w:rsidR="00395ED1">
        <w:t>Ixchel</w:t>
      </w:r>
      <w:proofErr w:type="spellEnd"/>
      <w:r w:rsidR="00395ED1">
        <w:t xml:space="preserve"> </w:t>
      </w:r>
      <w:r w:rsidR="00ED076B">
        <w:t xml:space="preserve">fails to meaningfully differentiate </w:t>
      </w:r>
      <w:r w:rsidR="00395ED1">
        <w:rPr>
          <w:i/>
        </w:rPr>
        <w:t>Great Western Distillery</w:t>
      </w:r>
      <w:r w:rsidR="00395ED1">
        <w:t xml:space="preserve"> </w:t>
      </w:r>
      <w:r w:rsidR="00ED076B">
        <w:t>from</w:t>
      </w:r>
      <w:r w:rsidR="00395ED1">
        <w:t xml:space="preserve"> this case with respect to the applica</w:t>
      </w:r>
      <w:r w:rsidR="005F4116">
        <w:t>bility</w:t>
      </w:r>
      <w:r w:rsidR="00395ED1">
        <w:t xml:space="preserve"> of a reasonableness standard.</w:t>
      </w:r>
    </w:p>
    <w:p w14:paraId="0259E193" w14:textId="0472E5A1" w:rsidR="006F7D1D" w:rsidRPr="00C61B53" w:rsidRDefault="006F7D1D" w:rsidP="00C61B53">
      <w:pPr>
        <w:pStyle w:val="Heading1"/>
      </w:pPr>
      <w:r w:rsidRPr="00C61B53">
        <w:t>CONCLUSION</w:t>
      </w:r>
    </w:p>
    <w:p w14:paraId="5F2AB5CF" w14:textId="40D30CA8" w:rsidR="00C85E78" w:rsidRPr="00C61B53" w:rsidRDefault="009570B1" w:rsidP="00630218">
      <w:pPr>
        <w:tabs>
          <w:tab w:val="left" w:pos="720"/>
        </w:tabs>
      </w:pPr>
      <w:r w:rsidRPr="00C61B53">
        <w:tab/>
      </w:r>
      <w:r w:rsidR="00C718B8">
        <w:t xml:space="preserve">We </w:t>
      </w:r>
      <w:r w:rsidRPr="00C61B53">
        <w:t xml:space="preserve">hold that tortious interference with at-will contracts requires independent wrongfulness.  </w:t>
      </w:r>
      <w:r w:rsidR="00C85E78" w:rsidRPr="00C61B53">
        <w:t xml:space="preserve">Because </w:t>
      </w:r>
      <w:proofErr w:type="spellStart"/>
      <w:r w:rsidR="00C85E78" w:rsidRPr="00C61B53">
        <w:t>Ixchel</w:t>
      </w:r>
      <w:proofErr w:type="spellEnd"/>
      <w:r w:rsidR="00C85E78" w:rsidRPr="00C61B53">
        <w:t xml:space="preserve"> alleges that Biogen interfered with its at-will contract, it must allege that Biogen did so through wrongful means.</w:t>
      </w:r>
    </w:p>
    <w:p w14:paraId="31EA2855" w14:textId="40CE9C98" w:rsidR="003D43C2" w:rsidRPr="00C61B53" w:rsidRDefault="009570B1" w:rsidP="00630218">
      <w:pPr>
        <w:tabs>
          <w:tab w:val="left" w:pos="720"/>
        </w:tabs>
      </w:pPr>
      <w:r w:rsidRPr="00C61B53">
        <w:tab/>
      </w:r>
      <w:r w:rsidR="00C718B8">
        <w:t>W</w:t>
      </w:r>
      <w:r w:rsidRPr="00C61B53">
        <w:t xml:space="preserve">e also hold that a rule of reason applies to determine the validity of </w:t>
      </w:r>
      <w:r w:rsidR="00F61147">
        <w:t xml:space="preserve">a </w:t>
      </w:r>
      <w:r w:rsidR="00A2541E" w:rsidRPr="00C61B53">
        <w:t xml:space="preserve">contractual </w:t>
      </w:r>
      <w:r w:rsidR="000556FD">
        <w:t xml:space="preserve">provision </w:t>
      </w:r>
      <w:r w:rsidR="000556FD" w:rsidRPr="00B9683E">
        <w:rPr>
          <w:szCs w:val="26"/>
        </w:rPr>
        <w:t xml:space="preserve">by which a business is restrained from engaging in a lawful trade or business with </w:t>
      </w:r>
      <w:r w:rsidR="000556FD" w:rsidRPr="00B9683E">
        <w:rPr>
          <w:szCs w:val="26"/>
        </w:rPr>
        <w:lastRenderedPageBreak/>
        <w:t>another business</w:t>
      </w:r>
      <w:r w:rsidR="000556FD">
        <w:t xml:space="preserve">.  </w:t>
      </w:r>
      <w:r w:rsidR="00A2541E" w:rsidRPr="00C61B53">
        <w:t>S</w:t>
      </w:r>
      <w:r w:rsidRPr="00C61B53">
        <w:t xml:space="preserve">ection 2.13 of the Biogen-Forward Agreement is </w:t>
      </w:r>
      <w:r w:rsidR="00A2541E" w:rsidRPr="00C61B53">
        <w:t xml:space="preserve">such a restraint </w:t>
      </w:r>
      <w:r w:rsidR="00D243E6" w:rsidRPr="00C61B53">
        <w:t xml:space="preserve">because </w:t>
      </w:r>
      <w:r w:rsidR="00A2541E" w:rsidRPr="00C61B53">
        <w:t xml:space="preserve">it prevents Forward from collaborating with </w:t>
      </w:r>
      <w:proofErr w:type="spellStart"/>
      <w:r w:rsidR="00A2541E" w:rsidRPr="00C61B53">
        <w:t>Ixchel</w:t>
      </w:r>
      <w:proofErr w:type="spellEnd"/>
      <w:r w:rsidR="00A2541E" w:rsidRPr="00C61B53">
        <w:t xml:space="preserve"> or any other partner in the development of treatments containing the active ingredient DMF.  Its validity</w:t>
      </w:r>
      <w:r w:rsidR="00D243E6" w:rsidRPr="00C61B53">
        <w:t xml:space="preserve"> under section 16600 </w:t>
      </w:r>
      <w:r w:rsidRPr="00C61B53">
        <w:t xml:space="preserve">must </w:t>
      </w:r>
      <w:r w:rsidR="00A2541E" w:rsidRPr="00C61B53">
        <w:t xml:space="preserve">therefore </w:t>
      </w:r>
      <w:r w:rsidRPr="00C61B53">
        <w:t>be evaluated based on a rule of reason.</w:t>
      </w:r>
      <w:r w:rsidR="004823B2" w:rsidRPr="00C61B53">
        <w:t xml:space="preserve">  We express no view </w:t>
      </w:r>
      <w:r w:rsidR="00D243E6" w:rsidRPr="00C61B53">
        <w:t xml:space="preserve">on </w:t>
      </w:r>
      <w:r w:rsidR="00A447E1" w:rsidRPr="00C61B53">
        <w:t>the validity of the agreement at issue.</w:t>
      </w:r>
    </w:p>
    <w:p w14:paraId="7F1A205D" w14:textId="61104034" w:rsidR="00AF6C28" w:rsidRDefault="00AF6C28" w:rsidP="00630218">
      <w:pPr>
        <w:tabs>
          <w:tab w:val="left" w:pos="720"/>
        </w:tabs>
      </w:pPr>
      <w:bookmarkStart w:id="9" w:name="initials"/>
      <w:bookmarkEnd w:id="9"/>
    </w:p>
    <w:p w14:paraId="7F387018" w14:textId="77777777" w:rsidR="0042190C" w:rsidRDefault="0042190C" w:rsidP="0042190C">
      <w:pPr>
        <w:spacing w:line="240" w:lineRule="auto"/>
        <w:ind w:left="4320" w:firstLine="720"/>
        <w:rPr>
          <w:b/>
        </w:rPr>
      </w:pPr>
      <w:r w:rsidRPr="00E9547D">
        <w:rPr>
          <w:b/>
        </w:rPr>
        <w:t>LIU, J.</w:t>
      </w:r>
    </w:p>
    <w:p w14:paraId="33313E2C" w14:textId="77777777" w:rsidR="0042190C" w:rsidRDefault="0042190C" w:rsidP="0042190C">
      <w:pPr>
        <w:spacing w:line="240" w:lineRule="auto"/>
        <w:ind w:left="4320" w:firstLine="720"/>
        <w:rPr>
          <w:b/>
        </w:rPr>
      </w:pPr>
    </w:p>
    <w:p w14:paraId="032ADA02" w14:textId="77777777" w:rsidR="0042190C" w:rsidRDefault="0042190C" w:rsidP="0023378D">
      <w:pPr>
        <w:rPr>
          <w:b/>
        </w:rPr>
      </w:pPr>
      <w:r>
        <w:rPr>
          <w:b/>
        </w:rPr>
        <w:t>We Concur:</w:t>
      </w:r>
    </w:p>
    <w:p w14:paraId="1DFA1ECC" w14:textId="4D43B221" w:rsidR="0042190C" w:rsidRPr="00146FD3" w:rsidRDefault="0042190C" w:rsidP="0042190C">
      <w:pPr>
        <w:spacing w:after="0" w:line="240" w:lineRule="auto"/>
        <w:rPr>
          <w:rFonts w:ascii="Calibri" w:hAnsi="Calibri"/>
          <w:b/>
          <w:sz w:val="22"/>
          <w:lang w:val="it-IT"/>
        </w:rPr>
      </w:pPr>
      <w:r w:rsidRPr="00146FD3">
        <w:rPr>
          <w:b/>
          <w:lang w:val="it-IT"/>
        </w:rPr>
        <w:t>CANTIL-SAKAUYE, C.</w:t>
      </w:r>
      <w:r w:rsidR="0023378D">
        <w:rPr>
          <w:b/>
          <w:lang w:val="it-IT"/>
        </w:rPr>
        <w:t> </w:t>
      </w:r>
      <w:r w:rsidRPr="00146FD3">
        <w:rPr>
          <w:b/>
          <w:lang w:val="it-IT"/>
        </w:rPr>
        <w:t>J.</w:t>
      </w:r>
    </w:p>
    <w:p w14:paraId="1F7C4810" w14:textId="77777777" w:rsidR="0042190C" w:rsidRPr="00146FD3" w:rsidRDefault="0042190C" w:rsidP="0042190C">
      <w:pPr>
        <w:spacing w:after="0" w:line="240" w:lineRule="auto"/>
        <w:rPr>
          <w:b/>
          <w:lang w:val="it-IT"/>
        </w:rPr>
      </w:pPr>
      <w:r w:rsidRPr="00146FD3">
        <w:rPr>
          <w:b/>
          <w:lang w:val="it-IT"/>
        </w:rPr>
        <w:t>CHIN, J.</w:t>
      </w:r>
    </w:p>
    <w:p w14:paraId="7DE55105" w14:textId="77777777" w:rsidR="0042190C" w:rsidRPr="00146FD3" w:rsidRDefault="0042190C" w:rsidP="0042190C">
      <w:pPr>
        <w:spacing w:after="0" w:line="240" w:lineRule="auto"/>
        <w:rPr>
          <w:b/>
          <w:lang w:val="it-IT"/>
        </w:rPr>
      </w:pPr>
      <w:r w:rsidRPr="00146FD3">
        <w:rPr>
          <w:b/>
          <w:lang w:val="it-IT"/>
        </w:rPr>
        <w:t>CORRIGAN, J.</w:t>
      </w:r>
    </w:p>
    <w:p w14:paraId="61622A65" w14:textId="77777777" w:rsidR="0042190C" w:rsidRPr="00146FD3" w:rsidRDefault="0042190C" w:rsidP="0042190C">
      <w:pPr>
        <w:spacing w:after="0" w:line="240" w:lineRule="auto"/>
        <w:rPr>
          <w:b/>
          <w:lang w:val="it-IT"/>
        </w:rPr>
      </w:pPr>
      <w:r w:rsidRPr="00146FD3">
        <w:rPr>
          <w:b/>
          <w:lang w:val="it-IT"/>
        </w:rPr>
        <w:t>CUÉLLAR, J.</w:t>
      </w:r>
    </w:p>
    <w:p w14:paraId="0E014F05" w14:textId="77777777" w:rsidR="0042190C" w:rsidRDefault="0042190C" w:rsidP="0042190C">
      <w:pPr>
        <w:spacing w:after="0" w:line="240" w:lineRule="auto"/>
        <w:jc w:val="left"/>
        <w:rPr>
          <w:b/>
          <w:lang w:val="it-IT"/>
        </w:rPr>
      </w:pPr>
      <w:r w:rsidRPr="00146FD3">
        <w:rPr>
          <w:b/>
          <w:lang w:val="it-IT"/>
        </w:rPr>
        <w:t>KRUGER, J.</w:t>
      </w:r>
    </w:p>
    <w:p w14:paraId="63411CA0" w14:textId="77777777" w:rsidR="0042190C" w:rsidRDefault="0042190C" w:rsidP="0042190C">
      <w:pPr>
        <w:spacing w:after="0" w:line="240" w:lineRule="auto"/>
        <w:jc w:val="left"/>
        <w:rPr>
          <w:b/>
        </w:rPr>
      </w:pPr>
      <w:r>
        <w:rPr>
          <w:b/>
        </w:rPr>
        <w:t>GROBAN, J.</w:t>
      </w:r>
    </w:p>
    <w:p w14:paraId="3F766798" w14:textId="77777777" w:rsidR="005F2007" w:rsidRDefault="005F2007" w:rsidP="00630218">
      <w:pPr>
        <w:tabs>
          <w:tab w:val="left" w:pos="720"/>
        </w:tabs>
        <w:sectPr w:rsidR="005F2007" w:rsidSect="00BD1E34">
          <w:footerReference w:type="first" r:id="rId10"/>
          <w:pgSz w:w="12240" w:h="15840"/>
          <w:pgMar w:top="1800" w:right="2160" w:bottom="1440" w:left="2160" w:header="720" w:footer="720" w:gutter="0"/>
          <w:pgNumType w:start="1"/>
          <w:cols w:space="720"/>
          <w:titlePg/>
          <w:docGrid w:linePitch="367"/>
        </w:sectPr>
      </w:pPr>
    </w:p>
    <w:p w14:paraId="36534164" w14:textId="77777777" w:rsidR="00F84904" w:rsidRPr="00F84904" w:rsidRDefault="00F84904" w:rsidP="00F84904">
      <w:pPr>
        <w:spacing w:after="0" w:line="240" w:lineRule="auto"/>
        <w:jc w:val="left"/>
        <w:rPr>
          <w:rFonts w:ascii="Times New Roman" w:hAnsi="Times New Roman"/>
          <w:i/>
          <w:sz w:val="20"/>
        </w:rPr>
      </w:pPr>
      <w:r w:rsidRPr="00F84904">
        <w:rPr>
          <w:rFonts w:ascii="Times New Roman" w:hAnsi="Times New Roman"/>
          <w:i/>
          <w:sz w:val="20"/>
        </w:rPr>
        <w:lastRenderedPageBreak/>
        <w:t>See next page for addresses and telephone numbers for counsel who argued in Supreme Court.</w:t>
      </w:r>
    </w:p>
    <w:p w14:paraId="33006169" w14:textId="77777777" w:rsidR="00F84904" w:rsidRPr="00F84904" w:rsidRDefault="00F84904" w:rsidP="00F84904">
      <w:pPr>
        <w:spacing w:after="0" w:line="240" w:lineRule="auto"/>
        <w:jc w:val="left"/>
        <w:rPr>
          <w:rFonts w:ascii="Times New Roman" w:hAnsi="Times New Roman"/>
          <w:i/>
          <w:sz w:val="20"/>
        </w:rPr>
      </w:pPr>
    </w:p>
    <w:p w14:paraId="30A5C8F2" w14:textId="77777777" w:rsidR="00F84904" w:rsidRPr="00F84904" w:rsidRDefault="00F84904" w:rsidP="00F84904">
      <w:pPr>
        <w:spacing w:after="0" w:line="240" w:lineRule="auto"/>
        <w:jc w:val="left"/>
        <w:rPr>
          <w:rFonts w:ascii="Times New Roman" w:hAnsi="Times New Roman"/>
          <w:b/>
          <w:sz w:val="20"/>
        </w:rPr>
      </w:pPr>
      <w:r w:rsidRPr="00F84904">
        <w:rPr>
          <w:rFonts w:ascii="Times New Roman" w:hAnsi="Times New Roman"/>
          <w:b/>
          <w:sz w:val="20"/>
        </w:rPr>
        <w:t xml:space="preserve">Name of Opinion </w:t>
      </w:r>
      <w:proofErr w:type="spellStart"/>
      <w:r w:rsidRPr="00F84904">
        <w:rPr>
          <w:rFonts w:ascii="Times New Roman" w:hAnsi="Times New Roman"/>
          <w:bCs/>
          <w:sz w:val="20"/>
        </w:rPr>
        <w:t>Ixchel</w:t>
      </w:r>
      <w:proofErr w:type="spellEnd"/>
      <w:r w:rsidRPr="00F84904">
        <w:rPr>
          <w:rFonts w:ascii="Times New Roman" w:hAnsi="Times New Roman"/>
          <w:bCs/>
          <w:sz w:val="20"/>
        </w:rPr>
        <w:t xml:space="preserve"> Pharma, LLC v. Biogen, Inc.</w:t>
      </w:r>
      <w:r w:rsidRPr="00F84904">
        <w:rPr>
          <w:rFonts w:ascii="Times New Roman" w:hAnsi="Times New Roman"/>
          <w:b/>
          <w:sz w:val="20"/>
        </w:rPr>
        <w:t xml:space="preserve"> </w:t>
      </w:r>
      <w:r w:rsidRPr="00F84904">
        <w:rPr>
          <w:rFonts w:ascii="Times New Roman" w:hAnsi="Times New Roman"/>
          <w:bCs/>
          <w:sz w:val="20"/>
        </w:rPr>
        <w:t xml:space="preserve"> </w:t>
      </w:r>
      <w:r w:rsidRPr="00F84904">
        <w:rPr>
          <w:rFonts w:ascii="Times New Roman" w:hAnsi="Times New Roman"/>
          <w:sz w:val="20"/>
        </w:rPr>
        <w:t xml:space="preserve"> </w:t>
      </w:r>
      <w:r w:rsidRPr="00F84904">
        <w:rPr>
          <w:rFonts w:ascii="Times New Roman" w:hAnsi="Times New Roman"/>
          <w:b/>
          <w:sz w:val="20"/>
        </w:rPr>
        <w:t>__________________________________________________________________________________</w:t>
      </w:r>
    </w:p>
    <w:p w14:paraId="631AB08C" w14:textId="77777777" w:rsidR="00F84904" w:rsidRPr="00F84904" w:rsidRDefault="00F84904" w:rsidP="00F84904">
      <w:pPr>
        <w:spacing w:after="0" w:line="240" w:lineRule="auto"/>
        <w:jc w:val="left"/>
        <w:rPr>
          <w:rFonts w:ascii="Times New Roman" w:hAnsi="Times New Roman"/>
          <w:b/>
          <w:sz w:val="20"/>
        </w:rPr>
      </w:pPr>
    </w:p>
    <w:p w14:paraId="11F3D363" w14:textId="77777777" w:rsidR="00F84904" w:rsidRPr="00F84904" w:rsidRDefault="00F84904" w:rsidP="00F84904">
      <w:pPr>
        <w:spacing w:after="0" w:line="240" w:lineRule="auto"/>
        <w:jc w:val="left"/>
        <w:rPr>
          <w:rFonts w:ascii="Times New Roman" w:hAnsi="Times New Roman"/>
          <w:bCs/>
          <w:sz w:val="20"/>
        </w:rPr>
      </w:pPr>
      <w:r w:rsidRPr="00F84904">
        <w:rPr>
          <w:rFonts w:ascii="Times New Roman" w:hAnsi="Times New Roman"/>
          <w:b/>
          <w:sz w:val="20"/>
        </w:rPr>
        <w:t>Unpublished Opinion</w:t>
      </w:r>
    </w:p>
    <w:p w14:paraId="52013F5A" w14:textId="77777777" w:rsidR="00F84904" w:rsidRPr="00F84904" w:rsidRDefault="00F84904" w:rsidP="00F84904">
      <w:pPr>
        <w:spacing w:after="0" w:line="240" w:lineRule="auto"/>
        <w:jc w:val="left"/>
        <w:rPr>
          <w:rFonts w:ascii="Times New Roman" w:hAnsi="Times New Roman"/>
          <w:sz w:val="20"/>
        </w:rPr>
      </w:pPr>
      <w:r w:rsidRPr="00F84904">
        <w:rPr>
          <w:rFonts w:ascii="Times New Roman" w:hAnsi="Times New Roman"/>
          <w:b/>
          <w:sz w:val="20"/>
        </w:rPr>
        <w:t>Original Appeal</w:t>
      </w:r>
    </w:p>
    <w:p w14:paraId="14E836FD" w14:textId="77777777" w:rsidR="00F84904" w:rsidRPr="00F84904" w:rsidRDefault="00F84904" w:rsidP="00F84904">
      <w:pPr>
        <w:spacing w:after="0" w:line="240" w:lineRule="auto"/>
        <w:jc w:val="left"/>
        <w:rPr>
          <w:rFonts w:ascii="Times New Roman" w:hAnsi="Times New Roman"/>
          <w:b/>
          <w:sz w:val="20"/>
        </w:rPr>
      </w:pPr>
      <w:r w:rsidRPr="00F84904">
        <w:rPr>
          <w:rFonts w:ascii="Times New Roman" w:hAnsi="Times New Roman"/>
          <w:b/>
          <w:sz w:val="20"/>
        </w:rPr>
        <w:t xml:space="preserve">Original Proceeding </w:t>
      </w:r>
      <w:r w:rsidRPr="00F84904">
        <w:rPr>
          <w:rFonts w:ascii="Times New Roman" w:hAnsi="Times New Roman"/>
          <w:sz w:val="20"/>
        </w:rPr>
        <w:t>XXX on request pursuant to rule 8.548, Cal. Rules of Court</w:t>
      </w:r>
    </w:p>
    <w:p w14:paraId="2B9252D7" w14:textId="77777777" w:rsidR="00F84904" w:rsidRPr="00F84904" w:rsidRDefault="00F84904" w:rsidP="00F84904">
      <w:pPr>
        <w:spacing w:after="0" w:line="240" w:lineRule="auto"/>
        <w:jc w:val="left"/>
        <w:rPr>
          <w:rFonts w:ascii="Times New Roman" w:hAnsi="Times New Roman"/>
          <w:bCs/>
          <w:sz w:val="20"/>
        </w:rPr>
      </w:pPr>
      <w:r w:rsidRPr="00F84904">
        <w:rPr>
          <w:rFonts w:ascii="Times New Roman" w:hAnsi="Times New Roman"/>
          <w:b/>
          <w:sz w:val="20"/>
        </w:rPr>
        <w:t xml:space="preserve">Review Granted </w:t>
      </w:r>
      <w:r w:rsidRPr="00F84904">
        <w:rPr>
          <w:rFonts w:ascii="Times New Roman" w:hAnsi="Times New Roman"/>
          <w:bCs/>
          <w:sz w:val="20"/>
        </w:rPr>
        <w:t xml:space="preserve">  </w:t>
      </w:r>
    </w:p>
    <w:p w14:paraId="2780CE29" w14:textId="77777777" w:rsidR="00F84904" w:rsidRPr="00F84904" w:rsidRDefault="00F84904" w:rsidP="00F84904">
      <w:pPr>
        <w:spacing w:after="0" w:line="240" w:lineRule="auto"/>
        <w:jc w:val="left"/>
        <w:rPr>
          <w:rFonts w:ascii="Times New Roman" w:hAnsi="Times New Roman"/>
          <w:b/>
          <w:sz w:val="20"/>
        </w:rPr>
      </w:pPr>
      <w:r w:rsidRPr="00F84904">
        <w:rPr>
          <w:rFonts w:ascii="Times New Roman" w:hAnsi="Times New Roman"/>
          <w:b/>
          <w:sz w:val="20"/>
        </w:rPr>
        <w:t>Rehearing Granted</w:t>
      </w:r>
    </w:p>
    <w:p w14:paraId="1371BC63" w14:textId="77777777" w:rsidR="00F84904" w:rsidRPr="00F84904" w:rsidRDefault="00F84904" w:rsidP="00F84904">
      <w:pPr>
        <w:spacing w:after="0" w:line="240" w:lineRule="auto"/>
        <w:jc w:val="left"/>
        <w:rPr>
          <w:rFonts w:ascii="Times New Roman" w:hAnsi="Times New Roman"/>
          <w:b/>
          <w:sz w:val="20"/>
        </w:rPr>
      </w:pPr>
    </w:p>
    <w:p w14:paraId="0D54CC01" w14:textId="77777777" w:rsidR="00F84904" w:rsidRPr="00F84904" w:rsidRDefault="00F84904" w:rsidP="00F84904">
      <w:pPr>
        <w:spacing w:after="0" w:line="240" w:lineRule="auto"/>
        <w:jc w:val="left"/>
        <w:rPr>
          <w:rFonts w:ascii="Times New Roman" w:hAnsi="Times New Roman"/>
          <w:b/>
          <w:sz w:val="20"/>
        </w:rPr>
      </w:pPr>
      <w:r w:rsidRPr="00F84904">
        <w:rPr>
          <w:rFonts w:ascii="Times New Roman" w:hAnsi="Times New Roman"/>
          <w:b/>
          <w:sz w:val="20"/>
        </w:rPr>
        <w:t>__________________________________________________________________________________</w:t>
      </w:r>
    </w:p>
    <w:p w14:paraId="0922F205" w14:textId="77777777" w:rsidR="00F84904" w:rsidRPr="00F84904" w:rsidRDefault="00F84904" w:rsidP="00F84904">
      <w:pPr>
        <w:spacing w:after="0" w:line="240" w:lineRule="auto"/>
        <w:jc w:val="left"/>
        <w:rPr>
          <w:rFonts w:ascii="Times New Roman" w:hAnsi="Times New Roman"/>
          <w:b/>
          <w:sz w:val="20"/>
        </w:rPr>
      </w:pPr>
    </w:p>
    <w:p w14:paraId="1CAB7160" w14:textId="77777777" w:rsidR="00F84904" w:rsidRPr="00F84904" w:rsidRDefault="00F84904" w:rsidP="00F84904">
      <w:pPr>
        <w:spacing w:after="0" w:line="240" w:lineRule="auto"/>
        <w:jc w:val="left"/>
        <w:rPr>
          <w:rFonts w:ascii="Times New Roman" w:hAnsi="Times New Roman"/>
          <w:bCs/>
          <w:sz w:val="20"/>
        </w:rPr>
      </w:pPr>
      <w:r w:rsidRPr="00F84904">
        <w:rPr>
          <w:rFonts w:ascii="Times New Roman" w:hAnsi="Times New Roman"/>
          <w:b/>
          <w:sz w:val="20"/>
        </w:rPr>
        <w:t>Opinion No.</w:t>
      </w:r>
      <w:r w:rsidRPr="00F84904">
        <w:rPr>
          <w:rFonts w:ascii="Times New Roman" w:hAnsi="Times New Roman"/>
          <w:sz w:val="20"/>
        </w:rPr>
        <w:t xml:space="preserve"> S256927</w:t>
      </w:r>
    </w:p>
    <w:p w14:paraId="78293541" w14:textId="77777777" w:rsidR="00F84904" w:rsidRPr="00F84904" w:rsidRDefault="00F84904" w:rsidP="00F84904">
      <w:pPr>
        <w:spacing w:after="0" w:line="240" w:lineRule="auto"/>
        <w:jc w:val="left"/>
        <w:rPr>
          <w:rFonts w:ascii="Times New Roman" w:hAnsi="Times New Roman"/>
          <w:bCs/>
          <w:sz w:val="20"/>
        </w:rPr>
      </w:pPr>
      <w:r w:rsidRPr="00F84904">
        <w:rPr>
          <w:rFonts w:ascii="Times New Roman" w:hAnsi="Times New Roman"/>
          <w:b/>
          <w:sz w:val="20"/>
        </w:rPr>
        <w:t>Date Filed:</w:t>
      </w:r>
      <w:r w:rsidRPr="00F84904">
        <w:rPr>
          <w:rFonts w:ascii="Times New Roman" w:hAnsi="Times New Roman"/>
          <w:sz w:val="20"/>
        </w:rPr>
        <w:t xml:space="preserve">  August 3, 2020</w:t>
      </w:r>
    </w:p>
    <w:p w14:paraId="5FED0675" w14:textId="77777777" w:rsidR="00F84904" w:rsidRPr="00F84904" w:rsidRDefault="00F84904" w:rsidP="00F84904">
      <w:pPr>
        <w:spacing w:after="0" w:line="240" w:lineRule="auto"/>
        <w:jc w:val="left"/>
        <w:rPr>
          <w:rFonts w:ascii="Times New Roman" w:hAnsi="Times New Roman"/>
          <w:b/>
          <w:sz w:val="20"/>
        </w:rPr>
      </w:pPr>
      <w:r w:rsidRPr="00F84904">
        <w:rPr>
          <w:rFonts w:ascii="Times New Roman" w:hAnsi="Times New Roman"/>
          <w:b/>
          <w:sz w:val="20"/>
        </w:rPr>
        <w:t>__________________________________________________________________________________</w:t>
      </w:r>
    </w:p>
    <w:p w14:paraId="231D9C7C" w14:textId="77777777" w:rsidR="00F84904" w:rsidRPr="00F84904" w:rsidRDefault="00F84904" w:rsidP="00F84904">
      <w:pPr>
        <w:spacing w:after="0" w:line="240" w:lineRule="auto"/>
        <w:jc w:val="left"/>
        <w:rPr>
          <w:rFonts w:ascii="Times New Roman" w:hAnsi="Times New Roman"/>
          <w:b/>
          <w:sz w:val="20"/>
        </w:rPr>
      </w:pPr>
    </w:p>
    <w:p w14:paraId="4208FCB1" w14:textId="77777777" w:rsidR="00F84904" w:rsidRPr="00F84904" w:rsidRDefault="00F84904" w:rsidP="00F84904">
      <w:pPr>
        <w:spacing w:after="0" w:line="240" w:lineRule="auto"/>
        <w:jc w:val="left"/>
        <w:rPr>
          <w:rFonts w:ascii="Times New Roman" w:hAnsi="Times New Roman"/>
          <w:bCs/>
          <w:sz w:val="20"/>
        </w:rPr>
      </w:pPr>
      <w:r w:rsidRPr="00F84904">
        <w:rPr>
          <w:rFonts w:ascii="Times New Roman" w:hAnsi="Times New Roman"/>
          <w:b/>
          <w:sz w:val="20"/>
        </w:rPr>
        <w:t xml:space="preserve">Court:   </w:t>
      </w:r>
    </w:p>
    <w:p w14:paraId="6DD2DC41" w14:textId="77777777" w:rsidR="00F84904" w:rsidRPr="00F84904" w:rsidRDefault="00F84904" w:rsidP="00F84904">
      <w:pPr>
        <w:spacing w:after="0" w:line="240" w:lineRule="auto"/>
        <w:jc w:val="left"/>
        <w:rPr>
          <w:rFonts w:ascii="Times New Roman" w:hAnsi="Times New Roman"/>
          <w:bCs/>
          <w:sz w:val="20"/>
        </w:rPr>
      </w:pPr>
      <w:r w:rsidRPr="00F84904">
        <w:rPr>
          <w:rFonts w:ascii="Times New Roman" w:hAnsi="Times New Roman"/>
          <w:b/>
          <w:sz w:val="20"/>
        </w:rPr>
        <w:t xml:space="preserve">County:  </w:t>
      </w:r>
      <w:r w:rsidRPr="00F84904">
        <w:rPr>
          <w:rFonts w:ascii="Times New Roman" w:hAnsi="Times New Roman"/>
          <w:bCs/>
          <w:sz w:val="20"/>
        </w:rPr>
        <w:t xml:space="preserve"> </w:t>
      </w:r>
    </w:p>
    <w:p w14:paraId="4D588E2B" w14:textId="77777777" w:rsidR="00F84904" w:rsidRPr="00F84904" w:rsidRDefault="00F84904" w:rsidP="00F84904">
      <w:pPr>
        <w:spacing w:after="0" w:line="240" w:lineRule="auto"/>
        <w:ind w:left="720" w:hanging="720"/>
        <w:jc w:val="left"/>
        <w:rPr>
          <w:rFonts w:ascii="Times New Roman" w:hAnsi="Times New Roman"/>
          <w:bCs/>
          <w:sz w:val="20"/>
        </w:rPr>
      </w:pPr>
      <w:r w:rsidRPr="00F84904">
        <w:rPr>
          <w:rFonts w:ascii="Times New Roman" w:hAnsi="Times New Roman"/>
          <w:b/>
          <w:sz w:val="20"/>
        </w:rPr>
        <w:t xml:space="preserve">Judge:  </w:t>
      </w:r>
      <w:r w:rsidRPr="00F84904">
        <w:rPr>
          <w:rFonts w:ascii="Times New Roman" w:hAnsi="Times New Roman"/>
          <w:bCs/>
          <w:sz w:val="20"/>
        </w:rPr>
        <w:t xml:space="preserve"> </w:t>
      </w:r>
    </w:p>
    <w:p w14:paraId="5952D878" w14:textId="77777777" w:rsidR="00F84904" w:rsidRPr="00F84904" w:rsidRDefault="00F84904" w:rsidP="00F84904">
      <w:pPr>
        <w:spacing w:after="0" w:line="240" w:lineRule="auto"/>
        <w:jc w:val="left"/>
        <w:rPr>
          <w:rFonts w:ascii="Times New Roman" w:hAnsi="Times New Roman"/>
          <w:b/>
          <w:sz w:val="20"/>
        </w:rPr>
      </w:pPr>
    </w:p>
    <w:p w14:paraId="5A474D0F" w14:textId="77777777" w:rsidR="00F84904" w:rsidRPr="00F84904" w:rsidRDefault="00F84904" w:rsidP="00F84904">
      <w:pPr>
        <w:spacing w:after="0" w:line="240" w:lineRule="auto"/>
        <w:jc w:val="left"/>
        <w:rPr>
          <w:rFonts w:ascii="Times New Roman" w:hAnsi="Times New Roman"/>
          <w:b/>
          <w:sz w:val="20"/>
        </w:rPr>
      </w:pPr>
      <w:r w:rsidRPr="00F84904">
        <w:rPr>
          <w:rFonts w:ascii="Times New Roman" w:hAnsi="Times New Roman"/>
          <w:b/>
          <w:sz w:val="20"/>
        </w:rPr>
        <w:t>__________________________________________________________________________________</w:t>
      </w:r>
    </w:p>
    <w:p w14:paraId="7C640DA4" w14:textId="77777777" w:rsidR="00F84904" w:rsidRPr="00F84904" w:rsidRDefault="00F84904" w:rsidP="00F84904">
      <w:pPr>
        <w:spacing w:after="0" w:line="240" w:lineRule="auto"/>
        <w:jc w:val="left"/>
        <w:rPr>
          <w:rFonts w:ascii="Times New Roman" w:hAnsi="Times New Roman"/>
          <w:b/>
          <w:sz w:val="20"/>
        </w:rPr>
      </w:pPr>
    </w:p>
    <w:p w14:paraId="256C3A93" w14:textId="77777777" w:rsidR="00F84904" w:rsidRPr="00F84904" w:rsidRDefault="00F84904" w:rsidP="00F84904">
      <w:pPr>
        <w:spacing w:after="0" w:line="240" w:lineRule="auto"/>
        <w:jc w:val="left"/>
        <w:rPr>
          <w:rFonts w:ascii="Times New Roman" w:hAnsi="Times New Roman"/>
          <w:b/>
          <w:sz w:val="20"/>
        </w:rPr>
      </w:pPr>
      <w:r w:rsidRPr="00F84904">
        <w:rPr>
          <w:rFonts w:ascii="Times New Roman" w:hAnsi="Times New Roman"/>
          <w:b/>
          <w:sz w:val="20"/>
        </w:rPr>
        <w:t>Counsel:</w:t>
      </w:r>
    </w:p>
    <w:p w14:paraId="440FE5C1" w14:textId="77777777" w:rsidR="00F84904" w:rsidRPr="00F84904" w:rsidRDefault="00F84904" w:rsidP="00F84904">
      <w:pPr>
        <w:spacing w:after="0" w:line="240" w:lineRule="auto"/>
        <w:jc w:val="left"/>
        <w:rPr>
          <w:rFonts w:ascii="Times New Roman" w:hAnsi="Times New Roman"/>
          <w:b/>
          <w:sz w:val="20"/>
        </w:rPr>
      </w:pPr>
    </w:p>
    <w:p w14:paraId="30EDFA7A" w14:textId="77777777" w:rsidR="00F84904" w:rsidRPr="00F84904" w:rsidRDefault="00F84904" w:rsidP="00F84904">
      <w:pPr>
        <w:spacing w:after="0" w:line="240" w:lineRule="auto"/>
        <w:jc w:val="left"/>
        <w:rPr>
          <w:rFonts w:ascii="Times New Roman" w:hAnsi="Times New Roman"/>
          <w:bCs/>
          <w:sz w:val="20"/>
        </w:rPr>
      </w:pPr>
      <w:proofErr w:type="spellStart"/>
      <w:r w:rsidRPr="00F84904">
        <w:rPr>
          <w:rFonts w:ascii="Times New Roman" w:hAnsi="Times New Roman"/>
          <w:bCs/>
          <w:sz w:val="20"/>
        </w:rPr>
        <w:t>Banys</w:t>
      </w:r>
      <w:proofErr w:type="spellEnd"/>
      <w:r w:rsidRPr="00F84904">
        <w:rPr>
          <w:rFonts w:ascii="Times New Roman" w:hAnsi="Times New Roman"/>
          <w:bCs/>
          <w:sz w:val="20"/>
        </w:rPr>
        <w:t xml:space="preserve">, Christopher D. </w:t>
      </w:r>
      <w:proofErr w:type="spellStart"/>
      <w:r w:rsidRPr="00F84904">
        <w:rPr>
          <w:rFonts w:ascii="Times New Roman" w:hAnsi="Times New Roman"/>
          <w:bCs/>
          <w:sz w:val="20"/>
        </w:rPr>
        <w:t>Banys</w:t>
      </w:r>
      <w:proofErr w:type="spellEnd"/>
      <w:r w:rsidRPr="00F84904">
        <w:rPr>
          <w:rFonts w:ascii="Times New Roman" w:hAnsi="Times New Roman"/>
          <w:bCs/>
          <w:sz w:val="20"/>
        </w:rPr>
        <w:t xml:space="preserve"> and Richard C. Lin for Plaintiff and Appellant.</w:t>
      </w:r>
    </w:p>
    <w:p w14:paraId="34AEDA3C" w14:textId="77777777" w:rsidR="00F84904" w:rsidRPr="00F84904" w:rsidRDefault="00F84904" w:rsidP="00F84904">
      <w:pPr>
        <w:spacing w:after="0" w:line="240" w:lineRule="auto"/>
        <w:jc w:val="left"/>
        <w:rPr>
          <w:rFonts w:ascii="Times New Roman" w:hAnsi="Times New Roman"/>
          <w:bCs/>
          <w:sz w:val="20"/>
        </w:rPr>
      </w:pPr>
    </w:p>
    <w:p w14:paraId="32F70750" w14:textId="79677B27" w:rsidR="00F84904" w:rsidRPr="00F84904" w:rsidRDefault="00F84904" w:rsidP="00F84904">
      <w:pPr>
        <w:spacing w:after="0" w:line="240" w:lineRule="auto"/>
        <w:jc w:val="left"/>
        <w:rPr>
          <w:rFonts w:ascii="Times New Roman" w:hAnsi="Times New Roman"/>
          <w:bCs/>
          <w:sz w:val="20"/>
        </w:rPr>
      </w:pPr>
      <w:r w:rsidRPr="00F84904">
        <w:rPr>
          <w:rFonts w:ascii="Times New Roman" w:hAnsi="Times New Roman"/>
          <w:bCs/>
          <w:sz w:val="20"/>
        </w:rPr>
        <w:t xml:space="preserve">California Appellate Law Group, Anna-Rose Mathieson, Greg Wolff; </w:t>
      </w:r>
      <w:proofErr w:type="spellStart"/>
      <w:r w:rsidRPr="00F84904">
        <w:rPr>
          <w:rFonts w:ascii="Times New Roman" w:hAnsi="Times New Roman"/>
          <w:bCs/>
          <w:sz w:val="20"/>
        </w:rPr>
        <w:t>Behmer</w:t>
      </w:r>
      <w:proofErr w:type="spellEnd"/>
      <w:r w:rsidRPr="00F84904">
        <w:rPr>
          <w:rFonts w:ascii="Times New Roman" w:hAnsi="Times New Roman"/>
          <w:bCs/>
          <w:sz w:val="20"/>
        </w:rPr>
        <w:t xml:space="preserve"> &amp; Blackford, Timothy S. Blackford; Williams &amp; Connolly, John E. </w:t>
      </w:r>
      <w:proofErr w:type="spellStart"/>
      <w:r w:rsidRPr="00F84904">
        <w:rPr>
          <w:rFonts w:ascii="Times New Roman" w:hAnsi="Times New Roman"/>
          <w:bCs/>
          <w:sz w:val="20"/>
        </w:rPr>
        <w:t>Schmidtlein</w:t>
      </w:r>
      <w:proofErr w:type="spellEnd"/>
      <w:r w:rsidRPr="00F84904">
        <w:rPr>
          <w:rFonts w:ascii="Times New Roman" w:hAnsi="Times New Roman"/>
          <w:bCs/>
          <w:sz w:val="20"/>
        </w:rPr>
        <w:t xml:space="preserve"> and Carl R. Metz for Beckman Coulter, Inc.</w:t>
      </w:r>
      <w:r w:rsidR="00C10F95">
        <w:rPr>
          <w:rFonts w:ascii="Times New Roman" w:hAnsi="Times New Roman"/>
          <w:bCs/>
          <w:sz w:val="20"/>
        </w:rPr>
        <w:t>,</w:t>
      </w:r>
      <w:bookmarkStart w:id="10" w:name="_GoBack"/>
      <w:bookmarkEnd w:id="10"/>
      <w:r w:rsidRPr="00F84904">
        <w:rPr>
          <w:rFonts w:ascii="Times New Roman" w:hAnsi="Times New Roman"/>
          <w:bCs/>
          <w:sz w:val="20"/>
        </w:rPr>
        <w:t xml:space="preserve"> as Amicus Curiae on behalf of Plaintiff and Appellant.</w:t>
      </w:r>
    </w:p>
    <w:p w14:paraId="49E067E5" w14:textId="77777777" w:rsidR="00F84904" w:rsidRPr="00F84904" w:rsidRDefault="00F84904" w:rsidP="00F84904">
      <w:pPr>
        <w:spacing w:after="0" w:line="240" w:lineRule="auto"/>
        <w:jc w:val="left"/>
        <w:rPr>
          <w:rFonts w:ascii="Times New Roman" w:hAnsi="Times New Roman"/>
          <w:bCs/>
          <w:sz w:val="20"/>
        </w:rPr>
      </w:pPr>
    </w:p>
    <w:p w14:paraId="40FEA23E" w14:textId="77777777" w:rsidR="00F84904" w:rsidRPr="00F84904" w:rsidRDefault="00F84904" w:rsidP="00F84904">
      <w:pPr>
        <w:spacing w:after="0" w:line="240" w:lineRule="auto"/>
        <w:jc w:val="left"/>
        <w:rPr>
          <w:rFonts w:ascii="Times New Roman" w:hAnsi="Times New Roman"/>
          <w:bCs/>
          <w:sz w:val="20"/>
        </w:rPr>
      </w:pPr>
      <w:r w:rsidRPr="00F84904">
        <w:rPr>
          <w:rFonts w:ascii="Times New Roman" w:hAnsi="Times New Roman"/>
          <w:bCs/>
          <w:sz w:val="20"/>
        </w:rPr>
        <w:t xml:space="preserve">Ropes &amp; Gray, Mark S. </w:t>
      </w:r>
      <w:proofErr w:type="spellStart"/>
      <w:r w:rsidRPr="00F84904">
        <w:rPr>
          <w:rFonts w:ascii="Times New Roman" w:hAnsi="Times New Roman"/>
          <w:bCs/>
          <w:sz w:val="20"/>
        </w:rPr>
        <w:t>Popofsky</w:t>
      </w:r>
      <w:proofErr w:type="spellEnd"/>
      <w:r w:rsidRPr="00F84904">
        <w:rPr>
          <w:rFonts w:ascii="Times New Roman" w:hAnsi="Times New Roman"/>
          <w:bCs/>
          <w:sz w:val="20"/>
        </w:rPr>
        <w:t xml:space="preserve">, Rocky Chiu-Feng Tsai; </w:t>
      </w:r>
      <w:proofErr w:type="spellStart"/>
      <w:r w:rsidRPr="00F84904">
        <w:rPr>
          <w:rFonts w:ascii="Times New Roman" w:hAnsi="Times New Roman"/>
          <w:bCs/>
          <w:sz w:val="20"/>
        </w:rPr>
        <w:t>Greines</w:t>
      </w:r>
      <w:proofErr w:type="spellEnd"/>
      <w:r w:rsidRPr="00F84904">
        <w:rPr>
          <w:rFonts w:ascii="Times New Roman" w:hAnsi="Times New Roman"/>
          <w:bCs/>
          <w:sz w:val="20"/>
        </w:rPr>
        <w:t>, Martin, Stein &amp; Richland and Laurie J. Hepler for Defendant and Respondent.</w:t>
      </w:r>
    </w:p>
    <w:p w14:paraId="03A30D81" w14:textId="77777777" w:rsidR="00F84904" w:rsidRPr="00F84904" w:rsidRDefault="00F84904" w:rsidP="00F84904">
      <w:pPr>
        <w:spacing w:after="0" w:line="240" w:lineRule="auto"/>
        <w:jc w:val="left"/>
        <w:rPr>
          <w:rFonts w:ascii="Times New Roman" w:hAnsi="Times New Roman"/>
          <w:bCs/>
          <w:sz w:val="20"/>
        </w:rPr>
      </w:pPr>
    </w:p>
    <w:p w14:paraId="2149AD56" w14:textId="77777777" w:rsidR="00F84904" w:rsidRPr="00F84904" w:rsidRDefault="00F84904" w:rsidP="00F84904">
      <w:pPr>
        <w:spacing w:after="0" w:line="240" w:lineRule="auto"/>
        <w:jc w:val="left"/>
        <w:rPr>
          <w:rFonts w:ascii="Times New Roman" w:hAnsi="Times New Roman"/>
          <w:bCs/>
          <w:sz w:val="20"/>
        </w:rPr>
      </w:pPr>
      <w:r w:rsidRPr="00F84904">
        <w:rPr>
          <w:rFonts w:ascii="Times New Roman" w:hAnsi="Times New Roman"/>
          <w:bCs/>
          <w:sz w:val="20"/>
        </w:rPr>
        <w:t xml:space="preserve">Gibson, Dunn &amp; Crutcher, Thomas G. </w:t>
      </w:r>
      <w:proofErr w:type="spellStart"/>
      <w:r w:rsidRPr="00F84904">
        <w:rPr>
          <w:rFonts w:ascii="Times New Roman" w:hAnsi="Times New Roman"/>
          <w:bCs/>
          <w:sz w:val="20"/>
        </w:rPr>
        <w:t>Hungar</w:t>
      </w:r>
      <w:proofErr w:type="spellEnd"/>
      <w:r w:rsidRPr="00F84904">
        <w:rPr>
          <w:rFonts w:ascii="Times New Roman" w:hAnsi="Times New Roman"/>
          <w:bCs/>
          <w:sz w:val="20"/>
        </w:rPr>
        <w:t xml:space="preserve">, Rachel S. Brass, Caeli A. </w:t>
      </w:r>
      <w:proofErr w:type="spellStart"/>
      <w:r w:rsidRPr="00F84904">
        <w:rPr>
          <w:rFonts w:ascii="Times New Roman" w:hAnsi="Times New Roman"/>
          <w:bCs/>
          <w:sz w:val="20"/>
        </w:rPr>
        <w:t>Higney</w:t>
      </w:r>
      <w:proofErr w:type="spellEnd"/>
      <w:r w:rsidRPr="00F84904">
        <w:rPr>
          <w:rFonts w:ascii="Times New Roman" w:hAnsi="Times New Roman"/>
          <w:bCs/>
          <w:sz w:val="20"/>
        </w:rPr>
        <w:t xml:space="preserve">; </w:t>
      </w:r>
      <w:proofErr w:type="spellStart"/>
      <w:r w:rsidRPr="00F84904">
        <w:rPr>
          <w:rFonts w:ascii="Times New Roman" w:hAnsi="Times New Roman"/>
          <w:bCs/>
          <w:sz w:val="20"/>
        </w:rPr>
        <w:t>LevatoLaw</w:t>
      </w:r>
      <w:proofErr w:type="spellEnd"/>
      <w:r w:rsidRPr="00F84904">
        <w:rPr>
          <w:rFonts w:ascii="Times New Roman" w:hAnsi="Times New Roman"/>
          <w:bCs/>
          <w:sz w:val="20"/>
        </w:rPr>
        <w:t xml:space="preserve"> and Ronald C. Cohen for California Chamber of Commerce and California Business Roundtable as Amici Curiae on behalf of Defendant and Respondent.</w:t>
      </w:r>
    </w:p>
    <w:p w14:paraId="228B7ACF" w14:textId="77777777" w:rsidR="00F84904" w:rsidRPr="00F84904" w:rsidRDefault="00F84904" w:rsidP="00F84904">
      <w:pPr>
        <w:spacing w:after="0" w:line="240" w:lineRule="auto"/>
        <w:jc w:val="left"/>
        <w:rPr>
          <w:rFonts w:ascii="Times New Roman" w:hAnsi="Times New Roman"/>
          <w:bCs/>
          <w:sz w:val="20"/>
        </w:rPr>
      </w:pPr>
    </w:p>
    <w:p w14:paraId="5BF32460" w14:textId="77777777" w:rsidR="00F84904" w:rsidRPr="00F84904" w:rsidRDefault="00F84904" w:rsidP="00F84904">
      <w:pPr>
        <w:spacing w:after="0" w:line="240" w:lineRule="auto"/>
        <w:jc w:val="left"/>
        <w:rPr>
          <w:rFonts w:ascii="Times New Roman" w:hAnsi="Times New Roman"/>
          <w:bCs/>
          <w:sz w:val="20"/>
        </w:rPr>
      </w:pPr>
      <w:r w:rsidRPr="00F84904">
        <w:rPr>
          <w:rFonts w:ascii="Times New Roman" w:hAnsi="Times New Roman"/>
          <w:bCs/>
          <w:sz w:val="20"/>
        </w:rPr>
        <w:t>Lowenstein &amp; Weatherwax and Kenneth J. Weatherwax for Amici Scholars as Amici Curiae.</w:t>
      </w:r>
    </w:p>
    <w:p w14:paraId="19C7542A" w14:textId="77777777" w:rsidR="00F84904" w:rsidRPr="00F84904" w:rsidRDefault="00F84904" w:rsidP="00F84904">
      <w:pPr>
        <w:spacing w:after="0" w:line="240" w:lineRule="auto"/>
        <w:jc w:val="left"/>
        <w:rPr>
          <w:rFonts w:ascii="Times New Roman" w:hAnsi="Times New Roman"/>
          <w:bCs/>
          <w:sz w:val="20"/>
        </w:rPr>
      </w:pPr>
    </w:p>
    <w:p w14:paraId="0EF48835" w14:textId="77777777" w:rsidR="00F84904" w:rsidRPr="00F84904" w:rsidRDefault="00F84904" w:rsidP="00F84904">
      <w:pPr>
        <w:spacing w:after="0" w:line="240" w:lineRule="auto"/>
        <w:jc w:val="left"/>
        <w:rPr>
          <w:rFonts w:ascii="Times New Roman" w:hAnsi="Times New Roman"/>
          <w:bCs/>
          <w:sz w:val="20"/>
        </w:rPr>
      </w:pPr>
      <w:r w:rsidRPr="00F84904">
        <w:rPr>
          <w:rFonts w:ascii="Times New Roman" w:hAnsi="Times New Roman"/>
          <w:bCs/>
          <w:sz w:val="20"/>
        </w:rPr>
        <w:t xml:space="preserve">Horvitz &amp; Levy, Robert H. Wright, Jeremy B. Rosen; Charis Lex and Sean P. Gates for </w:t>
      </w:r>
      <w:proofErr w:type="spellStart"/>
      <w:r w:rsidRPr="00F84904">
        <w:rPr>
          <w:rFonts w:ascii="Times New Roman" w:hAnsi="Times New Roman"/>
          <w:bCs/>
          <w:sz w:val="20"/>
        </w:rPr>
        <w:t>Quidel</w:t>
      </w:r>
      <w:proofErr w:type="spellEnd"/>
      <w:r w:rsidRPr="00F84904">
        <w:rPr>
          <w:rFonts w:ascii="Times New Roman" w:hAnsi="Times New Roman"/>
          <w:bCs/>
          <w:sz w:val="20"/>
        </w:rPr>
        <w:t xml:space="preserve"> Corporation as Amicus Curiae.</w:t>
      </w:r>
    </w:p>
    <w:p w14:paraId="561A0E87" w14:textId="77777777" w:rsidR="00F84904" w:rsidRPr="00F84904" w:rsidRDefault="00F84904" w:rsidP="00F84904">
      <w:pPr>
        <w:spacing w:after="0" w:line="240" w:lineRule="auto"/>
        <w:jc w:val="left"/>
        <w:rPr>
          <w:rFonts w:ascii="Times New Roman" w:hAnsi="Times New Roman"/>
          <w:bCs/>
          <w:sz w:val="20"/>
        </w:rPr>
      </w:pPr>
    </w:p>
    <w:p w14:paraId="40AC3080" w14:textId="77777777" w:rsidR="00F84904" w:rsidRPr="00F84904" w:rsidRDefault="00F84904" w:rsidP="00F84904">
      <w:pPr>
        <w:spacing w:after="0" w:line="240" w:lineRule="auto"/>
        <w:jc w:val="left"/>
        <w:rPr>
          <w:rFonts w:ascii="Times New Roman" w:hAnsi="Times New Roman"/>
          <w:bCs/>
          <w:sz w:val="20"/>
        </w:rPr>
      </w:pPr>
      <w:r w:rsidRPr="00F84904">
        <w:rPr>
          <w:rFonts w:ascii="Times New Roman" w:hAnsi="Times New Roman"/>
          <w:bCs/>
          <w:sz w:val="20"/>
        </w:rPr>
        <w:br w:type="page"/>
      </w:r>
    </w:p>
    <w:p w14:paraId="28CD8813" w14:textId="77777777" w:rsidR="00F84904" w:rsidRPr="00F84904" w:rsidRDefault="00F84904" w:rsidP="00F84904">
      <w:pPr>
        <w:spacing w:after="0" w:line="240" w:lineRule="auto"/>
        <w:jc w:val="left"/>
        <w:rPr>
          <w:rFonts w:ascii="Times New Roman" w:hAnsi="Times New Roman"/>
          <w:b/>
          <w:sz w:val="20"/>
        </w:rPr>
      </w:pPr>
    </w:p>
    <w:p w14:paraId="6FEA181E" w14:textId="77777777" w:rsidR="00F84904" w:rsidRPr="00F84904" w:rsidRDefault="00F84904" w:rsidP="00F84904">
      <w:pPr>
        <w:spacing w:after="0" w:line="240" w:lineRule="auto"/>
        <w:jc w:val="left"/>
        <w:rPr>
          <w:rFonts w:ascii="Times New Roman" w:hAnsi="Times New Roman"/>
          <w:b/>
          <w:sz w:val="20"/>
        </w:rPr>
      </w:pPr>
    </w:p>
    <w:p w14:paraId="02AC213A" w14:textId="77777777" w:rsidR="00F84904" w:rsidRPr="00F84904" w:rsidRDefault="00F84904" w:rsidP="00F84904">
      <w:pPr>
        <w:spacing w:after="0" w:line="240" w:lineRule="auto"/>
        <w:jc w:val="left"/>
        <w:rPr>
          <w:rFonts w:ascii="Times New Roman" w:hAnsi="Times New Roman"/>
          <w:b/>
          <w:sz w:val="20"/>
        </w:rPr>
      </w:pPr>
    </w:p>
    <w:p w14:paraId="208357F5" w14:textId="77777777" w:rsidR="00F84904" w:rsidRPr="00F84904" w:rsidRDefault="00F84904" w:rsidP="00F84904">
      <w:pPr>
        <w:spacing w:after="0" w:line="240" w:lineRule="auto"/>
        <w:jc w:val="left"/>
        <w:rPr>
          <w:rFonts w:ascii="Times New Roman" w:hAnsi="Times New Roman"/>
          <w:b/>
          <w:sz w:val="20"/>
        </w:rPr>
      </w:pPr>
      <w:r w:rsidRPr="00F84904">
        <w:rPr>
          <w:rFonts w:ascii="Times New Roman" w:hAnsi="Times New Roman"/>
          <w:b/>
          <w:sz w:val="20"/>
        </w:rPr>
        <w:t>Counsel who argued in Supreme Court (not intended for publication with opinion):</w:t>
      </w:r>
    </w:p>
    <w:p w14:paraId="69D21A16" w14:textId="77777777" w:rsidR="00F84904" w:rsidRPr="00F84904" w:rsidRDefault="00F84904" w:rsidP="00F84904">
      <w:pPr>
        <w:spacing w:after="0" w:line="240" w:lineRule="auto"/>
        <w:jc w:val="left"/>
        <w:rPr>
          <w:rFonts w:ascii="Times New Roman" w:hAnsi="Times New Roman"/>
          <w:b/>
          <w:sz w:val="20"/>
        </w:rPr>
      </w:pPr>
    </w:p>
    <w:p w14:paraId="3C3FA4CB" w14:textId="77777777" w:rsidR="00F84904" w:rsidRPr="00F84904" w:rsidRDefault="00F84904" w:rsidP="00F84904">
      <w:pPr>
        <w:spacing w:after="0" w:line="240" w:lineRule="auto"/>
        <w:jc w:val="left"/>
        <w:rPr>
          <w:rFonts w:ascii="Times New Roman" w:hAnsi="Times New Roman"/>
          <w:bCs/>
          <w:sz w:val="20"/>
        </w:rPr>
      </w:pPr>
      <w:r w:rsidRPr="00F84904">
        <w:rPr>
          <w:rFonts w:ascii="Times New Roman" w:hAnsi="Times New Roman"/>
          <w:bCs/>
          <w:sz w:val="20"/>
        </w:rPr>
        <w:t xml:space="preserve">Christopher D. </w:t>
      </w:r>
      <w:proofErr w:type="spellStart"/>
      <w:r w:rsidRPr="00F84904">
        <w:rPr>
          <w:rFonts w:ascii="Times New Roman" w:hAnsi="Times New Roman"/>
          <w:bCs/>
          <w:sz w:val="20"/>
        </w:rPr>
        <w:t>Banys</w:t>
      </w:r>
      <w:proofErr w:type="spellEnd"/>
    </w:p>
    <w:p w14:paraId="70A1E1AD" w14:textId="77777777" w:rsidR="00F84904" w:rsidRPr="00F84904" w:rsidRDefault="00F84904" w:rsidP="00F84904">
      <w:pPr>
        <w:spacing w:after="0" w:line="240" w:lineRule="auto"/>
        <w:jc w:val="left"/>
        <w:rPr>
          <w:rFonts w:ascii="Times New Roman" w:hAnsi="Times New Roman"/>
          <w:bCs/>
          <w:sz w:val="20"/>
        </w:rPr>
      </w:pPr>
      <w:proofErr w:type="spellStart"/>
      <w:r w:rsidRPr="00F84904">
        <w:rPr>
          <w:rFonts w:ascii="Times New Roman" w:hAnsi="Times New Roman"/>
          <w:bCs/>
          <w:sz w:val="20"/>
        </w:rPr>
        <w:t>Banys</w:t>
      </w:r>
      <w:proofErr w:type="spellEnd"/>
      <w:r w:rsidRPr="00F84904">
        <w:rPr>
          <w:rFonts w:ascii="Times New Roman" w:hAnsi="Times New Roman"/>
          <w:bCs/>
          <w:sz w:val="20"/>
        </w:rPr>
        <w:t>, P.C.</w:t>
      </w:r>
    </w:p>
    <w:p w14:paraId="0D5B9333" w14:textId="77777777" w:rsidR="00F84904" w:rsidRPr="00F84904" w:rsidRDefault="00F84904" w:rsidP="00F84904">
      <w:pPr>
        <w:spacing w:after="0" w:line="240" w:lineRule="auto"/>
        <w:jc w:val="left"/>
        <w:rPr>
          <w:rFonts w:ascii="Times New Roman" w:hAnsi="Times New Roman"/>
          <w:bCs/>
          <w:sz w:val="20"/>
        </w:rPr>
      </w:pPr>
      <w:r w:rsidRPr="00F84904">
        <w:rPr>
          <w:rFonts w:ascii="Times New Roman" w:hAnsi="Times New Roman"/>
          <w:bCs/>
          <w:sz w:val="20"/>
        </w:rPr>
        <w:t>567 Marsh Street</w:t>
      </w:r>
    </w:p>
    <w:p w14:paraId="0D2ACDFE" w14:textId="77777777" w:rsidR="00F84904" w:rsidRPr="00F84904" w:rsidRDefault="00F84904" w:rsidP="00F84904">
      <w:pPr>
        <w:spacing w:after="0" w:line="240" w:lineRule="auto"/>
        <w:jc w:val="left"/>
        <w:rPr>
          <w:rFonts w:ascii="Times New Roman" w:hAnsi="Times New Roman"/>
          <w:bCs/>
          <w:sz w:val="20"/>
        </w:rPr>
      </w:pPr>
      <w:r w:rsidRPr="00F84904">
        <w:rPr>
          <w:rFonts w:ascii="Times New Roman" w:hAnsi="Times New Roman"/>
          <w:bCs/>
          <w:sz w:val="20"/>
        </w:rPr>
        <w:t>San Luis Obispo, CA 93401</w:t>
      </w:r>
    </w:p>
    <w:p w14:paraId="3E2D412C" w14:textId="77777777" w:rsidR="00F84904" w:rsidRPr="00F84904" w:rsidRDefault="00F84904" w:rsidP="00F84904">
      <w:pPr>
        <w:spacing w:after="0" w:line="240" w:lineRule="auto"/>
        <w:jc w:val="left"/>
        <w:rPr>
          <w:rFonts w:ascii="Times New Roman" w:hAnsi="Times New Roman"/>
          <w:bCs/>
          <w:sz w:val="20"/>
        </w:rPr>
      </w:pPr>
      <w:r w:rsidRPr="00F84904">
        <w:rPr>
          <w:rFonts w:ascii="Times New Roman" w:hAnsi="Times New Roman"/>
          <w:bCs/>
          <w:sz w:val="20"/>
        </w:rPr>
        <w:t>(650) 308-8505</w:t>
      </w:r>
    </w:p>
    <w:p w14:paraId="6929FBCA" w14:textId="77777777" w:rsidR="00F84904" w:rsidRPr="00F84904" w:rsidRDefault="00F84904" w:rsidP="00F84904">
      <w:pPr>
        <w:spacing w:after="0" w:line="240" w:lineRule="auto"/>
        <w:jc w:val="left"/>
        <w:rPr>
          <w:rFonts w:ascii="Times New Roman" w:hAnsi="Times New Roman"/>
          <w:bCs/>
          <w:sz w:val="20"/>
        </w:rPr>
      </w:pPr>
    </w:p>
    <w:p w14:paraId="0AAD672D" w14:textId="77777777" w:rsidR="00F84904" w:rsidRPr="00F84904" w:rsidRDefault="00F84904" w:rsidP="00F84904">
      <w:pPr>
        <w:spacing w:after="0" w:line="240" w:lineRule="auto"/>
        <w:jc w:val="left"/>
        <w:rPr>
          <w:rFonts w:ascii="Times New Roman" w:hAnsi="Times New Roman"/>
          <w:bCs/>
          <w:sz w:val="20"/>
        </w:rPr>
      </w:pPr>
      <w:r w:rsidRPr="00F84904">
        <w:rPr>
          <w:rFonts w:ascii="Times New Roman" w:hAnsi="Times New Roman"/>
          <w:bCs/>
          <w:sz w:val="20"/>
        </w:rPr>
        <w:t>Carl R. Metz</w:t>
      </w:r>
    </w:p>
    <w:p w14:paraId="395BE750" w14:textId="77777777" w:rsidR="00F84904" w:rsidRPr="00F84904" w:rsidRDefault="00F84904" w:rsidP="00F84904">
      <w:pPr>
        <w:spacing w:after="0" w:line="240" w:lineRule="auto"/>
        <w:jc w:val="left"/>
        <w:rPr>
          <w:rFonts w:ascii="Times New Roman" w:hAnsi="Times New Roman"/>
          <w:bCs/>
          <w:sz w:val="20"/>
        </w:rPr>
      </w:pPr>
      <w:r w:rsidRPr="00F84904">
        <w:rPr>
          <w:rFonts w:ascii="Times New Roman" w:hAnsi="Times New Roman"/>
          <w:bCs/>
          <w:sz w:val="20"/>
        </w:rPr>
        <w:t>Williams &amp; Connolly LLP</w:t>
      </w:r>
    </w:p>
    <w:p w14:paraId="15C5CA39" w14:textId="77777777" w:rsidR="00F84904" w:rsidRPr="00F84904" w:rsidRDefault="00F84904" w:rsidP="00F84904">
      <w:pPr>
        <w:spacing w:after="0" w:line="240" w:lineRule="auto"/>
        <w:jc w:val="left"/>
        <w:rPr>
          <w:rFonts w:ascii="Times New Roman" w:hAnsi="Times New Roman"/>
          <w:bCs/>
          <w:sz w:val="20"/>
        </w:rPr>
      </w:pPr>
      <w:r w:rsidRPr="00F84904">
        <w:rPr>
          <w:rFonts w:ascii="Times New Roman" w:hAnsi="Times New Roman"/>
          <w:bCs/>
          <w:sz w:val="20"/>
        </w:rPr>
        <w:t>725 Twelfth Street, N.W.</w:t>
      </w:r>
    </w:p>
    <w:p w14:paraId="5FEB9E3C" w14:textId="77777777" w:rsidR="00F84904" w:rsidRPr="00F84904" w:rsidRDefault="00F84904" w:rsidP="00F84904">
      <w:pPr>
        <w:spacing w:after="0" w:line="240" w:lineRule="auto"/>
        <w:jc w:val="left"/>
        <w:rPr>
          <w:rFonts w:ascii="Times New Roman" w:hAnsi="Times New Roman"/>
          <w:bCs/>
          <w:sz w:val="20"/>
        </w:rPr>
      </w:pPr>
      <w:r w:rsidRPr="00F84904">
        <w:rPr>
          <w:rFonts w:ascii="Times New Roman" w:hAnsi="Times New Roman"/>
          <w:bCs/>
          <w:sz w:val="20"/>
        </w:rPr>
        <w:t>Washington, D.C. 20005</w:t>
      </w:r>
    </w:p>
    <w:p w14:paraId="6D22401B" w14:textId="77777777" w:rsidR="00F84904" w:rsidRPr="00F84904" w:rsidRDefault="00F84904" w:rsidP="00F84904">
      <w:pPr>
        <w:spacing w:after="0" w:line="240" w:lineRule="auto"/>
        <w:jc w:val="left"/>
        <w:rPr>
          <w:rFonts w:ascii="Times New Roman" w:hAnsi="Times New Roman"/>
          <w:bCs/>
          <w:sz w:val="20"/>
        </w:rPr>
      </w:pPr>
      <w:r w:rsidRPr="00F84904">
        <w:rPr>
          <w:rFonts w:ascii="Times New Roman" w:hAnsi="Times New Roman"/>
          <w:bCs/>
          <w:sz w:val="20"/>
        </w:rPr>
        <w:t>(202) 434-5000</w:t>
      </w:r>
    </w:p>
    <w:p w14:paraId="5602439E" w14:textId="77777777" w:rsidR="00F84904" w:rsidRPr="00F84904" w:rsidRDefault="00F84904" w:rsidP="00F84904">
      <w:pPr>
        <w:spacing w:after="0" w:line="240" w:lineRule="auto"/>
        <w:jc w:val="left"/>
        <w:rPr>
          <w:rFonts w:ascii="Times New Roman" w:hAnsi="Times New Roman"/>
          <w:bCs/>
          <w:sz w:val="20"/>
        </w:rPr>
      </w:pPr>
    </w:p>
    <w:p w14:paraId="2FE8EF53" w14:textId="77777777" w:rsidR="00F84904" w:rsidRPr="00F84904" w:rsidRDefault="00F84904" w:rsidP="00F84904">
      <w:pPr>
        <w:spacing w:after="0" w:line="240" w:lineRule="auto"/>
        <w:jc w:val="left"/>
        <w:rPr>
          <w:rFonts w:ascii="Times New Roman" w:hAnsi="Times New Roman"/>
          <w:bCs/>
          <w:sz w:val="20"/>
        </w:rPr>
      </w:pPr>
      <w:r w:rsidRPr="00F84904">
        <w:rPr>
          <w:rFonts w:ascii="Times New Roman" w:hAnsi="Times New Roman"/>
          <w:bCs/>
          <w:sz w:val="20"/>
        </w:rPr>
        <w:t>Laurie J. Hepler</w:t>
      </w:r>
    </w:p>
    <w:p w14:paraId="1631FE59" w14:textId="77777777" w:rsidR="00F84904" w:rsidRPr="00F84904" w:rsidRDefault="00F84904" w:rsidP="00F84904">
      <w:pPr>
        <w:spacing w:after="0" w:line="240" w:lineRule="auto"/>
        <w:jc w:val="left"/>
        <w:rPr>
          <w:rFonts w:ascii="Times New Roman" w:hAnsi="Times New Roman"/>
          <w:bCs/>
          <w:sz w:val="20"/>
        </w:rPr>
      </w:pPr>
      <w:proofErr w:type="spellStart"/>
      <w:r w:rsidRPr="00F84904">
        <w:rPr>
          <w:rFonts w:ascii="Times New Roman" w:hAnsi="Times New Roman"/>
          <w:bCs/>
          <w:sz w:val="20"/>
        </w:rPr>
        <w:t>Greines</w:t>
      </w:r>
      <w:proofErr w:type="spellEnd"/>
      <w:r w:rsidRPr="00F84904">
        <w:rPr>
          <w:rFonts w:ascii="Times New Roman" w:hAnsi="Times New Roman"/>
          <w:bCs/>
          <w:sz w:val="20"/>
        </w:rPr>
        <w:t>, Martin, Stein &amp; Richland LLP</w:t>
      </w:r>
    </w:p>
    <w:p w14:paraId="16F762D8" w14:textId="77777777" w:rsidR="00F84904" w:rsidRPr="00F84904" w:rsidRDefault="00F84904" w:rsidP="00F84904">
      <w:pPr>
        <w:spacing w:after="0" w:line="240" w:lineRule="auto"/>
        <w:jc w:val="left"/>
        <w:rPr>
          <w:rFonts w:ascii="Times New Roman" w:hAnsi="Times New Roman"/>
          <w:bCs/>
          <w:sz w:val="20"/>
        </w:rPr>
      </w:pPr>
      <w:r w:rsidRPr="00F84904">
        <w:rPr>
          <w:rFonts w:ascii="Times New Roman" w:hAnsi="Times New Roman"/>
          <w:bCs/>
          <w:sz w:val="20"/>
        </w:rPr>
        <w:t>50 California Street, Suite 1500</w:t>
      </w:r>
    </w:p>
    <w:p w14:paraId="2B97A906" w14:textId="77777777" w:rsidR="00F84904" w:rsidRPr="00F84904" w:rsidRDefault="00F84904" w:rsidP="00F84904">
      <w:pPr>
        <w:spacing w:after="0" w:line="240" w:lineRule="auto"/>
        <w:jc w:val="left"/>
        <w:rPr>
          <w:rFonts w:ascii="Times New Roman" w:hAnsi="Times New Roman"/>
          <w:bCs/>
          <w:sz w:val="20"/>
        </w:rPr>
      </w:pPr>
      <w:r w:rsidRPr="00F84904">
        <w:rPr>
          <w:rFonts w:ascii="Times New Roman" w:hAnsi="Times New Roman"/>
          <w:bCs/>
          <w:sz w:val="20"/>
        </w:rPr>
        <w:t>San Francisco, CA 94111</w:t>
      </w:r>
    </w:p>
    <w:p w14:paraId="743C19A0" w14:textId="77777777" w:rsidR="00F84904" w:rsidRPr="00F84904" w:rsidRDefault="00F84904" w:rsidP="00F84904">
      <w:pPr>
        <w:spacing w:after="0" w:line="240" w:lineRule="auto"/>
        <w:jc w:val="left"/>
        <w:rPr>
          <w:rFonts w:ascii="Times New Roman" w:hAnsi="Times New Roman"/>
          <w:sz w:val="20"/>
        </w:rPr>
      </w:pPr>
      <w:r w:rsidRPr="00F84904">
        <w:rPr>
          <w:rFonts w:ascii="Times New Roman" w:hAnsi="Times New Roman"/>
          <w:bCs/>
          <w:sz w:val="20"/>
        </w:rPr>
        <w:t>(415) 315-1774</w:t>
      </w:r>
    </w:p>
    <w:p w14:paraId="23724288" w14:textId="7F0A0BDF" w:rsidR="0042190C" w:rsidRDefault="0042190C" w:rsidP="00630218">
      <w:pPr>
        <w:tabs>
          <w:tab w:val="left" w:pos="720"/>
        </w:tabs>
      </w:pPr>
    </w:p>
    <w:sectPr w:rsidR="0042190C">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74977" w14:textId="77777777" w:rsidR="00590C87" w:rsidRDefault="00590C87">
      <w:r>
        <w:separator/>
      </w:r>
    </w:p>
  </w:endnote>
  <w:endnote w:type="continuationSeparator" w:id="0">
    <w:p w14:paraId="3ABED61B" w14:textId="77777777" w:rsidR="00590C87" w:rsidRDefault="00590C87">
      <w:r>
        <w:continuationSeparator/>
      </w:r>
    </w:p>
  </w:endnote>
  <w:endnote w:type="continuationNotice" w:id="1">
    <w:p w14:paraId="1FD02C57" w14:textId="77777777" w:rsidR="00590C87" w:rsidRDefault="00590C87" w:rsidP="00BD1E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2015B" w14:textId="77777777" w:rsidR="00643D34" w:rsidRDefault="00643D34">
    <w:pPr>
      <w:pStyle w:val="Footer"/>
    </w:pPr>
    <w:r>
      <w:rPr>
        <w:noProof/>
      </w:rPr>
      <w:fldChar w:fldCharType="begin"/>
    </w:r>
    <w:r>
      <w:rPr>
        <w:noProof/>
      </w:rPr>
      <w:instrText>PAGE</w:instrText>
    </w:r>
    <w:r>
      <w:rPr>
        <w:noProof/>
      </w:rP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8F49D" w14:textId="77777777" w:rsidR="00C61B53" w:rsidRDefault="00C61B53">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0CD43" w14:textId="77777777" w:rsidR="0015753F" w:rsidRDefault="00F609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99B51" w14:textId="77777777" w:rsidR="0015753F" w:rsidRDefault="00F609E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E8CCC" w14:textId="77777777" w:rsidR="0015753F" w:rsidRDefault="00F60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901BB" w14:textId="77777777" w:rsidR="00590C87" w:rsidRDefault="00590C87">
      <w:r>
        <w:separator/>
      </w:r>
    </w:p>
  </w:footnote>
  <w:footnote w:type="continuationSeparator" w:id="0">
    <w:p w14:paraId="0D6A9E8E" w14:textId="77777777" w:rsidR="00590C87" w:rsidRDefault="00590C87">
      <w:pPr>
        <w:rPr>
          <w:sz w:val="22"/>
        </w:rPr>
      </w:pPr>
      <w:r w:rsidRPr="00630218">
        <w:continuationSeparator/>
      </w:r>
    </w:p>
  </w:footnote>
  <w:footnote w:type="continuationNotice" w:id="1">
    <w:p w14:paraId="25445A9F" w14:textId="77777777" w:rsidR="00590C87" w:rsidRDefault="00590C87">
      <w:pPr>
        <w:jc w:val="right"/>
        <w:rPr>
          <w:i/>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4242" w14:textId="27079F63" w:rsidR="00643D34" w:rsidRDefault="00C53883">
    <w:pPr>
      <w:pStyle w:val="Header"/>
    </w:pPr>
    <w:r>
      <w:t>IXCHEL PHARMA, LLC</w:t>
    </w:r>
    <w:r w:rsidR="00643D34">
      <w:t xml:space="preserve"> v. </w:t>
    </w:r>
    <w:r>
      <w:t>BIOGEN</w:t>
    </w:r>
    <w:r w:rsidR="00643D34">
      <w:t>, INC.</w:t>
    </w:r>
  </w:p>
  <w:p w14:paraId="607CA665" w14:textId="09EF05E2" w:rsidR="00643D34" w:rsidRDefault="00643D34">
    <w:pPr>
      <w:pStyle w:val="Header"/>
    </w:pPr>
    <w:r>
      <w:t xml:space="preserve">Opinion of the Court by </w:t>
    </w:r>
    <w:r w:rsidR="00C53883">
      <w:t>Liu</w:t>
    </w:r>
    <w:r>
      <w:t>, 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01625" w14:textId="77777777" w:rsidR="0015753F" w:rsidRDefault="00F609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AFD9E" w14:textId="77777777" w:rsidR="0015753F" w:rsidRDefault="00F609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C51B3" w14:textId="77777777" w:rsidR="0015753F" w:rsidRDefault="00F60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00AF"/>
    <w:multiLevelType w:val="hybridMultilevel"/>
    <w:tmpl w:val="B3704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73164"/>
    <w:multiLevelType w:val="hybridMultilevel"/>
    <w:tmpl w:val="1964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F6A92"/>
    <w:multiLevelType w:val="hybridMultilevel"/>
    <w:tmpl w:val="5CEC3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43106"/>
    <w:multiLevelType w:val="hybridMultilevel"/>
    <w:tmpl w:val="DA9E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624AB"/>
    <w:multiLevelType w:val="hybridMultilevel"/>
    <w:tmpl w:val="DF60E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C2A0C"/>
    <w:multiLevelType w:val="hybridMultilevel"/>
    <w:tmpl w:val="B208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652B79"/>
    <w:multiLevelType w:val="hybridMultilevel"/>
    <w:tmpl w:val="FF4A3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57085B"/>
    <w:multiLevelType w:val="hybridMultilevel"/>
    <w:tmpl w:val="B0C2A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802E74"/>
    <w:multiLevelType w:val="hybridMultilevel"/>
    <w:tmpl w:val="70E8F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4E03E0"/>
    <w:multiLevelType w:val="hybridMultilevel"/>
    <w:tmpl w:val="AFA8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65DE8"/>
    <w:multiLevelType w:val="hybridMultilevel"/>
    <w:tmpl w:val="AA0612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3C814F2"/>
    <w:multiLevelType w:val="hybridMultilevel"/>
    <w:tmpl w:val="60449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7B12C2"/>
    <w:multiLevelType w:val="hybridMultilevel"/>
    <w:tmpl w:val="4EDEE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
  </w:num>
  <w:num w:numId="4">
    <w:abstractNumId w:val="2"/>
  </w:num>
  <w:num w:numId="5">
    <w:abstractNumId w:val="1"/>
  </w:num>
  <w:num w:numId="6">
    <w:abstractNumId w:val="6"/>
  </w:num>
  <w:num w:numId="7">
    <w:abstractNumId w:val="3"/>
  </w:num>
  <w:num w:numId="8">
    <w:abstractNumId w:val="4"/>
  </w:num>
  <w:num w:numId="9">
    <w:abstractNumId w:val="11"/>
  </w:num>
  <w:num w:numId="10">
    <w:abstractNumId w:val="8"/>
  </w:num>
  <w:num w:numId="11">
    <w:abstractNumId w:val="7"/>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removePersonalInformation/>
  <w:removeDateAndTime/>
  <w:printFractionalCharacterWidth/>
  <w:activeWritingStyle w:appName="MSWord" w:lang="en-US" w:vendorID="64" w:dllVersion="5" w:nlCheck="1" w:checkStyle="1"/>
  <w:activeWritingStyle w:appName="MSWord" w:lang="en-US" w:vendorID="64" w:dllVersion="0" w:nlCheck="1" w:checkStyle="1"/>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DEE"/>
    <w:rsid w:val="0000098D"/>
    <w:rsid w:val="00000AE4"/>
    <w:rsid w:val="00000B63"/>
    <w:rsid w:val="000013DE"/>
    <w:rsid w:val="00002987"/>
    <w:rsid w:val="00003719"/>
    <w:rsid w:val="00003E24"/>
    <w:rsid w:val="000047AD"/>
    <w:rsid w:val="000047C9"/>
    <w:rsid w:val="000049E1"/>
    <w:rsid w:val="00004BEA"/>
    <w:rsid w:val="00004CED"/>
    <w:rsid w:val="00005237"/>
    <w:rsid w:val="00005A5D"/>
    <w:rsid w:val="00012685"/>
    <w:rsid w:val="00012D31"/>
    <w:rsid w:val="00013408"/>
    <w:rsid w:val="0001356D"/>
    <w:rsid w:val="0001356F"/>
    <w:rsid w:val="00013CE1"/>
    <w:rsid w:val="000146C0"/>
    <w:rsid w:val="000160A5"/>
    <w:rsid w:val="00017DBE"/>
    <w:rsid w:val="0002054E"/>
    <w:rsid w:val="00020DCA"/>
    <w:rsid w:val="000214AE"/>
    <w:rsid w:val="000214FA"/>
    <w:rsid w:val="000216A0"/>
    <w:rsid w:val="00021B86"/>
    <w:rsid w:val="0002218F"/>
    <w:rsid w:val="00023113"/>
    <w:rsid w:val="0002525D"/>
    <w:rsid w:val="00025F9C"/>
    <w:rsid w:val="00026201"/>
    <w:rsid w:val="000264A9"/>
    <w:rsid w:val="00026BD2"/>
    <w:rsid w:val="00027954"/>
    <w:rsid w:val="0003020C"/>
    <w:rsid w:val="0003064E"/>
    <w:rsid w:val="00030790"/>
    <w:rsid w:val="00031140"/>
    <w:rsid w:val="00034868"/>
    <w:rsid w:val="000348DB"/>
    <w:rsid w:val="00034CA4"/>
    <w:rsid w:val="00035464"/>
    <w:rsid w:val="0003592A"/>
    <w:rsid w:val="00035C5A"/>
    <w:rsid w:val="00036399"/>
    <w:rsid w:val="000372C2"/>
    <w:rsid w:val="00037A3A"/>
    <w:rsid w:val="0004060E"/>
    <w:rsid w:val="000407DA"/>
    <w:rsid w:val="000409D3"/>
    <w:rsid w:val="000420A0"/>
    <w:rsid w:val="00043928"/>
    <w:rsid w:val="00043E18"/>
    <w:rsid w:val="00044174"/>
    <w:rsid w:val="000458ED"/>
    <w:rsid w:val="00045D62"/>
    <w:rsid w:val="000500E9"/>
    <w:rsid w:val="00050DC1"/>
    <w:rsid w:val="00050FA6"/>
    <w:rsid w:val="000512F3"/>
    <w:rsid w:val="00051330"/>
    <w:rsid w:val="00051636"/>
    <w:rsid w:val="00051CD7"/>
    <w:rsid w:val="00053864"/>
    <w:rsid w:val="00054246"/>
    <w:rsid w:val="0005456B"/>
    <w:rsid w:val="00054B6D"/>
    <w:rsid w:val="000552F6"/>
    <w:rsid w:val="000556FD"/>
    <w:rsid w:val="00055F3F"/>
    <w:rsid w:val="0005647B"/>
    <w:rsid w:val="000565B0"/>
    <w:rsid w:val="0005663A"/>
    <w:rsid w:val="000573E8"/>
    <w:rsid w:val="00057BD7"/>
    <w:rsid w:val="00057F10"/>
    <w:rsid w:val="00060090"/>
    <w:rsid w:val="000603A5"/>
    <w:rsid w:val="000605B3"/>
    <w:rsid w:val="00060F6C"/>
    <w:rsid w:val="00061FB5"/>
    <w:rsid w:val="000625AD"/>
    <w:rsid w:val="00062989"/>
    <w:rsid w:val="0006337E"/>
    <w:rsid w:val="00063683"/>
    <w:rsid w:val="00063933"/>
    <w:rsid w:val="00063ECB"/>
    <w:rsid w:val="000642DE"/>
    <w:rsid w:val="000659D6"/>
    <w:rsid w:val="00066561"/>
    <w:rsid w:val="00066D5B"/>
    <w:rsid w:val="00067855"/>
    <w:rsid w:val="00067B20"/>
    <w:rsid w:val="0007003D"/>
    <w:rsid w:val="00070B8D"/>
    <w:rsid w:val="00070DDF"/>
    <w:rsid w:val="000712A8"/>
    <w:rsid w:val="000722E2"/>
    <w:rsid w:val="00073979"/>
    <w:rsid w:val="000741CB"/>
    <w:rsid w:val="0007447D"/>
    <w:rsid w:val="0007482E"/>
    <w:rsid w:val="00074B06"/>
    <w:rsid w:val="0007574F"/>
    <w:rsid w:val="00075A71"/>
    <w:rsid w:val="000767D6"/>
    <w:rsid w:val="00076DE9"/>
    <w:rsid w:val="00077001"/>
    <w:rsid w:val="00080336"/>
    <w:rsid w:val="00081CB6"/>
    <w:rsid w:val="0008209A"/>
    <w:rsid w:val="000828D7"/>
    <w:rsid w:val="00083740"/>
    <w:rsid w:val="000843B0"/>
    <w:rsid w:val="00084E58"/>
    <w:rsid w:val="000851EC"/>
    <w:rsid w:val="0008575C"/>
    <w:rsid w:val="000861B4"/>
    <w:rsid w:val="000867C9"/>
    <w:rsid w:val="00086D66"/>
    <w:rsid w:val="0008739E"/>
    <w:rsid w:val="00090401"/>
    <w:rsid w:val="000912A1"/>
    <w:rsid w:val="00091D8C"/>
    <w:rsid w:val="000928C6"/>
    <w:rsid w:val="00092B10"/>
    <w:rsid w:val="00092C66"/>
    <w:rsid w:val="00092DD6"/>
    <w:rsid w:val="000931FD"/>
    <w:rsid w:val="00093A08"/>
    <w:rsid w:val="0009422B"/>
    <w:rsid w:val="00094804"/>
    <w:rsid w:val="00094E7B"/>
    <w:rsid w:val="0009518F"/>
    <w:rsid w:val="0009653A"/>
    <w:rsid w:val="00097418"/>
    <w:rsid w:val="000A038E"/>
    <w:rsid w:val="000A0C97"/>
    <w:rsid w:val="000A1355"/>
    <w:rsid w:val="000A153A"/>
    <w:rsid w:val="000A1B27"/>
    <w:rsid w:val="000A1DBE"/>
    <w:rsid w:val="000A2905"/>
    <w:rsid w:val="000A2B15"/>
    <w:rsid w:val="000A3ABC"/>
    <w:rsid w:val="000A3E5B"/>
    <w:rsid w:val="000A41E2"/>
    <w:rsid w:val="000A4615"/>
    <w:rsid w:val="000A480B"/>
    <w:rsid w:val="000A51CE"/>
    <w:rsid w:val="000A5463"/>
    <w:rsid w:val="000A546F"/>
    <w:rsid w:val="000A5651"/>
    <w:rsid w:val="000A5691"/>
    <w:rsid w:val="000A6BCB"/>
    <w:rsid w:val="000A780E"/>
    <w:rsid w:val="000A7F8D"/>
    <w:rsid w:val="000B0C1F"/>
    <w:rsid w:val="000B19F2"/>
    <w:rsid w:val="000B2BC8"/>
    <w:rsid w:val="000B2BCD"/>
    <w:rsid w:val="000B2D7A"/>
    <w:rsid w:val="000B3E18"/>
    <w:rsid w:val="000B428E"/>
    <w:rsid w:val="000B44BC"/>
    <w:rsid w:val="000B4E9B"/>
    <w:rsid w:val="000B509E"/>
    <w:rsid w:val="000B578D"/>
    <w:rsid w:val="000B6E72"/>
    <w:rsid w:val="000B7984"/>
    <w:rsid w:val="000B7BD0"/>
    <w:rsid w:val="000C07AB"/>
    <w:rsid w:val="000C07F6"/>
    <w:rsid w:val="000C089A"/>
    <w:rsid w:val="000C1AAD"/>
    <w:rsid w:val="000C1F53"/>
    <w:rsid w:val="000C266D"/>
    <w:rsid w:val="000C2842"/>
    <w:rsid w:val="000C3630"/>
    <w:rsid w:val="000C49B8"/>
    <w:rsid w:val="000C64B1"/>
    <w:rsid w:val="000C65F7"/>
    <w:rsid w:val="000C675F"/>
    <w:rsid w:val="000C7A3A"/>
    <w:rsid w:val="000C7D14"/>
    <w:rsid w:val="000D1776"/>
    <w:rsid w:val="000D1AD7"/>
    <w:rsid w:val="000D22FD"/>
    <w:rsid w:val="000D2329"/>
    <w:rsid w:val="000D2B92"/>
    <w:rsid w:val="000D3692"/>
    <w:rsid w:val="000D415C"/>
    <w:rsid w:val="000D472D"/>
    <w:rsid w:val="000D4D55"/>
    <w:rsid w:val="000D56FB"/>
    <w:rsid w:val="000D58DF"/>
    <w:rsid w:val="000D6178"/>
    <w:rsid w:val="000D7B97"/>
    <w:rsid w:val="000E2B2D"/>
    <w:rsid w:val="000E2B60"/>
    <w:rsid w:val="000E40E2"/>
    <w:rsid w:val="000E69C6"/>
    <w:rsid w:val="000E6F50"/>
    <w:rsid w:val="000E7419"/>
    <w:rsid w:val="000F0A55"/>
    <w:rsid w:val="000F0ABA"/>
    <w:rsid w:val="000F29A6"/>
    <w:rsid w:val="000F3127"/>
    <w:rsid w:val="000F49D4"/>
    <w:rsid w:val="000F49EC"/>
    <w:rsid w:val="000F4A59"/>
    <w:rsid w:val="000F4EBE"/>
    <w:rsid w:val="000F4EDB"/>
    <w:rsid w:val="000F7799"/>
    <w:rsid w:val="000F78B6"/>
    <w:rsid w:val="000F7BF5"/>
    <w:rsid w:val="00100867"/>
    <w:rsid w:val="00101245"/>
    <w:rsid w:val="00102210"/>
    <w:rsid w:val="0010291B"/>
    <w:rsid w:val="00102DCA"/>
    <w:rsid w:val="0010352C"/>
    <w:rsid w:val="001036A7"/>
    <w:rsid w:val="00103FBD"/>
    <w:rsid w:val="001045B9"/>
    <w:rsid w:val="0010469E"/>
    <w:rsid w:val="001048C1"/>
    <w:rsid w:val="00104C00"/>
    <w:rsid w:val="001059E0"/>
    <w:rsid w:val="00106F79"/>
    <w:rsid w:val="001077B5"/>
    <w:rsid w:val="00107C37"/>
    <w:rsid w:val="00107F0E"/>
    <w:rsid w:val="0011072C"/>
    <w:rsid w:val="00110E66"/>
    <w:rsid w:val="001113CB"/>
    <w:rsid w:val="0011152E"/>
    <w:rsid w:val="00111626"/>
    <w:rsid w:val="00111F91"/>
    <w:rsid w:val="001122FC"/>
    <w:rsid w:val="00112303"/>
    <w:rsid w:val="001127D9"/>
    <w:rsid w:val="001129C7"/>
    <w:rsid w:val="00112F1C"/>
    <w:rsid w:val="0011338F"/>
    <w:rsid w:val="001133EE"/>
    <w:rsid w:val="00113EDC"/>
    <w:rsid w:val="00113FAB"/>
    <w:rsid w:val="00114D1A"/>
    <w:rsid w:val="00114F65"/>
    <w:rsid w:val="001159D6"/>
    <w:rsid w:val="00115CDC"/>
    <w:rsid w:val="00117675"/>
    <w:rsid w:val="00120437"/>
    <w:rsid w:val="00121128"/>
    <w:rsid w:val="00121389"/>
    <w:rsid w:val="00121985"/>
    <w:rsid w:val="00122CD2"/>
    <w:rsid w:val="00123140"/>
    <w:rsid w:val="00123906"/>
    <w:rsid w:val="00123AC0"/>
    <w:rsid w:val="00124048"/>
    <w:rsid w:val="0012424C"/>
    <w:rsid w:val="00124253"/>
    <w:rsid w:val="00124507"/>
    <w:rsid w:val="0012462A"/>
    <w:rsid w:val="00124E4F"/>
    <w:rsid w:val="00125D12"/>
    <w:rsid w:val="00126AE4"/>
    <w:rsid w:val="0012728B"/>
    <w:rsid w:val="00127488"/>
    <w:rsid w:val="00127851"/>
    <w:rsid w:val="00127907"/>
    <w:rsid w:val="0013053B"/>
    <w:rsid w:val="0013056A"/>
    <w:rsid w:val="00130619"/>
    <w:rsid w:val="00130AFA"/>
    <w:rsid w:val="0013189D"/>
    <w:rsid w:val="001319B1"/>
    <w:rsid w:val="00132588"/>
    <w:rsid w:val="001325B0"/>
    <w:rsid w:val="001328FF"/>
    <w:rsid w:val="001330F2"/>
    <w:rsid w:val="0013366A"/>
    <w:rsid w:val="00134456"/>
    <w:rsid w:val="0013471B"/>
    <w:rsid w:val="00135A92"/>
    <w:rsid w:val="00135B77"/>
    <w:rsid w:val="00136524"/>
    <w:rsid w:val="001369C9"/>
    <w:rsid w:val="001375D2"/>
    <w:rsid w:val="00137B1C"/>
    <w:rsid w:val="00140436"/>
    <w:rsid w:val="00140B1C"/>
    <w:rsid w:val="00140CB2"/>
    <w:rsid w:val="001412C5"/>
    <w:rsid w:val="00142296"/>
    <w:rsid w:val="001429D2"/>
    <w:rsid w:val="001431B8"/>
    <w:rsid w:val="00143383"/>
    <w:rsid w:val="00143B21"/>
    <w:rsid w:val="00143F7A"/>
    <w:rsid w:val="0014411B"/>
    <w:rsid w:val="0014414F"/>
    <w:rsid w:val="00144C4D"/>
    <w:rsid w:val="00144E72"/>
    <w:rsid w:val="00146F1C"/>
    <w:rsid w:val="00147709"/>
    <w:rsid w:val="001501A5"/>
    <w:rsid w:val="00150FC1"/>
    <w:rsid w:val="00151719"/>
    <w:rsid w:val="00151F79"/>
    <w:rsid w:val="0015297F"/>
    <w:rsid w:val="00153438"/>
    <w:rsid w:val="00153624"/>
    <w:rsid w:val="001540D5"/>
    <w:rsid w:val="00154F7F"/>
    <w:rsid w:val="00155813"/>
    <w:rsid w:val="00155916"/>
    <w:rsid w:val="001560E1"/>
    <w:rsid w:val="0015685C"/>
    <w:rsid w:val="001568D6"/>
    <w:rsid w:val="00156D7D"/>
    <w:rsid w:val="001577AF"/>
    <w:rsid w:val="00157C67"/>
    <w:rsid w:val="00160404"/>
    <w:rsid w:val="00160C5F"/>
    <w:rsid w:val="00161056"/>
    <w:rsid w:val="00161BDE"/>
    <w:rsid w:val="001627F9"/>
    <w:rsid w:val="00163407"/>
    <w:rsid w:val="00163C9D"/>
    <w:rsid w:val="00164777"/>
    <w:rsid w:val="00164CD6"/>
    <w:rsid w:val="00164F08"/>
    <w:rsid w:val="0016527B"/>
    <w:rsid w:val="00165415"/>
    <w:rsid w:val="00165C56"/>
    <w:rsid w:val="00165FEA"/>
    <w:rsid w:val="001663E3"/>
    <w:rsid w:val="001664B6"/>
    <w:rsid w:val="00167981"/>
    <w:rsid w:val="00167BF6"/>
    <w:rsid w:val="00170014"/>
    <w:rsid w:val="00172041"/>
    <w:rsid w:val="00172843"/>
    <w:rsid w:val="00172E56"/>
    <w:rsid w:val="00173887"/>
    <w:rsid w:val="0017419A"/>
    <w:rsid w:val="00175023"/>
    <w:rsid w:val="0017561E"/>
    <w:rsid w:val="001768BC"/>
    <w:rsid w:val="00176A8A"/>
    <w:rsid w:val="001778C8"/>
    <w:rsid w:val="001801F7"/>
    <w:rsid w:val="001806D8"/>
    <w:rsid w:val="001807D9"/>
    <w:rsid w:val="00181005"/>
    <w:rsid w:val="00181314"/>
    <w:rsid w:val="0018185B"/>
    <w:rsid w:val="00182A48"/>
    <w:rsid w:val="00182C13"/>
    <w:rsid w:val="0018335D"/>
    <w:rsid w:val="00183871"/>
    <w:rsid w:val="001839F7"/>
    <w:rsid w:val="00186AD3"/>
    <w:rsid w:val="00186BAB"/>
    <w:rsid w:val="00187825"/>
    <w:rsid w:val="00190B18"/>
    <w:rsid w:val="00191308"/>
    <w:rsid w:val="00191594"/>
    <w:rsid w:val="001918B3"/>
    <w:rsid w:val="00191BC8"/>
    <w:rsid w:val="0019241A"/>
    <w:rsid w:val="00192609"/>
    <w:rsid w:val="00192782"/>
    <w:rsid w:val="00193034"/>
    <w:rsid w:val="00194768"/>
    <w:rsid w:val="00194B45"/>
    <w:rsid w:val="001956B3"/>
    <w:rsid w:val="001961F3"/>
    <w:rsid w:val="0019644D"/>
    <w:rsid w:val="00196F0F"/>
    <w:rsid w:val="00197416"/>
    <w:rsid w:val="00197800"/>
    <w:rsid w:val="00197911"/>
    <w:rsid w:val="00197AD2"/>
    <w:rsid w:val="00197B15"/>
    <w:rsid w:val="001A029D"/>
    <w:rsid w:val="001A0538"/>
    <w:rsid w:val="001A0B3E"/>
    <w:rsid w:val="001A0E97"/>
    <w:rsid w:val="001A0F8C"/>
    <w:rsid w:val="001A1FB1"/>
    <w:rsid w:val="001A244B"/>
    <w:rsid w:val="001A24BB"/>
    <w:rsid w:val="001A2D9B"/>
    <w:rsid w:val="001A3EFE"/>
    <w:rsid w:val="001A5228"/>
    <w:rsid w:val="001A52DB"/>
    <w:rsid w:val="001A54C9"/>
    <w:rsid w:val="001A5BED"/>
    <w:rsid w:val="001A62FD"/>
    <w:rsid w:val="001A63EC"/>
    <w:rsid w:val="001A641D"/>
    <w:rsid w:val="001A662F"/>
    <w:rsid w:val="001A67DE"/>
    <w:rsid w:val="001A76A6"/>
    <w:rsid w:val="001A76FA"/>
    <w:rsid w:val="001A78D1"/>
    <w:rsid w:val="001A7D6F"/>
    <w:rsid w:val="001B1E28"/>
    <w:rsid w:val="001B278D"/>
    <w:rsid w:val="001B3250"/>
    <w:rsid w:val="001B346D"/>
    <w:rsid w:val="001B3700"/>
    <w:rsid w:val="001B3A86"/>
    <w:rsid w:val="001B4189"/>
    <w:rsid w:val="001B4373"/>
    <w:rsid w:val="001B4AFD"/>
    <w:rsid w:val="001B5309"/>
    <w:rsid w:val="001B5BF3"/>
    <w:rsid w:val="001C145A"/>
    <w:rsid w:val="001C2043"/>
    <w:rsid w:val="001C2306"/>
    <w:rsid w:val="001C24A8"/>
    <w:rsid w:val="001C3B7F"/>
    <w:rsid w:val="001C43F1"/>
    <w:rsid w:val="001C4448"/>
    <w:rsid w:val="001C48F8"/>
    <w:rsid w:val="001C4A1B"/>
    <w:rsid w:val="001C59C9"/>
    <w:rsid w:val="001C759B"/>
    <w:rsid w:val="001C79D3"/>
    <w:rsid w:val="001D062B"/>
    <w:rsid w:val="001D0685"/>
    <w:rsid w:val="001D0803"/>
    <w:rsid w:val="001D0F2F"/>
    <w:rsid w:val="001D21BC"/>
    <w:rsid w:val="001D2234"/>
    <w:rsid w:val="001D244E"/>
    <w:rsid w:val="001D283E"/>
    <w:rsid w:val="001D39E0"/>
    <w:rsid w:val="001D3F3B"/>
    <w:rsid w:val="001D4959"/>
    <w:rsid w:val="001D4CE1"/>
    <w:rsid w:val="001D52E6"/>
    <w:rsid w:val="001D5DA1"/>
    <w:rsid w:val="001D7D6F"/>
    <w:rsid w:val="001E0B32"/>
    <w:rsid w:val="001E0D16"/>
    <w:rsid w:val="001E1530"/>
    <w:rsid w:val="001E1674"/>
    <w:rsid w:val="001E17EC"/>
    <w:rsid w:val="001E2170"/>
    <w:rsid w:val="001E32BF"/>
    <w:rsid w:val="001E3378"/>
    <w:rsid w:val="001E35E9"/>
    <w:rsid w:val="001E3EC5"/>
    <w:rsid w:val="001E4861"/>
    <w:rsid w:val="001E48F5"/>
    <w:rsid w:val="001E5DC4"/>
    <w:rsid w:val="001E607E"/>
    <w:rsid w:val="001E610E"/>
    <w:rsid w:val="001E6369"/>
    <w:rsid w:val="001E68EE"/>
    <w:rsid w:val="001E6D10"/>
    <w:rsid w:val="001E746D"/>
    <w:rsid w:val="001E7613"/>
    <w:rsid w:val="001F100D"/>
    <w:rsid w:val="001F105E"/>
    <w:rsid w:val="001F1103"/>
    <w:rsid w:val="001F2203"/>
    <w:rsid w:val="001F347E"/>
    <w:rsid w:val="001F3D5F"/>
    <w:rsid w:val="001F5528"/>
    <w:rsid w:val="001F5D57"/>
    <w:rsid w:val="001F5F1B"/>
    <w:rsid w:val="001F6630"/>
    <w:rsid w:val="001F6DEF"/>
    <w:rsid w:val="001F7731"/>
    <w:rsid w:val="0020080B"/>
    <w:rsid w:val="00200A15"/>
    <w:rsid w:val="00200AB2"/>
    <w:rsid w:val="00200B4B"/>
    <w:rsid w:val="00201130"/>
    <w:rsid w:val="00202159"/>
    <w:rsid w:val="00202459"/>
    <w:rsid w:val="00202F97"/>
    <w:rsid w:val="002032CC"/>
    <w:rsid w:val="00203627"/>
    <w:rsid w:val="00203D9E"/>
    <w:rsid w:val="00204711"/>
    <w:rsid w:val="002049B1"/>
    <w:rsid w:val="0020508E"/>
    <w:rsid w:val="00205E93"/>
    <w:rsid w:val="00206020"/>
    <w:rsid w:val="002064CD"/>
    <w:rsid w:val="002066A2"/>
    <w:rsid w:val="002075A5"/>
    <w:rsid w:val="00207A23"/>
    <w:rsid w:val="0021032B"/>
    <w:rsid w:val="002103F7"/>
    <w:rsid w:val="00212035"/>
    <w:rsid w:val="0021316B"/>
    <w:rsid w:val="00214166"/>
    <w:rsid w:val="00214397"/>
    <w:rsid w:val="002175AB"/>
    <w:rsid w:val="00217AFF"/>
    <w:rsid w:val="002214C7"/>
    <w:rsid w:val="00222313"/>
    <w:rsid w:val="00223222"/>
    <w:rsid w:val="002236B3"/>
    <w:rsid w:val="00223DEE"/>
    <w:rsid w:val="00225DC9"/>
    <w:rsid w:val="00225E22"/>
    <w:rsid w:val="00226BBA"/>
    <w:rsid w:val="00226EC8"/>
    <w:rsid w:val="0022798A"/>
    <w:rsid w:val="00230499"/>
    <w:rsid w:val="00230DCF"/>
    <w:rsid w:val="00231261"/>
    <w:rsid w:val="0023158D"/>
    <w:rsid w:val="00231B0B"/>
    <w:rsid w:val="00231D14"/>
    <w:rsid w:val="002328E6"/>
    <w:rsid w:val="00232FFB"/>
    <w:rsid w:val="002330FA"/>
    <w:rsid w:val="0023378D"/>
    <w:rsid w:val="002339AD"/>
    <w:rsid w:val="00234892"/>
    <w:rsid w:val="00234CE9"/>
    <w:rsid w:val="00235008"/>
    <w:rsid w:val="00235752"/>
    <w:rsid w:val="00235967"/>
    <w:rsid w:val="0023612C"/>
    <w:rsid w:val="002361DC"/>
    <w:rsid w:val="00237CE0"/>
    <w:rsid w:val="00240061"/>
    <w:rsid w:val="0024016C"/>
    <w:rsid w:val="00240602"/>
    <w:rsid w:val="0024070B"/>
    <w:rsid w:val="00240EE4"/>
    <w:rsid w:val="00240FDA"/>
    <w:rsid w:val="00240FF9"/>
    <w:rsid w:val="00241A47"/>
    <w:rsid w:val="002420FF"/>
    <w:rsid w:val="00243011"/>
    <w:rsid w:val="00243A55"/>
    <w:rsid w:val="00244297"/>
    <w:rsid w:val="002442BE"/>
    <w:rsid w:val="00244B29"/>
    <w:rsid w:val="00244CB2"/>
    <w:rsid w:val="00244FA9"/>
    <w:rsid w:val="0024572C"/>
    <w:rsid w:val="00245E25"/>
    <w:rsid w:val="002469F4"/>
    <w:rsid w:val="002476FD"/>
    <w:rsid w:val="00247A1C"/>
    <w:rsid w:val="00247FE0"/>
    <w:rsid w:val="002517F8"/>
    <w:rsid w:val="0025188D"/>
    <w:rsid w:val="00252175"/>
    <w:rsid w:val="00252F02"/>
    <w:rsid w:val="00253880"/>
    <w:rsid w:val="00254A5D"/>
    <w:rsid w:val="00255098"/>
    <w:rsid w:val="002555AB"/>
    <w:rsid w:val="0025593F"/>
    <w:rsid w:val="00255D23"/>
    <w:rsid w:val="00256058"/>
    <w:rsid w:val="00256CAF"/>
    <w:rsid w:val="00257DAA"/>
    <w:rsid w:val="00257F3E"/>
    <w:rsid w:val="00260265"/>
    <w:rsid w:val="0026064F"/>
    <w:rsid w:val="00260677"/>
    <w:rsid w:val="0026158D"/>
    <w:rsid w:val="0026223A"/>
    <w:rsid w:val="00262D57"/>
    <w:rsid w:val="00262DC2"/>
    <w:rsid w:val="00262E78"/>
    <w:rsid w:val="00263815"/>
    <w:rsid w:val="00264130"/>
    <w:rsid w:val="002648A5"/>
    <w:rsid w:val="00264BAC"/>
    <w:rsid w:val="002652CD"/>
    <w:rsid w:val="002656B2"/>
    <w:rsid w:val="002661B5"/>
    <w:rsid w:val="002664AD"/>
    <w:rsid w:val="0026712D"/>
    <w:rsid w:val="002675D6"/>
    <w:rsid w:val="00267A4B"/>
    <w:rsid w:val="00267BFE"/>
    <w:rsid w:val="00267C9A"/>
    <w:rsid w:val="00270028"/>
    <w:rsid w:val="00270622"/>
    <w:rsid w:val="00272353"/>
    <w:rsid w:val="00272655"/>
    <w:rsid w:val="0027279A"/>
    <w:rsid w:val="002736A6"/>
    <w:rsid w:val="00273A76"/>
    <w:rsid w:val="00273F9B"/>
    <w:rsid w:val="00274039"/>
    <w:rsid w:val="002745BB"/>
    <w:rsid w:val="0027463F"/>
    <w:rsid w:val="00275DFD"/>
    <w:rsid w:val="002769C2"/>
    <w:rsid w:val="002769C3"/>
    <w:rsid w:val="00276B11"/>
    <w:rsid w:val="00277075"/>
    <w:rsid w:val="00277853"/>
    <w:rsid w:val="00277B37"/>
    <w:rsid w:val="002807BB"/>
    <w:rsid w:val="00280FB0"/>
    <w:rsid w:val="002811F3"/>
    <w:rsid w:val="00281B77"/>
    <w:rsid w:val="00281DCF"/>
    <w:rsid w:val="00282578"/>
    <w:rsid w:val="002834F2"/>
    <w:rsid w:val="00283902"/>
    <w:rsid w:val="00283CCA"/>
    <w:rsid w:val="00284BAA"/>
    <w:rsid w:val="00284C44"/>
    <w:rsid w:val="00285623"/>
    <w:rsid w:val="00285B2D"/>
    <w:rsid w:val="00285DAD"/>
    <w:rsid w:val="002868CD"/>
    <w:rsid w:val="00286D72"/>
    <w:rsid w:val="002874A8"/>
    <w:rsid w:val="002910FA"/>
    <w:rsid w:val="002913DB"/>
    <w:rsid w:val="00292FF3"/>
    <w:rsid w:val="002935E6"/>
    <w:rsid w:val="002940D8"/>
    <w:rsid w:val="0029500F"/>
    <w:rsid w:val="002955A8"/>
    <w:rsid w:val="002964E4"/>
    <w:rsid w:val="00296A06"/>
    <w:rsid w:val="002A0CA0"/>
    <w:rsid w:val="002A0EFF"/>
    <w:rsid w:val="002A2639"/>
    <w:rsid w:val="002A34CC"/>
    <w:rsid w:val="002A3803"/>
    <w:rsid w:val="002A3A8F"/>
    <w:rsid w:val="002A5B49"/>
    <w:rsid w:val="002A5E8A"/>
    <w:rsid w:val="002A608E"/>
    <w:rsid w:val="002A6583"/>
    <w:rsid w:val="002A6BB5"/>
    <w:rsid w:val="002A7D2E"/>
    <w:rsid w:val="002B07FF"/>
    <w:rsid w:val="002B0CF2"/>
    <w:rsid w:val="002B1357"/>
    <w:rsid w:val="002B2853"/>
    <w:rsid w:val="002B2C1E"/>
    <w:rsid w:val="002B3039"/>
    <w:rsid w:val="002B326E"/>
    <w:rsid w:val="002B3598"/>
    <w:rsid w:val="002B3D8C"/>
    <w:rsid w:val="002B3E14"/>
    <w:rsid w:val="002B4711"/>
    <w:rsid w:val="002B59EA"/>
    <w:rsid w:val="002B610E"/>
    <w:rsid w:val="002B6114"/>
    <w:rsid w:val="002B6930"/>
    <w:rsid w:val="002C03B5"/>
    <w:rsid w:val="002C0640"/>
    <w:rsid w:val="002C0B71"/>
    <w:rsid w:val="002C0FB5"/>
    <w:rsid w:val="002C149E"/>
    <w:rsid w:val="002C219B"/>
    <w:rsid w:val="002C378B"/>
    <w:rsid w:val="002C3901"/>
    <w:rsid w:val="002C3B0A"/>
    <w:rsid w:val="002C4A6D"/>
    <w:rsid w:val="002C4E44"/>
    <w:rsid w:val="002C4E51"/>
    <w:rsid w:val="002C4F35"/>
    <w:rsid w:val="002C516A"/>
    <w:rsid w:val="002C51A0"/>
    <w:rsid w:val="002C5379"/>
    <w:rsid w:val="002C54DF"/>
    <w:rsid w:val="002C5957"/>
    <w:rsid w:val="002C5BC4"/>
    <w:rsid w:val="002C6601"/>
    <w:rsid w:val="002C7332"/>
    <w:rsid w:val="002C7AAB"/>
    <w:rsid w:val="002D0A81"/>
    <w:rsid w:val="002D0B98"/>
    <w:rsid w:val="002D41DE"/>
    <w:rsid w:val="002D4353"/>
    <w:rsid w:val="002D4A1C"/>
    <w:rsid w:val="002D4A3C"/>
    <w:rsid w:val="002D4FA4"/>
    <w:rsid w:val="002D57B8"/>
    <w:rsid w:val="002D5C83"/>
    <w:rsid w:val="002D5D32"/>
    <w:rsid w:val="002D700E"/>
    <w:rsid w:val="002E0A7B"/>
    <w:rsid w:val="002E0BFF"/>
    <w:rsid w:val="002E0DBC"/>
    <w:rsid w:val="002E12D3"/>
    <w:rsid w:val="002E2454"/>
    <w:rsid w:val="002E2B64"/>
    <w:rsid w:val="002E30C5"/>
    <w:rsid w:val="002E3234"/>
    <w:rsid w:val="002E3DC3"/>
    <w:rsid w:val="002E3FEF"/>
    <w:rsid w:val="002E455B"/>
    <w:rsid w:val="002E67EA"/>
    <w:rsid w:val="002F06CB"/>
    <w:rsid w:val="002F0701"/>
    <w:rsid w:val="002F08EB"/>
    <w:rsid w:val="002F0DD4"/>
    <w:rsid w:val="002F1AA9"/>
    <w:rsid w:val="002F1BC4"/>
    <w:rsid w:val="002F1FD2"/>
    <w:rsid w:val="002F2562"/>
    <w:rsid w:val="002F3BE9"/>
    <w:rsid w:val="002F458F"/>
    <w:rsid w:val="002F473F"/>
    <w:rsid w:val="002F4B3E"/>
    <w:rsid w:val="002F4C05"/>
    <w:rsid w:val="002F5BFC"/>
    <w:rsid w:val="002F69CB"/>
    <w:rsid w:val="002F79C6"/>
    <w:rsid w:val="00300077"/>
    <w:rsid w:val="00300652"/>
    <w:rsid w:val="0030104D"/>
    <w:rsid w:val="00301163"/>
    <w:rsid w:val="003018FF"/>
    <w:rsid w:val="00301EB7"/>
    <w:rsid w:val="003021FB"/>
    <w:rsid w:val="0030220F"/>
    <w:rsid w:val="0030366C"/>
    <w:rsid w:val="00303673"/>
    <w:rsid w:val="00303C86"/>
    <w:rsid w:val="0030480F"/>
    <w:rsid w:val="0030506F"/>
    <w:rsid w:val="003052AE"/>
    <w:rsid w:val="00305FD0"/>
    <w:rsid w:val="00306A32"/>
    <w:rsid w:val="00306F41"/>
    <w:rsid w:val="00307513"/>
    <w:rsid w:val="00307C55"/>
    <w:rsid w:val="00311F69"/>
    <w:rsid w:val="0031355F"/>
    <w:rsid w:val="0031499D"/>
    <w:rsid w:val="00314B0A"/>
    <w:rsid w:val="00315204"/>
    <w:rsid w:val="00315B1E"/>
    <w:rsid w:val="00317340"/>
    <w:rsid w:val="00320008"/>
    <w:rsid w:val="0032005F"/>
    <w:rsid w:val="0032103C"/>
    <w:rsid w:val="0032110A"/>
    <w:rsid w:val="00321384"/>
    <w:rsid w:val="003216D2"/>
    <w:rsid w:val="0032270F"/>
    <w:rsid w:val="00322E8D"/>
    <w:rsid w:val="00323256"/>
    <w:rsid w:val="0032381D"/>
    <w:rsid w:val="003239E8"/>
    <w:rsid w:val="00323CA0"/>
    <w:rsid w:val="003243FE"/>
    <w:rsid w:val="00324CB0"/>
    <w:rsid w:val="0032509D"/>
    <w:rsid w:val="00325578"/>
    <w:rsid w:val="00325756"/>
    <w:rsid w:val="00325EE5"/>
    <w:rsid w:val="003260D0"/>
    <w:rsid w:val="003263F7"/>
    <w:rsid w:val="00326DFD"/>
    <w:rsid w:val="00326E86"/>
    <w:rsid w:val="00327CC5"/>
    <w:rsid w:val="00330FD1"/>
    <w:rsid w:val="00331D36"/>
    <w:rsid w:val="00332F51"/>
    <w:rsid w:val="00334A34"/>
    <w:rsid w:val="00334D6C"/>
    <w:rsid w:val="00334FA4"/>
    <w:rsid w:val="0033579A"/>
    <w:rsid w:val="00335E88"/>
    <w:rsid w:val="00335E8B"/>
    <w:rsid w:val="00335F34"/>
    <w:rsid w:val="0033600F"/>
    <w:rsid w:val="003364B8"/>
    <w:rsid w:val="00340397"/>
    <w:rsid w:val="00340C3A"/>
    <w:rsid w:val="00340DA3"/>
    <w:rsid w:val="003413C8"/>
    <w:rsid w:val="0034228B"/>
    <w:rsid w:val="0034250E"/>
    <w:rsid w:val="003426FB"/>
    <w:rsid w:val="003439B7"/>
    <w:rsid w:val="003439F5"/>
    <w:rsid w:val="00344099"/>
    <w:rsid w:val="003440FE"/>
    <w:rsid w:val="0034443C"/>
    <w:rsid w:val="003456B5"/>
    <w:rsid w:val="00345817"/>
    <w:rsid w:val="00345FBC"/>
    <w:rsid w:val="00345FD2"/>
    <w:rsid w:val="00347EF2"/>
    <w:rsid w:val="00347F61"/>
    <w:rsid w:val="00350165"/>
    <w:rsid w:val="00351E4B"/>
    <w:rsid w:val="0035222B"/>
    <w:rsid w:val="00352647"/>
    <w:rsid w:val="00352FD7"/>
    <w:rsid w:val="00353C8D"/>
    <w:rsid w:val="00353ECD"/>
    <w:rsid w:val="00354051"/>
    <w:rsid w:val="00354DDB"/>
    <w:rsid w:val="00354FF3"/>
    <w:rsid w:val="00355609"/>
    <w:rsid w:val="00355734"/>
    <w:rsid w:val="00355976"/>
    <w:rsid w:val="00356965"/>
    <w:rsid w:val="00360E8D"/>
    <w:rsid w:val="00360FB9"/>
    <w:rsid w:val="00361D7B"/>
    <w:rsid w:val="00361E29"/>
    <w:rsid w:val="00362F72"/>
    <w:rsid w:val="00363A41"/>
    <w:rsid w:val="00364713"/>
    <w:rsid w:val="00365317"/>
    <w:rsid w:val="00365639"/>
    <w:rsid w:val="00366031"/>
    <w:rsid w:val="00367086"/>
    <w:rsid w:val="003672B1"/>
    <w:rsid w:val="003676D5"/>
    <w:rsid w:val="00370159"/>
    <w:rsid w:val="00371CA5"/>
    <w:rsid w:val="0037243E"/>
    <w:rsid w:val="00372662"/>
    <w:rsid w:val="00372BD7"/>
    <w:rsid w:val="00372C00"/>
    <w:rsid w:val="003733A8"/>
    <w:rsid w:val="00373FD2"/>
    <w:rsid w:val="00374378"/>
    <w:rsid w:val="00375046"/>
    <w:rsid w:val="00375379"/>
    <w:rsid w:val="00375478"/>
    <w:rsid w:val="003758D0"/>
    <w:rsid w:val="00376B08"/>
    <w:rsid w:val="00377099"/>
    <w:rsid w:val="0038038B"/>
    <w:rsid w:val="003806E8"/>
    <w:rsid w:val="0038072A"/>
    <w:rsid w:val="003807D1"/>
    <w:rsid w:val="00382ACC"/>
    <w:rsid w:val="00382BB1"/>
    <w:rsid w:val="00382F88"/>
    <w:rsid w:val="00383846"/>
    <w:rsid w:val="00384176"/>
    <w:rsid w:val="00384440"/>
    <w:rsid w:val="0038529B"/>
    <w:rsid w:val="00385805"/>
    <w:rsid w:val="003862A1"/>
    <w:rsid w:val="003863BA"/>
    <w:rsid w:val="0038697D"/>
    <w:rsid w:val="00387C9D"/>
    <w:rsid w:val="00387FBE"/>
    <w:rsid w:val="003908A5"/>
    <w:rsid w:val="00390BA2"/>
    <w:rsid w:val="0039342D"/>
    <w:rsid w:val="00393805"/>
    <w:rsid w:val="00394871"/>
    <w:rsid w:val="00394DCF"/>
    <w:rsid w:val="00395ED1"/>
    <w:rsid w:val="00396BEA"/>
    <w:rsid w:val="003974C7"/>
    <w:rsid w:val="00397855"/>
    <w:rsid w:val="00397CB4"/>
    <w:rsid w:val="003A0683"/>
    <w:rsid w:val="003A0795"/>
    <w:rsid w:val="003A0D52"/>
    <w:rsid w:val="003A146F"/>
    <w:rsid w:val="003A15EB"/>
    <w:rsid w:val="003A16FD"/>
    <w:rsid w:val="003A26F9"/>
    <w:rsid w:val="003A2D46"/>
    <w:rsid w:val="003A3661"/>
    <w:rsid w:val="003A44E9"/>
    <w:rsid w:val="003A4F23"/>
    <w:rsid w:val="003A6B0C"/>
    <w:rsid w:val="003A6B2C"/>
    <w:rsid w:val="003A6C89"/>
    <w:rsid w:val="003A7603"/>
    <w:rsid w:val="003A7BE7"/>
    <w:rsid w:val="003A7DCC"/>
    <w:rsid w:val="003A7FA2"/>
    <w:rsid w:val="003B09FC"/>
    <w:rsid w:val="003B111E"/>
    <w:rsid w:val="003B245F"/>
    <w:rsid w:val="003B2901"/>
    <w:rsid w:val="003B3F1C"/>
    <w:rsid w:val="003B5264"/>
    <w:rsid w:val="003B52CC"/>
    <w:rsid w:val="003B543F"/>
    <w:rsid w:val="003B5F92"/>
    <w:rsid w:val="003B60EA"/>
    <w:rsid w:val="003B6299"/>
    <w:rsid w:val="003B69DC"/>
    <w:rsid w:val="003B6CE3"/>
    <w:rsid w:val="003C02A8"/>
    <w:rsid w:val="003C06EC"/>
    <w:rsid w:val="003C0907"/>
    <w:rsid w:val="003C0B9D"/>
    <w:rsid w:val="003C12A9"/>
    <w:rsid w:val="003C16F3"/>
    <w:rsid w:val="003C1C54"/>
    <w:rsid w:val="003C32CC"/>
    <w:rsid w:val="003C39C5"/>
    <w:rsid w:val="003C4634"/>
    <w:rsid w:val="003C4BD2"/>
    <w:rsid w:val="003C5151"/>
    <w:rsid w:val="003C53B1"/>
    <w:rsid w:val="003C5816"/>
    <w:rsid w:val="003C67EF"/>
    <w:rsid w:val="003C67FB"/>
    <w:rsid w:val="003C6BD8"/>
    <w:rsid w:val="003C6D46"/>
    <w:rsid w:val="003D0129"/>
    <w:rsid w:val="003D0E5A"/>
    <w:rsid w:val="003D0FC1"/>
    <w:rsid w:val="003D19B1"/>
    <w:rsid w:val="003D1FF5"/>
    <w:rsid w:val="003D254A"/>
    <w:rsid w:val="003D3474"/>
    <w:rsid w:val="003D38D8"/>
    <w:rsid w:val="003D43C2"/>
    <w:rsid w:val="003D4532"/>
    <w:rsid w:val="003D4822"/>
    <w:rsid w:val="003D49B6"/>
    <w:rsid w:val="003D5FEB"/>
    <w:rsid w:val="003D63D2"/>
    <w:rsid w:val="003D7DD4"/>
    <w:rsid w:val="003E04EA"/>
    <w:rsid w:val="003E0D12"/>
    <w:rsid w:val="003E1735"/>
    <w:rsid w:val="003E2294"/>
    <w:rsid w:val="003E3052"/>
    <w:rsid w:val="003E335D"/>
    <w:rsid w:val="003E33AC"/>
    <w:rsid w:val="003E3715"/>
    <w:rsid w:val="003E3EB6"/>
    <w:rsid w:val="003E4932"/>
    <w:rsid w:val="003E4FE8"/>
    <w:rsid w:val="003E5183"/>
    <w:rsid w:val="003E5DC0"/>
    <w:rsid w:val="003E6340"/>
    <w:rsid w:val="003E693D"/>
    <w:rsid w:val="003E6D35"/>
    <w:rsid w:val="003E7B87"/>
    <w:rsid w:val="003E7DAB"/>
    <w:rsid w:val="003F04E2"/>
    <w:rsid w:val="003F0AE0"/>
    <w:rsid w:val="003F148C"/>
    <w:rsid w:val="003F1E12"/>
    <w:rsid w:val="003F2185"/>
    <w:rsid w:val="003F22A1"/>
    <w:rsid w:val="003F2374"/>
    <w:rsid w:val="003F2672"/>
    <w:rsid w:val="003F2C3D"/>
    <w:rsid w:val="003F56EB"/>
    <w:rsid w:val="003F57AE"/>
    <w:rsid w:val="003F57F7"/>
    <w:rsid w:val="003F5890"/>
    <w:rsid w:val="003F5971"/>
    <w:rsid w:val="003F5984"/>
    <w:rsid w:val="003F63ED"/>
    <w:rsid w:val="003F649D"/>
    <w:rsid w:val="003F6829"/>
    <w:rsid w:val="003F7F4B"/>
    <w:rsid w:val="00400ECF"/>
    <w:rsid w:val="004010B5"/>
    <w:rsid w:val="00401ABC"/>
    <w:rsid w:val="004028CF"/>
    <w:rsid w:val="00403353"/>
    <w:rsid w:val="00403494"/>
    <w:rsid w:val="00403F86"/>
    <w:rsid w:val="004044A0"/>
    <w:rsid w:val="00404ED0"/>
    <w:rsid w:val="00405A00"/>
    <w:rsid w:val="004066EA"/>
    <w:rsid w:val="00406FEB"/>
    <w:rsid w:val="004071AC"/>
    <w:rsid w:val="004074DA"/>
    <w:rsid w:val="00407B9C"/>
    <w:rsid w:val="00410002"/>
    <w:rsid w:val="00410387"/>
    <w:rsid w:val="0041038B"/>
    <w:rsid w:val="00411008"/>
    <w:rsid w:val="00411B97"/>
    <w:rsid w:val="00411FA5"/>
    <w:rsid w:val="0041260D"/>
    <w:rsid w:val="00412C4F"/>
    <w:rsid w:val="0041439D"/>
    <w:rsid w:val="00414666"/>
    <w:rsid w:val="00414A15"/>
    <w:rsid w:val="00414E04"/>
    <w:rsid w:val="00415A36"/>
    <w:rsid w:val="00415EAE"/>
    <w:rsid w:val="004168E5"/>
    <w:rsid w:val="00416E4D"/>
    <w:rsid w:val="00417106"/>
    <w:rsid w:val="004177C1"/>
    <w:rsid w:val="00421478"/>
    <w:rsid w:val="0042190C"/>
    <w:rsid w:val="00421F8C"/>
    <w:rsid w:val="00422002"/>
    <w:rsid w:val="004228E0"/>
    <w:rsid w:val="00422938"/>
    <w:rsid w:val="00422C3E"/>
    <w:rsid w:val="00424786"/>
    <w:rsid w:val="004248AB"/>
    <w:rsid w:val="0042521D"/>
    <w:rsid w:val="004254A8"/>
    <w:rsid w:val="00425696"/>
    <w:rsid w:val="00426387"/>
    <w:rsid w:val="00426A25"/>
    <w:rsid w:val="00426A83"/>
    <w:rsid w:val="004270CF"/>
    <w:rsid w:val="0042734D"/>
    <w:rsid w:val="004273A9"/>
    <w:rsid w:val="00427C92"/>
    <w:rsid w:val="00430702"/>
    <w:rsid w:val="00430729"/>
    <w:rsid w:val="0043096A"/>
    <w:rsid w:val="00430996"/>
    <w:rsid w:val="00432314"/>
    <w:rsid w:val="004325FA"/>
    <w:rsid w:val="00432D28"/>
    <w:rsid w:val="00432DFE"/>
    <w:rsid w:val="00433152"/>
    <w:rsid w:val="004339D0"/>
    <w:rsid w:val="004343F4"/>
    <w:rsid w:val="00435085"/>
    <w:rsid w:val="0043532A"/>
    <w:rsid w:val="00435F8F"/>
    <w:rsid w:val="004361ED"/>
    <w:rsid w:val="004368A1"/>
    <w:rsid w:val="00437067"/>
    <w:rsid w:val="00437499"/>
    <w:rsid w:val="00440011"/>
    <w:rsid w:val="00440859"/>
    <w:rsid w:val="004409FB"/>
    <w:rsid w:val="0044294A"/>
    <w:rsid w:val="00443139"/>
    <w:rsid w:val="004434EF"/>
    <w:rsid w:val="0044353D"/>
    <w:rsid w:val="004435CB"/>
    <w:rsid w:val="004439E5"/>
    <w:rsid w:val="00444274"/>
    <w:rsid w:val="0044508B"/>
    <w:rsid w:val="0044555D"/>
    <w:rsid w:val="00447829"/>
    <w:rsid w:val="00447C40"/>
    <w:rsid w:val="00450D12"/>
    <w:rsid w:val="00450F1B"/>
    <w:rsid w:val="004516C0"/>
    <w:rsid w:val="00451775"/>
    <w:rsid w:val="00451913"/>
    <w:rsid w:val="00451F34"/>
    <w:rsid w:val="004524D0"/>
    <w:rsid w:val="00452592"/>
    <w:rsid w:val="004525EF"/>
    <w:rsid w:val="00452967"/>
    <w:rsid w:val="0045298E"/>
    <w:rsid w:val="00452D28"/>
    <w:rsid w:val="004537ED"/>
    <w:rsid w:val="0045411E"/>
    <w:rsid w:val="004545FD"/>
    <w:rsid w:val="004547BC"/>
    <w:rsid w:val="00456AAF"/>
    <w:rsid w:val="0046004E"/>
    <w:rsid w:val="004602B3"/>
    <w:rsid w:val="00460BEE"/>
    <w:rsid w:val="004610E7"/>
    <w:rsid w:val="00461221"/>
    <w:rsid w:val="00461397"/>
    <w:rsid w:val="00461D92"/>
    <w:rsid w:val="004628AC"/>
    <w:rsid w:val="00463056"/>
    <w:rsid w:val="0046342D"/>
    <w:rsid w:val="0046547F"/>
    <w:rsid w:val="00465662"/>
    <w:rsid w:val="00465DE3"/>
    <w:rsid w:val="0046695D"/>
    <w:rsid w:val="00466A61"/>
    <w:rsid w:val="00467760"/>
    <w:rsid w:val="00467D7D"/>
    <w:rsid w:val="00467EEA"/>
    <w:rsid w:val="004708F9"/>
    <w:rsid w:val="00470916"/>
    <w:rsid w:val="0047123B"/>
    <w:rsid w:val="004713D8"/>
    <w:rsid w:val="004718EE"/>
    <w:rsid w:val="00472875"/>
    <w:rsid w:val="00472948"/>
    <w:rsid w:val="00472A36"/>
    <w:rsid w:val="00472BBD"/>
    <w:rsid w:val="004730E4"/>
    <w:rsid w:val="00473A85"/>
    <w:rsid w:val="004749D0"/>
    <w:rsid w:val="00474D07"/>
    <w:rsid w:val="00474E72"/>
    <w:rsid w:val="00474F27"/>
    <w:rsid w:val="00474FE5"/>
    <w:rsid w:val="0047569D"/>
    <w:rsid w:val="004757BB"/>
    <w:rsid w:val="00475EA0"/>
    <w:rsid w:val="00476586"/>
    <w:rsid w:val="0047740F"/>
    <w:rsid w:val="00480444"/>
    <w:rsid w:val="00481EAF"/>
    <w:rsid w:val="004823B2"/>
    <w:rsid w:val="00483FD2"/>
    <w:rsid w:val="004844A0"/>
    <w:rsid w:val="0048498C"/>
    <w:rsid w:val="00484DA1"/>
    <w:rsid w:val="00486AD3"/>
    <w:rsid w:val="004870D4"/>
    <w:rsid w:val="004870F4"/>
    <w:rsid w:val="00487206"/>
    <w:rsid w:val="00487CC3"/>
    <w:rsid w:val="00490BFD"/>
    <w:rsid w:val="00490D91"/>
    <w:rsid w:val="00491752"/>
    <w:rsid w:val="00491B67"/>
    <w:rsid w:val="004920EE"/>
    <w:rsid w:val="004930EA"/>
    <w:rsid w:val="004949E3"/>
    <w:rsid w:val="00495321"/>
    <w:rsid w:val="0049630D"/>
    <w:rsid w:val="004A01C6"/>
    <w:rsid w:val="004A0CFA"/>
    <w:rsid w:val="004A0D9D"/>
    <w:rsid w:val="004A275D"/>
    <w:rsid w:val="004A310F"/>
    <w:rsid w:val="004A3660"/>
    <w:rsid w:val="004A3678"/>
    <w:rsid w:val="004A3B9E"/>
    <w:rsid w:val="004A40C4"/>
    <w:rsid w:val="004A4213"/>
    <w:rsid w:val="004A4266"/>
    <w:rsid w:val="004A46D8"/>
    <w:rsid w:val="004A47D3"/>
    <w:rsid w:val="004A4808"/>
    <w:rsid w:val="004A4CE0"/>
    <w:rsid w:val="004A4D7D"/>
    <w:rsid w:val="004A50BF"/>
    <w:rsid w:val="004A5898"/>
    <w:rsid w:val="004A6287"/>
    <w:rsid w:val="004A6501"/>
    <w:rsid w:val="004A6E76"/>
    <w:rsid w:val="004A7110"/>
    <w:rsid w:val="004A750E"/>
    <w:rsid w:val="004A7642"/>
    <w:rsid w:val="004B04E3"/>
    <w:rsid w:val="004B0EA1"/>
    <w:rsid w:val="004B16F0"/>
    <w:rsid w:val="004B1AAC"/>
    <w:rsid w:val="004B2B41"/>
    <w:rsid w:val="004B31D4"/>
    <w:rsid w:val="004B4190"/>
    <w:rsid w:val="004B4937"/>
    <w:rsid w:val="004B4A66"/>
    <w:rsid w:val="004B4A9C"/>
    <w:rsid w:val="004B5F68"/>
    <w:rsid w:val="004B5FBC"/>
    <w:rsid w:val="004B71BB"/>
    <w:rsid w:val="004B7DD5"/>
    <w:rsid w:val="004C0041"/>
    <w:rsid w:val="004C15B5"/>
    <w:rsid w:val="004C232B"/>
    <w:rsid w:val="004C3AFE"/>
    <w:rsid w:val="004C403B"/>
    <w:rsid w:val="004C48D9"/>
    <w:rsid w:val="004C5373"/>
    <w:rsid w:val="004C571E"/>
    <w:rsid w:val="004C5733"/>
    <w:rsid w:val="004C5B38"/>
    <w:rsid w:val="004C638A"/>
    <w:rsid w:val="004C643B"/>
    <w:rsid w:val="004C6B04"/>
    <w:rsid w:val="004C72BB"/>
    <w:rsid w:val="004C7D2C"/>
    <w:rsid w:val="004D0D07"/>
    <w:rsid w:val="004D1EAB"/>
    <w:rsid w:val="004D2078"/>
    <w:rsid w:val="004D239D"/>
    <w:rsid w:val="004D3701"/>
    <w:rsid w:val="004D3E32"/>
    <w:rsid w:val="004D407D"/>
    <w:rsid w:val="004D48F8"/>
    <w:rsid w:val="004D494B"/>
    <w:rsid w:val="004D4B5C"/>
    <w:rsid w:val="004D4E36"/>
    <w:rsid w:val="004D7BE4"/>
    <w:rsid w:val="004E0D0D"/>
    <w:rsid w:val="004E124C"/>
    <w:rsid w:val="004E19D9"/>
    <w:rsid w:val="004E21F7"/>
    <w:rsid w:val="004E22AB"/>
    <w:rsid w:val="004E298C"/>
    <w:rsid w:val="004E3243"/>
    <w:rsid w:val="004E3348"/>
    <w:rsid w:val="004E3805"/>
    <w:rsid w:val="004E40FB"/>
    <w:rsid w:val="004E4566"/>
    <w:rsid w:val="004E4908"/>
    <w:rsid w:val="004E51C8"/>
    <w:rsid w:val="004E52D9"/>
    <w:rsid w:val="004E54F9"/>
    <w:rsid w:val="004E5653"/>
    <w:rsid w:val="004E5DE8"/>
    <w:rsid w:val="004E62A7"/>
    <w:rsid w:val="004E6CB7"/>
    <w:rsid w:val="004E71BF"/>
    <w:rsid w:val="004F06AE"/>
    <w:rsid w:val="004F1995"/>
    <w:rsid w:val="004F1AAD"/>
    <w:rsid w:val="004F1BD9"/>
    <w:rsid w:val="004F2FC0"/>
    <w:rsid w:val="004F320C"/>
    <w:rsid w:val="004F33CF"/>
    <w:rsid w:val="004F40D2"/>
    <w:rsid w:val="004F437C"/>
    <w:rsid w:val="004F4686"/>
    <w:rsid w:val="004F6538"/>
    <w:rsid w:val="004F6901"/>
    <w:rsid w:val="004F7106"/>
    <w:rsid w:val="004F764B"/>
    <w:rsid w:val="004F7C25"/>
    <w:rsid w:val="0050104D"/>
    <w:rsid w:val="00501232"/>
    <w:rsid w:val="005015F8"/>
    <w:rsid w:val="00501BB5"/>
    <w:rsid w:val="0050232B"/>
    <w:rsid w:val="00502945"/>
    <w:rsid w:val="0050444C"/>
    <w:rsid w:val="00504807"/>
    <w:rsid w:val="00505147"/>
    <w:rsid w:val="005069FA"/>
    <w:rsid w:val="00506EE0"/>
    <w:rsid w:val="00507E09"/>
    <w:rsid w:val="00510CBA"/>
    <w:rsid w:val="00510EC1"/>
    <w:rsid w:val="005118E0"/>
    <w:rsid w:val="005119C3"/>
    <w:rsid w:val="00512111"/>
    <w:rsid w:val="0051282F"/>
    <w:rsid w:val="00512B55"/>
    <w:rsid w:val="0051311C"/>
    <w:rsid w:val="00513A2C"/>
    <w:rsid w:val="00514A3E"/>
    <w:rsid w:val="0051530E"/>
    <w:rsid w:val="0051544A"/>
    <w:rsid w:val="00515984"/>
    <w:rsid w:val="00515F4B"/>
    <w:rsid w:val="005160BA"/>
    <w:rsid w:val="00516649"/>
    <w:rsid w:val="00516C7E"/>
    <w:rsid w:val="00517ED5"/>
    <w:rsid w:val="005200A3"/>
    <w:rsid w:val="0052029B"/>
    <w:rsid w:val="005216F8"/>
    <w:rsid w:val="00521D88"/>
    <w:rsid w:val="0052242A"/>
    <w:rsid w:val="00522B78"/>
    <w:rsid w:val="00522CB0"/>
    <w:rsid w:val="0052432B"/>
    <w:rsid w:val="0052488C"/>
    <w:rsid w:val="005251BB"/>
    <w:rsid w:val="005259C3"/>
    <w:rsid w:val="00525B07"/>
    <w:rsid w:val="00526F6B"/>
    <w:rsid w:val="00526F7D"/>
    <w:rsid w:val="005271B5"/>
    <w:rsid w:val="005275DA"/>
    <w:rsid w:val="00527757"/>
    <w:rsid w:val="005305D1"/>
    <w:rsid w:val="00530B04"/>
    <w:rsid w:val="00530B86"/>
    <w:rsid w:val="00531371"/>
    <w:rsid w:val="00532358"/>
    <w:rsid w:val="005328B9"/>
    <w:rsid w:val="00533354"/>
    <w:rsid w:val="00533A8C"/>
    <w:rsid w:val="005341C8"/>
    <w:rsid w:val="00534423"/>
    <w:rsid w:val="00534CD8"/>
    <w:rsid w:val="00534D8D"/>
    <w:rsid w:val="005353B5"/>
    <w:rsid w:val="0053630B"/>
    <w:rsid w:val="0053666C"/>
    <w:rsid w:val="00536748"/>
    <w:rsid w:val="005374E2"/>
    <w:rsid w:val="00537E35"/>
    <w:rsid w:val="005406C2"/>
    <w:rsid w:val="00540852"/>
    <w:rsid w:val="005409DA"/>
    <w:rsid w:val="00541040"/>
    <w:rsid w:val="005419F9"/>
    <w:rsid w:val="00541A4A"/>
    <w:rsid w:val="00541BEA"/>
    <w:rsid w:val="005434D8"/>
    <w:rsid w:val="005442B0"/>
    <w:rsid w:val="005444BC"/>
    <w:rsid w:val="005449F5"/>
    <w:rsid w:val="00544D83"/>
    <w:rsid w:val="00545676"/>
    <w:rsid w:val="00545D04"/>
    <w:rsid w:val="0054632F"/>
    <w:rsid w:val="00546E60"/>
    <w:rsid w:val="0055082A"/>
    <w:rsid w:val="0055095E"/>
    <w:rsid w:val="005510C5"/>
    <w:rsid w:val="00551591"/>
    <w:rsid w:val="00551864"/>
    <w:rsid w:val="0055195E"/>
    <w:rsid w:val="00551B52"/>
    <w:rsid w:val="00551D13"/>
    <w:rsid w:val="0055259A"/>
    <w:rsid w:val="005530AD"/>
    <w:rsid w:val="005531AB"/>
    <w:rsid w:val="0055324E"/>
    <w:rsid w:val="00553653"/>
    <w:rsid w:val="005537E6"/>
    <w:rsid w:val="00555D8F"/>
    <w:rsid w:val="0055640D"/>
    <w:rsid w:val="0055644F"/>
    <w:rsid w:val="0055745C"/>
    <w:rsid w:val="005579A9"/>
    <w:rsid w:val="00557DE4"/>
    <w:rsid w:val="00560AE6"/>
    <w:rsid w:val="00562024"/>
    <w:rsid w:val="005621C0"/>
    <w:rsid w:val="00562339"/>
    <w:rsid w:val="00562533"/>
    <w:rsid w:val="005627E7"/>
    <w:rsid w:val="00563A37"/>
    <w:rsid w:val="00563D38"/>
    <w:rsid w:val="00564301"/>
    <w:rsid w:val="005645CC"/>
    <w:rsid w:val="00564A07"/>
    <w:rsid w:val="005654C3"/>
    <w:rsid w:val="00565970"/>
    <w:rsid w:val="0056639C"/>
    <w:rsid w:val="00566868"/>
    <w:rsid w:val="0056790B"/>
    <w:rsid w:val="00567F21"/>
    <w:rsid w:val="00570611"/>
    <w:rsid w:val="005707FF"/>
    <w:rsid w:val="005714BA"/>
    <w:rsid w:val="0057186D"/>
    <w:rsid w:val="00572056"/>
    <w:rsid w:val="00572497"/>
    <w:rsid w:val="005724FE"/>
    <w:rsid w:val="005728A4"/>
    <w:rsid w:val="00572E52"/>
    <w:rsid w:val="005746E5"/>
    <w:rsid w:val="00574EE0"/>
    <w:rsid w:val="0057501F"/>
    <w:rsid w:val="0057505C"/>
    <w:rsid w:val="0057516E"/>
    <w:rsid w:val="00575404"/>
    <w:rsid w:val="00575587"/>
    <w:rsid w:val="005775CB"/>
    <w:rsid w:val="00580FDA"/>
    <w:rsid w:val="00581068"/>
    <w:rsid w:val="00581096"/>
    <w:rsid w:val="005824CB"/>
    <w:rsid w:val="00582861"/>
    <w:rsid w:val="00582A14"/>
    <w:rsid w:val="00582EDE"/>
    <w:rsid w:val="0058469D"/>
    <w:rsid w:val="005851B7"/>
    <w:rsid w:val="00586D06"/>
    <w:rsid w:val="005877D6"/>
    <w:rsid w:val="00587981"/>
    <w:rsid w:val="005903F6"/>
    <w:rsid w:val="005904B7"/>
    <w:rsid w:val="005909D9"/>
    <w:rsid w:val="00590C87"/>
    <w:rsid w:val="00591374"/>
    <w:rsid w:val="005915D8"/>
    <w:rsid w:val="00591C26"/>
    <w:rsid w:val="00591E64"/>
    <w:rsid w:val="00591EFE"/>
    <w:rsid w:val="00592368"/>
    <w:rsid w:val="005923C2"/>
    <w:rsid w:val="0059250B"/>
    <w:rsid w:val="00592B2B"/>
    <w:rsid w:val="00593C6B"/>
    <w:rsid w:val="00593EB2"/>
    <w:rsid w:val="0059479F"/>
    <w:rsid w:val="00594EDA"/>
    <w:rsid w:val="005957A3"/>
    <w:rsid w:val="005959CD"/>
    <w:rsid w:val="005959D1"/>
    <w:rsid w:val="005963FC"/>
    <w:rsid w:val="00596541"/>
    <w:rsid w:val="0059677A"/>
    <w:rsid w:val="00597282"/>
    <w:rsid w:val="005977A2"/>
    <w:rsid w:val="005A0232"/>
    <w:rsid w:val="005A0E8C"/>
    <w:rsid w:val="005A1AAE"/>
    <w:rsid w:val="005A1AC3"/>
    <w:rsid w:val="005A1CE6"/>
    <w:rsid w:val="005A29D6"/>
    <w:rsid w:val="005A3367"/>
    <w:rsid w:val="005A35A2"/>
    <w:rsid w:val="005A3B96"/>
    <w:rsid w:val="005A3CE9"/>
    <w:rsid w:val="005A43F3"/>
    <w:rsid w:val="005A469A"/>
    <w:rsid w:val="005A56ED"/>
    <w:rsid w:val="005A598F"/>
    <w:rsid w:val="005A5FBB"/>
    <w:rsid w:val="005A6B03"/>
    <w:rsid w:val="005A767E"/>
    <w:rsid w:val="005B03E6"/>
    <w:rsid w:val="005B1486"/>
    <w:rsid w:val="005B1993"/>
    <w:rsid w:val="005B1AAD"/>
    <w:rsid w:val="005B1EA3"/>
    <w:rsid w:val="005B26FA"/>
    <w:rsid w:val="005B2A27"/>
    <w:rsid w:val="005B2ABB"/>
    <w:rsid w:val="005B2F84"/>
    <w:rsid w:val="005B2FEB"/>
    <w:rsid w:val="005B30F7"/>
    <w:rsid w:val="005B339E"/>
    <w:rsid w:val="005B3B27"/>
    <w:rsid w:val="005B4100"/>
    <w:rsid w:val="005B41FA"/>
    <w:rsid w:val="005B4CB6"/>
    <w:rsid w:val="005B4D46"/>
    <w:rsid w:val="005B59B2"/>
    <w:rsid w:val="005B5A62"/>
    <w:rsid w:val="005B620B"/>
    <w:rsid w:val="005B7035"/>
    <w:rsid w:val="005B740D"/>
    <w:rsid w:val="005B7A05"/>
    <w:rsid w:val="005C048C"/>
    <w:rsid w:val="005C1D19"/>
    <w:rsid w:val="005C2848"/>
    <w:rsid w:val="005C4566"/>
    <w:rsid w:val="005C45A2"/>
    <w:rsid w:val="005C5D42"/>
    <w:rsid w:val="005C68F6"/>
    <w:rsid w:val="005C7399"/>
    <w:rsid w:val="005C78CC"/>
    <w:rsid w:val="005D069F"/>
    <w:rsid w:val="005D0771"/>
    <w:rsid w:val="005D13F1"/>
    <w:rsid w:val="005D1D77"/>
    <w:rsid w:val="005D249A"/>
    <w:rsid w:val="005D2A94"/>
    <w:rsid w:val="005D3D24"/>
    <w:rsid w:val="005D4199"/>
    <w:rsid w:val="005D53A5"/>
    <w:rsid w:val="005D55EA"/>
    <w:rsid w:val="005D6825"/>
    <w:rsid w:val="005D7828"/>
    <w:rsid w:val="005D7AF6"/>
    <w:rsid w:val="005D7CD6"/>
    <w:rsid w:val="005E011A"/>
    <w:rsid w:val="005E1A15"/>
    <w:rsid w:val="005E2E7F"/>
    <w:rsid w:val="005E3374"/>
    <w:rsid w:val="005E3579"/>
    <w:rsid w:val="005E3F19"/>
    <w:rsid w:val="005E40DC"/>
    <w:rsid w:val="005E5A76"/>
    <w:rsid w:val="005E5ACD"/>
    <w:rsid w:val="005E61DD"/>
    <w:rsid w:val="005E626D"/>
    <w:rsid w:val="005F0B4E"/>
    <w:rsid w:val="005F12CD"/>
    <w:rsid w:val="005F1746"/>
    <w:rsid w:val="005F1E42"/>
    <w:rsid w:val="005F2007"/>
    <w:rsid w:val="005F2603"/>
    <w:rsid w:val="005F30E6"/>
    <w:rsid w:val="005F35E6"/>
    <w:rsid w:val="005F4116"/>
    <w:rsid w:val="005F43B0"/>
    <w:rsid w:val="005F475B"/>
    <w:rsid w:val="005F5581"/>
    <w:rsid w:val="005F59D8"/>
    <w:rsid w:val="005F5B31"/>
    <w:rsid w:val="005F5F7E"/>
    <w:rsid w:val="005F6969"/>
    <w:rsid w:val="005F6B18"/>
    <w:rsid w:val="00600920"/>
    <w:rsid w:val="006010E7"/>
    <w:rsid w:val="00601588"/>
    <w:rsid w:val="006017AA"/>
    <w:rsid w:val="006017C6"/>
    <w:rsid w:val="006041BA"/>
    <w:rsid w:val="00604314"/>
    <w:rsid w:val="0060460A"/>
    <w:rsid w:val="006047AE"/>
    <w:rsid w:val="0060494F"/>
    <w:rsid w:val="00604B4F"/>
    <w:rsid w:val="00604D6B"/>
    <w:rsid w:val="006051DD"/>
    <w:rsid w:val="00606525"/>
    <w:rsid w:val="00610BEC"/>
    <w:rsid w:val="006119F9"/>
    <w:rsid w:val="00612764"/>
    <w:rsid w:val="00614313"/>
    <w:rsid w:val="00614E75"/>
    <w:rsid w:val="0061648B"/>
    <w:rsid w:val="00616912"/>
    <w:rsid w:val="006170B3"/>
    <w:rsid w:val="00620907"/>
    <w:rsid w:val="0062131F"/>
    <w:rsid w:val="00621A32"/>
    <w:rsid w:val="00621E7C"/>
    <w:rsid w:val="00622E6B"/>
    <w:rsid w:val="006242A9"/>
    <w:rsid w:val="006248A4"/>
    <w:rsid w:val="006259D3"/>
    <w:rsid w:val="00627191"/>
    <w:rsid w:val="00627BC2"/>
    <w:rsid w:val="00627FDF"/>
    <w:rsid w:val="00630218"/>
    <w:rsid w:val="00630466"/>
    <w:rsid w:val="0063098F"/>
    <w:rsid w:val="00630A10"/>
    <w:rsid w:val="00631283"/>
    <w:rsid w:val="00631396"/>
    <w:rsid w:val="0063145B"/>
    <w:rsid w:val="00633445"/>
    <w:rsid w:val="0063396F"/>
    <w:rsid w:val="00634CE8"/>
    <w:rsid w:val="00634E49"/>
    <w:rsid w:val="00635755"/>
    <w:rsid w:val="006360BE"/>
    <w:rsid w:val="006366FF"/>
    <w:rsid w:val="00637425"/>
    <w:rsid w:val="00640A72"/>
    <w:rsid w:val="00640C9F"/>
    <w:rsid w:val="00640CA6"/>
    <w:rsid w:val="006410FC"/>
    <w:rsid w:val="006414CC"/>
    <w:rsid w:val="006416E1"/>
    <w:rsid w:val="00641CB5"/>
    <w:rsid w:val="00641E0B"/>
    <w:rsid w:val="00642A45"/>
    <w:rsid w:val="00643D34"/>
    <w:rsid w:val="006441C0"/>
    <w:rsid w:val="00644438"/>
    <w:rsid w:val="0064448C"/>
    <w:rsid w:val="0064581A"/>
    <w:rsid w:val="00645BDE"/>
    <w:rsid w:val="006465E4"/>
    <w:rsid w:val="00646916"/>
    <w:rsid w:val="00647BE4"/>
    <w:rsid w:val="00651526"/>
    <w:rsid w:val="00651ACC"/>
    <w:rsid w:val="00652DEE"/>
    <w:rsid w:val="00652E14"/>
    <w:rsid w:val="0065323C"/>
    <w:rsid w:val="0065380B"/>
    <w:rsid w:val="00654F90"/>
    <w:rsid w:val="00655633"/>
    <w:rsid w:val="00655781"/>
    <w:rsid w:val="0065587C"/>
    <w:rsid w:val="00656452"/>
    <w:rsid w:val="00660CD8"/>
    <w:rsid w:val="00662070"/>
    <w:rsid w:val="00662279"/>
    <w:rsid w:val="0066292B"/>
    <w:rsid w:val="0066311B"/>
    <w:rsid w:val="00664AD5"/>
    <w:rsid w:val="0066600F"/>
    <w:rsid w:val="00666436"/>
    <w:rsid w:val="006664C6"/>
    <w:rsid w:val="0066679A"/>
    <w:rsid w:val="00666AB5"/>
    <w:rsid w:val="00667021"/>
    <w:rsid w:val="006673F8"/>
    <w:rsid w:val="00667C49"/>
    <w:rsid w:val="00672619"/>
    <w:rsid w:val="0067363F"/>
    <w:rsid w:val="0067454B"/>
    <w:rsid w:val="00675AAE"/>
    <w:rsid w:val="00675AB3"/>
    <w:rsid w:val="00675CBD"/>
    <w:rsid w:val="006769D1"/>
    <w:rsid w:val="00676EFD"/>
    <w:rsid w:val="006772C4"/>
    <w:rsid w:val="00677EF8"/>
    <w:rsid w:val="00681129"/>
    <w:rsid w:val="0068158F"/>
    <w:rsid w:val="006816CF"/>
    <w:rsid w:val="0068171D"/>
    <w:rsid w:val="00681AAB"/>
    <w:rsid w:val="00681C68"/>
    <w:rsid w:val="006825A6"/>
    <w:rsid w:val="00683291"/>
    <w:rsid w:val="00684315"/>
    <w:rsid w:val="006845C6"/>
    <w:rsid w:val="00684934"/>
    <w:rsid w:val="00685336"/>
    <w:rsid w:val="006859F7"/>
    <w:rsid w:val="00685F09"/>
    <w:rsid w:val="00685F46"/>
    <w:rsid w:val="00686D32"/>
    <w:rsid w:val="006877F4"/>
    <w:rsid w:val="00691CA4"/>
    <w:rsid w:val="00691E2B"/>
    <w:rsid w:val="00692A04"/>
    <w:rsid w:val="00693009"/>
    <w:rsid w:val="00693133"/>
    <w:rsid w:val="0069329F"/>
    <w:rsid w:val="00693373"/>
    <w:rsid w:val="006933E6"/>
    <w:rsid w:val="00693607"/>
    <w:rsid w:val="00693909"/>
    <w:rsid w:val="00694BC6"/>
    <w:rsid w:val="00694E53"/>
    <w:rsid w:val="0069608C"/>
    <w:rsid w:val="00696870"/>
    <w:rsid w:val="006975CC"/>
    <w:rsid w:val="00697654"/>
    <w:rsid w:val="006A03F1"/>
    <w:rsid w:val="006A08A8"/>
    <w:rsid w:val="006A0C13"/>
    <w:rsid w:val="006A1034"/>
    <w:rsid w:val="006A15D2"/>
    <w:rsid w:val="006A1C18"/>
    <w:rsid w:val="006A29DA"/>
    <w:rsid w:val="006A2F92"/>
    <w:rsid w:val="006A321F"/>
    <w:rsid w:val="006A356E"/>
    <w:rsid w:val="006A44C2"/>
    <w:rsid w:val="006A457E"/>
    <w:rsid w:val="006A4F03"/>
    <w:rsid w:val="006A537B"/>
    <w:rsid w:val="006A5435"/>
    <w:rsid w:val="006A5D34"/>
    <w:rsid w:val="006A5D4B"/>
    <w:rsid w:val="006A7545"/>
    <w:rsid w:val="006A7D1A"/>
    <w:rsid w:val="006B0825"/>
    <w:rsid w:val="006B218A"/>
    <w:rsid w:val="006B240F"/>
    <w:rsid w:val="006B2BC9"/>
    <w:rsid w:val="006B3644"/>
    <w:rsid w:val="006B3D68"/>
    <w:rsid w:val="006B46D5"/>
    <w:rsid w:val="006B4BF2"/>
    <w:rsid w:val="006B4DEF"/>
    <w:rsid w:val="006B537B"/>
    <w:rsid w:val="006B5CF7"/>
    <w:rsid w:val="006B71D1"/>
    <w:rsid w:val="006B7684"/>
    <w:rsid w:val="006C0F47"/>
    <w:rsid w:val="006C0FED"/>
    <w:rsid w:val="006C1A00"/>
    <w:rsid w:val="006C2205"/>
    <w:rsid w:val="006C26FD"/>
    <w:rsid w:val="006C2972"/>
    <w:rsid w:val="006C3C68"/>
    <w:rsid w:val="006C44B5"/>
    <w:rsid w:val="006C4529"/>
    <w:rsid w:val="006C467A"/>
    <w:rsid w:val="006C54FC"/>
    <w:rsid w:val="006C55DA"/>
    <w:rsid w:val="006C5A79"/>
    <w:rsid w:val="006C6A3F"/>
    <w:rsid w:val="006C7A2D"/>
    <w:rsid w:val="006D01EA"/>
    <w:rsid w:val="006D22F1"/>
    <w:rsid w:val="006D28A3"/>
    <w:rsid w:val="006D28EF"/>
    <w:rsid w:val="006D29D6"/>
    <w:rsid w:val="006D3E71"/>
    <w:rsid w:val="006D44D8"/>
    <w:rsid w:val="006D47A0"/>
    <w:rsid w:val="006D4903"/>
    <w:rsid w:val="006D551D"/>
    <w:rsid w:val="006D5818"/>
    <w:rsid w:val="006D5899"/>
    <w:rsid w:val="006D5C72"/>
    <w:rsid w:val="006D5E21"/>
    <w:rsid w:val="006D60C1"/>
    <w:rsid w:val="006D60C8"/>
    <w:rsid w:val="006D6FF6"/>
    <w:rsid w:val="006D7305"/>
    <w:rsid w:val="006E0262"/>
    <w:rsid w:val="006E0E1E"/>
    <w:rsid w:val="006E0E47"/>
    <w:rsid w:val="006E0F6A"/>
    <w:rsid w:val="006E1A54"/>
    <w:rsid w:val="006E24D4"/>
    <w:rsid w:val="006E294D"/>
    <w:rsid w:val="006E2B88"/>
    <w:rsid w:val="006E2F07"/>
    <w:rsid w:val="006E341F"/>
    <w:rsid w:val="006E393C"/>
    <w:rsid w:val="006E40E7"/>
    <w:rsid w:val="006E4C00"/>
    <w:rsid w:val="006E5F31"/>
    <w:rsid w:val="006E6581"/>
    <w:rsid w:val="006E68C7"/>
    <w:rsid w:val="006E752D"/>
    <w:rsid w:val="006E757C"/>
    <w:rsid w:val="006F08C6"/>
    <w:rsid w:val="006F0CC8"/>
    <w:rsid w:val="006F1280"/>
    <w:rsid w:val="006F1C3F"/>
    <w:rsid w:val="006F1EEC"/>
    <w:rsid w:val="006F226F"/>
    <w:rsid w:val="006F29FC"/>
    <w:rsid w:val="006F2A9D"/>
    <w:rsid w:val="006F2B7A"/>
    <w:rsid w:val="006F3A85"/>
    <w:rsid w:val="006F51D4"/>
    <w:rsid w:val="006F5ADC"/>
    <w:rsid w:val="006F633D"/>
    <w:rsid w:val="006F7197"/>
    <w:rsid w:val="006F731D"/>
    <w:rsid w:val="006F76C9"/>
    <w:rsid w:val="006F777D"/>
    <w:rsid w:val="006F7D1D"/>
    <w:rsid w:val="0070083A"/>
    <w:rsid w:val="007008E6"/>
    <w:rsid w:val="0070137D"/>
    <w:rsid w:val="0070153E"/>
    <w:rsid w:val="0070310F"/>
    <w:rsid w:val="00703A9E"/>
    <w:rsid w:val="00703F89"/>
    <w:rsid w:val="00704D47"/>
    <w:rsid w:val="007059D4"/>
    <w:rsid w:val="00706BE1"/>
    <w:rsid w:val="00706FD9"/>
    <w:rsid w:val="007078B3"/>
    <w:rsid w:val="00707E0C"/>
    <w:rsid w:val="00710389"/>
    <w:rsid w:val="007113B7"/>
    <w:rsid w:val="00714148"/>
    <w:rsid w:val="00714248"/>
    <w:rsid w:val="007155C4"/>
    <w:rsid w:val="00715D86"/>
    <w:rsid w:val="00717118"/>
    <w:rsid w:val="00717F29"/>
    <w:rsid w:val="00720272"/>
    <w:rsid w:val="00721181"/>
    <w:rsid w:val="00721C66"/>
    <w:rsid w:val="00721CA9"/>
    <w:rsid w:val="00721EEF"/>
    <w:rsid w:val="0072205C"/>
    <w:rsid w:val="00722178"/>
    <w:rsid w:val="0072233B"/>
    <w:rsid w:val="00722E61"/>
    <w:rsid w:val="007234C0"/>
    <w:rsid w:val="007242DA"/>
    <w:rsid w:val="007246F7"/>
    <w:rsid w:val="007249B1"/>
    <w:rsid w:val="00724D3F"/>
    <w:rsid w:val="00725781"/>
    <w:rsid w:val="00726182"/>
    <w:rsid w:val="00726BDB"/>
    <w:rsid w:val="00726CFC"/>
    <w:rsid w:val="00727F96"/>
    <w:rsid w:val="007302E2"/>
    <w:rsid w:val="0073194B"/>
    <w:rsid w:val="007319F1"/>
    <w:rsid w:val="00731C65"/>
    <w:rsid w:val="00731E57"/>
    <w:rsid w:val="0073298B"/>
    <w:rsid w:val="00734603"/>
    <w:rsid w:val="00734843"/>
    <w:rsid w:val="00734B11"/>
    <w:rsid w:val="00734FB0"/>
    <w:rsid w:val="00735FC7"/>
    <w:rsid w:val="00736B22"/>
    <w:rsid w:val="00737CF4"/>
    <w:rsid w:val="00737D2D"/>
    <w:rsid w:val="00740B6E"/>
    <w:rsid w:val="00740FD6"/>
    <w:rsid w:val="00741CEB"/>
    <w:rsid w:val="00742C92"/>
    <w:rsid w:val="0074358A"/>
    <w:rsid w:val="0074469F"/>
    <w:rsid w:val="007450B7"/>
    <w:rsid w:val="007451F0"/>
    <w:rsid w:val="007457CD"/>
    <w:rsid w:val="00745C83"/>
    <w:rsid w:val="00745DA7"/>
    <w:rsid w:val="00746C31"/>
    <w:rsid w:val="007478F5"/>
    <w:rsid w:val="007506D1"/>
    <w:rsid w:val="00751394"/>
    <w:rsid w:val="00753295"/>
    <w:rsid w:val="00754880"/>
    <w:rsid w:val="0075677C"/>
    <w:rsid w:val="00756DBF"/>
    <w:rsid w:val="007575E0"/>
    <w:rsid w:val="00757EE6"/>
    <w:rsid w:val="00760C24"/>
    <w:rsid w:val="0076111F"/>
    <w:rsid w:val="00761444"/>
    <w:rsid w:val="00761D45"/>
    <w:rsid w:val="007628BA"/>
    <w:rsid w:val="007628C7"/>
    <w:rsid w:val="007638AC"/>
    <w:rsid w:val="00763F97"/>
    <w:rsid w:val="00763FF4"/>
    <w:rsid w:val="00764B39"/>
    <w:rsid w:val="00765159"/>
    <w:rsid w:val="007652AB"/>
    <w:rsid w:val="00765543"/>
    <w:rsid w:val="00765773"/>
    <w:rsid w:val="00765F13"/>
    <w:rsid w:val="0076619B"/>
    <w:rsid w:val="00766625"/>
    <w:rsid w:val="00766AAE"/>
    <w:rsid w:val="00767A3B"/>
    <w:rsid w:val="00767B95"/>
    <w:rsid w:val="007705CD"/>
    <w:rsid w:val="007709C6"/>
    <w:rsid w:val="007714A3"/>
    <w:rsid w:val="007718D0"/>
    <w:rsid w:val="00773265"/>
    <w:rsid w:val="007736EC"/>
    <w:rsid w:val="0077465C"/>
    <w:rsid w:val="00775074"/>
    <w:rsid w:val="00775F0A"/>
    <w:rsid w:val="007760EE"/>
    <w:rsid w:val="007763C0"/>
    <w:rsid w:val="007774B3"/>
    <w:rsid w:val="007777F2"/>
    <w:rsid w:val="0078084E"/>
    <w:rsid w:val="00780965"/>
    <w:rsid w:val="00780E93"/>
    <w:rsid w:val="007815ED"/>
    <w:rsid w:val="0078262C"/>
    <w:rsid w:val="0078286A"/>
    <w:rsid w:val="00782B00"/>
    <w:rsid w:val="007835C3"/>
    <w:rsid w:val="00783C5C"/>
    <w:rsid w:val="00783E3B"/>
    <w:rsid w:val="007850A9"/>
    <w:rsid w:val="007856A1"/>
    <w:rsid w:val="00785C2F"/>
    <w:rsid w:val="007860B3"/>
    <w:rsid w:val="00786393"/>
    <w:rsid w:val="00786734"/>
    <w:rsid w:val="00786C96"/>
    <w:rsid w:val="007875C7"/>
    <w:rsid w:val="00787F4E"/>
    <w:rsid w:val="007904D9"/>
    <w:rsid w:val="00790857"/>
    <w:rsid w:val="007909DC"/>
    <w:rsid w:val="00790CC4"/>
    <w:rsid w:val="007911A3"/>
    <w:rsid w:val="0079157F"/>
    <w:rsid w:val="00791B4B"/>
    <w:rsid w:val="0079201F"/>
    <w:rsid w:val="0079227B"/>
    <w:rsid w:val="00792642"/>
    <w:rsid w:val="0079295D"/>
    <w:rsid w:val="00792D23"/>
    <w:rsid w:val="007930E8"/>
    <w:rsid w:val="007944B2"/>
    <w:rsid w:val="00795C7F"/>
    <w:rsid w:val="007961F1"/>
    <w:rsid w:val="007968FE"/>
    <w:rsid w:val="00796E2C"/>
    <w:rsid w:val="00797B66"/>
    <w:rsid w:val="00797D20"/>
    <w:rsid w:val="00797D3F"/>
    <w:rsid w:val="00797D43"/>
    <w:rsid w:val="007A0993"/>
    <w:rsid w:val="007A17B1"/>
    <w:rsid w:val="007A180B"/>
    <w:rsid w:val="007A182E"/>
    <w:rsid w:val="007A21A4"/>
    <w:rsid w:val="007A3558"/>
    <w:rsid w:val="007A3F51"/>
    <w:rsid w:val="007A482A"/>
    <w:rsid w:val="007A4836"/>
    <w:rsid w:val="007A6278"/>
    <w:rsid w:val="007A74CB"/>
    <w:rsid w:val="007A786B"/>
    <w:rsid w:val="007B1E24"/>
    <w:rsid w:val="007B1F51"/>
    <w:rsid w:val="007B2062"/>
    <w:rsid w:val="007B2476"/>
    <w:rsid w:val="007B29C6"/>
    <w:rsid w:val="007B3631"/>
    <w:rsid w:val="007B39F4"/>
    <w:rsid w:val="007B45F0"/>
    <w:rsid w:val="007B4CDF"/>
    <w:rsid w:val="007B55A8"/>
    <w:rsid w:val="007B59A9"/>
    <w:rsid w:val="007B5E31"/>
    <w:rsid w:val="007B5F9E"/>
    <w:rsid w:val="007B636A"/>
    <w:rsid w:val="007B6522"/>
    <w:rsid w:val="007B6627"/>
    <w:rsid w:val="007B67A6"/>
    <w:rsid w:val="007B6897"/>
    <w:rsid w:val="007B6C13"/>
    <w:rsid w:val="007B7716"/>
    <w:rsid w:val="007C0A77"/>
    <w:rsid w:val="007C1F49"/>
    <w:rsid w:val="007C45A4"/>
    <w:rsid w:val="007C599E"/>
    <w:rsid w:val="007C6235"/>
    <w:rsid w:val="007C6E41"/>
    <w:rsid w:val="007C7A1C"/>
    <w:rsid w:val="007C7B9E"/>
    <w:rsid w:val="007D0871"/>
    <w:rsid w:val="007D0D8E"/>
    <w:rsid w:val="007D1790"/>
    <w:rsid w:val="007D2744"/>
    <w:rsid w:val="007D2FEA"/>
    <w:rsid w:val="007D2FFA"/>
    <w:rsid w:val="007D3330"/>
    <w:rsid w:val="007D35A9"/>
    <w:rsid w:val="007D3EFC"/>
    <w:rsid w:val="007D4C01"/>
    <w:rsid w:val="007D4F1A"/>
    <w:rsid w:val="007D5E21"/>
    <w:rsid w:val="007D74F6"/>
    <w:rsid w:val="007D768C"/>
    <w:rsid w:val="007E00BD"/>
    <w:rsid w:val="007E020F"/>
    <w:rsid w:val="007E0486"/>
    <w:rsid w:val="007E0C7D"/>
    <w:rsid w:val="007E1035"/>
    <w:rsid w:val="007E2343"/>
    <w:rsid w:val="007E2C5F"/>
    <w:rsid w:val="007E4711"/>
    <w:rsid w:val="007E4AA0"/>
    <w:rsid w:val="007E4C0D"/>
    <w:rsid w:val="007E55FF"/>
    <w:rsid w:val="007E6197"/>
    <w:rsid w:val="007E62B0"/>
    <w:rsid w:val="007E6A55"/>
    <w:rsid w:val="007E73AB"/>
    <w:rsid w:val="007F007B"/>
    <w:rsid w:val="007F04D8"/>
    <w:rsid w:val="007F088D"/>
    <w:rsid w:val="007F1526"/>
    <w:rsid w:val="007F1E2F"/>
    <w:rsid w:val="007F22C1"/>
    <w:rsid w:val="007F2E13"/>
    <w:rsid w:val="007F3006"/>
    <w:rsid w:val="007F41FC"/>
    <w:rsid w:val="007F47F6"/>
    <w:rsid w:val="007F4834"/>
    <w:rsid w:val="007F4A9C"/>
    <w:rsid w:val="007F5577"/>
    <w:rsid w:val="007F575B"/>
    <w:rsid w:val="007F5D84"/>
    <w:rsid w:val="007F6146"/>
    <w:rsid w:val="007F648B"/>
    <w:rsid w:val="007F6C98"/>
    <w:rsid w:val="007F72C7"/>
    <w:rsid w:val="008006E1"/>
    <w:rsid w:val="00801258"/>
    <w:rsid w:val="00802724"/>
    <w:rsid w:val="0080308B"/>
    <w:rsid w:val="00803BE6"/>
    <w:rsid w:val="008042FC"/>
    <w:rsid w:val="008051C1"/>
    <w:rsid w:val="008073A2"/>
    <w:rsid w:val="00807694"/>
    <w:rsid w:val="00807BB0"/>
    <w:rsid w:val="00810276"/>
    <w:rsid w:val="008108B2"/>
    <w:rsid w:val="00811050"/>
    <w:rsid w:val="0081206D"/>
    <w:rsid w:val="0081276E"/>
    <w:rsid w:val="00813344"/>
    <w:rsid w:val="00813EAF"/>
    <w:rsid w:val="008144F1"/>
    <w:rsid w:val="00814D23"/>
    <w:rsid w:val="00815E31"/>
    <w:rsid w:val="00815F1B"/>
    <w:rsid w:val="008166D4"/>
    <w:rsid w:val="00816C85"/>
    <w:rsid w:val="008176DA"/>
    <w:rsid w:val="008177DA"/>
    <w:rsid w:val="00820B6E"/>
    <w:rsid w:val="00821227"/>
    <w:rsid w:val="00821302"/>
    <w:rsid w:val="00822A69"/>
    <w:rsid w:val="008230C2"/>
    <w:rsid w:val="00824F13"/>
    <w:rsid w:val="00825FAE"/>
    <w:rsid w:val="00826C8E"/>
    <w:rsid w:val="00827A69"/>
    <w:rsid w:val="00827B27"/>
    <w:rsid w:val="0083132F"/>
    <w:rsid w:val="00831BA6"/>
    <w:rsid w:val="0083201C"/>
    <w:rsid w:val="00832114"/>
    <w:rsid w:val="00832602"/>
    <w:rsid w:val="00832FCA"/>
    <w:rsid w:val="00832FF0"/>
    <w:rsid w:val="00834EE0"/>
    <w:rsid w:val="00834FDD"/>
    <w:rsid w:val="00834FE3"/>
    <w:rsid w:val="0083552B"/>
    <w:rsid w:val="00835634"/>
    <w:rsid w:val="00835A0F"/>
    <w:rsid w:val="00835AEB"/>
    <w:rsid w:val="008361F4"/>
    <w:rsid w:val="00837394"/>
    <w:rsid w:val="00837464"/>
    <w:rsid w:val="00837578"/>
    <w:rsid w:val="00837751"/>
    <w:rsid w:val="00837E0F"/>
    <w:rsid w:val="00840079"/>
    <w:rsid w:val="0084088A"/>
    <w:rsid w:val="00840B68"/>
    <w:rsid w:val="008414BE"/>
    <w:rsid w:val="008424B6"/>
    <w:rsid w:val="00842966"/>
    <w:rsid w:val="008429D1"/>
    <w:rsid w:val="00842A3A"/>
    <w:rsid w:val="008439A9"/>
    <w:rsid w:val="00844533"/>
    <w:rsid w:val="008448E6"/>
    <w:rsid w:val="008454D8"/>
    <w:rsid w:val="00845BC2"/>
    <w:rsid w:val="008460D9"/>
    <w:rsid w:val="00846971"/>
    <w:rsid w:val="008471B1"/>
    <w:rsid w:val="0084791D"/>
    <w:rsid w:val="008479F4"/>
    <w:rsid w:val="008515B1"/>
    <w:rsid w:val="00851701"/>
    <w:rsid w:val="00851948"/>
    <w:rsid w:val="00852BD7"/>
    <w:rsid w:val="00852CE2"/>
    <w:rsid w:val="0085317D"/>
    <w:rsid w:val="00853CF5"/>
    <w:rsid w:val="00853D62"/>
    <w:rsid w:val="0085414B"/>
    <w:rsid w:val="00854383"/>
    <w:rsid w:val="00854AC6"/>
    <w:rsid w:val="008555F2"/>
    <w:rsid w:val="00856B49"/>
    <w:rsid w:val="00860814"/>
    <w:rsid w:val="00860BF9"/>
    <w:rsid w:val="00860F21"/>
    <w:rsid w:val="0086117F"/>
    <w:rsid w:val="00861708"/>
    <w:rsid w:val="00861AF3"/>
    <w:rsid w:val="008628D7"/>
    <w:rsid w:val="0086335E"/>
    <w:rsid w:val="00863A63"/>
    <w:rsid w:val="00863B5F"/>
    <w:rsid w:val="00863E87"/>
    <w:rsid w:val="00864512"/>
    <w:rsid w:val="00864D82"/>
    <w:rsid w:val="00865AC9"/>
    <w:rsid w:val="008662C1"/>
    <w:rsid w:val="008663C0"/>
    <w:rsid w:val="008670E5"/>
    <w:rsid w:val="008672CD"/>
    <w:rsid w:val="0086731F"/>
    <w:rsid w:val="00867674"/>
    <w:rsid w:val="008676B4"/>
    <w:rsid w:val="00867D87"/>
    <w:rsid w:val="008719D0"/>
    <w:rsid w:val="00871D0F"/>
    <w:rsid w:val="0087212E"/>
    <w:rsid w:val="00874385"/>
    <w:rsid w:val="00874E46"/>
    <w:rsid w:val="0087551B"/>
    <w:rsid w:val="0087571D"/>
    <w:rsid w:val="00876603"/>
    <w:rsid w:val="0087713F"/>
    <w:rsid w:val="0087716F"/>
    <w:rsid w:val="008775C9"/>
    <w:rsid w:val="00877C74"/>
    <w:rsid w:val="00880619"/>
    <w:rsid w:val="0088071E"/>
    <w:rsid w:val="00880782"/>
    <w:rsid w:val="008813D9"/>
    <w:rsid w:val="00881D97"/>
    <w:rsid w:val="008825A2"/>
    <w:rsid w:val="00882D47"/>
    <w:rsid w:val="008839D9"/>
    <w:rsid w:val="0088428C"/>
    <w:rsid w:val="00886F53"/>
    <w:rsid w:val="008905EC"/>
    <w:rsid w:val="00890956"/>
    <w:rsid w:val="008909BD"/>
    <w:rsid w:val="00890CFE"/>
    <w:rsid w:val="00891006"/>
    <w:rsid w:val="00892147"/>
    <w:rsid w:val="008921A1"/>
    <w:rsid w:val="0089249B"/>
    <w:rsid w:val="008927CD"/>
    <w:rsid w:val="008953B0"/>
    <w:rsid w:val="008953D3"/>
    <w:rsid w:val="008955FE"/>
    <w:rsid w:val="00895DC9"/>
    <w:rsid w:val="0089691A"/>
    <w:rsid w:val="00896AC0"/>
    <w:rsid w:val="00896F31"/>
    <w:rsid w:val="00897717"/>
    <w:rsid w:val="00897AA1"/>
    <w:rsid w:val="008A0CDC"/>
    <w:rsid w:val="008A3769"/>
    <w:rsid w:val="008A3B89"/>
    <w:rsid w:val="008A3FC0"/>
    <w:rsid w:val="008A4235"/>
    <w:rsid w:val="008A4C32"/>
    <w:rsid w:val="008A6601"/>
    <w:rsid w:val="008A6620"/>
    <w:rsid w:val="008A6BD5"/>
    <w:rsid w:val="008A6EE1"/>
    <w:rsid w:val="008A73B8"/>
    <w:rsid w:val="008A75D4"/>
    <w:rsid w:val="008A7826"/>
    <w:rsid w:val="008A7E10"/>
    <w:rsid w:val="008B018E"/>
    <w:rsid w:val="008B04CF"/>
    <w:rsid w:val="008B096D"/>
    <w:rsid w:val="008B0A83"/>
    <w:rsid w:val="008B1156"/>
    <w:rsid w:val="008B125C"/>
    <w:rsid w:val="008B13E7"/>
    <w:rsid w:val="008B1663"/>
    <w:rsid w:val="008B194B"/>
    <w:rsid w:val="008B230D"/>
    <w:rsid w:val="008B26E2"/>
    <w:rsid w:val="008B2AFC"/>
    <w:rsid w:val="008B2D7E"/>
    <w:rsid w:val="008B2FA8"/>
    <w:rsid w:val="008B41A9"/>
    <w:rsid w:val="008B426F"/>
    <w:rsid w:val="008B6060"/>
    <w:rsid w:val="008B6598"/>
    <w:rsid w:val="008B790A"/>
    <w:rsid w:val="008C0167"/>
    <w:rsid w:val="008C14B3"/>
    <w:rsid w:val="008C14D4"/>
    <w:rsid w:val="008C2575"/>
    <w:rsid w:val="008C2977"/>
    <w:rsid w:val="008C371D"/>
    <w:rsid w:val="008C3DBE"/>
    <w:rsid w:val="008C434A"/>
    <w:rsid w:val="008C471B"/>
    <w:rsid w:val="008C4FEE"/>
    <w:rsid w:val="008C70C6"/>
    <w:rsid w:val="008D0A36"/>
    <w:rsid w:val="008D12ED"/>
    <w:rsid w:val="008D1AC5"/>
    <w:rsid w:val="008D2028"/>
    <w:rsid w:val="008D2339"/>
    <w:rsid w:val="008D2A84"/>
    <w:rsid w:val="008D2B6B"/>
    <w:rsid w:val="008D3A37"/>
    <w:rsid w:val="008D3F0F"/>
    <w:rsid w:val="008D41EB"/>
    <w:rsid w:val="008D49B9"/>
    <w:rsid w:val="008D52B2"/>
    <w:rsid w:val="008D5AC6"/>
    <w:rsid w:val="008D5F99"/>
    <w:rsid w:val="008D7424"/>
    <w:rsid w:val="008D7EDF"/>
    <w:rsid w:val="008D7F8E"/>
    <w:rsid w:val="008E061B"/>
    <w:rsid w:val="008E0636"/>
    <w:rsid w:val="008E0869"/>
    <w:rsid w:val="008E0AC5"/>
    <w:rsid w:val="008E1491"/>
    <w:rsid w:val="008E1AA3"/>
    <w:rsid w:val="008E2363"/>
    <w:rsid w:val="008E240E"/>
    <w:rsid w:val="008E259C"/>
    <w:rsid w:val="008E2847"/>
    <w:rsid w:val="008E2AB7"/>
    <w:rsid w:val="008E2BFF"/>
    <w:rsid w:val="008E5834"/>
    <w:rsid w:val="008E5CF0"/>
    <w:rsid w:val="008E6090"/>
    <w:rsid w:val="008E69F4"/>
    <w:rsid w:val="008E6F7D"/>
    <w:rsid w:val="008F1043"/>
    <w:rsid w:val="008F1E57"/>
    <w:rsid w:val="008F2070"/>
    <w:rsid w:val="008F24D3"/>
    <w:rsid w:val="008F2EDC"/>
    <w:rsid w:val="008F3932"/>
    <w:rsid w:val="008F459F"/>
    <w:rsid w:val="008F4DDA"/>
    <w:rsid w:val="008F55A1"/>
    <w:rsid w:val="008F7267"/>
    <w:rsid w:val="008F7954"/>
    <w:rsid w:val="009019B6"/>
    <w:rsid w:val="0090274F"/>
    <w:rsid w:val="009033F6"/>
    <w:rsid w:val="00903753"/>
    <w:rsid w:val="00903A56"/>
    <w:rsid w:val="00903D0D"/>
    <w:rsid w:val="00903E3C"/>
    <w:rsid w:val="0090491A"/>
    <w:rsid w:val="00904948"/>
    <w:rsid w:val="00904DA1"/>
    <w:rsid w:val="0090575F"/>
    <w:rsid w:val="00906094"/>
    <w:rsid w:val="00906507"/>
    <w:rsid w:val="00907C03"/>
    <w:rsid w:val="0091023E"/>
    <w:rsid w:val="0091061D"/>
    <w:rsid w:val="00910AF9"/>
    <w:rsid w:val="0091192A"/>
    <w:rsid w:val="00911F72"/>
    <w:rsid w:val="00913268"/>
    <w:rsid w:val="00913727"/>
    <w:rsid w:val="009143B7"/>
    <w:rsid w:val="00914F9A"/>
    <w:rsid w:val="009153FF"/>
    <w:rsid w:val="00915CA1"/>
    <w:rsid w:val="0091640F"/>
    <w:rsid w:val="009165B0"/>
    <w:rsid w:val="00916F45"/>
    <w:rsid w:val="009201FD"/>
    <w:rsid w:val="009203D7"/>
    <w:rsid w:val="009204C8"/>
    <w:rsid w:val="0092079F"/>
    <w:rsid w:val="00921186"/>
    <w:rsid w:val="00921607"/>
    <w:rsid w:val="00921AE8"/>
    <w:rsid w:val="00922572"/>
    <w:rsid w:val="00924815"/>
    <w:rsid w:val="009252E7"/>
    <w:rsid w:val="009259B4"/>
    <w:rsid w:val="00925B6E"/>
    <w:rsid w:val="00925CC5"/>
    <w:rsid w:val="00927962"/>
    <w:rsid w:val="00927CE0"/>
    <w:rsid w:val="0093025E"/>
    <w:rsid w:val="00930370"/>
    <w:rsid w:val="00930E4F"/>
    <w:rsid w:val="00930E95"/>
    <w:rsid w:val="00931CB7"/>
    <w:rsid w:val="00931EB5"/>
    <w:rsid w:val="00932906"/>
    <w:rsid w:val="009330ED"/>
    <w:rsid w:val="00933363"/>
    <w:rsid w:val="009334EE"/>
    <w:rsid w:val="00933887"/>
    <w:rsid w:val="00934263"/>
    <w:rsid w:val="009347C0"/>
    <w:rsid w:val="0093496E"/>
    <w:rsid w:val="00936AF4"/>
    <w:rsid w:val="00937402"/>
    <w:rsid w:val="00940B8F"/>
    <w:rsid w:val="00940E21"/>
    <w:rsid w:val="009411BA"/>
    <w:rsid w:val="00941399"/>
    <w:rsid w:val="009416BE"/>
    <w:rsid w:val="00942849"/>
    <w:rsid w:val="009428FB"/>
    <w:rsid w:val="0094315A"/>
    <w:rsid w:val="0094332B"/>
    <w:rsid w:val="0094351E"/>
    <w:rsid w:val="0094391F"/>
    <w:rsid w:val="009443A8"/>
    <w:rsid w:val="00945123"/>
    <w:rsid w:val="009456BB"/>
    <w:rsid w:val="0094699C"/>
    <w:rsid w:val="0094731E"/>
    <w:rsid w:val="0095016F"/>
    <w:rsid w:val="00950D4B"/>
    <w:rsid w:val="00951203"/>
    <w:rsid w:val="00951263"/>
    <w:rsid w:val="009513F9"/>
    <w:rsid w:val="00952695"/>
    <w:rsid w:val="009531AA"/>
    <w:rsid w:val="009534A0"/>
    <w:rsid w:val="0095450C"/>
    <w:rsid w:val="009551E0"/>
    <w:rsid w:val="0095541B"/>
    <w:rsid w:val="009554EE"/>
    <w:rsid w:val="00955AF5"/>
    <w:rsid w:val="00956A2B"/>
    <w:rsid w:val="009570B1"/>
    <w:rsid w:val="00957DC7"/>
    <w:rsid w:val="00960017"/>
    <w:rsid w:val="0096014A"/>
    <w:rsid w:val="009603B4"/>
    <w:rsid w:val="00961E2C"/>
    <w:rsid w:val="00962A85"/>
    <w:rsid w:val="00962D96"/>
    <w:rsid w:val="00962DD6"/>
    <w:rsid w:val="0096304E"/>
    <w:rsid w:val="00963573"/>
    <w:rsid w:val="00963C14"/>
    <w:rsid w:val="00963D62"/>
    <w:rsid w:val="009647DB"/>
    <w:rsid w:val="00965192"/>
    <w:rsid w:val="0096571B"/>
    <w:rsid w:val="00965B07"/>
    <w:rsid w:val="00965D65"/>
    <w:rsid w:val="00966493"/>
    <w:rsid w:val="009666EA"/>
    <w:rsid w:val="0096676F"/>
    <w:rsid w:val="00966A3F"/>
    <w:rsid w:val="00966DC3"/>
    <w:rsid w:val="009671F7"/>
    <w:rsid w:val="009673E1"/>
    <w:rsid w:val="00970731"/>
    <w:rsid w:val="009707A3"/>
    <w:rsid w:val="00970BAD"/>
    <w:rsid w:val="00971989"/>
    <w:rsid w:val="00971D17"/>
    <w:rsid w:val="00971FF0"/>
    <w:rsid w:val="00972313"/>
    <w:rsid w:val="00973FE4"/>
    <w:rsid w:val="00975117"/>
    <w:rsid w:val="00975950"/>
    <w:rsid w:val="00975B9B"/>
    <w:rsid w:val="00975C38"/>
    <w:rsid w:val="009771A1"/>
    <w:rsid w:val="00977678"/>
    <w:rsid w:val="009807C6"/>
    <w:rsid w:val="00980C03"/>
    <w:rsid w:val="00980C7E"/>
    <w:rsid w:val="00980C84"/>
    <w:rsid w:val="00983309"/>
    <w:rsid w:val="00983343"/>
    <w:rsid w:val="00983E5E"/>
    <w:rsid w:val="0098401A"/>
    <w:rsid w:val="009846BD"/>
    <w:rsid w:val="0098505D"/>
    <w:rsid w:val="0098686C"/>
    <w:rsid w:val="00991232"/>
    <w:rsid w:val="009917E6"/>
    <w:rsid w:val="009920CA"/>
    <w:rsid w:val="00993DA9"/>
    <w:rsid w:val="009955EC"/>
    <w:rsid w:val="00997D47"/>
    <w:rsid w:val="00997FB7"/>
    <w:rsid w:val="009A010F"/>
    <w:rsid w:val="009A040F"/>
    <w:rsid w:val="009A0579"/>
    <w:rsid w:val="009A1759"/>
    <w:rsid w:val="009A3767"/>
    <w:rsid w:val="009A44EE"/>
    <w:rsid w:val="009A5B80"/>
    <w:rsid w:val="009B10C2"/>
    <w:rsid w:val="009B1D8A"/>
    <w:rsid w:val="009B2C1E"/>
    <w:rsid w:val="009B2D05"/>
    <w:rsid w:val="009B37F0"/>
    <w:rsid w:val="009B3873"/>
    <w:rsid w:val="009B3BFD"/>
    <w:rsid w:val="009B3C61"/>
    <w:rsid w:val="009B427C"/>
    <w:rsid w:val="009B4405"/>
    <w:rsid w:val="009B4471"/>
    <w:rsid w:val="009B45DD"/>
    <w:rsid w:val="009B4745"/>
    <w:rsid w:val="009B6E3B"/>
    <w:rsid w:val="009B7264"/>
    <w:rsid w:val="009B72A2"/>
    <w:rsid w:val="009C031A"/>
    <w:rsid w:val="009C03D8"/>
    <w:rsid w:val="009C0531"/>
    <w:rsid w:val="009C1248"/>
    <w:rsid w:val="009C1286"/>
    <w:rsid w:val="009C144E"/>
    <w:rsid w:val="009C1A0A"/>
    <w:rsid w:val="009C2946"/>
    <w:rsid w:val="009C63F0"/>
    <w:rsid w:val="009C6903"/>
    <w:rsid w:val="009C762C"/>
    <w:rsid w:val="009D0430"/>
    <w:rsid w:val="009D0665"/>
    <w:rsid w:val="009D07C6"/>
    <w:rsid w:val="009D0AF8"/>
    <w:rsid w:val="009D14F5"/>
    <w:rsid w:val="009D1BEC"/>
    <w:rsid w:val="009D3AC5"/>
    <w:rsid w:val="009D4029"/>
    <w:rsid w:val="009D4F29"/>
    <w:rsid w:val="009D4FF7"/>
    <w:rsid w:val="009D5418"/>
    <w:rsid w:val="009D554B"/>
    <w:rsid w:val="009D5C1E"/>
    <w:rsid w:val="009D65C3"/>
    <w:rsid w:val="009D693A"/>
    <w:rsid w:val="009D73F1"/>
    <w:rsid w:val="009E01D6"/>
    <w:rsid w:val="009E14B5"/>
    <w:rsid w:val="009E17D5"/>
    <w:rsid w:val="009E2698"/>
    <w:rsid w:val="009E2881"/>
    <w:rsid w:val="009E3359"/>
    <w:rsid w:val="009E3521"/>
    <w:rsid w:val="009E435D"/>
    <w:rsid w:val="009E4F25"/>
    <w:rsid w:val="009E54EF"/>
    <w:rsid w:val="009E5B74"/>
    <w:rsid w:val="009E60F7"/>
    <w:rsid w:val="009E6454"/>
    <w:rsid w:val="009E648E"/>
    <w:rsid w:val="009E7C20"/>
    <w:rsid w:val="009E7E92"/>
    <w:rsid w:val="009F077B"/>
    <w:rsid w:val="009F2AA2"/>
    <w:rsid w:val="009F2DE1"/>
    <w:rsid w:val="009F2EB4"/>
    <w:rsid w:val="009F2FA5"/>
    <w:rsid w:val="009F4D3C"/>
    <w:rsid w:val="009F6B17"/>
    <w:rsid w:val="00A004B8"/>
    <w:rsid w:val="00A00ABB"/>
    <w:rsid w:val="00A01FAB"/>
    <w:rsid w:val="00A02489"/>
    <w:rsid w:val="00A030AC"/>
    <w:rsid w:val="00A03214"/>
    <w:rsid w:val="00A04499"/>
    <w:rsid w:val="00A044B7"/>
    <w:rsid w:val="00A04DFE"/>
    <w:rsid w:val="00A04F5F"/>
    <w:rsid w:val="00A05EDA"/>
    <w:rsid w:val="00A067C7"/>
    <w:rsid w:val="00A10AF6"/>
    <w:rsid w:val="00A1107B"/>
    <w:rsid w:val="00A11B2F"/>
    <w:rsid w:val="00A1206A"/>
    <w:rsid w:val="00A138E5"/>
    <w:rsid w:val="00A14C51"/>
    <w:rsid w:val="00A15370"/>
    <w:rsid w:val="00A15561"/>
    <w:rsid w:val="00A1622F"/>
    <w:rsid w:val="00A16AD8"/>
    <w:rsid w:val="00A17188"/>
    <w:rsid w:val="00A171EC"/>
    <w:rsid w:val="00A1756A"/>
    <w:rsid w:val="00A2128D"/>
    <w:rsid w:val="00A227BD"/>
    <w:rsid w:val="00A2280A"/>
    <w:rsid w:val="00A22AE2"/>
    <w:rsid w:val="00A230F9"/>
    <w:rsid w:val="00A234B0"/>
    <w:rsid w:val="00A237C0"/>
    <w:rsid w:val="00A23846"/>
    <w:rsid w:val="00A24140"/>
    <w:rsid w:val="00A2541E"/>
    <w:rsid w:val="00A261EB"/>
    <w:rsid w:val="00A26590"/>
    <w:rsid w:val="00A2666D"/>
    <w:rsid w:val="00A274D2"/>
    <w:rsid w:val="00A275A1"/>
    <w:rsid w:val="00A27676"/>
    <w:rsid w:val="00A301E9"/>
    <w:rsid w:val="00A303A0"/>
    <w:rsid w:val="00A30901"/>
    <w:rsid w:val="00A309CA"/>
    <w:rsid w:val="00A314A5"/>
    <w:rsid w:val="00A3156A"/>
    <w:rsid w:val="00A315F4"/>
    <w:rsid w:val="00A3170D"/>
    <w:rsid w:val="00A3197A"/>
    <w:rsid w:val="00A31C68"/>
    <w:rsid w:val="00A33840"/>
    <w:rsid w:val="00A3467F"/>
    <w:rsid w:val="00A34734"/>
    <w:rsid w:val="00A348A4"/>
    <w:rsid w:val="00A34984"/>
    <w:rsid w:val="00A35398"/>
    <w:rsid w:val="00A36602"/>
    <w:rsid w:val="00A3663A"/>
    <w:rsid w:val="00A3766F"/>
    <w:rsid w:val="00A37EAF"/>
    <w:rsid w:val="00A408F6"/>
    <w:rsid w:val="00A40DE8"/>
    <w:rsid w:val="00A40EF9"/>
    <w:rsid w:val="00A41154"/>
    <w:rsid w:val="00A411CD"/>
    <w:rsid w:val="00A41CDE"/>
    <w:rsid w:val="00A42154"/>
    <w:rsid w:val="00A422CF"/>
    <w:rsid w:val="00A4243B"/>
    <w:rsid w:val="00A42624"/>
    <w:rsid w:val="00A42DB4"/>
    <w:rsid w:val="00A42F5A"/>
    <w:rsid w:val="00A4390E"/>
    <w:rsid w:val="00A4426B"/>
    <w:rsid w:val="00A446C5"/>
    <w:rsid w:val="00A447E1"/>
    <w:rsid w:val="00A44EAC"/>
    <w:rsid w:val="00A45034"/>
    <w:rsid w:val="00A458DE"/>
    <w:rsid w:val="00A45E2E"/>
    <w:rsid w:val="00A469E8"/>
    <w:rsid w:val="00A475AA"/>
    <w:rsid w:val="00A47B6F"/>
    <w:rsid w:val="00A50972"/>
    <w:rsid w:val="00A50DC7"/>
    <w:rsid w:val="00A50F84"/>
    <w:rsid w:val="00A51926"/>
    <w:rsid w:val="00A526FC"/>
    <w:rsid w:val="00A52AEA"/>
    <w:rsid w:val="00A54D00"/>
    <w:rsid w:val="00A55C49"/>
    <w:rsid w:val="00A57079"/>
    <w:rsid w:val="00A57248"/>
    <w:rsid w:val="00A572B5"/>
    <w:rsid w:val="00A5743A"/>
    <w:rsid w:val="00A57585"/>
    <w:rsid w:val="00A57A78"/>
    <w:rsid w:val="00A60117"/>
    <w:rsid w:val="00A61547"/>
    <w:rsid w:val="00A6154F"/>
    <w:rsid w:val="00A61DD7"/>
    <w:rsid w:val="00A62147"/>
    <w:rsid w:val="00A62D9D"/>
    <w:rsid w:val="00A62F55"/>
    <w:rsid w:val="00A63AEB"/>
    <w:rsid w:val="00A63D90"/>
    <w:rsid w:val="00A64003"/>
    <w:rsid w:val="00A64484"/>
    <w:rsid w:val="00A6468F"/>
    <w:rsid w:val="00A648A0"/>
    <w:rsid w:val="00A64B57"/>
    <w:rsid w:val="00A65FFD"/>
    <w:rsid w:val="00A6609A"/>
    <w:rsid w:val="00A66220"/>
    <w:rsid w:val="00A66CC7"/>
    <w:rsid w:val="00A67366"/>
    <w:rsid w:val="00A67CFB"/>
    <w:rsid w:val="00A67F4F"/>
    <w:rsid w:val="00A70404"/>
    <w:rsid w:val="00A70C6F"/>
    <w:rsid w:val="00A71048"/>
    <w:rsid w:val="00A71211"/>
    <w:rsid w:val="00A7236D"/>
    <w:rsid w:val="00A7259C"/>
    <w:rsid w:val="00A727C8"/>
    <w:rsid w:val="00A72C06"/>
    <w:rsid w:val="00A733F0"/>
    <w:rsid w:val="00A739D7"/>
    <w:rsid w:val="00A73DE4"/>
    <w:rsid w:val="00A751F0"/>
    <w:rsid w:val="00A7528A"/>
    <w:rsid w:val="00A7621B"/>
    <w:rsid w:val="00A768A9"/>
    <w:rsid w:val="00A769F8"/>
    <w:rsid w:val="00A77C7A"/>
    <w:rsid w:val="00A81266"/>
    <w:rsid w:val="00A81A8F"/>
    <w:rsid w:val="00A8363A"/>
    <w:rsid w:val="00A8377E"/>
    <w:rsid w:val="00A838CB"/>
    <w:rsid w:val="00A844E6"/>
    <w:rsid w:val="00A848D0"/>
    <w:rsid w:val="00A850BC"/>
    <w:rsid w:val="00A858DC"/>
    <w:rsid w:val="00A8611E"/>
    <w:rsid w:val="00A86229"/>
    <w:rsid w:val="00A8678E"/>
    <w:rsid w:val="00A86A24"/>
    <w:rsid w:val="00A86ABA"/>
    <w:rsid w:val="00A903C6"/>
    <w:rsid w:val="00A91689"/>
    <w:rsid w:val="00A9287A"/>
    <w:rsid w:val="00A92B1E"/>
    <w:rsid w:val="00A93330"/>
    <w:rsid w:val="00A9461C"/>
    <w:rsid w:val="00A94776"/>
    <w:rsid w:val="00A95427"/>
    <w:rsid w:val="00A958B2"/>
    <w:rsid w:val="00A960A3"/>
    <w:rsid w:val="00A96BE8"/>
    <w:rsid w:val="00A96D1F"/>
    <w:rsid w:val="00A976C2"/>
    <w:rsid w:val="00A9784E"/>
    <w:rsid w:val="00AA1748"/>
    <w:rsid w:val="00AA1885"/>
    <w:rsid w:val="00AA18C5"/>
    <w:rsid w:val="00AA1BE6"/>
    <w:rsid w:val="00AA223B"/>
    <w:rsid w:val="00AA2737"/>
    <w:rsid w:val="00AA3ADD"/>
    <w:rsid w:val="00AA4F0A"/>
    <w:rsid w:val="00AA4FAB"/>
    <w:rsid w:val="00AA5003"/>
    <w:rsid w:val="00AA50E4"/>
    <w:rsid w:val="00AA56AB"/>
    <w:rsid w:val="00AA56C9"/>
    <w:rsid w:val="00AA5755"/>
    <w:rsid w:val="00AA6057"/>
    <w:rsid w:val="00AA78F6"/>
    <w:rsid w:val="00AA7A32"/>
    <w:rsid w:val="00AB02E7"/>
    <w:rsid w:val="00AB0676"/>
    <w:rsid w:val="00AB1719"/>
    <w:rsid w:val="00AB1CB8"/>
    <w:rsid w:val="00AB22C4"/>
    <w:rsid w:val="00AB2590"/>
    <w:rsid w:val="00AB391D"/>
    <w:rsid w:val="00AB43FD"/>
    <w:rsid w:val="00AB4759"/>
    <w:rsid w:val="00AB55BF"/>
    <w:rsid w:val="00AB5DD9"/>
    <w:rsid w:val="00AB65F1"/>
    <w:rsid w:val="00AB7533"/>
    <w:rsid w:val="00AB7A45"/>
    <w:rsid w:val="00AB7C86"/>
    <w:rsid w:val="00AC032A"/>
    <w:rsid w:val="00AC0E5F"/>
    <w:rsid w:val="00AC1226"/>
    <w:rsid w:val="00AC140C"/>
    <w:rsid w:val="00AC1451"/>
    <w:rsid w:val="00AC22D5"/>
    <w:rsid w:val="00AC413A"/>
    <w:rsid w:val="00AC46BB"/>
    <w:rsid w:val="00AC4C60"/>
    <w:rsid w:val="00AC4D16"/>
    <w:rsid w:val="00AC5421"/>
    <w:rsid w:val="00AC5BAB"/>
    <w:rsid w:val="00AC5FD7"/>
    <w:rsid w:val="00AC6A02"/>
    <w:rsid w:val="00AC6A8C"/>
    <w:rsid w:val="00AC6C92"/>
    <w:rsid w:val="00AC739E"/>
    <w:rsid w:val="00AC76CE"/>
    <w:rsid w:val="00AD056C"/>
    <w:rsid w:val="00AD0645"/>
    <w:rsid w:val="00AD10C1"/>
    <w:rsid w:val="00AD177D"/>
    <w:rsid w:val="00AD1F2A"/>
    <w:rsid w:val="00AD1F6E"/>
    <w:rsid w:val="00AD20E4"/>
    <w:rsid w:val="00AD3176"/>
    <w:rsid w:val="00AD3C18"/>
    <w:rsid w:val="00AD4083"/>
    <w:rsid w:val="00AD4638"/>
    <w:rsid w:val="00AD4853"/>
    <w:rsid w:val="00AD4862"/>
    <w:rsid w:val="00AD51C0"/>
    <w:rsid w:val="00AD693A"/>
    <w:rsid w:val="00AD6B9C"/>
    <w:rsid w:val="00AE0FDA"/>
    <w:rsid w:val="00AE10A7"/>
    <w:rsid w:val="00AE161F"/>
    <w:rsid w:val="00AE1D30"/>
    <w:rsid w:val="00AE23B9"/>
    <w:rsid w:val="00AE3230"/>
    <w:rsid w:val="00AE3CBE"/>
    <w:rsid w:val="00AE46C3"/>
    <w:rsid w:val="00AE483B"/>
    <w:rsid w:val="00AE4EDA"/>
    <w:rsid w:val="00AE5392"/>
    <w:rsid w:val="00AE605F"/>
    <w:rsid w:val="00AF01AC"/>
    <w:rsid w:val="00AF0816"/>
    <w:rsid w:val="00AF0BCA"/>
    <w:rsid w:val="00AF0F15"/>
    <w:rsid w:val="00AF0F71"/>
    <w:rsid w:val="00AF1763"/>
    <w:rsid w:val="00AF1782"/>
    <w:rsid w:val="00AF2A60"/>
    <w:rsid w:val="00AF2FCE"/>
    <w:rsid w:val="00AF3F41"/>
    <w:rsid w:val="00AF4B6D"/>
    <w:rsid w:val="00AF56B0"/>
    <w:rsid w:val="00AF6C28"/>
    <w:rsid w:val="00AF704F"/>
    <w:rsid w:val="00AF7C78"/>
    <w:rsid w:val="00B005D4"/>
    <w:rsid w:val="00B0128C"/>
    <w:rsid w:val="00B01E41"/>
    <w:rsid w:val="00B01E90"/>
    <w:rsid w:val="00B02316"/>
    <w:rsid w:val="00B0297B"/>
    <w:rsid w:val="00B02B57"/>
    <w:rsid w:val="00B03BA2"/>
    <w:rsid w:val="00B03DD6"/>
    <w:rsid w:val="00B046E7"/>
    <w:rsid w:val="00B049F3"/>
    <w:rsid w:val="00B04A40"/>
    <w:rsid w:val="00B05069"/>
    <w:rsid w:val="00B055AD"/>
    <w:rsid w:val="00B056AF"/>
    <w:rsid w:val="00B056B2"/>
    <w:rsid w:val="00B0595A"/>
    <w:rsid w:val="00B05C45"/>
    <w:rsid w:val="00B06317"/>
    <w:rsid w:val="00B06E3F"/>
    <w:rsid w:val="00B0743C"/>
    <w:rsid w:val="00B0756B"/>
    <w:rsid w:val="00B0783D"/>
    <w:rsid w:val="00B1049E"/>
    <w:rsid w:val="00B1055B"/>
    <w:rsid w:val="00B10D2C"/>
    <w:rsid w:val="00B118FC"/>
    <w:rsid w:val="00B12A19"/>
    <w:rsid w:val="00B1361C"/>
    <w:rsid w:val="00B1397A"/>
    <w:rsid w:val="00B13A92"/>
    <w:rsid w:val="00B13F59"/>
    <w:rsid w:val="00B14150"/>
    <w:rsid w:val="00B14D7A"/>
    <w:rsid w:val="00B15086"/>
    <w:rsid w:val="00B15258"/>
    <w:rsid w:val="00B1574C"/>
    <w:rsid w:val="00B1587A"/>
    <w:rsid w:val="00B161D9"/>
    <w:rsid w:val="00B163D4"/>
    <w:rsid w:val="00B164DD"/>
    <w:rsid w:val="00B16AFB"/>
    <w:rsid w:val="00B1790D"/>
    <w:rsid w:val="00B20B82"/>
    <w:rsid w:val="00B215C1"/>
    <w:rsid w:val="00B2200A"/>
    <w:rsid w:val="00B2304D"/>
    <w:rsid w:val="00B23757"/>
    <w:rsid w:val="00B2392B"/>
    <w:rsid w:val="00B247F6"/>
    <w:rsid w:val="00B25307"/>
    <w:rsid w:val="00B2549E"/>
    <w:rsid w:val="00B26556"/>
    <w:rsid w:val="00B26AD4"/>
    <w:rsid w:val="00B270E7"/>
    <w:rsid w:val="00B276A4"/>
    <w:rsid w:val="00B3016D"/>
    <w:rsid w:val="00B308DF"/>
    <w:rsid w:val="00B31A03"/>
    <w:rsid w:val="00B31AA1"/>
    <w:rsid w:val="00B3201C"/>
    <w:rsid w:val="00B3265F"/>
    <w:rsid w:val="00B326CD"/>
    <w:rsid w:val="00B330DC"/>
    <w:rsid w:val="00B3351F"/>
    <w:rsid w:val="00B33F07"/>
    <w:rsid w:val="00B34CEE"/>
    <w:rsid w:val="00B35AB5"/>
    <w:rsid w:val="00B371AD"/>
    <w:rsid w:val="00B40009"/>
    <w:rsid w:val="00B40074"/>
    <w:rsid w:val="00B402FD"/>
    <w:rsid w:val="00B40445"/>
    <w:rsid w:val="00B40951"/>
    <w:rsid w:val="00B40E85"/>
    <w:rsid w:val="00B40F6B"/>
    <w:rsid w:val="00B41364"/>
    <w:rsid w:val="00B41FC8"/>
    <w:rsid w:val="00B42789"/>
    <w:rsid w:val="00B428B2"/>
    <w:rsid w:val="00B4328A"/>
    <w:rsid w:val="00B43668"/>
    <w:rsid w:val="00B43975"/>
    <w:rsid w:val="00B43DFE"/>
    <w:rsid w:val="00B4416E"/>
    <w:rsid w:val="00B45D74"/>
    <w:rsid w:val="00B47B4F"/>
    <w:rsid w:val="00B51956"/>
    <w:rsid w:val="00B529FB"/>
    <w:rsid w:val="00B53D83"/>
    <w:rsid w:val="00B54010"/>
    <w:rsid w:val="00B54F48"/>
    <w:rsid w:val="00B54FA7"/>
    <w:rsid w:val="00B5560D"/>
    <w:rsid w:val="00B5637C"/>
    <w:rsid w:val="00B5745F"/>
    <w:rsid w:val="00B57B35"/>
    <w:rsid w:val="00B61C68"/>
    <w:rsid w:val="00B61E0D"/>
    <w:rsid w:val="00B61FC6"/>
    <w:rsid w:val="00B61FF8"/>
    <w:rsid w:val="00B62A8C"/>
    <w:rsid w:val="00B62B8E"/>
    <w:rsid w:val="00B63A31"/>
    <w:rsid w:val="00B63E9C"/>
    <w:rsid w:val="00B6441C"/>
    <w:rsid w:val="00B646B3"/>
    <w:rsid w:val="00B648A7"/>
    <w:rsid w:val="00B64D0B"/>
    <w:rsid w:val="00B65681"/>
    <w:rsid w:val="00B65924"/>
    <w:rsid w:val="00B673DC"/>
    <w:rsid w:val="00B67432"/>
    <w:rsid w:val="00B70ACE"/>
    <w:rsid w:val="00B71D2E"/>
    <w:rsid w:val="00B72108"/>
    <w:rsid w:val="00B7228F"/>
    <w:rsid w:val="00B7240B"/>
    <w:rsid w:val="00B7273F"/>
    <w:rsid w:val="00B73A2D"/>
    <w:rsid w:val="00B73AD8"/>
    <w:rsid w:val="00B74833"/>
    <w:rsid w:val="00B74BBA"/>
    <w:rsid w:val="00B75C99"/>
    <w:rsid w:val="00B76A99"/>
    <w:rsid w:val="00B7799A"/>
    <w:rsid w:val="00B80DFD"/>
    <w:rsid w:val="00B81617"/>
    <w:rsid w:val="00B829C2"/>
    <w:rsid w:val="00B82CB5"/>
    <w:rsid w:val="00B83069"/>
    <w:rsid w:val="00B842EA"/>
    <w:rsid w:val="00B84CEB"/>
    <w:rsid w:val="00B85140"/>
    <w:rsid w:val="00B8675E"/>
    <w:rsid w:val="00B86968"/>
    <w:rsid w:val="00B87745"/>
    <w:rsid w:val="00B901EC"/>
    <w:rsid w:val="00B9135A"/>
    <w:rsid w:val="00B91EBE"/>
    <w:rsid w:val="00B921D3"/>
    <w:rsid w:val="00B9328C"/>
    <w:rsid w:val="00B94AAF"/>
    <w:rsid w:val="00B94F77"/>
    <w:rsid w:val="00B954CD"/>
    <w:rsid w:val="00B96093"/>
    <w:rsid w:val="00B963D9"/>
    <w:rsid w:val="00B96D50"/>
    <w:rsid w:val="00B97441"/>
    <w:rsid w:val="00B97C51"/>
    <w:rsid w:val="00BA06E1"/>
    <w:rsid w:val="00BA0DC1"/>
    <w:rsid w:val="00BA180B"/>
    <w:rsid w:val="00BA1C94"/>
    <w:rsid w:val="00BA2634"/>
    <w:rsid w:val="00BA43FE"/>
    <w:rsid w:val="00BA46D1"/>
    <w:rsid w:val="00BA4C87"/>
    <w:rsid w:val="00BA6A98"/>
    <w:rsid w:val="00BA773C"/>
    <w:rsid w:val="00BA7EE5"/>
    <w:rsid w:val="00BB149E"/>
    <w:rsid w:val="00BB1767"/>
    <w:rsid w:val="00BB2955"/>
    <w:rsid w:val="00BB2E09"/>
    <w:rsid w:val="00BB3567"/>
    <w:rsid w:val="00BB3DDA"/>
    <w:rsid w:val="00BB3E76"/>
    <w:rsid w:val="00BB4679"/>
    <w:rsid w:val="00BB6810"/>
    <w:rsid w:val="00BB6DC9"/>
    <w:rsid w:val="00BB715E"/>
    <w:rsid w:val="00BB72A3"/>
    <w:rsid w:val="00BB78C5"/>
    <w:rsid w:val="00BB78D5"/>
    <w:rsid w:val="00BC1E80"/>
    <w:rsid w:val="00BC29DB"/>
    <w:rsid w:val="00BC2CE8"/>
    <w:rsid w:val="00BC2DF5"/>
    <w:rsid w:val="00BC30F4"/>
    <w:rsid w:val="00BC3464"/>
    <w:rsid w:val="00BC356C"/>
    <w:rsid w:val="00BC386E"/>
    <w:rsid w:val="00BC469D"/>
    <w:rsid w:val="00BC46FB"/>
    <w:rsid w:val="00BC4AAE"/>
    <w:rsid w:val="00BC4FB5"/>
    <w:rsid w:val="00BC544B"/>
    <w:rsid w:val="00BC73E3"/>
    <w:rsid w:val="00BC7792"/>
    <w:rsid w:val="00BC7B78"/>
    <w:rsid w:val="00BC7F1C"/>
    <w:rsid w:val="00BD030D"/>
    <w:rsid w:val="00BD03D4"/>
    <w:rsid w:val="00BD059C"/>
    <w:rsid w:val="00BD078E"/>
    <w:rsid w:val="00BD07C1"/>
    <w:rsid w:val="00BD1729"/>
    <w:rsid w:val="00BD1E34"/>
    <w:rsid w:val="00BD2123"/>
    <w:rsid w:val="00BD234A"/>
    <w:rsid w:val="00BD243E"/>
    <w:rsid w:val="00BD3B9B"/>
    <w:rsid w:val="00BD4C6E"/>
    <w:rsid w:val="00BD688B"/>
    <w:rsid w:val="00BD6F93"/>
    <w:rsid w:val="00BD7964"/>
    <w:rsid w:val="00BD7F0E"/>
    <w:rsid w:val="00BE006D"/>
    <w:rsid w:val="00BE04F6"/>
    <w:rsid w:val="00BE20BE"/>
    <w:rsid w:val="00BE3244"/>
    <w:rsid w:val="00BE36F4"/>
    <w:rsid w:val="00BE377C"/>
    <w:rsid w:val="00BE425C"/>
    <w:rsid w:val="00BE6280"/>
    <w:rsid w:val="00BE62F1"/>
    <w:rsid w:val="00BE7908"/>
    <w:rsid w:val="00BF085E"/>
    <w:rsid w:val="00BF0D6B"/>
    <w:rsid w:val="00BF12F7"/>
    <w:rsid w:val="00BF232F"/>
    <w:rsid w:val="00BF2B14"/>
    <w:rsid w:val="00BF3D86"/>
    <w:rsid w:val="00BF4FC6"/>
    <w:rsid w:val="00BF5043"/>
    <w:rsid w:val="00BF52A1"/>
    <w:rsid w:val="00BF5686"/>
    <w:rsid w:val="00BF75DD"/>
    <w:rsid w:val="00BF7662"/>
    <w:rsid w:val="00BF7B0C"/>
    <w:rsid w:val="00BF7C36"/>
    <w:rsid w:val="00BF7E62"/>
    <w:rsid w:val="00C012A6"/>
    <w:rsid w:val="00C0199F"/>
    <w:rsid w:val="00C01A38"/>
    <w:rsid w:val="00C01B74"/>
    <w:rsid w:val="00C02646"/>
    <w:rsid w:val="00C028C8"/>
    <w:rsid w:val="00C03D95"/>
    <w:rsid w:val="00C041C4"/>
    <w:rsid w:val="00C04A75"/>
    <w:rsid w:val="00C04FFA"/>
    <w:rsid w:val="00C05B9A"/>
    <w:rsid w:val="00C0623F"/>
    <w:rsid w:val="00C10921"/>
    <w:rsid w:val="00C10DCB"/>
    <w:rsid w:val="00C10F95"/>
    <w:rsid w:val="00C12DF8"/>
    <w:rsid w:val="00C12F53"/>
    <w:rsid w:val="00C1332E"/>
    <w:rsid w:val="00C1348F"/>
    <w:rsid w:val="00C14025"/>
    <w:rsid w:val="00C15227"/>
    <w:rsid w:val="00C156E7"/>
    <w:rsid w:val="00C16546"/>
    <w:rsid w:val="00C16ABC"/>
    <w:rsid w:val="00C16E56"/>
    <w:rsid w:val="00C17E57"/>
    <w:rsid w:val="00C209AE"/>
    <w:rsid w:val="00C20B65"/>
    <w:rsid w:val="00C21019"/>
    <w:rsid w:val="00C21B40"/>
    <w:rsid w:val="00C21F42"/>
    <w:rsid w:val="00C22897"/>
    <w:rsid w:val="00C22DAC"/>
    <w:rsid w:val="00C231EA"/>
    <w:rsid w:val="00C2374B"/>
    <w:rsid w:val="00C238B4"/>
    <w:rsid w:val="00C23CC6"/>
    <w:rsid w:val="00C2406F"/>
    <w:rsid w:val="00C24417"/>
    <w:rsid w:val="00C24543"/>
    <w:rsid w:val="00C25490"/>
    <w:rsid w:val="00C254CE"/>
    <w:rsid w:val="00C25AA6"/>
    <w:rsid w:val="00C25C5B"/>
    <w:rsid w:val="00C25F4F"/>
    <w:rsid w:val="00C30F55"/>
    <w:rsid w:val="00C31335"/>
    <w:rsid w:val="00C31B4E"/>
    <w:rsid w:val="00C3261A"/>
    <w:rsid w:val="00C32B5E"/>
    <w:rsid w:val="00C32BD0"/>
    <w:rsid w:val="00C32CCD"/>
    <w:rsid w:val="00C3372C"/>
    <w:rsid w:val="00C33C84"/>
    <w:rsid w:val="00C346DC"/>
    <w:rsid w:val="00C34F2C"/>
    <w:rsid w:val="00C350BD"/>
    <w:rsid w:val="00C35457"/>
    <w:rsid w:val="00C3639C"/>
    <w:rsid w:val="00C36A99"/>
    <w:rsid w:val="00C37817"/>
    <w:rsid w:val="00C4100C"/>
    <w:rsid w:val="00C4191A"/>
    <w:rsid w:val="00C42381"/>
    <w:rsid w:val="00C4253A"/>
    <w:rsid w:val="00C42877"/>
    <w:rsid w:val="00C432E1"/>
    <w:rsid w:val="00C43C2C"/>
    <w:rsid w:val="00C4406F"/>
    <w:rsid w:val="00C4421B"/>
    <w:rsid w:val="00C44EB2"/>
    <w:rsid w:val="00C452A6"/>
    <w:rsid w:val="00C45DF7"/>
    <w:rsid w:val="00C45EAE"/>
    <w:rsid w:val="00C46131"/>
    <w:rsid w:val="00C46AEA"/>
    <w:rsid w:val="00C47A8D"/>
    <w:rsid w:val="00C500B8"/>
    <w:rsid w:val="00C501A0"/>
    <w:rsid w:val="00C501D9"/>
    <w:rsid w:val="00C501DF"/>
    <w:rsid w:val="00C51445"/>
    <w:rsid w:val="00C526B7"/>
    <w:rsid w:val="00C537F2"/>
    <w:rsid w:val="00C53883"/>
    <w:rsid w:val="00C539C8"/>
    <w:rsid w:val="00C547CD"/>
    <w:rsid w:val="00C54DB7"/>
    <w:rsid w:val="00C5569E"/>
    <w:rsid w:val="00C559EA"/>
    <w:rsid w:val="00C560B9"/>
    <w:rsid w:val="00C56160"/>
    <w:rsid w:val="00C56454"/>
    <w:rsid w:val="00C60083"/>
    <w:rsid w:val="00C60AD6"/>
    <w:rsid w:val="00C61B53"/>
    <w:rsid w:val="00C61C47"/>
    <w:rsid w:val="00C61C90"/>
    <w:rsid w:val="00C61D62"/>
    <w:rsid w:val="00C6242F"/>
    <w:rsid w:val="00C628E9"/>
    <w:rsid w:val="00C62D9B"/>
    <w:rsid w:val="00C6315C"/>
    <w:rsid w:val="00C6385E"/>
    <w:rsid w:val="00C64E08"/>
    <w:rsid w:val="00C64ED8"/>
    <w:rsid w:val="00C659AD"/>
    <w:rsid w:val="00C6612F"/>
    <w:rsid w:val="00C664A7"/>
    <w:rsid w:val="00C66993"/>
    <w:rsid w:val="00C670D6"/>
    <w:rsid w:val="00C67C7E"/>
    <w:rsid w:val="00C70E16"/>
    <w:rsid w:val="00C714B7"/>
    <w:rsid w:val="00C718B8"/>
    <w:rsid w:val="00C722C7"/>
    <w:rsid w:val="00C73940"/>
    <w:rsid w:val="00C73943"/>
    <w:rsid w:val="00C74F51"/>
    <w:rsid w:val="00C76349"/>
    <w:rsid w:val="00C7655F"/>
    <w:rsid w:val="00C80E45"/>
    <w:rsid w:val="00C81115"/>
    <w:rsid w:val="00C81176"/>
    <w:rsid w:val="00C81268"/>
    <w:rsid w:val="00C81E76"/>
    <w:rsid w:val="00C8309D"/>
    <w:rsid w:val="00C83207"/>
    <w:rsid w:val="00C83228"/>
    <w:rsid w:val="00C833D2"/>
    <w:rsid w:val="00C83D2D"/>
    <w:rsid w:val="00C84294"/>
    <w:rsid w:val="00C842F0"/>
    <w:rsid w:val="00C85A9A"/>
    <w:rsid w:val="00C85E78"/>
    <w:rsid w:val="00C86FE8"/>
    <w:rsid w:val="00C876F2"/>
    <w:rsid w:val="00C87879"/>
    <w:rsid w:val="00C87A04"/>
    <w:rsid w:val="00C90000"/>
    <w:rsid w:val="00C903BB"/>
    <w:rsid w:val="00C9128B"/>
    <w:rsid w:val="00C9185F"/>
    <w:rsid w:val="00C91A2A"/>
    <w:rsid w:val="00C91C9F"/>
    <w:rsid w:val="00C92B36"/>
    <w:rsid w:val="00C9372D"/>
    <w:rsid w:val="00C938FE"/>
    <w:rsid w:val="00C94789"/>
    <w:rsid w:val="00C95A40"/>
    <w:rsid w:val="00C961B2"/>
    <w:rsid w:val="00C96B23"/>
    <w:rsid w:val="00C971E7"/>
    <w:rsid w:val="00C97603"/>
    <w:rsid w:val="00CA04FD"/>
    <w:rsid w:val="00CA0E54"/>
    <w:rsid w:val="00CA12AF"/>
    <w:rsid w:val="00CA1404"/>
    <w:rsid w:val="00CA1590"/>
    <w:rsid w:val="00CA163E"/>
    <w:rsid w:val="00CA1B8D"/>
    <w:rsid w:val="00CA1C0B"/>
    <w:rsid w:val="00CA3164"/>
    <w:rsid w:val="00CA39EC"/>
    <w:rsid w:val="00CA3F0F"/>
    <w:rsid w:val="00CA4A1D"/>
    <w:rsid w:val="00CA4A96"/>
    <w:rsid w:val="00CA55BE"/>
    <w:rsid w:val="00CA5878"/>
    <w:rsid w:val="00CA5E06"/>
    <w:rsid w:val="00CA611B"/>
    <w:rsid w:val="00CA641E"/>
    <w:rsid w:val="00CA657C"/>
    <w:rsid w:val="00CA7300"/>
    <w:rsid w:val="00CA7738"/>
    <w:rsid w:val="00CA79D4"/>
    <w:rsid w:val="00CA7CBE"/>
    <w:rsid w:val="00CB0668"/>
    <w:rsid w:val="00CB0A37"/>
    <w:rsid w:val="00CB16F7"/>
    <w:rsid w:val="00CB1804"/>
    <w:rsid w:val="00CB19F4"/>
    <w:rsid w:val="00CB2311"/>
    <w:rsid w:val="00CB26AF"/>
    <w:rsid w:val="00CB2709"/>
    <w:rsid w:val="00CB3933"/>
    <w:rsid w:val="00CB4C0E"/>
    <w:rsid w:val="00CB53BA"/>
    <w:rsid w:val="00CB5645"/>
    <w:rsid w:val="00CB5B95"/>
    <w:rsid w:val="00CB73D1"/>
    <w:rsid w:val="00CB77C2"/>
    <w:rsid w:val="00CB7B85"/>
    <w:rsid w:val="00CB7E75"/>
    <w:rsid w:val="00CC1B6A"/>
    <w:rsid w:val="00CC22FA"/>
    <w:rsid w:val="00CC32FC"/>
    <w:rsid w:val="00CC59F1"/>
    <w:rsid w:val="00CC60C1"/>
    <w:rsid w:val="00CC6563"/>
    <w:rsid w:val="00CC6D1E"/>
    <w:rsid w:val="00CC71AC"/>
    <w:rsid w:val="00CC78B9"/>
    <w:rsid w:val="00CD0166"/>
    <w:rsid w:val="00CD2A5E"/>
    <w:rsid w:val="00CD2F04"/>
    <w:rsid w:val="00CD33E1"/>
    <w:rsid w:val="00CD3929"/>
    <w:rsid w:val="00CD3E34"/>
    <w:rsid w:val="00CD4AAD"/>
    <w:rsid w:val="00CD51F7"/>
    <w:rsid w:val="00CD53E4"/>
    <w:rsid w:val="00CD5932"/>
    <w:rsid w:val="00CD59F7"/>
    <w:rsid w:val="00CD631B"/>
    <w:rsid w:val="00CD6C64"/>
    <w:rsid w:val="00CD7CD9"/>
    <w:rsid w:val="00CE0476"/>
    <w:rsid w:val="00CE25A5"/>
    <w:rsid w:val="00CE26E9"/>
    <w:rsid w:val="00CE2E7B"/>
    <w:rsid w:val="00CE393C"/>
    <w:rsid w:val="00CE3C61"/>
    <w:rsid w:val="00CE42E8"/>
    <w:rsid w:val="00CE597B"/>
    <w:rsid w:val="00CE5B9F"/>
    <w:rsid w:val="00CE5BE9"/>
    <w:rsid w:val="00CF0958"/>
    <w:rsid w:val="00CF1003"/>
    <w:rsid w:val="00CF1287"/>
    <w:rsid w:val="00CF1A25"/>
    <w:rsid w:val="00CF1BF1"/>
    <w:rsid w:val="00CF1C15"/>
    <w:rsid w:val="00CF23F6"/>
    <w:rsid w:val="00CF324B"/>
    <w:rsid w:val="00CF33A5"/>
    <w:rsid w:val="00CF3C97"/>
    <w:rsid w:val="00CF4580"/>
    <w:rsid w:val="00CF4641"/>
    <w:rsid w:val="00CF475A"/>
    <w:rsid w:val="00CF4E4F"/>
    <w:rsid w:val="00CF7097"/>
    <w:rsid w:val="00D000AF"/>
    <w:rsid w:val="00D00728"/>
    <w:rsid w:val="00D021E6"/>
    <w:rsid w:val="00D02669"/>
    <w:rsid w:val="00D02C7F"/>
    <w:rsid w:val="00D030C3"/>
    <w:rsid w:val="00D03F78"/>
    <w:rsid w:val="00D044D6"/>
    <w:rsid w:val="00D05485"/>
    <w:rsid w:val="00D05D9D"/>
    <w:rsid w:val="00D06A81"/>
    <w:rsid w:val="00D06B1B"/>
    <w:rsid w:val="00D06CA4"/>
    <w:rsid w:val="00D1050A"/>
    <w:rsid w:val="00D1091F"/>
    <w:rsid w:val="00D10DF9"/>
    <w:rsid w:val="00D1144C"/>
    <w:rsid w:val="00D11551"/>
    <w:rsid w:val="00D11A8A"/>
    <w:rsid w:val="00D11B1C"/>
    <w:rsid w:val="00D12EB9"/>
    <w:rsid w:val="00D13D8F"/>
    <w:rsid w:val="00D14E1C"/>
    <w:rsid w:val="00D15830"/>
    <w:rsid w:val="00D15ADA"/>
    <w:rsid w:val="00D16F82"/>
    <w:rsid w:val="00D17510"/>
    <w:rsid w:val="00D178B2"/>
    <w:rsid w:val="00D17925"/>
    <w:rsid w:val="00D17E9C"/>
    <w:rsid w:val="00D20580"/>
    <w:rsid w:val="00D207EF"/>
    <w:rsid w:val="00D2085A"/>
    <w:rsid w:val="00D20B3A"/>
    <w:rsid w:val="00D231D8"/>
    <w:rsid w:val="00D23A99"/>
    <w:rsid w:val="00D243E6"/>
    <w:rsid w:val="00D25334"/>
    <w:rsid w:val="00D25AE1"/>
    <w:rsid w:val="00D25EFA"/>
    <w:rsid w:val="00D26110"/>
    <w:rsid w:val="00D274BC"/>
    <w:rsid w:val="00D308EF"/>
    <w:rsid w:val="00D30AB3"/>
    <w:rsid w:val="00D314FE"/>
    <w:rsid w:val="00D31F52"/>
    <w:rsid w:val="00D320B7"/>
    <w:rsid w:val="00D3346E"/>
    <w:rsid w:val="00D33C19"/>
    <w:rsid w:val="00D33CFF"/>
    <w:rsid w:val="00D340F7"/>
    <w:rsid w:val="00D348A5"/>
    <w:rsid w:val="00D34D8A"/>
    <w:rsid w:val="00D35123"/>
    <w:rsid w:val="00D35B74"/>
    <w:rsid w:val="00D35E6D"/>
    <w:rsid w:val="00D37E1F"/>
    <w:rsid w:val="00D402CA"/>
    <w:rsid w:val="00D40316"/>
    <w:rsid w:val="00D40901"/>
    <w:rsid w:val="00D419C1"/>
    <w:rsid w:val="00D42291"/>
    <w:rsid w:val="00D4389D"/>
    <w:rsid w:val="00D43A14"/>
    <w:rsid w:val="00D446E2"/>
    <w:rsid w:val="00D4579D"/>
    <w:rsid w:val="00D459C6"/>
    <w:rsid w:val="00D45BEC"/>
    <w:rsid w:val="00D469D4"/>
    <w:rsid w:val="00D47196"/>
    <w:rsid w:val="00D471FB"/>
    <w:rsid w:val="00D4755F"/>
    <w:rsid w:val="00D47F47"/>
    <w:rsid w:val="00D50863"/>
    <w:rsid w:val="00D50982"/>
    <w:rsid w:val="00D50BB5"/>
    <w:rsid w:val="00D50ED0"/>
    <w:rsid w:val="00D51E9F"/>
    <w:rsid w:val="00D5222A"/>
    <w:rsid w:val="00D530F1"/>
    <w:rsid w:val="00D532C3"/>
    <w:rsid w:val="00D53635"/>
    <w:rsid w:val="00D5368E"/>
    <w:rsid w:val="00D53AF5"/>
    <w:rsid w:val="00D54597"/>
    <w:rsid w:val="00D54D94"/>
    <w:rsid w:val="00D56C29"/>
    <w:rsid w:val="00D56F0C"/>
    <w:rsid w:val="00D57BBD"/>
    <w:rsid w:val="00D60076"/>
    <w:rsid w:val="00D605A4"/>
    <w:rsid w:val="00D61A7D"/>
    <w:rsid w:val="00D61ECB"/>
    <w:rsid w:val="00D63EF0"/>
    <w:rsid w:val="00D64800"/>
    <w:rsid w:val="00D657BA"/>
    <w:rsid w:val="00D65966"/>
    <w:rsid w:val="00D66025"/>
    <w:rsid w:val="00D66B2F"/>
    <w:rsid w:val="00D67EB4"/>
    <w:rsid w:val="00D70515"/>
    <w:rsid w:val="00D70B5E"/>
    <w:rsid w:val="00D70DDB"/>
    <w:rsid w:val="00D70EE5"/>
    <w:rsid w:val="00D72164"/>
    <w:rsid w:val="00D7316B"/>
    <w:rsid w:val="00D73758"/>
    <w:rsid w:val="00D73B1A"/>
    <w:rsid w:val="00D74129"/>
    <w:rsid w:val="00D74658"/>
    <w:rsid w:val="00D74FD7"/>
    <w:rsid w:val="00D751A6"/>
    <w:rsid w:val="00D754CC"/>
    <w:rsid w:val="00D75500"/>
    <w:rsid w:val="00D758F5"/>
    <w:rsid w:val="00D75B33"/>
    <w:rsid w:val="00D760F6"/>
    <w:rsid w:val="00D76BC1"/>
    <w:rsid w:val="00D76D0D"/>
    <w:rsid w:val="00D76DD9"/>
    <w:rsid w:val="00D7727A"/>
    <w:rsid w:val="00D77BBF"/>
    <w:rsid w:val="00D809F6"/>
    <w:rsid w:val="00D8180C"/>
    <w:rsid w:val="00D82F6E"/>
    <w:rsid w:val="00D84483"/>
    <w:rsid w:val="00D84704"/>
    <w:rsid w:val="00D8483A"/>
    <w:rsid w:val="00D848EF"/>
    <w:rsid w:val="00D85291"/>
    <w:rsid w:val="00D85FD4"/>
    <w:rsid w:val="00D8673B"/>
    <w:rsid w:val="00D867D8"/>
    <w:rsid w:val="00D9081A"/>
    <w:rsid w:val="00D90A07"/>
    <w:rsid w:val="00D91231"/>
    <w:rsid w:val="00D919DB"/>
    <w:rsid w:val="00D91E62"/>
    <w:rsid w:val="00D92A7A"/>
    <w:rsid w:val="00D93A1E"/>
    <w:rsid w:val="00D93E0B"/>
    <w:rsid w:val="00D9421B"/>
    <w:rsid w:val="00D94406"/>
    <w:rsid w:val="00D9569A"/>
    <w:rsid w:val="00D96040"/>
    <w:rsid w:val="00D96654"/>
    <w:rsid w:val="00D96DF1"/>
    <w:rsid w:val="00D972ED"/>
    <w:rsid w:val="00D976AF"/>
    <w:rsid w:val="00D9789C"/>
    <w:rsid w:val="00DA05B1"/>
    <w:rsid w:val="00DA109C"/>
    <w:rsid w:val="00DA18BC"/>
    <w:rsid w:val="00DA24AE"/>
    <w:rsid w:val="00DA282B"/>
    <w:rsid w:val="00DA2AA7"/>
    <w:rsid w:val="00DA2BC2"/>
    <w:rsid w:val="00DA3632"/>
    <w:rsid w:val="00DA4367"/>
    <w:rsid w:val="00DA5B8F"/>
    <w:rsid w:val="00DA5C30"/>
    <w:rsid w:val="00DA6882"/>
    <w:rsid w:val="00DA6BA4"/>
    <w:rsid w:val="00DA7625"/>
    <w:rsid w:val="00DB0498"/>
    <w:rsid w:val="00DB1871"/>
    <w:rsid w:val="00DB2386"/>
    <w:rsid w:val="00DB26FE"/>
    <w:rsid w:val="00DB42A6"/>
    <w:rsid w:val="00DB4C03"/>
    <w:rsid w:val="00DB65AC"/>
    <w:rsid w:val="00DB6661"/>
    <w:rsid w:val="00DB689F"/>
    <w:rsid w:val="00DB727C"/>
    <w:rsid w:val="00DB742E"/>
    <w:rsid w:val="00DC04BD"/>
    <w:rsid w:val="00DC1198"/>
    <w:rsid w:val="00DC1356"/>
    <w:rsid w:val="00DC1AE6"/>
    <w:rsid w:val="00DC1AE7"/>
    <w:rsid w:val="00DC1E1C"/>
    <w:rsid w:val="00DC328C"/>
    <w:rsid w:val="00DC36A2"/>
    <w:rsid w:val="00DC39F8"/>
    <w:rsid w:val="00DC3E4D"/>
    <w:rsid w:val="00DC476D"/>
    <w:rsid w:val="00DC509A"/>
    <w:rsid w:val="00DC5552"/>
    <w:rsid w:val="00DC5560"/>
    <w:rsid w:val="00DC564A"/>
    <w:rsid w:val="00DC58B2"/>
    <w:rsid w:val="00DC66E6"/>
    <w:rsid w:val="00DC6C76"/>
    <w:rsid w:val="00DC79D2"/>
    <w:rsid w:val="00DD041E"/>
    <w:rsid w:val="00DD0E60"/>
    <w:rsid w:val="00DD1900"/>
    <w:rsid w:val="00DD1F8F"/>
    <w:rsid w:val="00DD20D1"/>
    <w:rsid w:val="00DD23A6"/>
    <w:rsid w:val="00DD2C0E"/>
    <w:rsid w:val="00DD2EEB"/>
    <w:rsid w:val="00DD2F26"/>
    <w:rsid w:val="00DD3FF6"/>
    <w:rsid w:val="00DD41DE"/>
    <w:rsid w:val="00DD462C"/>
    <w:rsid w:val="00DD4718"/>
    <w:rsid w:val="00DD4F7D"/>
    <w:rsid w:val="00DD5FE0"/>
    <w:rsid w:val="00DD5FF4"/>
    <w:rsid w:val="00DD6083"/>
    <w:rsid w:val="00DD6273"/>
    <w:rsid w:val="00DD78B4"/>
    <w:rsid w:val="00DD7A82"/>
    <w:rsid w:val="00DE02A0"/>
    <w:rsid w:val="00DE044E"/>
    <w:rsid w:val="00DE09AF"/>
    <w:rsid w:val="00DE157A"/>
    <w:rsid w:val="00DE17EB"/>
    <w:rsid w:val="00DE1D3E"/>
    <w:rsid w:val="00DE23BF"/>
    <w:rsid w:val="00DE2766"/>
    <w:rsid w:val="00DE36F5"/>
    <w:rsid w:val="00DE3BAB"/>
    <w:rsid w:val="00DE3EB2"/>
    <w:rsid w:val="00DE464E"/>
    <w:rsid w:val="00DE476A"/>
    <w:rsid w:val="00DE4C2B"/>
    <w:rsid w:val="00DE5A05"/>
    <w:rsid w:val="00DE63C8"/>
    <w:rsid w:val="00DE695E"/>
    <w:rsid w:val="00DE6FDA"/>
    <w:rsid w:val="00DF08E8"/>
    <w:rsid w:val="00DF10CD"/>
    <w:rsid w:val="00DF207B"/>
    <w:rsid w:val="00DF22FC"/>
    <w:rsid w:val="00DF26DB"/>
    <w:rsid w:val="00DF2A56"/>
    <w:rsid w:val="00DF3D81"/>
    <w:rsid w:val="00DF4197"/>
    <w:rsid w:val="00DF511D"/>
    <w:rsid w:val="00DF57F5"/>
    <w:rsid w:val="00DF5A3E"/>
    <w:rsid w:val="00DF62DA"/>
    <w:rsid w:val="00DF680A"/>
    <w:rsid w:val="00DF6EFB"/>
    <w:rsid w:val="00E00AF1"/>
    <w:rsid w:val="00E01A29"/>
    <w:rsid w:val="00E02552"/>
    <w:rsid w:val="00E02C95"/>
    <w:rsid w:val="00E02CF1"/>
    <w:rsid w:val="00E02EDA"/>
    <w:rsid w:val="00E04890"/>
    <w:rsid w:val="00E04A69"/>
    <w:rsid w:val="00E05AA8"/>
    <w:rsid w:val="00E05AD0"/>
    <w:rsid w:val="00E05BA6"/>
    <w:rsid w:val="00E05FC1"/>
    <w:rsid w:val="00E061F0"/>
    <w:rsid w:val="00E0700A"/>
    <w:rsid w:val="00E0796D"/>
    <w:rsid w:val="00E10349"/>
    <w:rsid w:val="00E1076D"/>
    <w:rsid w:val="00E1132C"/>
    <w:rsid w:val="00E125B2"/>
    <w:rsid w:val="00E13B07"/>
    <w:rsid w:val="00E13C9B"/>
    <w:rsid w:val="00E1481F"/>
    <w:rsid w:val="00E14E82"/>
    <w:rsid w:val="00E14EA7"/>
    <w:rsid w:val="00E14EC5"/>
    <w:rsid w:val="00E14EE8"/>
    <w:rsid w:val="00E15BB7"/>
    <w:rsid w:val="00E16441"/>
    <w:rsid w:val="00E169FF"/>
    <w:rsid w:val="00E16D31"/>
    <w:rsid w:val="00E1731B"/>
    <w:rsid w:val="00E17597"/>
    <w:rsid w:val="00E17677"/>
    <w:rsid w:val="00E202C3"/>
    <w:rsid w:val="00E20E15"/>
    <w:rsid w:val="00E21411"/>
    <w:rsid w:val="00E215C9"/>
    <w:rsid w:val="00E218C8"/>
    <w:rsid w:val="00E21D0B"/>
    <w:rsid w:val="00E21DA6"/>
    <w:rsid w:val="00E22B20"/>
    <w:rsid w:val="00E22DBB"/>
    <w:rsid w:val="00E2340F"/>
    <w:rsid w:val="00E24D0A"/>
    <w:rsid w:val="00E25036"/>
    <w:rsid w:val="00E253E8"/>
    <w:rsid w:val="00E2569B"/>
    <w:rsid w:val="00E26094"/>
    <w:rsid w:val="00E263DF"/>
    <w:rsid w:val="00E264A4"/>
    <w:rsid w:val="00E26FA2"/>
    <w:rsid w:val="00E279B5"/>
    <w:rsid w:val="00E27AF0"/>
    <w:rsid w:val="00E30381"/>
    <w:rsid w:val="00E306E7"/>
    <w:rsid w:val="00E315B6"/>
    <w:rsid w:val="00E31F4E"/>
    <w:rsid w:val="00E328AA"/>
    <w:rsid w:val="00E33F3D"/>
    <w:rsid w:val="00E3405C"/>
    <w:rsid w:val="00E346B5"/>
    <w:rsid w:val="00E34B32"/>
    <w:rsid w:val="00E34EC6"/>
    <w:rsid w:val="00E3608F"/>
    <w:rsid w:val="00E36C52"/>
    <w:rsid w:val="00E378E1"/>
    <w:rsid w:val="00E3797F"/>
    <w:rsid w:val="00E415F5"/>
    <w:rsid w:val="00E4271B"/>
    <w:rsid w:val="00E432F3"/>
    <w:rsid w:val="00E4531F"/>
    <w:rsid w:val="00E46141"/>
    <w:rsid w:val="00E46575"/>
    <w:rsid w:val="00E4677F"/>
    <w:rsid w:val="00E46C1F"/>
    <w:rsid w:val="00E473A5"/>
    <w:rsid w:val="00E47F4B"/>
    <w:rsid w:val="00E515B3"/>
    <w:rsid w:val="00E519CE"/>
    <w:rsid w:val="00E51BB4"/>
    <w:rsid w:val="00E525C2"/>
    <w:rsid w:val="00E52693"/>
    <w:rsid w:val="00E548E0"/>
    <w:rsid w:val="00E54ADB"/>
    <w:rsid w:val="00E55516"/>
    <w:rsid w:val="00E56128"/>
    <w:rsid w:val="00E563F2"/>
    <w:rsid w:val="00E56468"/>
    <w:rsid w:val="00E56741"/>
    <w:rsid w:val="00E57986"/>
    <w:rsid w:val="00E57D04"/>
    <w:rsid w:val="00E57E09"/>
    <w:rsid w:val="00E60630"/>
    <w:rsid w:val="00E606E8"/>
    <w:rsid w:val="00E60B4E"/>
    <w:rsid w:val="00E610D1"/>
    <w:rsid w:val="00E61C43"/>
    <w:rsid w:val="00E626AD"/>
    <w:rsid w:val="00E63E66"/>
    <w:rsid w:val="00E641B4"/>
    <w:rsid w:val="00E6434E"/>
    <w:rsid w:val="00E64F03"/>
    <w:rsid w:val="00E65B58"/>
    <w:rsid w:val="00E6689A"/>
    <w:rsid w:val="00E7048A"/>
    <w:rsid w:val="00E705EC"/>
    <w:rsid w:val="00E70C1C"/>
    <w:rsid w:val="00E71807"/>
    <w:rsid w:val="00E7193D"/>
    <w:rsid w:val="00E72753"/>
    <w:rsid w:val="00E72C1E"/>
    <w:rsid w:val="00E72FBF"/>
    <w:rsid w:val="00E73195"/>
    <w:rsid w:val="00E7377E"/>
    <w:rsid w:val="00E73892"/>
    <w:rsid w:val="00E73D1B"/>
    <w:rsid w:val="00E764D6"/>
    <w:rsid w:val="00E76EFF"/>
    <w:rsid w:val="00E77012"/>
    <w:rsid w:val="00E772B4"/>
    <w:rsid w:val="00E7777E"/>
    <w:rsid w:val="00E77952"/>
    <w:rsid w:val="00E803D9"/>
    <w:rsid w:val="00E804E3"/>
    <w:rsid w:val="00E812E4"/>
    <w:rsid w:val="00E82F60"/>
    <w:rsid w:val="00E83268"/>
    <w:rsid w:val="00E83B17"/>
    <w:rsid w:val="00E84187"/>
    <w:rsid w:val="00E847B1"/>
    <w:rsid w:val="00E84BA7"/>
    <w:rsid w:val="00E8551C"/>
    <w:rsid w:val="00E85857"/>
    <w:rsid w:val="00E872EC"/>
    <w:rsid w:val="00E87390"/>
    <w:rsid w:val="00E873BE"/>
    <w:rsid w:val="00E87658"/>
    <w:rsid w:val="00E8782A"/>
    <w:rsid w:val="00E87837"/>
    <w:rsid w:val="00E87979"/>
    <w:rsid w:val="00E87EF3"/>
    <w:rsid w:val="00E9262B"/>
    <w:rsid w:val="00E93918"/>
    <w:rsid w:val="00E93B55"/>
    <w:rsid w:val="00E94AA7"/>
    <w:rsid w:val="00E94B91"/>
    <w:rsid w:val="00E951DF"/>
    <w:rsid w:val="00E959B1"/>
    <w:rsid w:val="00E95B9D"/>
    <w:rsid w:val="00E965CE"/>
    <w:rsid w:val="00E96831"/>
    <w:rsid w:val="00E96934"/>
    <w:rsid w:val="00E96A6A"/>
    <w:rsid w:val="00E971FD"/>
    <w:rsid w:val="00E974B9"/>
    <w:rsid w:val="00E979B7"/>
    <w:rsid w:val="00E97A21"/>
    <w:rsid w:val="00E97F72"/>
    <w:rsid w:val="00EA04E0"/>
    <w:rsid w:val="00EA073A"/>
    <w:rsid w:val="00EA1798"/>
    <w:rsid w:val="00EA25FE"/>
    <w:rsid w:val="00EA2AE2"/>
    <w:rsid w:val="00EA32C8"/>
    <w:rsid w:val="00EA3558"/>
    <w:rsid w:val="00EA3628"/>
    <w:rsid w:val="00EA398D"/>
    <w:rsid w:val="00EA3AFA"/>
    <w:rsid w:val="00EA45AA"/>
    <w:rsid w:val="00EA4629"/>
    <w:rsid w:val="00EA497F"/>
    <w:rsid w:val="00EA4AE4"/>
    <w:rsid w:val="00EA4B5F"/>
    <w:rsid w:val="00EA561E"/>
    <w:rsid w:val="00EA660E"/>
    <w:rsid w:val="00EA6A46"/>
    <w:rsid w:val="00EA6E24"/>
    <w:rsid w:val="00EA6ED8"/>
    <w:rsid w:val="00EA7F0D"/>
    <w:rsid w:val="00EB0010"/>
    <w:rsid w:val="00EB2529"/>
    <w:rsid w:val="00EB4065"/>
    <w:rsid w:val="00EB42A6"/>
    <w:rsid w:val="00EB50C1"/>
    <w:rsid w:val="00EB572F"/>
    <w:rsid w:val="00EB6189"/>
    <w:rsid w:val="00EB6233"/>
    <w:rsid w:val="00EB737E"/>
    <w:rsid w:val="00EB7E34"/>
    <w:rsid w:val="00EB7E51"/>
    <w:rsid w:val="00EB7E8D"/>
    <w:rsid w:val="00EC0186"/>
    <w:rsid w:val="00EC01C1"/>
    <w:rsid w:val="00EC0229"/>
    <w:rsid w:val="00EC064B"/>
    <w:rsid w:val="00EC0F9B"/>
    <w:rsid w:val="00EC1A99"/>
    <w:rsid w:val="00EC202E"/>
    <w:rsid w:val="00EC3A75"/>
    <w:rsid w:val="00EC40B4"/>
    <w:rsid w:val="00EC4236"/>
    <w:rsid w:val="00EC4C50"/>
    <w:rsid w:val="00EC5CE1"/>
    <w:rsid w:val="00EC64EB"/>
    <w:rsid w:val="00EC6D28"/>
    <w:rsid w:val="00EC7333"/>
    <w:rsid w:val="00EC74B6"/>
    <w:rsid w:val="00EC7A61"/>
    <w:rsid w:val="00EC7A9F"/>
    <w:rsid w:val="00ED0415"/>
    <w:rsid w:val="00ED076B"/>
    <w:rsid w:val="00ED218D"/>
    <w:rsid w:val="00ED2F69"/>
    <w:rsid w:val="00ED31FC"/>
    <w:rsid w:val="00ED323D"/>
    <w:rsid w:val="00ED3F3D"/>
    <w:rsid w:val="00ED41D1"/>
    <w:rsid w:val="00ED4EC3"/>
    <w:rsid w:val="00ED5AAD"/>
    <w:rsid w:val="00ED6380"/>
    <w:rsid w:val="00ED6611"/>
    <w:rsid w:val="00ED6F4E"/>
    <w:rsid w:val="00EE176A"/>
    <w:rsid w:val="00EE2ED2"/>
    <w:rsid w:val="00EE2F1E"/>
    <w:rsid w:val="00EE4DE5"/>
    <w:rsid w:val="00EE4EC9"/>
    <w:rsid w:val="00EE5BBE"/>
    <w:rsid w:val="00EE5CDC"/>
    <w:rsid w:val="00EE6600"/>
    <w:rsid w:val="00EE6603"/>
    <w:rsid w:val="00EE6708"/>
    <w:rsid w:val="00EE671F"/>
    <w:rsid w:val="00EF0512"/>
    <w:rsid w:val="00EF1632"/>
    <w:rsid w:val="00EF21F4"/>
    <w:rsid w:val="00EF29A9"/>
    <w:rsid w:val="00EF2E5A"/>
    <w:rsid w:val="00EF3097"/>
    <w:rsid w:val="00EF4492"/>
    <w:rsid w:val="00EF4FE5"/>
    <w:rsid w:val="00EF5538"/>
    <w:rsid w:val="00EF6F24"/>
    <w:rsid w:val="00EF727A"/>
    <w:rsid w:val="00EF77B2"/>
    <w:rsid w:val="00EF7852"/>
    <w:rsid w:val="00EF7E16"/>
    <w:rsid w:val="00EF7E2B"/>
    <w:rsid w:val="00F0087A"/>
    <w:rsid w:val="00F01318"/>
    <w:rsid w:val="00F02BAA"/>
    <w:rsid w:val="00F03455"/>
    <w:rsid w:val="00F04209"/>
    <w:rsid w:val="00F04922"/>
    <w:rsid w:val="00F054FB"/>
    <w:rsid w:val="00F05751"/>
    <w:rsid w:val="00F05978"/>
    <w:rsid w:val="00F0646A"/>
    <w:rsid w:val="00F06CC2"/>
    <w:rsid w:val="00F070F7"/>
    <w:rsid w:val="00F07447"/>
    <w:rsid w:val="00F07F6F"/>
    <w:rsid w:val="00F10634"/>
    <w:rsid w:val="00F107E9"/>
    <w:rsid w:val="00F10B10"/>
    <w:rsid w:val="00F10CE8"/>
    <w:rsid w:val="00F10FAF"/>
    <w:rsid w:val="00F1168C"/>
    <w:rsid w:val="00F11AAB"/>
    <w:rsid w:val="00F121F7"/>
    <w:rsid w:val="00F127F4"/>
    <w:rsid w:val="00F12A29"/>
    <w:rsid w:val="00F12A41"/>
    <w:rsid w:val="00F14343"/>
    <w:rsid w:val="00F145F1"/>
    <w:rsid w:val="00F14B99"/>
    <w:rsid w:val="00F1501C"/>
    <w:rsid w:val="00F156AB"/>
    <w:rsid w:val="00F16CA3"/>
    <w:rsid w:val="00F205B9"/>
    <w:rsid w:val="00F21253"/>
    <w:rsid w:val="00F21ED8"/>
    <w:rsid w:val="00F22255"/>
    <w:rsid w:val="00F22305"/>
    <w:rsid w:val="00F23BF3"/>
    <w:rsid w:val="00F23C1F"/>
    <w:rsid w:val="00F23D1B"/>
    <w:rsid w:val="00F23F1C"/>
    <w:rsid w:val="00F246F7"/>
    <w:rsid w:val="00F2545A"/>
    <w:rsid w:val="00F2560B"/>
    <w:rsid w:val="00F25A2A"/>
    <w:rsid w:val="00F2690A"/>
    <w:rsid w:val="00F300B4"/>
    <w:rsid w:val="00F30857"/>
    <w:rsid w:val="00F319B5"/>
    <w:rsid w:val="00F31CB2"/>
    <w:rsid w:val="00F320BD"/>
    <w:rsid w:val="00F323F9"/>
    <w:rsid w:val="00F326F3"/>
    <w:rsid w:val="00F33E9C"/>
    <w:rsid w:val="00F3418F"/>
    <w:rsid w:val="00F346F4"/>
    <w:rsid w:val="00F34715"/>
    <w:rsid w:val="00F34B38"/>
    <w:rsid w:val="00F34BBE"/>
    <w:rsid w:val="00F35802"/>
    <w:rsid w:val="00F35B8F"/>
    <w:rsid w:val="00F360A2"/>
    <w:rsid w:val="00F368CB"/>
    <w:rsid w:val="00F404BA"/>
    <w:rsid w:val="00F40F3D"/>
    <w:rsid w:val="00F4109B"/>
    <w:rsid w:val="00F414DD"/>
    <w:rsid w:val="00F42142"/>
    <w:rsid w:val="00F42528"/>
    <w:rsid w:val="00F43385"/>
    <w:rsid w:val="00F440FC"/>
    <w:rsid w:val="00F4539D"/>
    <w:rsid w:val="00F4547A"/>
    <w:rsid w:val="00F4613F"/>
    <w:rsid w:val="00F51B5E"/>
    <w:rsid w:val="00F525A0"/>
    <w:rsid w:val="00F529D1"/>
    <w:rsid w:val="00F53D31"/>
    <w:rsid w:val="00F53ECF"/>
    <w:rsid w:val="00F54C8A"/>
    <w:rsid w:val="00F554B3"/>
    <w:rsid w:val="00F56E80"/>
    <w:rsid w:val="00F57C30"/>
    <w:rsid w:val="00F57DD7"/>
    <w:rsid w:val="00F61147"/>
    <w:rsid w:val="00F6129C"/>
    <w:rsid w:val="00F61526"/>
    <w:rsid w:val="00F63D16"/>
    <w:rsid w:val="00F641C5"/>
    <w:rsid w:val="00F64E0A"/>
    <w:rsid w:val="00F653D2"/>
    <w:rsid w:val="00F65EE2"/>
    <w:rsid w:val="00F66D11"/>
    <w:rsid w:val="00F66E91"/>
    <w:rsid w:val="00F674EE"/>
    <w:rsid w:val="00F7000F"/>
    <w:rsid w:val="00F716B0"/>
    <w:rsid w:val="00F71B3B"/>
    <w:rsid w:val="00F72A46"/>
    <w:rsid w:val="00F72F70"/>
    <w:rsid w:val="00F73108"/>
    <w:rsid w:val="00F73E73"/>
    <w:rsid w:val="00F747C1"/>
    <w:rsid w:val="00F74840"/>
    <w:rsid w:val="00F74C38"/>
    <w:rsid w:val="00F7534E"/>
    <w:rsid w:val="00F7604F"/>
    <w:rsid w:val="00F7684D"/>
    <w:rsid w:val="00F77A6A"/>
    <w:rsid w:val="00F77C89"/>
    <w:rsid w:val="00F77D50"/>
    <w:rsid w:val="00F800E6"/>
    <w:rsid w:val="00F81C12"/>
    <w:rsid w:val="00F83DCA"/>
    <w:rsid w:val="00F84904"/>
    <w:rsid w:val="00F852FC"/>
    <w:rsid w:val="00F85916"/>
    <w:rsid w:val="00F85969"/>
    <w:rsid w:val="00F863B0"/>
    <w:rsid w:val="00F86B0C"/>
    <w:rsid w:val="00F87864"/>
    <w:rsid w:val="00F87BCF"/>
    <w:rsid w:val="00F903D0"/>
    <w:rsid w:val="00F91868"/>
    <w:rsid w:val="00F91E30"/>
    <w:rsid w:val="00F92AF4"/>
    <w:rsid w:val="00F94411"/>
    <w:rsid w:val="00F94442"/>
    <w:rsid w:val="00F94809"/>
    <w:rsid w:val="00F94929"/>
    <w:rsid w:val="00F94B94"/>
    <w:rsid w:val="00F94E73"/>
    <w:rsid w:val="00F94FF5"/>
    <w:rsid w:val="00F957DC"/>
    <w:rsid w:val="00F95A63"/>
    <w:rsid w:val="00F95F0F"/>
    <w:rsid w:val="00F96F33"/>
    <w:rsid w:val="00F9753B"/>
    <w:rsid w:val="00F978CB"/>
    <w:rsid w:val="00FA0DFD"/>
    <w:rsid w:val="00FA1A8F"/>
    <w:rsid w:val="00FA2158"/>
    <w:rsid w:val="00FA2368"/>
    <w:rsid w:val="00FA5C5C"/>
    <w:rsid w:val="00FA6CFF"/>
    <w:rsid w:val="00FA7788"/>
    <w:rsid w:val="00FA7850"/>
    <w:rsid w:val="00FB0072"/>
    <w:rsid w:val="00FB0DAC"/>
    <w:rsid w:val="00FB0E2C"/>
    <w:rsid w:val="00FB104B"/>
    <w:rsid w:val="00FB10A7"/>
    <w:rsid w:val="00FB146D"/>
    <w:rsid w:val="00FB288C"/>
    <w:rsid w:val="00FB2B6F"/>
    <w:rsid w:val="00FB49E2"/>
    <w:rsid w:val="00FB4BEC"/>
    <w:rsid w:val="00FB4E17"/>
    <w:rsid w:val="00FB5070"/>
    <w:rsid w:val="00FB6B9F"/>
    <w:rsid w:val="00FC0735"/>
    <w:rsid w:val="00FC0AC2"/>
    <w:rsid w:val="00FC16D3"/>
    <w:rsid w:val="00FC19AA"/>
    <w:rsid w:val="00FC31AF"/>
    <w:rsid w:val="00FC4EEB"/>
    <w:rsid w:val="00FC7722"/>
    <w:rsid w:val="00FD03B5"/>
    <w:rsid w:val="00FD0774"/>
    <w:rsid w:val="00FD11E0"/>
    <w:rsid w:val="00FD1257"/>
    <w:rsid w:val="00FD24E8"/>
    <w:rsid w:val="00FD2F3D"/>
    <w:rsid w:val="00FD3692"/>
    <w:rsid w:val="00FD4A86"/>
    <w:rsid w:val="00FD6B7F"/>
    <w:rsid w:val="00FD6DF9"/>
    <w:rsid w:val="00FE0109"/>
    <w:rsid w:val="00FE07A8"/>
    <w:rsid w:val="00FE1037"/>
    <w:rsid w:val="00FE11EA"/>
    <w:rsid w:val="00FE197A"/>
    <w:rsid w:val="00FE198F"/>
    <w:rsid w:val="00FE1C3B"/>
    <w:rsid w:val="00FE1C49"/>
    <w:rsid w:val="00FE1D50"/>
    <w:rsid w:val="00FE3BCA"/>
    <w:rsid w:val="00FE4105"/>
    <w:rsid w:val="00FE4D84"/>
    <w:rsid w:val="00FE5191"/>
    <w:rsid w:val="00FE5336"/>
    <w:rsid w:val="00FE64EC"/>
    <w:rsid w:val="00FE7871"/>
    <w:rsid w:val="00FE7AEE"/>
    <w:rsid w:val="00FF05B9"/>
    <w:rsid w:val="00FF0C4C"/>
    <w:rsid w:val="00FF1447"/>
    <w:rsid w:val="00FF16D6"/>
    <w:rsid w:val="00FF1D71"/>
    <w:rsid w:val="00FF29E4"/>
    <w:rsid w:val="00FF37A4"/>
    <w:rsid w:val="00FF3D55"/>
    <w:rsid w:val="00FF40EE"/>
    <w:rsid w:val="00FF44D8"/>
    <w:rsid w:val="00FF5068"/>
    <w:rsid w:val="00FF533E"/>
    <w:rsid w:val="00FF5AA0"/>
    <w:rsid w:val="00FF61CC"/>
    <w:rsid w:val="00FF631C"/>
    <w:rsid w:val="00FF6D57"/>
    <w:rsid w:val="00FF6E78"/>
    <w:rsid w:val="00FF794B"/>
    <w:rsid w:val="00FF7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4F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7447"/>
    <w:pPr>
      <w:spacing w:after="100" w:line="400" w:lineRule="exact"/>
      <w:jc w:val="both"/>
    </w:pPr>
    <w:rPr>
      <w:rFonts w:ascii="Century Schoolbook" w:hAnsi="Century Schoolbook"/>
      <w:sz w:val="27"/>
    </w:rPr>
  </w:style>
  <w:style w:type="paragraph" w:styleId="Heading1">
    <w:name w:val="heading 1"/>
    <w:basedOn w:val="Normal"/>
    <w:next w:val="Normal"/>
    <w:qFormat/>
    <w:rsid w:val="00F07447"/>
    <w:pPr>
      <w:keepNext/>
      <w:spacing w:before="140" w:line="240" w:lineRule="atLeast"/>
      <w:jc w:val="center"/>
      <w:outlineLvl w:val="0"/>
    </w:pPr>
    <w:rPr>
      <w:b/>
      <w:smallCaps/>
    </w:rPr>
  </w:style>
  <w:style w:type="paragraph" w:styleId="Heading2">
    <w:name w:val="heading 2"/>
    <w:basedOn w:val="Normal"/>
    <w:next w:val="Normal"/>
    <w:qFormat/>
    <w:rsid w:val="00F07447"/>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F07447"/>
    <w:pPr>
      <w:keepNext/>
      <w:tabs>
        <w:tab w:val="left" w:pos="1584"/>
      </w:tabs>
      <w:spacing w:before="140" w:line="240" w:lineRule="atLeast"/>
      <w:ind w:left="1584" w:hanging="432"/>
      <w:jc w:val="left"/>
      <w:outlineLvl w:val="2"/>
    </w:pPr>
    <w:rPr>
      <w:i/>
    </w:rPr>
  </w:style>
  <w:style w:type="paragraph" w:styleId="Heading4">
    <w:name w:val="heading 4"/>
    <w:basedOn w:val="Normal"/>
    <w:qFormat/>
    <w:rsid w:val="00F07447"/>
    <w:pPr>
      <w:keepNext/>
      <w:tabs>
        <w:tab w:val="left" w:pos="2016"/>
      </w:tabs>
      <w:spacing w:before="140" w:line="240" w:lineRule="atLeast"/>
      <w:ind w:left="2016" w:hanging="432"/>
      <w:jc w:val="left"/>
      <w:outlineLvl w:val="3"/>
    </w:pPr>
    <w:rPr>
      <w:i/>
    </w:rPr>
  </w:style>
  <w:style w:type="paragraph" w:styleId="Heading5">
    <w:name w:val="heading 5"/>
    <w:basedOn w:val="Normal"/>
    <w:qFormat/>
    <w:rsid w:val="00F07447"/>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C61B53"/>
    <w:pPr>
      <w:ind w:left="720"/>
    </w:pPr>
  </w:style>
  <w:style w:type="paragraph" w:styleId="Footer">
    <w:name w:val="footer"/>
    <w:basedOn w:val="Normal"/>
    <w:qFormat/>
    <w:rsid w:val="00F07447"/>
    <w:pPr>
      <w:tabs>
        <w:tab w:val="center" w:pos="3960"/>
        <w:tab w:val="right" w:pos="10080"/>
      </w:tabs>
      <w:spacing w:after="0" w:line="240" w:lineRule="auto"/>
      <w:jc w:val="center"/>
    </w:pPr>
    <w:rPr>
      <w:sz w:val="22"/>
    </w:rPr>
  </w:style>
  <w:style w:type="paragraph" w:styleId="Header">
    <w:name w:val="header"/>
    <w:basedOn w:val="Normal"/>
    <w:qFormat/>
    <w:rsid w:val="00F07447"/>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F07447"/>
    <w:rPr>
      <w:rFonts w:ascii="Century Schoolbook" w:hAnsi="Century Schoolbook"/>
      <w:b/>
      <w:i w:val="0"/>
      <w:position w:val="4"/>
      <w:sz w:val="27"/>
      <w:vertAlign w:val="superscript"/>
    </w:rPr>
  </w:style>
  <w:style w:type="paragraph" w:styleId="FootnoteText">
    <w:name w:val="footnote text"/>
    <w:basedOn w:val="Normal"/>
    <w:rsid w:val="00F07447"/>
    <w:pPr>
      <w:spacing w:line="300" w:lineRule="exact"/>
    </w:pPr>
  </w:style>
  <w:style w:type="paragraph" w:customStyle="1" w:styleId="Title1">
    <w:name w:val="Title1"/>
    <w:basedOn w:val="Normal"/>
    <w:rsid w:val="00C61B53"/>
    <w:pPr>
      <w:tabs>
        <w:tab w:val="left" w:pos="5760"/>
        <w:tab w:val="left" w:pos="6480"/>
      </w:tabs>
      <w:spacing w:line="240" w:lineRule="atLeast"/>
    </w:pPr>
  </w:style>
  <w:style w:type="paragraph" w:customStyle="1" w:styleId="Recommend">
    <w:name w:val="Recommend"/>
    <w:basedOn w:val="Normal"/>
    <w:rsid w:val="00C61B53"/>
  </w:style>
  <w:style w:type="paragraph" w:customStyle="1" w:styleId="Summary">
    <w:name w:val="Summary"/>
    <w:basedOn w:val="Normal"/>
    <w:rsid w:val="00C61B53"/>
    <w:pPr>
      <w:ind w:left="2160" w:hanging="2160"/>
    </w:pPr>
  </w:style>
  <w:style w:type="paragraph" w:customStyle="1" w:styleId="Text">
    <w:name w:val="Text"/>
    <w:basedOn w:val="Normal"/>
    <w:rsid w:val="00C61B53"/>
    <w:pPr>
      <w:tabs>
        <w:tab w:val="left" w:pos="720"/>
        <w:tab w:val="left" w:pos="1440"/>
        <w:tab w:val="left" w:pos="2160"/>
        <w:tab w:val="center" w:pos="4320"/>
      </w:tabs>
      <w:spacing w:line="480" w:lineRule="atLeast"/>
      <w:ind w:firstLine="540"/>
    </w:pPr>
  </w:style>
  <w:style w:type="paragraph" w:styleId="Date">
    <w:name w:val="Date"/>
    <w:basedOn w:val="Normal"/>
    <w:semiHidden/>
    <w:rsid w:val="00C61B53"/>
    <w:pPr>
      <w:jc w:val="right"/>
    </w:pPr>
  </w:style>
  <w:style w:type="character" w:styleId="PageNumber">
    <w:name w:val="page number"/>
    <w:basedOn w:val="DefaultParagraphFont"/>
    <w:rsid w:val="00C61B53"/>
  </w:style>
  <w:style w:type="paragraph" w:customStyle="1" w:styleId="subject">
    <w:name w:val="subject"/>
    <w:basedOn w:val="Normal"/>
    <w:rsid w:val="00C61B53"/>
    <w:pPr>
      <w:tabs>
        <w:tab w:val="left" w:pos="1008"/>
      </w:tabs>
      <w:ind w:left="990" w:hanging="990"/>
    </w:pPr>
    <w:rPr>
      <w:b/>
    </w:rPr>
  </w:style>
  <w:style w:type="paragraph" w:customStyle="1" w:styleId="Titles">
    <w:name w:val="Titles"/>
    <w:basedOn w:val="Normal"/>
    <w:rsid w:val="00C61B53"/>
    <w:pPr>
      <w:tabs>
        <w:tab w:val="left" w:pos="2160"/>
      </w:tabs>
      <w:ind w:left="2160" w:hanging="2160"/>
    </w:pPr>
    <w:rPr>
      <w:b/>
    </w:rPr>
  </w:style>
  <w:style w:type="paragraph" w:styleId="TOAHeading">
    <w:name w:val="toa heading"/>
    <w:basedOn w:val="Normal"/>
    <w:next w:val="Normal"/>
    <w:semiHidden/>
    <w:rsid w:val="00C61B53"/>
    <w:pPr>
      <w:spacing w:before="120"/>
    </w:pPr>
    <w:rPr>
      <w:b/>
    </w:rPr>
  </w:style>
  <w:style w:type="paragraph" w:styleId="TOC1">
    <w:name w:val="toc 1"/>
    <w:basedOn w:val="Normal"/>
    <w:next w:val="Normal"/>
    <w:autoRedefine/>
    <w:semiHidden/>
    <w:rsid w:val="00C61B53"/>
  </w:style>
  <w:style w:type="paragraph" w:styleId="TOC2">
    <w:name w:val="toc 2"/>
    <w:basedOn w:val="Normal"/>
    <w:next w:val="Normal"/>
    <w:autoRedefine/>
    <w:semiHidden/>
    <w:rsid w:val="00C61B53"/>
    <w:pPr>
      <w:ind w:left="259"/>
    </w:pPr>
  </w:style>
  <w:style w:type="paragraph" w:styleId="TOC3">
    <w:name w:val="toc 3"/>
    <w:basedOn w:val="Normal"/>
    <w:next w:val="Normal"/>
    <w:autoRedefine/>
    <w:semiHidden/>
    <w:rsid w:val="00C61B53"/>
    <w:pPr>
      <w:ind w:left="520"/>
    </w:pPr>
  </w:style>
  <w:style w:type="paragraph" w:styleId="TOC4">
    <w:name w:val="toc 4"/>
    <w:basedOn w:val="Normal"/>
    <w:next w:val="Normal"/>
    <w:autoRedefine/>
    <w:semiHidden/>
    <w:rsid w:val="00C61B53"/>
    <w:pPr>
      <w:ind w:left="780"/>
    </w:pPr>
  </w:style>
  <w:style w:type="paragraph" w:styleId="TOC5">
    <w:name w:val="toc 5"/>
    <w:basedOn w:val="Normal"/>
    <w:next w:val="Normal"/>
    <w:autoRedefine/>
    <w:semiHidden/>
    <w:rsid w:val="00C61B53"/>
    <w:pPr>
      <w:ind w:left="1040"/>
    </w:pPr>
  </w:style>
  <w:style w:type="paragraph" w:styleId="TOC6">
    <w:name w:val="toc 6"/>
    <w:basedOn w:val="Normal"/>
    <w:next w:val="Normal"/>
    <w:autoRedefine/>
    <w:semiHidden/>
    <w:rsid w:val="00C61B53"/>
    <w:pPr>
      <w:ind w:left="1300"/>
    </w:pPr>
  </w:style>
  <w:style w:type="paragraph" w:styleId="TOC7">
    <w:name w:val="toc 7"/>
    <w:basedOn w:val="Normal"/>
    <w:next w:val="Normal"/>
    <w:autoRedefine/>
    <w:semiHidden/>
    <w:rsid w:val="00C61B53"/>
    <w:pPr>
      <w:ind w:left="1560"/>
    </w:pPr>
  </w:style>
  <w:style w:type="paragraph" w:styleId="TOC8">
    <w:name w:val="toc 8"/>
    <w:basedOn w:val="Normal"/>
    <w:next w:val="Normal"/>
    <w:autoRedefine/>
    <w:semiHidden/>
    <w:rsid w:val="00C61B53"/>
    <w:pPr>
      <w:ind w:left="1820"/>
    </w:pPr>
  </w:style>
  <w:style w:type="paragraph" w:styleId="TOC9">
    <w:name w:val="toc 9"/>
    <w:basedOn w:val="Normal"/>
    <w:next w:val="Normal"/>
    <w:autoRedefine/>
    <w:semiHidden/>
    <w:rsid w:val="00C61B53"/>
    <w:pPr>
      <w:ind w:left="2080"/>
    </w:pPr>
  </w:style>
  <w:style w:type="paragraph" w:customStyle="1" w:styleId="Contents">
    <w:name w:val="Contents"/>
    <w:basedOn w:val="Normal"/>
    <w:rsid w:val="00C61B53"/>
    <w:pPr>
      <w:jc w:val="center"/>
    </w:pPr>
    <w:rPr>
      <w:b/>
      <w:spacing w:val="100"/>
    </w:rPr>
  </w:style>
  <w:style w:type="paragraph" w:styleId="BalloonText">
    <w:name w:val="Balloon Text"/>
    <w:basedOn w:val="Normal"/>
    <w:link w:val="BalloonTextChar"/>
    <w:uiPriority w:val="99"/>
    <w:semiHidden/>
    <w:unhideWhenUsed/>
    <w:rsid w:val="00652D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DEE"/>
    <w:rPr>
      <w:rFonts w:ascii="Segoe UI" w:hAnsi="Segoe UI" w:cs="Segoe UI"/>
      <w:sz w:val="18"/>
      <w:szCs w:val="18"/>
    </w:rPr>
  </w:style>
  <w:style w:type="paragraph" w:styleId="ListParagraph">
    <w:name w:val="List Paragraph"/>
    <w:basedOn w:val="Normal"/>
    <w:uiPriority w:val="34"/>
    <w:qFormat/>
    <w:rsid w:val="00182A48"/>
    <w:pPr>
      <w:ind w:left="720"/>
      <w:contextualSpacing/>
    </w:pPr>
  </w:style>
  <w:style w:type="character" w:styleId="Hyperlink">
    <w:name w:val="Hyperlink"/>
    <w:basedOn w:val="DefaultParagraphFont"/>
    <w:uiPriority w:val="99"/>
    <w:unhideWhenUsed/>
    <w:rsid w:val="00350165"/>
    <w:rPr>
      <w:color w:val="0000FF" w:themeColor="hyperlink"/>
      <w:u w:val="single"/>
    </w:rPr>
  </w:style>
  <w:style w:type="paragraph" w:styleId="Revision">
    <w:name w:val="Revision"/>
    <w:hidden/>
    <w:uiPriority w:val="99"/>
    <w:semiHidden/>
    <w:rsid w:val="00BD03D4"/>
    <w:rPr>
      <w:sz w:val="26"/>
    </w:rPr>
  </w:style>
  <w:style w:type="character" w:styleId="CommentReference">
    <w:name w:val="annotation reference"/>
    <w:basedOn w:val="DefaultParagraphFont"/>
    <w:uiPriority w:val="99"/>
    <w:semiHidden/>
    <w:unhideWhenUsed/>
    <w:rsid w:val="00FD11E0"/>
    <w:rPr>
      <w:sz w:val="16"/>
      <w:szCs w:val="16"/>
    </w:rPr>
  </w:style>
  <w:style w:type="paragraph" w:styleId="CommentText">
    <w:name w:val="annotation text"/>
    <w:basedOn w:val="Normal"/>
    <w:link w:val="CommentTextChar"/>
    <w:uiPriority w:val="99"/>
    <w:semiHidden/>
    <w:unhideWhenUsed/>
    <w:rsid w:val="00FD11E0"/>
    <w:rPr>
      <w:sz w:val="20"/>
    </w:rPr>
  </w:style>
  <w:style w:type="character" w:customStyle="1" w:styleId="CommentTextChar">
    <w:name w:val="Comment Text Char"/>
    <w:basedOn w:val="DefaultParagraphFont"/>
    <w:link w:val="CommentText"/>
    <w:uiPriority w:val="99"/>
    <w:semiHidden/>
    <w:rsid w:val="00FD11E0"/>
  </w:style>
  <w:style w:type="paragraph" w:styleId="CommentSubject">
    <w:name w:val="annotation subject"/>
    <w:basedOn w:val="CommentText"/>
    <w:next w:val="CommentText"/>
    <w:link w:val="CommentSubjectChar"/>
    <w:uiPriority w:val="99"/>
    <w:semiHidden/>
    <w:unhideWhenUsed/>
    <w:rsid w:val="00FD11E0"/>
    <w:rPr>
      <w:b/>
      <w:bCs/>
    </w:rPr>
  </w:style>
  <w:style w:type="character" w:customStyle="1" w:styleId="CommentSubjectChar">
    <w:name w:val="Comment Subject Char"/>
    <w:basedOn w:val="CommentTextChar"/>
    <w:link w:val="CommentSubject"/>
    <w:uiPriority w:val="99"/>
    <w:semiHidden/>
    <w:rsid w:val="00FD11E0"/>
    <w:rPr>
      <w:b/>
      <w:bCs/>
    </w:rPr>
  </w:style>
  <w:style w:type="paragraph" w:styleId="BodyText">
    <w:name w:val="Body Text"/>
    <w:basedOn w:val="Normal"/>
    <w:link w:val="BodyTextChar"/>
    <w:qFormat/>
    <w:rsid w:val="00C61B53"/>
  </w:style>
  <w:style w:type="character" w:customStyle="1" w:styleId="BodyTextChar">
    <w:name w:val="Body Text Char"/>
    <w:basedOn w:val="DefaultParagraphFont"/>
    <w:link w:val="BodyText"/>
    <w:rsid w:val="00C61B53"/>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6265">
      <w:bodyDiv w:val="1"/>
      <w:marLeft w:val="0"/>
      <w:marRight w:val="0"/>
      <w:marTop w:val="0"/>
      <w:marBottom w:val="0"/>
      <w:divBdr>
        <w:top w:val="none" w:sz="0" w:space="0" w:color="auto"/>
        <w:left w:val="none" w:sz="0" w:space="0" w:color="auto"/>
        <w:bottom w:val="none" w:sz="0" w:space="0" w:color="auto"/>
        <w:right w:val="none" w:sz="0" w:space="0" w:color="auto"/>
      </w:divBdr>
      <w:divsChild>
        <w:div w:id="997730670">
          <w:marLeft w:val="0"/>
          <w:marRight w:val="0"/>
          <w:marTop w:val="0"/>
          <w:marBottom w:val="0"/>
          <w:divBdr>
            <w:top w:val="none" w:sz="0" w:space="0" w:color="auto"/>
            <w:left w:val="none" w:sz="0" w:space="0" w:color="auto"/>
            <w:bottom w:val="none" w:sz="0" w:space="0" w:color="auto"/>
            <w:right w:val="none" w:sz="0" w:space="0" w:color="auto"/>
          </w:divBdr>
        </w:div>
      </w:divsChild>
    </w:div>
    <w:div w:id="18431081">
      <w:bodyDiv w:val="1"/>
      <w:marLeft w:val="0"/>
      <w:marRight w:val="0"/>
      <w:marTop w:val="0"/>
      <w:marBottom w:val="0"/>
      <w:divBdr>
        <w:top w:val="none" w:sz="0" w:space="0" w:color="auto"/>
        <w:left w:val="none" w:sz="0" w:space="0" w:color="auto"/>
        <w:bottom w:val="none" w:sz="0" w:space="0" w:color="auto"/>
        <w:right w:val="none" w:sz="0" w:space="0" w:color="auto"/>
      </w:divBdr>
      <w:divsChild>
        <w:div w:id="1024133784">
          <w:marLeft w:val="0"/>
          <w:marRight w:val="0"/>
          <w:marTop w:val="0"/>
          <w:marBottom w:val="0"/>
          <w:divBdr>
            <w:top w:val="none" w:sz="0" w:space="0" w:color="auto"/>
            <w:left w:val="none" w:sz="0" w:space="0" w:color="auto"/>
            <w:bottom w:val="none" w:sz="0" w:space="0" w:color="auto"/>
            <w:right w:val="none" w:sz="0" w:space="0" w:color="auto"/>
          </w:divBdr>
        </w:div>
      </w:divsChild>
    </w:div>
    <w:div w:id="23292436">
      <w:bodyDiv w:val="1"/>
      <w:marLeft w:val="0"/>
      <w:marRight w:val="0"/>
      <w:marTop w:val="0"/>
      <w:marBottom w:val="0"/>
      <w:divBdr>
        <w:top w:val="none" w:sz="0" w:space="0" w:color="auto"/>
        <w:left w:val="none" w:sz="0" w:space="0" w:color="auto"/>
        <w:bottom w:val="none" w:sz="0" w:space="0" w:color="auto"/>
        <w:right w:val="none" w:sz="0" w:space="0" w:color="auto"/>
      </w:divBdr>
      <w:divsChild>
        <w:div w:id="1596816770">
          <w:marLeft w:val="0"/>
          <w:marRight w:val="0"/>
          <w:marTop w:val="0"/>
          <w:marBottom w:val="0"/>
          <w:divBdr>
            <w:top w:val="none" w:sz="0" w:space="0" w:color="auto"/>
            <w:left w:val="none" w:sz="0" w:space="0" w:color="auto"/>
            <w:bottom w:val="none" w:sz="0" w:space="0" w:color="auto"/>
            <w:right w:val="none" w:sz="0" w:space="0" w:color="auto"/>
          </w:divBdr>
        </w:div>
      </w:divsChild>
    </w:div>
    <w:div w:id="27410382">
      <w:bodyDiv w:val="1"/>
      <w:marLeft w:val="0"/>
      <w:marRight w:val="0"/>
      <w:marTop w:val="0"/>
      <w:marBottom w:val="0"/>
      <w:divBdr>
        <w:top w:val="none" w:sz="0" w:space="0" w:color="auto"/>
        <w:left w:val="none" w:sz="0" w:space="0" w:color="auto"/>
        <w:bottom w:val="none" w:sz="0" w:space="0" w:color="auto"/>
        <w:right w:val="none" w:sz="0" w:space="0" w:color="auto"/>
      </w:divBdr>
      <w:divsChild>
        <w:div w:id="1735158041">
          <w:marLeft w:val="0"/>
          <w:marRight w:val="0"/>
          <w:marTop w:val="0"/>
          <w:marBottom w:val="0"/>
          <w:divBdr>
            <w:top w:val="none" w:sz="0" w:space="0" w:color="auto"/>
            <w:left w:val="none" w:sz="0" w:space="0" w:color="auto"/>
            <w:bottom w:val="none" w:sz="0" w:space="0" w:color="auto"/>
            <w:right w:val="none" w:sz="0" w:space="0" w:color="auto"/>
          </w:divBdr>
        </w:div>
      </w:divsChild>
    </w:div>
    <w:div w:id="29916916">
      <w:bodyDiv w:val="1"/>
      <w:marLeft w:val="0"/>
      <w:marRight w:val="0"/>
      <w:marTop w:val="0"/>
      <w:marBottom w:val="0"/>
      <w:divBdr>
        <w:top w:val="none" w:sz="0" w:space="0" w:color="auto"/>
        <w:left w:val="none" w:sz="0" w:space="0" w:color="auto"/>
        <w:bottom w:val="none" w:sz="0" w:space="0" w:color="auto"/>
        <w:right w:val="none" w:sz="0" w:space="0" w:color="auto"/>
      </w:divBdr>
      <w:divsChild>
        <w:div w:id="258757544">
          <w:marLeft w:val="0"/>
          <w:marRight w:val="0"/>
          <w:marTop w:val="0"/>
          <w:marBottom w:val="0"/>
          <w:divBdr>
            <w:top w:val="none" w:sz="0" w:space="0" w:color="auto"/>
            <w:left w:val="none" w:sz="0" w:space="0" w:color="auto"/>
            <w:bottom w:val="none" w:sz="0" w:space="0" w:color="auto"/>
            <w:right w:val="none" w:sz="0" w:space="0" w:color="auto"/>
          </w:divBdr>
        </w:div>
      </w:divsChild>
    </w:div>
    <w:div w:id="30496280">
      <w:bodyDiv w:val="1"/>
      <w:marLeft w:val="0"/>
      <w:marRight w:val="0"/>
      <w:marTop w:val="0"/>
      <w:marBottom w:val="0"/>
      <w:divBdr>
        <w:top w:val="none" w:sz="0" w:space="0" w:color="auto"/>
        <w:left w:val="none" w:sz="0" w:space="0" w:color="auto"/>
        <w:bottom w:val="none" w:sz="0" w:space="0" w:color="auto"/>
        <w:right w:val="none" w:sz="0" w:space="0" w:color="auto"/>
      </w:divBdr>
      <w:divsChild>
        <w:div w:id="998388516">
          <w:marLeft w:val="0"/>
          <w:marRight w:val="0"/>
          <w:marTop w:val="0"/>
          <w:marBottom w:val="0"/>
          <w:divBdr>
            <w:top w:val="none" w:sz="0" w:space="0" w:color="auto"/>
            <w:left w:val="none" w:sz="0" w:space="0" w:color="auto"/>
            <w:bottom w:val="none" w:sz="0" w:space="0" w:color="auto"/>
            <w:right w:val="none" w:sz="0" w:space="0" w:color="auto"/>
          </w:divBdr>
        </w:div>
      </w:divsChild>
    </w:div>
    <w:div w:id="51664203">
      <w:bodyDiv w:val="1"/>
      <w:marLeft w:val="0"/>
      <w:marRight w:val="0"/>
      <w:marTop w:val="0"/>
      <w:marBottom w:val="0"/>
      <w:divBdr>
        <w:top w:val="none" w:sz="0" w:space="0" w:color="auto"/>
        <w:left w:val="none" w:sz="0" w:space="0" w:color="auto"/>
        <w:bottom w:val="none" w:sz="0" w:space="0" w:color="auto"/>
        <w:right w:val="none" w:sz="0" w:space="0" w:color="auto"/>
      </w:divBdr>
      <w:divsChild>
        <w:div w:id="121310052">
          <w:marLeft w:val="0"/>
          <w:marRight w:val="0"/>
          <w:marTop w:val="0"/>
          <w:marBottom w:val="0"/>
          <w:divBdr>
            <w:top w:val="none" w:sz="0" w:space="0" w:color="auto"/>
            <w:left w:val="none" w:sz="0" w:space="0" w:color="auto"/>
            <w:bottom w:val="none" w:sz="0" w:space="0" w:color="auto"/>
            <w:right w:val="none" w:sz="0" w:space="0" w:color="auto"/>
          </w:divBdr>
        </w:div>
      </w:divsChild>
    </w:div>
    <w:div w:id="57672750">
      <w:bodyDiv w:val="1"/>
      <w:marLeft w:val="0"/>
      <w:marRight w:val="0"/>
      <w:marTop w:val="0"/>
      <w:marBottom w:val="0"/>
      <w:divBdr>
        <w:top w:val="none" w:sz="0" w:space="0" w:color="auto"/>
        <w:left w:val="none" w:sz="0" w:space="0" w:color="auto"/>
        <w:bottom w:val="none" w:sz="0" w:space="0" w:color="auto"/>
        <w:right w:val="none" w:sz="0" w:space="0" w:color="auto"/>
      </w:divBdr>
      <w:divsChild>
        <w:div w:id="217671367">
          <w:marLeft w:val="0"/>
          <w:marRight w:val="0"/>
          <w:marTop w:val="0"/>
          <w:marBottom w:val="0"/>
          <w:divBdr>
            <w:top w:val="none" w:sz="0" w:space="0" w:color="auto"/>
            <w:left w:val="none" w:sz="0" w:space="0" w:color="auto"/>
            <w:bottom w:val="none" w:sz="0" w:space="0" w:color="auto"/>
            <w:right w:val="none" w:sz="0" w:space="0" w:color="auto"/>
          </w:divBdr>
        </w:div>
      </w:divsChild>
    </w:div>
    <w:div w:id="57748088">
      <w:bodyDiv w:val="1"/>
      <w:marLeft w:val="0"/>
      <w:marRight w:val="0"/>
      <w:marTop w:val="0"/>
      <w:marBottom w:val="0"/>
      <w:divBdr>
        <w:top w:val="none" w:sz="0" w:space="0" w:color="auto"/>
        <w:left w:val="none" w:sz="0" w:space="0" w:color="auto"/>
        <w:bottom w:val="none" w:sz="0" w:space="0" w:color="auto"/>
        <w:right w:val="none" w:sz="0" w:space="0" w:color="auto"/>
      </w:divBdr>
      <w:divsChild>
        <w:div w:id="1976593919">
          <w:marLeft w:val="0"/>
          <w:marRight w:val="0"/>
          <w:marTop w:val="0"/>
          <w:marBottom w:val="0"/>
          <w:divBdr>
            <w:top w:val="none" w:sz="0" w:space="0" w:color="auto"/>
            <w:left w:val="none" w:sz="0" w:space="0" w:color="auto"/>
            <w:bottom w:val="none" w:sz="0" w:space="0" w:color="auto"/>
            <w:right w:val="none" w:sz="0" w:space="0" w:color="auto"/>
          </w:divBdr>
        </w:div>
      </w:divsChild>
    </w:div>
    <w:div w:id="75058589">
      <w:bodyDiv w:val="1"/>
      <w:marLeft w:val="0"/>
      <w:marRight w:val="0"/>
      <w:marTop w:val="0"/>
      <w:marBottom w:val="0"/>
      <w:divBdr>
        <w:top w:val="none" w:sz="0" w:space="0" w:color="auto"/>
        <w:left w:val="none" w:sz="0" w:space="0" w:color="auto"/>
        <w:bottom w:val="none" w:sz="0" w:space="0" w:color="auto"/>
        <w:right w:val="none" w:sz="0" w:space="0" w:color="auto"/>
      </w:divBdr>
      <w:divsChild>
        <w:div w:id="1518932780">
          <w:marLeft w:val="0"/>
          <w:marRight w:val="0"/>
          <w:marTop w:val="0"/>
          <w:marBottom w:val="0"/>
          <w:divBdr>
            <w:top w:val="none" w:sz="0" w:space="0" w:color="auto"/>
            <w:left w:val="none" w:sz="0" w:space="0" w:color="auto"/>
            <w:bottom w:val="none" w:sz="0" w:space="0" w:color="auto"/>
            <w:right w:val="none" w:sz="0" w:space="0" w:color="auto"/>
          </w:divBdr>
        </w:div>
      </w:divsChild>
    </w:div>
    <w:div w:id="108478226">
      <w:bodyDiv w:val="1"/>
      <w:marLeft w:val="0"/>
      <w:marRight w:val="0"/>
      <w:marTop w:val="0"/>
      <w:marBottom w:val="0"/>
      <w:divBdr>
        <w:top w:val="none" w:sz="0" w:space="0" w:color="auto"/>
        <w:left w:val="none" w:sz="0" w:space="0" w:color="auto"/>
        <w:bottom w:val="none" w:sz="0" w:space="0" w:color="auto"/>
        <w:right w:val="none" w:sz="0" w:space="0" w:color="auto"/>
      </w:divBdr>
      <w:divsChild>
        <w:div w:id="110708341">
          <w:marLeft w:val="0"/>
          <w:marRight w:val="0"/>
          <w:marTop w:val="0"/>
          <w:marBottom w:val="0"/>
          <w:divBdr>
            <w:top w:val="none" w:sz="0" w:space="0" w:color="auto"/>
            <w:left w:val="none" w:sz="0" w:space="0" w:color="auto"/>
            <w:bottom w:val="none" w:sz="0" w:space="0" w:color="auto"/>
            <w:right w:val="none" w:sz="0" w:space="0" w:color="auto"/>
          </w:divBdr>
        </w:div>
      </w:divsChild>
    </w:div>
    <w:div w:id="112750120">
      <w:bodyDiv w:val="1"/>
      <w:marLeft w:val="0"/>
      <w:marRight w:val="0"/>
      <w:marTop w:val="0"/>
      <w:marBottom w:val="0"/>
      <w:divBdr>
        <w:top w:val="none" w:sz="0" w:space="0" w:color="auto"/>
        <w:left w:val="none" w:sz="0" w:space="0" w:color="auto"/>
        <w:bottom w:val="none" w:sz="0" w:space="0" w:color="auto"/>
        <w:right w:val="none" w:sz="0" w:space="0" w:color="auto"/>
      </w:divBdr>
    </w:div>
    <w:div w:id="143746415">
      <w:bodyDiv w:val="1"/>
      <w:marLeft w:val="0"/>
      <w:marRight w:val="0"/>
      <w:marTop w:val="0"/>
      <w:marBottom w:val="0"/>
      <w:divBdr>
        <w:top w:val="none" w:sz="0" w:space="0" w:color="auto"/>
        <w:left w:val="none" w:sz="0" w:space="0" w:color="auto"/>
        <w:bottom w:val="none" w:sz="0" w:space="0" w:color="auto"/>
        <w:right w:val="none" w:sz="0" w:space="0" w:color="auto"/>
      </w:divBdr>
      <w:divsChild>
        <w:div w:id="1405031209">
          <w:marLeft w:val="0"/>
          <w:marRight w:val="0"/>
          <w:marTop w:val="0"/>
          <w:marBottom w:val="0"/>
          <w:divBdr>
            <w:top w:val="none" w:sz="0" w:space="0" w:color="auto"/>
            <w:left w:val="none" w:sz="0" w:space="0" w:color="auto"/>
            <w:bottom w:val="none" w:sz="0" w:space="0" w:color="auto"/>
            <w:right w:val="none" w:sz="0" w:space="0" w:color="auto"/>
          </w:divBdr>
        </w:div>
      </w:divsChild>
    </w:div>
    <w:div w:id="158884498">
      <w:bodyDiv w:val="1"/>
      <w:marLeft w:val="0"/>
      <w:marRight w:val="0"/>
      <w:marTop w:val="0"/>
      <w:marBottom w:val="0"/>
      <w:divBdr>
        <w:top w:val="none" w:sz="0" w:space="0" w:color="auto"/>
        <w:left w:val="none" w:sz="0" w:space="0" w:color="auto"/>
        <w:bottom w:val="none" w:sz="0" w:space="0" w:color="auto"/>
        <w:right w:val="none" w:sz="0" w:space="0" w:color="auto"/>
      </w:divBdr>
      <w:divsChild>
        <w:div w:id="484666903">
          <w:marLeft w:val="0"/>
          <w:marRight w:val="0"/>
          <w:marTop w:val="0"/>
          <w:marBottom w:val="0"/>
          <w:divBdr>
            <w:top w:val="none" w:sz="0" w:space="0" w:color="auto"/>
            <w:left w:val="none" w:sz="0" w:space="0" w:color="auto"/>
            <w:bottom w:val="none" w:sz="0" w:space="0" w:color="auto"/>
            <w:right w:val="none" w:sz="0" w:space="0" w:color="auto"/>
          </w:divBdr>
        </w:div>
      </w:divsChild>
    </w:div>
    <w:div w:id="162090141">
      <w:bodyDiv w:val="1"/>
      <w:marLeft w:val="0"/>
      <w:marRight w:val="0"/>
      <w:marTop w:val="0"/>
      <w:marBottom w:val="0"/>
      <w:divBdr>
        <w:top w:val="none" w:sz="0" w:space="0" w:color="auto"/>
        <w:left w:val="none" w:sz="0" w:space="0" w:color="auto"/>
        <w:bottom w:val="none" w:sz="0" w:space="0" w:color="auto"/>
        <w:right w:val="none" w:sz="0" w:space="0" w:color="auto"/>
      </w:divBdr>
      <w:divsChild>
        <w:div w:id="218902224">
          <w:marLeft w:val="0"/>
          <w:marRight w:val="0"/>
          <w:marTop w:val="0"/>
          <w:marBottom w:val="0"/>
          <w:divBdr>
            <w:top w:val="none" w:sz="0" w:space="0" w:color="auto"/>
            <w:left w:val="none" w:sz="0" w:space="0" w:color="auto"/>
            <w:bottom w:val="none" w:sz="0" w:space="0" w:color="auto"/>
            <w:right w:val="none" w:sz="0" w:space="0" w:color="auto"/>
          </w:divBdr>
        </w:div>
      </w:divsChild>
    </w:div>
    <w:div w:id="206067225">
      <w:bodyDiv w:val="1"/>
      <w:marLeft w:val="0"/>
      <w:marRight w:val="0"/>
      <w:marTop w:val="0"/>
      <w:marBottom w:val="0"/>
      <w:divBdr>
        <w:top w:val="none" w:sz="0" w:space="0" w:color="auto"/>
        <w:left w:val="none" w:sz="0" w:space="0" w:color="auto"/>
        <w:bottom w:val="none" w:sz="0" w:space="0" w:color="auto"/>
        <w:right w:val="none" w:sz="0" w:space="0" w:color="auto"/>
      </w:divBdr>
    </w:div>
    <w:div w:id="212082263">
      <w:bodyDiv w:val="1"/>
      <w:marLeft w:val="0"/>
      <w:marRight w:val="0"/>
      <w:marTop w:val="0"/>
      <w:marBottom w:val="0"/>
      <w:divBdr>
        <w:top w:val="none" w:sz="0" w:space="0" w:color="auto"/>
        <w:left w:val="none" w:sz="0" w:space="0" w:color="auto"/>
        <w:bottom w:val="none" w:sz="0" w:space="0" w:color="auto"/>
        <w:right w:val="none" w:sz="0" w:space="0" w:color="auto"/>
      </w:divBdr>
      <w:divsChild>
        <w:div w:id="1293294137">
          <w:marLeft w:val="0"/>
          <w:marRight w:val="0"/>
          <w:marTop w:val="0"/>
          <w:marBottom w:val="0"/>
          <w:divBdr>
            <w:top w:val="none" w:sz="0" w:space="0" w:color="auto"/>
            <w:left w:val="none" w:sz="0" w:space="0" w:color="auto"/>
            <w:bottom w:val="none" w:sz="0" w:space="0" w:color="auto"/>
            <w:right w:val="none" w:sz="0" w:space="0" w:color="auto"/>
          </w:divBdr>
        </w:div>
      </w:divsChild>
    </w:div>
    <w:div w:id="212548249">
      <w:bodyDiv w:val="1"/>
      <w:marLeft w:val="0"/>
      <w:marRight w:val="0"/>
      <w:marTop w:val="0"/>
      <w:marBottom w:val="0"/>
      <w:divBdr>
        <w:top w:val="none" w:sz="0" w:space="0" w:color="auto"/>
        <w:left w:val="none" w:sz="0" w:space="0" w:color="auto"/>
        <w:bottom w:val="none" w:sz="0" w:space="0" w:color="auto"/>
        <w:right w:val="none" w:sz="0" w:space="0" w:color="auto"/>
      </w:divBdr>
      <w:divsChild>
        <w:div w:id="1837069097">
          <w:marLeft w:val="0"/>
          <w:marRight w:val="0"/>
          <w:marTop w:val="0"/>
          <w:marBottom w:val="0"/>
          <w:divBdr>
            <w:top w:val="none" w:sz="0" w:space="0" w:color="auto"/>
            <w:left w:val="none" w:sz="0" w:space="0" w:color="auto"/>
            <w:bottom w:val="none" w:sz="0" w:space="0" w:color="auto"/>
            <w:right w:val="none" w:sz="0" w:space="0" w:color="auto"/>
          </w:divBdr>
        </w:div>
      </w:divsChild>
    </w:div>
    <w:div w:id="220411521">
      <w:bodyDiv w:val="1"/>
      <w:marLeft w:val="0"/>
      <w:marRight w:val="0"/>
      <w:marTop w:val="0"/>
      <w:marBottom w:val="0"/>
      <w:divBdr>
        <w:top w:val="none" w:sz="0" w:space="0" w:color="auto"/>
        <w:left w:val="none" w:sz="0" w:space="0" w:color="auto"/>
        <w:bottom w:val="none" w:sz="0" w:space="0" w:color="auto"/>
        <w:right w:val="none" w:sz="0" w:space="0" w:color="auto"/>
      </w:divBdr>
      <w:divsChild>
        <w:div w:id="2106875450">
          <w:marLeft w:val="0"/>
          <w:marRight w:val="0"/>
          <w:marTop w:val="0"/>
          <w:marBottom w:val="0"/>
          <w:divBdr>
            <w:top w:val="none" w:sz="0" w:space="0" w:color="auto"/>
            <w:left w:val="none" w:sz="0" w:space="0" w:color="auto"/>
            <w:bottom w:val="none" w:sz="0" w:space="0" w:color="auto"/>
            <w:right w:val="none" w:sz="0" w:space="0" w:color="auto"/>
          </w:divBdr>
        </w:div>
      </w:divsChild>
    </w:div>
    <w:div w:id="258219434">
      <w:bodyDiv w:val="1"/>
      <w:marLeft w:val="0"/>
      <w:marRight w:val="0"/>
      <w:marTop w:val="0"/>
      <w:marBottom w:val="0"/>
      <w:divBdr>
        <w:top w:val="none" w:sz="0" w:space="0" w:color="auto"/>
        <w:left w:val="none" w:sz="0" w:space="0" w:color="auto"/>
        <w:bottom w:val="none" w:sz="0" w:space="0" w:color="auto"/>
        <w:right w:val="none" w:sz="0" w:space="0" w:color="auto"/>
      </w:divBdr>
      <w:divsChild>
        <w:div w:id="1195189961">
          <w:marLeft w:val="0"/>
          <w:marRight w:val="0"/>
          <w:marTop w:val="0"/>
          <w:marBottom w:val="0"/>
          <w:divBdr>
            <w:top w:val="none" w:sz="0" w:space="0" w:color="auto"/>
            <w:left w:val="none" w:sz="0" w:space="0" w:color="auto"/>
            <w:bottom w:val="none" w:sz="0" w:space="0" w:color="auto"/>
            <w:right w:val="none" w:sz="0" w:space="0" w:color="auto"/>
          </w:divBdr>
        </w:div>
      </w:divsChild>
    </w:div>
    <w:div w:id="273634270">
      <w:bodyDiv w:val="1"/>
      <w:marLeft w:val="0"/>
      <w:marRight w:val="0"/>
      <w:marTop w:val="0"/>
      <w:marBottom w:val="0"/>
      <w:divBdr>
        <w:top w:val="none" w:sz="0" w:space="0" w:color="auto"/>
        <w:left w:val="none" w:sz="0" w:space="0" w:color="auto"/>
        <w:bottom w:val="none" w:sz="0" w:space="0" w:color="auto"/>
        <w:right w:val="none" w:sz="0" w:space="0" w:color="auto"/>
      </w:divBdr>
      <w:divsChild>
        <w:div w:id="1641691754">
          <w:marLeft w:val="0"/>
          <w:marRight w:val="0"/>
          <w:marTop w:val="0"/>
          <w:marBottom w:val="0"/>
          <w:divBdr>
            <w:top w:val="none" w:sz="0" w:space="0" w:color="auto"/>
            <w:left w:val="none" w:sz="0" w:space="0" w:color="auto"/>
            <w:bottom w:val="none" w:sz="0" w:space="0" w:color="auto"/>
            <w:right w:val="none" w:sz="0" w:space="0" w:color="auto"/>
          </w:divBdr>
        </w:div>
      </w:divsChild>
    </w:div>
    <w:div w:id="277421233">
      <w:bodyDiv w:val="1"/>
      <w:marLeft w:val="0"/>
      <w:marRight w:val="0"/>
      <w:marTop w:val="0"/>
      <w:marBottom w:val="0"/>
      <w:divBdr>
        <w:top w:val="none" w:sz="0" w:space="0" w:color="auto"/>
        <w:left w:val="none" w:sz="0" w:space="0" w:color="auto"/>
        <w:bottom w:val="none" w:sz="0" w:space="0" w:color="auto"/>
        <w:right w:val="none" w:sz="0" w:space="0" w:color="auto"/>
      </w:divBdr>
    </w:div>
    <w:div w:id="305741231">
      <w:bodyDiv w:val="1"/>
      <w:marLeft w:val="0"/>
      <w:marRight w:val="0"/>
      <w:marTop w:val="0"/>
      <w:marBottom w:val="0"/>
      <w:divBdr>
        <w:top w:val="none" w:sz="0" w:space="0" w:color="auto"/>
        <w:left w:val="none" w:sz="0" w:space="0" w:color="auto"/>
        <w:bottom w:val="none" w:sz="0" w:space="0" w:color="auto"/>
        <w:right w:val="none" w:sz="0" w:space="0" w:color="auto"/>
      </w:divBdr>
      <w:divsChild>
        <w:div w:id="125592206">
          <w:marLeft w:val="0"/>
          <w:marRight w:val="0"/>
          <w:marTop w:val="0"/>
          <w:marBottom w:val="0"/>
          <w:divBdr>
            <w:top w:val="none" w:sz="0" w:space="0" w:color="auto"/>
            <w:left w:val="none" w:sz="0" w:space="0" w:color="auto"/>
            <w:bottom w:val="none" w:sz="0" w:space="0" w:color="auto"/>
            <w:right w:val="none" w:sz="0" w:space="0" w:color="auto"/>
          </w:divBdr>
        </w:div>
      </w:divsChild>
    </w:div>
    <w:div w:id="321130896">
      <w:bodyDiv w:val="1"/>
      <w:marLeft w:val="0"/>
      <w:marRight w:val="0"/>
      <w:marTop w:val="0"/>
      <w:marBottom w:val="0"/>
      <w:divBdr>
        <w:top w:val="none" w:sz="0" w:space="0" w:color="auto"/>
        <w:left w:val="none" w:sz="0" w:space="0" w:color="auto"/>
        <w:bottom w:val="none" w:sz="0" w:space="0" w:color="auto"/>
        <w:right w:val="none" w:sz="0" w:space="0" w:color="auto"/>
      </w:divBdr>
    </w:div>
    <w:div w:id="329065186">
      <w:bodyDiv w:val="1"/>
      <w:marLeft w:val="0"/>
      <w:marRight w:val="0"/>
      <w:marTop w:val="0"/>
      <w:marBottom w:val="0"/>
      <w:divBdr>
        <w:top w:val="none" w:sz="0" w:space="0" w:color="auto"/>
        <w:left w:val="none" w:sz="0" w:space="0" w:color="auto"/>
        <w:bottom w:val="none" w:sz="0" w:space="0" w:color="auto"/>
        <w:right w:val="none" w:sz="0" w:space="0" w:color="auto"/>
      </w:divBdr>
      <w:divsChild>
        <w:div w:id="1684478645">
          <w:marLeft w:val="0"/>
          <w:marRight w:val="0"/>
          <w:marTop w:val="0"/>
          <w:marBottom w:val="0"/>
          <w:divBdr>
            <w:top w:val="none" w:sz="0" w:space="0" w:color="auto"/>
            <w:left w:val="none" w:sz="0" w:space="0" w:color="auto"/>
            <w:bottom w:val="none" w:sz="0" w:space="0" w:color="auto"/>
            <w:right w:val="none" w:sz="0" w:space="0" w:color="auto"/>
          </w:divBdr>
        </w:div>
      </w:divsChild>
    </w:div>
    <w:div w:id="340015481">
      <w:bodyDiv w:val="1"/>
      <w:marLeft w:val="0"/>
      <w:marRight w:val="0"/>
      <w:marTop w:val="0"/>
      <w:marBottom w:val="0"/>
      <w:divBdr>
        <w:top w:val="none" w:sz="0" w:space="0" w:color="auto"/>
        <w:left w:val="none" w:sz="0" w:space="0" w:color="auto"/>
        <w:bottom w:val="none" w:sz="0" w:space="0" w:color="auto"/>
        <w:right w:val="none" w:sz="0" w:space="0" w:color="auto"/>
      </w:divBdr>
      <w:divsChild>
        <w:div w:id="1836843799">
          <w:marLeft w:val="0"/>
          <w:marRight w:val="0"/>
          <w:marTop w:val="0"/>
          <w:marBottom w:val="0"/>
          <w:divBdr>
            <w:top w:val="none" w:sz="0" w:space="0" w:color="auto"/>
            <w:left w:val="none" w:sz="0" w:space="0" w:color="auto"/>
            <w:bottom w:val="none" w:sz="0" w:space="0" w:color="auto"/>
            <w:right w:val="none" w:sz="0" w:space="0" w:color="auto"/>
          </w:divBdr>
        </w:div>
      </w:divsChild>
    </w:div>
    <w:div w:id="389043143">
      <w:bodyDiv w:val="1"/>
      <w:marLeft w:val="0"/>
      <w:marRight w:val="0"/>
      <w:marTop w:val="0"/>
      <w:marBottom w:val="0"/>
      <w:divBdr>
        <w:top w:val="none" w:sz="0" w:space="0" w:color="auto"/>
        <w:left w:val="none" w:sz="0" w:space="0" w:color="auto"/>
        <w:bottom w:val="none" w:sz="0" w:space="0" w:color="auto"/>
        <w:right w:val="none" w:sz="0" w:space="0" w:color="auto"/>
      </w:divBdr>
      <w:divsChild>
        <w:div w:id="2066761296">
          <w:marLeft w:val="0"/>
          <w:marRight w:val="0"/>
          <w:marTop w:val="0"/>
          <w:marBottom w:val="0"/>
          <w:divBdr>
            <w:top w:val="none" w:sz="0" w:space="0" w:color="auto"/>
            <w:left w:val="none" w:sz="0" w:space="0" w:color="auto"/>
            <w:bottom w:val="none" w:sz="0" w:space="0" w:color="auto"/>
            <w:right w:val="none" w:sz="0" w:space="0" w:color="auto"/>
          </w:divBdr>
        </w:div>
      </w:divsChild>
    </w:div>
    <w:div w:id="426317389">
      <w:bodyDiv w:val="1"/>
      <w:marLeft w:val="0"/>
      <w:marRight w:val="0"/>
      <w:marTop w:val="0"/>
      <w:marBottom w:val="0"/>
      <w:divBdr>
        <w:top w:val="none" w:sz="0" w:space="0" w:color="auto"/>
        <w:left w:val="none" w:sz="0" w:space="0" w:color="auto"/>
        <w:bottom w:val="none" w:sz="0" w:space="0" w:color="auto"/>
        <w:right w:val="none" w:sz="0" w:space="0" w:color="auto"/>
      </w:divBdr>
      <w:divsChild>
        <w:div w:id="2111701153">
          <w:marLeft w:val="0"/>
          <w:marRight w:val="0"/>
          <w:marTop w:val="0"/>
          <w:marBottom w:val="0"/>
          <w:divBdr>
            <w:top w:val="none" w:sz="0" w:space="0" w:color="auto"/>
            <w:left w:val="none" w:sz="0" w:space="0" w:color="auto"/>
            <w:bottom w:val="none" w:sz="0" w:space="0" w:color="auto"/>
            <w:right w:val="none" w:sz="0" w:space="0" w:color="auto"/>
          </w:divBdr>
        </w:div>
      </w:divsChild>
    </w:div>
    <w:div w:id="433286613">
      <w:bodyDiv w:val="1"/>
      <w:marLeft w:val="0"/>
      <w:marRight w:val="0"/>
      <w:marTop w:val="0"/>
      <w:marBottom w:val="0"/>
      <w:divBdr>
        <w:top w:val="none" w:sz="0" w:space="0" w:color="auto"/>
        <w:left w:val="none" w:sz="0" w:space="0" w:color="auto"/>
        <w:bottom w:val="none" w:sz="0" w:space="0" w:color="auto"/>
        <w:right w:val="none" w:sz="0" w:space="0" w:color="auto"/>
      </w:divBdr>
      <w:divsChild>
        <w:div w:id="1980570273">
          <w:marLeft w:val="0"/>
          <w:marRight w:val="0"/>
          <w:marTop w:val="0"/>
          <w:marBottom w:val="0"/>
          <w:divBdr>
            <w:top w:val="none" w:sz="0" w:space="0" w:color="auto"/>
            <w:left w:val="none" w:sz="0" w:space="0" w:color="auto"/>
            <w:bottom w:val="none" w:sz="0" w:space="0" w:color="auto"/>
            <w:right w:val="none" w:sz="0" w:space="0" w:color="auto"/>
          </w:divBdr>
        </w:div>
      </w:divsChild>
    </w:div>
    <w:div w:id="439497653">
      <w:bodyDiv w:val="1"/>
      <w:marLeft w:val="0"/>
      <w:marRight w:val="0"/>
      <w:marTop w:val="0"/>
      <w:marBottom w:val="0"/>
      <w:divBdr>
        <w:top w:val="none" w:sz="0" w:space="0" w:color="auto"/>
        <w:left w:val="none" w:sz="0" w:space="0" w:color="auto"/>
        <w:bottom w:val="none" w:sz="0" w:space="0" w:color="auto"/>
        <w:right w:val="none" w:sz="0" w:space="0" w:color="auto"/>
      </w:divBdr>
      <w:divsChild>
        <w:div w:id="1473058341">
          <w:marLeft w:val="0"/>
          <w:marRight w:val="0"/>
          <w:marTop w:val="0"/>
          <w:marBottom w:val="0"/>
          <w:divBdr>
            <w:top w:val="none" w:sz="0" w:space="0" w:color="auto"/>
            <w:left w:val="none" w:sz="0" w:space="0" w:color="auto"/>
            <w:bottom w:val="none" w:sz="0" w:space="0" w:color="auto"/>
            <w:right w:val="none" w:sz="0" w:space="0" w:color="auto"/>
          </w:divBdr>
        </w:div>
      </w:divsChild>
    </w:div>
    <w:div w:id="447509926">
      <w:bodyDiv w:val="1"/>
      <w:marLeft w:val="0"/>
      <w:marRight w:val="0"/>
      <w:marTop w:val="0"/>
      <w:marBottom w:val="0"/>
      <w:divBdr>
        <w:top w:val="none" w:sz="0" w:space="0" w:color="auto"/>
        <w:left w:val="none" w:sz="0" w:space="0" w:color="auto"/>
        <w:bottom w:val="none" w:sz="0" w:space="0" w:color="auto"/>
        <w:right w:val="none" w:sz="0" w:space="0" w:color="auto"/>
      </w:divBdr>
      <w:divsChild>
        <w:div w:id="1678849635">
          <w:marLeft w:val="0"/>
          <w:marRight w:val="0"/>
          <w:marTop w:val="0"/>
          <w:marBottom w:val="0"/>
          <w:divBdr>
            <w:top w:val="none" w:sz="0" w:space="0" w:color="auto"/>
            <w:left w:val="none" w:sz="0" w:space="0" w:color="auto"/>
            <w:bottom w:val="none" w:sz="0" w:space="0" w:color="auto"/>
            <w:right w:val="none" w:sz="0" w:space="0" w:color="auto"/>
          </w:divBdr>
        </w:div>
      </w:divsChild>
    </w:div>
    <w:div w:id="451947416">
      <w:bodyDiv w:val="1"/>
      <w:marLeft w:val="0"/>
      <w:marRight w:val="0"/>
      <w:marTop w:val="0"/>
      <w:marBottom w:val="0"/>
      <w:divBdr>
        <w:top w:val="none" w:sz="0" w:space="0" w:color="auto"/>
        <w:left w:val="none" w:sz="0" w:space="0" w:color="auto"/>
        <w:bottom w:val="none" w:sz="0" w:space="0" w:color="auto"/>
        <w:right w:val="none" w:sz="0" w:space="0" w:color="auto"/>
      </w:divBdr>
      <w:divsChild>
        <w:div w:id="680668791">
          <w:marLeft w:val="0"/>
          <w:marRight w:val="0"/>
          <w:marTop w:val="0"/>
          <w:marBottom w:val="0"/>
          <w:divBdr>
            <w:top w:val="none" w:sz="0" w:space="0" w:color="auto"/>
            <w:left w:val="none" w:sz="0" w:space="0" w:color="auto"/>
            <w:bottom w:val="none" w:sz="0" w:space="0" w:color="auto"/>
            <w:right w:val="none" w:sz="0" w:space="0" w:color="auto"/>
          </w:divBdr>
        </w:div>
      </w:divsChild>
    </w:div>
    <w:div w:id="453252178">
      <w:bodyDiv w:val="1"/>
      <w:marLeft w:val="0"/>
      <w:marRight w:val="0"/>
      <w:marTop w:val="0"/>
      <w:marBottom w:val="0"/>
      <w:divBdr>
        <w:top w:val="none" w:sz="0" w:space="0" w:color="auto"/>
        <w:left w:val="none" w:sz="0" w:space="0" w:color="auto"/>
        <w:bottom w:val="none" w:sz="0" w:space="0" w:color="auto"/>
        <w:right w:val="none" w:sz="0" w:space="0" w:color="auto"/>
      </w:divBdr>
      <w:divsChild>
        <w:div w:id="25260624">
          <w:marLeft w:val="0"/>
          <w:marRight w:val="0"/>
          <w:marTop w:val="0"/>
          <w:marBottom w:val="0"/>
          <w:divBdr>
            <w:top w:val="none" w:sz="0" w:space="0" w:color="auto"/>
            <w:left w:val="none" w:sz="0" w:space="0" w:color="auto"/>
            <w:bottom w:val="none" w:sz="0" w:space="0" w:color="auto"/>
            <w:right w:val="none" w:sz="0" w:space="0" w:color="auto"/>
          </w:divBdr>
        </w:div>
      </w:divsChild>
    </w:div>
    <w:div w:id="498349186">
      <w:bodyDiv w:val="1"/>
      <w:marLeft w:val="0"/>
      <w:marRight w:val="0"/>
      <w:marTop w:val="0"/>
      <w:marBottom w:val="0"/>
      <w:divBdr>
        <w:top w:val="none" w:sz="0" w:space="0" w:color="auto"/>
        <w:left w:val="none" w:sz="0" w:space="0" w:color="auto"/>
        <w:bottom w:val="none" w:sz="0" w:space="0" w:color="auto"/>
        <w:right w:val="none" w:sz="0" w:space="0" w:color="auto"/>
      </w:divBdr>
      <w:divsChild>
        <w:div w:id="1946843539">
          <w:marLeft w:val="0"/>
          <w:marRight w:val="0"/>
          <w:marTop w:val="0"/>
          <w:marBottom w:val="0"/>
          <w:divBdr>
            <w:top w:val="none" w:sz="0" w:space="0" w:color="auto"/>
            <w:left w:val="none" w:sz="0" w:space="0" w:color="auto"/>
            <w:bottom w:val="none" w:sz="0" w:space="0" w:color="auto"/>
            <w:right w:val="none" w:sz="0" w:space="0" w:color="auto"/>
          </w:divBdr>
        </w:div>
      </w:divsChild>
    </w:div>
    <w:div w:id="515925811">
      <w:bodyDiv w:val="1"/>
      <w:marLeft w:val="0"/>
      <w:marRight w:val="0"/>
      <w:marTop w:val="0"/>
      <w:marBottom w:val="0"/>
      <w:divBdr>
        <w:top w:val="none" w:sz="0" w:space="0" w:color="auto"/>
        <w:left w:val="none" w:sz="0" w:space="0" w:color="auto"/>
        <w:bottom w:val="none" w:sz="0" w:space="0" w:color="auto"/>
        <w:right w:val="none" w:sz="0" w:space="0" w:color="auto"/>
      </w:divBdr>
      <w:divsChild>
        <w:div w:id="235675781">
          <w:marLeft w:val="0"/>
          <w:marRight w:val="0"/>
          <w:marTop w:val="0"/>
          <w:marBottom w:val="0"/>
          <w:divBdr>
            <w:top w:val="none" w:sz="0" w:space="0" w:color="auto"/>
            <w:left w:val="none" w:sz="0" w:space="0" w:color="auto"/>
            <w:bottom w:val="none" w:sz="0" w:space="0" w:color="auto"/>
            <w:right w:val="none" w:sz="0" w:space="0" w:color="auto"/>
          </w:divBdr>
        </w:div>
      </w:divsChild>
    </w:div>
    <w:div w:id="609897523">
      <w:bodyDiv w:val="1"/>
      <w:marLeft w:val="0"/>
      <w:marRight w:val="0"/>
      <w:marTop w:val="0"/>
      <w:marBottom w:val="0"/>
      <w:divBdr>
        <w:top w:val="none" w:sz="0" w:space="0" w:color="auto"/>
        <w:left w:val="none" w:sz="0" w:space="0" w:color="auto"/>
        <w:bottom w:val="none" w:sz="0" w:space="0" w:color="auto"/>
        <w:right w:val="none" w:sz="0" w:space="0" w:color="auto"/>
      </w:divBdr>
    </w:div>
    <w:div w:id="616832847">
      <w:bodyDiv w:val="1"/>
      <w:marLeft w:val="0"/>
      <w:marRight w:val="0"/>
      <w:marTop w:val="0"/>
      <w:marBottom w:val="0"/>
      <w:divBdr>
        <w:top w:val="none" w:sz="0" w:space="0" w:color="auto"/>
        <w:left w:val="none" w:sz="0" w:space="0" w:color="auto"/>
        <w:bottom w:val="none" w:sz="0" w:space="0" w:color="auto"/>
        <w:right w:val="none" w:sz="0" w:space="0" w:color="auto"/>
      </w:divBdr>
      <w:divsChild>
        <w:div w:id="1268349745">
          <w:marLeft w:val="0"/>
          <w:marRight w:val="0"/>
          <w:marTop w:val="0"/>
          <w:marBottom w:val="0"/>
          <w:divBdr>
            <w:top w:val="none" w:sz="0" w:space="0" w:color="auto"/>
            <w:left w:val="none" w:sz="0" w:space="0" w:color="auto"/>
            <w:bottom w:val="none" w:sz="0" w:space="0" w:color="auto"/>
            <w:right w:val="none" w:sz="0" w:space="0" w:color="auto"/>
          </w:divBdr>
        </w:div>
      </w:divsChild>
    </w:div>
    <w:div w:id="626593369">
      <w:bodyDiv w:val="1"/>
      <w:marLeft w:val="0"/>
      <w:marRight w:val="0"/>
      <w:marTop w:val="0"/>
      <w:marBottom w:val="0"/>
      <w:divBdr>
        <w:top w:val="none" w:sz="0" w:space="0" w:color="auto"/>
        <w:left w:val="none" w:sz="0" w:space="0" w:color="auto"/>
        <w:bottom w:val="none" w:sz="0" w:space="0" w:color="auto"/>
        <w:right w:val="none" w:sz="0" w:space="0" w:color="auto"/>
      </w:divBdr>
      <w:divsChild>
        <w:div w:id="1789664906">
          <w:marLeft w:val="0"/>
          <w:marRight w:val="0"/>
          <w:marTop w:val="0"/>
          <w:marBottom w:val="0"/>
          <w:divBdr>
            <w:top w:val="none" w:sz="0" w:space="0" w:color="auto"/>
            <w:left w:val="none" w:sz="0" w:space="0" w:color="auto"/>
            <w:bottom w:val="none" w:sz="0" w:space="0" w:color="auto"/>
            <w:right w:val="none" w:sz="0" w:space="0" w:color="auto"/>
          </w:divBdr>
        </w:div>
      </w:divsChild>
    </w:div>
    <w:div w:id="634608230">
      <w:bodyDiv w:val="1"/>
      <w:marLeft w:val="0"/>
      <w:marRight w:val="0"/>
      <w:marTop w:val="0"/>
      <w:marBottom w:val="0"/>
      <w:divBdr>
        <w:top w:val="none" w:sz="0" w:space="0" w:color="auto"/>
        <w:left w:val="none" w:sz="0" w:space="0" w:color="auto"/>
        <w:bottom w:val="none" w:sz="0" w:space="0" w:color="auto"/>
        <w:right w:val="none" w:sz="0" w:space="0" w:color="auto"/>
      </w:divBdr>
      <w:divsChild>
        <w:div w:id="470174523">
          <w:marLeft w:val="0"/>
          <w:marRight w:val="0"/>
          <w:marTop w:val="0"/>
          <w:marBottom w:val="0"/>
          <w:divBdr>
            <w:top w:val="none" w:sz="0" w:space="0" w:color="auto"/>
            <w:left w:val="none" w:sz="0" w:space="0" w:color="auto"/>
            <w:bottom w:val="none" w:sz="0" w:space="0" w:color="auto"/>
            <w:right w:val="none" w:sz="0" w:space="0" w:color="auto"/>
          </w:divBdr>
        </w:div>
      </w:divsChild>
    </w:div>
    <w:div w:id="657923350">
      <w:bodyDiv w:val="1"/>
      <w:marLeft w:val="0"/>
      <w:marRight w:val="0"/>
      <w:marTop w:val="0"/>
      <w:marBottom w:val="0"/>
      <w:divBdr>
        <w:top w:val="none" w:sz="0" w:space="0" w:color="auto"/>
        <w:left w:val="none" w:sz="0" w:space="0" w:color="auto"/>
        <w:bottom w:val="none" w:sz="0" w:space="0" w:color="auto"/>
        <w:right w:val="none" w:sz="0" w:space="0" w:color="auto"/>
      </w:divBdr>
      <w:divsChild>
        <w:div w:id="355160758">
          <w:marLeft w:val="0"/>
          <w:marRight w:val="0"/>
          <w:marTop w:val="0"/>
          <w:marBottom w:val="0"/>
          <w:divBdr>
            <w:top w:val="none" w:sz="0" w:space="0" w:color="auto"/>
            <w:left w:val="none" w:sz="0" w:space="0" w:color="auto"/>
            <w:bottom w:val="none" w:sz="0" w:space="0" w:color="auto"/>
            <w:right w:val="none" w:sz="0" w:space="0" w:color="auto"/>
          </w:divBdr>
        </w:div>
      </w:divsChild>
    </w:div>
    <w:div w:id="682827612">
      <w:bodyDiv w:val="1"/>
      <w:marLeft w:val="0"/>
      <w:marRight w:val="0"/>
      <w:marTop w:val="0"/>
      <w:marBottom w:val="0"/>
      <w:divBdr>
        <w:top w:val="none" w:sz="0" w:space="0" w:color="auto"/>
        <w:left w:val="none" w:sz="0" w:space="0" w:color="auto"/>
        <w:bottom w:val="none" w:sz="0" w:space="0" w:color="auto"/>
        <w:right w:val="none" w:sz="0" w:space="0" w:color="auto"/>
      </w:divBdr>
      <w:divsChild>
        <w:div w:id="1547837823">
          <w:marLeft w:val="0"/>
          <w:marRight w:val="0"/>
          <w:marTop w:val="0"/>
          <w:marBottom w:val="0"/>
          <w:divBdr>
            <w:top w:val="none" w:sz="0" w:space="0" w:color="auto"/>
            <w:left w:val="none" w:sz="0" w:space="0" w:color="auto"/>
            <w:bottom w:val="none" w:sz="0" w:space="0" w:color="auto"/>
            <w:right w:val="none" w:sz="0" w:space="0" w:color="auto"/>
          </w:divBdr>
        </w:div>
      </w:divsChild>
    </w:div>
    <w:div w:id="688218835">
      <w:bodyDiv w:val="1"/>
      <w:marLeft w:val="0"/>
      <w:marRight w:val="0"/>
      <w:marTop w:val="0"/>
      <w:marBottom w:val="0"/>
      <w:divBdr>
        <w:top w:val="none" w:sz="0" w:space="0" w:color="auto"/>
        <w:left w:val="none" w:sz="0" w:space="0" w:color="auto"/>
        <w:bottom w:val="none" w:sz="0" w:space="0" w:color="auto"/>
        <w:right w:val="none" w:sz="0" w:space="0" w:color="auto"/>
      </w:divBdr>
      <w:divsChild>
        <w:div w:id="371274480">
          <w:marLeft w:val="0"/>
          <w:marRight w:val="0"/>
          <w:marTop w:val="0"/>
          <w:marBottom w:val="0"/>
          <w:divBdr>
            <w:top w:val="none" w:sz="0" w:space="0" w:color="auto"/>
            <w:left w:val="none" w:sz="0" w:space="0" w:color="auto"/>
            <w:bottom w:val="none" w:sz="0" w:space="0" w:color="auto"/>
            <w:right w:val="none" w:sz="0" w:space="0" w:color="auto"/>
          </w:divBdr>
        </w:div>
      </w:divsChild>
    </w:div>
    <w:div w:id="694842075">
      <w:bodyDiv w:val="1"/>
      <w:marLeft w:val="0"/>
      <w:marRight w:val="0"/>
      <w:marTop w:val="0"/>
      <w:marBottom w:val="0"/>
      <w:divBdr>
        <w:top w:val="none" w:sz="0" w:space="0" w:color="auto"/>
        <w:left w:val="none" w:sz="0" w:space="0" w:color="auto"/>
        <w:bottom w:val="none" w:sz="0" w:space="0" w:color="auto"/>
        <w:right w:val="none" w:sz="0" w:space="0" w:color="auto"/>
      </w:divBdr>
      <w:divsChild>
        <w:div w:id="129906232">
          <w:marLeft w:val="0"/>
          <w:marRight w:val="0"/>
          <w:marTop w:val="0"/>
          <w:marBottom w:val="0"/>
          <w:divBdr>
            <w:top w:val="none" w:sz="0" w:space="0" w:color="auto"/>
            <w:left w:val="none" w:sz="0" w:space="0" w:color="auto"/>
            <w:bottom w:val="none" w:sz="0" w:space="0" w:color="auto"/>
            <w:right w:val="none" w:sz="0" w:space="0" w:color="auto"/>
          </w:divBdr>
        </w:div>
      </w:divsChild>
    </w:div>
    <w:div w:id="696663740">
      <w:bodyDiv w:val="1"/>
      <w:marLeft w:val="0"/>
      <w:marRight w:val="0"/>
      <w:marTop w:val="0"/>
      <w:marBottom w:val="0"/>
      <w:divBdr>
        <w:top w:val="none" w:sz="0" w:space="0" w:color="auto"/>
        <w:left w:val="none" w:sz="0" w:space="0" w:color="auto"/>
        <w:bottom w:val="none" w:sz="0" w:space="0" w:color="auto"/>
        <w:right w:val="none" w:sz="0" w:space="0" w:color="auto"/>
      </w:divBdr>
      <w:divsChild>
        <w:div w:id="2007517393">
          <w:marLeft w:val="0"/>
          <w:marRight w:val="0"/>
          <w:marTop w:val="0"/>
          <w:marBottom w:val="0"/>
          <w:divBdr>
            <w:top w:val="none" w:sz="0" w:space="0" w:color="auto"/>
            <w:left w:val="none" w:sz="0" w:space="0" w:color="auto"/>
            <w:bottom w:val="none" w:sz="0" w:space="0" w:color="auto"/>
            <w:right w:val="none" w:sz="0" w:space="0" w:color="auto"/>
          </w:divBdr>
        </w:div>
      </w:divsChild>
    </w:div>
    <w:div w:id="718358681">
      <w:bodyDiv w:val="1"/>
      <w:marLeft w:val="0"/>
      <w:marRight w:val="0"/>
      <w:marTop w:val="0"/>
      <w:marBottom w:val="0"/>
      <w:divBdr>
        <w:top w:val="none" w:sz="0" w:space="0" w:color="auto"/>
        <w:left w:val="none" w:sz="0" w:space="0" w:color="auto"/>
        <w:bottom w:val="none" w:sz="0" w:space="0" w:color="auto"/>
        <w:right w:val="none" w:sz="0" w:space="0" w:color="auto"/>
      </w:divBdr>
    </w:div>
    <w:div w:id="729773192">
      <w:bodyDiv w:val="1"/>
      <w:marLeft w:val="0"/>
      <w:marRight w:val="0"/>
      <w:marTop w:val="0"/>
      <w:marBottom w:val="0"/>
      <w:divBdr>
        <w:top w:val="none" w:sz="0" w:space="0" w:color="auto"/>
        <w:left w:val="none" w:sz="0" w:space="0" w:color="auto"/>
        <w:bottom w:val="none" w:sz="0" w:space="0" w:color="auto"/>
        <w:right w:val="none" w:sz="0" w:space="0" w:color="auto"/>
      </w:divBdr>
      <w:divsChild>
        <w:div w:id="1157965474">
          <w:marLeft w:val="0"/>
          <w:marRight w:val="0"/>
          <w:marTop w:val="0"/>
          <w:marBottom w:val="0"/>
          <w:divBdr>
            <w:top w:val="none" w:sz="0" w:space="0" w:color="auto"/>
            <w:left w:val="none" w:sz="0" w:space="0" w:color="auto"/>
            <w:bottom w:val="none" w:sz="0" w:space="0" w:color="auto"/>
            <w:right w:val="none" w:sz="0" w:space="0" w:color="auto"/>
          </w:divBdr>
        </w:div>
      </w:divsChild>
    </w:div>
    <w:div w:id="734620356">
      <w:bodyDiv w:val="1"/>
      <w:marLeft w:val="0"/>
      <w:marRight w:val="0"/>
      <w:marTop w:val="0"/>
      <w:marBottom w:val="0"/>
      <w:divBdr>
        <w:top w:val="none" w:sz="0" w:space="0" w:color="auto"/>
        <w:left w:val="none" w:sz="0" w:space="0" w:color="auto"/>
        <w:bottom w:val="none" w:sz="0" w:space="0" w:color="auto"/>
        <w:right w:val="none" w:sz="0" w:space="0" w:color="auto"/>
      </w:divBdr>
      <w:divsChild>
        <w:div w:id="1761218088">
          <w:marLeft w:val="0"/>
          <w:marRight w:val="0"/>
          <w:marTop w:val="0"/>
          <w:marBottom w:val="0"/>
          <w:divBdr>
            <w:top w:val="none" w:sz="0" w:space="0" w:color="auto"/>
            <w:left w:val="none" w:sz="0" w:space="0" w:color="auto"/>
            <w:bottom w:val="none" w:sz="0" w:space="0" w:color="auto"/>
            <w:right w:val="none" w:sz="0" w:space="0" w:color="auto"/>
          </w:divBdr>
        </w:div>
      </w:divsChild>
    </w:div>
    <w:div w:id="754975494">
      <w:bodyDiv w:val="1"/>
      <w:marLeft w:val="0"/>
      <w:marRight w:val="0"/>
      <w:marTop w:val="0"/>
      <w:marBottom w:val="0"/>
      <w:divBdr>
        <w:top w:val="none" w:sz="0" w:space="0" w:color="auto"/>
        <w:left w:val="none" w:sz="0" w:space="0" w:color="auto"/>
        <w:bottom w:val="none" w:sz="0" w:space="0" w:color="auto"/>
        <w:right w:val="none" w:sz="0" w:space="0" w:color="auto"/>
      </w:divBdr>
      <w:divsChild>
        <w:div w:id="91822963">
          <w:marLeft w:val="0"/>
          <w:marRight w:val="0"/>
          <w:marTop w:val="0"/>
          <w:marBottom w:val="0"/>
          <w:divBdr>
            <w:top w:val="none" w:sz="0" w:space="0" w:color="auto"/>
            <w:left w:val="none" w:sz="0" w:space="0" w:color="auto"/>
            <w:bottom w:val="none" w:sz="0" w:space="0" w:color="auto"/>
            <w:right w:val="none" w:sz="0" w:space="0" w:color="auto"/>
          </w:divBdr>
        </w:div>
      </w:divsChild>
    </w:div>
    <w:div w:id="782499970">
      <w:bodyDiv w:val="1"/>
      <w:marLeft w:val="0"/>
      <w:marRight w:val="0"/>
      <w:marTop w:val="0"/>
      <w:marBottom w:val="0"/>
      <w:divBdr>
        <w:top w:val="none" w:sz="0" w:space="0" w:color="auto"/>
        <w:left w:val="none" w:sz="0" w:space="0" w:color="auto"/>
        <w:bottom w:val="none" w:sz="0" w:space="0" w:color="auto"/>
        <w:right w:val="none" w:sz="0" w:space="0" w:color="auto"/>
      </w:divBdr>
      <w:divsChild>
        <w:div w:id="872156729">
          <w:marLeft w:val="0"/>
          <w:marRight w:val="0"/>
          <w:marTop w:val="0"/>
          <w:marBottom w:val="0"/>
          <w:divBdr>
            <w:top w:val="none" w:sz="0" w:space="0" w:color="auto"/>
            <w:left w:val="none" w:sz="0" w:space="0" w:color="auto"/>
            <w:bottom w:val="none" w:sz="0" w:space="0" w:color="auto"/>
            <w:right w:val="none" w:sz="0" w:space="0" w:color="auto"/>
          </w:divBdr>
        </w:div>
      </w:divsChild>
    </w:div>
    <w:div w:id="789250867">
      <w:bodyDiv w:val="1"/>
      <w:marLeft w:val="0"/>
      <w:marRight w:val="0"/>
      <w:marTop w:val="0"/>
      <w:marBottom w:val="0"/>
      <w:divBdr>
        <w:top w:val="none" w:sz="0" w:space="0" w:color="auto"/>
        <w:left w:val="none" w:sz="0" w:space="0" w:color="auto"/>
        <w:bottom w:val="none" w:sz="0" w:space="0" w:color="auto"/>
        <w:right w:val="none" w:sz="0" w:space="0" w:color="auto"/>
      </w:divBdr>
      <w:divsChild>
        <w:div w:id="1671522823">
          <w:marLeft w:val="0"/>
          <w:marRight w:val="0"/>
          <w:marTop w:val="0"/>
          <w:marBottom w:val="0"/>
          <w:divBdr>
            <w:top w:val="none" w:sz="0" w:space="0" w:color="auto"/>
            <w:left w:val="none" w:sz="0" w:space="0" w:color="auto"/>
            <w:bottom w:val="none" w:sz="0" w:space="0" w:color="auto"/>
            <w:right w:val="none" w:sz="0" w:space="0" w:color="auto"/>
          </w:divBdr>
        </w:div>
      </w:divsChild>
    </w:div>
    <w:div w:id="827474680">
      <w:bodyDiv w:val="1"/>
      <w:marLeft w:val="0"/>
      <w:marRight w:val="0"/>
      <w:marTop w:val="0"/>
      <w:marBottom w:val="0"/>
      <w:divBdr>
        <w:top w:val="none" w:sz="0" w:space="0" w:color="auto"/>
        <w:left w:val="none" w:sz="0" w:space="0" w:color="auto"/>
        <w:bottom w:val="none" w:sz="0" w:space="0" w:color="auto"/>
        <w:right w:val="none" w:sz="0" w:space="0" w:color="auto"/>
      </w:divBdr>
    </w:div>
    <w:div w:id="836115198">
      <w:bodyDiv w:val="1"/>
      <w:marLeft w:val="0"/>
      <w:marRight w:val="0"/>
      <w:marTop w:val="0"/>
      <w:marBottom w:val="0"/>
      <w:divBdr>
        <w:top w:val="none" w:sz="0" w:space="0" w:color="auto"/>
        <w:left w:val="none" w:sz="0" w:space="0" w:color="auto"/>
        <w:bottom w:val="none" w:sz="0" w:space="0" w:color="auto"/>
        <w:right w:val="none" w:sz="0" w:space="0" w:color="auto"/>
      </w:divBdr>
      <w:divsChild>
        <w:div w:id="1782990611">
          <w:marLeft w:val="0"/>
          <w:marRight w:val="0"/>
          <w:marTop w:val="0"/>
          <w:marBottom w:val="0"/>
          <w:divBdr>
            <w:top w:val="none" w:sz="0" w:space="0" w:color="auto"/>
            <w:left w:val="none" w:sz="0" w:space="0" w:color="auto"/>
            <w:bottom w:val="none" w:sz="0" w:space="0" w:color="auto"/>
            <w:right w:val="none" w:sz="0" w:space="0" w:color="auto"/>
          </w:divBdr>
        </w:div>
      </w:divsChild>
    </w:div>
    <w:div w:id="870605841">
      <w:bodyDiv w:val="1"/>
      <w:marLeft w:val="0"/>
      <w:marRight w:val="0"/>
      <w:marTop w:val="0"/>
      <w:marBottom w:val="0"/>
      <w:divBdr>
        <w:top w:val="none" w:sz="0" w:space="0" w:color="auto"/>
        <w:left w:val="none" w:sz="0" w:space="0" w:color="auto"/>
        <w:bottom w:val="none" w:sz="0" w:space="0" w:color="auto"/>
        <w:right w:val="none" w:sz="0" w:space="0" w:color="auto"/>
      </w:divBdr>
      <w:divsChild>
        <w:div w:id="523054775">
          <w:marLeft w:val="0"/>
          <w:marRight w:val="0"/>
          <w:marTop w:val="0"/>
          <w:marBottom w:val="0"/>
          <w:divBdr>
            <w:top w:val="none" w:sz="0" w:space="0" w:color="auto"/>
            <w:left w:val="none" w:sz="0" w:space="0" w:color="auto"/>
            <w:bottom w:val="none" w:sz="0" w:space="0" w:color="auto"/>
            <w:right w:val="none" w:sz="0" w:space="0" w:color="auto"/>
          </w:divBdr>
        </w:div>
      </w:divsChild>
    </w:div>
    <w:div w:id="887034425">
      <w:bodyDiv w:val="1"/>
      <w:marLeft w:val="0"/>
      <w:marRight w:val="0"/>
      <w:marTop w:val="0"/>
      <w:marBottom w:val="0"/>
      <w:divBdr>
        <w:top w:val="none" w:sz="0" w:space="0" w:color="auto"/>
        <w:left w:val="none" w:sz="0" w:space="0" w:color="auto"/>
        <w:bottom w:val="none" w:sz="0" w:space="0" w:color="auto"/>
        <w:right w:val="none" w:sz="0" w:space="0" w:color="auto"/>
      </w:divBdr>
      <w:divsChild>
        <w:div w:id="641548010">
          <w:marLeft w:val="0"/>
          <w:marRight w:val="0"/>
          <w:marTop w:val="0"/>
          <w:marBottom w:val="0"/>
          <w:divBdr>
            <w:top w:val="none" w:sz="0" w:space="0" w:color="auto"/>
            <w:left w:val="none" w:sz="0" w:space="0" w:color="auto"/>
            <w:bottom w:val="none" w:sz="0" w:space="0" w:color="auto"/>
            <w:right w:val="none" w:sz="0" w:space="0" w:color="auto"/>
          </w:divBdr>
        </w:div>
      </w:divsChild>
    </w:div>
    <w:div w:id="918514349">
      <w:bodyDiv w:val="1"/>
      <w:marLeft w:val="0"/>
      <w:marRight w:val="0"/>
      <w:marTop w:val="0"/>
      <w:marBottom w:val="0"/>
      <w:divBdr>
        <w:top w:val="none" w:sz="0" w:space="0" w:color="auto"/>
        <w:left w:val="none" w:sz="0" w:space="0" w:color="auto"/>
        <w:bottom w:val="none" w:sz="0" w:space="0" w:color="auto"/>
        <w:right w:val="none" w:sz="0" w:space="0" w:color="auto"/>
      </w:divBdr>
      <w:divsChild>
        <w:div w:id="1403479679">
          <w:marLeft w:val="0"/>
          <w:marRight w:val="0"/>
          <w:marTop w:val="0"/>
          <w:marBottom w:val="0"/>
          <w:divBdr>
            <w:top w:val="none" w:sz="0" w:space="0" w:color="auto"/>
            <w:left w:val="none" w:sz="0" w:space="0" w:color="auto"/>
            <w:bottom w:val="none" w:sz="0" w:space="0" w:color="auto"/>
            <w:right w:val="none" w:sz="0" w:space="0" w:color="auto"/>
          </w:divBdr>
        </w:div>
      </w:divsChild>
    </w:div>
    <w:div w:id="929315462">
      <w:bodyDiv w:val="1"/>
      <w:marLeft w:val="0"/>
      <w:marRight w:val="0"/>
      <w:marTop w:val="0"/>
      <w:marBottom w:val="0"/>
      <w:divBdr>
        <w:top w:val="none" w:sz="0" w:space="0" w:color="auto"/>
        <w:left w:val="none" w:sz="0" w:space="0" w:color="auto"/>
        <w:bottom w:val="none" w:sz="0" w:space="0" w:color="auto"/>
        <w:right w:val="none" w:sz="0" w:space="0" w:color="auto"/>
      </w:divBdr>
      <w:divsChild>
        <w:div w:id="1050835811">
          <w:marLeft w:val="0"/>
          <w:marRight w:val="0"/>
          <w:marTop w:val="0"/>
          <w:marBottom w:val="0"/>
          <w:divBdr>
            <w:top w:val="none" w:sz="0" w:space="0" w:color="auto"/>
            <w:left w:val="none" w:sz="0" w:space="0" w:color="auto"/>
            <w:bottom w:val="none" w:sz="0" w:space="0" w:color="auto"/>
            <w:right w:val="none" w:sz="0" w:space="0" w:color="auto"/>
          </w:divBdr>
        </w:div>
      </w:divsChild>
    </w:div>
    <w:div w:id="946737725">
      <w:bodyDiv w:val="1"/>
      <w:marLeft w:val="0"/>
      <w:marRight w:val="0"/>
      <w:marTop w:val="0"/>
      <w:marBottom w:val="0"/>
      <w:divBdr>
        <w:top w:val="none" w:sz="0" w:space="0" w:color="auto"/>
        <w:left w:val="none" w:sz="0" w:space="0" w:color="auto"/>
        <w:bottom w:val="none" w:sz="0" w:space="0" w:color="auto"/>
        <w:right w:val="none" w:sz="0" w:space="0" w:color="auto"/>
      </w:divBdr>
      <w:divsChild>
        <w:div w:id="219948259">
          <w:marLeft w:val="0"/>
          <w:marRight w:val="0"/>
          <w:marTop w:val="0"/>
          <w:marBottom w:val="0"/>
          <w:divBdr>
            <w:top w:val="none" w:sz="0" w:space="0" w:color="auto"/>
            <w:left w:val="none" w:sz="0" w:space="0" w:color="auto"/>
            <w:bottom w:val="none" w:sz="0" w:space="0" w:color="auto"/>
            <w:right w:val="none" w:sz="0" w:space="0" w:color="auto"/>
          </w:divBdr>
        </w:div>
      </w:divsChild>
    </w:div>
    <w:div w:id="947926217">
      <w:bodyDiv w:val="1"/>
      <w:marLeft w:val="0"/>
      <w:marRight w:val="0"/>
      <w:marTop w:val="0"/>
      <w:marBottom w:val="0"/>
      <w:divBdr>
        <w:top w:val="none" w:sz="0" w:space="0" w:color="auto"/>
        <w:left w:val="none" w:sz="0" w:space="0" w:color="auto"/>
        <w:bottom w:val="none" w:sz="0" w:space="0" w:color="auto"/>
        <w:right w:val="none" w:sz="0" w:space="0" w:color="auto"/>
      </w:divBdr>
      <w:divsChild>
        <w:div w:id="149954760">
          <w:marLeft w:val="0"/>
          <w:marRight w:val="0"/>
          <w:marTop w:val="0"/>
          <w:marBottom w:val="0"/>
          <w:divBdr>
            <w:top w:val="none" w:sz="0" w:space="0" w:color="auto"/>
            <w:left w:val="none" w:sz="0" w:space="0" w:color="auto"/>
            <w:bottom w:val="none" w:sz="0" w:space="0" w:color="auto"/>
            <w:right w:val="none" w:sz="0" w:space="0" w:color="auto"/>
          </w:divBdr>
        </w:div>
      </w:divsChild>
    </w:div>
    <w:div w:id="1033653782">
      <w:bodyDiv w:val="1"/>
      <w:marLeft w:val="0"/>
      <w:marRight w:val="0"/>
      <w:marTop w:val="0"/>
      <w:marBottom w:val="0"/>
      <w:divBdr>
        <w:top w:val="none" w:sz="0" w:space="0" w:color="auto"/>
        <w:left w:val="none" w:sz="0" w:space="0" w:color="auto"/>
        <w:bottom w:val="none" w:sz="0" w:space="0" w:color="auto"/>
        <w:right w:val="none" w:sz="0" w:space="0" w:color="auto"/>
      </w:divBdr>
    </w:div>
    <w:div w:id="1043821880">
      <w:bodyDiv w:val="1"/>
      <w:marLeft w:val="0"/>
      <w:marRight w:val="0"/>
      <w:marTop w:val="0"/>
      <w:marBottom w:val="0"/>
      <w:divBdr>
        <w:top w:val="none" w:sz="0" w:space="0" w:color="auto"/>
        <w:left w:val="none" w:sz="0" w:space="0" w:color="auto"/>
        <w:bottom w:val="none" w:sz="0" w:space="0" w:color="auto"/>
        <w:right w:val="none" w:sz="0" w:space="0" w:color="auto"/>
      </w:divBdr>
      <w:divsChild>
        <w:div w:id="324672872">
          <w:marLeft w:val="0"/>
          <w:marRight w:val="0"/>
          <w:marTop w:val="0"/>
          <w:marBottom w:val="0"/>
          <w:divBdr>
            <w:top w:val="none" w:sz="0" w:space="0" w:color="auto"/>
            <w:left w:val="none" w:sz="0" w:space="0" w:color="auto"/>
            <w:bottom w:val="none" w:sz="0" w:space="0" w:color="auto"/>
            <w:right w:val="none" w:sz="0" w:space="0" w:color="auto"/>
          </w:divBdr>
        </w:div>
      </w:divsChild>
    </w:div>
    <w:div w:id="1052535441">
      <w:bodyDiv w:val="1"/>
      <w:marLeft w:val="0"/>
      <w:marRight w:val="0"/>
      <w:marTop w:val="0"/>
      <w:marBottom w:val="0"/>
      <w:divBdr>
        <w:top w:val="none" w:sz="0" w:space="0" w:color="auto"/>
        <w:left w:val="none" w:sz="0" w:space="0" w:color="auto"/>
        <w:bottom w:val="none" w:sz="0" w:space="0" w:color="auto"/>
        <w:right w:val="none" w:sz="0" w:space="0" w:color="auto"/>
      </w:divBdr>
      <w:divsChild>
        <w:div w:id="641614337">
          <w:marLeft w:val="0"/>
          <w:marRight w:val="0"/>
          <w:marTop w:val="0"/>
          <w:marBottom w:val="0"/>
          <w:divBdr>
            <w:top w:val="none" w:sz="0" w:space="0" w:color="auto"/>
            <w:left w:val="none" w:sz="0" w:space="0" w:color="auto"/>
            <w:bottom w:val="none" w:sz="0" w:space="0" w:color="auto"/>
            <w:right w:val="none" w:sz="0" w:space="0" w:color="auto"/>
          </w:divBdr>
        </w:div>
      </w:divsChild>
    </w:div>
    <w:div w:id="1076320807">
      <w:bodyDiv w:val="1"/>
      <w:marLeft w:val="0"/>
      <w:marRight w:val="0"/>
      <w:marTop w:val="0"/>
      <w:marBottom w:val="0"/>
      <w:divBdr>
        <w:top w:val="none" w:sz="0" w:space="0" w:color="auto"/>
        <w:left w:val="none" w:sz="0" w:space="0" w:color="auto"/>
        <w:bottom w:val="none" w:sz="0" w:space="0" w:color="auto"/>
        <w:right w:val="none" w:sz="0" w:space="0" w:color="auto"/>
      </w:divBdr>
      <w:divsChild>
        <w:div w:id="1966040269">
          <w:marLeft w:val="0"/>
          <w:marRight w:val="0"/>
          <w:marTop w:val="0"/>
          <w:marBottom w:val="0"/>
          <w:divBdr>
            <w:top w:val="none" w:sz="0" w:space="0" w:color="auto"/>
            <w:left w:val="none" w:sz="0" w:space="0" w:color="auto"/>
            <w:bottom w:val="none" w:sz="0" w:space="0" w:color="auto"/>
            <w:right w:val="none" w:sz="0" w:space="0" w:color="auto"/>
          </w:divBdr>
        </w:div>
      </w:divsChild>
    </w:div>
    <w:div w:id="1107966515">
      <w:bodyDiv w:val="1"/>
      <w:marLeft w:val="0"/>
      <w:marRight w:val="0"/>
      <w:marTop w:val="0"/>
      <w:marBottom w:val="0"/>
      <w:divBdr>
        <w:top w:val="none" w:sz="0" w:space="0" w:color="auto"/>
        <w:left w:val="none" w:sz="0" w:space="0" w:color="auto"/>
        <w:bottom w:val="none" w:sz="0" w:space="0" w:color="auto"/>
        <w:right w:val="none" w:sz="0" w:space="0" w:color="auto"/>
      </w:divBdr>
      <w:divsChild>
        <w:div w:id="1498302601">
          <w:marLeft w:val="0"/>
          <w:marRight w:val="0"/>
          <w:marTop w:val="0"/>
          <w:marBottom w:val="0"/>
          <w:divBdr>
            <w:top w:val="none" w:sz="0" w:space="0" w:color="auto"/>
            <w:left w:val="none" w:sz="0" w:space="0" w:color="auto"/>
            <w:bottom w:val="none" w:sz="0" w:space="0" w:color="auto"/>
            <w:right w:val="none" w:sz="0" w:space="0" w:color="auto"/>
          </w:divBdr>
        </w:div>
      </w:divsChild>
    </w:div>
    <w:div w:id="1122921180">
      <w:bodyDiv w:val="1"/>
      <w:marLeft w:val="0"/>
      <w:marRight w:val="0"/>
      <w:marTop w:val="0"/>
      <w:marBottom w:val="0"/>
      <w:divBdr>
        <w:top w:val="none" w:sz="0" w:space="0" w:color="auto"/>
        <w:left w:val="none" w:sz="0" w:space="0" w:color="auto"/>
        <w:bottom w:val="none" w:sz="0" w:space="0" w:color="auto"/>
        <w:right w:val="none" w:sz="0" w:space="0" w:color="auto"/>
      </w:divBdr>
    </w:div>
    <w:div w:id="1157645913">
      <w:bodyDiv w:val="1"/>
      <w:marLeft w:val="0"/>
      <w:marRight w:val="0"/>
      <w:marTop w:val="0"/>
      <w:marBottom w:val="0"/>
      <w:divBdr>
        <w:top w:val="none" w:sz="0" w:space="0" w:color="auto"/>
        <w:left w:val="none" w:sz="0" w:space="0" w:color="auto"/>
        <w:bottom w:val="none" w:sz="0" w:space="0" w:color="auto"/>
        <w:right w:val="none" w:sz="0" w:space="0" w:color="auto"/>
      </w:divBdr>
      <w:divsChild>
        <w:div w:id="1746344330">
          <w:marLeft w:val="0"/>
          <w:marRight w:val="0"/>
          <w:marTop w:val="0"/>
          <w:marBottom w:val="0"/>
          <w:divBdr>
            <w:top w:val="none" w:sz="0" w:space="0" w:color="auto"/>
            <w:left w:val="none" w:sz="0" w:space="0" w:color="auto"/>
            <w:bottom w:val="none" w:sz="0" w:space="0" w:color="auto"/>
            <w:right w:val="none" w:sz="0" w:space="0" w:color="auto"/>
          </w:divBdr>
        </w:div>
      </w:divsChild>
    </w:div>
    <w:div w:id="1162813257">
      <w:bodyDiv w:val="1"/>
      <w:marLeft w:val="0"/>
      <w:marRight w:val="0"/>
      <w:marTop w:val="0"/>
      <w:marBottom w:val="0"/>
      <w:divBdr>
        <w:top w:val="none" w:sz="0" w:space="0" w:color="auto"/>
        <w:left w:val="none" w:sz="0" w:space="0" w:color="auto"/>
        <w:bottom w:val="none" w:sz="0" w:space="0" w:color="auto"/>
        <w:right w:val="none" w:sz="0" w:space="0" w:color="auto"/>
      </w:divBdr>
      <w:divsChild>
        <w:div w:id="993797875">
          <w:marLeft w:val="0"/>
          <w:marRight w:val="0"/>
          <w:marTop w:val="0"/>
          <w:marBottom w:val="0"/>
          <w:divBdr>
            <w:top w:val="none" w:sz="0" w:space="0" w:color="auto"/>
            <w:left w:val="none" w:sz="0" w:space="0" w:color="auto"/>
            <w:bottom w:val="none" w:sz="0" w:space="0" w:color="auto"/>
            <w:right w:val="none" w:sz="0" w:space="0" w:color="auto"/>
          </w:divBdr>
        </w:div>
      </w:divsChild>
    </w:div>
    <w:div w:id="1164510236">
      <w:bodyDiv w:val="1"/>
      <w:marLeft w:val="0"/>
      <w:marRight w:val="0"/>
      <w:marTop w:val="0"/>
      <w:marBottom w:val="0"/>
      <w:divBdr>
        <w:top w:val="none" w:sz="0" w:space="0" w:color="auto"/>
        <w:left w:val="none" w:sz="0" w:space="0" w:color="auto"/>
        <w:bottom w:val="none" w:sz="0" w:space="0" w:color="auto"/>
        <w:right w:val="none" w:sz="0" w:space="0" w:color="auto"/>
      </w:divBdr>
      <w:divsChild>
        <w:div w:id="447549873">
          <w:marLeft w:val="0"/>
          <w:marRight w:val="0"/>
          <w:marTop w:val="0"/>
          <w:marBottom w:val="0"/>
          <w:divBdr>
            <w:top w:val="none" w:sz="0" w:space="0" w:color="auto"/>
            <w:left w:val="none" w:sz="0" w:space="0" w:color="auto"/>
            <w:bottom w:val="none" w:sz="0" w:space="0" w:color="auto"/>
            <w:right w:val="none" w:sz="0" w:space="0" w:color="auto"/>
          </w:divBdr>
        </w:div>
      </w:divsChild>
    </w:div>
    <w:div w:id="1167402696">
      <w:bodyDiv w:val="1"/>
      <w:marLeft w:val="0"/>
      <w:marRight w:val="0"/>
      <w:marTop w:val="0"/>
      <w:marBottom w:val="0"/>
      <w:divBdr>
        <w:top w:val="none" w:sz="0" w:space="0" w:color="auto"/>
        <w:left w:val="none" w:sz="0" w:space="0" w:color="auto"/>
        <w:bottom w:val="none" w:sz="0" w:space="0" w:color="auto"/>
        <w:right w:val="none" w:sz="0" w:space="0" w:color="auto"/>
      </w:divBdr>
      <w:divsChild>
        <w:div w:id="1907111031">
          <w:marLeft w:val="0"/>
          <w:marRight w:val="0"/>
          <w:marTop w:val="0"/>
          <w:marBottom w:val="0"/>
          <w:divBdr>
            <w:top w:val="none" w:sz="0" w:space="0" w:color="auto"/>
            <w:left w:val="none" w:sz="0" w:space="0" w:color="auto"/>
            <w:bottom w:val="none" w:sz="0" w:space="0" w:color="auto"/>
            <w:right w:val="none" w:sz="0" w:space="0" w:color="auto"/>
          </w:divBdr>
        </w:div>
      </w:divsChild>
    </w:div>
    <w:div w:id="1174032750">
      <w:bodyDiv w:val="1"/>
      <w:marLeft w:val="0"/>
      <w:marRight w:val="0"/>
      <w:marTop w:val="0"/>
      <w:marBottom w:val="0"/>
      <w:divBdr>
        <w:top w:val="none" w:sz="0" w:space="0" w:color="auto"/>
        <w:left w:val="none" w:sz="0" w:space="0" w:color="auto"/>
        <w:bottom w:val="none" w:sz="0" w:space="0" w:color="auto"/>
        <w:right w:val="none" w:sz="0" w:space="0" w:color="auto"/>
      </w:divBdr>
      <w:divsChild>
        <w:div w:id="316808246">
          <w:marLeft w:val="0"/>
          <w:marRight w:val="0"/>
          <w:marTop w:val="0"/>
          <w:marBottom w:val="0"/>
          <w:divBdr>
            <w:top w:val="none" w:sz="0" w:space="0" w:color="auto"/>
            <w:left w:val="none" w:sz="0" w:space="0" w:color="auto"/>
            <w:bottom w:val="none" w:sz="0" w:space="0" w:color="auto"/>
            <w:right w:val="none" w:sz="0" w:space="0" w:color="auto"/>
          </w:divBdr>
        </w:div>
      </w:divsChild>
    </w:div>
    <w:div w:id="1209682405">
      <w:bodyDiv w:val="1"/>
      <w:marLeft w:val="0"/>
      <w:marRight w:val="0"/>
      <w:marTop w:val="0"/>
      <w:marBottom w:val="0"/>
      <w:divBdr>
        <w:top w:val="none" w:sz="0" w:space="0" w:color="auto"/>
        <w:left w:val="none" w:sz="0" w:space="0" w:color="auto"/>
        <w:bottom w:val="none" w:sz="0" w:space="0" w:color="auto"/>
        <w:right w:val="none" w:sz="0" w:space="0" w:color="auto"/>
      </w:divBdr>
      <w:divsChild>
        <w:div w:id="856428300">
          <w:marLeft w:val="0"/>
          <w:marRight w:val="0"/>
          <w:marTop w:val="0"/>
          <w:marBottom w:val="0"/>
          <w:divBdr>
            <w:top w:val="none" w:sz="0" w:space="0" w:color="auto"/>
            <w:left w:val="none" w:sz="0" w:space="0" w:color="auto"/>
            <w:bottom w:val="none" w:sz="0" w:space="0" w:color="auto"/>
            <w:right w:val="none" w:sz="0" w:space="0" w:color="auto"/>
          </w:divBdr>
        </w:div>
      </w:divsChild>
    </w:div>
    <w:div w:id="1241939966">
      <w:bodyDiv w:val="1"/>
      <w:marLeft w:val="0"/>
      <w:marRight w:val="0"/>
      <w:marTop w:val="0"/>
      <w:marBottom w:val="0"/>
      <w:divBdr>
        <w:top w:val="none" w:sz="0" w:space="0" w:color="auto"/>
        <w:left w:val="none" w:sz="0" w:space="0" w:color="auto"/>
        <w:bottom w:val="none" w:sz="0" w:space="0" w:color="auto"/>
        <w:right w:val="none" w:sz="0" w:space="0" w:color="auto"/>
      </w:divBdr>
    </w:div>
    <w:div w:id="1245068754">
      <w:bodyDiv w:val="1"/>
      <w:marLeft w:val="0"/>
      <w:marRight w:val="0"/>
      <w:marTop w:val="0"/>
      <w:marBottom w:val="0"/>
      <w:divBdr>
        <w:top w:val="none" w:sz="0" w:space="0" w:color="auto"/>
        <w:left w:val="none" w:sz="0" w:space="0" w:color="auto"/>
        <w:bottom w:val="none" w:sz="0" w:space="0" w:color="auto"/>
        <w:right w:val="none" w:sz="0" w:space="0" w:color="auto"/>
      </w:divBdr>
      <w:divsChild>
        <w:div w:id="1260674924">
          <w:marLeft w:val="0"/>
          <w:marRight w:val="0"/>
          <w:marTop w:val="0"/>
          <w:marBottom w:val="0"/>
          <w:divBdr>
            <w:top w:val="none" w:sz="0" w:space="0" w:color="auto"/>
            <w:left w:val="none" w:sz="0" w:space="0" w:color="auto"/>
            <w:bottom w:val="none" w:sz="0" w:space="0" w:color="auto"/>
            <w:right w:val="none" w:sz="0" w:space="0" w:color="auto"/>
          </w:divBdr>
        </w:div>
      </w:divsChild>
    </w:div>
    <w:div w:id="1320815974">
      <w:bodyDiv w:val="1"/>
      <w:marLeft w:val="0"/>
      <w:marRight w:val="0"/>
      <w:marTop w:val="0"/>
      <w:marBottom w:val="0"/>
      <w:divBdr>
        <w:top w:val="none" w:sz="0" w:space="0" w:color="auto"/>
        <w:left w:val="none" w:sz="0" w:space="0" w:color="auto"/>
        <w:bottom w:val="none" w:sz="0" w:space="0" w:color="auto"/>
        <w:right w:val="none" w:sz="0" w:space="0" w:color="auto"/>
      </w:divBdr>
      <w:divsChild>
        <w:div w:id="1069503416">
          <w:marLeft w:val="0"/>
          <w:marRight w:val="0"/>
          <w:marTop w:val="0"/>
          <w:marBottom w:val="0"/>
          <w:divBdr>
            <w:top w:val="none" w:sz="0" w:space="0" w:color="auto"/>
            <w:left w:val="none" w:sz="0" w:space="0" w:color="auto"/>
            <w:bottom w:val="none" w:sz="0" w:space="0" w:color="auto"/>
            <w:right w:val="none" w:sz="0" w:space="0" w:color="auto"/>
          </w:divBdr>
        </w:div>
      </w:divsChild>
    </w:div>
    <w:div w:id="1351448176">
      <w:bodyDiv w:val="1"/>
      <w:marLeft w:val="0"/>
      <w:marRight w:val="0"/>
      <w:marTop w:val="0"/>
      <w:marBottom w:val="0"/>
      <w:divBdr>
        <w:top w:val="none" w:sz="0" w:space="0" w:color="auto"/>
        <w:left w:val="none" w:sz="0" w:space="0" w:color="auto"/>
        <w:bottom w:val="none" w:sz="0" w:space="0" w:color="auto"/>
        <w:right w:val="none" w:sz="0" w:space="0" w:color="auto"/>
      </w:divBdr>
      <w:divsChild>
        <w:div w:id="1983584343">
          <w:marLeft w:val="0"/>
          <w:marRight w:val="0"/>
          <w:marTop w:val="0"/>
          <w:marBottom w:val="0"/>
          <w:divBdr>
            <w:top w:val="none" w:sz="0" w:space="0" w:color="auto"/>
            <w:left w:val="none" w:sz="0" w:space="0" w:color="auto"/>
            <w:bottom w:val="none" w:sz="0" w:space="0" w:color="auto"/>
            <w:right w:val="none" w:sz="0" w:space="0" w:color="auto"/>
          </w:divBdr>
        </w:div>
      </w:divsChild>
    </w:div>
    <w:div w:id="1373771377">
      <w:bodyDiv w:val="1"/>
      <w:marLeft w:val="0"/>
      <w:marRight w:val="0"/>
      <w:marTop w:val="0"/>
      <w:marBottom w:val="0"/>
      <w:divBdr>
        <w:top w:val="none" w:sz="0" w:space="0" w:color="auto"/>
        <w:left w:val="none" w:sz="0" w:space="0" w:color="auto"/>
        <w:bottom w:val="none" w:sz="0" w:space="0" w:color="auto"/>
        <w:right w:val="none" w:sz="0" w:space="0" w:color="auto"/>
      </w:divBdr>
      <w:divsChild>
        <w:div w:id="363557958">
          <w:marLeft w:val="0"/>
          <w:marRight w:val="0"/>
          <w:marTop w:val="0"/>
          <w:marBottom w:val="0"/>
          <w:divBdr>
            <w:top w:val="none" w:sz="0" w:space="0" w:color="auto"/>
            <w:left w:val="none" w:sz="0" w:space="0" w:color="auto"/>
            <w:bottom w:val="none" w:sz="0" w:space="0" w:color="auto"/>
            <w:right w:val="none" w:sz="0" w:space="0" w:color="auto"/>
          </w:divBdr>
        </w:div>
      </w:divsChild>
    </w:div>
    <w:div w:id="1377394265">
      <w:bodyDiv w:val="1"/>
      <w:marLeft w:val="0"/>
      <w:marRight w:val="0"/>
      <w:marTop w:val="0"/>
      <w:marBottom w:val="0"/>
      <w:divBdr>
        <w:top w:val="none" w:sz="0" w:space="0" w:color="auto"/>
        <w:left w:val="none" w:sz="0" w:space="0" w:color="auto"/>
        <w:bottom w:val="none" w:sz="0" w:space="0" w:color="auto"/>
        <w:right w:val="none" w:sz="0" w:space="0" w:color="auto"/>
      </w:divBdr>
      <w:divsChild>
        <w:div w:id="887761882">
          <w:marLeft w:val="0"/>
          <w:marRight w:val="0"/>
          <w:marTop w:val="0"/>
          <w:marBottom w:val="0"/>
          <w:divBdr>
            <w:top w:val="none" w:sz="0" w:space="0" w:color="auto"/>
            <w:left w:val="none" w:sz="0" w:space="0" w:color="auto"/>
            <w:bottom w:val="none" w:sz="0" w:space="0" w:color="auto"/>
            <w:right w:val="none" w:sz="0" w:space="0" w:color="auto"/>
          </w:divBdr>
        </w:div>
      </w:divsChild>
    </w:div>
    <w:div w:id="1379210131">
      <w:bodyDiv w:val="1"/>
      <w:marLeft w:val="0"/>
      <w:marRight w:val="0"/>
      <w:marTop w:val="0"/>
      <w:marBottom w:val="0"/>
      <w:divBdr>
        <w:top w:val="none" w:sz="0" w:space="0" w:color="auto"/>
        <w:left w:val="none" w:sz="0" w:space="0" w:color="auto"/>
        <w:bottom w:val="none" w:sz="0" w:space="0" w:color="auto"/>
        <w:right w:val="none" w:sz="0" w:space="0" w:color="auto"/>
      </w:divBdr>
      <w:divsChild>
        <w:div w:id="39868711">
          <w:marLeft w:val="0"/>
          <w:marRight w:val="0"/>
          <w:marTop w:val="0"/>
          <w:marBottom w:val="0"/>
          <w:divBdr>
            <w:top w:val="none" w:sz="0" w:space="0" w:color="auto"/>
            <w:left w:val="none" w:sz="0" w:space="0" w:color="auto"/>
            <w:bottom w:val="none" w:sz="0" w:space="0" w:color="auto"/>
            <w:right w:val="none" w:sz="0" w:space="0" w:color="auto"/>
          </w:divBdr>
        </w:div>
      </w:divsChild>
    </w:div>
    <w:div w:id="1402362197">
      <w:bodyDiv w:val="1"/>
      <w:marLeft w:val="0"/>
      <w:marRight w:val="0"/>
      <w:marTop w:val="0"/>
      <w:marBottom w:val="0"/>
      <w:divBdr>
        <w:top w:val="none" w:sz="0" w:space="0" w:color="auto"/>
        <w:left w:val="none" w:sz="0" w:space="0" w:color="auto"/>
        <w:bottom w:val="none" w:sz="0" w:space="0" w:color="auto"/>
        <w:right w:val="none" w:sz="0" w:space="0" w:color="auto"/>
      </w:divBdr>
      <w:divsChild>
        <w:div w:id="105391262">
          <w:marLeft w:val="0"/>
          <w:marRight w:val="0"/>
          <w:marTop w:val="0"/>
          <w:marBottom w:val="0"/>
          <w:divBdr>
            <w:top w:val="none" w:sz="0" w:space="0" w:color="auto"/>
            <w:left w:val="none" w:sz="0" w:space="0" w:color="auto"/>
            <w:bottom w:val="none" w:sz="0" w:space="0" w:color="auto"/>
            <w:right w:val="none" w:sz="0" w:space="0" w:color="auto"/>
          </w:divBdr>
        </w:div>
      </w:divsChild>
    </w:div>
    <w:div w:id="1404716058">
      <w:bodyDiv w:val="1"/>
      <w:marLeft w:val="0"/>
      <w:marRight w:val="0"/>
      <w:marTop w:val="0"/>
      <w:marBottom w:val="0"/>
      <w:divBdr>
        <w:top w:val="none" w:sz="0" w:space="0" w:color="auto"/>
        <w:left w:val="none" w:sz="0" w:space="0" w:color="auto"/>
        <w:bottom w:val="none" w:sz="0" w:space="0" w:color="auto"/>
        <w:right w:val="none" w:sz="0" w:space="0" w:color="auto"/>
      </w:divBdr>
      <w:divsChild>
        <w:div w:id="1675496768">
          <w:marLeft w:val="0"/>
          <w:marRight w:val="0"/>
          <w:marTop w:val="0"/>
          <w:marBottom w:val="0"/>
          <w:divBdr>
            <w:top w:val="none" w:sz="0" w:space="0" w:color="auto"/>
            <w:left w:val="none" w:sz="0" w:space="0" w:color="auto"/>
            <w:bottom w:val="none" w:sz="0" w:space="0" w:color="auto"/>
            <w:right w:val="none" w:sz="0" w:space="0" w:color="auto"/>
          </w:divBdr>
        </w:div>
      </w:divsChild>
    </w:div>
    <w:div w:id="1411660770">
      <w:bodyDiv w:val="1"/>
      <w:marLeft w:val="0"/>
      <w:marRight w:val="0"/>
      <w:marTop w:val="0"/>
      <w:marBottom w:val="0"/>
      <w:divBdr>
        <w:top w:val="none" w:sz="0" w:space="0" w:color="auto"/>
        <w:left w:val="none" w:sz="0" w:space="0" w:color="auto"/>
        <w:bottom w:val="none" w:sz="0" w:space="0" w:color="auto"/>
        <w:right w:val="none" w:sz="0" w:space="0" w:color="auto"/>
      </w:divBdr>
      <w:divsChild>
        <w:div w:id="1324092522">
          <w:marLeft w:val="0"/>
          <w:marRight w:val="0"/>
          <w:marTop w:val="0"/>
          <w:marBottom w:val="0"/>
          <w:divBdr>
            <w:top w:val="none" w:sz="0" w:space="0" w:color="auto"/>
            <w:left w:val="none" w:sz="0" w:space="0" w:color="auto"/>
            <w:bottom w:val="none" w:sz="0" w:space="0" w:color="auto"/>
            <w:right w:val="none" w:sz="0" w:space="0" w:color="auto"/>
          </w:divBdr>
        </w:div>
      </w:divsChild>
    </w:div>
    <w:div w:id="1423139140">
      <w:bodyDiv w:val="1"/>
      <w:marLeft w:val="0"/>
      <w:marRight w:val="0"/>
      <w:marTop w:val="0"/>
      <w:marBottom w:val="0"/>
      <w:divBdr>
        <w:top w:val="none" w:sz="0" w:space="0" w:color="auto"/>
        <w:left w:val="none" w:sz="0" w:space="0" w:color="auto"/>
        <w:bottom w:val="none" w:sz="0" w:space="0" w:color="auto"/>
        <w:right w:val="none" w:sz="0" w:space="0" w:color="auto"/>
      </w:divBdr>
      <w:divsChild>
        <w:div w:id="787629563">
          <w:marLeft w:val="0"/>
          <w:marRight w:val="0"/>
          <w:marTop w:val="0"/>
          <w:marBottom w:val="0"/>
          <w:divBdr>
            <w:top w:val="none" w:sz="0" w:space="0" w:color="auto"/>
            <w:left w:val="none" w:sz="0" w:space="0" w:color="auto"/>
            <w:bottom w:val="none" w:sz="0" w:space="0" w:color="auto"/>
            <w:right w:val="none" w:sz="0" w:space="0" w:color="auto"/>
          </w:divBdr>
        </w:div>
      </w:divsChild>
    </w:div>
    <w:div w:id="1429736093">
      <w:bodyDiv w:val="1"/>
      <w:marLeft w:val="0"/>
      <w:marRight w:val="0"/>
      <w:marTop w:val="0"/>
      <w:marBottom w:val="0"/>
      <w:divBdr>
        <w:top w:val="none" w:sz="0" w:space="0" w:color="auto"/>
        <w:left w:val="none" w:sz="0" w:space="0" w:color="auto"/>
        <w:bottom w:val="none" w:sz="0" w:space="0" w:color="auto"/>
        <w:right w:val="none" w:sz="0" w:space="0" w:color="auto"/>
      </w:divBdr>
      <w:divsChild>
        <w:div w:id="1579024386">
          <w:marLeft w:val="0"/>
          <w:marRight w:val="0"/>
          <w:marTop w:val="0"/>
          <w:marBottom w:val="0"/>
          <w:divBdr>
            <w:top w:val="none" w:sz="0" w:space="0" w:color="auto"/>
            <w:left w:val="none" w:sz="0" w:space="0" w:color="auto"/>
            <w:bottom w:val="none" w:sz="0" w:space="0" w:color="auto"/>
            <w:right w:val="none" w:sz="0" w:space="0" w:color="auto"/>
          </w:divBdr>
        </w:div>
      </w:divsChild>
    </w:div>
    <w:div w:id="1449818608">
      <w:bodyDiv w:val="1"/>
      <w:marLeft w:val="0"/>
      <w:marRight w:val="0"/>
      <w:marTop w:val="0"/>
      <w:marBottom w:val="0"/>
      <w:divBdr>
        <w:top w:val="none" w:sz="0" w:space="0" w:color="auto"/>
        <w:left w:val="none" w:sz="0" w:space="0" w:color="auto"/>
        <w:bottom w:val="none" w:sz="0" w:space="0" w:color="auto"/>
        <w:right w:val="none" w:sz="0" w:space="0" w:color="auto"/>
      </w:divBdr>
      <w:divsChild>
        <w:div w:id="1635410353">
          <w:marLeft w:val="0"/>
          <w:marRight w:val="0"/>
          <w:marTop w:val="0"/>
          <w:marBottom w:val="0"/>
          <w:divBdr>
            <w:top w:val="none" w:sz="0" w:space="0" w:color="auto"/>
            <w:left w:val="none" w:sz="0" w:space="0" w:color="auto"/>
            <w:bottom w:val="none" w:sz="0" w:space="0" w:color="auto"/>
            <w:right w:val="none" w:sz="0" w:space="0" w:color="auto"/>
          </w:divBdr>
        </w:div>
      </w:divsChild>
    </w:div>
    <w:div w:id="1454907979">
      <w:bodyDiv w:val="1"/>
      <w:marLeft w:val="0"/>
      <w:marRight w:val="0"/>
      <w:marTop w:val="0"/>
      <w:marBottom w:val="0"/>
      <w:divBdr>
        <w:top w:val="none" w:sz="0" w:space="0" w:color="auto"/>
        <w:left w:val="none" w:sz="0" w:space="0" w:color="auto"/>
        <w:bottom w:val="none" w:sz="0" w:space="0" w:color="auto"/>
        <w:right w:val="none" w:sz="0" w:space="0" w:color="auto"/>
      </w:divBdr>
    </w:div>
    <w:div w:id="1466777421">
      <w:bodyDiv w:val="1"/>
      <w:marLeft w:val="0"/>
      <w:marRight w:val="0"/>
      <w:marTop w:val="0"/>
      <w:marBottom w:val="0"/>
      <w:divBdr>
        <w:top w:val="none" w:sz="0" w:space="0" w:color="auto"/>
        <w:left w:val="none" w:sz="0" w:space="0" w:color="auto"/>
        <w:bottom w:val="none" w:sz="0" w:space="0" w:color="auto"/>
        <w:right w:val="none" w:sz="0" w:space="0" w:color="auto"/>
      </w:divBdr>
      <w:divsChild>
        <w:div w:id="373505808">
          <w:marLeft w:val="0"/>
          <w:marRight w:val="0"/>
          <w:marTop w:val="0"/>
          <w:marBottom w:val="0"/>
          <w:divBdr>
            <w:top w:val="none" w:sz="0" w:space="0" w:color="auto"/>
            <w:left w:val="none" w:sz="0" w:space="0" w:color="auto"/>
            <w:bottom w:val="none" w:sz="0" w:space="0" w:color="auto"/>
            <w:right w:val="none" w:sz="0" w:space="0" w:color="auto"/>
          </w:divBdr>
        </w:div>
      </w:divsChild>
    </w:div>
    <w:div w:id="1477453297">
      <w:bodyDiv w:val="1"/>
      <w:marLeft w:val="0"/>
      <w:marRight w:val="0"/>
      <w:marTop w:val="0"/>
      <w:marBottom w:val="0"/>
      <w:divBdr>
        <w:top w:val="none" w:sz="0" w:space="0" w:color="auto"/>
        <w:left w:val="none" w:sz="0" w:space="0" w:color="auto"/>
        <w:bottom w:val="none" w:sz="0" w:space="0" w:color="auto"/>
        <w:right w:val="none" w:sz="0" w:space="0" w:color="auto"/>
      </w:divBdr>
      <w:divsChild>
        <w:div w:id="1222257005">
          <w:marLeft w:val="0"/>
          <w:marRight w:val="0"/>
          <w:marTop w:val="0"/>
          <w:marBottom w:val="0"/>
          <w:divBdr>
            <w:top w:val="none" w:sz="0" w:space="0" w:color="auto"/>
            <w:left w:val="none" w:sz="0" w:space="0" w:color="auto"/>
            <w:bottom w:val="none" w:sz="0" w:space="0" w:color="auto"/>
            <w:right w:val="none" w:sz="0" w:space="0" w:color="auto"/>
          </w:divBdr>
        </w:div>
      </w:divsChild>
    </w:div>
    <w:div w:id="1492914641">
      <w:bodyDiv w:val="1"/>
      <w:marLeft w:val="0"/>
      <w:marRight w:val="0"/>
      <w:marTop w:val="0"/>
      <w:marBottom w:val="0"/>
      <w:divBdr>
        <w:top w:val="none" w:sz="0" w:space="0" w:color="auto"/>
        <w:left w:val="none" w:sz="0" w:space="0" w:color="auto"/>
        <w:bottom w:val="none" w:sz="0" w:space="0" w:color="auto"/>
        <w:right w:val="none" w:sz="0" w:space="0" w:color="auto"/>
      </w:divBdr>
      <w:divsChild>
        <w:div w:id="61027260">
          <w:marLeft w:val="0"/>
          <w:marRight w:val="0"/>
          <w:marTop w:val="0"/>
          <w:marBottom w:val="0"/>
          <w:divBdr>
            <w:top w:val="none" w:sz="0" w:space="0" w:color="auto"/>
            <w:left w:val="none" w:sz="0" w:space="0" w:color="auto"/>
            <w:bottom w:val="none" w:sz="0" w:space="0" w:color="auto"/>
            <w:right w:val="none" w:sz="0" w:space="0" w:color="auto"/>
          </w:divBdr>
        </w:div>
      </w:divsChild>
    </w:div>
    <w:div w:id="1495409761">
      <w:bodyDiv w:val="1"/>
      <w:marLeft w:val="0"/>
      <w:marRight w:val="0"/>
      <w:marTop w:val="0"/>
      <w:marBottom w:val="0"/>
      <w:divBdr>
        <w:top w:val="none" w:sz="0" w:space="0" w:color="auto"/>
        <w:left w:val="none" w:sz="0" w:space="0" w:color="auto"/>
        <w:bottom w:val="none" w:sz="0" w:space="0" w:color="auto"/>
        <w:right w:val="none" w:sz="0" w:space="0" w:color="auto"/>
      </w:divBdr>
      <w:divsChild>
        <w:div w:id="2059236319">
          <w:marLeft w:val="0"/>
          <w:marRight w:val="0"/>
          <w:marTop w:val="0"/>
          <w:marBottom w:val="0"/>
          <w:divBdr>
            <w:top w:val="none" w:sz="0" w:space="0" w:color="auto"/>
            <w:left w:val="none" w:sz="0" w:space="0" w:color="auto"/>
            <w:bottom w:val="none" w:sz="0" w:space="0" w:color="auto"/>
            <w:right w:val="none" w:sz="0" w:space="0" w:color="auto"/>
          </w:divBdr>
        </w:div>
      </w:divsChild>
    </w:div>
    <w:div w:id="1495417453">
      <w:bodyDiv w:val="1"/>
      <w:marLeft w:val="0"/>
      <w:marRight w:val="0"/>
      <w:marTop w:val="0"/>
      <w:marBottom w:val="0"/>
      <w:divBdr>
        <w:top w:val="none" w:sz="0" w:space="0" w:color="auto"/>
        <w:left w:val="none" w:sz="0" w:space="0" w:color="auto"/>
        <w:bottom w:val="none" w:sz="0" w:space="0" w:color="auto"/>
        <w:right w:val="none" w:sz="0" w:space="0" w:color="auto"/>
      </w:divBdr>
      <w:divsChild>
        <w:div w:id="982126865">
          <w:marLeft w:val="0"/>
          <w:marRight w:val="0"/>
          <w:marTop w:val="0"/>
          <w:marBottom w:val="0"/>
          <w:divBdr>
            <w:top w:val="none" w:sz="0" w:space="0" w:color="auto"/>
            <w:left w:val="none" w:sz="0" w:space="0" w:color="auto"/>
            <w:bottom w:val="none" w:sz="0" w:space="0" w:color="auto"/>
            <w:right w:val="none" w:sz="0" w:space="0" w:color="auto"/>
          </w:divBdr>
        </w:div>
      </w:divsChild>
    </w:div>
    <w:div w:id="1512918026">
      <w:bodyDiv w:val="1"/>
      <w:marLeft w:val="0"/>
      <w:marRight w:val="0"/>
      <w:marTop w:val="0"/>
      <w:marBottom w:val="0"/>
      <w:divBdr>
        <w:top w:val="none" w:sz="0" w:space="0" w:color="auto"/>
        <w:left w:val="none" w:sz="0" w:space="0" w:color="auto"/>
        <w:bottom w:val="none" w:sz="0" w:space="0" w:color="auto"/>
        <w:right w:val="none" w:sz="0" w:space="0" w:color="auto"/>
      </w:divBdr>
      <w:divsChild>
        <w:div w:id="745305942">
          <w:marLeft w:val="0"/>
          <w:marRight w:val="0"/>
          <w:marTop w:val="0"/>
          <w:marBottom w:val="0"/>
          <w:divBdr>
            <w:top w:val="none" w:sz="0" w:space="0" w:color="auto"/>
            <w:left w:val="none" w:sz="0" w:space="0" w:color="auto"/>
            <w:bottom w:val="none" w:sz="0" w:space="0" w:color="auto"/>
            <w:right w:val="none" w:sz="0" w:space="0" w:color="auto"/>
          </w:divBdr>
        </w:div>
      </w:divsChild>
    </w:div>
    <w:div w:id="1518538196">
      <w:bodyDiv w:val="1"/>
      <w:marLeft w:val="0"/>
      <w:marRight w:val="0"/>
      <w:marTop w:val="0"/>
      <w:marBottom w:val="0"/>
      <w:divBdr>
        <w:top w:val="none" w:sz="0" w:space="0" w:color="auto"/>
        <w:left w:val="none" w:sz="0" w:space="0" w:color="auto"/>
        <w:bottom w:val="none" w:sz="0" w:space="0" w:color="auto"/>
        <w:right w:val="none" w:sz="0" w:space="0" w:color="auto"/>
      </w:divBdr>
      <w:divsChild>
        <w:div w:id="294725343">
          <w:marLeft w:val="0"/>
          <w:marRight w:val="0"/>
          <w:marTop w:val="0"/>
          <w:marBottom w:val="0"/>
          <w:divBdr>
            <w:top w:val="none" w:sz="0" w:space="0" w:color="auto"/>
            <w:left w:val="none" w:sz="0" w:space="0" w:color="auto"/>
            <w:bottom w:val="none" w:sz="0" w:space="0" w:color="auto"/>
            <w:right w:val="none" w:sz="0" w:space="0" w:color="auto"/>
          </w:divBdr>
        </w:div>
      </w:divsChild>
    </w:div>
    <w:div w:id="1521118359">
      <w:bodyDiv w:val="1"/>
      <w:marLeft w:val="0"/>
      <w:marRight w:val="0"/>
      <w:marTop w:val="0"/>
      <w:marBottom w:val="0"/>
      <w:divBdr>
        <w:top w:val="none" w:sz="0" w:space="0" w:color="auto"/>
        <w:left w:val="none" w:sz="0" w:space="0" w:color="auto"/>
        <w:bottom w:val="none" w:sz="0" w:space="0" w:color="auto"/>
        <w:right w:val="none" w:sz="0" w:space="0" w:color="auto"/>
      </w:divBdr>
      <w:divsChild>
        <w:div w:id="934243455">
          <w:marLeft w:val="0"/>
          <w:marRight w:val="0"/>
          <w:marTop w:val="0"/>
          <w:marBottom w:val="0"/>
          <w:divBdr>
            <w:top w:val="none" w:sz="0" w:space="0" w:color="auto"/>
            <w:left w:val="none" w:sz="0" w:space="0" w:color="auto"/>
            <w:bottom w:val="none" w:sz="0" w:space="0" w:color="auto"/>
            <w:right w:val="none" w:sz="0" w:space="0" w:color="auto"/>
          </w:divBdr>
        </w:div>
      </w:divsChild>
    </w:div>
    <w:div w:id="1539774688">
      <w:bodyDiv w:val="1"/>
      <w:marLeft w:val="0"/>
      <w:marRight w:val="0"/>
      <w:marTop w:val="0"/>
      <w:marBottom w:val="0"/>
      <w:divBdr>
        <w:top w:val="none" w:sz="0" w:space="0" w:color="auto"/>
        <w:left w:val="none" w:sz="0" w:space="0" w:color="auto"/>
        <w:bottom w:val="none" w:sz="0" w:space="0" w:color="auto"/>
        <w:right w:val="none" w:sz="0" w:space="0" w:color="auto"/>
      </w:divBdr>
      <w:divsChild>
        <w:div w:id="340863685">
          <w:marLeft w:val="0"/>
          <w:marRight w:val="0"/>
          <w:marTop w:val="0"/>
          <w:marBottom w:val="0"/>
          <w:divBdr>
            <w:top w:val="none" w:sz="0" w:space="0" w:color="auto"/>
            <w:left w:val="none" w:sz="0" w:space="0" w:color="auto"/>
            <w:bottom w:val="none" w:sz="0" w:space="0" w:color="auto"/>
            <w:right w:val="none" w:sz="0" w:space="0" w:color="auto"/>
          </w:divBdr>
        </w:div>
      </w:divsChild>
    </w:div>
    <w:div w:id="1594360590">
      <w:bodyDiv w:val="1"/>
      <w:marLeft w:val="0"/>
      <w:marRight w:val="0"/>
      <w:marTop w:val="0"/>
      <w:marBottom w:val="0"/>
      <w:divBdr>
        <w:top w:val="none" w:sz="0" w:space="0" w:color="auto"/>
        <w:left w:val="none" w:sz="0" w:space="0" w:color="auto"/>
        <w:bottom w:val="none" w:sz="0" w:space="0" w:color="auto"/>
        <w:right w:val="none" w:sz="0" w:space="0" w:color="auto"/>
      </w:divBdr>
      <w:divsChild>
        <w:div w:id="1108311428">
          <w:marLeft w:val="0"/>
          <w:marRight w:val="0"/>
          <w:marTop w:val="0"/>
          <w:marBottom w:val="0"/>
          <w:divBdr>
            <w:top w:val="none" w:sz="0" w:space="0" w:color="auto"/>
            <w:left w:val="none" w:sz="0" w:space="0" w:color="auto"/>
            <w:bottom w:val="none" w:sz="0" w:space="0" w:color="auto"/>
            <w:right w:val="none" w:sz="0" w:space="0" w:color="auto"/>
          </w:divBdr>
        </w:div>
      </w:divsChild>
    </w:div>
    <w:div w:id="1648166103">
      <w:bodyDiv w:val="1"/>
      <w:marLeft w:val="0"/>
      <w:marRight w:val="0"/>
      <w:marTop w:val="0"/>
      <w:marBottom w:val="0"/>
      <w:divBdr>
        <w:top w:val="none" w:sz="0" w:space="0" w:color="auto"/>
        <w:left w:val="none" w:sz="0" w:space="0" w:color="auto"/>
        <w:bottom w:val="none" w:sz="0" w:space="0" w:color="auto"/>
        <w:right w:val="none" w:sz="0" w:space="0" w:color="auto"/>
      </w:divBdr>
      <w:divsChild>
        <w:div w:id="1686518966">
          <w:marLeft w:val="0"/>
          <w:marRight w:val="0"/>
          <w:marTop w:val="0"/>
          <w:marBottom w:val="0"/>
          <w:divBdr>
            <w:top w:val="none" w:sz="0" w:space="0" w:color="auto"/>
            <w:left w:val="none" w:sz="0" w:space="0" w:color="auto"/>
            <w:bottom w:val="none" w:sz="0" w:space="0" w:color="auto"/>
            <w:right w:val="none" w:sz="0" w:space="0" w:color="auto"/>
          </w:divBdr>
          <w:divsChild>
            <w:div w:id="1003975677">
              <w:marLeft w:val="0"/>
              <w:marRight w:val="0"/>
              <w:marTop w:val="0"/>
              <w:marBottom w:val="0"/>
              <w:divBdr>
                <w:top w:val="none" w:sz="0" w:space="0" w:color="auto"/>
                <w:left w:val="none" w:sz="0" w:space="0" w:color="auto"/>
                <w:bottom w:val="none" w:sz="0" w:space="0" w:color="auto"/>
                <w:right w:val="none" w:sz="0" w:space="0" w:color="auto"/>
              </w:divBdr>
              <w:divsChild>
                <w:div w:id="11778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51497">
      <w:bodyDiv w:val="1"/>
      <w:marLeft w:val="0"/>
      <w:marRight w:val="0"/>
      <w:marTop w:val="0"/>
      <w:marBottom w:val="0"/>
      <w:divBdr>
        <w:top w:val="none" w:sz="0" w:space="0" w:color="auto"/>
        <w:left w:val="none" w:sz="0" w:space="0" w:color="auto"/>
        <w:bottom w:val="none" w:sz="0" w:space="0" w:color="auto"/>
        <w:right w:val="none" w:sz="0" w:space="0" w:color="auto"/>
      </w:divBdr>
      <w:divsChild>
        <w:div w:id="120267537">
          <w:marLeft w:val="0"/>
          <w:marRight w:val="0"/>
          <w:marTop w:val="0"/>
          <w:marBottom w:val="0"/>
          <w:divBdr>
            <w:top w:val="none" w:sz="0" w:space="0" w:color="auto"/>
            <w:left w:val="none" w:sz="0" w:space="0" w:color="auto"/>
            <w:bottom w:val="none" w:sz="0" w:space="0" w:color="auto"/>
            <w:right w:val="none" w:sz="0" w:space="0" w:color="auto"/>
          </w:divBdr>
        </w:div>
      </w:divsChild>
    </w:div>
    <w:div w:id="1690375333">
      <w:bodyDiv w:val="1"/>
      <w:marLeft w:val="0"/>
      <w:marRight w:val="0"/>
      <w:marTop w:val="0"/>
      <w:marBottom w:val="0"/>
      <w:divBdr>
        <w:top w:val="none" w:sz="0" w:space="0" w:color="auto"/>
        <w:left w:val="none" w:sz="0" w:space="0" w:color="auto"/>
        <w:bottom w:val="none" w:sz="0" w:space="0" w:color="auto"/>
        <w:right w:val="none" w:sz="0" w:space="0" w:color="auto"/>
      </w:divBdr>
      <w:divsChild>
        <w:div w:id="111900389">
          <w:marLeft w:val="0"/>
          <w:marRight w:val="0"/>
          <w:marTop w:val="0"/>
          <w:marBottom w:val="0"/>
          <w:divBdr>
            <w:top w:val="none" w:sz="0" w:space="0" w:color="auto"/>
            <w:left w:val="none" w:sz="0" w:space="0" w:color="auto"/>
            <w:bottom w:val="none" w:sz="0" w:space="0" w:color="auto"/>
            <w:right w:val="none" w:sz="0" w:space="0" w:color="auto"/>
          </w:divBdr>
        </w:div>
      </w:divsChild>
    </w:div>
    <w:div w:id="1702584972">
      <w:bodyDiv w:val="1"/>
      <w:marLeft w:val="0"/>
      <w:marRight w:val="0"/>
      <w:marTop w:val="0"/>
      <w:marBottom w:val="0"/>
      <w:divBdr>
        <w:top w:val="none" w:sz="0" w:space="0" w:color="auto"/>
        <w:left w:val="none" w:sz="0" w:space="0" w:color="auto"/>
        <w:bottom w:val="none" w:sz="0" w:space="0" w:color="auto"/>
        <w:right w:val="none" w:sz="0" w:space="0" w:color="auto"/>
      </w:divBdr>
      <w:divsChild>
        <w:div w:id="1989508518">
          <w:marLeft w:val="0"/>
          <w:marRight w:val="0"/>
          <w:marTop w:val="0"/>
          <w:marBottom w:val="0"/>
          <w:divBdr>
            <w:top w:val="none" w:sz="0" w:space="0" w:color="auto"/>
            <w:left w:val="none" w:sz="0" w:space="0" w:color="auto"/>
            <w:bottom w:val="none" w:sz="0" w:space="0" w:color="auto"/>
            <w:right w:val="none" w:sz="0" w:space="0" w:color="auto"/>
          </w:divBdr>
        </w:div>
      </w:divsChild>
    </w:div>
    <w:div w:id="1707293531">
      <w:bodyDiv w:val="1"/>
      <w:marLeft w:val="0"/>
      <w:marRight w:val="0"/>
      <w:marTop w:val="0"/>
      <w:marBottom w:val="0"/>
      <w:divBdr>
        <w:top w:val="none" w:sz="0" w:space="0" w:color="auto"/>
        <w:left w:val="none" w:sz="0" w:space="0" w:color="auto"/>
        <w:bottom w:val="none" w:sz="0" w:space="0" w:color="auto"/>
        <w:right w:val="none" w:sz="0" w:space="0" w:color="auto"/>
      </w:divBdr>
      <w:divsChild>
        <w:div w:id="744231903">
          <w:marLeft w:val="0"/>
          <w:marRight w:val="0"/>
          <w:marTop w:val="0"/>
          <w:marBottom w:val="0"/>
          <w:divBdr>
            <w:top w:val="none" w:sz="0" w:space="0" w:color="auto"/>
            <w:left w:val="none" w:sz="0" w:space="0" w:color="auto"/>
            <w:bottom w:val="none" w:sz="0" w:space="0" w:color="auto"/>
            <w:right w:val="none" w:sz="0" w:space="0" w:color="auto"/>
          </w:divBdr>
        </w:div>
      </w:divsChild>
    </w:div>
    <w:div w:id="1738477847">
      <w:bodyDiv w:val="1"/>
      <w:marLeft w:val="0"/>
      <w:marRight w:val="0"/>
      <w:marTop w:val="0"/>
      <w:marBottom w:val="0"/>
      <w:divBdr>
        <w:top w:val="none" w:sz="0" w:space="0" w:color="auto"/>
        <w:left w:val="none" w:sz="0" w:space="0" w:color="auto"/>
        <w:bottom w:val="none" w:sz="0" w:space="0" w:color="auto"/>
        <w:right w:val="none" w:sz="0" w:space="0" w:color="auto"/>
      </w:divBdr>
      <w:divsChild>
        <w:div w:id="514659065">
          <w:marLeft w:val="0"/>
          <w:marRight w:val="0"/>
          <w:marTop w:val="0"/>
          <w:marBottom w:val="0"/>
          <w:divBdr>
            <w:top w:val="none" w:sz="0" w:space="0" w:color="auto"/>
            <w:left w:val="none" w:sz="0" w:space="0" w:color="auto"/>
            <w:bottom w:val="none" w:sz="0" w:space="0" w:color="auto"/>
            <w:right w:val="none" w:sz="0" w:space="0" w:color="auto"/>
          </w:divBdr>
        </w:div>
      </w:divsChild>
    </w:div>
    <w:div w:id="1763840333">
      <w:bodyDiv w:val="1"/>
      <w:marLeft w:val="0"/>
      <w:marRight w:val="0"/>
      <w:marTop w:val="0"/>
      <w:marBottom w:val="0"/>
      <w:divBdr>
        <w:top w:val="none" w:sz="0" w:space="0" w:color="auto"/>
        <w:left w:val="none" w:sz="0" w:space="0" w:color="auto"/>
        <w:bottom w:val="none" w:sz="0" w:space="0" w:color="auto"/>
        <w:right w:val="none" w:sz="0" w:space="0" w:color="auto"/>
      </w:divBdr>
      <w:divsChild>
        <w:div w:id="423187898">
          <w:marLeft w:val="0"/>
          <w:marRight w:val="0"/>
          <w:marTop w:val="0"/>
          <w:marBottom w:val="0"/>
          <w:divBdr>
            <w:top w:val="none" w:sz="0" w:space="0" w:color="auto"/>
            <w:left w:val="none" w:sz="0" w:space="0" w:color="auto"/>
            <w:bottom w:val="none" w:sz="0" w:space="0" w:color="auto"/>
            <w:right w:val="none" w:sz="0" w:space="0" w:color="auto"/>
          </w:divBdr>
        </w:div>
      </w:divsChild>
    </w:div>
    <w:div w:id="1770158093">
      <w:bodyDiv w:val="1"/>
      <w:marLeft w:val="0"/>
      <w:marRight w:val="0"/>
      <w:marTop w:val="0"/>
      <w:marBottom w:val="0"/>
      <w:divBdr>
        <w:top w:val="none" w:sz="0" w:space="0" w:color="auto"/>
        <w:left w:val="none" w:sz="0" w:space="0" w:color="auto"/>
        <w:bottom w:val="none" w:sz="0" w:space="0" w:color="auto"/>
        <w:right w:val="none" w:sz="0" w:space="0" w:color="auto"/>
      </w:divBdr>
      <w:divsChild>
        <w:div w:id="1291282429">
          <w:marLeft w:val="0"/>
          <w:marRight w:val="0"/>
          <w:marTop w:val="0"/>
          <w:marBottom w:val="0"/>
          <w:divBdr>
            <w:top w:val="none" w:sz="0" w:space="0" w:color="auto"/>
            <w:left w:val="none" w:sz="0" w:space="0" w:color="auto"/>
            <w:bottom w:val="none" w:sz="0" w:space="0" w:color="auto"/>
            <w:right w:val="none" w:sz="0" w:space="0" w:color="auto"/>
          </w:divBdr>
        </w:div>
      </w:divsChild>
    </w:div>
    <w:div w:id="1809398279">
      <w:bodyDiv w:val="1"/>
      <w:marLeft w:val="0"/>
      <w:marRight w:val="0"/>
      <w:marTop w:val="0"/>
      <w:marBottom w:val="0"/>
      <w:divBdr>
        <w:top w:val="none" w:sz="0" w:space="0" w:color="auto"/>
        <w:left w:val="none" w:sz="0" w:space="0" w:color="auto"/>
        <w:bottom w:val="none" w:sz="0" w:space="0" w:color="auto"/>
        <w:right w:val="none" w:sz="0" w:space="0" w:color="auto"/>
      </w:divBdr>
    </w:div>
    <w:div w:id="1854418015">
      <w:bodyDiv w:val="1"/>
      <w:marLeft w:val="0"/>
      <w:marRight w:val="0"/>
      <w:marTop w:val="0"/>
      <w:marBottom w:val="0"/>
      <w:divBdr>
        <w:top w:val="none" w:sz="0" w:space="0" w:color="auto"/>
        <w:left w:val="none" w:sz="0" w:space="0" w:color="auto"/>
        <w:bottom w:val="none" w:sz="0" w:space="0" w:color="auto"/>
        <w:right w:val="none" w:sz="0" w:space="0" w:color="auto"/>
      </w:divBdr>
    </w:div>
    <w:div w:id="1876113652">
      <w:bodyDiv w:val="1"/>
      <w:marLeft w:val="0"/>
      <w:marRight w:val="0"/>
      <w:marTop w:val="0"/>
      <w:marBottom w:val="0"/>
      <w:divBdr>
        <w:top w:val="none" w:sz="0" w:space="0" w:color="auto"/>
        <w:left w:val="none" w:sz="0" w:space="0" w:color="auto"/>
        <w:bottom w:val="none" w:sz="0" w:space="0" w:color="auto"/>
        <w:right w:val="none" w:sz="0" w:space="0" w:color="auto"/>
      </w:divBdr>
    </w:div>
    <w:div w:id="1882858606">
      <w:bodyDiv w:val="1"/>
      <w:marLeft w:val="0"/>
      <w:marRight w:val="0"/>
      <w:marTop w:val="0"/>
      <w:marBottom w:val="0"/>
      <w:divBdr>
        <w:top w:val="none" w:sz="0" w:space="0" w:color="auto"/>
        <w:left w:val="none" w:sz="0" w:space="0" w:color="auto"/>
        <w:bottom w:val="none" w:sz="0" w:space="0" w:color="auto"/>
        <w:right w:val="none" w:sz="0" w:space="0" w:color="auto"/>
      </w:divBdr>
    </w:div>
    <w:div w:id="1895043643">
      <w:bodyDiv w:val="1"/>
      <w:marLeft w:val="0"/>
      <w:marRight w:val="0"/>
      <w:marTop w:val="0"/>
      <w:marBottom w:val="0"/>
      <w:divBdr>
        <w:top w:val="none" w:sz="0" w:space="0" w:color="auto"/>
        <w:left w:val="none" w:sz="0" w:space="0" w:color="auto"/>
        <w:bottom w:val="none" w:sz="0" w:space="0" w:color="auto"/>
        <w:right w:val="none" w:sz="0" w:space="0" w:color="auto"/>
      </w:divBdr>
    </w:div>
    <w:div w:id="1897007670">
      <w:bodyDiv w:val="1"/>
      <w:marLeft w:val="0"/>
      <w:marRight w:val="0"/>
      <w:marTop w:val="0"/>
      <w:marBottom w:val="0"/>
      <w:divBdr>
        <w:top w:val="none" w:sz="0" w:space="0" w:color="auto"/>
        <w:left w:val="none" w:sz="0" w:space="0" w:color="auto"/>
        <w:bottom w:val="none" w:sz="0" w:space="0" w:color="auto"/>
        <w:right w:val="none" w:sz="0" w:space="0" w:color="auto"/>
      </w:divBdr>
    </w:div>
    <w:div w:id="1937012397">
      <w:bodyDiv w:val="1"/>
      <w:marLeft w:val="0"/>
      <w:marRight w:val="0"/>
      <w:marTop w:val="0"/>
      <w:marBottom w:val="0"/>
      <w:divBdr>
        <w:top w:val="none" w:sz="0" w:space="0" w:color="auto"/>
        <w:left w:val="none" w:sz="0" w:space="0" w:color="auto"/>
        <w:bottom w:val="none" w:sz="0" w:space="0" w:color="auto"/>
        <w:right w:val="none" w:sz="0" w:space="0" w:color="auto"/>
      </w:divBdr>
      <w:divsChild>
        <w:div w:id="457839587">
          <w:marLeft w:val="0"/>
          <w:marRight w:val="0"/>
          <w:marTop w:val="0"/>
          <w:marBottom w:val="0"/>
          <w:divBdr>
            <w:top w:val="none" w:sz="0" w:space="0" w:color="auto"/>
            <w:left w:val="none" w:sz="0" w:space="0" w:color="auto"/>
            <w:bottom w:val="none" w:sz="0" w:space="0" w:color="auto"/>
            <w:right w:val="none" w:sz="0" w:space="0" w:color="auto"/>
          </w:divBdr>
        </w:div>
      </w:divsChild>
    </w:div>
    <w:div w:id="1941134599">
      <w:bodyDiv w:val="1"/>
      <w:marLeft w:val="0"/>
      <w:marRight w:val="0"/>
      <w:marTop w:val="0"/>
      <w:marBottom w:val="0"/>
      <w:divBdr>
        <w:top w:val="none" w:sz="0" w:space="0" w:color="auto"/>
        <w:left w:val="none" w:sz="0" w:space="0" w:color="auto"/>
        <w:bottom w:val="none" w:sz="0" w:space="0" w:color="auto"/>
        <w:right w:val="none" w:sz="0" w:space="0" w:color="auto"/>
      </w:divBdr>
    </w:div>
    <w:div w:id="1946498903">
      <w:bodyDiv w:val="1"/>
      <w:marLeft w:val="0"/>
      <w:marRight w:val="0"/>
      <w:marTop w:val="0"/>
      <w:marBottom w:val="0"/>
      <w:divBdr>
        <w:top w:val="none" w:sz="0" w:space="0" w:color="auto"/>
        <w:left w:val="none" w:sz="0" w:space="0" w:color="auto"/>
        <w:bottom w:val="none" w:sz="0" w:space="0" w:color="auto"/>
        <w:right w:val="none" w:sz="0" w:space="0" w:color="auto"/>
      </w:divBdr>
      <w:divsChild>
        <w:div w:id="1088039405">
          <w:marLeft w:val="0"/>
          <w:marRight w:val="0"/>
          <w:marTop w:val="0"/>
          <w:marBottom w:val="0"/>
          <w:divBdr>
            <w:top w:val="none" w:sz="0" w:space="0" w:color="auto"/>
            <w:left w:val="none" w:sz="0" w:space="0" w:color="auto"/>
            <w:bottom w:val="none" w:sz="0" w:space="0" w:color="auto"/>
            <w:right w:val="none" w:sz="0" w:space="0" w:color="auto"/>
          </w:divBdr>
        </w:div>
      </w:divsChild>
    </w:div>
    <w:div w:id="1957364343">
      <w:bodyDiv w:val="1"/>
      <w:marLeft w:val="0"/>
      <w:marRight w:val="0"/>
      <w:marTop w:val="0"/>
      <w:marBottom w:val="0"/>
      <w:divBdr>
        <w:top w:val="none" w:sz="0" w:space="0" w:color="auto"/>
        <w:left w:val="none" w:sz="0" w:space="0" w:color="auto"/>
        <w:bottom w:val="none" w:sz="0" w:space="0" w:color="auto"/>
        <w:right w:val="none" w:sz="0" w:space="0" w:color="auto"/>
      </w:divBdr>
      <w:divsChild>
        <w:div w:id="962807025">
          <w:marLeft w:val="0"/>
          <w:marRight w:val="0"/>
          <w:marTop w:val="0"/>
          <w:marBottom w:val="0"/>
          <w:divBdr>
            <w:top w:val="none" w:sz="0" w:space="0" w:color="auto"/>
            <w:left w:val="none" w:sz="0" w:space="0" w:color="auto"/>
            <w:bottom w:val="none" w:sz="0" w:space="0" w:color="auto"/>
            <w:right w:val="none" w:sz="0" w:space="0" w:color="auto"/>
          </w:divBdr>
        </w:div>
      </w:divsChild>
    </w:div>
    <w:div w:id="1980375429">
      <w:bodyDiv w:val="1"/>
      <w:marLeft w:val="0"/>
      <w:marRight w:val="0"/>
      <w:marTop w:val="0"/>
      <w:marBottom w:val="0"/>
      <w:divBdr>
        <w:top w:val="none" w:sz="0" w:space="0" w:color="auto"/>
        <w:left w:val="none" w:sz="0" w:space="0" w:color="auto"/>
        <w:bottom w:val="none" w:sz="0" w:space="0" w:color="auto"/>
        <w:right w:val="none" w:sz="0" w:space="0" w:color="auto"/>
      </w:divBdr>
      <w:divsChild>
        <w:div w:id="1058868114">
          <w:marLeft w:val="0"/>
          <w:marRight w:val="0"/>
          <w:marTop w:val="0"/>
          <w:marBottom w:val="0"/>
          <w:divBdr>
            <w:top w:val="none" w:sz="0" w:space="0" w:color="auto"/>
            <w:left w:val="none" w:sz="0" w:space="0" w:color="auto"/>
            <w:bottom w:val="none" w:sz="0" w:space="0" w:color="auto"/>
            <w:right w:val="none" w:sz="0" w:space="0" w:color="auto"/>
          </w:divBdr>
        </w:div>
      </w:divsChild>
    </w:div>
    <w:div w:id="2003728378">
      <w:bodyDiv w:val="1"/>
      <w:marLeft w:val="0"/>
      <w:marRight w:val="0"/>
      <w:marTop w:val="0"/>
      <w:marBottom w:val="0"/>
      <w:divBdr>
        <w:top w:val="none" w:sz="0" w:space="0" w:color="auto"/>
        <w:left w:val="none" w:sz="0" w:space="0" w:color="auto"/>
        <w:bottom w:val="none" w:sz="0" w:space="0" w:color="auto"/>
        <w:right w:val="none" w:sz="0" w:space="0" w:color="auto"/>
      </w:divBdr>
      <w:divsChild>
        <w:div w:id="816916863">
          <w:marLeft w:val="0"/>
          <w:marRight w:val="0"/>
          <w:marTop w:val="0"/>
          <w:marBottom w:val="0"/>
          <w:divBdr>
            <w:top w:val="none" w:sz="0" w:space="0" w:color="auto"/>
            <w:left w:val="none" w:sz="0" w:space="0" w:color="auto"/>
            <w:bottom w:val="none" w:sz="0" w:space="0" w:color="auto"/>
            <w:right w:val="none" w:sz="0" w:space="0" w:color="auto"/>
          </w:divBdr>
        </w:div>
      </w:divsChild>
    </w:div>
    <w:div w:id="2026663688">
      <w:bodyDiv w:val="1"/>
      <w:marLeft w:val="0"/>
      <w:marRight w:val="0"/>
      <w:marTop w:val="0"/>
      <w:marBottom w:val="0"/>
      <w:divBdr>
        <w:top w:val="none" w:sz="0" w:space="0" w:color="auto"/>
        <w:left w:val="none" w:sz="0" w:space="0" w:color="auto"/>
        <w:bottom w:val="none" w:sz="0" w:space="0" w:color="auto"/>
        <w:right w:val="none" w:sz="0" w:space="0" w:color="auto"/>
      </w:divBdr>
      <w:divsChild>
        <w:div w:id="1642420994">
          <w:marLeft w:val="0"/>
          <w:marRight w:val="0"/>
          <w:marTop w:val="0"/>
          <w:marBottom w:val="0"/>
          <w:divBdr>
            <w:top w:val="none" w:sz="0" w:space="0" w:color="auto"/>
            <w:left w:val="none" w:sz="0" w:space="0" w:color="auto"/>
            <w:bottom w:val="none" w:sz="0" w:space="0" w:color="auto"/>
            <w:right w:val="none" w:sz="0" w:space="0" w:color="auto"/>
          </w:divBdr>
        </w:div>
      </w:divsChild>
    </w:div>
    <w:div w:id="2042591576">
      <w:bodyDiv w:val="1"/>
      <w:marLeft w:val="0"/>
      <w:marRight w:val="0"/>
      <w:marTop w:val="0"/>
      <w:marBottom w:val="0"/>
      <w:divBdr>
        <w:top w:val="none" w:sz="0" w:space="0" w:color="auto"/>
        <w:left w:val="none" w:sz="0" w:space="0" w:color="auto"/>
        <w:bottom w:val="none" w:sz="0" w:space="0" w:color="auto"/>
        <w:right w:val="none" w:sz="0" w:space="0" w:color="auto"/>
      </w:divBdr>
    </w:div>
    <w:div w:id="2047094045">
      <w:bodyDiv w:val="1"/>
      <w:marLeft w:val="0"/>
      <w:marRight w:val="0"/>
      <w:marTop w:val="0"/>
      <w:marBottom w:val="0"/>
      <w:divBdr>
        <w:top w:val="none" w:sz="0" w:space="0" w:color="auto"/>
        <w:left w:val="none" w:sz="0" w:space="0" w:color="auto"/>
        <w:bottom w:val="none" w:sz="0" w:space="0" w:color="auto"/>
        <w:right w:val="none" w:sz="0" w:space="0" w:color="auto"/>
      </w:divBdr>
      <w:divsChild>
        <w:div w:id="1705012308">
          <w:marLeft w:val="0"/>
          <w:marRight w:val="0"/>
          <w:marTop w:val="0"/>
          <w:marBottom w:val="0"/>
          <w:divBdr>
            <w:top w:val="none" w:sz="0" w:space="0" w:color="auto"/>
            <w:left w:val="none" w:sz="0" w:space="0" w:color="auto"/>
            <w:bottom w:val="none" w:sz="0" w:space="0" w:color="auto"/>
            <w:right w:val="none" w:sz="0" w:space="0" w:color="auto"/>
          </w:divBdr>
        </w:div>
      </w:divsChild>
    </w:div>
    <w:div w:id="2092894235">
      <w:bodyDiv w:val="1"/>
      <w:marLeft w:val="0"/>
      <w:marRight w:val="0"/>
      <w:marTop w:val="0"/>
      <w:marBottom w:val="0"/>
      <w:divBdr>
        <w:top w:val="none" w:sz="0" w:space="0" w:color="auto"/>
        <w:left w:val="none" w:sz="0" w:space="0" w:color="auto"/>
        <w:bottom w:val="none" w:sz="0" w:space="0" w:color="auto"/>
        <w:right w:val="none" w:sz="0" w:space="0" w:color="auto"/>
      </w:divBdr>
      <w:divsChild>
        <w:div w:id="1185093663">
          <w:marLeft w:val="0"/>
          <w:marRight w:val="0"/>
          <w:marTop w:val="0"/>
          <w:marBottom w:val="0"/>
          <w:divBdr>
            <w:top w:val="none" w:sz="0" w:space="0" w:color="auto"/>
            <w:left w:val="none" w:sz="0" w:space="0" w:color="auto"/>
            <w:bottom w:val="none" w:sz="0" w:space="0" w:color="auto"/>
            <w:right w:val="none" w:sz="0" w:space="0" w:color="auto"/>
          </w:divBdr>
        </w:div>
      </w:divsChild>
    </w:div>
    <w:div w:id="2100977290">
      <w:bodyDiv w:val="1"/>
      <w:marLeft w:val="0"/>
      <w:marRight w:val="0"/>
      <w:marTop w:val="0"/>
      <w:marBottom w:val="0"/>
      <w:divBdr>
        <w:top w:val="none" w:sz="0" w:space="0" w:color="auto"/>
        <w:left w:val="none" w:sz="0" w:space="0" w:color="auto"/>
        <w:bottom w:val="none" w:sz="0" w:space="0" w:color="auto"/>
        <w:right w:val="none" w:sz="0" w:space="0" w:color="auto"/>
      </w:divBdr>
      <w:divsChild>
        <w:div w:id="1802964823">
          <w:marLeft w:val="0"/>
          <w:marRight w:val="0"/>
          <w:marTop w:val="0"/>
          <w:marBottom w:val="0"/>
          <w:divBdr>
            <w:top w:val="none" w:sz="0" w:space="0" w:color="auto"/>
            <w:left w:val="none" w:sz="0" w:space="0" w:color="auto"/>
            <w:bottom w:val="none" w:sz="0" w:space="0" w:color="auto"/>
            <w:right w:val="none" w:sz="0" w:space="0" w:color="auto"/>
          </w:divBdr>
        </w:div>
      </w:divsChild>
    </w:div>
    <w:div w:id="2111123699">
      <w:bodyDiv w:val="1"/>
      <w:marLeft w:val="0"/>
      <w:marRight w:val="0"/>
      <w:marTop w:val="0"/>
      <w:marBottom w:val="0"/>
      <w:divBdr>
        <w:top w:val="none" w:sz="0" w:space="0" w:color="auto"/>
        <w:left w:val="none" w:sz="0" w:space="0" w:color="auto"/>
        <w:bottom w:val="none" w:sz="0" w:space="0" w:color="auto"/>
        <w:right w:val="none" w:sz="0" w:space="0" w:color="auto"/>
      </w:divBdr>
      <w:divsChild>
        <w:div w:id="299189156">
          <w:marLeft w:val="0"/>
          <w:marRight w:val="0"/>
          <w:marTop w:val="0"/>
          <w:marBottom w:val="0"/>
          <w:divBdr>
            <w:top w:val="none" w:sz="0" w:space="0" w:color="auto"/>
            <w:left w:val="none" w:sz="0" w:space="0" w:color="auto"/>
            <w:bottom w:val="none" w:sz="0" w:space="0" w:color="auto"/>
            <w:right w:val="none" w:sz="0" w:space="0" w:color="auto"/>
          </w:divBdr>
        </w:div>
      </w:divsChild>
    </w:div>
    <w:div w:id="2124418736">
      <w:bodyDiv w:val="1"/>
      <w:marLeft w:val="0"/>
      <w:marRight w:val="0"/>
      <w:marTop w:val="0"/>
      <w:marBottom w:val="0"/>
      <w:divBdr>
        <w:top w:val="none" w:sz="0" w:space="0" w:color="auto"/>
        <w:left w:val="none" w:sz="0" w:space="0" w:color="auto"/>
        <w:bottom w:val="none" w:sz="0" w:space="0" w:color="auto"/>
        <w:right w:val="none" w:sz="0" w:space="0" w:color="auto"/>
      </w:divBdr>
      <w:divsChild>
        <w:div w:id="788284200">
          <w:marLeft w:val="0"/>
          <w:marRight w:val="0"/>
          <w:marTop w:val="0"/>
          <w:marBottom w:val="0"/>
          <w:divBdr>
            <w:top w:val="none" w:sz="0" w:space="0" w:color="auto"/>
            <w:left w:val="none" w:sz="0" w:space="0" w:color="auto"/>
            <w:bottom w:val="none" w:sz="0" w:space="0" w:color="auto"/>
            <w:right w:val="none" w:sz="0" w:space="0" w:color="auto"/>
          </w:divBdr>
        </w:div>
      </w:divsChild>
    </w:div>
    <w:div w:id="2142572222">
      <w:bodyDiv w:val="1"/>
      <w:marLeft w:val="0"/>
      <w:marRight w:val="0"/>
      <w:marTop w:val="0"/>
      <w:marBottom w:val="0"/>
      <w:divBdr>
        <w:top w:val="none" w:sz="0" w:space="0" w:color="auto"/>
        <w:left w:val="none" w:sz="0" w:space="0" w:color="auto"/>
        <w:bottom w:val="none" w:sz="0" w:space="0" w:color="auto"/>
        <w:right w:val="none" w:sz="0" w:space="0" w:color="auto"/>
      </w:divBdr>
      <w:divsChild>
        <w:div w:id="1867520908">
          <w:marLeft w:val="0"/>
          <w:marRight w:val="0"/>
          <w:marTop w:val="0"/>
          <w:marBottom w:val="0"/>
          <w:divBdr>
            <w:top w:val="none" w:sz="0" w:space="0" w:color="auto"/>
            <w:left w:val="none" w:sz="0" w:space="0" w:color="auto"/>
            <w:bottom w:val="none" w:sz="0" w:space="0" w:color="auto"/>
            <w:right w:val="none" w:sz="0" w:space="0" w:color="auto"/>
          </w:divBdr>
          <w:divsChild>
            <w:div w:id="335693888">
              <w:marLeft w:val="0"/>
              <w:marRight w:val="0"/>
              <w:marTop w:val="0"/>
              <w:marBottom w:val="0"/>
              <w:divBdr>
                <w:top w:val="none" w:sz="0" w:space="0" w:color="auto"/>
                <w:left w:val="none" w:sz="0" w:space="0" w:color="auto"/>
                <w:bottom w:val="none" w:sz="0" w:space="0" w:color="auto"/>
                <w:right w:val="none" w:sz="0" w:space="0" w:color="auto"/>
              </w:divBdr>
              <w:divsChild>
                <w:div w:id="136651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7D5B94-4194-465D-9B4D-ACF7D957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11559</Words>
  <Characters>63198</Characters>
  <Application>Microsoft Office Word</Application>
  <DocSecurity>0</DocSecurity>
  <Lines>1316</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2020-07-31T17:19:00Z</dcterms:created>
  <dcterms:modified xsi:type="dcterms:W3CDTF">2020-07-31T18:20:00Z</dcterms:modified>
</cp:coreProperties>
</file>