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37AD8" w:rsidP="00245C54">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245C54" w:rsidP="00245C54">
      <w:pPr>
        <w:tabs>
          <w:tab w:val="left" w:pos="1440"/>
          <w:tab w:val="left" w:pos="4680"/>
          <w:tab w:val="center" w:pos="7200"/>
        </w:tabs>
        <w:spacing w:after="0"/>
        <w:jc w:val="center"/>
      </w:pPr>
    </w:p>
    <w:p w:rsidR="00245C54" w:rsidP="00245C54">
      <w:pPr>
        <w:tabs>
          <w:tab w:val="left" w:pos="1440"/>
          <w:tab w:val="left" w:pos="4680"/>
          <w:tab w:val="center" w:pos="7200"/>
        </w:tabs>
        <w:spacing w:after="0"/>
        <w:jc w:val="center"/>
      </w:pPr>
      <w:r>
        <w:t>GERARDO VAZQUEZ et al.</w:t>
      </w:r>
      <w:r w:rsidR="00F03E28">
        <w:t>,</w:t>
      </w:r>
    </w:p>
    <w:p w:rsidR="00245C54" w:rsidP="00245C54">
      <w:pPr>
        <w:tabs>
          <w:tab w:val="left" w:pos="1440"/>
          <w:tab w:val="left" w:pos="4680"/>
          <w:tab w:val="center" w:pos="7200"/>
        </w:tabs>
        <w:spacing w:after="0"/>
        <w:jc w:val="center"/>
      </w:pPr>
      <w:r>
        <w:t>Plaintiffs and Appellants</w:t>
      </w:r>
      <w:r w:rsidR="00F03E28">
        <w:t>,</w:t>
      </w:r>
    </w:p>
    <w:p w:rsidR="00245C54" w:rsidP="00245C54">
      <w:pPr>
        <w:tabs>
          <w:tab w:val="left" w:pos="1440"/>
          <w:tab w:val="left" w:pos="4680"/>
          <w:tab w:val="center" w:pos="7200"/>
        </w:tabs>
        <w:spacing w:after="0"/>
        <w:jc w:val="center"/>
      </w:pPr>
      <w:r>
        <w:t>v.</w:t>
      </w:r>
    </w:p>
    <w:p w:rsidR="00245C54" w:rsidP="00245C54">
      <w:pPr>
        <w:tabs>
          <w:tab w:val="left" w:pos="1440"/>
          <w:tab w:val="left" w:pos="4680"/>
          <w:tab w:val="center" w:pos="7200"/>
        </w:tabs>
        <w:spacing w:after="0"/>
        <w:jc w:val="center"/>
      </w:pPr>
      <w:r>
        <w:t>JAN-PRO FRANCHISING INT</w:t>
      </w:r>
      <w:r w:rsidR="00FD1B64">
        <w:t>ERNATIONA</w:t>
      </w:r>
      <w:r>
        <w:t>L, INC.</w:t>
      </w:r>
      <w:r w:rsidR="00F03E28">
        <w:t>,</w:t>
      </w:r>
    </w:p>
    <w:p w:rsidR="00245C54" w:rsidP="00245C54">
      <w:pPr>
        <w:tabs>
          <w:tab w:val="left" w:pos="1440"/>
          <w:tab w:val="left" w:pos="4680"/>
          <w:tab w:val="center" w:pos="7200"/>
        </w:tabs>
        <w:spacing w:after="0"/>
        <w:jc w:val="center"/>
      </w:pPr>
      <w:r>
        <w:t>Defendant and Respondent.</w:t>
      </w:r>
    </w:p>
    <w:p w:rsidR="00245C54" w:rsidP="00245C54">
      <w:pPr>
        <w:tabs>
          <w:tab w:val="left" w:pos="1440"/>
          <w:tab w:val="left" w:pos="4680"/>
          <w:tab w:val="center" w:pos="7200"/>
        </w:tabs>
        <w:spacing w:after="0"/>
        <w:jc w:val="center"/>
      </w:pPr>
    </w:p>
    <w:p w:rsidR="00245C54" w:rsidP="00245C54">
      <w:pPr>
        <w:tabs>
          <w:tab w:val="left" w:pos="1440"/>
          <w:tab w:val="left" w:pos="4680"/>
          <w:tab w:val="center" w:pos="7200"/>
        </w:tabs>
        <w:spacing w:after="0"/>
        <w:jc w:val="center"/>
      </w:pPr>
      <w:r>
        <w:t>S258191</w:t>
      </w:r>
    </w:p>
    <w:p w:rsidR="00245C54" w:rsidP="00245C54">
      <w:pPr>
        <w:tabs>
          <w:tab w:val="left" w:pos="1440"/>
          <w:tab w:val="left" w:pos="4680"/>
          <w:tab w:val="center" w:pos="7200"/>
        </w:tabs>
        <w:spacing w:after="0"/>
        <w:jc w:val="center"/>
      </w:pPr>
    </w:p>
    <w:p w:rsidR="00387240" w:rsidP="00245C54">
      <w:pPr>
        <w:tabs>
          <w:tab w:val="left" w:pos="1440"/>
          <w:tab w:val="left" w:pos="4680"/>
          <w:tab w:val="center" w:pos="7200"/>
        </w:tabs>
        <w:spacing w:after="0"/>
        <w:jc w:val="center"/>
      </w:pPr>
      <w:r>
        <w:t>Ninth Circuit</w:t>
      </w:r>
    </w:p>
    <w:p w:rsidR="00245C54" w:rsidP="00245C54">
      <w:pPr>
        <w:tabs>
          <w:tab w:val="left" w:pos="1440"/>
          <w:tab w:val="left" w:pos="4680"/>
          <w:tab w:val="center" w:pos="7200"/>
        </w:tabs>
        <w:spacing w:after="0"/>
        <w:jc w:val="center"/>
      </w:pPr>
      <w:r>
        <w:t>17</w:t>
      </w:r>
      <w:r w:rsidR="00C675DF">
        <w:t>-</w:t>
      </w:r>
      <w:r>
        <w:t>16096</w:t>
      </w:r>
    </w:p>
    <w:p w:rsidR="00AA4AE3" w:rsidP="00245C54">
      <w:pPr>
        <w:tabs>
          <w:tab w:val="left" w:pos="1440"/>
          <w:tab w:val="left" w:pos="4680"/>
          <w:tab w:val="center" w:pos="7200"/>
        </w:tabs>
        <w:spacing w:after="0"/>
        <w:jc w:val="center"/>
      </w:pPr>
    </w:p>
    <w:p w:rsidR="00AA4AE3" w:rsidP="00245C54">
      <w:pPr>
        <w:tabs>
          <w:tab w:val="left" w:pos="1440"/>
          <w:tab w:val="left" w:pos="4680"/>
          <w:tab w:val="center" w:pos="7200"/>
        </w:tabs>
        <w:spacing w:after="0"/>
        <w:jc w:val="center"/>
      </w:pPr>
      <w:r>
        <w:t>Northern District of California</w:t>
      </w:r>
    </w:p>
    <w:p w:rsidR="00245C54" w:rsidP="00245C54">
      <w:pPr>
        <w:tabs>
          <w:tab w:val="left" w:pos="1440"/>
          <w:tab w:val="left" w:pos="4680"/>
          <w:tab w:val="center" w:pos="7200"/>
        </w:tabs>
        <w:spacing w:after="0"/>
        <w:jc w:val="center"/>
      </w:pPr>
      <w:r w:rsidRPr="00652A86">
        <w:t>3:16-cv-05961-WHA</w:t>
      </w:r>
      <w:r>
        <w:t xml:space="preserve"> </w:t>
      </w:r>
    </w:p>
    <w:p w:rsidR="00245C54" w:rsidP="00245C54">
      <w:pPr>
        <w:pBdr>
          <w:bottom w:val="single" w:sz="4" w:space="1" w:color="auto"/>
        </w:pBdr>
        <w:tabs>
          <w:tab w:val="left" w:pos="1440"/>
          <w:tab w:val="left" w:pos="4680"/>
          <w:tab w:val="center" w:pos="7200"/>
        </w:tabs>
        <w:spacing w:after="0"/>
        <w:jc w:val="center"/>
      </w:pPr>
    </w:p>
    <w:p w:rsidR="00245C54" w:rsidP="00245C54">
      <w:pPr>
        <w:tabs>
          <w:tab w:val="left" w:pos="1440"/>
          <w:tab w:val="left" w:pos="4680"/>
          <w:tab w:val="center" w:pos="7200"/>
        </w:tabs>
        <w:spacing w:after="0"/>
        <w:jc w:val="center"/>
      </w:pPr>
    </w:p>
    <w:p w:rsidR="00245C54" w:rsidP="00245C54">
      <w:pPr>
        <w:tabs>
          <w:tab w:val="left" w:pos="1440"/>
          <w:tab w:val="left" w:pos="4680"/>
          <w:tab w:val="center" w:pos="7200"/>
        </w:tabs>
        <w:spacing w:after="0"/>
        <w:jc w:val="center"/>
      </w:pPr>
      <w:r>
        <w:t>January 1</w:t>
      </w:r>
      <w:r w:rsidR="007D3EE2">
        <w:t>4</w:t>
      </w:r>
      <w:r>
        <w:t>,</w:t>
      </w:r>
      <w:r>
        <w:t xml:space="preserve"> 202</w:t>
      </w:r>
      <w:r w:rsidR="0092115A">
        <w:t>1</w:t>
      </w:r>
    </w:p>
    <w:p w:rsidR="00245C54" w:rsidP="00245C54">
      <w:pPr>
        <w:tabs>
          <w:tab w:val="left" w:pos="1440"/>
          <w:tab w:val="left" w:pos="4680"/>
          <w:tab w:val="center" w:pos="7200"/>
        </w:tabs>
        <w:spacing w:after="0"/>
        <w:jc w:val="center"/>
      </w:pPr>
    </w:p>
    <w:p w:rsidR="0098757B" w:rsidP="001B5F85">
      <w:pPr>
        <w:tabs>
          <w:tab w:val="left" w:pos="1440"/>
          <w:tab w:val="left" w:pos="4680"/>
          <w:tab w:val="center" w:pos="7200"/>
        </w:tabs>
        <w:spacing w:after="0"/>
      </w:pPr>
      <w:r>
        <w:t xml:space="preserve">Chief Justice Cantil-Sakauye authored the opinion of the Court, in which Justices </w:t>
      </w:r>
      <w:r w:rsidR="004307B5">
        <w:t xml:space="preserve">Corrigan, </w:t>
      </w:r>
      <w:r w:rsidR="001175EF">
        <w:t>Liu, Cuéllar, Kruger, Groban and Humes</w:t>
      </w:r>
      <w:r w:rsidRPr="00DE730D" w:rsidR="001175EF">
        <w:rPr>
          <w:vertAlign w:val="superscript"/>
        </w:rPr>
        <w:t>*</w:t>
      </w:r>
      <w:r>
        <w:t xml:space="preserve"> concurred.</w:t>
      </w:r>
    </w:p>
    <w:p w:rsidR="00245C54" w:rsidP="00245C54">
      <w:pPr>
        <w:pBdr>
          <w:bottom w:val="single" w:sz="4" w:space="1" w:color="auto"/>
        </w:pBdr>
        <w:tabs>
          <w:tab w:val="left" w:pos="1440"/>
          <w:tab w:val="left" w:pos="4680"/>
          <w:tab w:val="center" w:pos="7200"/>
        </w:tabs>
        <w:spacing w:line="480" w:lineRule="atLeast"/>
        <w:jc w:val="left"/>
      </w:pPr>
      <w:bookmarkStart w:id="1" w:name="Return"/>
      <w:bookmarkEnd w:id="1"/>
    </w:p>
    <w:p w:rsidR="001175EF" w:rsidP="001175EF">
      <w:pPr>
        <w:pStyle w:val="FootnoteText"/>
      </w:pPr>
      <w:bookmarkStart w:id="2" w:name="_Hlk2087167"/>
    </w:p>
    <w:p w:rsidR="00F2640A" w:rsidP="001175EF">
      <w:pPr>
        <w:pStyle w:val="FootnoteText"/>
      </w:pPr>
    </w:p>
    <w:p w:rsidR="001175EF" w:rsidP="001175EF">
      <w:pPr>
        <w:pStyle w:val="FootnoteText"/>
      </w:pPr>
      <w:r>
        <w:t>________________________</w:t>
      </w:r>
    </w:p>
    <w:p w:rsidR="001175EF" w:rsidRPr="00CE217C" w:rsidP="001175EF">
      <w:pPr>
        <w:pStyle w:val="FootnoteText"/>
        <w:tabs>
          <w:tab w:val="left" w:pos="360"/>
        </w:tabs>
        <w:rPr>
          <w:sz w:val="22"/>
          <w:szCs w:val="22"/>
        </w:rPr>
      </w:pPr>
      <w:r w:rsidRPr="00CE217C">
        <w:rPr>
          <w:rStyle w:val="FootnoteReference"/>
          <w:sz w:val="22"/>
          <w:szCs w:val="22"/>
        </w:rPr>
        <w:t>*</w:t>
      </w:r>
      <w:r w:rsidRPr="00CE217C">
        <w:rPr>
          <w:sz w:val="22"/>
          <w:szCs w:val="22"/>
        </w:rPr>
        <w:t xml:space="preserve"> </w:t>
      </w:r>
      <w:r w:rsidRPr="00CE217C">
        <w:rPr>
          <w:sz w:val="22"/>
          <w:szCs w:val="22"/>
        </w:rPr>
        <w:tab/>
      </w:r>
      <w:r w:rsidRPr="009F12AD" w:rsidR="00F2640A">
        <w:rPr>
          <w:szCs w:val="27"/>
        </w:rPr>
        <w:t xml:space="preserve">Administrative </w:t>
      </w:r>
      <w:r w:rsidRPr="009F12AD">
        <w:rPr>
          <w:szCs w:val="27"/>
        </w:rPr>
        <w:t>Presiding Justice of the Court of Appeal, First Appellate District, Division One, assigned by the Chief Justice pursuant to article VI, section 6 of the California Constitution.</w:t>
      </w:r>
      <w:bookmarkEnd w:id="2"/>
    </w:p>
    <w:p w:rsidR="0048686F">
      <w:pPr>
        <w:spacing w:after="0" w:line="240" w:lineRule="auto"/>
        <w:jc w:val="left"/>
        <w:sectPr w:rsidSect="00D7220A">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1"/>
          <w:cols w:space="720"/>
          <w:titlePg/>
          <w:docGrid w:linePitch="367"/>
        </w:sectPr>
      </w:pPr>
    </w:p>
    <w:p w:rsidR="00B70D6F" w:rsidP="0048686F">
      <w:pPr>
        <w:spacing w:after="0" w:line="240" w:lineRule="auto"/>
        <w:jc w:val="center"/>
      </w:pPr>
      <w:r>
        <w:t>VAZQUEZ v. JAN-PRO FRANCHISING</w:t>
      </w:r>
    </w:p>
    <w:p w:rsidR="00245C54" w:rsidP="0048686F">
      <w:pPr>
        <w:spacing w:after="0" w:line="240" w:lineRule="auto"/>
        <w:jc w:val="center"/>
      </w:pPr>
      <w:r>
        <w:t>INT</w:t>
      </w:r>
      <w:r w:rsidR="00525E6A">
        <w:t>ERNAT</w:t>
      </w:r>
      <w:r w:rsidR="00C03FCF">
        <w:t>IONAL</w:t>
      </w:r>
      <w:r>
        <w:t>, INC.</w:t>
      </w:r>
    </w:p>
    <w:p w:rsidR="00245C54" w:rsidP="00245C54">
      <w:pPr>
        <w:tabs>
          <w:tab w:val="left" w:pos="1440"/>
          <w:tab w:val="left" w:pos="4680"/>
          <w:tab w:val="center" w:pos="7200"/>
        </w:tabs>
        <w:jc w:val="center"/>
      </w:pPr>
      <w:r>
        <w:t>S258191</w:t>
      </w:r>
    </w:p>
    <w:p w:rsidR="00245C54" w:rsidP="00245C54">
      <w:pPr>
        <w:tabs>
          <w:tab w:val="left" w:pos="1440"/>
          <w:tab w:val="left" w:pos="4680"/>
          <w:tab w:val="center" w:pos="7200"/>
        </w:tabs>
        <w:jc w:val="center"/>
      </w:pPr>
    </w:p>
    <w:p w:rsidR="00245C54" w:rsidP="00245C54">
      <w:pPr>
        <w:tabs>
          <w:tab w:val="left" w:pos="1440"/>
          <w:tab w:val="left" w:pos="4680"/>
          <w:tab w:val="center" w:pos="7200"/>
        </w:tabs>
        <w:jc w:val="center"/>
      </w:pPr>
      <w:r>
        <w:t>Opinion of the Court by Cantil-Sakauye, C. J.</w:t>
      </w:r>
    </w:p>
    <w:p w:rsidR="00245C54" w:rsidRPr="00245C54" w:rsidP="00245C54">
      <w:pPr>
        <w:tabs>
          <w:tab w:val="left" w:pos="1440"/>
          <w:tab w:val="left" w:pos="4680"/>
          <w:tab w:val="center" w:pos="7200"/>
        </w:tabs>
        <w:jc w:val="center"/>
      </w:pPr>
    </w:p>
    <w:p w:rsidR="00492907" w:rsidRPr="00245C54" w:rsidP="00245C54">
      <w:pPr>
        <w:tabs>
          <w:tab w:val="left" w:pos="1440"/>
        </w:tabs>
        <w:ind w:firstLine="720"/>
      </w:pPr>
      <w:bookmarkStart w:id="3" w:name="mainstory"/>
      <w:bookmarkEnd w:id="3"/>
      <w:r w:rsidRPr="00245C54">
        <w:t>At the</w:t>
      </w:r>
      <w:r w:rsidRPr="00245C54">
        <w:t xml:space="preserve"> request of the United States Court of Appeals for the Ninth Circuit, we agreed to decide the following question of California law</w:t>
      </w:r>
      <w:r w:rsidRPr="00245C54" w:rsidR="00DB754F">
        <w:t xml:space="preserve"> (see Cal. Rules of Court, rule 8.548)</w:t>
      </w:r>
      <w:r w:rsidRPr="00245C54">
        <w:t xml:space="preserve">: </w:t>
      </w:r>
      <w:r w:rsidRPr="00245C54" w:rsidR="0087644C">
        <w:t xml:space="preserve"> </w:t>
      </w:r>
      <w:r w:rsidRPr="00245C54">
        <w:t xml:space="preserve">Does this court’s decision in </w:t>
      </w:r>
      <w:r w:rsidRPr="00245C54">
        <w:rPr>
          <w:i/>
        </w:rPr>
        <w:t xml:space="preserve">Dynamex Operations West, Inc. v. Superior Court </w:t>
      </w:r>
      <w:r w:rsidRPr="00245C54">
        <w:t>(2018) 4 Cal.5th 903 (</w:t>
      </w:r>
      <w:r w:rsidRPr="00245C54">
        <w:rPr>
          <w:i/>
        </w:rPr>
        <w:t>Dynamex</w:t>
      </w:r>
      <w:r w:rsidRPr="00245C54">
        <w:t>) apply retroactively?</w:t>
      </w:r>
    </w:p>
    <w:p w:rsidR="000E6EA2" w:rsidRPr="007751F1" w:rsidP="00245C54">
      <w:pPr>
        <w:tabs>
          <w:tab w:val="left" w:pos="1440"/>
        </w:tabs>
        <w:ind w:firstLine="720"/>
      </w:pPr>
      <w:r w:rsidRPr="00245C54">
        <w:t xml:space="preserve">For the reasons set forth below, </w:t>
      </w:r>
      <w:r w:rsidR="00417784">
        <w:t>we</w:t>
      </w:r>
      <w:r w:rsidRPr="00245C54">
        <w:t xml:space="preserve"> conclude that </w:t>
      </w:r>
      <w:r w:rsidRPr="00245C54">
        <w:rPr>
          <w:i/>
        </w:rPr>
        <w:t>Dynamex</w:t>
      </w:r>
      <w:r w:rsidRPr="00245C54">
        <w:t xml:space="preserve"> </w:t>
      </w:r>
      <w:r w:rsidR="005C0E15">
        <w:t xml:space="preserve">does </w:t>
      </w:r>
      <w:r w:rsidRPr="00245C54" w:rsidR="005C0E15">
        <w:t>appl</w:t>
      </w:r>
      <w:r w:rsidR="005C0E15">
        <w:t>y</w:t>
      </w:r>
      <w:r w:rsidRPr="00245C54" w:rsidR="005C0E15">
        <w:t xml:space="preserve"> </w:t>
      </w:r>
      <w:r w:rsidRPr="00245C54">
        <w:t xml:space="preserve">retroactively.  </w:t>
      </w:r>
      <w:r w:rsidRPr="00245C54" w:rsidR="00490AF9">
        <w:t>I</w:t>
      </w:r>
      <w:r w:rsidRPr="00245C54">
        <w:t xml:space="preserve">n </w:t>
      </w:r>
      <w:r w:rsidRPr="00245C54">
        <w:rPr>
          <w:i/>
        </w:rPr>
        <w:t>Dynamex</w:t>
      </w:r>
      <w:r w:rsidRPr="00245C54" w:rsidR="005822B2">
        <w:t>,</w:t>
      </w:r>
      <w:r w:rsidRPr="00245C54">
        <w:t xml:space="preserve"> this court was faced with a question of first impression</w:t>
      </w:r>
      <w:r w:rsidRPr="00245C54" w:rsidR="003635D1">
        <w:t>:</w:t>
      </w:r>
      <w:r w:rsidRPr="00245C54" w:rsidR="007869B1">
        <w:t xml:space="preserve"> </w:t>
      </w:r>
      <w:r w:rsidRPr="00245C54" w:rsidR="003635D1">
        <w:t xml:space="preserve"> </w:t>
      </w:r>
      <w:r w:rsidRPr="00245C54" w:rsidR="00FB2912">
        <w:t>W</w:t>
      </w:r>
      <w:r w:rsidRPr="00245C54" w:rsidR="003635D1">
        <w:t>hat standard applies under California law in determining whether workers should be classified as employees or independent contractors for purposes of the obligations imposed by California</w:t>
      </w:r>
      <w:r w:rsidR="007B70EA">
        <w:t>’s</w:t>
      </w:r>
      <w:r w:rsidRPr="00245C54" w:rsidR="003635D1">
        <w:t xml:space="preserve"> wage orders</w:t>
      </w:r>
      <w:r w:rsidRPr="00245C54" w:rsidR="002A01ED">
        <w:t>?</w:t>
      </w:r>
      <w:r w:rsidRPr="00245C54" w:rsidR="003635D1">
        <w:t xml:space="preserve">  In </w:t>
      </w:r>
      <w:r w:rsidRPr="00245C54" w:rsidR="000F3D6E">
        <w:t>addressing that question,</w:t>
      </w:r>
      <w:r w:rsidRPr="00245C54" w:rsidR="003635D1">
        <w:rPr>
          <w:i/>
        </w:rPr>
        <w:t xml:space="preserve"> </w:t>
      </w:r>
      <w:r w:rsidRPr="00245C54" w:rsidR="003635D1">
        <w:t xml:space="preserve">we concluded that under one of the definitions of “employ” set forth in all California wage orders — namely, to </w:t>
      </w:r>
      <w:r w:rsidR="005C0E15">
        <w:t>“</w:t>
      </w:r>
      <w:r w:rsidRPr="00245C54" w:rsidR="003635D1">
        <w:t>suffer or permit to work</w:t>
      </w:r>
      <w:r w:rsidR="005C0E15">
        <w:t>”</w:t>
      </w:r>
      <w:r w:rsidRPr="00245C54" w:rsidR="003635D1">
        <w:t xml:space="preserve"> — any worker who performs work for a business is presumed to be an employee who falls within the protections afforded by a wage order</w:t>
      </w:r>
      <w:r w:rsidRPr="00245C54" w:rsidR="00E716F4">
        <w:t xml:space="preserve">.  </w:t>
      </w:r>
      <w:r w:rsidR="005555B9">
        <w:t>(</w:t>
      </w:r>
      <w:r w:rsidR="005555B9">
        <w:rPr>
          <w:i/>
        </w:rPr>
        <w:t>Dynamex</w:t>
      </w:r>
      <w:r w:rsidR="005555B9">
        <w:t xml:space="preserve">, </w:t>
      </w:r>
      <w:r w:rsidR="005555B9">
        <w:rPr>
          <w:i/>
        </w:rPr>
        <w:t>supra</w:t>
      </w:r>
      <w:r w:rsidR="005555B9">
        <w:t xml:space="preserve">, </w:t>
      </w:r>
      <w:r w:rsidR="00CC3133">
        <w:t xml:space="preserve">4 Cal.5th at p. </w:t>
      </w:r>
      <w:r w:rsidR="00B13931">
        <w:t>916</w:t>
      </w:r>
      <w:r w:rsidR="00CC3133">
        <w:t>.)</w:t>
      </w:r>
      <w:r w:rsidR="005555B9">
        <w:rPr>
          <w:i/>
        </w:rPr>
        <w:t xml:space="preserve"> </w:t>
      </w:r>
      <w:r w:rsidR="00CC3133">
        <w:rPr>
          <w:i/>
        </w:rPr>
        <w:t xml:space="preserve"> </w:t>
      </w:r>
      <w:r w:rsidRPr="00245C54" w:rsidR="00E716F4">
        <w:t>We further held</w:t>
      </w:r>
      <w:r w:rsidRPr="00245C54" w:rsidR="003635D1">
        <w:t xml:space="preserve"> that such a worker can </w:t>
      </w:r>
      <w:r w:rsidRPr="00245C54">
        <w:t xml:space="preserve">properly </w:t>
      </w:r>
      <w:r w:rsidRPr="00245C54" w:rsidR="003635D1">
        <w:t xml:space="preserve">be found to be </w:t>
      </w:r>
      <w:r w:rsidR="00D201AB">
        <w:t>“</w:t>
      </w:r>
      <w:r w:rsidRPr="00245C54" w:rsidR="003635D1">
        <w:t xml:space="preserve">an independent contractor to whom </w:t>
      </w:r>
      <w:r w:rsidR="005C0E15">
        <w:t>a</w:t>
      </w:r>
      <w:r w:rsidRPr="00245C54" w:rsidR="005C0E15">
        <w:t xml:space="preserve"> </w:t>
      </w:r>
      <w:r w:rsidRPr="00245C54" w:rsidR="003635D1">
        <w:t xml:space="preserve">wage order does not apply only if the </w:t>
      </w:r>
      <w:r w:rsidRPr="00245C54" w:rsidR="000F3D6E">
        <w:t xml:space="preserve">hiring entity establishes: </w:t>
      </w:r>
      <w:r w:rsidRPr="00245C54" w:rsidR="006A3F60">
        <w:t xml:space="preserve"> </w:t>
      </w:r>
      <w:r w:rsidRPr="00245C54" w:rsidR="000F3D6E">
        <w:t>(A) that the worker is free from the control and direction of the hirer in connection with the performance of the work, both under the contract for the performance of such work and in fact; (B) that the worker performs work that is outside the usual course of the hiring entity’s business; and (C)</w:t>
      </w:r>
      <w:r w:rsidRPr="00245C54" w:rsidR="00561B0F">
        <w:t xml:space="preserve"> </w:t>
      </w:r>
      <w:r w:rsidRPr="00245C54" w:rsidR="000F3D6E">
        <w:t xml:space="preserve">that the worker is </w:t>
      </w:r>
      <w:r w:rsidRPr="00245C54" w:rsidR="000F3D6E">
        <w:t>customarily engaged in an independently established trade, occupation, or business of the same nature as the work performed for the hiring entity.</w:t>
      </w:r>
      <w:r w:rsidR="00D201AB">
        <w:t>”</w:t>
      </w:r>
      <w:r w:rsidRPr="00245C54" w:rsidR="000F3D6E">
        <w:t xml:space="preserve">  </w:t>
      </w:r>
      <w:r w:rsidR="005555B9">
        <w:t>(</w:t>
      </w:r>
      <w:r w:rsidR="005555B9">
        <w:rPr>
          <w:i/>
        </w:rPr>
        <w:t xml:space="preserve">Id. </w:t>
      </w:r>
      <w:r w:rsidR="005555B9">
        <w:t>at pp. 9</w:t>
      </w:r>
      <w:r w:rsidR="00600D8E">
        <w:t>1</w:t>
      </w:r>
      <w:r w:rsidR="005555B9">
        <w:t>6–9</w:t>
      </w:r>
      <w:r w:rsidR="00600D8E">
        <w:t>1</w:t>
      </w:r>
      <w:r w:rsidR="005555B9">
        <w:t xml:space="preserve">7.)  </w:t>
      </w:r>
      <w:r w:rsidRPr="00245C54" w:rsidR="000F3D6E">
        <w:t xml:space="preserve">This standard, </w:t>
      </w:r>
      <w:r w:rsidRPr="00245C54" w:rsidR="00CC65D7">
        <w:t xml:space="preserve">also </w:t>
      </w:r>
      <w:r w:rsidRPr="00245C54" w:rsidR="000F3D6E">
        <w:t xml:space="preserve">used in other jurisdictions </w:t>
      </w:r>
      <w:r w:rsidRPr="00245C54">
        <w:t>to distinguish employees from independent contractors, is commonly referred to as the “ABC test.</w:t>
      </w:r>
      <w:r w:rsidR="004C09C7">
        <w:t>”</w:t>
      </w:r>
      <w:r w:rsidR="00B63DEB">
        <w:t xml:space="preserve">  (</w:t>
      </w:r>
      <w:r w:rsidR="007751F1">
        <w:rPr>
          <w:i/>
        </w:rPr>
        <w:t>Id.</w:t>
      </w:r>
      <w:r w:rsidR="007751F1">
        <w:t xml:space="preserve"> at p. 916.)</w:t>
      </w:r>
    </w:p>
    <w:p w:rsidR="002A01ED" w:rsidP="00245C54">
      <w:pPr>
        <w:tabs>
          <w:tab w:val="left" w:pos="1440"/>
        </w:tabs>
        <w:ind w:firstLine="720"/>
      </w:pPr>
      <w:r w:rsidRPr="00245C54">
        <w:t xml:space="preserve">In concluding that the standard set forth in </w:t>
      </w:r>
      <w:r w:rsidRPr="00245C54">
        <w:rPr>
          <w:i/>
        </w:rPr>
        <w:t xml:space="preserve">Dynamex </w:t>
      </w:r>
      <w:r w:rsidRPr="00245C54">
        <w:t>applies retroactively — that is</w:t>
      </w:r>
      <w:r w:rsidRPr="00245C54" w:rsidR="009A17CB">
        <w:t>,</w:t>
      </w:r>
      <w:r w:rsidRPr="00245C54">
        <w:t xml:space="preserve"> to </w:t>
      </w:r>
      <w:r w:rsidR="00A9235F">
        <w:t>all cases not yet final as of</w:t>
      </w:r>
      <w:r w:rsidR="00C566CB">
        <w:t xml:space="preserve"> the date our decision in </w:t>
      </w:r>
      <w:r w:rsidRPr="00245C54">
        <w:rPr>
          <w:i/>
        </w:rPr>
        <w:t xml:space="preserve">Dynamex </w:t>
      </w:r>
      <w:r w:rsidR="00C566CB">
        <w:t>became final</w:t>
      </w:r>
      <w:r w:rsidRPr="00245C54" w:rsidR="00C566CB">
        <w:t xml:space="preserve"> </w:t>
      </w:r>
      <w:r w:rsidRPr="00245C54">
        <w:t xml:space="preserve">— </w:t>
      </w:r>
      <w:r w:rsidR="00417784">
        <w:t>we</w:t>
      </w:r>
      <w:r w:rsidRPr="00245C54" w:rsidR="00417784">
        <w:t xml:space="preserve"> </w:t>
      </w:r>
      <w:r w:rsidRPr="00245C54" w:rsidR="00875C6F">
        <w:t xml:space="preserve">rely </w:t>
      </w:r>
      <w:r w:rsidRPr="00245C54" w:rsidR="00CC65D7">
        <w:t>primarily o</w:t>
      </w:r>
      <w:r w:rsidRPr="00245C54" w:rsidR="00875C6F">
        <w:t xml:space="preserve">n the </w:t>
      </w:r>
      <w:r w:rsidRPr="00245C54" w:rsidR="002E0D6C">
        <w:t xml:space="preserve">fact </w:t>
      </w:r>
      <w:r w:rsidR="00A71247">
        <w:t xml:space="preserve">that </w:t>
      </w:r>
      <w:r w:rsidR="00C8165C">
        <w:rPr>
          <w:i/>
        </w:rPr>
        <w:t xml:space="preserve">Dynamex </w:t>
      </w:r>
      <w:r w:rsidR="00317368">
        <w:t>addressed an issue of first impression</w:t>
      </w:r>
      <w:r w:rsidR="00870F86">
        <w:t xml:space="preserve">.  It did not change </w:t>
      </w:r>
      <w:r w:rsidR="00C74586">
        <w:t>a</w:t>
      </w:r>
      <w:r w:rsidR="00706055">
        <w:t xml:space="preserve"> </w:t>
      </w:r>
      <w:r w:rsidR="00C74586">
        <w:t xml:space="preserve">settled rule on which the parties </w:t>
      </w:r>
      <w:r w:rsidR="00E309FF">
        <w:t xml:space="preserve">below </w:t>
      </w:r>
      <w:r w:rsidR="00114F9B">
        <w:t>ha</w:t>
      </w:r>
      <w:r w:rsidR="00A71247">
        <w:t>d</w:t>
      </w:r>
      <w:r w:rsidR="00114F9B">
        <w:t xml:space="preserve"> </w:t>
      </w:r>
      <w:r w:rsidR="00C74586">
        <w:t>relie</w:t>
      </w:r>
      <w:r w:rsidR="00D15D25">
        <w:t>d</w:t>
      </w:r>
      <w:r w:rsidR="00C74586">
        <w:t xml:space="preserve">.  </w:t>
      </w:r>
      <w:r w:rsidRPr="00245C54" w:rsidR="00875C6F">
        <w:t xml:space="preserve">No decision of this court prior to </w:t>
      </w:r>
      <w:r w:rsidRPr="00245C54" w:rsidR="00875C6F">
        <w:rPr>
          <w:i/>
        </w:rPr>
        <w:t>Dynamex</w:t>
      </w:r>
      <w:r w:rsidRPr="00245C54" w:rsidR="00875C6F">
        <w:t xml:space="preserve"> had determined how the </w:t>
      </w:r>
      <w:r w:rsidR="00D07B29">
        <w:t>“</w:t>
      </w:r>
      <w:r w:rsidRPr="00245C54" w:rsidR="00875C6F">
        <w:t>suffer</w:t>
      </w:r>
      <w:r w:rsidRPr="00245C54" w:rsidR="000F171C">
        <w:t xml:space="preserve"> </w:t>
      </w:r>
      <w:r w:rsidRPr="00245C54" w:rsidR="00875C6F">
        <w:t>or</w:t>
      </w:r>
      <w:r w:rsidRPr="00245C54" w:rsidR="000F171C">
        <w:t xml:space="preserve"> </w:t>
      </w:r>
      <w:r w:rsidRPr="00245C54" w:rsidR="00875C6F">
        <w:t>permit</w:t>
      </w:r>
      <w:r w:rsidRPr="00245C54" w:rsidR="000F171C">
        <w:t xml:space="preserve"> </w:t>
      </w:r>
      <w:r w:rsidRPr="00245C54" w:rsidR="00875C6F">
        <w:t>to</w:t>
      </w:r>
      <w:r w:rsidRPr="00245C54" w:rsidR="000F171C">
        <w:t xml:space="preserve"> </w:t>
      </w:r>
      <w:r w:rsidRPr="00245C54" w:rsidR="00875C6F">
        <w:t>work</w:t>
      </w:r>
      <w:r w:rsidR="00D07B29">
        <w:t>”</w:t>
      </w:r>
      <w:r w:rsidRPr="00245C54" w:rsidR="00875C6F">
        <w:t xml:space="preserve"> definition </w:t>
      </w:r>
      <w:r w:rsidRPr="00245C54" w:rsidR="00136511">
        <w:t xml:space="preserve">in </w:t>
      </w:r>
      <w:r w:rsidR="001F6DA1">
        <w:t>California</w:t>
      </w:r>
      <w:r w:rsidR="00EC5F24">
        <w:t>’s</w:t>
      </w:r>
      <w:r w:rsidR="001F6DA1">
        <w:t xml:space="preserve"> </w:t>
      </w:r>
      <w:r w:rsidRPr="00245C54" w:rsidR="00136511">
        <w:t xml:space="preserve">wage orders </w:t>
      </w:r>
      <w:r w:rsidRPr="00245C54" w:rsidR="00875C6F">
        <w:t xml:space="preserve">should be applied in distinguishing employees from independent contractors.  </w:t>
      </w:r>
      <w:r w:rsidR="003757F8">
        <w:t>Particularly b</w:t>
      </w:r>
      <w:r w:rsidR="00E77BFF">
        <w:t xml:space="preserve">ecause </w:t>
      </w:r>
      <w:r w:rsidR="00F62754">
        <w:t xml:space="preserve">we had not previously issued a definitive </w:t>
      </w:r>
      <w:r w:rsidR="001927BA">
        <w:t>ruling</w:t>
      </w:r>
      <w:r w:rsidR="00F62754">
        <w:t xml:space="preserve"> </w:t>
      </w:r>
      <w:r w:rsidR="001927BA">
        <w:t>on the issue</w:t>
      </w:r>
      <w:r w:rsidR="00D60085">
        <w:t xml:space="preserve"> addressed in </w:t>
      </w:r>
      <w:r w:rsidR="00D60085">
        <w:rPr>
          <w:i/>
        </w:rPr>
        <w:t>Dynamex</w:t>
      </w:r>
      <w:r w:rsidR="002F3729">
        <w:t xml:space="preserve">, we see no reason to </w:t>
      </w:r>
      <w:r w:rsidR="00A94816">
        <w:t>depart from the general rule that judicial decisions are given retroactive effect</w:t>
      </w:r>
      <w:r w:rsidRPr="00245C54">
        <w:t>.</w:t>
      </w:r>
    </w:p>
    <w:p w:rsidR="00A47095" w:rsidRPr="00454D63" w:rsidP="00245C54">
      <w:pPr>
        <w:tabs>
          <w:tab w:val="left" w:pos="1440"/>
        </w:tabs>
        <w:ind w:firstLine="720"/>
      </w:pPr>
      <w:r w:rsidRPr="00245C54">
        <w:t>D</w:t>
      </w:r>
      <w:r w:rsidRPr="00245C54">
        <w:t xml:space="preserve">efendant Jan-Pro Franchising International, Inc. </w:t>
      </w:r>
      <w:r w:rsidRPr="00245C54" w:rsidR="0087495E">
        <w:t>asserts that</w:t>
      </w:r>
      <w:r w:rsidRPr="00245C54" w:rsidR="005822B2">
        <w:t xml:space="preserve"> an exception to the general rule of retroactivity should be recognized </w:t>
      </w:r>
      <w:r w:rsidRPr="00245C54" w:rsidR="004C6A74">
        <w:t>here</w:t>
      </w:r>
      <w:r w:rsidRPr="00245C54" w:rsidR="00C37433">
        <w:t xml:space="preserve">.  </w:t>
      </w:r>
      <w:r w:rsidR="000D799F">
        <w:t>Defendant</w:t>
      </w:r>
      <w:r w:rsidRPr="00245C54" w:rsidR="00A94816">
        <w:t xml:space="preserve"> </w:t>
      </w:r>
      <w:r w:rsidRPr="00245C54" w:rsidR="00C37433">
        <w:t xml:space="preserve">maintains that, </w:t>
      </w:r>
      <w:r w:rsidRPr="00245C54" w:rsidR="0087495E">
        <w:t xml:space="preserve">prior to the issuance of our decision in </w:t>
      </w:r>
      <w:r w:rsidRPr="00245C54" w:rsidR="0087495E">
        <w:rPr>
          <w:i/>
        </w:rPr>
        <w:t>Dynamex</w:t>
      </w:r>
      <w:r w:rsidRPr="00245C54" w:rsidR="0028052D">
        <w:rPr>
          <w:iCs/>
        </w:rPr>
        <w:t>,</w:t>
      </w:r>
      <w:r w:rsidRPr="00245C54" w:rsidR="0087495E">
        <w:t xml:space="preserve"> it reasonably believed that the question </w:t>
      </w:r>
      <w:r w:rsidR="005C6102">
        <w:t xml:space="preserve">of </w:t>
      </w:r>
      <w:r w:rsidRPr="00245C54" w:rsidR="0087495E">
        <w:t xml:space="preserve">whether a worker should be classified as an employee or independent contractor would be resolved under the standard set forth in </w:t>
      </w:r>
      <w:r w:rsidRPr="00245C54">
        <w:t xml:space="preserve">this court’s decision in </w:t>
      </w:r>
      <w:r w:rsidRPr="00245C54" w:rsidR="0087495E">
        <w:rPr>
          <w:i/>
        </w:rPr>
        <w:t xml:space="preserve">S.G. Borello &amp; Sons v. Department of Industrial Relations </w:t>
      </w:r>
      <w:r w:rsidRPr="00245C54" w:rsidR="0087495E">
        <w:t>(1989) 48 Cal.3d 341 (</w:t>
      </w:r>
      <w:r w:rsidRPr="00245C54" w:rsidR="0087495E">
        <w:rPr>
          <w:i/>
        </w:rPr>
        <w:t>Borello</w:t>
      </w:r>
      <w:r w:rsidRPr="00245C54" w:rsidR="0087495E">
        <w:t>)</w:t>
      </w:r>
      <w:r w:rsidR="005B142D">
        <w:t>.</w:t>
      </w:r>
      <w:r w:rsidR="00FE683D">
        <w:t xml:space="preserve"> </w:t>
      </w:r>
      <w:r w:rsidR="005B142D">
        <w:t xml:space="preserve"> </w:t>
      </w:r>
      <w:r w:rsidR="005B142D">
        <w:rPr>
          <w:i/>
        </w:rPr>
        <w:t xml:space="preserve">Borello </w:t>
      </w:r>
      <w:r w:rsidR="00D54AC3">
        <w:t>ad</w:t>
      </w:r>
      <w:r w:rsidR="001A1DFC">
        <w:t>d</w:t>
      </w:r>
      <w:r w:rsidR="00D54AC3">
        <w:t>ressed</w:t>
      </w:r>
      <w:r w:rsidR="005B142D">
        <w:t xml:space="preserve"> </w:t>
      </w:r>
      <w:r w:rsidR="00985EE2">
        <w:t>whether farmworkers hired by a grower</w:t>
      </w:r>
      <w:r w:rsidR="00BB435E">
        <w:t xml:space="preserve"> under a written “sharefarmer agreement</w:t>
      </w:r>
      <w:r w:rsidR="005C6102">
        <w:t>”</w:t>
      </w:r>
      <w:r w:rsidR="00BB435E">
        <w:t xml:space="preserve"> were independent contractors or employees for purposes o</w:t>
      </w:r>
      <w:r w:rsidR="005B142D">
        <w:t>f the workers’ compensation statutes</w:t>
      </w:r>
      <w:r w:rsidRPr="00245C54" w:rsidR="0087495E">
        <w:t xml:space="preserve">.  </w:t>
      </w:r>
      <w:r w:rsidR="005C6102">
        <w:t>(</w:t>
      </w:r>
      <w:r w:rsidR="005C6102">
        <w:rPr>
          <w:i/>
        </w:rPr>
        <w:t>Id.</w:t>
      </w:r>
      <w:r w:rsidR="005C6102">
        <w:t xml:space="preserve"> at p. 345.)  </w:t>
      </w:r>
      <w:r w:rsidRPr="00245C54" w:rsidR="0087495E">
        <w:t xml:space="preserve">The </w:t>
      </w:r>
      <w:r w:rsidRPr="00245C54" w:rsidR="0012695E">
        <w:rPr>
          <w:i/>
        </w:rPr>
        <w:t>Borello</w:t>
      </w:r>
      <w:r w:rsidRPr="00245C54" w:rsidR="0012695E">
        <w:t xml:space="preserve"> decision</w:t>
      </w:r>
      <w:r w:rsidRPr="00245C54" w:rsidR="00145C47">
        <w:t>, however,</w:t>
      </w:r>
      <w:r w:rsidRPr="00245C54" w:rsidR="0012695E">
        <w:t xml:space="preserve"> did not </w:t>
      </w:r>
      <w:r w:rsidR="00757541">
        <w:t>address</w:t>
      </w:r>
      <w:r w:rsidR="0095513C">
        <w:t xml:space="preserve"> </w:t>
      </w:r>
      <w:r w:rsidRPr="00245C54" w:rsidR="0012695E">
        <w:t xml:space="preserve">whether a worker should be </w:t>
      </w:r>
      <w:r w:rsidRPr="00245C54" w:rsidR="0012695E">
        <w:t>considered an employee or an independent contractor for purposes of the obligations imposed by a wage order</w:t>
      </w:r>
      <w:r w:rsidRPr="00245C54" w:rsidR="002C728B">
        <w:t xml:space="preserve">.  </w:t>
      </w:r>
      <w:r w:rsidR="005367A8">
        <w:t xml:space="preserve">Indeed, twice in the last decade, </w:t>
      </w:r>
      <w:r w:rsidR="00AE3FB5">
        <w:t xml:space="preserve">we signaled that the </w:t>
      </w:r>
      <w:r w:rsidR="00D75B97">
        <w:t>test for determining whether a worker should be classified as an employe</w:t>
      </w:r>
      <w:r w:rsidR="00807127">
        <w:t>e</w:t>
      </w:r>
      <w:r w:rsidR="00D75B97">
        <w:t xml:space="preserve"> or independent contractor </w:t>
      </w:r>
      <w:r w:rsidR="004B5AF3">
        <w:t xml:space="preserve">in </w:t>
      </w:r>
      <w:r w:rsidR="00911970">
        <w:t>the</w:t>
      </w:r>
      <w:r w:rsidR="004B5AF3">
        <w:t xml:space="preserve"> wage order </w:t>
      </w:r>
      <w:r w:rsidR="00911970">
        <w:t>context</w:t>
      </w:r>
      <w:r w:rsidR="004B5AF3">
        <w:t xml:space="preserve"> remained an open question.  (</w:t>
      </w:r>
      <w:r w:rsidRPr="00245C54" w:rsidR="009E56B7">
        <w:rPr>
          <w:i/>
        </w:rPr>
        <w:t xml:space="preserve">Ayala v. Antelope Valley Newspapers, Inc. </w:t>
      </w:r>
      <w:r w:rsidRPr="00245C54" w:rsidR="009E56B7">
        <w:t>(2014) 59</w:t>
      </w:r>
      <w:r w:rsidR="009E56B7">
        <w:t> </w:t>
      </w:r>
      <w:r w:rsidRPr="00245C54" w:rsidR="009E56B7">
        <w:t>Cal.4th 522 (</w:t>
      </w:r>
      <w:r w:rsidRPr="00245C54" w:rsidR="009E56B7">
        <w:rPr>
          <w:i/>
        </w:rPr>
        <w:t>Ayala</w:t>
      </w:r>
      <w:r w:rsidRPr="00245C54" w:rsidR="009E56B7">
        <w:t>)</w:t>
      </w:r>
      <w:r w:rsidR="00DB3B56">
        <w:t xml:space="preserve">; </w:t>
      </w:r>
      <w:r w:rsidRPr="00FE4A51" w:rsidR="009E56B7">
        <w:rPr>
          <w:i/>
        </w:rPr>
        <w:t xml:space="preserve">Martinez v. Combs </w:t>
      </w:r>
      <w:r w:rsidRPr="00FE4A51" w:rsidR="009E56B7">
        <w:t>(2010) 49 Cal.4th 35, 57</w:t>
      </w:r>
      <w:r w:rsidRPr="00FE4A51" w:rsidR="009E56B7">
        <w:rPr>
          <w:szCs w:val="26"/>
        </w:rPr>
        <w:t>–</w:t>
      </w:r>
      <w:r w:rsidRPr="00FE4A51" w:rsidR="009E56B7">
        <w:t>58 (</w:t>
      </w:r>
      <w:r w:rsidRPr="00FE4A51" w:rsidR="009E56B7">
        <w:rPr>
          <w:i/>
        </w:rPr>
        <w:t>Martinez</w:t>
      </w:r>
      <w:r w:rsidRPr="00FE4A51" w:rsidR="009E56B7">
        <w:t>)</w:t>
      </w:r>
      <w:r w:rsidR="00DB3B56">
        <w:t>.)</w:t>
      </w:r>
      <w:r w:rsidR="00587B3D">
        <w:t xml:space="preserve">  </w:t>
      </w:r>
    </w:p>
    <w:p w:rsidR="00224590" w:rsidRPr="00245C54" w:rsidP="00245C54">
      <w:pPr>
        <w:tabs>
          <w:tab w:val="left" w:pos="1440"/>
        </w:tabs>
        <w:ind w:firstLine="720"/>
      </w:pPr>
      <w:r>
        <w:t>Defendant</w:t>
      </w:r>
      <w:r w:rsidRPr="00245C54" w:rsidR="00A47095">
        <w:t xml:space="preserve"> additionally contends that </w:t>
      </w:r>
      <w:r w:rsidRPr="00245C54" w:rsidR="005601F7">
        <w:t>it could</w:t>
      </w:r>
      <w:r w:rsidRPr="00245C54" w:rsidR="0015682D">
        <w:t xml:space="preserve"> not</w:t>
      </w:r>
      <w:r w:rsidRPr="00245C54" w:rsidR="00013190">
        <w:t xml:space="preserve"> have anticipated that the distinction between employees and independent contractors for purposes of the obligations imposed by a wage order would be governed by the ABC test </w:t>
      </w:r>
      <w:r w:rsidRPr="00245C54" w:rsidR="00145C47">
        <w:t xml:space="preserve">that </w:t>
      </w:r>
      <w:r w:rsidR="00B10C34">
        <w:t>we</w:t>
      </w:r>
      <w:r w:rsidRPr="00245C54" w:rsidR="00145C47">
        <w:t xml:space="preserve"> </w:t>
      </w:r>
      <w:r w:rsidRPr="00245C54" w:rsidR="00013190">
        <w:t xml:space="preserve">adopted in </w:t>
      </w:r>
      <w:r w:rsidRPr="00245C54" w:rsidR="00013190">
        <w:rPr>
          <w:i/>
        </w:rPr>
        <w:t>Dynamex</w:t>
      </w:r>
      <w:r w:rsidRPr="00245C54" w:rsidR="00013190">
        <w:t xml:space="preserve">.  But </w:t>
      </w:r>
      <w:r w:rsidR="006A527E">
        <w:t>defendant’s argument carries little weight</w:t>
      </w:r>
      <w:r w:rsidR="00F525C6">
        <w:t xml:space="preserve"> </w:t>
      </w:r>
      <w:r w:rsidR="00611E4B">
        <w:t xml:space="preserve">when, as here, </w:t>
      </w:r>
      <w:r w:rsidR="00FD61C1">
        <w:t xml:space="preserve">the </w:t>
      </w:r>
      <w:r w:rsidR="00B10C34">
        <w:t xml:space="preserve">underlying </w:t>
      </w:r>
      <w:r w:rsidR="00FD61C1">
        <w:t>decision change</w:t>
      </w:r>
      <w:r w:rsidR="002760FF">
        <w:t>s</w:t>
      </w:r>
      <w:r w:rsidR="00FD61C1">
        <w:t xml:space="preserve"> </w:t>
      </w:r>
      <w:r w:rsidR="002760FF">
        <w:t>no</w:t>
      </w:r>
      <w:r w:rsidR="00FD61C1">
        <w:t xml:space="preserve"> settled rule</w:t>
      </w:r>
      <w:r w:rsidR="00611E4B">
        <w:t>.</w:t>
      </w:r>
      <w:r w:rsidR="00FD61C1">
        <w:t xml:space="preserve">  </w:t>
      </w:r>
      <w:r w:rsidR="0024020F">
        <w:t>Moreover</w:t>
      </w:r>
      <w:r w:rsidR="00FD61C1">
        <w:t>, public policy and fairness concerns</w:t>
      </w:r>
      <w:r w:rsidR="00B10C34">
        <w:t>, such as</w:t>
      </w:r>
      <w:r w:rsidR="00E4088D">
        <w:t xml:space="preserve"> protecting workers and benefitting businesses that comply with the wage order obligations</w:t>
      </w:r>
      <w:r w:rsidR="004503E2">
        <w:t xml:space="preserve">, favor retroactive application of </w:t>
      </w:r>
      <w:r w:rsidR="004503E2">
        <w:rPr>
          <w:i/>
        </w:rPr>
        <w:t>Dynamex</w:t>
      </w:r>
      <w:r w:rsidRPr="00245C54" w:rsidR="0071742D">
        <w:t xml:space="preserve">.  </w:t>
      </w:r>
      <w:r w:rsidR="004B742A">
        <w:t>Thus</w:t>
      </w:r>
      <w:r w:rsidRPr="00245C54" w:rsidR="0071742D">
        <w:t xml:space="preserve">, </w:t>
      </w:r>
      <w:r w:rsidR="00782A87">
        <w:t xml:space="preserve">we do not view the </w:t>
      </w:r>
      <w:r w:rsidR="0060689B">
        <w:t>r</w:t>
      </w:r>
      <w:r w:rsidR="00F10BDB">
        <w:t xml:space="preserve">etroactive </w:t>
      </w:r>
      <w:r w:rsidRPr="00245C54">
        <w:t xml:space="preserve">application of the ABC test to </w:t>
      </w:r>
      <w:r w:rsidR="00F10BDB">
        <w:t>cases</w:t>
      </w:r>
      <w:r w:rsidRPr="00245C54">
        <w:t xml:space="preserve"> </w:t>
      </w:r>
      <w:r w:rsidR="00F10BDB">
        <w:t>pending at the time</w:t>
      </w:r>
      <w:r w:rsidRPr="00245C54" w:rsidR="00F10BDB">
        <w:t xml:space="preserve"> </w:t>
      </w:r>
      <w:r w:rsidRPr="00245C54">
        <w:rPr>
          <w:i/>
        </w:rPr>
        <w:t>Dynamex</w:t>
      </w:r>
      <w:r w:rsidRPr="00245C54">
        <w:t xml:space="preserve"> </w:t>
      </w:r>
      <w:r w:rsidR="00156598">
        <w:t>became final</w:t>
      </w:r>
      <w:r w:rsidRPr="00245C54" w:rsidR="00156598">
        <w:t xml:space="preserve"> </w:t>
      </w:r>
      <w:r w:rsidRPr="00245C54">
        <w:t xml:space="preserve">as improper or unfair.  </w:t>
      </w:r>
    </w:p>
    <w:p w:rsidR="00F50C13" w:rsidP="003C3D20">
      <w:pPr>
        <w:tabs>
          <w:tab w:val="left" w:pos="1440"/>
        </w:tabs>
        <w:ind w:firstLine="720"/>
      </w:pPr>
      <w:r w:rsidRPr="00245C54">
        <w:t xml:space="preserve">Accordingly, in </w:t>
      </w:r>
      <w:r w:rsidRPr="00245C54" w:rsidR="00145C47">
        <w:t>response</w:t>
      </w:r>
      <w:r w:rsidRPr="00245C54">
        <w:t xml:space="preserve"> to the question posed by the Ninth Circuit,</w:t>
      </w:r>
      <w:r w:rsidRPr="00245C54" w:rsidR="00013190">
        <w:t xml:space="preserve"> </w:t>
      </w:r>
      <w:r w:rsidRPr="00245C54">
        <w:t xml:space="preserve">we </w:t>
      </w:r>
      <w:r w:rsidRPr="00245C54" w:rsidR="00145C47">
        <w:t>answer</w:t>
      </w:r>
      <w:r w:rsidRPr="00245C54">
        <w:t xml:space="preserve"> that this court’s decision in </w:t>
      </w:r>
      <w:r w:rsidRPr="00245C54">
        <w:rPr>
          <w:i/>
        </w:rPr>
        <w:t>Dynamex</w:t>
      </w:r>
      <w:r w:rsidRPr="00245C54">
        <w:t xml:space="preserve"> applies retroactively.</w:t>
      </w:r>
    </w:p>
    <w:p w:rsidR="002524A5" w:rsidP="003C3D20">
      <w:pPr>
        <w:tabs>
          <w:tab w:val="left" w:pos="1440"/>
        </w:tabs>
        <w:ind w:firstLine="720"/>
      </w:pPr>
    </w:p>
    <w:p w:rsidR="002524A5" w:rsidP="003C3D20">
      <w:pPr>
        <w:tabs>
          <w:tab w:val="left" w:pos="1440"/>
        </w:tabs>
        <w:ind w:firstLine="720"/>
      </w:pPr>
    </w:p>
    <w:p w:rsidR="002524A5" w:rsidP="003C3D20">
      <w:pPr>
        <w:tabs>
          <w:tab w:val="left" w:pos="1440"/>
        </w:tabs>
        <w:ind w:firstLine="720"/>
      </w:pPr>
    </w:p>
    <w:p w:rsidR="002524A5" w:rsidP="003C3D20">
      <w:pPr>
        <w:tabs>
          <w:tab w:val="left" w:pos="1440"/>
        </w:tabs>
        <w:ind w:firstLine="720"/>
      </w:pPr>
    </w:p>
    <w:p w:rsidR="002524A5" w:rsidP="003C3D20">
      <w:pPr>
        <w:tabs>
          <w:tab w:val="left" w:pos="1440"/>
        </w:tabs>
        <w:ind w:firstLine="720"/>
      </w:pPr>
    </w:p>
    <w:p w:rsidR="002A5D7E" w:rsidP="003C3D20">
      <w:pPr>
        <w:tabs>
          <w:tab w:val="left" w:pos="1440"/>
        </w:tabs>
        <w:ind w:firstLine="720"/>
      </w:pPr>
    </w:p>
    <w:p w:rsidR="00637AD8" w:rsidRPr="00245C54" w:rsidP="002524A5">
      <w:pPr>
        <w:pStyle w:val="Heading1"/>
        <w:ind w:left="1080" w:right="1080"/>
      </w:pPr>
      <w:r w:rsidRPr="00245C54">
        <w:t xml:space="preserve">I.  </w:t>
      </w:r>
      <w:r w:rsidRPr="00245C54">
        <w:rPr>
          <w:i/>
        </w:rPr>
        <w:t>D</w:t>
      </w:r>
      <w:r w:rsidRPr="00245C54" w:rsidR="00136511">
        <w:rPr>
          <w:i/>
        </w:rPr>
        <w:t>ynamex’</w:t>
      </w:r>
      <w:r w:rsidRPr="00245C54" w:rsidR="00136511">
        <w:rPr>
          <w:iCs/>
        </w:rPr>
        <w:t>s</w:t>
      </w:r>
      <w:r w:rsidRPr="00245C54" w:rsidR="00136511">
        <w:rPr>
          <w:i/>
        </w:rPr>
        <w:t xml:space="preserve"> </w:t>
      </w:r>
      <w:r w:rsidRPr="00245C54" w:rsidR="00136511">
        <w:t>Interpretation of the Suffer</w:t>
      </w:r>
      <w:r w:rsidRPr="00245C54" w:rsidR="00136511">
        <w:rPr>
          <w:i/>
        </w:rPr>
        <w:t xml:space="preserve"> </w:t>
      </w:r>
      <w:r w:rsidRPr="00245C54" w:rsidR="00136511">
        <w:t xml:space="preserve">or Permit to Work </w:t>
      </w:r>
      <w:r w:rsidRPr="00245C54">
        <w:t xml:space="preserve">Definition </w:t>
      </w:r>
      <w:r w:rsidRPr="00245C54" w:rsidR="00F50C13">
        <w:t>in Wage Order</w:t>
      </w:r>
      <w:r w:rsidRPr="00245C54" w:rsidR="004A58CE">
        <w:t>s</w:t>
      </w:r>
      <w:r w:rsidRPr="00245C54" w:rsidR="00F50C13">
        <w:t xml:space="preserve"> Applies </w:t>
      </w:r>
      <w:r w:rsidRPr="00245C54" w:rsidR="00503185">
        <w:t xml:space="preserve">Retroactively </w:t>
      </w:r>
      <w:r w:rsidRPr="00245C54" w:rsidR="00F50C13">
        <w:t xml:space="preserve">to All </w:t>
      </w:r>
      <w:r w:rsidR="007C1941">
        <w:t>Nonfinal Cases</w:t>
      </w:r>
      <w:r w:rsidRPr="00245C54" w:rsidR="00F50C13">
        <w:t xml:space="preserve"> Governed</w:t>
      </w:r>
      <w:r w:rsidRPr="00245C54">
        <w:t xml:space="preserve"> </w:t>
      </w:r>
      <w:r w:rsidRPr="00245C54" w:rsidR="00A8472C">
        <w:t>b</w:t>
      </w:r>
      <w:r w:rsidRPr="00245C54" w:rsidR="00F50C13">
        <w:t>y Similarly Worded Wage Orders</w:t>
      </w:r>
    </w:p>
    <w:p w:rsidR="00F50C13" w:rsidRPr="00245C54" w:rsidP="00245C54">
      <w:pPr>
        <w:ind w:firstLine="720"/>
      </w:pPr>
      <w:r w:rsidRPr="00245C54">
        <w:t xml:space="preserve">As noted, the sole issue before this court is whether </w:t>
      </w:r>
      <w:r w:rsidR="008F0601">
        <w:t>our</w:t>
      </w:r>
      <w:r w:rsidRPr="00245C54">
        <w:t xml:space="preserve"> decision in </w:t>
      </w:r>
      <w:r w:rsidRPr="00245C54">
        <w:rPr>
          <w:i/>
        </w:rPr>
        <w:t>Dynamex</w:t>
      </w:r>
      <w:r w:rsidRPr="00245C54">
        <w:t xml:space="preserve">, </w:t>
      </w:r>
      <w:r w:rsidRPr="00245C54">
        <w:rPr>
          <w:i/>
        </w:rPr>
        <w:t>supra</w:t>
      </w:r>
      <w:r w:rsidRPr="00245C54">
        <w:t>, 4</w:t>
      </w:r>
      <w:r w:rsidR="005F3C1F">
        <w:t> </w:t>
      </w:r>
      <w:r w:rsidRPr="00245C54">
        <w:t>Cal.5th 903, applies retroactively.</w:t>
      </w:r>
      <w:r>
        <w:rPr>
          <w:rStyle w:val="FootnoteReference"/>
        </w:rPr>
        <w:footnoteReference w:id="3"/>
      </w:r>
    </w:p>
    <w:p w:rsidR="005E2A28" w:rsidRPr="00245C54" w:rsidP="00245C54">
      <w:pPr>
        <w:ind w:firstLine="720"/>
      </w:pPr>
      <w:r w:rsidRPr="00245C54">
        <w:t xml:space="preserve">We begin with a brief summary of the </w:t>
      </w:r>
      <w:r w:rsidRPr="00245C54">
        <w:rPr>
          <w:i/>
        </w:rPr>
        <w:t xml:space="preserve">Dynamex </w:t>
      </w:r>
      <w:r w:rsidRPr="00245C54">
        <w:t xml:space="preserve">decision.  </w:t>
      </w:r>
      <w:r w:rsidRPr="00245C54" w:rsidR="004A58CE">
        <w:t xml:space="preserve">In </w:t>
      </w:r>
      <w:r w:rsidRPr="00245C54" w:rsidR="004A58CE">
        <w:rPr>
          <w:i/>
        </w:rPr>
        <w:t>Dynamex</w:t>
      </w:r>
      <w:r w:rsidRPr="00245C54" w:rsidR="004A58CE">
        <w:t xml:space="preserve">, we faced the question </w:t>
      </w:r>
      <w:r w:rsidRPr="00245C54" w:rsidR="00145C47">
        <w:t>regarding</w:t>
      </w:r>
      <w:r w:rsidRPr="00245C54" w:rsidR="004A58CE">
        <w:t xml:space="preserve"> what standard applies in determining whether, for purposes of the obligations imposed by California</w:t>
      </w:r>
      <w:r w:rsidR="00EC5F24">
        <w:t>’s</w:t>
      </w:r>
      <w:r w:rsidRPr="00245C54" w:rsidR="004A58CE">
        <w:t xml:space="preserve"> wage orders, a worker should be considered </w:t>
      </w:r>
      <w:r w:rsidRPr="00245C54" w:rsidR="004A58CE">
        <w:rPr>
          <w:i/>
        </w:rPr>
        <w:t>an employee</w:t>
      </w:r>
      <w:r w:rsidRPr="00245C54" w:rsidR="004A58CE">
        <w:t xml:space="preserve"> who is covered and protected by the </w:t>
      </w:r>
      <w:r w:rsidRPr="00245C54" w:rsidR="003437CF">
        <w:t xml:space="preserve">applicable </w:t>
      </w:r>
      <w:r w:rsidRPr="00245C54" w:rsidR="004A58CE">
        <w:t xml:space="preserve">wage order or, instead, </w:t>
      </w:r>
      <w:r w:rsidRPr="00245C54" w:rsidR="004A58CE">
        <w:rPr>
          <w:i/>
        </w:rPr>
        <w:t>an independent contractor</w:t>
      </w:r>
      <w:r w:rsidRPr="00245C54" w:rsidR="004A58CE">
        <w:t xml:space="preserve"> to whom the wage order’s obligations and protections do not apply.</w:t>
      </w:r>
      <w:r>
        <w:rPr>
          <w:rStyle w:val="FootnoteReference"/>
        </w:rPr>
        <w:footnoteReference w:id="4"/>
      </w:r>
      <w:r w:rsidRPr="00245C54">
        <w:t xml:space="preserve">  </w:t>
      </w:r>
      <w:r w:rsidRPr="00245C54" w:rsidR="004B3B66">
        <w:t xml:space="preserve">As we explained in </w:t>
      </w:r>
      <w:r w:rsidRPr="00245C54" w:rsidR="004B3B66">
        <w:rPr>
          <w:i/>
        </w:rPr>
        <w:t>Dynamex</w:t>
      </w:r>
      <w:r w:rsidRPr="00245C54" w:rsidR="004B3B66">
        <w:t>, all currently applicable California wage orders, in defining the terms as used in the wage orders, define the term “</w:t>
      </w:r>
      <w:r w:rsidR="00AB35DE">
        <w:t> ‘</w:t>
      </w:r>
      <w:r w:rsidRPr="00245C54" w:rsidR="004B3B66">
        <w:t>employ</w:t>
      </w:r>
      <w:r w:rsidR="00AB35DE">
        <w:t>’ </w:t>
      </w:r>
      <w:r w:rsidRPr="00245C54" w:rsidR="004B3B66">
        <w:t>” in part to mean “</w:t>
      </w:r>
      <w:r w:rsidR="00342845">
        <w:t> ‘</w:t>
      </w:r>
      <w:r w:rsidRPr="00245C54" w:rsidR="004B3B66">
        <w:t>suffer or permit to work</w:t>
      </w:r>
      <w:r w:rsidR="00342845">
        <w:t>’ </w:t>
      </w:r>
      <w:r w:rsidRPr="00245C54" w:rsidR="004B3B66">
        <w:t>” and define the term “</w:t>
      </w:r>
      <w:r w:rsidR="00CD2AA0">
        <w:t> ‘ “</w:t>
      </w:r>
      <w:r w:rsidRPr="00245C54" w:rsidR="004B3B66">
        <w:t>employee</w:t>
      </w:r>
      <w:r w:rsidR="00CD2AA0">
        <w:t>” ’ </w:t>
      </w:r>
      <w:r w:rsidRPr="00245C54" w:rsidR="004B3B66">
        <w:t>” to mean “</w:t>
      </w:r>
      <w:r w:rsidR="006C54B0">
        <w:t> ‘</w:t>
      </w:r>
      <w:r w:rsidRPr="00245C54" w:rsidR="004B3B66">
        <w:t>any person employed by an employer.</w:t>
      </w:r>
      <w:r w:rsidR="006C54B0">
        <w:t>’ </w:t>
      </w:r>
      <w:r w:rsidRPr="00245C54" w:rsidR="004B3B66">
        <w:t>”  (</w:t>
      </w:r>
      <w:r w:rsidRPr="00245C54" w:rsidR="004B3B66">
        <w:rPr>
          <w:i/>
        </w:rPr>
        <w:t>Dynamex</w:t>
      </w:r>
      <w:r w:rsidRPr="00245C54" w:rsidR="004B3B66">
        <w:t xml:space="preserve">, </w:t>
      </w:r>
      <w:r w:rsidRPr="00245C54" w:rsidR="004B3B66">
        <w:rPr>
          <w:i/>
        </w:rPr>
        <w:t>supra</w:t>
      </w:r>
      <w:r w:rsidRPr="00245C54" w:rsidR="004B3B66">
        <w:t>, 4 Cal.5th</w:t>
      </w:r>
      <w:r w:rsidRPr="00245C54" w:rsidR="004B3B66">
        <w:rPr>
          <w:i/>
        </w:rPr>
        <w:t xml:space="preserve"> </w:t>
      </w:r>
      <w:r w:rsidRPr="00245C54" w:rsidR="004B3B66">
        <w:t>at p.</w:t>
      </w:r>
      <w:r w:rsidRPr="00245C54" w:rsidR="004D1EF1">
        <w:t xml:space="preserve"> </w:t>
      </w:r>
      <w:r w:rsidRPr="00245C54" w:rsidR="004B3B66">
        <w:t>926</w:t>
      </w:r>
      <w:r w:rsidR="006C54B0">
        <w:t xml:space="preserve">; </w:t>
      </w:r>
      <w:r w:rsidRPr="00B3258A" w:rsidR="006C54B0">
        <w:t xml:space="preserve">see </w:t>
      </w:r>
      <w:r w:rsidRPr="00B3258A" w:rsidR="006C54B0">
        <w:rPr>
          <w:i/>
        </w:rPr>
        <w:t>id.</w:t>
      </w:r>
      <w:r w:rsidRPr="00B3258A" w:rsidR="006C54B0">
        <w:t xml:space="preserve"> at p. 926</w:t>
      </w:r>
      <w:r w:rsidRPr="00B3258A" w:rsidR="004B3B66">
        <w:t xml:space="preserve"> fn. 9</w:t>
      </w:r>
      <w:r w:rsidRPr="00245C54" w:rsidR="004B3B66">
        <w:t>.)</w:t>
      </w:r>
      <w:r w:rsidRPr="00245C54" w:rsidR="004B3B66">
        <w:rPr>
          <w:i/>
        </w:rPr>
        <w:t xml:space="preserve">  </w:t>
      </w:r>
      <w:r w:rsidRPr="00245C54" w:rsidR="004B3B66">
        <w:t xml:space="preserve">At the same time, </w:t>
      </w:r>
      <w:r w:rsidRPr="00245C54" w:rsidR="00D44E90">
        <w:t xml:space="preserve">we noted that </w:t>
      </w:r>
      <w:r w:rsidRPr="00245C54" w:rsidR="004B3B66">
        <w:t>the wage orders do not contain a definition of the term “</w:t>
      </w:r>
      <w:r w:rsidR="00A31FA5">
        <w:t> ‘</w:t>
      </w:r>
      <w:r w:rsidRPr="00245C54" w:rsidR="004B3B66">
        <w:t>independent contractor</w:t>
      </w:r>
      <w:r w:rsidR="00A31FA5">
        <w:t>’ </w:t>
      </w:r>
      <w:r w:rsidRPr="00245C54" w:rsidR="004B3B66">
        <w:t xml:space="preserve">” </w:t>
      </w:r>
      <w:r w:rsidRPr="00245C54" w:rsidR="00E82778">
        <w:t xml:space="preserve">nor any </w:t>
      </w:r>
      <w:r w:rsidR="00A31FA5">
        <w:t>“</w:t>
      </w:r>
      <w:r w:rsidRPr="00245C54" w:rsidR="00E82778">
        <w:t>other provision that otherwise specifically addresses the potential distinction between workers who are employees covered by the terms of the wage order and workers who are independent contractors who are not entitled to the protections afforded by the wage order.”  (</w:t>
      </w:r>
      <w:r w:rsidRPr="00245C54" w:rsidR="00E82778">
        <w:rPr>
          <w:i/>
        </w:rPr>
        <w:t>Id.</w:t>
      </w:r>
      <w:r w:rsidRPr="00245C54" w:rsidR="00E82778">
        <w:t xml:space="preserve"> at p. 926.)</w:t>
      </w:r>
    </w:p>
    <w:p w:rsidR="00446C26" w:rsidRPr="00245C54" w:rsidP="00245C54">
      <w:pPr>
        <w:ind w:firstLine="720"/>
      </w:pPr>
      <w:r w:rsidRPr="00245C54">
        <w:t>After a lengthy review of prior relevant California decisions (</w:t>
      </w:r>
      <w:r w:rsidRPr="00245C54">
        <w:rPr>
          <w:i/>
        </w:rPr>
        <w:t>Dynamex</w:t>
      </w:r>
      <w:r w:rsidRPr="00245C54">
        <w:t xml:space="preserve">, </w:t>
      </w:r>
      <w:r w:rsidRPr="00245C54">
        <w:rPr>
          <w:i/>
        </w:rPr>
        <w:t>supra</w:t>
      </w:r>
      <w:r w:rsidRPr="00245C54">
        <w:t>, 4 Cal.5th at pp.</w:t>
      </w:r>
      <w:r w:rsidR="00A36D32">
        <w:t> </w:t>
      </w:r>
      <w:r w:rsidRPr="00245C54">
        <w:t>927</w:t>
      </w:r>
      <w:r w:rsidRPr="00245C54" w:rsidR="00054205">
        <w:rPr>
          <w:szCs w:val="26"/>
        </w:rPr>
        <w:t>–</w:t>
      </w:r>
      <w:r w:rsidRPr="00245C54">
        <w:t xml:space="preserve">942), we </w:t>
      </w:r>
      <w:r w:rsidRPr="00245C54" w:rsidR="00D44E90">
        <w:t xml:space="preserve">described the variety of standards that </w:t>
      </w:r>
      <w:r w:rsidR="00A31FA5">
        <w:t>“</w:t>
      </w:r>
      <w:r w:rsidRPr="00245C54" w:rsidR="00D44E90">
        <w:t xml:space="preserve">have been adopted in legislative enactments, administrative regulations, and court decisions as </w:t>
      </w:r>
      <w:r w:rsidR="00203BBE">
        <w:t>the</w:t>
      </w:r>
      <w:r w:rsidRPr="00245C54" w:rsidR="00D44E90">
        <w:t xml:space="preserve"> means for distinguishing between those workers who should be considered employees and those who should be considered independent contractors</w:t>
      </w:r>
      <w:r w:rsidRPr="00245C54" w:rsidR="009C33E7">
        <w:t>.</w:t>
      </w:r>
      <w:r w:rsidRPr="00245C54" w:rsidR="00D44E90">
        <w:t xml:space="preserve">” </w:t>
      </w:r>
      <w:r w:rsidRPr="00245C54" w:rsidR="009C33E7">
        <w:t xml:space="preserve"> </w:t>
      </w:r>
      <w:r w:rsidRPr="00245C54" w:rsidR="00D44E90">
        <w:t>(</w:t>
      </w:r>
      <w:r w:rsidRPr="00245C54" w:rsidR="004C1185">
        <w:rPr>
          <w:i/>
        </w:rPr>
        <w:t>I</w:t>
      </w:r>
      <w:r w:rsidRPr="00245C54" w:rsidR="00D44E90">
        <w:rPr>
          <w:i/>
        </w:rPr>
        <w:t xml:space="preserve">d. </w:t>
      </w:r>
      <w:r w:rsidRPr="00245C54" w:rsidR="00D44E90">
        <w:t>at p. 950</w:t>
      </w:r>
      <w:r w:rsidR="00396A31">
        <w:t xml:space="preserve"> &amp;</w:t>
      </w:r>
      <w:r w:rsidR="0083638A">
        <w:t xml:space="preserve"> </w:t>
      </w:r>
      <w:r w:rsidRPr="00B3258A" w:rsidR="00D44E90">
        <w:t>fn. 20</w:t>
      </w:r>
      <w:r w:rsidRPr="00245C54" w:rsidR="004C1185">
        <w:t>.</w:t>
      </w:r>
      <w:r w:rsidRPr="00245C54" w:rsidR="00D44E90">
        <w:t>)</w:t>
      </w:r>
      <w:r w:rsidRPr="00245C54" w:rsidR="004C1185">
        <w:t xml:space="preserve">  We</w:t>
      </w:r>
      <w:r w:rsidRPr="00245C54" w:rsidR="00D44E90">
        <w:t xml:space="preserve"> explained that as early as 1937</w:t>
      </w:r>
      <w:r w:rsidR="004C5E15">
        <w:t>,</w:t>
      </w:r>
      <w:r w:rsidRPr="00245C54" w:rsidR="00D44E90">
        <w:t xml:space="preserve"> the suffer</w:t>
      </w:r>
      <w:r w:rsidRPr="00245C54" w:rsidR="00784888">
        <w:t xml:space="preserve"> </w:t>
      </w:r>
      <w:r w:rsidRPr="00245C54" w:rsidR="00D44E90">
        <w:t>or</w:t>
      </w:r>
      <w:r w:rsidRPr="00245C54" w:rsidR="00784888">
        <w:t xml:space="preserve"> </w:t>
      </w:r>
      <w:r w:rsidRPr="00245C54" w:rsidR="00D44E90">
        <w:t>permit</w:t>
      </w:r>
      <w:r w:rsidRPr="00245C54" w:rsidR="00784888">
        <w:t xml:space="preserve"> </w:t>
      </w:r>
      <w:r w:rsidRPr="00245C54" w:rsidR="00D44E90">
        <w:t>to</w:t>
      </w:r>
      <w:r w:rsidRPr="00245C54" w:rsidR="00784888">
        <w:t xml:space="preserve"> </w:t>
      </w:r>
      <w:r w:rsidRPr="00245C54" w:rsidR="00D44E90">
        <w:t>work standard embodied in California</w:t>
      </w:r>
      <w:r w:rsidR="00EC5F24">
        <w:t>’s</w:t>
      </w:r>
      <w:r w:rsidRPr="00245C54" w:rsidR="00D44E90">
        <w:t xml:space="preserve"> wage orders had been described “as ‘the broadest definition’ that has been devised for extending the coverage of a statute or regulation to the widest class of workers that reasonably fall within the reach of a social welfare statute.”</w:t>
      </w:r>
      <w:r w:rsidRPr="00245C54" w:rsidR="00FA757F">
        <w:t xml:space="preserve"> </w:t>
      </w:r>
      <w:r w:rsidRPr="00245C54" w:rsidR="00D44E90">
        <w:t xml:space="preserve"> (</w:t>
      </w:r>
      <w:r w:rsidRPr="00245C54" w:rsidR="00D44E90">
        <w:rPr>
          <w:i/>
        </w:rPr>
        <w:t>Id.</w:t>
      </w:r>
      <w:r w:rsidRPr="00245C54" w:rsidR="00D44E90">
        <w:t xml:space="preserve"> at p. 951.)  </w:t>
      </w:r>
      <w:r w:rsidRPr="00245C54" w:rsidR="008C6516">
        <w:t>We took</w:t>
      </w:r>
      <w:r w:rsidRPr="00245C54" w:rsidR="00977F53">
        <w:t xml:space="preserve"> note of a </w:t>
      </w:r>
      <w:r w:rsidRPr="00245C54" w:rsidR="005F523D">
        <w:t>number</w:t>
      </w:r>
      <w:r w:rsidRPr="00245C54" w:rsidR="00977F53">
        <w:t xml:space="preserve"> of </w:t>
      </w:r>
      <w:r w:rsidRPr="00245C54" w:rsidR="005F523D">
        <w:t xml:space="preserve">criticisms that had been advanced regarding several </w:t>
      </w:r>
      <w:r w:rsidRPr="00245C54" w:rsidR="002062B9">
        <w:t>tests</w:t>
      </w:r>
      <w:r w:rsidRPr="00245C54" w:rsidR="005F523D">
        <w:t xml:space="preserve"> that rely upon a “multifactor, </w:t>
      </w:r>
      <w:r w:rsidR="0027740E">
        <w:t>‘</w:t>
      </w:r>
      <w:r w:rsidRPr="00245C54" w:rsidR="005F523D">
        <w:t>all the circumstances</w:t>
      </w:r>
      <w:r w:rsidR="0027740E">
        <w:t>’</w:t>
      </w:r>
      <w:r w:rsidRPr="00245C54" w:rsidR="005F523D">
        <w:t xml:space="preserve"> standard</w:t>
      </w:r>
      <w:r w:rsidRPr="00245C54" w:rsidR="00F51580">
        <w:t>”</w:t>
      </w:r>
      <w:r w:rsidRPr="00245C54" w:rsidR="005F523D">
        <w:t xml:space="preserve"> for distinguishing between employees and independent contractors</w:t>
      </w:r>
      <w:r w:rsidRPr="00245C54" w:rsidR="008C6516">
        <w:t xml:space="preserve">. </w:t>
      </w:r>
      <w:r w:rsidRPr="00245C54" w:rsidR="005F523D">
        <w:t xml:space="preserve"> (</w:t>
      </w:r>
      <w:r w:rsidRPr="00245C54" w:rsidR="008C6516">
        <w:rPr>
          <w:i/>
        </w:rPr>
        <w:t>I</w:t>
      </w:r>
      <w:r w:rsidRPr="00245C54" w:rsidR="005F523D">
        <w:rPr>
          <w:i/>
        </w:rPr>
        <w:t xml:space="preserve">d. </w:t>
      </w:r>
      <w:r w:rsidRPr="00245C54" w:rsidR="005F523D">
        <w:t xml:space="preserve">at </w:t>
      </w:r>
      <w:r w:rsidR="003F13CB">
        <w:t xml:space="preserve">p. 954; see </w:t>
      </w:r>
      <w:r w:rsidR="003F13CB">
        <w:rPr>
          <w:i/>
        </w:rPr>
        <w:t xml:space="preserve">id. </w:t>
      </w:r>
      <w:r w:rsidR="003F13CB">
        <w:t xml:space="preserve">at </w:t>
      </w:r>
      <w:r w:rsidRPr="00245C54" w:rsidR="005F523D">
        <w:t>pp.</w:t>
      </w:r>
      <w:r w:rsidR="005F3C1F">
        <w:t> </w:t>
      </w:r>
      <w:r w:rsidRPr="00245C54" w:rsidR="005F523D">
        <w:t>954</w:t>
      </w:r>
      <w:r w:rsidRPr="00245C54" w:rsidR="00054205">
        <w:rPr>
          <w:szCs w:val="26"/>
        </w:rPr>
        <w:t>–</w:t>
      </w:r>
      <w:r w:rsidRPr="00245C54" w:rsidR="005F523D">
        <w:t>956</w:t>
      </w:r>
      <w:r w:rsidRPr="00245C54" w:rsidR="001F2B49">
        <w:t>.</w:t>
      </w:r>
      <w:r w:rsidRPr="00245C54" w:rsidR="005F523D">
        <w:t>)</w:t>
      </w:r>
      <w:r w:rsidRPr="00245C54">
        <w:t xml:space="preserve"> </w:t>
      </w:r>
      <w:r w:rsidRPr="00245C54" w:rsidR="001F2B49">
        <w:t xml:space="preserve"> Thus, in part to avoid these </w:t>
      </w:r>
      <w:r w:rsidRPr="00245C54" w:rsidR="005F523D">
        <w:t>criticisms</w:t>
      </w:r>
      <w:r w:rsidRPr="00245C54" w:rsidR="001F2B49">
        <w:t>,</w:t>
      </w:r>
      <w:r w:rsidRPr="00245C54" w:rsidR="005F523D">
        <w:t xml:space="preserve"> </w:t>
      </w:r>
      <w:r w:rsidRPr="00245C54" w:rsidR="00D44E90">
        <w:t xml:space="preserve">we </w:t>
      </w:r>
      <w:r w:rsidRPr="00245C54">
        <w:t>concluded</w:t>
      </w:r>
      <w:r w:rsidRPr="00245C54" w:rsidR="00823295">
        <w:t xml:space="preserve"> in </w:t>
      </w:r>
      <w:r w:rsidRPr="00245C54" w:rsidR="00823295">
        <w:rPr>
          <w:i/>
        </w:rPr>
        <w:t xml:space="preserve">Dynamex </w:t>
      </w:r>
      <w:r w:rsidRPr="00245C54" w:rsidR="00823295">
        <w:t>that it is “most consistent with the history and purpose of the suffer or permit to work standard in California’s wage orders</w:t>
      </w:r>
      <w:r w:rsidR="003F13CB">
        <w:t xml:space="preserve"> . . .</w:t>
      </w:r>
      <w:r w:rsidRPr="00245C54" w:rsidR="003F13CB">
        <w:t xml:space="preserve"> </w:t>
      </w:r>
      <w:r w:rsidRPr="00245C54" w:rsidR="00823295">
        <w:t xml:space="preserve">to interpret that standard as: </w:t>
      </w:r>
      <w:r w:rsidR="00A36D32">
        <w:t xml:space="preserve"> </w:t>
      </w:r>
      <w:r w:rsidRPr="00245C54" w:rsidR="00823295">
        <w:t>(1)</w:t>
      </w:r>
      <w:r w:rsidR="00A36D32">
        <w:t> </w:t>
      </w:r>
      <w:r w:rsidRPr="00245C54" w:rsidR="00823295">
        <w:t>placing the burden on the hiring entity to establish that the worker is an independent contractor who was not intended to be included within the wage order’s coverage; and (2)</w:t>
      </w:r>
      <w:r w:rsidR="00A36D32">
        <w:t> </w:t>
      </w:r>
      <w:r w:rsidRPr="00245C54" w:rsidR="00823295">
        <w:t xml:space="preserve">requiring the hiring entity, in order to meet this burden, to establish </w:t>
      </w:r>
      <w:r w:rsidRPr="00245C54" w:rsidR="00823295">
        <w:rPr>
          <w:i/>
        </w:rPr>
        <w:t xml:space="preserve">each </w:t>
      </w:r>
      <w:r w:rsidRPr="00245C54" w:rsidR="00823295">
        <w:t>of the three factors embodied in the ABC test</w:t>
      </w:r>
      <w:r w:rsidR="00AF03A9">
        <w:t xml:space="preserve"> </w:t>
      </w:r>
      <w:r w:rsidR="008B072B">
        <w:t>—</w:t>
      </w:r>
      <w:r w:rsidR="00AF03A9">
        <w:t xml:space="preserve"> </w:t>
      </w:r>
      <w:r w:rsidR="008B072B">
        <w:t>namely</w:t>
      </w:r>
      <w:r w:rsidRPr="00245C54" w:rsidR="00B0186A">
        <w:t xml:space="preserve">  </w:t>
      </w:r>
      <w:r w:rsidRPr="00245C54" w:rsidR="00823295">
        <w:t xml:space="preserve">(A) that the worker is free from the control and direction of the hiring entity in connection with the performance of the work, both under the contract for the performance of the work and in fact; </w:t>
      </w:r>
      <w:r w:rsidRPr="00245C54" w:rsidR="00823295">
        <w:rPr>
          <w:i/>
        </w:rPr>
        <w:t>and</w:t>
      </w:r>
      <w:r w:rsidRPr="00245C54" w:rsidR="00823295">
        <w:t xml:space="preserve"> (B)</w:t>
      </w:r>
      <w:r w:rsidR="005F3C1F">
        <w:t> </w:t>
      </w:r>
      <w:r w:rsidRPr="00245C54" w:rsidR="00823295">
        <w:t xml:space="preserve">that the worker performs work that is outside the usual course of the hiring entity’s business; </w:t>
      </w:r>
      <w:r w:rsidRPr="00245C54" w:rsidR="00823295">
        <w:rPr>
          <w:i/>
        </w:rPr>
        <w:t>and</w:t>
      </w:r>
      <w:r w:rsidRPr="00245C54" w:rsidR="00823295">
        <w:t xml:space="preserve"> (C) that the worker is customarily engaged in an independently established trade, occupation, or business of the same nature as the work performed.</w:t>
      </w:r>
      <w:r w:rsidRPr="00245C54" w:rsidR="00C4346E">
        <w:t>”  (</w:t>
      </w:r>
      <w:r w:rsidRPr="00245C54" w:rsidR="00C4346E">
        <w:rPr>
          <w:i/>
        </w:rPr>
        <w:t>Id.</w:t>
      </w:r>
      <w:r w:rsidRPr="00245C54" w:rsidR="00054205">
        <w:rPr>
          <w:i/>
        </w:rPr>
        <w:t xml:space="preserve"> </w:t>
      </w:r>
      <w:r w:rsidRPr="00245C54" w:rsidR="00C4346E">
        <w:t>at pp.</w:t>
      </w:r>
      <w:r w:rsidR="00A36D32">
        <w:t> </w:t>
      </w:r>
      <w:r w:rsidRPr="00245C54" w:rsidR="00C4346E">
        <w:t>956</w:t>
      </w:r>
      <w:r w:rsidRPr="00245C54" w:rsidR="00054205">
        <w:rPr>
          <w:szCs w:val="26"/>
        </w:rPr>
        <w:t>–</w:t>
      </w:r>
      <w:r w:rsidRPr="00245C54" w:rsidR="00C4346E">
        <w:t>957</w:t>
      </w:r>
      <w:r w:rsidRPr="00245C54" w:rsidR="008F0BA3">
        <w:t xml:space="preserve">, </w:t>
      </w:r>
      <w:r w:rsidR="00DC38B9">
        <w:t>fn. omitted</w:t>
      </w:r>
      <w:r w:rsidRPr="00245C54" w:rsidR="00C4346E">
        <w:t>.)</w:t>
      </w:r>
    </w:p>
    <w:p w:rsidR="002862BF" w:rsidRPr="00245C54" w:rsidP="00245C54">
      <w:pPr>
        <w:ind w:firstLine="720"/>
      </w:pPr>
      <w:r w:rsidRPr="00245C54">
        <w:t xml:space="preserve">Accordingly, </w:t>
      </w:r>
      <w:r w:rsidRPr="00245C54" w:rsidR="00446C26">
        <w:t>this court’s</w:t>
      </w:r>
      <w:r w:rsidRPr="00245C54">
        <w:t xml:space="preserve"> decision in </w:t>
      </w:r>
      <w:r w:rsidRPr="00245C54">
        <w:rPr>
          <w:i/>
        </w:rPr>
        <w:t>Dynamex</w:t>
      </w:r>
      <w:r w:rsidRPr="00245C54">
        <w:t xml:space="preserve"> </w:t>
      </w:r>
      <w:r w:rsidRPr="00245C54" w:rsidR="00446C26">
        <w:t>was based</w:t>
      </w:r>
      <w:r w:rsidRPr="00245C54" w:rsidR="005F523D">
        <w:t xml:space="preserve"> upon </w:t>
      </w:r>
      <w:r w:rsidRPr="00245C54" w:rsidR="00446C26">
        <w:t>a</w:t>
      </w:r>
      <w:r w:rsidRPr="00245C54" w:rsidR="005F523D">
        <w:t xml:space="preserve"> determination </w:t>
      </w:r>
      <w:r w:rsidRPr="00245C54" w:rsidR="003318CA">
        <w:t xml:space="preserve">concerning </w:t>
      </w:r>
      <w:r w:rsidRPr="00245C54">
        <w:t xml:space="preserve">how the term </w:t>
      </w:r>
      <w:r w:rsidRPr="00245C54" w:rsidR="000B560E">
        <w:t>“</w:t>
      </w:r>
      <w:r w:rsidRPr="00245C54">
        <w:t>suffer or permit to work</w:t>
      </w:r>
      <w:r w:rsidRPr="00245C54" w:rsidR="000B560E">
        <w:t>”</w:t>
      </w:r>
      <w:r w:rsidRPr="00245C54">
        <w:t xml:space="preserve"> </w:t>
      </w:r>
      <w:r w:rsidRPr="00245C54">
        <w:t>in California wage orders should be interpreted for purposes of distinguishing between employees who are covered by the wage orders and independent contractors who are not protected by such orders.</w:t>
      </w:r>
    </w:p>
    <w:p w:rsidR="00E82778" w:rsidRPr="00245C54" w:rsidP="00245C54">
      <w:pPr>
        <w:ind w:firstLine="720"/>
      </w:pPr>
      <w:r w:rsidRPr="00245C54">
        <w:t>T</w:t>
      </w:r>
      <w:r w:rsidRPr="00245C54" w:rsidR="00380120">
        <w:t xml:space="preserve">he </w:t>
      </w:r>
      <w:r w:rsidRPr="00245C54" w:rsidR="00380120">
        <w:rPr>
          <w:i/>
        </w:rPr>
        <w:t xml:space="preserve">Dynamex </w:t>
      </w:r>
      <w:r w:rsidRPr="00245C54" w:rsidR="00380120">
        <w:t>decision constitutes a</w:t>
      </w:r>
      <w:r w:rsidRPr="00245C54" w:rsidR="005F345F">
        <w:t>n authoritative judicial</w:t>
      </w:r>
      <w:r w:rsidRPr="00245C54" w:rsidR="00380120">
        <w:t xml:space="preserve"> interpretation of </w:t>
      </w:r>
      <w:r w:rsidRPr="00245C54" w:rsidR="00446C26">
        <w:t>language</w:t>
      </w:r>
      <w:r w:rsidRPr="00245C54" w:rsidR="00380120">
        <w:t xml:space="preserve"> —</w:t>
      </w:r>
      <w:r w:rsidRPr="00245C54" w:rsidR="00902615">
        <w:t xml:space="preserve"> </w:t>
      </w:r>
      <w:r w:rsidRPr="00245C54" w:rsidR="00380120">
        <w:t>suffer or permit to work — that has long been included in California</w:t>
      </w:r>
      <w:r w:rsidRPr="00245C54" w:rsidR="00B9434D">
        <w:t>’s</w:t>
      </w:r>
      <w:r w:rsidRPr="00245C54" w:rsidR="00380120">
        <w:t xml:space="preserve"> wage orders to define the scope of the employment relationships governed by the wage orders</w:t>
      </w:r>
      <w:r w:rsidRPr="00245C54">
        <w:t>.  Thus, under</w:t>
      </w:r>
      <w:r w:rsidRPr="00245C54" w:rsidR="00380120">
        <w:t xml:space="preserve"> well</w:t>
      </w:r>
      <w:r w:rsidRPr="00245C54" w:rsidR="003F52EB">
        <w:t>-</w:t>
      </w:r>
      <w:r w:rsidRPr="00245C54" w:rsidR="00380120">
        <w:t>established jurisprudential principles</w:t>
      </w:r>
      <w:r w:rsidR="003D454E">
        <w:t>,</w:t>
      </w:r>
      <w:r w:rsidRPr="00245C54" w:rsidR="00380120">
        <w:t xml:space="preserve"> </w:t>
      </w:r>
      <w:r w:rsidRPr="00245C54" w:rsidR="00DA4D44">
        <w:t>our</w:t>
      </w:r>
      <w:r w:rsidRPr="00245C54" w:rsidR="00380120">
        <w:t xml:space="preserve"> interpretation of that </w:t>
      </w:r>
      <w:r w:rsidRPr="00245C54" w:rsidR="00DE299E">
        <w:t>language</w:t>
      </w:r>
      <w:r w:rsidRPr="00245C54" w:rsidR="00DA4D44">
        <w:t xml:space="preserve"> in </w:t>
      </w:r>
      <w:r w:rsidRPr="00245C54" w:rsidR="00DA4D44">
        <w:rPr>
          <w:i/>
          <w:iCs/>
        </w:rPr>
        <w:t>Dynamex</w:t>
      </w:r>
      <w:r w:rsidRPr="00245C54" w:rsidR="00380120">
        <w:t xml:space="preserve"> applies retroactively to all </w:t>
      </w:r>
      <w:r w:rsidR="00A547DC">
        <w:t>cases not yet final</w:t>
      </w:r>
      <w:r w:rsidRPr="00245C54" w:rsidR="00380120">
        <w:t xml:space="preserve"> that were governed by wage orders containing that definition.  </w:t>
      </w:r>
      <w:r w:rsidRPr="00245C54" w:rsidR="00507836">
        <w:t xml:space="preserve">(See </w:t>
      </w:r>
      <w:r w:rsidRPr="00245C54" w:rsidR="001A2BD3">
        <w:rPr>
          <w:i/>
        </w:rPr>
        <w:t xml:space="preserve">Newman v. Emerson Radio Corp. </w:t>
      </w:r>
      <w:r w:rsidRPr="00245C54" w:rsidR="001A2BD3">
        <w:t>(1989) 48 Cal.3d 973, 978</w:t>
      </w:r>
      <w:r w:rsidRPr="00245C54" w:rsidR="00AB0C3C">
        <w:rPr>
          <w:i/>
        </w:rPr>
        <w:t xml:space="preserve"> </w:t>
      </w:r>
      <w:r w:rsidRPr="00245C54" w:rsidR="00DE41A9">
        <w:t>(</w:t>
      </w:r>
      <w:r w:rsidRPr="00245C54" w:rsidR="00DE41A9">
        <w:rPr>
          <w:i/>
        </w:rPr>
        <w:t>Newman</w:t>
      </w:r>
      <w:r w:rsidRPr="00245C54" w:rsidR="00DE41A9">
        <w:t>)</w:t>
      </w:r>
      <w:r w:rsidRPr="00245C54" w:rsidR="00DE41A9">
        <w:rPr>
          <w:i/>
        </w:rPr>
        <w:t xml:space="preserve"> </w:t>
      </w:r>
      <w:r w:rsidRPr="00245C54" w:rsidR="00AB0C3C">
        <w:t>[</w:t>
      </w:r>
      <w:r w:rsidRPr="00245C54" w:rsidR="00D20427">
        <w:t>“The general rule that judicial decisions are given retroactive effect is basic in our legal tradition”]</w:t>
      </w:r>
      <w:r w:rsidR="006C0C37">
        <w:t xml:space="preserve">; </w:t>
      </w:r>
      <w:r w:rsidRPr="00245C54" w:rsidR="00C26807">
        <w:rPr>
          <w:i/>
        </w:rPr>
        <w:t xml:space="preserve">Waller v. Truck Ins. Exchange, Inc. </w:t>
      </w:r>
      <w:r w:rsidRPr="00245C54" w:rsidR="00C26807">
        <w:t>(1995) 11 Cal.4th 1</w:t>
      </w:r>
      <w:r w:rsidR="00C26807">
        <w:t>, 24 (</w:t>
      </w:r>
      <w:r w:rsidR="00C26807">
        <w:rPr>
          <w:i/>
        </w:rPr>
        <w:t>Waller</w:t>
      </w:r>
      <w:r w:rsidR="00C26807">
        <w:t>)</w:t>
      </w:r>
      <w:r w:rsidR="002B0AE4">
        <w:t xml:space="preserve"> [“[T]he general rule [is] that judicial decisions are to be applied retroactively”]</w:t>
      </w:r>
      <w:r w:rsidRPr="00245C54" w:rsidR="00D20427">
        <w:t>.</w:t>
      </w:r>
      <w:r w:rsidRPr="00245C54" w:rsidR="00DE41A9">
        <w:t xml:space="preserve">)  </w:t>
      </w:r>
      <w:r w:rsidRPr="00245C54" w:rsidR="00380120">
        <w:t xml:space="preserve">As the United States Supreme Court </w:t>
      </w:r>
      <w:r w:rsidRPr="00245C54" w:rsidR="005F345F">
        <w:t xml:space="preserve">observed in </w:t>
      </w:r>
      <w:r w:rsidRPr="00245C54" w:rsidR="005F345F">
        <w:rPr>
          <w:i/>
        </w:rPr>
        <w:t>Rivers v. Roadway Express</w:t>
      </w:r>
      <w:r w:rsidRPr="00245C54" w:rsidR="009022C7">
        <w:rPr>
          <w:i/>
        </w:rPr>
        <w:t>,</w:t>
      </w:r>
      <w:r w:rsidRPr="00245C54" w:rsidR="005F345F">
        <w:rPr>
          <w:i/>
        </w:rPr>
        <w:t xml:space="preserve"> Inc. </w:t>
      </w:r>
      <w:r w:rsidRPr="00245C54" w:rsidR="005F345F">
        <w:t>(1994) 511 U.S. 298, 312</w:t>
      </w:r>
      <w:r w:rsidRPr="00245C54" w:rsidR="00C0738E">
        <w:rPr>
          <w:szCs w:val="26"/>
        </w:rPr>
        <w:t>–</w:t>
      </w:r>
      <w:r w:rsidRPr="00245C54" w:rsidR="005F345F">
        <w:t xml:space="preserve">313: </w:t>
      </w:r>
      <w:r w:rsidRPr="00245C54" w:rsidR="00D4753A">
        <w:t xml:space="preserve"> </w:t>
      </w:r>
      <w:r w:rsidRPr="00245C54" w:rsidR="005F345F">
        <w:t xml:space="preserve">“A judicial construction of a statute is an authoritative statement of what the statute meant before as well as after the decision of the case giving rise to that construction.” </w:t>
      </w:r>
      <w:r w:rsidRPr="00245C54" w:rsidR="00446C26">
        <w:t xml:space="preserve"> In </w:t>
      </w:r>
      <w:r w:rsidRPr="00245C54" w:rsidR="005F345F">
        <w:rPr>
          <w:i/>
        </w:rPr>
        <w:t>McClung v. Employm</w:t>
      </w:r>
      <w:r w:rsidRPr="00245C54" w:rsidR="00102DE6">
        <w:rPr>
          <w:i/>
        </w:rPr>
        <w:t>en</w:t>
      </w:r>
      <w:r w:rsidRPr="00245C54" w:rsidR="005F345F">
        <w:rPr>
          <w:i/>
        </w:rPr>
        <w:t xml:space="preserve">t Development Dept. </w:t>
      </w:r>
      <w:r w:rsidRPr="00245C54" w:rsidR="005F345F">
        <w:t>(2004) 34 Cal.4th 467, 474</w:t>
      </w:r>
      <w:r w:rsidRPr="00245C54" w:rsidR="00446C26">
        <w:t>, this court, after</w:t>
      </w:r>
      <w:r w:rsidRPr="00245C54" w:rsidR="005F345F">
        <w:t xml:space="preserve"> quoting </w:t>
      </w:r>
      <w:r w:rsidRPr="00245C54" w:rsidR="00446C26">
        <w:t>th</w:t>
      </w:r>
      <w:r w:rsidRPr="00245C54" w:rsidR="00D25A6B">
        <w:t>e foregoing</w:t>
      </w:r>
      <w:r w:rsidRPr="00245C54" w:rsidR="00446C26">
        <w:t xml:space="preserve"> passage from </w:t>
      </w:r>
      <w:r w:rsidRPr="00245C54" w:rsidR="005F345F">
        <w:rPr>
          <w:i/>
        </w:rPr>
        <w:t>Rivers v. Roadway Express</w:t>
      </w:r>
      <w:r w:rsidR="005B01A3">
        <w:rPr>
          <w:i/>
        </w:rPr>
        <w:t>, Inc.</w:t>
      </w:r>
      <w:r w:rsidRPr="00245C54" w:rsidR="00446C26">
        <w:t>, observed</w:t>
      </w:r>
      <w:r w:rsidRPr="00245C54" w:rsidR="000E200B">
        <w:t>:</w:t>
      </w:r>
      <w:r w:rsidRPr="00245C54" w:rsidR="009022C7">
        <w:t xml:space="preserve"> </w:t>
      </w:r>
      <w:r w:rsidRPr="00245C54" w:rsidR="00FD6E63">
        <w:t xml:space="preserve"> </w:t>
      </w:r>
      <w:r w:rsidRPr="00245C54" w:rsidR="009022C7">
        <w:t>“T</w:t>
      </w:r>
      <w:r w:rsidRPr="00245C54" w:rsidR="005F345F">
        <w:t>h</w:t>
      </w:r>
      <w:r w:rsidR="00617937">
        <w:t>is</w:t>
      </w:r>
      <w:r w:rsidRPr="00245C54" w:rsidR="005F345F">
        <w:t xml:space="preserve"> is why a judicial decision [interpreting a legislative measure] generally applies retroactively</w:t>
      </w:r>
      <w:r w:rsidRPr="00245C54" w:rsidR="009022C7">
        <w:t>.</w:t>
      </w:r>
      <w:r w:rsidRPr="00245C54" w:rsidR="005F345F">
        <w:t>”</w:t>
      </w:r>
      <w:r w:rsidR="000B753B">
        <w:t xml:space="preserve">  (See </w:t>
      </w:r>
      <w:r w:rsidR="000B753B">
        <w:rPr>
          <w:i/>
        </w:rPr>
        <w:t>Woolsey v. State of California</w:t>
      </w:r>
      <w:r w:rsidR="000B753B">
        <w:t xml:space="preserve"> (1992) 3 Cal.4th 758, 794 (</w:t>
      </w:r>
      <w:r w:rsidR="000B753B">
        <w:rPr>
          <w:i/>
        </w:rPr>
        <w:t>Woolsey</w:t>
      </w:r>
      <w:r w:rsidR="000B753B">
        <w:t>)</w:t>
      </w:r>
      <w:r w:rsidR="000B753B">
        <w:rPr>
          <w:i/>
        </w:rPr>
        <w:t xml:space="preserve"> </w:t>
      </w:r>
      <w:r w:rsidR="000B753B">
        <w:t>[“ ‘Whenever a decision undertakes to vindicate the original meaning of an enactment, putting into effect the policy intended from its inception, retroactive application is essential to accomplish that aim’ ”].)</w:t>
      </w:r>
    </w:p>
    <w:p w:rsidR="005F076D" w:rsidP="00245C54">
      <w:pPr>
        <w:ind w:firstLine="720"/>
      </w:pPr>
      <w:r w:rsidRPr="00245C54">
        <w:t>As past cases have explained, th</w:t>
      </w:r>
      <w:r w:rsidRPr="00245C54" w:rsidR="00446C26">
        <w:t xml:space="preserve">e </w:t>
      </w:r>
      <w:r w:rsidRPr="00245C54">
        <w:t xml:space="preserve">rule </w:t>
      </w:r>
      <w:r w:rsidRPr="00245C54" w:rsidR="009022C7">
        <w:t>affirming</w:t>
      </w:r>
      <w:r w:rsidRPr="00245C54" w:rsidR="00315BA3">
        <w:t xml:space="preserve"> the retroactive effect</w:t>
      </w:r>
      <w:r w:rsidRPr="00245C54">
        <w:t xml:space="preserve"> of </w:t>
      </w:r>
      <w:r w:rsidRPr="00245C54" w:rsidR="00102DE6">
        <w:t xml:space="preserve">an authoritative </w:t>
      </w:r>
      <w:r w:rsidRPr="00245C54">
        <w:t>judicial decision interpreting a legislative measure</w:t>
      </w:r>
      <w:r w:rsidRPr="00245C54" w:rsidR="00102DE6">
        <w:t xml:space="preserve"> generally applies even when the statutory language in question previously had been given a different interpretation by a </w:t>
      </w:r>
      <w:r w:rsidRPr="00245C54" w:rsidR="00446C26">
        <w:t>lower appellate court</w:t>
      </w:r>
      <w:r w:rsidRPr="00245C54" w:rsidR="00102DE6">
        <w:t xml:space="preserve"> decision</w:t>
      </w:r>
      <w:r w:rsidRPr="00245C54" w:rsidR="00303616">
        <w:t xml:space="preserve">.  </w:t>
      </w:r>
      <w:r w:rsidRPr="00245C54" w:rsidR="009022C7">
        <w:t xml:space="preserve">Indeed, the United States Supreme Court’s decision in </w:t>
      </w:r>
      <w:r w:rsidRPr="00245C54" w:rsidR="009022C7">
        <w:rPr>
          <w:i/>
        </w:rPr>
        <w:t>Rivers v. Roadway Express</w:t>
      </w:r>
      <w:r w:rsidR="005B01A3">
        <w:rPr>
          <w:i/>
        </w:rPr>
        <w:t>,</w:t>
      </w:r>
      <w:r w:rsidRPr="00245C54" w:rsidR="009022C7">
        <w:rPr>
          <w:i/>
        </w:rPr>
        <w:t xml:space="preserve"> Inc., supra</w:t>
      </w:r>
      <w:r w:rsidRPr="00245C54" w:rsidR="009022C7">
        <w:t>, 511 U.S. 298, quoted above, involved just such a circumstance.  In that case, the high court held that its interpretation of a statutory term contained in the 1866 Civil Rights Act applied retroactively, notwithstanding the fact that a line of prior federal appellate court decisions</w:t>
      </w:r>
      <w:r w:rsidR="00AC7327">
        <w:t xml:space="preserve"> had set forth a contrary interpretation</w:t>
      </w:r>
      <w:r w:rsidRPr="00245C54" w:rsidR="009022C7">
        <w:t xml:space="preserve">.  </w:t>
      </w:r>
    </w:p>
    <w:p w:rsidR="00DD2045" w:rsidRPr="00FE0DC9" w:rsidP="00245C54">
      <w:pPr>
        <w:ind w:firstLine="720"/>
      </w:pPr>
      <w:r w:rsidRPr="00245C54">
        <w:t xml:space="preserve">California decisions </w:t>
      </w:r>
      <w:r w:rsidR="007019C9">
        <w:t>apply</w:t>
      </w:r>
      <w:r w:rsidRPr="00245C54" w:rsidR="007019C9">
        <w:t xml:space="preserve"> </w:t>
      </w:r>
      <w:r w:rsidRPr="00245C54">
        <w:t xml:space="preserve">this same rule.  </w:t>
      </w:r>
      <w:r w:rsidRPr="00245C54" w:rsidR="00F2263B">
        <w:t xml:space="preserve">In </w:t>
      </w:r>
      <w:r w:rsidRPr="00245C54" w:rsidR="00102DE6">
        <w:rPr>
          <w:i/>
        </w:rPr>
        <w:t xml:space="preserve">In re Retirement Cases </w:t>
      </w:r>
      <w:r w:rsidRPr="00245C54" w:rsidR="00102DE6">
        <w:t>(2003) 110</w:t>
      </w:r>
      <w:r w:rsidR="00A36D32">
        <w:t> </w:t>
      </w:r>
      <w:r w:rsidRPr="00245C54" w:rsidR="00102DE6">
        <w:t>Cal.App.4th 426, 441</w:t>
      </w:r>
      <w:r w:rsidRPr="00245C54" w:rsidR="00C0738E">
        <w:rPr>
          <w:szCs w:val="26"/>
        </w:rPr>
        <w:t>–</w:t>
      </w:r>
      <w:r w:rsidRPr="00245C54" w:rsidR="00102DE6">
        <w:t>454</w:t>
      </w:r>
      <w:r w:rsidRPr="00245C54">
        <w:t xml:space="preserve">, for example, the </w:t>
      </w:r>
      <w:r w:rsidRPr="00245C54" w:rsidR="00BF1657">
        <w:t>C</w:t>
      </w:r>
      <w:r w:rsidRPr="00245C54">
        <w:t xml:space="preserve">ourt </w:t>
      </w:r>
      <w:r w:rsidRPr="00245C54" w:rsidR="00BF1657">
        <w:t xml:space="preserve">of Appeal </w:t>
      </w:r>
      <w:r w:rsidRPr="00245C54" w:rsidR="00120E94">
        <w:t>held</w:t>
      </w:r>
      <w:r w:rsidRPr="00245C54">
        <w:t xml:space="preserve"> that the California Supreme Court’s interpretation of a term in a pension statute in</w:t>
      </w:r>
      <w:r w:rsidRPr="00245C54" w:rsidR="00563F77">
        <w:t xml:space="preserve"> </w:t>
      </w:r>
      <w:r w:rsidRPr="00245C54" w:rsidR="00563F77">
        <w:rPr>
          <w:i/>
        </w:rPr>
        <w:t>Ventura County Deputy Sheriffs’ Assn. v. Board of Retirement</w:t>
      </w:r>
      <w:r w:rsidRPr="00245C54" w:rsidR="00563F77">
        <w:t xml:space="preserve"> (1997) 16</w:t>
      </w:r>
      <w:r w:rsidR="00174E7A">
        <w:t> </w:t>
      </w:r>
      <w:r w:rsidRPr="00245C54" w:rsidR="00563F77">
        <w:t>Cal.4th 483</w:t>
      </w:r>
      <w:r w:rsidRPr="00245C54" w:rsidR="00120E94">
        <w:t xml:space="preserve"> applied retroactively,</w:t>
      </w:r>
      <w:r w:rsidRPr="00245C54" w:rsidR="00563F77">
        <w:t xml:space="preserve"> </w:t>
      </w:r>
      <w:r w:rsidRPr="00245C54" w:rsidR="00120E94">
        <w:t xml:space="preserve">even though the </w:t>
      </w:r>
      <w:r w:rsidRPr="00245C54" w:rsidR="00120E94">
        <w:rPr>
          <w:i/>
        </w:rPr>
        <w:t xml:space="preserve">Ventura County </w:t>
      </w:r>
      <w:r w:rsidRPr="00245C54" w:rsidR="00120E94">
        <w:t>decision</w:t>
      </w:r>
      <w:r w:rsidRPr="00245C54" w:rsidR="00563F77">
        <w:t xml:space="preserve"> </w:t>
      </w:r>
      <w:r w:rsidRPr="00245C54" w:rsidR="00120E94">
        <w:t xml:space="preserve">explicitly rejected </w:t>
      </w:r>
      <w:r w:rsidRPr="00245C54" w:rsidR="00563F77">
        <w:t>an earlier contrary interpretation of the same statutory term by a</w:t>
      </w:r>
      <w:r w:rsidRPr="00245C54" w:rsidR="00BF1657">
        <w:t>nother</w:t>
      </w:r>
      <w:r w:rsidRPr="00245C54" w:rsidR="00563F77">
        <w:t xml:space="preserve"> </w:t>
      </w:r>
      <w:r w:rsidRPr="00245C54" w:rsidR="00BF1657">
        <w:t>appellate</w:t>
      </w:r>
      <w:r w:rsidRPr="00245C54" w:rsidR="00563F77">
        <w:t xml:space="preserve"> decision in </w:t>
      </w:r>
      <w:r w:rsidRPr="00245C54" w:rsidR="00563F77">
        <w:rPr>
          <w:i/>
        </w:rPr>
        <w:t xml:space="preserve">Guelfi v. Marin County Employees’ Retirement Assn. </w:t>
      </w:r>
      <w:r w:rsidRPr="00245C54" w:rsidR="00563F77">
        <w:t>(1983) 145 Cal.App.3d 297</w:t>
      </w:r>
      <w:r w:rsidRPr="00245C54" w:rsidR="00120E94">
        <w:t>.</w:t>
      </w:r>
      <w:r w:rsidR="00733AAD">
        <w:t xml:space="preserve">  </w:t>
      </w:r>
      <w:r w:rsidR="005F076D">
        <w:t xml:space="preserve">In </w:t>
      </w:r>
      <w:r w:rsidR="00733AAD">
        <w:rPr>
          <w:i/>
        </w:rPr>
        <w:t>Woolsey</w:t>
      </w:r>
      <w:r w:rsidR="00733AAD">
        <w:t xml:space="preserve">, </w:t>
      </w:r>
      <w:r w:rsidR="00733AAD">
        <w:rPr>
          <w:i/>
        </w:rPr>
        <w:t>supra</w:t>
      </w:r>
      <w:r w:rsidR="00733AAD">
        <w:t xml:space="preserve">, 3 Cal.4th </w:t>
      </w:r>
      <w:r w:rsidR="005F076D">
        <w:t xml:space="preserve">758, </w:t>
      </w:r>
      <w:r w:rsidR="00733AAD">
        <w:t>794</w:t>
      </w:r>
      <w:r w:rsidR="00710AFC">
        <w:t xml:space="preserve">, we reaffirmed the principle that </w:t>
      </w:r>
      <w:r w:rsidR="00950664">
        <w:t>“</w:t>
      </w:r>
      <w:r w:rsidR="00710AFC">
        <w:t>[t]</w:t>
      </w:r>
      <w:r w:rsidR="00950664">
        <w:t>he circumstance that our decision overrules prior decisions of the Court</w:t>
      </w:r>
      <w:r w:rsidR="004C579E">
        <w:t>s</w:t>
      </w:r>
      <w:r w:rsidR="00950664">
        <w:t xml:space="preserve"> of Appeal does not </w:t>
      </w:r>
      <w:r w:rsidR="00A80AAD">
        <w:t xml:space="preserve">in </w:t>
      </w:r>
      <w:r w:rsidR="00625766">
        <w:t>itself justify prospective application</w:t>
      </w:r>
      <w:r w:rsidR="004E62B1">
        <w:t xml:space="preserve">.”  </w:t>
      </w:r>
      <w:r w:rsidR="00637CC0">
        <w:t xml:space="preserve">We </w:t>
      </w:r>
      <w:r w:rsidR="00AA1FDA">
        <w:t>elaborated:  “An example of a decision which does not establish a new rule of law</w:t>
      </w:r>
      <w:r w:rsidR="00E63881">
        <w:t xml:space="preserve"> </w:t>
      </w:r>
      <w:r w:rsidR="00AA1FDA">
        <w:t>is one in which we give effect ‘to a statutory rule that courts had heretofore misconstrued</w:t>
      </w:r>
      <w:r w:rsidR="007E4982">
        <w:t xml:space="preserve"> [citation].’ ”</w:t>
      </w:r>
      <w:r w:rsidR="00FE0DC9">
        <w:t xml:space="preserve">  (</w:t>
      </w:r>
      <w:r w:rsidR="00FE0DC9">
        <w:rPr>
          <w:i/>
        </w:rPr>
        <w:t>Ibid.</w:t>
      </w:r>
      <w:r w:rsidR="00FE0DC9">
        <w:t>)</w:t>
      </w:r>
      <w:r w:rsidR="006C6263">
        <w:t xml:space="preserve">  </w:t>
      </w:r>
      <w:r w:rsidR="003E240D">
        <w:t>Such a decision applies retroactively, we concluded, b</w:t>
      </w:r>
      <w:r w:rsidR="00145697">
        <w:t xml:space="preserve">ecause </w:t>
      </w:r>
      <w:r w:rsidR="00BE64F9">
        <w:t>there is no</w:t>
      </w:r>
      <w:r w:rsidR="003E240D">
        <w:t xml:space="preserve"> </w:t>
      </w:r>
      <w:r w:rsidR="00145697">
        <w:t>material change in the law</w:t>
      </w:r>
      <w:r w:rsidR="005914C7">
        <w:t>.</w:t>
      </w:r>
      <w:r w:rsidR="00B11BC3">
        <w:t xml:space="preserve">  (</w:t>
      </w:r>
      <w:r w:rsidR="00B11BC3">
        <w:rPr>
          <w:i/>
        </w:rPr>
        <w:t>Ibid.</w:t>
      </w:r>
      <w:r w:rsidR="00B11BC3">
        <w:t>)</w:t>
      </w:r>
      <w:r w:rsidR="005914C7">
        <w:t xml:space="preserve">  </w:t>
      </w:r>
    </w:p>
    <w:p w:rsidR="00CD1131" w:rsidRPr="00C5701E" w:rsidP="00BB6D2A">
      <w:pPr>
        <w:ind w:firstLine="720"/>
      </w:pPr>
      <w:r w:rsidRPr="00245C54">
        <w:rPr>
          <w:i/>
        </w:rPr>
        <w:t>Dynamex</w:t>
      </w:r>
      <w:r w:rsidRPr="00245C54">
        <w:t xml:space="preserve"> </w:t>
      </w:r>
      <w:r w:rsidR="004C579E">
        <w:t xml:space="preserve">presented a </w:t>
      </w:r>
      <w:r w:rsidRPr="00245C54">
        <w:t xml:space="preserve">question of </w:t>
      </w:r>
      <w:r w:rsidR="004C579E">
        <w:t xml:space="preserve">first impression concerning </w:t>
      </w:r>
      <w:r w:rsidRPr="00245C54">
        <w:t xml:space="preserve">how </w:t>
      </w:r>
      <w:r w:rsidR="004C579E">
        <w:t>a</w:t>
      </w:r>
      <w:r w:rsidRPr="00245C54" w:rsidR="004C579E">
        <w:t xml:space="preserve"> </w:t>
      </w:r>
      <w:r w:rsidRPr="00245C54">
        <w:t>wage order’s suffer</w:t>
      </w:r>
      <w:r w:rsidRPr="00245C54" w:rsidR="00C013D0">
        <w:t xml:space="preserve"> </w:t>
      </w:r>
      <w:r w:rsidRPr="00245C54">
        <w:t>or</w:t>
      </w:r>
      <w:r w:rsidRPr="00245C54" w:rsidR="00C013D0">
        <w:t xml:space="preserve"> </w:t>
      </w:r>
      <w:r w:rsidRPr="00245C54">
        <w:t>permit</w:t>
      </w:r>
      <w:r w:rsidRPr="00245C54" w:rsidR="00C013D0">
        <w:t xml:space="preserve"> </w:t>
      </w:r>
      <w:r w:rsidRPr="00245C54">
        <w:t>to</w:t>
      </w:r>
      <w:r w:rsidRPr="00245C54" w:rsidR="00C013D0">
        <w:t xml:space="preserve"> </w:t>
      </w:r>
      <w:r w:rsidRPr="00245C54">
        <w:t>work standard should apply in the employee</w:t>
      </w:r>
      <w:r w:rsidRPr="00245C54" w:rsidR="00C013D0">
        <w:t xml:space="preserve"> </w:t>
      </w:r>
      <w:r w:rsidRPr="00245C54">
        <w:t>or</w:t>
      </w:r>
      <w:r w:rsidRPr="00245C54" w:rsidR="00C013D0">
        <w:t xml:space="preserve"> </w:t>
      </w:r>
      <w:r w:rsidRPr="00245C54">
        <w:t>independent</w:t>
      </w:r>
      <w:r w:rsidRPr="00245C54" w:rsidR="00C013D0">
        <w:t xml:space="preserve"> </w:t>
      </w:r>
      <w:r w:rsidRPr="00245C54">
        <w:t>contractor context</w:t>
      </w:r>
      <w:r w:rsidRPr="00245C54" w:rsidR="00120E94">
        <w:t xml:space="preserve">. </w:t>
      </w:r>
      <w:r w:rsidRPr="00245C54" w:rsidR="004C1185">
        <w:t xml:space="preserve"> </w:t>
      </w:r>
      <w:r w:rsidRPr="00245C54" w:rsidR="00120E94">
        <w:t>I</w:t>
      </w:r>
      <w:r w:rsidRPr="00245C54" w:rsidR="00503185">
        <w:t xml:space="preserve">n resolving that issue, </w:t>
      </w:r>
      <w:r w:rsidRPr="00245C54" w:rsidR="006356AD">
        <w:t>our</w:t>
      </w:r>
      <w:r w:rsidRPr="00245C54" w:rsidR="00503185">
        <w:t xml:space="preserve"> decision in </w:t>
      </w:r>
      <w:r w:rsidRPr="00245C54" w:rsidR="00503185">
        <w:rPr>
          <w:i/>
        </w:rPr>
        <w:t xml:space="preserve">Dynamex </w:t>
      </w:r>
      <w:r w:rsidRPr="00245C54" w:rsidR="00503185">
        <w:t xml:space="preserve">did not overrule any prior California Supreme Court decision or disapprove any prior California Court of Appeal decision.  Thus, </w:t>
      </w:r>
      <w:r w:rsidRPr="00245C54" w:rsidR="004C1185">
        <w:t xml:space="preserve">the </w:t>
      </w:r>
      <w:r w:rsidRPr="00245C54" w:rsidR="00503185">
        <w:t xml:space="preserve">well-established </w:t>
      </w:r>
      <w:r w:rsidRPr="00245C54" w:rsidR="005933AD">
        <w:t xml:space="preserve">general </w:t>
      </w:r>
      <w:r w:rsidRPr="00245C54" w:rsidR="00503185">
        <w:t xml:space="preserve">principle </w:t>
      </w:r>
      <w:r w:rsidRPr="00245C54" w:rsidR="00E836EE">
        <w:t>affirm</w:t>
      </w:r>
      <w:r w:rsidRPr="00245C54" w:rsidR="00120E94">
        <w:t>ing</w:t>
      </w:r>
      <w:r w:rsidRPr="00245C54" w:rsidR="00503185">
        <w:t xml:space="preserve"> the retroactive application of judicial decisions interpreting legislative measures support</w:t>
      </w:r>
      <w:r w:rsidRPr="00245C54" w:rsidR="00784888">
        <w:t>s</w:t>
      </w:r>
      <w:r w:rsidRPr="00245C54" w:rsidR="00503185">
        <w:t xml:space="preserve"> the retroactive application of </w:t>
      </w:r>
      <w:r w:rsidRPr="00245C54" w:rsidR="00503185">
        <w:rPr>
          <w:i/>
        </w:rPr>
        <w:t>Dynamex</w:t>
      </w:r>
      <w:r w:rsidRPr="00245C54" w:rsidR="00503185">
        <w:t>.</w:t>
      </w:r>
      <w:r w:rsidR="00BC53EB">
        <w:t xml:space="preserve"> </w:t>
      </w:r>
    </w:p>
    <w:p w:rsidR="00503185" w:rsidRPr="00245C54" w:rsidP="00245C54">
      <w:pPr>
        <w:pStyle w:val="Heading1"/>
        <w:ind w:left="1800" w:right="1800"/>
      </w:pPr>
      <w:r w:rsidRPr="00245C54">
        <w:t xml:space="preserve">II.  </w:t>
      </w:r>
      <w:r w:rsidRPr="00245C54">
        <w:t xml:space="preserve">No Exception to the Retroactivity of </w:t>
      </w:r>
      <w:r w:rsidRPr="00245C54">
        <w:rPr>
          <w:i/>
          <w:iCs/>
        </w:rPr>
        <w:t>Dynamex</w:t>
      </w:r>
      <w:r w:rsidRPr="00245C54">
        <w:t xml:space="preserve"> </w:t>
      </w:r>
      <w:r w:rsidRPr="00245C54" w:rsidR="00CD1131">
        <w:t>is Justified</w:t>
      </w:r>
    </w:p>
    <w:p w:rsidR="00073EB2" w:rsidRPr="00245C54" w:rsidP="00245C54">
      <w:pPr>
        <w:ind w:firstLine="720"/>
      </w:pPr>
      <w:r>
        <w:t>Defendant</w:t>
      </w:r>
      <w:r w:rsidRPr="00245C54" w:rsidR="00E836EE">
        <w:t xml:space="preserve"> argues that an exception to the general retroactivity principle should be applied here because</w:t>
      </w:r>
      <w:r w:rsidRPr="00245C54" w:rsidR="00B914E4">
        <w:t xml:space="preserve">, prior to </w:t>
      </w:r>
      <w:r w:rsidRPr="00245C54" w:rsidR="00B914E4">
        <w:rPr>
          <w:i/>
        </w:rPr>
        <w:t>Dynamex</w:t>
      </w:r>
      <w:r w:rsidRPr="00245C54" w:rsidR="00B914E4">
        <w:t xml:space="preserve">, businesses could not reasonably have anticipated </w:t>
      </w:r>
      <w:r w:rsidRPr="00245C54" w:rsidR="005C7C22">
        <w:t xml:space="preserve">that </w:t>
      </w:r>
      <w:r w:rsidRPr="00245C54" w:rsidR="00B914E4">
        <w:t xml:space="preserve">the </w:t>
      </w:r>
      <w:r w:rsidRPr="00245C54" w:rsidR="00F663E4">
        <w:t xml:space="preserve">ABC test </w:t>
      </w:r>
      <w:r w:rsidRPr="00245C54" w:rsidR="005C7C22">
        <w:t>would govern</w:t>
      </w:r>
      <w:r w:rsidRPr="00245C54" w:rsidR="00B914E4">
        <w:rPr>
          <w:i/>
        </w:rPr>
        <w:t xml:space="preserve"> </w:t>
      </w:r>
      <w:r w:rsidR="004F743C">
        <w:t xml:space="preserve">at the time </w:t>
      </w:r>
      <w:r w:rsidRPr="00245C54" w:rsidR="00B914E4">
        <w:t xml:space="preserve">when they classified workers as independent contractors rather than employees.  </w:t>
      </w:r>
      <w:r>
        <w:t>Defendant</w:t>
      </w:r>
      <w:r w:rsidRPr="00245C54" w:rsidR="00B914E4">
        <w:t xml:space="preserve"> relies on past cases </w:t>
      </w:r>
      <w:r w:rsidRPr="00245C54" w:rsidR="005933AD">
        <w:t>noting</w:t>
      </w:r>
      <w:r w:rsidRPr="00245C54" w:rsidR="00B914E4">
        <w:t xml:space="preserve"> that “narrow exceptions to the general rule of retroactivity [have been recognized] when considerations of fairness and public policy are so compelling in a particular case that, on balance, they outweigh the considerations that underlie the basic rule.”  (</w:t>
      </w:r>
      <w:r w:rsidRPr="00245C54" w:rsidR="00B914E4">
        <w:rPr>
          <w:i/>
        </w:rPr>
        <w:t>Newman</w:t>
      </w:r>
      <w:r w:rsidRPr="00245C54" w:rsidR="001A2BD3">
        <w:t xml:space="preserve">, </w:t>
      </w:r>
      <w:r w:rsidRPr="00245C54" w:rsidR="001A2BD3">
        <w:rPr>
          <w:i/>
        </w:rPr>
        <w:t>supra</w:t>
      </w:r>
      <w:r w:rsidRPr="00245C54" w:rsidR="001A2BD3">
        <w:t>,</w:t>
      </w:r>
      <w:r w:rsidRPr="00245C54" w:rsidR="00B914E4">
        <w:rPr>
          <w:i/>
        </w:rPr>
        <w:t xml:space="preserve"> </w:t>
      </w:r>
      <w:r w:rsidRPr="00245C54" w:rsidR="00B914E4">
        <w:t xml:space="preserve">48 Cal.3d </w:t>
      </w:r>
      <w:r w:rsidRPr="00245C54" w:rsidR="001A2BD3">
        <w:t>at p.</w:t>
      </w:r>
      <w:r w:rsidRPr="00245C54" w:rsidR="00B914E4">
        <w:t xml:space="preserve"> 983; see, e.g., </w:t>
      </w:r>
      <w:r w:rsidRPr="00245C54" w:rsidR="00B914E4">
        <w:rPr>
          <w:i/>
        </w:rPr>
        <w:t xml:space="preserve">Williams &amp; Fickett v. County of Fresno </w:t>
      </w:r>
      <w:r w:rsidRPr="00245C54" w:rsidR="00B914E4">
        <w:t>(2017) 2 Cal</w:t>
      </w:r>
      <w:r w:rsidRPr="00245C54" w:rsidR="00C013D0">
        <w:t>.</w:t>
      </w:r>
      <w:r w:rsidRPr="00245C54" w:rsidR="00B914E4">
        <w:t xml:space="preserve">5th 1258, 1282; </w:t>
      </w:r>
      <w:r w:rsidRPr="00245C54" w:rsidR="00B914E4">
        <w:rPr>
          <w:i/>
        </w:rPr>
        <w:t>Claxton</w:t>
      </w:r>
      <w:r w:rsidR="004F743C">
        <w:t xml:space="preserve"> </w:t>
      </w:r>
      <w:r w:rsidR="004F743C">
        <w:rPr>
          <w:i/>
        </w:rPr>
        <w:t>v. Waters</w:t>
      </w:r>
      <w:r w:rsidR="004F743C">
        <w:t xml:space="preserve"> (2004)</w:t>
      </w:r>
      <w:r w:rsidRPr="00245C54" w:rsidR="00B914E4">
        <w:rPr>
          <w:i/>
        </w:rPr>
        <w:t xml:space="preserve"> </w:t>
      </w:r>
      <w:r w:rsidRPr="00245C54" w:rsidR="00B914E4">
        <w:t>34</w:t>
      </w:r>
      <w:r w:rsidRPr="00245C54" w:rsidR="005A0DF3">
        <w:t> </w:t>
      </w:r>
      <w:r w:rsidRPr="00245C54" w:rsidR="00B914E4">
        <w:t xml:space="preserve">Cal.4th </w:t>
      </w:r>
      <w:r w:rsidR="004F743C">
        <w:t xml:space="preserve">367, </w:t>
      </w:r>
      <w:r w:rsidRPr="00245C54" w:rsidR="00B914E4">
        <w:t>378</w:t>
      </w:r>
      <w:r w:rsidRPr="00245C54" w:rsidR="00C0738E">
        <w:rPr>
          <w:szCs w:val="26"/>
        </w:rPr>
        <w:t>–</w:t>
      </w:r>
      <w:r w:rsidRPr="00245C54" w:rsidR="00B914E4">
        <w:t>379.)</w:t>
      </w:r>
      <w:r w:rsidR="00F555E7">
        <w:t xml:space="preserve"> </w:t>
      </w:r>
      <w:r w:rsidR="008E6B66">
        <w:t xml:space="preserve"> </w:t>
      </w:r>
      <w:r w:rsidR="002A4058">
        <w:t xml:space="preserve">This </w:t>
      </w:r>
      <w:r w:rsidR="00981C7C">
        <w:t>recognized exception arises</w:t>
      </w:r>
      <w:r w:rsidR="00667785">
        <w:t xml:space="preserve"> </w:t>
      </w:r>
      <w:r w:rsidR="00981C7C">
        <w:t>“</w:t>
      </w:r>
      <w:r w:rsidR="00336FA0">
        <w:t> ‘</w:t>
      </w:r>
      <w:r w:rsidR="00981C7C">
        <w:t>when a judicial decision changes a settled rule on which the parties below have relied.</w:t>
      </w:r>
      <w:r w:rsidR="00336FA0">
        <w:t>’ </w:t>
      </w:r>
      <w:r w:rsidR="00981C7C">
        <w:t>”  (</w:t>
      </w:r>
      <w:r w:rsidR="00336FA0">
        <w:rPr>
          <w:i/>
        </w:rPr>
        <w:t>Claxton</w:t>
      </w:r>
      <w:r w:rsidR="00336FA0">
        <w:t>, at p. 37</w:t>
      </w:r>
      <w:r w:rsidR="00913D97">
        <w:t>8</w:t>
      </w:r>
      <w:r w:rsidR="009126D5">
        <w:t>;</w:t>
      </w:r>
      <w:r w:rsidR="00F555E7">
        <w:t xml:space="preserve"> </w:t>
      </w:r>
      <w:r w:rsidR="009126D5">
        <w:t xml:space="preserve">see also </w:t>
      </w:r>
      <w:r w:rsidR="00F555E7">
        <w:rPr>
          <w:i/>
        </w:rPr>
        <w:t xml:space="preserve">Alvarado v. Dart Container Corp. of California </w:t>
      </w:r>
      <w:r w:rsidR="00F555E7">
        <w:t xml:space="preserve">(2018) 5 Cal.4th 542, 572 </w:t>
      </w:r>
      <w:r w:rsidR="00D747E3">
        <w:t>(</w:t>
      </w:r>
      <w:r w:rsidR="00D747E3">
        <w:rPr>
          <w:i/>
        </w:rPr>
        <w:t>Alvarado</w:t>
      </w:r>
      <w:r w:rsidR="00D747E3">
        <w:t xml:space="preserve">) </w:t>
      </w:r>
      <w:r w:rsidR="00F555E7">
        <w:t>[</w:t>
      </w:r>
      <w:r w:rsidR="009126D5">
        <w:t>same</w:t>
      </w:r>
      <w:r w:rsidR="00F555E7">
        <w:t>];</w:t>
      </w:r>
      <w:r w:rsidR="00503EBA">
        <w:rPr>
          <w:i/>
        </w:rPr>
        <w:t xml:space="preserve"> </w:t>
      </w:r>
      <w:r w:rsidR="00AA504F">
        <w:rPr>
          <w:i/>
        </w:rPr>
        <w:t>Williams &amp; Fickett</w:t>
      </w:r>
      <w:r w:rsidR="00AA504F">
        <w:t>, at p.</w:t>
      </w:r>
      <w:r w:rsidR="005577B5">
        <w:t> </w:t>
      </w:r>
      <w:r w:rsidR="008133CA">
        <w:t>1282 [same]</w:t>
      </w:r>
      <w:r w:rsidR="00604CFF">
        <w:t xml:space="preserve">; </w:t>
      </w:r>
      <w:r w:rsidR="00604CFF">
        <w:rPr>
          <w:i/>
        </w:rPr>
        <w:t>Waller</w:t>
      </w:r>
      <w:r w:rsidR="00604CFF">
        <w:t xml:space="preserve">, </w:t>
      </w:r>
      <w:r w:rsidR="00604CFF">
        <w:rPr>
          <w:i/>
        </w:rPr>
        <w:t>supra</w:t>
      </w:r>
      <w:r w:rsidR="00604CFF">
        <w:t>, 11</w:t>
      </w:r>
      <w:r w:rsidR="005577B5">
        <w:t> </w:t>
      </w:r>
      <w:r w:rsidR="00604CFF">
        <w:t>Cal.4th at p.</w:t>
      </w:r>
      <w:r w:rsidR="005577B5">
        <w:t> </w:t>
      </w:r>
      <w:r w:rsidR="00604CFF">
        <w:t>25</w:t>
      </w:r>
      <w:r w:rsidR="008707B7">
        <w:t xml:space="preserve"> [judicial decision </w:t>
      </w:r>
      <w:r w:rsidR="00B86226">
        <w:t>“clarif[ying]” the law applies retroactively]</w:t>
      </w:r>
      <w:r w:rsidR="00F555E7">
        <w:t>.)</w:t>
      </w:r>
    </w:p>
    <w:p w:rsidR="00B55C79" w:rsidRPr="00245C54" w:rsidP="00245C54">
      <w:pPr>
        <w:ind w:firstLine="720"/>
      </w:pPr>
      <w:r w:rsidRPr="00245C54">
        <w:t xml:space="preserve">In support of its position, </w:t>
      </w:r>
      <w:r w:rsidR="000D799F">
        <w:t>defendant</w:t>
      </w:r>
      <w:r w:rsidRPr="00245C54">
        <w:t xml:space="preserve"> </w:t>
      </w:r>
      <w:r w:rsidRPr="00245C54" w:rsidR="006B7683">
        <w:t xml:space="preserve">initially </w:t>
      </w:r>
      <w:r w:rsidRPr="00245C54">
        <w:t xml:space="preserve">contends that prior to </w:t>
      </w:r>
      <w:r w:rsidRPr="00245C54">
        <w:rPr>
          <w:i/>
        </w:rPr>
        <w:t>Dynamex</w:t>
      </w:r>
      <w:r w:rsidRPr="00245C54">
        <w:t>, it</w:t>
      </w:r>
      <w:r w:rsidRPr="00245C54" w:rsidR="00F30FB2">
        <w:t xml:space="preserve"> — </w:t>
      </w:r>
      <w:r w:rsidRPr="00245C54" w:rsidR="006B7683">
        <w:t xml:space="preserve">assertedly </w:t>
      </w:r>
      <w:r w:rsidRPr="00245C54">
        <w:t>like other California businesses</w:t>
      </w:r>
      <w:r w:rsidRPr="00245C54" w:rsidR="00F30FB2">
        <w:t xml:space="preserve"> — </w:t>
      </w:r>
      <w:r w:rsidRPr="00245C54">
        <w:t xml:space="preserve">reasonably believed that the question </w:t>
      </w:r>
      <w:r w:rsidR="00E34C36">
        <w:t xml:space="preserve">of </w:t>
      </w:r>
      <w:r w:rsidRPr="00245C54">
        <w:t xml:space="preserve">whether a worker should be considered an employee or an independent contractor would be determined by application of the standard set forth and applied in this court’s decision in </w:t>
      </w:r>
      <w:r w:rsidRPr="00245C54">
        <w:rPr>
          <w:i/>
        </w:rPr>
        <w:t>Borello</w:t>
      </w:r>
      <w:r w:rsidRPr="00245C54">
        <w:t xml:space="preserve">, </w:t>
      </w:r>
      <w:r w:rsidRPr="00245C54">
        <w:rPr>
          <w:i/>
        </w:rPr>
        <w:t>supra</w:t>
      </w:r>
      <w:r w:rsidRPr="00245C54">
        <w:t xml:space="preserve">, </w:t>
      </w:r>
      <w:r w:rsidRPr="00245C54" w:rsidR="00E65C47">
        <w:t xml:space="preserve">48 Cal.3d 341.  Under these circumstances, </w:t>
      </w:r>
      <w:r w:rsidR="000D799F">
        <w:t>defendant</w:t>
      </w:r>
      <w:r w:rsidRPr="00245C54" w:rsidR="00E65C47">
        <w:t xml:space="preserve"> maintains that it would be unfair to apply the </w:t>
      </w:r>
      <w:r w:rsidRPr="00245C54" w:rsidR="004C1185">
        <w:t xml:space="preserve">ABC standard adopted in the </w:t>
      </w:r>
      <w:r w:rsidRPr="00245C54" w:rsidR="00E65C47">
        <w:rPr>
          <w:i/>
        </w:rPr>
        <w:t xml:space="preserve">Dynamex </w:t>
      </w:r>
      <w:r w:rsidRPr="00245C54" w:rsidR="00E65C47">
        <w:t>decision</w:t>
      </w:r>
      <w:r w:rsidRPr="00245C54" w:rsidR="006B7683">
        <w:t xml:space="preserve">, rather than the </w:t>
      </w:r>
      <w:r w:rsidRPr="00245C54" w:rsidR="006B7683">
        <w:rPr>
          <w:i/>
        </w:rPr>
        <w:t xml:space="preserve">Borello </w:t>
      </w:r>
      <w:r w:rsidRPr="00245C54" w:rsidR="006B7683">
        <w:t>standard,</w:t>
      </w:r>
      <w:r w:rsidRPr="00245C54" w:rsidR="00E65C47">
        <w:t xml:space="preserve"> </w:t>
      </w:r>
      <w:r w:rsidRPr="00245C54" w:rsidR="004C1185">
        <w:t xml:space="preserve">to </w:t>
      </w:r>
      <w:r w:rsidR="00E235E5">
        <w:t>nonfinal cases</w:t>
      </w:r>
      <w:r w:rsidRPr="00245C54" w:rsidR="004C1185">
        <w:t xml:space="preserve"> that predate the </w:t>
      </w:r>
      <w:r w:rsidRPr="00245C54" w:rsidR="004C1185">
        <w:rPr>
          <w:i/>
        </w:rPr>
        <w:t>Dynamex</w:t>
      </w:r>
      <w:r w:rsidRPr="00245C54" w:rsidR="004C1185">
        <w:t xml:space="preserve"> decision</w:t>
      </w:r>
      <w:r w:rsidRPr="00245C54" w:rsidR="00E65C47">
        <w:t>.</w:t>
      </w:r>
      <w:r w:rsidRPr="00245C54" w:rsidR="00784888">
        <w:t xml:space="preserve">  </w:t>
      </w:r>
      <w:r w:rsidRPr="00245C54" w:rsidR="00E65C47">
        <w:t>For the reasons discussed below, we disagree that an exception to the</w:t>
      </w:r>
      <w:r w:rsidRPr="00245C54" w:rsidR="00F30FB2">
        <w:t xml:space="preserve"> general</w:t>
      </w:r>
      <w:r w:rsidRPr="00245C54" w:rsidR="00E65C47">
        <w:t xml:space="preserve"> rule of retroactivity is warranted</w:t>
      </w:r>
      <w:r w:rsidRPr="00245C54">
        <w:t xml:space="preserve"> on this theory</w:t>
      </w:r>
      <w:r w:rsidRPr="00245C54" w:rsidR="00E65C47">
        <w:t>.</w:t>
      </w:r>
    </w:p>
    <w:p w:rsidR="00322006" w:rsidRPr="00245C54" w:rsidP="002C34A0">
      <w:pPr>
        <w:ind w:firstLine="720"/>
        <w:contextualSpacing/>
      </w:pPr>
      <w:r w:rsidRPr="00245C54">
        <w:t>To begin with</w:t>
      </w:r>
      <w:r w:rsidRPr="00245C54" w:rsidR="00B55C79">
        <w:t>, it is important to understand that California</w:t>
      </w:r>
      <w:r w:rsidRPr="00245C54" w:rsidR="00DC5795">
        <w:t>’s</w:t>
      </w:r>
      <w:r w:rsidRPr="00245C54" w:rsidR="00B55C79">
        <w:t xml:space="preserve"> wage orders have included the suffer or permit to work standard as one basis for defining who should be treated as </w:t>
      </w:r>
      <w:r w:rsidRPr="00245C54" w:rsidR="00F30FB2">
        <w:t xml:space="preserve">an </w:t>
      </w:r>
      <w:r w:rsidRPr="00245C54" w:rsidR="00B55C79">
        <w:t xml:space="preserve">employee for purposes of the wage order for more than a century.  </w:t>
      </w:r>
      <w:r w:rsidRPr="00E235E5" w:rsidR="00B55C79">
        <w:t>(</w:t>
      </w:r>
      <w:r w:rsidRPr="00E235E5" w:rsidR="00647616">
        <w:rPr>
          <w:i/>
        </w:rPr>
        <w:t>Martinez</w:t>
      </w:r>
      <w:r w:rsidRPr="00E235E5" w:rsidR="009E56B7">
        <w:t xml:space="preserve">, </w:t>
      </w:r>
      <w:r w:rsidRPr="00E235E5" w:rsidR="009E56B7">
        <w:rPr>
          <w:i/>
        </w:rPr>
        <w:t>supra</w:t>
      </w:r>
      <w:r w:rsidRPr="00E235E5" w:rsidR="009E56B7">
        <w:t>,</w:t>
      </w:r>
      <w:r w:rsidRPr="00E235E5" w:rsidR="00647616">
        <w:rPr>
          <w:i/>
        </w:rPr>
        <w:t xml:space="preserve"> </w:t>
      </w:r>
      <w:r w:rsidRPr="00E235E5" w:rsidR="00647616">
        <w:t>49</w:t>
      </w:r>
      <w:r w:rsidR="005577B5">
        <w:t> </w:t>
      </w:r>
      <w:r w:rsidRPr="00E235E5" w:rsidR="00647616">
        <w:t xml:space="preserve">Cal.4th </w:t>
      </w:r>
      <w:r w:rsidRPr="00E235E5" w:rsidR="009E56B7">
        <w:t>at pp.</w:t>
      </w:r>
      <w:r w:rsidR="005577B5">
        <w:t> </w:t>
      </w:r>
      <w:r w:rsidRPr="00E235E5" w:rsidR="00647616">
        <w:t>57</w:t>
      </w:r>
      <w:r w:rsidRPr="00E235E5" w:rsidR="00647616">
        <w:rPr>
          <w:szCs w:val="26"/>
        </w:rPr>
        <w:t>–</w:t>
      </w:r>
      <w:r w:rsidRPr="00E235E5" w:rsidR="00647616">
        <w:t>58</w:t>
      </w:r>
      <w:r w:rsidRPr="00E235E5" w:rsidR="00B55C79">
        <w:t>.)</w:t>
      </w:r>
      <w:r w:rsidRPr="00245C54" w:rsidR="006B7683">
        <w:t xml:space="preserve">  </w:t>
      </w:r>
      <w:r w:rsidRPr="00245C54" w:rsidR="00FF2735">
        <w:t>Additionally, at</w:t>
      </w:r>
      <w:r w:rsidRPr="00245C54" w:rsidR="00B55C79">
        <w:t xml:space="preserve"> least </w:t>
      </w:r>
      <w:r w:rsidRPr="00245C54" w:rsidR="00FF2735">
        <w:t>since</w:t>
      </w:r>
      <w:r w:rsidRPr="00245C54" w:rsidR="00B55C79">
        <w:t xml:space="preserve"> the 1930s, th</w:t>
      </w:r>
      <w:r w:rsidRPr="00245C54" w:rsidR="006B7683">
        <w:t>e suffer or permit to work</w:t>
      </w:r>
      <w:r w:rsidRPr="00245C54" w:rsidR="00B55C79">
        <w:t xml:space="preserve"> </w:t>
      </w:r>
      <w:r w:rsidRPr="00245C54" w:rsidR="00C013D0">
        <w:t>standard</w:t>
      </w:r>
      <w:r w:rsidRPr="00245C54" w:rsidR="00B55C79">
        <w:t xml:space="preserve"> ha</w:t>
      </w:r>
      <w:r w:rsidRPr="00245C54" w:rsidR="00C013D0">
        <w:t>s</w:t>
      </w:r>
      <w:r w:rsidRPr="00245C54" w:rsidR="00B55C79">
        <w:t xml:space="preserve"> been understood as embodying “</w:t>
      </w:r>
      <w:r w:rsidR="00C47C99">
        <w:t> ‘</w:t>
      </w:r>
      <w:r w:rsidRPr="00245C54" w:rsidR="00B55C79">
        <w:t>the broadest definition</w:t>
      </w:r>
      <w:r w:rsidR="00C47C99">
        <w:t>’ </w:t>
      </w:r>
      <w:r w:rsidRPr="00245C54" w:rsidR="00B55C79">
        <w:t>” of employment for extending coverage of a social welfare statute.  (</w:t>
      </w:r>
      <w:r w:rsidRPr="00245C54" w:rsidR="00B55C79">
        <w:rPr>
          <w:i/>
        </w:rPr>
        <w:t>Dynamex</w:t>
      </w:r>
      <w:r w:rsidRPr="00245C54" w:rsidR="00B55C79">
        <w:t xml:space="preserve">, </w:t>
      </w:r>
      <w:r w:rsidRPr="00245C54" w:rsidR="005550DF">
        <w:rPr>
          <w:i/>
        </w:rPr>
        <w:t>supra</w:t>
      </w:r>
      <w:r w:rsidRPr="00245C54" w:rsidR="005550DF">
        <w:t>,</w:t>
      </w:r>
      <w:r w:rsidRPr="00245C54" w:rsidR="005550DF">
        <w:rPr>
          <w:i/>
        </w:rPr>
        <w:t xml:space="preserve"> </w:t>
      </w:r>
      <w:r w:rsidRPr="00245C54" w:rsidR="00B55C79">
        <w:t xml:space="preserve">4 Cal.5th at </w:t>
      </w:r>
      <w:r w:rsidR="00C47C99">
        <w:t xml:space="preserve">p. 951; see </w:t>
      </w:r>
      <w:r w:rsidR="00C47C99">
        <w:rPr>
          <w:i/>
        </w:rPr>
        <w:t xml:space="preserve">id. </w:t>
      </w:r>
      <w:r w:rsidR="00C47C99">
        <w:t xml:space="preserve">at </w:t>
      </w:r>
      <w:r w:rsidRPr="00245C54" w:rsidR="00B55C79">
        <w:t>pp.</w:t>
      </w:r>
      <w:r w:rsidR="00A36D32">
        <w:t> </w:t>
      </w:r>
      <w:r w:rsidRPr="00245C54" w:rsidR="00B55C79">
        <w:t>950</w:t>
      </w:r>
      <w:r w:rsidRPr="00245C54" w:rsidR="00C0738E">
        <w:rPr>
          <w:szCs w:val="26"/>
        </w:rPr>
        <w:t>–</w:t>
      </w:r>
      <w:r w:rsidRPr="00245C54" w:rsidR="00B55C79">
        <w:t xml:space="preserve">951 [citing </w:t>
      </w:r>
      <w:r w:rsidRPr="00245C54" w:rsidR="00B55C79">
        <w:rPr>
          <w:i/>
        </w:rPr>
        <w:t xml:space="preserve">United States v. Rosenwasser </w:t>
      </w:r>
      <w:r w:rsidRPr="00245C54" w:rsidR="00B55C79">
        <w:t>(1945) 323 U.S. 360, 363, fn. 3, quoting language of then-Senator (later United States Supreme Court justice) Hugo L. Black in describing the incorporation of the suffer or permit to work standard in the federal Fair Labor Standards Act as adopted in 1937].)</w:t>
      </w:r>
    </w:p>
    <w:p w:rsidR="00B55C79" w:rsidRPr="00245C54" w:rsidP="00F54F3B">
      <w:pPr>
        <w:ind w:firstLine="720"/>
        <w:contextualSpacing/>
      </w:pPr>
      <w:r>
        <w:t>Defendant</w:t>
      </w:r>
      <w:r w:rsidRPr="00245C54" w:rsidR="00490D11">
        <w:t xml:space="preserve"> </w:t>
      </w:r>
      <w:r w:rsidRPr="00245C54" w:rsidR="00F864D6">
        <w:t>conten</w:t>
      </w:r>
      <w:r w:rsidR="00F864D6">
        <w:t>ds</w:t>
      </w:r>
      <w:r w:rsidRPr="00245C54" w:rsidR="00F864D6">
        <w:t xml:space="preserve"> </w:t>
      </w:r>
      <w:r w:rsidRPr="00245C54" w:rsidR="00B4485A">
        <w:t xml:space="preserve">that </w:t>
      </w:r>
      <w:r w:rsidRPr="00245C54">
        <w:t xml:space="preserve">prior to </w:t>
      </w:r>
      <w:r w:rsidRPr="00245C54">
        <w:rPr>
          <w:i/>
        </w:rPr>
        <w:t>Dynamex</w:t>
      </w:r>
      <w:r w:rsidR="00490D11">
        <w:t>,</w:t>
      </w:r>
      <w:r w:rsidRPr="00245C54">
        <w:rPr>
          <w:i/>
        </w:rPr>
        <w:t xml:space="preserve"> </w:t>
      </w:r>
      <w:r w:rsidRPr="00245C54">
        <w:t xml:space="preserve">a putative employer </w:t>
      </w:r>
      <w:r w:rsidRPr="00245C54" w:rsidR="00227D29">
        <w:t>would have</w:t>
      </w:r>
      <w:r w:rsidRPr="00245C54">
        <w:t xml:space="preserve"> </w:t>
      </w:r>
      <w:r w:rsidRPr="00245C54" w:rsidR="007F6CF9">
        <w:t xml:space="preserve">reasonably </w:t>
      </w:r>
      <w:r w:rsidRPr="00245C54">
        <w:t>anticipate</w:t>
      </w:r>
      <w:r w:rsidRPr="00245C54" w:rsidR="00227D29">
        <w:t>d</w:t>
      </w:r>
      <w:r w:rsidRPr="00245C54">
        <w:t xml:space="preserve"> that the question whether a worker should properly be classified as an employee or independent contractor for purposes of the obligations imposed by an applicable wage order would be governed </w:t>
      </w:r>
      <w:r w:rsidRPr="00245C54" w:rsidR="005E22E4">
        <w:t>by</w:t>
      </w:r>
      <w:r w:rsidRPr="00245C54">
        <w:t xml:space="preserve"> </w:t>
      </w:r>
      <w:r w:rsidRPr="00245C54" w:rsidR="005E22E4">
        <w:t xml:space="preserve">the </w:t>
      </w:r>
      <w:r w:rsidRPr="00245C54">
        <w:rPr>
          <w:i/>
        </w:rPr>
        <w:t>Borello</w:t>
      </w:r>
      <w:r w:rsidRPr="00245C54" w:rsidR="005E22E4">
        <w:rPr>
          <w:iCs/>
        </w:rPr>
        <w:t xml:space="preserve"> decision</w:t>
      </w:r>
      <w:r w:rsidRPr="00245C54" w:rsidR="00851769">
        <w:t xml:space="preserve">.  </w:t>
      </w:r>
      <w:r w:rsidR="001E3485">
        <w:t>But</w:t>
      </w:r>
      <w:r w:rsidR="00673C9E">
        <w:t>, as noted above,</w:t>
      </w:r>
      <w:r w:rsidR="001E3485">
        <w:t xml:space="preserve"> </w:t>
      </w:r>
      <w:r w:rsidRPr="00245C54">
        <w:rPr>
          <w:i/>
        </w:rPr>
        <w:t xml:space="preserve">Borello </w:t>
      </w:r>
      <w:r w:rsidRPr="00245C54">
        <w:t xml:space="preserve">was not a wage order case and </w:t>
      </w:r>
      <w:r w:rsidRPr="00245C54" w:rsidR="006B7683">
        <w:t xml:space="preserve">that decision </w:t>
      </w:r>
      <w:r w:rsidRPr="00245C54">
        <w:t>did not purport to determine who should be interpreted to be an employee for purposes of a wage order.</w:t>
      </w:r>
      <w:r w:rsidR="00354D87">
        <w:t xml:space="preserve"> </w:t>
      </w:r>
      <w:r w:rsidR="001202EC">
        <w:t xml:space="preserve"> </w:t>
      </w:r>
      <w:r w:rsidR="00323866">
        <w:t xml:space="preserve">We resolved this question for the first time in </w:t>
      </w:r>
      <w:r w:rsidR="00323866">
        <w:rPr>
          <w:i/>
        </w:rPr>
        <w:t>Dynamex</w:t>
      </w:r>
      <w:r w:rsidR="00323866">
        <w:t xml:space="preserve">. </w:t>
      </w:r>
      <w:r w:rsidR="00323866">
        <w:rPr>
          <w:i/>
        </w:rPr>
        <w:t xml:space="preserve"> </w:t>
      </w:r>
      <w:r w:rsidR="00354D87">
        <w:t>“</w:t>
      </w:r>
      <w:r w:rsidRPr="00587B3D" w:rsidR="00354D87">
        <w:t xml:space="preserve">Because the relevant portion of </w:t>
      </w:r>
      <w:r w:rsidR="00354D87">
        <w:t>[</w:t>
      </w:r>
      <w:r w:rsidR="00824EBB">
        <w:t>the opinion</w:t>
      </w:r>
      <w:r w:rsidR="00354D87">
        <w:t>]</w:t>
      </w:r>
      <w:r w:rsidRPr="00587B3D" w:rsidR="00354D87">
        <w:t xml:space="preserve"> did not address an area in which this court had previously issued a definitive decision, from the outset any reliance on the previous state of the law could not and should not have been viewed as firmly fixed as would have been the case had we previously</w:t>
      </w:r>
      <w:r w:rsidR="00354D87">
        <w:t xml:space="preserve"> spoken.”  (</w:t>
      </w:r>
      <w:r w:rsidR="00354D87">
        <w:rPr>
          <w:i/>
        </w:rPr>
        <w:t>Newman</w:t>
      </w:r>
      <w:r w:rsidR="00D747E3">
        <w:t xml:space="preserve">, </w:t>
      </w:r>
      <w:r w:rsidR="00D747E3">
        <w:rPr>
          <w:i/>
        </w:rPr>
        <w:t>supra</w:t>
      </w:r>
      <w:r w:rsidR="00D747E3">
        <w:t>,</w:t>
      </w:r>
      <w:r w:rsidR="00354D87">
        <w:t xml:space="preserve"> </w:t>
      </w:r>
      <w:r w:rsidRPr="00245C54" w:rsidR="00354D87">
        <w:t>48</w:t>
      </w:r>
      <w:r w:rsidR="00174E7A">
        <w:t> </w:t>
      </w:r>
      <w:r w:rsidRPr="00245C54" w:rsidR="00354D87">
        <w:t xml:space="preserve">Cal.3d </w:t>
      </w:r>
      <w:r w:rsidR="00D747E3">
        <w:t>at pp.</w:t>
      </w:r>
      <w:r w:rsidRPr="00245C54" w:rsidR="00354D87">
        <w:t xml:space="preserve"> 9</w:t>
      </w:r>
      <w:r w:rsidR="00354D87">
        <w:t>86–987</w:t>
      </w:r>
      <w:r w:rsidR="00D747E3">
        <w:t>; s</w:t>
      </w:r>
      <w:r w:rsidR="002C4D3F">
        <w:t xml:space="preserve">ee </w:t>
      </w:r>
      <w:r w:rsidR="00D747E3">
        <w:t xml:space="preserve">also </w:t>
      </w:r>
      <w:r w:rsidR="002C4D3F">
        <w:rPr>
          <w:i/>
        </w:rPr>
        <w:t>Alvarado</w:t>
      </w:r>
      <w:r w:rsidR="00D747E3">
        <w:t xml:space="preserve">, </w:t>
      </w:r>
      <w:r w:rsidR="00D747E3">
        <w:rPr>
          <w:i/>
        </w:rPr>
        <w:t>supra</w:t>
      </w:r>
      <w:r w:rsidR="00D747E3">
        <w:t>,</w:t>
      </w:r>
      <w:r w:rsidR="002C4D3F">
        <w:t xml:space="preserve"> 4 Cal.5th </w:t>
      </w:r>
      <w:r w:rsidR="00D747E3">
        <w:t>at p.</w:t>
      </w:r>
      <w:r w:rsidR="00174E7A">
        <w:t> </w:t>
      </w:r>
      <w:r w:rsidR="002C4D3F">
        <w:t xml:space="preserve">573 [declining to limit holding to prospective application when “defendant cannot claim reasonable reliance on settled law”].)  </w:t>
      </w:r>
      <w:r w:rsidR="007347DE">
        <w:t xml:space="preserve">In </w:t>
      </w:r>
      <w:r w:rsidR="007347DE">
        <w:rPr>
          <w:i/>
        </w:rPr>
        <w:t>Newman</w:t>
      </w:r>
      <w:r w:rsidR="007347DE">
        <w:t xml:space="preserve">, we </w:t>
      </w:r>
      <w:r w:rsidR="00520EA3">
        <w:t xml:space="preserve">concluded that our decision </w:t>
      </w:r>
      <w:r w:rsidR="004C4809">
        <w:t>applied retroactively “even if one views [it] as breaking new and unexpected ground</w:t>
      </w:r>
      <w:r w:rsidR="003565F4">
        <w:t xml:space="preserve">, </w:t>
      </w:r>
      <w:r w:rsidR="00B4188B">
        <w:t xml:space="preserve">. . . </w:t>
      </w:r>
      <w:r w:rsidR="003565F4">
        <w:t>[because] it did so in an indisputably unsettled area.”  (</w:t>
      </w:r>
      <w:r w:rsidR="001D3328">
        <w:rPr>
          <w:i/>
        </w:rPr>
        <w:t>Newman</w:t>
      </w:r>
      <w:r w:rsidR="001D3328">
        <w:t>,</w:t>
      </w:r>
      <w:r w:rsidR="003565F4">
        <w:t xml:space="preserve"> at p. 987.)  </w:t>
      </w:r>
      <w:r w:rsidRPr="00245C54" w:rsidR="00C12B02">
        <w:t>Moreover</w:t>
      </w:r>
      <w:r w:rsidRPr="00245C54">
        <w:t xml:space="preserve">, </w:t>
      </w:r>
      <w:r w:rsidR="00F97147">
        <w:t xml:space="preserve">in two decisions following </w:t>
      </w:r>
      <w:r w:rsidR="00F97147">
        <w:rPr>
          <w:i/>
        </w:rPr>
        <w:t>Borello</w:t>
      </w:r>
      <w:r w:rsidR="00F97147">
        <w:t>,</w:t>
      </w:r>
      <w:r w:rsidR="006A5493">
        <w:t xml:space="preserve"> we expressly declined to decide the question of what standard applies in determining whether workers should be classified as employees or independent contractors in the wage order context. </w:t>
      </w:r>
      <w:r w:rsidR="00F97147">
        <w:rPr>
          <w:i/>
        </w:rPr>
        <w:t xml:space="preserve"> </w:t>
      </w:r>
      <w:r w:rsidR="006A5493">
        <w:t>I</w:t>
      </w:r>
      <w:r w:rsidRPr="00245C54">
        <w:t xml:space="preserve">n </w:t>
      </w:r>
      <w:r w:rsidRPr="00245C54">
        <w:rPr>
          <w:i/>
        </w:rPr>
        <w:t>Martinez</w:t>
      </w:r>
      <w:r w:rsidRPr="00245C54">
        <w:t xml:space="preserve">, decided eight years prior to </w:t>
      </w:r>
      <w:r w:rsidRPr="00245C54">
        <w:rPr>
          <w:i/>
        </w:rPr>
        <w:t>Dynamex</w:t>
      </w:r>
      <w:r w:rsidRPr="00245C54">
        <w:t xml:space="preserve">, this court addressed the question </w:t>
      </w:r>
      <w:r w:rsidRPr="00245C54" w:rsidR="001A60E4">
        <w:t xml:space="preserve">regarding </w:t>
      </w:r>
      <w:r w:rsidRPr="00245C54" w:rsidR="002A5A88">
        <w:t>what</w:t>
      </w:r>
      <w:r w:rsidRPr="00245C54">
        <w:t xml:space="preserve"> standard </w:t>
      </w:r>
      <w:r w:rsidRPr="00245C54" w:rsidR="002A5A88">
        <w:t>should</w:t>
      </w:r>
      <w:r w:rsidRPr="00245C54">
        <w:t xml:space="preserve"> be utilized in </w:t>
      </w:r>
      <w:r w:rsidRPr="00245C54" w:rsidR="009374A1">
        <w:t>deciding</w:t>
      </w:r>
      <w:r w:rsidRPr="00245C54">
        <w:t xml:space="preserve"> whether an employment relationship existed </w:t>
      </w:r>
      <w:r w:rsidRPr="00245C54" w:rsidR="009374A1">
        <w:t xml:space="preserve">between the plaintiff workers and defendant business entities </w:t>
      </w:r>
      <w:r w:rsidRPr="00245C54">
        <w:t>for purposes of a potentially applicable wage order</w:t>
      </w:r>
      <w:r w:rsidRPr="00245C54" w:rsidR="009374A1">
        <w:t>.</w:t>
      </w:r>
      <w:r w:rsidRPr="00245C54">
        <w:t xml:space="preserve">  Explaining that no prior case had directly addressed the proper interpretation of the relevant provisions of the wage order relating to </w:t>
      </w:r>
      <w:r w:rsidRPr="00245C54" w:rsidR="00EE0555">
        <w:t xml:space="preserve">the terms </w:t>
      </w:r>
      <w:r w:rsidR="00DA234A">
        <w:t>“ ‘</w:t>
      </w:r>
      <w:r w:rsidRPr="00245C54">
        <w:t>employ</w:t>
      </w:r>
      <w:r w:rsidR="00DA234A">
        <w:t>’ ”</w:t>
      </w:r>
      <w:r w:rsidRPr="00245C54">
        <w:t xml:space="preserve"> </w:t>
      </w:r>
      <w:r w:rsidR="00DA234A">
        <w:t>and “ ‘</w:t>
      </w:r>
      <w:r w:rsidRPr="00245C54">
        <w:t>employer,</w:t>
      </w:r>
      <w:r w:rsidR="00DA78DD">
        <w:t>’ ”</w:t>
      </w:r>
      <w:r w:rsidRPr="00245C54">
        <w:t xml:space="preserve"> </w:t>
      </w:r>
      <w:r w:rsidRPr="00245C54" w:rsidR="00DB509F">
        <w:t>we</w:t>
      </w:r>
      <w:r w:rsidRPr="00245C54">
        <w:rPr>
          <w:i/>
        </w:rPr>
        <w:t xml:space="preserve"> </w:t>
      </w:r>
      <w:r w:rsidRPr="00245C54">
        <w:t xml:space="preserve">explicitly held that the suffer or permit to work </w:t>
      </w:r>
      <w:r w:rsidRPr="00245C54" w:rsidR="00227D29">
        <w:t>definition</w:t>
      </w:r>
      <w:r w:rsidRPr="00245C54">
        <w:t xml:space="preserve"> was one of three alternative bases upon which an employment relationship could be established for purposes of the obligations imposed by an applicable wage order.</w:t>
      </w:r>
      <w:r w:rsidRPr="00245C54" w:rsidR="0025003D">
        <w:t xml:space="preserve">  </w:t>
      </w:r>
      <w:r w:rsidRPr="00245C54" w:rsidR="002A5A88">
        <w:t>(</w:t>
      </w:r>
      <w:r w:rsidRPr="00245C54" w:rsidR="008172F0">
        <w:rPr>
          <w:i/>
        </w:rPr>
        <w:t>Martinez</w:t>
      </w:r>
      <w:r w:rsidRPr="00245C54" w:rsidR="008172F0">
        <w:t xml:space="preserve">, </w:t>
      </w:r>
      <w:r w:rsidRPr="00245C54" w:rsidR="008172F0">
        <w:rPr>
          <w:i/>
        </w:rPr>
        <w:t>supra</w:t>
      </w:r>
      <w:r w:rsidRPr="00245C54" w:rsidR="008172F0">
        <w:t>,</w:t>
      </w:r>
      <w:r w:rsidRPr="00245C54" w:rsidR="008172F0">
        <w:rPr>
          <w:i/>
        </w:rPr>
        <w:t xml:space="preserve"> </w:t>
      </w:r>
      <w:r w:rsidRPr="00245C54" w:rsidR="008172F0">
        <w:t xml:space="preserve">49 Cal.4th </w:t>
      </w:r>
      <w:r w:rsidRPr="00245C54" w:rsidR="002A5A88">
        <w:t>at pp.</w:t>
      </w:r>
      <w:r w:rsidR="00A36D32">
        <w:t> </w:t>
      </w:r>
      <w:r w:rsidRPr="00245C54" w:rsidR="002A5A88">
        <w:t>50</w:t>
      </w:r>
      <w:r w:rsidRPr="00245C54" w:rsidR="00A1050C">
        <w:rPr>
          <w:szCs w:val="26"/>
        </w:rPr>
        <w:t xml:space="preserve">, </w:t>
      </w:r>
      <w:r w:rsidRPr="00245C54" w:rsidR="00A528EB">
        <w:rPr>
          <w:szCs w:val="26"/>
        </w:rPr>
        <w:t>64</w:t>
      </w:r>
      <w:r w:rsidRPr="00245C54" w:rsidR="002A5A88">
        <w:t xml:space="preserve">.)  </w:t>
      </w:r>
    </w:p>
    <w:p w:rsidR="00EE0F6B" w:rsidP="00FE4A51">
      <w:pPr>
        <w:ind w:firstLine="720"/>
        <w:contextualSpacing/>
      </w:pPr>
      <w:r w:rsidRPr="00245C54">
        <w:t>In</w:t>
      </w:r>
      <w:r w:rsidRPr="00245C54" w:rsidR="00B55C79">
        <w:t xml:space="preserve"> </w:t>
      </w:r>
      <w:r w:rsidRPr="00245C54" w:rsidR="00B55C79">
        <w:rPr>
          <w:i/>
        </w:rPr>
        <w:t>Martinez</w:t>
      </w:r>
      <w:r w:rsidRPr="00245C54" w:rsidR="00B55C79">
        <w:t xml:space="preserve"> </w:t>
      </w:r>
      <w:r w:rsidRPr="00245C54" w:rsidR="0025003D">
        <w:t>itself</w:t>
      </w:r>
      <w:r w:rsidRPr="00245C54">
        <w:t xml:space="preserve">, the controversy turned on whether, for purposes of the obligations imposed by the wage order, the plaintiff workers </w:t>
      </w:r>
      <w:r w:rsidRPr="00245C54" w:rsidR="00B55C79">
        <w:t xml:space="preserve">could properly be considered </w:t>
      </w:r>
      <w:r w:rsidRPr="00245C54">
        <w:t xml:space="preserve">employees </w:t>
      </w:r>
      <w:r w:rsidRPr="00245C54" w:rsidR="00B55C79">
        <w:t xml:space="preserve">of </w:t>
      </w:r>
      <w:r w:rsidRPr="00245C54" w:rsidR="001A60E4">
        <w:t>business</w:t>
      </w:r>
      <w:r w:rsidRPr="00245C54" w:rsidR="00B55C79">
        <w:t xml:space="preserve"> entit</w:t>
      </w:r>
      <w:r w:rsidRPr="00245C54" w:rsidR="001A60E4">
        <w:t>ies</w:t>
      </w:r>
      <w:r w:rsidRPr="00245C54" w:rsidR="00B55C79">
        <w:t xml:space="preserve"> other than the </w:t>
      </w:r>
      <w:r w:rsidRPr="00245C54">
        <w:t>workers’</w:t>
      </w:r>
      <w:r w:rsidRPr="00245C54" w:rsidR="00B55C79">
        <w:t xml:space="preserve"> most direct </w:t>
      </w:r>
      <w:r w:rsidRPr="00245C54" w:rsidR="0039158C">
        <w:t xml:space="preserve">or immediate </w:t>
      </w:r>
      <w:r w:rsidRPr="00245C54" w:rsidR="00B55C79">
        <w:t>employer</w:t>
      </w:r>
      <w:r w:rsidRPr="00245C54">
        <w:t xml:space="preserve">.  </w:t>
      </w:r>
      <w:r w:rsidRPr="00245C54" w:rsidR="001A60E4">
        <w:t xml:space="preserve">Thus, </w:t>
      </w:r>
      <w:r w:rsidRPr="00245C54">
        <w:rPr>
          <w:i/>
        </w:rPr>
        <w:t>Martinez</w:t>
      </w:r>
      <w:r w:rsidRPr="00245C54" w:rsidR="00B55C79">
        <w:t xml:space="preserve"> did not present the question </w:t>
      </w:r>
      <w:r w:rsidR="009B231B">
        <w:t xml:space="preserve">of </w:t>
      </w:r>
      <w:r w:rsidRPr="00245C54" w:rsidR="00B55C79">
        <w:t xml:space="preserve">whether </w:t>
      </w:r>
      <w:r w:rsidRPr="00245C54">
        <w:t xml:space="preserve">the </w:t>
      </w:r>
      <w:r w:rsidRPr="00245C54" w:rsidR="00B55C79">
        <w:t>worker</w:t>
      </w:r>
      <w:r w:rsidRPr="00245C54">
        <w:t>s</w:t>
      </w:r>
      <w:r w:rsidRPr="00245C54" w:rsidR="00B55C79">
        <w:t xml:space="preserve"> </w:t>
      </w:r>
      <w:r w:rsidRPr="00245C54">
        <w:t>were</w:t>
      </w:r>
      <w:r w:rsidRPr="00245C54" w:rsidR="00B55C79">
        <w:t xml:space="preserve"> properly considered employee</w:t>
      </w:r>
      <w:r w:rsidRPr="00245C54">
        <w:t>s</w:t>
      </w:r>
      <w:r w:rsidRPr="00245C54" w:rsidR="00B55C79">
        <w:t xml:space="preserve"> or</w:t>
      </w:r>
      <w:r w:rsidRPr="00245C54">
        <w:t>, instead,</w:t>
      </w:r>
      <w:r w:rsidRPr="00245C54" w:rsidR="00B55C79">
        <w:t xml:space="preserve"> independent contractor</w:t>
      </w:r>
      <w:r w:rsidRPr="00245C54">
        <w:t>s</w:t>
      </w:r>
      <w:r w:rsidRPr="00245C54" w:rsidR="00B55C79">
        <w:t xml:space="preserve"> for purposes of the wage order</w:t>
      </w:r>
      <w:r w:rsidRPr="00245C54" w:rsidR="0025003D">
        <w:t xml:space="preserve">.  </w:t>
      </w:r>
      <w:r w:rsidR="00FE571D">
        <w:t>Yet</w:t>
      </w:r>
      <w:r w:rsidR="00716008">
        <w:t xml:space="preserve"> </w:t>
      </w:r>
      <w:r w:rsidR="00FC2566">
        <w:t xml:space="preserve">we expressly </w:t>
      </w:r>
      <w:r w:rsidR="00716008">
        <w:t xml:space="preserve">signaled that this was an open question, emphasizing that we were “not decid[ing]” in </w:t>
      </w:r>
      <w:r w:rsidR="00716008">
        <w:rPr>
          <w:i/>
        </w:rPr>
        <w:t>Martinez</w:t>
      </w:r>
      <w:r w:rsidR="00716008">
        <w:t xml:space="preserve"> whether “the decision in [</w:t>
      </w:r>
      <w:r w:rsidR="00716008">
        <w:rPr>
          <w:i/>
        </w:rPr>
        <w:t>Borello</w:t>
      </w:r>
      <w:r w:rsidR="00716008">
        <w:t xml:space="preserve">] has any relevance to wage claims.”  </w:t>
      </w:r>
      <w:r w:rsidRPr="00245C54" w:rsidR="00716008">
        <w:t>(</w:t>
      </w:r>
      <w:r w:rsidRPr="00245C54" w:rsidR="00716008">
        <w:rPr>
          <w:i/>
        </w:rPr>
        <w:t>Martinez</w:t>
      </w:r>
      <w:r w:rsidRPr="00245C54" w:rsidR="00716008">
        <w:t xml:space="preserve">, </w:t>
      </w:r>
      <w:r w:rsidRPr="00245C54" w:rsidR="00716008">
        <w:rPr>
          <w:i/>
        </w:rPr>
        <w:t>supra</w:t>
      </w:r>
      <w:r w:rsidRPr="00245C54" w:rsidR="00716008">
        <w:t>,</w:t>
      </w:r>
      <w:r w:rsidRPr="00245C54" w:rsidR="00716008">
        <w:rPr>
          <w:i/>
        </w:rPr>
        <w:t xml:space="preserve"> </w:t>
      </w:r>
      <w:r w:rsidRPr="00245C54" w:rsidR="00716008">
        <w:t>49 Cal.4th at</w:t>
      </w:r>
      <w:r w:rsidR="00716008">
        <w:t xml:space="preserve"> p. 73.)  </w:t>
      </w:r>
    </w:p>
    <w:p w:rsidR="00445EAB" w:rsidP="00EE0F6B">
      <w:pPr>
        <w:ind w:firstLine="720"/>
        <w:contextualSpacing/>
      </w:pPr>
      <w:r>
        <w:t>I</w:t>
      </w:r>
      <w:r w:rsidRPr="00245C54" w:rsidR="00B55C79">
        <w:t xml:space="preserve">n </w:t>
      </w:r>
      <w:r w:rsidRPr="00245C54" w:rsidR="00B55C79">
        <w:rPr>
          <w:i/>
        </w:rPr>
        <w:t>Ayala</w:t>
      </w:r>
      <w:r w:rsidR="009E56B7">
        <w:t xml:space="preserve">, </w:t>
      </w:r>
      <w:r w:rsidR="009E56B7">
        <w:rPr>
          <w:i/>
        </w:rPr>
        <w:t>supra</w:t>
      </w:r>
      <w:r w:rsidR="009E56B7">
        <w:t>,</w:t>
      </w:r>
      <w:r w:rsidRPr="00245C54" w:rsidR="001A60E4">
        <w:rPr>
          <w:i/>
        </w:rPr>
        <w:t xml:space="preserve"> </w:t>
      </w:r>
      <w:r w:rsidRPr="00245C54" w:rsidR="001A60E4">
        <w:t>59</w:t>
      </w:r>
      <w:r w:rsidR="00A36D32">
        <w:t> </w:t>
      </w:r>
      <w:r w:rsidRPr="00245C54" w:rsidR="001A60E4">
        <w:t>Cal.4th 522</w:t>
      </w:r>
      <w:r w:rsidRPr="00245C54" w:rsidR="00B55C79">
        <w:t xml:space="preserve">, a case decided four years prior to </w:t>
      </w:r>
      <w:r w:rsidRPr="00245C54" w:rsidR="00B55C79">
        <w:rPr>
          <w:i/>
        </w:rPr>
        <w:t>Dynamex</w:t>
      </w:r>
      <w:r w:rsidRPr="00245C54" w:rsidR="00056D07">
        <w:t xml:space="preserve">, </w:t>
      </w:r>
      <w:r w:rsidRPr="00245C54" w:rsidR="00ED1AA9">
        <w:t>we</w:t>
      </w:r>
      <w:r w:rsidRPr="00245C54" w:rsidR="00B55C79">
        <w:t xml:space="preserve"> explicitly </w:t>
      </w:r>
      <w:r w:rsidRPr="00245C54" w:rsidR="00056D07">
        <w:t xml:space="preserve">noted </w:t>
      </w:r>
      <w:r w:rsidRPr="00245C54" w:rsidR="00B55C79">
        <w:t>that we had solicited supplemental briefing from the parties concerning the possible relevance of the tests for employee status set forth in the applicable wage order</w:t>
      </w:r>
      <w:r w:rsidRPr="00245C54" w:rsidR="00056D07">
        <w:t xml:space="preserve"> in determining whether a worker was an employee or an independent contractor for purposes of the wage order.</w:t>
      </w:r>
      <w:r w:rsidRPr="00245C54" w:rsidR="009374A1">
        <w:t xml:space="preserve">  (</w:t>
      </w:r>
      <w:r w:rsidRPr="00245C54" w:rsidR="009374A1">
        <w:rPr>
          <w:i/>
        </w:rPr>
        <w:t>Id.</w:t>
      </w:r>
      <w:r w:rsidRPr="00245C54" w:rsidR="009374A1">
        <w:t xml:space="preserve"> at p. 531.)</w:t>
      </w:r>
      <w:r w:rsidRPr="00245C54" w:rsidR="00B55C79">
        <w:t xml:space="preserve">  Ultimately, our decision in </w:t>
      </w:r>
      <w:r w:rsidRPr="00245C54" w:rsidR="00B55C79">
        <w:rPr>
          <w:i/>
        </w:rPr>
        <w:t>Ayala</w:t>
      </w:r>
      <w:r w:rsidRPr="00245C54" w:rsidR="00B55C79">
        <w:t xml:space="preserve"> did not reach th</w:t>
      </w:r>
      <w:r w:rsidRPr="00245C54" w:rsidR="00056D07">
        <w:t>e</w:t>
      </w:r>
      <w:r w:rsidRPr="00245C54" w:rsidR="00B55C79">
        <w:t xml:space="preserve"> issue</w:t>
      </w:r>
      <w:r w:rsidRPr="00245C54" w:rsidR="00056D07">
        <w:t xml:space="preserve"> upon which we had solicited supplemental briefing</w:t>
      </w:r>
      <w:r w:rsidRPr="00245C54" w:rsidR="00B55C79">
        <w:t xml:space="preserve">, relying </w:t>
      </w:r>
      <w:r w:rsidRPr="00245C54" w:rsidR="00AF3344">
        <w:t xml:space="preserve">instead </w:t>
      </w:r>
      <w:r w:rsidRPr="00245C54" w:rsidR="00B55C79">
        <w:t xml:space="preserve">on the </w:t>
      </w:r>
      <w:r w:rsidRPr="00245C54" w:rsidR="00056D07">
        <w:t>ground</w:t>
      </w:r>
      <w:r w:rsidRPr="00245C54" w:rsidR="00B55C79">
        <w:t xml:space="preserve"> that in the trial court the plaintiff employees in </w:t>
      </w:r>
      <w:r w:rsidRPr="00245C54" w:rsidR="00B55C79">
        <w:rPr>
          <w:i/>
        </w:rPr>
        <w:t>Ayala</w:t>
      </w:r>
      <w:r w:rsidRPr="00245C54" w:rsidR="00B55C79">
        <w:t xml:space="preserve"> had relied solely on the </w:t>
      </w:r>
      <w:r w:rsidRPr="00245C54" w:rsidR="00B55C79">
        <w:rPr>
          <w:i/>
        </w:rPr>
        <w:t xml:space="preserve">Borello </w:t>
      </w:r>
      <w:r w:rsidRPr="00245C54" w:rsidR="00B55C79">
        <w:t>standard</w:t>
      </w:r>
      <w:r w:rsidRPr="00245C54" w:rsidR="00FB4384">
        <w:t>,</w:t>
      </w:r>
      <w:r w:rsidRPr="00245C54" w:rsidR="00B55C79">
        <w:t xml:space="preserve"> and we could resolve that case on that </w:t>
      </w:r>
      <w:r w:rsidRPr="00245C54" w:rsidR="00FB4384">
        <w:t xml:space="preserve">basis </w:t>
      </w:r>
      <w:r w:rsidRPr="00245C54" w:rsidR="00B55C79">
        <w:t xml:space="preserve">without considering the wage order definitions of employment.  </w:t>
      </w:r>
      <w:r w:rsidRPr="00245C54" w:rsidR="009374A1">
        <w:t>(</w:t>
      </w:r>
      <w:r w:rsidRPr="00245C54" w:rsidR="009374A1">
        <w:rPr>
          <w:i/>
        </w:rPr>
        <w:t>Ibid.</w:t>
      </w:r>
      <w:r w:rsidRPr="00245C54" w:rsidR="009374A1">
        <w:t xml:space="preserve">)  </w:t>
      </w:r>
      <w:r w:rsidRPr="00245C54" w:rsidR="0025003D">
        <w:t>Nonetheless, a</w:t>
      </w:r>
      <w:r w:rsidRPr="00245C54" w:rsidR="00B55C79">
        <w:t xml:space="preserve">t the same time, our decision in </w:t>
      </w:r>
      <w:r w:rsidRPr="00245C54" w:rsidR="00B55C79">
        <w:rPr>
          <w:i/>
        </w:rPr>
        <w:t>Ayala</w:t>
      </w:r>
      <w:r w:rsidRPr="00245C54" w:rsidR="00B55C79">
        <w:t xml:space="preserve"> explicitly stated that “we leave for another day the question of what application, if any, the wage order tests for employee status might have to wage and hour claims such as these” </w:t>
      </w:r>
      <w:r w:rsidRPr="00245C54" w:rsidR="009374A1">
        <w:t>(</w:t>
      </w:r>
      <w:r w:rsidRPr="00245C54" w:rsidR="009374A1">
        <w:rPr>
          <w:i/>
        </w:rPr>
        <w:t>ibid.</w:t>
      </w:r>
      <w:r w:rsidRPr="00245C54" w:rsidR="009374A1">
        <w:t>)</w:t>
      </w:r>
      <w:r w:rsidRPr="00245C54" w:rsidR="00C07E34">
        <w:t xml:space="preserve"> </w:t>
      </w:r>
      <w:r w:rsidRPr="00245C54" w:rsidR="00B55C79">
        <w:t xml:space="preserve">— namely, claims raising the question </w:t>
      </w:r>
      <w:r w:rsidR="007428C3">
        <w:t xml:space="preserve">of </w:t>
      </w:r>
      <w:r w:rsidRPr="00245C54" w:rsidR="00B55C79">
        <w:t>whether workers should properly be considered employees or independent contractors for purposes of the obligations imposed by a wage order.</w:t>
      </w:r>
      <w:r w:rsidRPr="00245C54" w:rsidR="0025003D">
        <w:t xml:space="preserve">  </w:t>
      </w:r>
    </w:p>
    <w:p w:rsidR="002A3F9E" w:rsidRPr="00DA3A6C" w:rsidP="00EE0F6B">
      <w:pPr>
        <w:ind w:firstLine="720"/>
        <w:contextualSpacing/>
      </w:pPr>
      <w:r w:rsidRPr="00245C54">
        <w:t xml:space="preserve">In light of </w:t>
      </w:r>
      <w:r w:rsidRPr="00245C54" w:rsidR="005D6C8A">
        <w:t>th</w:t>
      </w:r>
      <w:r w:rsidR="005D6C8A">
        <w:t>e</w:t>
      </w:r>
      <w:r w:rsidRPr="00245C54" w:rsidR="005D6C8A">
        <w:t>s</w:t>
      </w:r>
      <w:r w:rsidR="005D6C8A">
        <w:t>e</w:t>
      </w:r>
      <w:r w:rsidRPr="00245C54" w:rsidR="005D6C8A">
        <w:t xml:space="preserve"> </w:t>
      </w:r>
      <w:r w:rsidRPr="00245C54" w:rsidR="0025003D">
        <w:t>passage</w:t>
      </w:r>
      <w:r w:rsidR="005D6C8A">
        <w:t>s</w:t>
      </w:r>
      <w:r w:rsidRPr="00245C54" w:rsidR="0025003D">
        <w:t xml:space="preserve"> in </w:t>
      </w:r>
      <w:r w:rsidR="007357AA">
        <w:rPr>
          <w:i/>
        </w:rPr>
        <w:t xml:space="preserve">Martinez </w:t>
      </w:r>
      <w:r w:rsidR="007357AA">
        <w:t xml:space="preserve">and </w:t>
      </w:r>
      <w:r w:rsidRPr="00245C54">
        <w:rPr>
          <w:i/>
        </w:rPr>
        <w:t>Ayala</w:t>
      </w:r>
      <w:r w:rsidRPr="00245C54">
        <w:t xml:space="preserve">, employers were </w:t>
      </w:r>
      <w:r w:rsidRPr="00245C54">
        <w:t>clearly</w:t>
      </w:r>
      <w:r w:rsidRPr="00245C54">
        <w:t xml:space="preserve"> on notice </w:t>
      </w:r>
      <w:r w:rsidRPr="00245C54" w:rsidR="00CC12A2">
        <w:t xml:space="preserve">well before the </w:t>
      </w:r>
      <w:r w:rsidRPr="00245C54" w:rsidR="00CC12A2">
        <w:rPr>
          <w:i/>
        </w:rPr>
        <w:t xml:space="preserve">Dynamex </w:t>
      </w:r>
      <w:r w:rsidRPr="00245C54" w:rsidR="00CC12A2">
        <w:t xml:space="preserve">decision </w:t>
      </w:r>
      <w:r w:rsidRPr="00245C54">
        <w:t>that, for purposes of the obligations imposed by a wage order, a worker’s status as an employee or independent contractor might well depend on the suffer or permit to work prong</w:t>
      </w:r>
      <w:r w:rsidRPr="00245C54" w:rsidR="0025003D">
        <w:t xml:space="preserve"> of an applicable wage order</w:t>
      </w:r>
      <w:r w:rsidR="00D7155A">
        <w:t xml:space="preserve"> — </w:t>
      </w:r>
      <w:r w:rsidR="00F71B3C">
        <w:t xml:space="preserve">and </w:t>
      </w:r>
      <w:r w:rsidR="00D7155A">
        <w:t xml:space="preserve">that </w:t>
      </w:r>
      <w:r w:rsidR="00F71B3C">
        <w:t>the law was not settled in this area</w:t>
      </w:r>
      <w:r w:rsidRPr="00245C54">
        <w:t>.</w:t>
      </w:r>
      <w:r w:rsidRPr="00245C54" w:rsidR="0030217F">
        <w:t xml:space="preserve"> </w:t>
      </w:r>
      <w:r w:rsidR="00AA69A3">
        <w:t xml:space="preserve"> (See </w:t>
      </w:r>
      <w:r w:rsidR="002F5487">
        <w:rPr>
          <w:i/>
        </w:rPr>
        <w:t>Newman</w:t>
      </w:r>
      <w:r w:rsidR="002F5487">
        <w:t xml:space="preserve">, </w:t>
      </w:r>
      <w:r w:rsidR="002F5487">
        <w:rPr>
          <w:i/>
        </w:rPr>
        <w:t>supra</w:t>
      </w:r>
      <w:r w:rsidR="002F5487">
        <w:t xml:space="preserve">, 48 Cal.3d at </w:t>
      </w:r>
      <w:r w:rsidR="00D14DA9">
        <w:t>p</w:t>
      </w:r>
      <w:r w:rsidR="002F5487">
        <w:t>.</w:t>
      </w:r>
      <w:r w:rsidR="00174E7A">
        <w:t> </w:t>
      </w:r>
      <w:r w:rsidR="004378DD">
        <w:t>987 [</w:t>
      </w:r>
      <w:r w:rsidR="00DB1C29">
        <w:t xml:space="preserve">explicit </w:t>
      </w:r>
      <w:r w:rsidR="00F83F23">
        <w:t xml:space="preserve">statements in previous decisions </w:t>
      </w:r>
      <w:r w:rsidR="00A96916">
        <w:t>that this court was</w:t>
      </w:r>
      <w:r w:rsidR="00DB1C29">
        <w:t xml:space="preserve"> expressly declin</w:t>
      </w:r>
      <w:r w:rsidR="00A96916">
        <w:t>ing</w:t>
      </w:r>
      <w:r w:rsidR="00DB1C29">
        <w:t xml:space="preserve"> to decide an issue </w:t>
      </w:r>
      <w:r w:rsidR="00C801E2">
        <w:t>demonstrated that t</w:t>
      </w:r>
      <w:r w:rsidR="00E70D93">
        <w:t>he matter</w:t>
      </w:r>
      <w:r w:rsidR="00C801E2">
        <w:t xml:space="preserve"> was </w:t>
      </w:r>
      <w:r w:rsidR="00FB447A">
        <w:t>“</w:t>
      </w:r>
      <w:r w:rsidR="00C801E2">
        <w:t>in flux</w:t>
      </w:r>
      <w:r w:rsidR="00FB447A">
        <w:t>”</w:t>
      </w:r>
      <w:r w:rsidR="00F14079">
        <w:t xml:space="preserve"> and </w:t>
      </w:r>
      <w:r w:rsidR="00D14DA9">
        <w:t>“any reliance on the previous state of the law could not and should not have been viewed as firmly fixed”</w:t>
      </w:r>
      <w:r w:rsidR="00A96916">
        <w:t>].)</w:t>
      </w:r>
      <w:r w:rsidR="00546767">
        <w:t xml:space="preserve">  </w:t>
      </w:r>
      <w:r w:rsidR="0092325D">
        <w:t xml:space="preserve">By </w:t>
      </w:r>
      <w:r w:rsidR="00C348E2">
        <w:t xml:space="preserve">“expressly declin[ing] to decide the issue, thereby reserving our ultimate judgment on the question for </w:t>
      </w:r>
      <w:r w:rsidR="001109DA">
        <w:t xml:space="preserve">some </w:t>
      </w:r>
      <w:r w:rsidR="00C348E2">
        <w:t xml:space="preserve">later date,” </w:t>
      </w:r>
      <w:r w:rsidR="009738C4">
        <w:t>we “ ‘highlighted the fact that this question remained to be decided by this court.</w:t>
      </w:r>
      <w:r w:rsidR="00DA3A6C">
        <w:t>’ </w:t>
      </w:r>
      <w:r w:rsidR="009738C4">
        <w:t>”</w:t>
      </w:r>
      <w:r w:rsidR="00F14079">
        <w:t xml:space="preserve"> </w:t>
      </w:r>
      <w:r w:rsidR="00DA3A6C">
        <w:t xml:space="preserve"> (</w:t>
      </w:r>
      <w:r w:rsidR="00DA3A6C">
        <w:rPr>
          <w:i/>
        </w:rPr>
        <w:t>Id.</w:t>
      </w:r>
      <w:r w:rsidR="00DA3A6C">
        <w:t xml:space="preserve"> at p.</w:t>
      </w:r>
      <w:r w:rsidR="005577B5">
        <w:t> </w:t>
      </w:r>
      <w:r w:rsidR="00DA3A6C">
        <w:t>988</w:t>
      </w:r>
      <w:r w:rsidR="001109DA">
        <w:t>, italics omitted</w:t>
      </w:r>
      <w:r w:rsidR="00DA3A6C">
        <w:t>.)</w:t>
      </w:r>
      <w:r w:rsidR="00726722">
        <w:t xml:space="preserve">  Thus, </w:t>
      </w:r>
      <w:r w:rsidR="0081716C">
        <w:t>defendant</w:t>
      </w:r>
      <w:r w:rsidR="00726722">
        <w:t>’s reasonable reliance argument</w:t>
      </w:r>
      <w:r w:rsidR="0099664F">
        <w:t xml:space="preserve"> </w:t>
      </w:r>
      <w:r w:rsidR="00580B6B">
        <w:t>is unconvincing.</w:t>
      </w:r>
    </w:p>
    <w:p w:rsidR="00124406" w:rsidRPr="002F5487" w:rsidP="00124406">
      <w:pPr>
        <w:ind w:firstLine="720"/>
        <w:contextualSpacing/>
      </w:pPr>
      <w:r>
        <w:t xml:space="preserve">Further, although </w:t>
      </w:r>
      <w:r w:rsidR="0081716C">
        <w:t>defendant</w:t>
      </w:r>
      <w:r>
        <w:t xml:space="preserve"> maintains that in classifying its workers as independent contractors it reasonably relied on the </w:t>
      </w:r>
      <w:r>
        <w:rPr>
          <w:i/>
        </w:rPr>
        <w:t xml:space="preserve">Borello </w:t>
      </w:r>
      <w:r>
        <w:t xml:space="preserve">standard, as this court explained in </w:t>
      </w:r>
      <w:r>
        <w:rPr>
          <w:i/>
        </w:rPr>
        <w:t>Dynamex</w:t>
      </w:r>
      <w:r>
        <w:t>,</w:t>
      </w:r>
      <w:r>
        <w:rPr>
          <w:i/>
        </w:rPr>
        <w:t xml:space="preserve"> </w:t>
      </w:r>
      <w:r>
        <w:t xml:space="preserve">one of the principal deficiencies of the </w:t>
      </w:r>
      <w:r>
        <w:rPr>
          <w:i/>
        </w:rPr>
        <w:t xml:space="preserve">Borello </w:t>
      </w:r>
      <w:r>
        <w:t xml:space="preserve">standard is its numerous factors that must be weighed and balanced — and </w:t>
      </w:r>
      <w:r w:rsidR="00937046">
        <w:t xml:space="preserve">such a standard </w:t>
      </w:r>
      <w:r>
        <w:t>effectively prevents employers and employees from determining in advance how that classification will be resolved.  (</w:t>
      </w:r>
      <w:r>
        <w:rPr>
          <w:i/>
          <w:iCs/>
        </w:rPr>
        <w:t>Dynamex</w:t>
      </w:r>
      <w:r>
        <w:t xml:space="preserve">, </w:t>
      </w:r>
      <w:r>
        <w:rPr>
          <w:i/>
          <w:iCs/>
        </w:rPr>
        <w:t>supra</w:t>
      </w:r>
      <w:r>
        <w:t xml:space="preserve">, 4 Cal.5th at pp. 954–955.) </w:t>
      </w:r>
      <w:r>
        <w:rPr>
          <w:i/>
          <w:iCs/>
        </w:rPr>
        <w:t xml:space="preserve"> </w:t>
      </w:r>
      <w:r>
        <w:t xml:space="preserve">Thus, as a practical matter, </w:t>
      </w:r>
      <w:r w:rsidR="0081716C">
        <w:t>defendant</w:t>
      </w:r>
      <w:r>
        <w:t xml:space="preserve"> overstates the degree to which </w:t>
      </w:r>
      <w:r w:rsidR="000A2D9A">
        <w:t xml:space="preserve">declining to extend the </w:t>
      </w:r>
      <w:r w:rsidR="000A2D9A">
        <w:rPr>
          <w:i/>
          <w:iCs/>
        </w:rPr>
        <w:t xml:space="preserve">Borello </w:t>
      </w:r>
      <w:r w:rsidR="000A2D9A">
        <w:t xml:space="preserve">test to this context </w:t>
      </w:r>
      <w:r>
        <w:t xml:space="preserve">will impinge upon its reasonable expectations.  It is worth noting in this regard that in </w:t>
      </w:r>
      <w:r>
        <w:rPr>
          <w:i/>
          <w:iCs/>
        </w:rPr>
        <w:t xml:space="preserve">Borello </w:t>
      </w:r>
      <w:r>
        <w:t>itself the agricultural workers were found to be employees rather than independent contractors even though the workers controlled the manner and details of their work, including the hours that they worked.</w:t>
      </w:r>
      <w:r>
        <w:rPr>
          <w:rStyle w:val="FootnoteReference"/>
        </w:rPr>
        <w:footnoteReference w:id="5"/>
      </w:r>
      <w:r>
        <w:t xml:space="preserve">  (</w:t>
      </w:r>
      <w:r>
        <w:rPr>
          <w:i/>
          <w:iCs/>
        </w:rPr>
        <w:t xml:space="preserve">Id. </w:t>
      </w:r>
      <w:r>
        <w:t>at p. 346.)</w:t>
      </w:r>
    </w:p>
    <w:p w:rsidR="009857BD" w:rsidRPr="00245C54" w:rsidP="00245C54">
      <w:pPr>
        <w:ind w:firstLine="720"/>
        <w:contextualSpacing/>
      </w:pPr>
      <w:r>
        <w:t>Defendant</w:t>
      </w:r>
      <w:r w:rsidRPr="00245C54">
        <w:t xml:space="preserve"> further argues that even if it should have </w:t>
      </w:r>
      <w:r w:rsidRPr="00245C54" w:rsidR="00C43BF4">
        <w:t xml:space="preserve">reasonably </w:t>
      </w:r>
      <w:r w:rsidRPr="00245C54">
        <w:t xml:space="preserve">anticipated that a worker’s designation as an employee or independent contractor would depend upon the application of </w:t>
      </w:r>
      <w:r w:rsidR="002F6E06">
        <w:t>a</w:t>
      </w:r>
      <w:r w:rsidRPr="00245C54" w:rsidR="002F6E06">
        <w:t xml:space="preserve"> </w:t>
      </w:r>
      <w:r w:rsidRPr="00245C54">
        <w:t>wage</w:t>
      </w:r>
      <w:r w:rsidRPr="00245C54" w:rsidR="00F32442">
        <w:t xml:space="preserve"> order’s </w:t>
      </w:r>
      <w:r w:rsidRPr="00245C54">
        <w:t xml:space="preserve">suffer or permit to work </w:t>
      </w:r>
      <w:r w:rsidRPr="00245C54" w:rsidR="00F32442">
        <w:t>definition</w:t>
      </w:r>
      <w:r w:rsidRPr="00245C54">
        <w:t xml:space="preserve">, it could not reasonably have anticipated that in </w:t>
      </w:r>
      <w:r w:rsidRPr="00245C54">
        <w:rPr>
          <w:i/>
        </w:rPr>
        <w:t xml:space="preserve">Dynamex </w:t>
      </w:r>
      <w:r w:rsidRPr="00245C54">
        <w:t xml:space="preserve">this court would adopt the ABC test as </w:t>
      </w:r>
      <w:r w:rsidRPr="00245C54" w:rsidR="006C32DC">
        <w:t>the</w:t>
      </w:r>
      <w:r w:rsidRPr="00245C54">
        <w:t xml:space="preserve"> appropriate standard</w:t>
      </w:r>
      <w:r w:rsidRPr="00245C54" w:rsidR="00F32442">
        <w:t xml:space="preserve">.  </w:t>
      </w:r>
      <w:r w:rsidR="00F70B41">
        <w:t xml:space="preserve">We reject the contention that litigants must have foresight of the </w:t>
      </w:r>
      <w:r w:rsidR="00F70B41">
        <w:rPr>
          <w:i/>
          <w:iCs/>
        </w:rPr>
        <w:t xml:space="preserve">exact </w:t>
      </w:r>
      <w:r w:rsidR="00F70B41">
        <w:t xml:space="preserve">rule that a court ultimately adopts in order for it to have retroactive effect.  And indeed, the ABC test articulated in </w:t>
      </w:r>
      <w:r w:rsidR="00F70B41">
        <w:rPr>
          <w:i/>
          <w:iCs/>
        </w:rPr>
        <w:t xml:space="preserve">Dynamex </w:t>
      </w:r>
      <w:r w:rsidR="00F70B41">
        <w:t>was within the scope of what employers reasonably could have foreseen.  P</w:t>
      </w:r>
      <w:r w:rsidRPr="00245C54">
        <w:t xml:space="preserve">rior decisions of this court had certainly provided putative employers notice </w:t>
      </w:r>
      <w:r w:rsidRPr="00245C54" w:rsidR="00761EE9">
        <w:t xml:space="preserve">concerning </w:t>
      </w:r>
      <w:r w:rsidRPr="00245C54">
        <w:t xml:space="preserve">the potential breadth of the suffer or permit to work language.  In </w:t>
      </w:r>
      <w:r w:rsidRPr="00245C54">
        <w:rPr>
          <w:i/>
        </w:rPr>
        <w:t xml:space="preserve">Morillion v. Royal Packing Co. </w:t>
      </w:r>
      <w:r w:rsidRPr="00245C54">
        <w:t>(2000) 22 Cal.4th 575, 585</w:t>
      </w:r>
      <w:r w:rsidR="002F6E06">
        <w:t xml:space="preserve"> (</w:t>
      </w:r>
      <w:r w:rsidR="002F6E06">
        <w:rPr>
          <w:i/>
        </w:rPr>
        <w:t>Morillion</w:t>
      </w:r>
      <w:r w:rsidR="002F6E06">
        <w:t>)</w:t>
      </w:r>
      <w:r w:rsidRPr="00245C54">
        <w:t>, this court noted that federal cases had interpreted that phrase to apply when a putative employer “</w:t>
      </w:r>
      <w:r w:rsidR="003F5BF5">
        <w:t> ‘</w:t>
      </w:r>
      <w:r w:rsidRPr="00245C54">
        <w:t>knows or should have known</w:t>
      </w:r>
      <w:r w:rsidR="003F5BF5">
        <w:t>’ </w:t>
      </w:r>
      <w:r w:rsidRPr="00245C54">
        <w:t xml:space="preserve">” that work is being performed on its behalf.  </w:t>
      </w:r>
      <w:r w:rsidR="003F5BF5">
        <w:t xml:space="preserve">(See </w:t>
      </w:r>
      <w:r w:rsidR="003F5BF5">
        <w:rPr>
          <w:i/>
        </w:rPr>
        <w:t>id.</w:t>
      </w:r>
      <w:r w:rsidR="003F5BF5">
        <w:t xml:space="preserve"> at pp. 584–585.)  </w:t>
      </w:r>
      <w:r w:rsidRPr="00245C54">
        <w:t xml:space="preserve">And in describing the scope of the suffer or permit to work definition in </w:t>
      </w:r>
      <w:r w:rsidRPr="00245C54">
        <w:rPr>
          <w:i/>
        </w:rPr>
        <w:t>Martinez</w:t>
      </w:r>
      <w:r w:rsidRPr="00245C54">
        <w:t xml:space="preserve">, </w:t>
      </w:r>
      <w:r w:rsidRPr="00245C54" w:rsidR="004136A8">
        <w:t>we</w:t>
      </w:r>
      <w:r w:rsidRPr="00245C54">
        <w:t xml:space="preserve"> stated that “[a] proprietor who knows that persons are working in his or her business without having been formally hired, or while being paid less than the minimum wage, clearly suffers or permits that work by failing to prevent it, while having the power to do so.”  (</w:t>
      </w:r>
      <w:r w:rsidRPr="00245C54" w:rsidR="004136A8">
        <w:rPr>
          <w:i/>
        </w:rPr>
        <w:t>Martinez</w:t>
      </w:r>
      <w:r w:rsidRPr="00245C54" w:rsidR="004136A8">
        <w:t xml:space="preserve">, </w:t>
      </w:r>
      <w:r w:rsidRPr="00245C54" w:rsidR="004136A8">
        <w:rPr>
          <w:i/>
        </w:rPr>
        <w:t>supra</w:t>
      </w:r>
      <w:r w:rsidRPr="00245C54" w:rsidR="004136A8">
        <w:t>,</w:t>
      </w:r>
      <w:r w:rsidRPr="00245C54" w:rsidR="004136A8">
        <w:rPr>
          <w:i/>
        </w:rPr>
        <w:t xml:space="preserve"> </w:t>
      </w:r>
      <w:r w:rsidRPr="00245C54">
        <w:t>49 Cal.4th at p. 69</w:t>
      </w:r>
      <w:r w:rsidRPr="00245C54" w:rsidR="00595860">
        <w:t>.</w:t>
      </w:r>
      <w:r w:rsidRPr="00245C54">
        <w:t xml:space="preserve">) </w:t>
      </w:r>
      <w:r w:rsidRPr="00245C54">
        <w:rPr>
          <w:i/>
        </w:rPr>
        <w:t xml:space="preserve"> </w:t>
      </w:r>
      <w:r w:rsidR="006A6B55">
        <w:t>Moreover</w:t>
      </w:r>
      <w:r w:rsidR="002B1528">
        <w:t xml:space="preserve">, the three elements of the ABC test are prominent factors already listed in </w:t>
      </w:r>
      <w:r w:rsidR="002B1528">
        <w:rPr>
          <w:i/>
        </w:rPr>
        <w:t>Borello</w:t>
      </w:r>
      <w:r w:rsidR="002B1528">
        <w:t xml:space="preserve">, </w:t>
      </w:r>
      <w:r w:rsidR="002B1528">
        <w:rPr>
          <w:i/>
          <w:iCs/>
        </w:rPr>
        <w:t>supra</w:t>
      </w:r>
      <w:r w:rsidR="002B1528">
        <w:t xml:space="preserve">, 36 Cal.3d at page 351.  </w:t>
      </w:r>
      <w:r w:rsidRPr="00FE4A51" w:rsidR="0091787B">
        <w:t>Last</w:t>
      </w:r>
      <w:r w:rsidRPr="00FE4A51" w:rsidR="00F71B3C">
        <w:t xml:space="preserve">, </w:t>
      </w:r>
      <w:r w:rsidR="0026690E">
        <w:t>because</w:t>
      </w:r>
      <w:r w:rsidRPr="00FE4A51" w:rsidR="00884AA4">
        <w:t xml:space="preserve"> </w:t>
      </w:r>
      <w:r w:rsidRPr="00FE4A51" w:rsidR="00884AA4">
        <w:rPr>
          <w:i/>
        </w:rPr>
        <w:t>Dynamex</w:t>
      </w:r>
      <w:r w:rsidRPr="00FE4A51" w:rsidR="00884AA4">
        <w:t xml:space="preserve"> </w:t>
      </w:r>
      <w:r w:rsidR="006E3CBB">
        <w:t xml:space="preserve">did not change a </w:t>
      </w:r>
      <w:r w:rsidR="00272ACB">
        <w:t xml:space="preserve">previously </w:t>
      </w:r>
      <w:r w:rsidR="006E3CBB">
        <w:t xml:space="preserve">settled </w:t>
      </w:r>
      <w:r w:rsidR="00272ACB">
        <w:t>rule</w:t>
      </w:r>
      <w:r w:rsidRPr="00FE4A51" w:rsidR="00884AA4">
        <w:t xml:space="preserve">, any reliance </w:t>
      </w:r>
      <w:r w:rsidR="00944B0C">
        <w:t xml:space="preserve">by the parties </w:t>
      </w:r>
      <w:r w:rsidRPr="00FE4A51" w:rsidR="00884AA4">
        <w:t xml:space="preserve">on the previous state of the law </w:t>
      </w:r>
      <w:r w:rsidR="007F228F">
        <w:t>is not particularly persuasive</w:t>
      </w:r>
      <w:r w:rsidR="005A2F44">
        <w:t xml:space="preserve"> in our retroactivity determination</w:t>
      </w:r>
      <w:r w:rsidRPr="00FE4A51" w:rsidR="00884AA4">
        <w:t>.  (</w:t>
      </w:r>
      <w:r w:rsidRPr="00FE4A51" w:rsidR="00884AA4">
        <w:rPr>
          <w:i/>
        </w:rPr>
        <w:t>Newman</w:t>
      </w:r>
      <w:r w:rsidRPr="00FE4A51" w:rsidR="00884AA4">
        <w:t xml:space="preserve">, </w:t>
      </w:r>
      <w:r w:rsidRPr="00FE4A51" w:rsidR="00884AA4">
        <w:rPr>
          <w:i/>
        </w:rPr>
        <w:t>supra</w:t>
      </w:r>
      <w:r w:rsidRPr="00FE4A51" w:rsidR="00884AA4">
        <w:t>, 48</w:t>
      </w:r>
      <w:r w:rsidRPr="00FE4A51" w:rsidR="00A36D32">
        <w:t> </w:t>
      </w:r>
      <w:r w:rsidRPr="00FE4A51" w:rsidR="00884AA4">
        <w:t>Cal.3d at p.</w:t>
      </w:r>
      <w:r w:rsidRPr="00FE4A51" w:rsidR="00A36D32">
        <w:t> </w:t>
      </w:r>
      <w:r w:rsidRPr="00FE4A51" w:rsidR="00884AA4">
        <w:t xml:space="preserve">986.)  </w:t>
      </w:r>
      <w:r w:rsidRPr="00FE4A51" w:rsidR="00671B04">
        <w:t>“A</w:t>
      </w:r>
      <w:r w:rsidRPr="00FE4A51" w:rsidR="00EE60F0">
        <w:t xml:space="preserve">t a minimum, litigants necessarily were aware </w:t>
      </w:r>
      <w:r w:rsidRPr="00FE4A51" w:rsidR="00F26898">
        <w:t xml:space="preserve">that” the employee/independent contractor </w:t>
      </w:r>
      <w:r w:rsidRPr="00FE4A51" w:rsidR="00BD6587">
        <w:t>distinction in the applicable wage orders “was uncertain and yet to be definitively established.”  (</w:t>
      </w:r>
      <w:r w:rsidRPr="00FE4A51" w:rsidR="00A95F94">
        <w:rPr>
          <w:i/>
        </w:rPr>
        <w:t>Id.</w:t>
      </w:r>
      <w:r w:rsidRPr="00FE4A51" w:rsidR="00BD6587">
        <w:t xml:space="preserve"> at p.</w:t>
      </w:r>
      <w:r w:rsidRPr="00FE4A51" w:rsidR="00A36D32">
        <w:t> </w:t>
      </w:r>
      <w:r w:rsidRPr="00FE4A51" w:rsidR="00BD6587">
        <w:t>987.)</w:t>
      </w:r>
      <w:r w:rsidRPr="00245C54" w:rsidR="00F26898">
        <w:t xml:space="preserve"> </w:t>
      </w:r>
      <w:r w:rsidRPr="00245C54" w:rsidR="00884AA4">
        <w:t xml:space="preserve"> </w:t>
      </w:r>
    </w:p>
    <w:p w:rsidR="009857BD" w:rsidP="00245C54">
      <w:pPr>
        <w:ind w:firstLine="720"/>
        <w:contextualSpacing/>
      </w:pPr>
      <w:r w:rsidRPr="00245C54">
        <w:t>I</w:t>
      </w:r>
      <w:r w:rsidRPr="00245C54" w:rsidR="008652D1">
        <w:t>t also bears noting that i</w:t>
      </w:r>
      <w:r w:rsidRPr="00245C54">
        <w:t xml:space="preserve">n </w:t>
      </w:r>
      <w:r w:rsidRPr="00245C54">
        <w:rPr>
          <w:i/>
        </w:rPr>
        <w:t>Dynamex</w:t>
      </w:r>
      <w:r w:rsidRPr="00245C54">
        <w:t xml:space="preserve">, this court determined that </w:t>
      </w:r>
      <w:r w:rsidR="008D61AF">
        <w:t>“</w:t>
      </w:r>
      <w:r w:rsidRPr="00245C54">
        <w:t>the</w:t>
      </w:r>
      <w:r w:rsidRPr="00245C54" w:rsidR="00B92A91">
        <w:t xml:space="preserve"> suffer or permit to work definition is a term of art that cannot be interpreted literally in a manner that would encompass within the employee category the type of </w:t>
      </w:r>
      <w:r w:rsidRPr="00245C54" w:rsidR="00D51C92">
        <w:t xml:space="preserve">individual workers, like independent plumbers or </w:t>
      </w:r>
      <w:r w:rsidRPr="00245C54" w:rsidR="00766F1E">
        <w:t>electricians</w:t>
      </w:r>
      <w:r w:rsidRPr="00245C54" w:rsidR="00D51C92">
        <w:t xml:space="preserve">, who have traditionally been viewed as </w:t>
      </w:r>
      <w:r w:rsidRPr="00245C54" w:rsidR="00D51C92">
        <w:rPr>
          <w:i/>
        </w:rPr>
        <w:t xml:space="preserve">genuine </w:t>
      </w:r>
      <w:r w:rsidRPr="00245C54" w:rsidR="00D51C92">
        <w:t xml:space="preserve">independent </w:t>
      </w:r>
      <w:r w:rsidRPr="00245C54" w:rsidR="00766F1E">
        <w:t>contractors</w:t>
      </w:r>
      <w:r w:rsidRPr="00245C54" w:rsidR="00D51C92">
        <w:t xml:space="preserve"> who are working only in their own independent business</w:t>
      </w:r>
      <w:r w:rsidRPr="00245C54" w:rsidR="005807BF">
        <w:t>.</w:t>
      </w:r>
      <w:r w:rsidRPr="00245C54" w:rsidR="00766F1E">
        <w:t>”</w:t>
      </w:r>
      <w:r w:rsidRPr="00245C54" w:rsidR="005807BF">
        <w:t xml:space="preserve">  </w:t>
      </w:r>
      <w:r w:rsidRPr="00245C54" w:rsidR="00766F1E">
        <w:t>(</w:t>
      </w:r>
      <w:r w:rsidRPr="00245C54" w:rsidR="00766F1E">
        <w:rPr>
          <w:i/>
        </w:rPr>
        <w:t>Dynamex</w:t>
      </w:r>
      <w:r w:rsidRPr="00245C54" w:rsidR="00766F1E">
        <w:t xml:space="preserve">, </w:t>
      </w:r>
      <w:r w:rsidRPr="00245C54" w:rsidR="00766F1E">
        <w:rPr>
          <w:i/>
        </w:rPr>
        <w:t>supra</w:t>
      </w:r>
      <w:r w:rsidRPr="00245C54" w:rsidR="00766F1E">
        <w:t>,</w:t>
      </w:r>
      <w:r w:rsidRPr="00245C54" w:rsidR="00766F1E">
        <w:rPr>
          <w:i/>
        </w:rPr>
        <w:t xml:space="preserve"> </w:t>
      </w:r>
      <w:r w:rsidRPr="00245C54" w:rsidR="00766F1E">
        <w:t>4 Cal.</w:t>
      </w:r>
      <w:r w:rsidRPr="00245C54" w:rsidR="009F5B9A">
        <w:t>5</w:t>
      </w:r>
      <w:r w:rsidRPr="00245C54" w:rsidR="00766F1E">
        <w:t xml:space="preserve">th </w:t>
      </w:r>
      <w:r w:rsidRPr="00245C54" w:rsidR="00F5279E">
        <w:t>at p.</w:t>
      </w:r>
      <w:r w:rsidR="00A36D32">
        <w:t> </w:t>
      </w:r>
      <w:r w:rsidRPr="00245C54" w:rsidR="00F5279E">
        <w:t xml:space="preserve">916.)  </w:t>
      </w:r>
      <w:r w:rsidRPr="00245C54" w:rsidR="005807BF">
        <w:t>This was so, we explained</w:t>
      </w:r>
      <w:r w:rsidRPr="00245C54" w:rsidR="002A7B9E">
        <w:t xml:space="preserve">, </w:t>
      </w:r>
      <w:r w:rsidRPr="00245C54">
        <w:t xml:space="preserve">because </w:t>
      </w:r>
      <w:r w:rsidRPr="00245C54" w:rsidR="00814F82">
        <w:t>applying a broad “knows or should have known</w:t>
      </w:r>
      <w:r w:rsidR="00E03CF2">
        <w:t>”</w:t>
      </w:r>
      <w:r w:rsidRPr="00245C54" w:rsidR="00814F82">
        <w:t xml:space="preserve"> that work was being performed</w:t>
      </w:r>
      <w:r w:rsidRPr="00245C54" w:rsidR="00BC5685">
        <w:t xml:space="preserve"> </w:t>
      </w:r>
      <w:r w:rsidRPr="00245C54" w:rsidR="005538C2">
        <w:t>formulation</w:t>
      </w:r>
      <w:r w:rsidRPr="00245C54" w:rsidR="00BC5685">
        <w:t xml:space="preserve"> in the employee/independent contractor context</w:t>
      </w:r>
      <w:r w:rsidRPr="00245C54" w:rsidR="000A75DB">
        <w:t xml:space="preserve"> </w:t>
      </w:r>
      <w:r w:rsidRPr="00245C54">
        <w:t xml:space="preserve">would treat </w:t>
      </w:r>
      <w:r w:rsidRPr="00245C54" w:rsidR="00BC5685">
        <w:t>true</w:t>
      </w:r>
      <w:r w:rsidRPr="00245C54">
        <w:t xml:space="preserve"> independent contractors as employees for purposes of the wage order, when </w:t>
      </w:r>
      <w:r w:rsidRPr="00245C54" w:rsidR="00BC5685">
        <w:t xml:space="preserve">they </w:t>
      </w:r>
      <w:r w:rsidRPr="00245C54">
        <w:t>could not reasonably have been intended to be</w:t>
      </w:r>
      <w:r w:rsidRPr="00245C54" w:rsidR="00D16E09">
        <w:t xml:space="preserve"> so</w:t>
      </w:r>
      <w:r w:rsidRPr="00245C54">
        <w:t xml:space="preserve"> treated.  (</w:t>
      </w:r>
      <w:r w:rsidRPr="00FC58CE" w:rsidR="00C71D06">
        <w:rPr>
          <w:i/>
        </w:rPr>
        <w:t>Id.</w:t>
      </w:r>
      <w:r w:rsidRPr="00245C54">
        <w:t xml:space="preserve"> at </w:t>
      </w:r>
      <w:r w:rsidRPr="00245C54" w:rsidR="000F6991">
        <w:t>pp.</w:t>
      </w:r>
      <w:r w:rsidR="00A36D32">
        <w:t> </w:t>
      </w:r>
      <w:r w:rsidRPr="00245C54">
        <w:t>948</w:t>
      </w:r>
      <w:r w:rsidRPr="00245C54" w:rsidR="004A549B">
        <w:rPr>
          <w:szCs w:val="26"/>
        </w:rPr>
        <w:t>–</w:t>
      </w:r>
      <w:r w:rsidRPr="00245C54">
        <w:t xml:space="preserve">950.)  </w:t>
      </w:r>
      <w:r w:rsidRPr="00245C54" w:rsidR="000A75DB">
        <w:t>Accordingly</w:t>
      </w:r>
      <w:r w:rsidRPr="00245C54">
        <w:t xml:space="preserve">, </w:t>
      </w:r>
      <w:r w:rsidRPr="00245C54" w:rsidR="00445C92">
        <w:t>this court harmonized</w:t>
      </w:r>
      <w:r w:rsidRPr="00245C54">
        <w:t xml:space="preserve"> the legislative intent to adopt the broadest standard for determining who should be treated as an employee for purposes of the wage order with the recognition that there was no intention to bring classic independent contractors within the reach of the wage orders</w:t>
      </w:r>
      <w:r w:rsidRPr="00245C54" w:rsidR="00635158">
        <w:t xml:space="preserve">. </w:t>
      </w:r>
      <w:r w:rsidRPr="00245C54">
        <w:t xml:space="preserve"> </w:t>
      </w:r>
      <w:r w:rsidRPr="00245C54" w:rsidR="00635158">
        <w:t xml:space="preserve">It was in this context that </w:t>
      </w:r>
      <w:r w:rsidRPr="00245C54">
        <w:t xml:space="preserve">the court in </w:t>
      </w:r>
      <w:r w:rsidRPr="00245C54">
        <w:rPr>
          <w:i/>
        </w:rPr>
        <w:t>Dynamex</w:t>
      </w:r>
      <w:r w:rsidRPr="00245C54">
        <w:t xml:space="preserve"> concluded that it was appropriate to adopt the ABC </w:t>
      </w:r>
      <w:r w:rsidRPr="00245C54" w:rsidR="008A75AD">
        <w:t xml:space="preserve">test </w:t>
      </w:r>
      <w:r w:rsidRPr="00245C54">
        <w:t xml:space="preserve">as </w:t>
      </w:r>
      <w:r w:rsidRPr="00245C54" w:rsidR="008A75AD">
        <w:t>the standard</w:t>
      </w:r>
      <w:r w:rsidRPr="00245C54">
        <w:t xml:space="preserve"> for determining whether a worker should properly be considered an </w:t>
      </w:r>
      <w:r w:rsidRPr="00245C54" w:rsidR="00B92C0C">
        <w:t xml:space="preserve">employee or </w:t>
      </w:r>
      <w:r w:rsidRPr="00245C54">
        <w:t xml:space="preserve">independent contractor. </w:t>
      </w:r>
      <w:r w:rsidRPr="00245C54" w:rsidR="0043489C">
        <w:t xml:space="preserve"> </w:t>
      </w:r>
      <w:r w:rsidRPr="00245C54">
        <w:t>(</w:t>
      </w:r>
      <w:r w:rsidRPr="00245C54">
        <w:rPr>
          <w:i/>
        </w:rPr>
        <w:t>Id.</w:t>
      </w:r>
      <w:r w:rsidRPr="00245C54">
        <w:t xml:space="preserve"> at pp.</w:t>
      </w:r>
      <w:r w:rsidR="00A36D32">
        <w:t> </w:t>
      </w:r>
      <w:r w:rsidRPr="00245C54">
        <w:t>956</w:t>
      </w:r>
      <w:r w:rsidRPr="00245C54" w:rsidR="004A549B">
        <w:rPr>
          <w:szCs w:val="26"/>
        </w:rPr>
        <w:t>–</w:t>
      </w:r>
      <w:r w:rsidRPr="00245C54">
        <w:t>964.)</w:t>
      </w:r>
      <w:r w:rsidRPr="00245C54" w:rsidR="00611BAE">
        <w:t xml:space="preserve">  </w:t>
      </w:r>
      <w:r w:rsidR="00207035">
        <w:t xml:space="preserve">We did not depart sharply from the basic approach of </w:t>
      </w:r>
      <w:r w:rsidR="00207035">
        <w:rPr>
          <w:i/>
          <w:iCs/>
        </w:rPr>
        <w:t>Borello</w:t>
      </w:r>
      <w:r w:rsidR="00207035">
        <w:t xml:space="preserve">, even though a literal reading of the suffer or permit to work definition would have swept far more broadly.  </w:t>
      </w:r>
      <w:r w:rsidR="00C64CEB">
        <w:t xml:space="preserve">Thus, even if we were to give weight to defendant’s reliance argument </w:t>
      </w:r>
      <w:r w:rsidR="00E138DA">
        <w:t>at this juncture,</w:t>
      </w:r>
      <w:r w:rsidR="00C64CEB">
        <w:t xml:space="preserve"> </w:t>
      </w:r>
      <w:r w:rsidR="009C1EA4">
        <w:t>it bears repeating that</w:t>
      </w:r>
      <w:r w:rsidR="00207035">
        <w:t xml:space="preserve"> </w:t>
      </w:r>
      <w:r w:rsidR="00B632A6">
        <w:t xml:space="preserve">the test we ultimately adopted in </w:t>
      </w:r>
      <w:r w:rsidR="00B632A6">
        <w:rPr>
          <w:i/>
        </w:rPr>
        <w:t>Dynamex</w:t>
      </w:r>
      <w:r w:rsidR="00B632A6">
        <w:t xml:space="preserve"> drew</w:t>
      </w:r>
      <w:r w:rsidR="00207035">
        <w:t xml:space="preserve"> on the factors articulated in </w:t>
      </w:r>
      <w:r w:rsidR="00207035">
        <w:rPr>
          <w:i/>
          <w:iCs/>
        </w:rPr>
        <w:t>Borello</w:t>
      </w:r>
      <w:r w:rsidR="00B632A6">
        <w:t xml:space="preserve"> and</w:t>
      </w:r>
      <w:r w:rsidR="00207035">
        <w:rPr>
          <w:i/>
          <w:iCs/>
        </w:rPr>
        <w:t xml:space="preserve"> </w:t>
      </w:r>
      <w:r w:rsidR="00207035">
        <w:t xml:space="preserve">was </w:t>
      </w:r>
      <w:r w:rsidR="00737A1F">
        <w:t xml:space="preserve">not beyond </w:t>
      </w:r>
      <w:r w:rsidR="00207035">
        <w:t>the bounds of what employers could reasonably have expected</w:t>
      </w:r>
      <w:r w:rsidRPr="00245C54" w:rsidR="000B1BBA">
        <w:t>.</w:t>
      </w:r>
    </w:p>
    <w:p w:rsidR="0087125D" w:rsidRPr="00245C54" w:rsidP="00245C54">
      <w:pPr>
        <w:ind w:firstLine="720"/>
        <w:contextualSpacing/>
      </w:pPr>
      <w:r>
        <w:t xml:space="preserve">It is true that </w:t>
      </w:r>
      <w:r>
        <w:t>“</w:t>
      </w:r>
      <w:r>
        <w:t>w</w:t>
      </w:r>
      <w:r>
        <w:t>e have long recognized the potential for allowing narrow exceptions to the general rule of retroactivity when considerations of fairness and public policy are so compelling in a particular case that, on balance, they outweigh the considerations that underlie the basic rule.”  (</w:t>
      </w:r>
      <w:r>
        <w:rPr>
          <w:i/>
        </w:rPr>
        <w:t>Newman</w:t>
      </w:r>
      <w:r>
        <w:t xml:space="preserve">, </w:t>
      </w:r>
      <w:r>
        <w:rPr>
          <w:i/>
        </w:rPr>
        <w:t>supra</w:t>
      </w:r>
      <w:r>
        <w:t>, 48 Cal.3d at p.</w:t>
      </w:r>
      <w:r w:rsidR="005577B5">
        <w:t> </w:t>
      </w:r>
      <w:r>
        <w:t xml:space="preserve">983.)  In this case, however, fairness and policy considerations underlying our decision in </w:t>
      </w:r>
      <w:r>
        <w:rPr>
          <w:i/>
        </w:rPr>
        <w:t>Dynamex</w:t>
      </w:r>
      <w:r>
        <w:t xml:space="preserve"> </w:t>
      </w:r>
      <w:r w:rsidRPr="00851FB9">
        <w:rPr>
          <w:i/>
        </w:rPr>
        <w:t>favor</w:t>
      </w:r>
      <w:r>
        <w:t xml:space="preserve"> retroactive application.  As we explained in </w:t>
      </w:r>
      <w:r w:rsidRPr="002509A1">
        <w:rPr>
          <w:i/>
        </w:rPr>
        <w:t>Dynamex</w:t>
      </w:r>
      <w:r>
        <w:t>, the wage orders’ protections benefit workers by “enabl[ing] them to provide at least minimally for themselves and their families and to accord them a modicum of dignity and self-respect.”  (</w:t>
      </w:r>
      <w:r>
        <w:rPr>
          <w:i/>
        </w:rPr>
        <w:t>Dynamex</w:t>
      </w:r>
      <w:r>
        <w:t xml:space="preserve">, </w:t>
      </w:r>
      <w:r>
        <w:rPr>
          <w:i/>
        </w:rPr>
        <w:t>supra</w:t>
      </w:r>
      <w:r>
        <w:t>, 4 Cal.5th at p. 952.)  The wage orders also benefit “those law-abiding businesses that comply with the obligations imposed by the wage orders, ensuring that such responsible companies are not hurt by unfair competition from competitor businesses that utilize substandard employment practices.”  (</w:t>
      </w:r>
      <w:r w:rsidRPr="002509A1">
        <w:rPr>
          <w:i/>
        </w:rPr>
        <w:t>I</w:t>
      </w:r>
      <w:r>
        <w:rPr>
          <w:i/>
        </w:rPr>
        <w:t>bi</w:t>
      </w:r>
      <w:r w:rsidRPr="002509A1">
        <w:rPr>
          <w:i/>
        </w:rPr>
        <w:t>d</w:t>
      </w:r>
      <w:r>
        <w:t>.)  And</w:t>
      </w:r>
      <w:r w:rsidR="00762D10">
        <w:t>,</w:t>
      </w:r>
      <w:r>
        <w:t xml:space="preserve"> “the minimum employment standards imposed by wage orders are also for the benefit of the public at large, because if the wage orders’ obligations are not fulfilled the public will often be left to assume responsibility for the ill effects to workers and their families resulting from substandard wages or unhealthy and unsafe working conditions.”  (</w:t>
      </w:r>
      <w:r w:rsidRPr="002509A1">
        <w:rPr>
          <w:i/>
        </w:rPr>
        <w:t>Id</w:t>
      </w:r>
      <w:r>
        <w:t>. at p.</w:t>
      </w:r>
      <w:r w:rsidR="005577B5">
        <w:t> </w:t>
      </w:r>
      <w:r>
        <w:t>953.)  Applying</w:t>
      </w:r>
      <w:r w:rsidRPr="00245C54">
        <w:t xml:space="preserve"> the interpretation of the suffer or permit to work definition adopted in </w:t>
      </w:r>
      <w:r w:rsidRPr="00245C54">
        <w:rPr>
          <w:i/>
        </w:rPr>
        <w:t>Dynamex</w:t>
      </w:r>
      <w:r w:rsidRPr="00245C54">
        <w:t xml:space="preserve"> </w:t>
      </w:r>
      <w:r w:rsidR="007E1F6C">
        <w:t xml:space="preserve">only </w:t>
      </w:r>
      <w:r>
        <w:t xml:space="preserve">prospectively </w:t>
      </w:r>
      <w:r w:rsidRPr="00245C54">
        <w:t>would potentially deprive many workers of the intended protections of the wage orders to which the</w:t>
      </w:r>
      <w:r w:rsidR="00831B53">
        <w:t>y</w:t>
      </w:r>
      <w:r w:rsidRPr="00245C54">
        <w:t xml:space="preserve"> may have improperly been denied</w:t>
      </w:r>
      <w:r w:rsidR="00AC519C">
        <w:t>, as well as permit businesses to retain the unwarranted advantages of misclassification</w:t>
      </w:r>
      <w:r w:rsidRPr="00245C54">
        <w:t>.</w:t>
      </w:r>
      <w:r>
        <w:rPr>
          <w:rStyle w:val="FootnoteReference"/>
        </w:rPr>
        <w:footnoteReference w:id="6"/>
      </w:r>
      <w:r w:rsidR="005C27C9">
        <w:t xml:space="preserve">  Last, because we have already applied our decision in </w:t>
      </w:r>
      <w:r w:rsidR="005C27C9">
        <w:rPr>
          <w:i/>
        </w:rPr>
        <w:t xml:space="preserve">Dynamex </w:t>
      </w:r>
      <w:r w:rsidR="005C27C9">
        <w:t xml:space="preserve">retroactively — to the </w:t>
      </w:r>
      <w:r w:rsidR="005C27C9">
        <w:rPr>
          <w:i/>
        </w:rPr>
        <w:t xml:space="preserve">Dynamex </w:t>
      </w:r>
      <w:r w:rsidR="005C27C9">
        <w:t xml:space="preserve">parties themselves — </w:t>
      </w:r>
      <w:r w:rsidR="00536BF4">
        <w:t>i</w:t>
      </w:r>
      <w:r w:rsidR="00EE162D">
        <w:t>t</w:t>
      </w:r>
      <w:r w:rsidR="00536BF4">
        <w:t xml:space="preserve"> would be unfair to withhold </w:t>
      </w:r>
      <w:r w:rsidR="00641DD2">
        <w:t>the benefit of that decision to other similarly situated litigants.</w:t>
      </w:r>
      <w:r>
        <w:t xml:space="preserve"> </w:t>
      </w:r>
    </w:p>
    <w:p w:rsidR="006E45AB" w:rsidRPr="006065DF" w:rsidP="00387CC1">
      <w:pPr>
        <w:ind w:firstLine="720"/>
      </w:pPr>
      <w:r w:rsidRPr="00245C54">
        <w:t>In sum</w:t>
      </w:r>
      <w:r w:rsidRPr="00245C54" w:rsidR="009857BD">
        <w:t xml:space="preserve">, </w:t>
      </w:r>
      <w:r w:rsidRPr="00245C54" w:rsidR="006B2FFE">
        <w:t>no “compelling and unusual circumstances justify[] departure from the general rule” of retroactivity</w:t>
      </w:r>
      <w:r w:rsidRPr="00245C54" w:rsidR="008652D1">
        <w:t xml:space="preserve">.  </w:t>
      </w:r>
      <w:r w:rsidRPr="00245C54" w:rsidR="00FE3BE2">
        <w:t>(</w:t>
      </w:r>
      <w:r w:rsidRPr="00245C54" w:rsidR="006B2FFE">
        <w:rPr>
          <w:i/>
          <w:iCs/>
        </w:rPr>
        <w:t>Newman</w:t>
      </w:r>
      <w:r w:rsidRPr="00245C54" w:rsidR="006B2FFE">
        <w:t xml:space="preserve">, </w:t>
      </w:r>
      <w:r w:rsidRPr="00245C54" w:rsidR="006B2FFE">
        <w:rPr>
          <w:i/>
          <w:iCs/>
        </w:rPr>
        <w:t>supra</w:t>
      </w:r>
      <w:r w:rsidRPr="00245C54" w:rsidR="006B2FFE">
        <w:t>, 48 Cal.3d at p.</w:t>
      </w:r>
      <w:r w:rsidR="00A36D32">
        <w:t> </w:t>
      </w:r>
      <w:r w:rsidRPr="00245C54" w:rsidR="002E2B99">
        <w:t>983;</w:t>
      </w:r>
      <w:r w:rsidRPr="00245C54" w:rsidR="006B2FFE">
        <w:rPr>
          <w:i/>
          <w:iCs/>
        </w:rPr>
        <w:t xml:space="preserve"> </w:t>
      </w:r>
      <w:r w:rsidRPr="00245C54" w:rsidR="00C031B5">
        <w:rPr>
          <w:i/>
        </w:rPr>
        <w:t>Waller</w:t>
      </w:r>
      <w:r w:rsidRPr="00245C54" w:rsidR="00C425FA">
        <w:rPr>
          <w:iCs/>
        </w:rPr>
        <w:t xml:space="preserve">, </w:t>
      </w:r>
      <w:r w:rsidRPr="00245C54" w:rsidR="00C425FA">
        <w:rPr>
          <w:i/>
        </w:rPr>
        <w:t>supra</w:t>
      </w:r>
      <w:r w:rsidRPr="00245C54" w:rsidR="00C425FA">
        <w:rPr>
          <w:iCs/>
        </w:rPr>
        <w:t>,</w:t>
      </w:r>
      <w:r w:rsidRPr="00245C54" w:rsidR="00C031B5">
        <w:rPr>
          <w:i/>
        </w:rPr>
        <w:t xml:space="preserve"> </w:t>
      </w:r>
      <w:r w:rsidRPr="00245C54" w:rsidR="00C031B5">
        <w:t xml:space="preserve">11 Cal.4th </w:t>
      </w:r>
      <w:r w:rsidRPr="00245C54" w:rsidR="00C425FA">
        <w:t>at p.</w:t>
      </w:r>
      <w:r w:rsidR="00A36D32">
        <w:t> </w:t>
      </w:r>
      <w:r w:rsidRPr="00245C54" w:rsidR="00C031B5">
        <w:t xml:space="preserve">25 [rejecting argument against retroactivity because law in question was “but a logical extension” of well-established principles].)  </w:t>
      </w:r>
      <w:r w:rsidRPr="00245C54" w:rsidR="00DE62C8">
        <w:t xml:space="preserve">As we noted, </w:t>
      </w:r>
      <w:r w:rsidRPr="00245C54" w:rsidR="00DE62C8">
        <w:rPr>
          <w:i/>
        </w:rPr>
        <w:t xml:space="preserve">Borello </w:t>
      </w:r>
      <w:r w:rsidRPr="00245C54" w:rsidR="00DE62C8">
        <w:t xml:space="preserve">itself distinguished between an employee and an independent contractor </w:t>
      </w:r>
      <w:r w:rsidRPr="00245C54" w:rsidR="009D1E9F">
        <w:t>“by focusing on the intended scope and purposes of the particular statutory provision or provisions at issue.”  (</w:t>
      </w:r>
      <w:r w:rsidRPr="00245C54" w:rsidR="009D1E9F">
        <w:rPr>
          <w:i/>
        </w:rPr>
        <w:t>Dynamex</w:t>
      </w:r>
      <w:r w:rsidRPr="00245C54" w:rsidR="009D1E9F">
        <w:t xml:space="preserve">, </w:t>
      </w:r>
      <w:r w:rsidRPr="00245C54" w:rsidR="009D1E9F">
        <w:rPr>
          <w:i/>
        </w:rPr>
        <w:t>supra</w:t>
      </w:r>
      <w:r w:rsidRPr="00245C54" w:rsidR="009D1E9F">
        <w:t>, 4 Cal.5th at p.</w:t>
      </w:r>
      <w:r w:rsidR="00A36D32">
        <w:t> </w:t>
      </w:r>
      <w:r w:rsidRPr="00245C54" w:rsidR="00D51483">
        <w:t xml:space="preserve">934.) </w:t>
      </w:r>
      <w:r w:rsidRPr="00245C54" w:rsidR="009D1E9F">
        <w:rPr>
          <w:i/>
        </w:rPr>
        <w:t xml:space="preserve"> </w:t>
      </w:r>
      <w:r w:rsidRPr="00245C54" w:rsidR="009857BD">
        <w:t xml:space="preserve">Given the longstanding </w:t>
      </w:r>
      <w:r w:rsidRPr="00245C54" w:rsidR="003335F2">
        <w:t>definition of</w:t>
      </w:r>
      <w:r w:rsidRPr="00245C54" w:rsidR="00952591">
        <w:t xml:space="preserve"> “employ”</w:t>
      </w:r>
      <w:r w:rsidRPr="00245C54" w:rsidR="009857BD">
        <w:t xml:space="preserve"> </w:t>
      </w:r>
      <w:r w:rsidRPr="00245C54" w:rsidR="00952591">
        <w:t xml:space="preserve">as to </w:t>
      </w:r>
      <w:r w:rsidRPr="00245C54" w:rsidR="009857BD">
        <w:t>suffer or permit to work</w:t>
      </w:r>
      <w:r w:rsidRPr="00245C54" w:rsidR="00952591">
        <w:t xml:space="preserve"> in California’s wage orders</w:t>
      </w:r>
      <w:r w:rsidRPr="00245C54" w:rsidR="009857BD">
        <w:t xml:space="preserve">, </w:t>
      </w:r>
      <w:r w:rsidRPr="00245C54" w:rsidR="00582AD4">
        <w:t xml:space="preserve">and the unsettled nature of </w:t>
      </w:r>
      <w:r w:rsidRPr="00245C54" w:rsidR="002B3AA7">
        <w:t xml:space="preserve">its application </w:t>
      </w:r>
      <w:r w:rsidRPr="00245C54" w:rsidR="0082339F">
        <w:t>in</w:t>
      </w:r>
      <w:r w:rsidRPr="00245C54" w:rsidR="002B3AA7">
        <w:t xml:space="preserve"> the employee/independent contractor </w:t>
      </w:r>
      <w:r w:rsidRPr="00245C54" w:rsidR="002801DF">
        <w:t>context</w:t>
      </w:r>
      <w:r w:rsidRPr="00245C54" w:rsidR="002B3AA7">
        <w:t xml:space="preserve">, </w:t>
      </w:r>
      <w:r w:rsidRPr="00245C54" w:rsidR="009857BD">
        <w:t xml:space="preserve">we reject the contention that it is unfair to putative employers to apply the ABC standard to </w:t>
      </w:r>
      <w:r w:rsidRPr="003C23D1" w:rsidR="009857BD">
        <w:t>work settings</w:t>
      </w:r>
      <w:r w:rsidRPr="00245C54" w:rsidR="009857BD">
        <w:t xml:space="preserve"> that predate the </w:t>
      </w:r>
      <w:r w:rsidRPr="00245C54" w:rsidR="009857BD">
        <w:rPr>
          <w:i/>
        </w:rPr>
        <w:t>Dynamex</w:t>
      </w:r>
      <w:r w:rsidRPr="00245C54" w:rsidR="009857BD">
        <w:t xml:space="preserve"> opinion.</w:t>
      </w:r>
      <w:r w:rsidRPr="00245C54" w:rsidR="00787EAA">
        <w:t xml:space="preserve"> </w:t>
      </w:r>
      <w:r w:rsidRPr="00245C54" w:rsidR="002D1F30">
        <w:t xml:space="preserve"> Indeed, we have routinely applied our decisions interpreting wage orders retroactively, even when </w:t>
      </w:r>
      <w:r w:rsidR="00C9205F">
        <w:t xml:space="preserve">the parties </w:t>
      </w:r>
      <w:r w:rsidR="00101C8B">
        <w:t xml:space="preserve">did not anticipate </w:t>
      </w:r>
      <w:r w:rsidRPr="00245C54" w:rsidR="002D1F30">
        <w:t xml:space="preserve">the precise interpretation of such orders.  (See, e.g., </w:t>
      </w:r>
      <w:r w:rsidRPr="00245C54" w:rsidR="002D1F30">
        <w:rPr>
          <w:i/>
        </w:rPr>
        <w:t>Frlekin v. Apple</w:t>
      </w:r>
      <w:r w:rsidRPr="00245C54" w:rsidR="002D1F30">
        <w:t xml:space="preserve"> (2020) 8 Cal.5th 1038, 1057; </w:t>
      </w:r>
      <w:r w:rsidRPr="00245C54" w:rsidR="002D1F30">
        <w:rPr>
          <w:i/>
        </w:rPr>
        <w:t>Mendiola v. CPS Security Solutions, Inc.</w:t>
      </w:r>
      <w:r w:rsidRPr="00245C54" w:rsidR="002D1F30">
        <w:t xml:space="preserve"> (2015) 60</w:t>
      </w:r>
      <w:r w:rsidR="00A36D32">
        <w:t> </w:t>
      </w:r>
      <w:r w:rsidRPr="00245C54" w:rsidR="002D1F30">
        <w:t>Cal.4th 833, 848, fn.</w:t>
      </w:r>
      <w:r w:rsidR="00A36D32">
        <w:t> </w:t>
      </w:r>
      <w:r w:rsidRPr="00245C54" w:rsidR="002D1F30">
        <w:t>18.)</w:t>
      </w:r>
      <w:r w:rsidRPr="00245C54" w:rsidR="000D1311">
        <w:t xml:space="preserve">  </w:t>
      </w:r>
    </w:p>
    <w:p w:rsidR="0034452B" w:rsidP="004B6BEC">
      <w:pPr>
        <w:ind w:firstLine="720"/>
      </w:pPr>
      <w:r w:rsidRPr="00245C54">
        <w:t>G</w:t>
      </w:r>
      <w:r w:rsidRPr="00245C54" w:rsidR="009857BD">
        <w:t xml:space="preserve">iven the constraints imposed by the statute of limitations, the retroactive application of </w:t>
      </w:r>
      <w:r w:rsidRPr="00245C54" w:rsidR="009857BD">
        <w:rPr>
          <w:i/>
        </w:rPr>
        <w:t xml:space="preserve">Dynamex </w:t>
      </w:r>
      <w:r w:rsidRPr="00245C54" w:rsidR="009857BD">
        <w:t xml:space="preserve">will in practice affect </w:t>
      </w:r>
      <w:r w:rsidR="00590C25">
        <w:t>a limited number of cases</w:t>
      </w:r>
      <w:r w:rsidRPr="00245C54">
        <w:t>.  Nonetheless, i</w:t>
      </w:r>
      <w:r w:rsidRPr="00245C54" w:rsidR="009857BD">
        <w:t xml:space="preserve">n light of the </w:t>
      </w:r>
      <w:r w:rsidR="00E71491">
        <w:t xml:space="preserve">general rule of retroactivity of judicial decisions and the </w:t>
      </w:r>
      <w:r w:rsidRPr="00245C54" w:rsidR="009857BD">
        <w:t>fundamental importance of the protections afforded by the wage orders</w:t>
      </w:r>
      <w:r w:rsidRPr="00245C54">
        <w:t>,</w:t>
      </w:r>
      <w:r w:rsidRPr="00245C54" w:rsidR="009857BD">
        <w:t xml:space="preserve"> </w:t>
      </w:r>
      <w:r w:rsidR="00A05C4E">
        <w:t>we find no</w:t>
      </w:r>
      <w:r w:rsidRPr="00245C54" w:rsidR="009857BD">
        <w:t xml:space="preserve"> </w:t>
      </w:r>
      <w:r w:rsidRPr="00245C54" w:rsidR="002801DF">
        <w:t xml:space="preserve">compelling </w:t>
      </w:r>
      <w:r w:rsidRPr="00245C54" w:rsidR="009857BD">
        <w:t xml:space="preserve">justification for denying workers included in such lawsuits the benefit of the standard set forth in </w:t>
      </w:r>
      <w:r w:rsidRPr="00245C54" w:rsidR="009857BD">
        <w:rPr>
          <w:i/>
        </w:rPr>
        <w:t>Dynamex</w:t>
      </w:r>
      <w:r w:rsidRPr="00245C54" w:rsidR="009857BD">
        <w:t xml:space="preserve">.  </w:t>
      </w:r>
      <w:r>
        <w:br w:type="page"/>
      </w:r>
    </w:p>
    <w:p w:rsidR="009857BD" w:rsidRPr="00245C54" w:rsidP="004B6BEC">
      <w:pPr>
        <w:pStyle w:val="Heading1"/>
      </w:pPr>
      <w:r w:rsidRPr="00245C54">
        <w:t>III.  Conclusion</w:t>
      </w:r>
    </w:p>
    <w:p w:rsidR="00120E94" w:rsidRPr="00245C54" w:rsidP="00245C54">
      <w:pPr>
        <w:ind w:firstLine="720"/>
        <w:contextualSpacing/>
      </w:pPr>
      <w:r w:rsidRPr="00245C54">
        <w:t xml:space="preserve">In </w:t>
      </w:r>
      <w:r w:rsidRPr="00245C54" w:rsidR="009857BD">
        <w:t xml:space="preserve">answer to the question posed by the Ninth Circuit, </w:t>
      </w:r>
      <w:r w:rsidR="00A05C4E">
        <w:t>we</w:t>
      </w:r>
      <w:r w:rsidRPr="00245C54" w:rsidR="009857BD">
        <w:t xml:space="preserve"> conclude that </w:t>
      </w:r>
      <w:r w:rsidR="00AB3348">
        <w:t>our</w:t>
      </w:r>
      <w:r w:rsidRPr="00245C54" w:rsidR="009857BD">
        <w:t xml:space="preserve"> decision in </w:t>
      </w:r>
      <w:r w:rsidRPr="00245C54" w:rsidR="009857BD">
        <w:rPr>
          <w:i/>
        </w:rPr>
        <w:t>Dynamex</w:t>
      </w:r>
      <w:r w:rsidRPr="00245C54" w:rsidR="009857BD">
        <w:t xml:space="preserve"> applies retroactively to </w:t>
      </w:r>
      <w:r w:rsidR="00641DD2">
        <w:t>all nonfinal cases</w:t>
      </w:r>
      <w:r w:rsidRPr="00245C54" w:rsidR="009857BD">
        <w:t xml:space="preserve"> that predate the effective date of the </w:t>
      </w:r>
      <w:r w:rsidRPr="00245C54" w:rsidR="009857BD">
        <w:rPr>
          <w:i/>
        </w:rPr>
        <w:t xml:space="preserve">Dynamex </w:t>
      </w:r>
      <w:r w:rsidRPr="00245C54" w:rsidR="009857BD">
        <w:t>decision.</w:t>
      </w:r>
    </w:p>
    <w:p w:rsidR="009B2DE6" w:rsidRPr="00245C54" w:rsidP="00245C54">
      <w:pPr>
        <w:tabs>
          <w:tab w:val="right" w:pos="8460"/>
        </w:tabs>
        <w:contextualSpacing/>
        <w:rPr>
          <w:b/>
        </w:rPr>
      </w:pPr>
      <w:r w:rsidRPr="00245C54">
        <w:tab/>
      </w:r>
      <w:r w:rsidRPr="00245C54" w:rsidR="00B87903">
        <w:rPr>
          <w:b/>
        </w:rPr>
        <w:t>CANTIL-SAKAUYE, C.</w:t>
      </w:r>
      <w:r w:rsidRPr="00245C54">
        <w:rPr>
          <w:b/>
        </w:rPr>
        <w:t> </w:t>
      </w:r>
      <w:r w:rsidRPr="00245C54" w:rsidR="00B87903">
        <w:rPr>
          <w:b/>
        </w:rPr>
        <w:t>J.</w:t>
      </w:r>
    </w:p>
    <w:p w:rsidR="004821C7" w:rsidP="004821C7">
      <w:pPr>
        <w:tabs>
          <w:tab w:val="left" w:pos="1440"/>
        </w:tabs>
        <w:rPr>
          <w:b/>
        </w:rPr>
      </w:pPr>
    </w:p>
    <w:p w:rsidR="00676D01" w:rsidP="002C78B8">
      <w:pPr>
        <w:tabs>
          <w:tab w:val="left" w:pos="1440"/>
        </w:tabs>
        <w:rPr>
          <w:b/>
        </w:rPr>
      </w:pPr>
      <w:r w:rsidRPr="0093774B">
        <w:rPr>
          <w:b/>
        </w:rPr>
        <w:t>We Concur:</w:t>
      </w:r>
    </w:p>
    <w:p w:rsidR="001175EF" w:rsidP="001175EF">
      <w:pPr>
        <w:tabs>
          <w:tab w:val="left" w:pos="1440"/>
        </w:tabs>
        <w:spacing w:after="0"/>
        <w:rPr>
          <w:b/>
        </w:rPr>
      </w:pPr>
      <w:r>
        <w:rPr>
          <w:b/>
        </w:rPr>
        <w:t>CORRIGAN, J.</w:t>
      </w:r>
    </w:p>
    <w:p w:rsidR="001175EF" w:rsidP="001175EF">
      <w:pPr>
        <w:tabs>
          <w:tab w:val="left" w:pos="1440"/>
        </w:tabs>
        <w:spacing w:after="0"/>
        <w:rPr>
          <w:b/>
        </w:rPr>
      </w:pPr>
      <w:r>
        <w:rPr>
          <w:b/>
        </w:rPr>
        <w:t>LIU, J.</w:t>
      </w:r>
    </w:p>
    <w:p w:rsidR="001175EF" w:rsidP="001175EF">
      <w:pPr>
        <w:tabs>
          <w:tab w:val="left" w:pos="1440"/>
        </w:tabs>
        <w:spacing w:after="0"/>
        <w:rPr>
          <w:b/>
        </w:rPr>
      </w:pPr>
      <w:r>
        <w:rPr>
          <w:b/>
        </w:rPr>
        <w:t>CUÉLLAR , J.</w:t>
      </w:r>
    </w:p>
    <w:p w:rsidR="001175EF" w:rsidP="001175EF">
      <w:pPr>
        <w:tabs>
          <w:tab w:val="left" w:pos="1440"/>
        </w:tabs>
        <w:spacing w:after="0"/>
        <w:rPr>
          <w:b/>
        </w:rPr>
      </w:pPr>
      <w:r>
        <w:rPr>
          <w:b/>
        </w:rPr>
        <w:t>KRUGER, J.</w:t>
      </w:r>
    </w:p>
    <w:p w:rsidR="001175EF" w:rsidP="001175EF">
      <w:pPr>
        <w:tabs>
          <w:tab w:val="left" w:pos="1440"/>
        </w:tabs>
        <w:spacing w:after="0"/>
        <w:rPr>
          <w:b/>
        </w:rPr>
      </w:pPr>
      <w:r>
        <w:rPr>
          <w:b/>
        </w:rPr>
        <w:t>GROBAN, J.</w:t>
      </w:r>
    </w:p>
    <w:p w:rsidR="001175EF" w:rsidP="001175EF">
      <w:pPr>
        <w:tabs>
          <w:tab w:val="left" w:pos="1440"/>
        </w:tabs>
        <w:spacing w:after="0"/>
        <w:rPr>
          <w:b/>
        </w:rPr>
      </w:pPr>
      <w:r>
        <w:rPr>
          <w:b/>
        </w:rPr>
        <w:t>HUMES, J.</w:t>
      </w:r>
      <w:r w:rsidRPr="006E7239">
        <w:rPr>
          <w:bCs/>
          <w:vertAlign w:val="superscript"/>
        </w:rPr>
        <w:t>*</w:t>
      </w: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2C78B8">
      <w:pPr>
        <w:tabs>
          <w:tab w:val="left" w:pos="1440"/>
        </w:tabs>
        <w:rPr>
          <w:b/>
        </w:rPr>
      </w:pPr>
    </w:p>
    <w:p w:rsidR="001175EF" w:rsidP="001175EF">
      <w:pPr>
        <w:pStyle w:val="FootnoteText"/>
      </w:pPr>
      <w:r>
        <w:t>________________________</w:t>
      </w:r>
    </w:p>
    <w:p w:rsidR="00BF63DE" w:rsidP="001175EF">
      <w:pPr>
        <w:pStyle w:val="FootnoteText"/>
        <w:tabs>
          <w:tab w:val="left" w:pos="360"/>
        </w:tabs>
        <w:rPr>
          <w:sz w:val="24"/>
          <w:szCs w:val="24"/>
        </w:rPr>
        <w:sectPr w:rsidSect="002E55D8">
          <w:footerReference w:type="default" r:id="rId11"/>
          <w:footerReference w:type="first" r:id="rId12"/>
          <w:pgSz w:w="12240" w:h="15840"/>
          <w:pgMar w:top="1800" w:right="2160" w:bottom="1440" w:left="2160" w:header="720" w:footer="720" w:gutter="0"/>
          <w:pgNumType w:start="1"/>
          <w:cols w:space="720"/>
          <w:titlePg/>
          <w:docGrid w:linePitch="367"/>
        </w:sectPr>
      </w:pPr>
      <w:r w:rsidRPr="00CE217C">
        <w:rPr>
          <w:rStyle w:val="FootnoteReference"/>
          <w:sz w:val="22"/>
          <w:szCs w:val="22"/>
        </w:rPr>
        <w:t>*</w:t>
      </w:r>
      <w:r w:rsidRPr="00CE217C">
        <w:rPr>
          <w:sz w:val="22"/>
          <w:szCs w:val="22"/>
        </w:rPr>
        <w:t xml:space="preserve"> </w:t>
      </w:r>
      <w:r w:rsidRPr="00CE217C">
        <w:rPr>
          <w:sz w:val="22"/>
          <w:szCs w:val="22"/>
        </w:rPr>
        <w:tab/>
      </w:r>
      <w:r w:rsidRPr="002F7EA6" w:rsidR="00F2640A">
        <w:rPr>
          <w:szCs w:val="27"/>
        </w:rPr>
        <w:t>Administrative Presiding</w:t>
      </w:r>
      <w:r w:rsidRPr="002F7EA6">
        <w:rPr>
          <w:szCs w:val="27"/>
        </w:rPr>
        <w:t xml:space="preserve"> Justice of the Court of Appeal, First Appellate District, Division One, assigned by the Chief Justice pursuant to article VI, section 6 of the California Constitution.</w:t>
      </w:r>
    </w:p>
    <w:p w:rsidR="00847A97" w:rsidRPr="00847A97" w:rsidP="00847A97">
      <w:pPr>
        <w:spacing w:after="0" w:line="240" w:lineRule="auto"/>
        <w:jc w:val="left"/>
        <w:rPr>
          <w:rFonts w:ascii="Times New Roman" w:hAnsi="Times New Roman"/>
          <w:i/>
          <w:sz w:val="20"/>
        </w:rPr>
      </w:pPr>
      <w:r w:rsidRPr="00847A97">
        <w:rPr>
          <w:rFonts w:ascii="Times New Roman" w:hAnsi="Times New Roman"/>
          <w:i/>
          <w:sz w:val="20"/>
        </w:rPr>
        <w:t>See next page for addresses and telephone numbers for counsel who argued in Supreme Court.</w:t>
      </w:r>
    </w:p>
    <w:p w:rsidR="00847A97" w:rsidRPr="00847A97" w:rsidP="00847A97">
      <w:pPr>
        <w:spacing w:after="0" w:line="240" w:lineRule="auto"/>
        <w:jc w:val="left"/>
        <w:rPr>
          <w:rFonts w:ascii="Times New Roman" w:hAnsi="Times New Roman"/>
          <w:i/>
          <w:sz w:val="20"/>
        </w:rPr>
      </w:pP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 xml:space="preserve">Name of Opinion </w:t>
      </w:r>
      <w:r w:rsidRPr="00847A97">
        <w:rPr>
          <w:rFonts w:ascii="Times New Roman" w:hAnsi="Times New Roman"/>
          <w:bCs/>
          <w:sz w:val="20"/>
        </w:rPr>
        <w:t xml:space="preserve">Vazquez v. Jan-Pro Franchising International, Inc. </w:t>
      </w:r>
      <w:r w:rsidRPr="00847A97">
        <w:rPr>
          <w:rFonts w:ascii="Times New Roman" w:hAnsi="Times New Roman"/>
          <w:b/>
          <w:sz w:val="20"/>
        </w:rPr>
        <w:t>_________________________________________________________________________________</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Unpublished Opinion</w:t>
      </w:r>
    </w:p>
    <w:p w:rsidR="00847A97" w:rsidRPr="00847A97" w:rsidP="00847A97">
      <w:pPr>
        <w:spacing w:after="0" w:line="240" w:lineRule="auto"/>
        <w:jc w:val="left"/>
        <w:rPr>
          <w:rFonts w:ascii="Times New Roman" w:hAnsi="Times New Roman"/>
          <w:sz w:val="20"/>
        </w:rPr>
      </w:pPr>
      <w:r w:rsidRPr="00847A97">
        <w:rPr>
          <w:rFonts w:ascii="Times New Roman" w:hAnsi="Times New Roman"/>
          <w:b/>
          <w:sz w:val="20"/>
        </w:rPr>
        <w:t>Original Appeal</w:t>
      </w: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 xml:space="preserve">Original Proceeding </w:t>
      </w:r>
      <w:r w:rsidRPr="00847A97">
        <w:rPr>
          <w:rFonts w:ascii="Times New Roman" w:hAnsi="Times New Roman"/>
          <w:sz w:val="20"/>
        </w:rPr>
        <w:t>XXX on request pursuant to rule 8.548, Cal. Rules of Court</w:t>
      </w: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 xml:space="preserve">Review Granted </w:t>
      </w:r>
      <w:r w:rsidRPr="00847A97">
        <w:rPr>
          <w:rFonts w:ascii="Times New Roman" w:hAnsi="Times New Roman"/>
          <w:bCs/>
          <w:sz w:val="20"/>
        </w:rPr>
        <w:t xml:space="preserve">   </w:t>
      </w: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Rehearing Granted</w:t>
      </w: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__________________________________________________________________________________</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Opinion No.</w:t>
      </w:r>
      <w:r w:rsidRPr="00847A97">
        <w:rPr>
          <w:rFonts w:ascii="Times New Roman" w:hAnsi="Times New Roman"/>
          <w:sz w:val="20"/>
        </w:rPr>
        <w:t xml:space="preserve"> S258191</w:t>
      </w: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Date Filed:</w:t>
      </w:r>
      <w:r w:rsidRPr="00847A97">
        <w:rPr>
          <w:rFonts w:ascii="Times New Roman" w:hAnsi="Times New Roman"/>
          <w:sz w:val="20"/>
        </w:rPr>
        <w:t xml:space="preserve"> January 14, 2021</w:t>
      </w: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__________________________________________________________________________________</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 xml:space="preserve">Court:   </w:t>
      </w:r>
    </w:p>
    <w:p w:rsidR="00847A97" w:rsidRPr="00847A97" w:rsidP="00847A97">
      <w:pPr>
        <w:spacing w:after="0" w:line="240" w:lineRule="auto"/>
        <w:jc w:val="left"/>
        <w:rPr>
          <w:rFonts w:ascii="Times New Roman" w:hAnsi="Times New Roman"/>
          <w:bCs/>
          <w:sz w:val="20"/>
        </w:rPr>
      </w:pPr>
      <w:r w:rsidRPr="00847A97">
        <w:rPr>
          <w:rFonts w:ascii="Times New Roman" w:hAnsi="Times New Roman"/>
          <w:b/>
          <w:sz w:val="20"/>
        </w:rPr>
        <w:t xml:space="preserve">County:  </w:t>
      </w:r>
      <w:r w:rsidRPr="00847A97">
        <w:rPr>
          <w:rFonts w:ascii="Times New Roman" w:hAnsi="Times New Roman"/>
          <w:bCs/>
          <w:sz w:val="20"/>
        </w:rPr>
        <w:t xml:space="preserve"> </w:t>
      </w:r>
    </w:p>
    <w:p w:rsidR="00847A97" w:rsidRPr="00847A97" w:rsidP="00847A97">
      <w:pPr>
        <w:spacing w:after="0" w:line="240" w:lineRule="auto"/>
        <w:ind w:left="720" w:hanging="720"/>
        <w:jc w:val="left"/>
        <w:rPr>
          <w:rFonts w:ascii="Times New Roman" w:hAnsi="Times New Roman"/>
          <w:bCs/>
          <w:sz w:val="20"/>
        </w:rPr>
      </w:pPr>
      <w:r w:rsidRPr="00847A97">
        <w:rPr>
          <w:rFonts w:ascii="Times New Roman" w:hAnsi="Times New Roman"/>
          <w:b/>
          <w:sz w:val="20"/>
        </w:rPr>
        <w:t xml:space="preserve">Judge:  </w:t>
      </w:r>
      <w:r w:rsidRPr="00847A97">
        <w:rPr>
          <w:rFonts w:ascii="Times New Roman" w:hAnsi="Times New Roman"/>
          <w:bCs/>
          <w:sz w:val="20"/>
        </w:rPr>
        <w:t xml:space="preserve"> </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__________________________________________________________________________________</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Counsel:</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Lichten &amp; Liss-Riordan and Shannon Liss-Riordan for Plaintiffs and Appellants.</w:t>
      </w:r>
    </w:p>
    <w:p w:rsidR="00847A97" w:rsidP="00847A97">
      <w:pPr>
        <w:spacing w:after="0" w:line="240" w:lineRule="auto"/>
        <w:jc w:val="left"/>
        <w:rPr>
          <w:rFonts w:ascii="Times New Roman" w:hAnsi="Times New Roman"/>
          <w:bCs/>
          <w:sz w:val="20"/>
        </w:rPr>
      </w:pPr>
    </w:p>
    <w:p w:rsidR="006D2ED0" w:rsidRPr="007975B5" w:rsidP="006D2ED0">
      <w:pPr>
        <w:pStyle w:val="PlainText"/>
        <w:rPr>
          <w:rFonts w:ascii="Times New Roman" w:hAnsi="Times New Roman" w:cs="Times New Roman"/>
          <w:sz w:val="20"/>
          <w:szCs w:val="20"/>
        </w:rPr>
      </w:pPr>
      <w:r w:rsidRPr="007975B5">
        <w:rPr>
          <w:rFonts w:ascii="Times New Roman" w:hAnsi="Times New Roman" w:cs="Times New Roman"/>
          <w:sz w:val="20"/>
          <w:szCs w:val="20"/>
        </w:rPr>
        <w:t>Nayantara Mehta; Cynthia L. Rice, Verónica Meléndez; Jennifer Reisch; Carol Vigne; Ellyn Moscowitz;  Rocio Alejandra Avila; and Jora Trang for National Employment Law Project, California Rural Legal Assistance Foundation, Equal Rights Advocates, Legal Aid at Work, Legal Aid of Marin, National Domestic Workers Alliance and Worksafe, Inc., as Amici Curiae on behalf of Plaintiffs and Appellants.</w:t>
      </w:r>
    </w:p>
    <w:p w:rsidR="006D2ED0"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Olivier Schreiber &amp; Chao, Monique Olivier; and Reynaldo Fuentes for California Employment Lawyers Association and Partnership for Working Families as Amici Curiae on behalf of Plaintiffs and Appellants.</w:t>
      </w:r>
      <w:r w:rsidRPr="00847A97">
        <w:rPr>
          <w:rFonts w:ascii="Times New Roman" w:hAnsi="Times New Roman"/>
          <w:bCs/>
          <w:color w:val="7030A0"/>
          <w:sz w:val="20"/>
        </w:rPr>
        <w:t xml:space="preserve">                      </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 xml:space="preserve">O’Hagan Meyer, Jeffrey M. Rosin; Willenken, Jason H. Wilson, Eileen M. Ahern and Amelia L.B. Sargent for Defendant and Respondent.  </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Marron Lawyers, Paul Marron, Steven C. Rice and Paul B. Arenas for Taxicab Paratransit Association of California as Amicus Curiae on behalf of Defendant and Respondent.</w:t>
      </w:r>
      <w:r w:rsidRPr="00847A97">
        <w:rPr>
          <w:rFonts w:ascii="Times New Roman" w:hAnsi="Times New Roman"/>
          <w:bCs/>
          <w:color w:val="7030A0"/>
          <w:sz w:val="20"/>
        </w:rPr>
        <w:t xml:space="preserve">  </w:t>
      </w:r>
      <w:r w:rsidRPr="00847A97">
        <w:rPr>
          <w:rFonts w:ascii="Times New Roman" w:hAnsi="Times New Roman"/>
          <w:bCs/>
          <w:sz w:val="20"/>
        </w:rPr>
        <w:t xml:space="preserve"> </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Arnold &amp; Porter Kaye Scholer, James F. Speyer and Vanessa C. Adriance for California Chamber of Commerce and the International Franchise Association as Amici Curiae on behalf of Defendant and Respondent.</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Horvitz &amp; Levy, Jeremy B. Rosen, Peder K. Batalden and Felix Shafir for Chamber of Commerce of the United States of America as Amicus Curiae on behalf of Defendant and Respondent.</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r w:rsidRPr="00847A97">
        <w:rPr>
          <w:rFonts w:ascii="Times New Roman" w:hAnsi="Times New Roman"/>
          <w:bCs/>
          <w:sz w:val="20"/>
        </w:rPr>
        <w:t>Paul Hastings, Paul Grossman and Paul W. Cane, Jr., for California Employment Law Council and Employers Group as Amici Curiae on behalf of Defendant and Respondent.</w:t>
      </w: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Cs/>
          <w:sz w:val="20"/>
        </w:rPr>
      </w:pP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br w:type="page"/>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b/>
          <w:sz w:val="20"/>
        </w:rPr>
      </w:pPr>
      <w:r w:rsidRPr="00847A97">
        <w:rPr>
          <w:rFonts w:ascii="Times New Roman" w:hAnsi="Times New Roman"/>
          <w:b/>
          <w:sz w:val="20"/>
        </w:rPr>
        <w:t>Counsel who argued in Supreme Court (not intended for publication with opinion):</w:t>
      </w:r>
    </w:p>
    <w:p w:rsidR="00847A97" w:rsidRPr="00847A97" w:rsidP="00847A97">
      <w:pPr>
        <w:spacing w:after="0" w:line="240" w:lineRule="auto"/>
        <w:jc w:val="left"/>
        <w:rPr>
          <w:rFonts w:ascii="Times New Roman" w:hAnsi="Times New Roman"/>
          <w:b/>
          <w:sz w:val="20"/>
        </w:rPr>
      </w:pP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Shannon Liss-Riordan</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Lichten &amp; Liss-Riordan, P.C.</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729 Boylston Street, Suite 2000</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Boston, MA 02116</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(617) 994-5800</w:t>
      </w:r>
    </w:p>
    <w:p w:rsidR="00847A97" w:rsidRPr="00847A97" w:rsidP="00847A97">
      <w:pPr>
        <w:spacing w:after="0" w:line="240" w:lineRule="auto"/>
        <w:jc w:val="left"/>
        <w:rPr>
          <w:rFonts w:ascii="Times New Roman" w:hAnsi="Times New Roman"/>
          <w:sz w:val="20"/>
        </w:rPr>
      </w:pP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Jason H. Wilson</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Willenken LLP</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707 Wilshire Blvd., Suite 3850</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Los Angeles, CA 90017</w:t>
      </w:r>
    </w:p>
    <w:p w:rsidR="00847A97" w:rsidRPr="00847A97" w:rsidP="00847A97">
      <w:pPr>
        <w:spacing w:after="0" w:line="240" w:lineRule="auto"/>
        <w:jc w:val="left"/>
        <w:rPr>
          <w:rFonts w:ascii="Times New Roman" w:hAnsi="Times New Roman"/>
          <w:sz w:val="20"/>
        </w:rPr>
      </w:pPr>
      <w:r w:rsidRPr="00847A97">
        <w:rPr>
          <w:rFonts w:ascii="Times New Roman" w:hAnsi="Times New Roman"/>
          <w:sz w:val="20"/>
        </w:rPr>
        <w:t xml:space="preserve">(213) 955-9240  </w:t>
      </w:r>
    </w:p>
    <w:p w:rsidR="001175EF" w:rsidRPr="001175EF" w:rsidP="001175EF">
      <w:pPr>
        <w:pStyle w:val="FootnoteText"/>
        <w:tabs>
          <w:tab w:val="left" w:pos="360"/>
        </w:tabs>
        <w:rPr>
          <w:sz w:val="22"/>
          <w:szCs w:val="22"/>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15D" w:rsidRPr="0048686F" w:rsidP="0048686F">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E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8B8" w:rsidRPr="002C78B8" w:rsidP="002C78B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20A" w:rsidRPr="00312773">
    <w:pPr>
      <w:pStyle w:val="Footer"/>
      <w:rPr>
        <w:sz w:val="27"/>
        <w:szCs w:val="27"/>
      </w:rPr>
    </w:pPr>
    <w:r w:rsidRPr="00312773">
      <w:rPr>
        <w:rStyle w:val="PageNumber"/>
        <w:sz w:val="27"/>
        <w:szCs w:val="27"/>
      </w:rPr>
      <w:fldChar w:fldCharType="begin"/>
    </w:r>
    <w:r w:rsidRPr="00312773">
      <w:rPr>
        <w:rStyle w:val="PageNumber"/>
        <w:sz w:val="27"/>
        <w:szCs w:val="27"/>
      </w:rPr>
      <w:instrText xml:space="preserve"> PAGE </w:instrText>
    </w:r>
    <w:r w:rsidRPr="00312773">
      <w:rPr>
        <w:rStyle w:val="PageNumber"/>
        <w:sz w:val="27"/>
        <w:szCs w:val="27"/>
      </w:rPr>
      <w:fldChar w:fldCharType="separate"/>
    </w:r>
    <w:r w:rsidRPr="00312773">
      <w:rPr>
        <w:rStyle w:val="PageNumber"/>
        <w:noProof/>
        <w:sz w:val="27"/>
        <w:szCs w:val="27"/>
      </w:rPr>
      <w:t>16</w:t>
    </w:r>
    <w:r w:rsidRPr="00312773">
      <w:rPr>
        <w:rStyle w:val="PageNumber"/>
        <w:sz w:val="27"/>
        <w:szCs w:val="2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550D">
      <w:r>
        <w:separator/>
      </w:r>
    </w:p>
  </w:footnote>
  <w:footnote w:type="continuationSeparator" w:id="1">
    <w:p w:rsidR="0016550D">
      <w:pPr>
        <w:rPr>
          <w:sz w:val="22"/>
        </w:rPr>
      </w:pPr>
      <w:r>
        <w:continuationSeparator/>
      </w:r>
    </w:p>
  </w:footnote>
  <w:footnote w:type="continuationNotice" w:id="2">
    <w:p w:rsidR="0016550D">
      <w:pPr>
        <w:jc w:val="right"/>
        <w:rPr>
          <w:i/>
          <w:sz w:val="20"/>
        </w:rPr>
      </w:pPr>
    </w:p>
  </w:footnote>
  <w:footnote w:id="3">
    <w:p w:rsidR="00676D01" w:rsidRPr="0091245B" w:rsidP="00245C54">
      <w:pPr>
        <w:pStyle w:val="FootnoteText"/>
      </w:pPr>
      <w:r>
        <w:rPr>
          <w:rStyle w:val="FootnoteReference"/>
        </w:rPr>
        <w:footnoteRef/>
      </w:r>
      <w:r>
        <w:t xml:space="preserve"> </w:t>
      </w:r>
      <w:r>
        <w:tab/>
        <w:t xml:space="preserve">Although the particular facts of the underlying federal litigation in this case arise from a franchising arrangement, the question of California law posed by the Ninth Circuit that we agreed to answer does not involve any inquiry into the general relationship or applicability of the </w:t>
      </w:r>
      <w:r>
        <w:rPr>
          <w:i/>
        </w:rPr>
        <w:t xml:space="preserve">Dynamex </w:t>
      </w:r>
      <w:r>
        <w:t xml:space="preserve">decision to franchise agreements or arrangements, and </w:t>
      </w:r>
      <w:r w:rsidR="00D25A6B">
        <w:t>we</w:t>
      </w:r>
      <w:r>
        <w:t xml:space="preserve"> do not address that </w:t>
      </w:r>
      <w:r w:rsidR="004A58CE">
        <w:t>subject</w:t>
      </w:r>
      <w:r>
        <w:t>.</w:t>
      </w:r>
    </w:p>
  </w:footnote>
  <w:footnote w:id="4">
    <w:p w:rsidR="003C0DD8" w:rsidP="00245C54">
      <w:pPr>
        <w:pStyle w:val="FootnoteText"/>
      </w:pPr>
      <w:r>
        <w:rPr>
          <w:rStyle w:val="FootnoteReference"/>
        </w:rPr>
        <w:footnoteRef/>
      </w:r>
      <w:r>
        <w:t xml:space="preserve"> </w:t>
      </w:r>
      <w:r>
        <w:tab/>
        <w:t>California’s wage orders were promulgated by the Industrial Welfare Commission (IWC), the state agency charged with fixing minimum wages, maximum hours of work, and conditions of labor for various industries.  (</w:t>
      </w:r>
      <w:r>
        <w:rPr>
          <w:i/>
        </w:rPr>
        <w:t>Brinker Restaurant Corp. v. Superior Court</w:t>
      </w:r>
      <w:r>
        <w:t xml:space="preserve"> (2012) 53 Cal.4th 1004, 1026.)  Although the Legislature defunded the IWC in 2004, its wage orders remain in </w:t>
      </w:r>
      <w:r w:rsidR="00D15CF0">
        <w:t xml:space="preserve">full force and </w:t>
      </w:r>
      <w:r>
        <w:t>effect.  (</w:t>
      </w:r>
      <w:r>
        <w:rPr>
          <w:i/>
        </w:rPr>
        <w:t>Murphy v. Kenneth Cole Productions, Inc.</w:t>
      </w:r>
      <w:r>
        <w:t xml:space="preserve"> (2007) 40 Cal.4th 1094, 1102, fn. 4.)     </w:t>
      </w:r>
    </w:p>
  </w:footnote>
  <w:footnote w:id="5">
    <w:p w:rsidR="000F499D" w:rsidRPr="005F6E3C">
      <w:pPr>
        <w:pStyle w:val="FootnoteText"/>
      </w:pPr>
      <w:r>
        <w:rPr>
          <w:rStyle w:val="FootnoteReference"/>
        </w:rPr>
        <w:footnoteRef/>
      </w:r>
      <w:r>
        <w:t xml:space="preserve"> </w:t>
      </w:r>
      <w:r>
        <w:tab/>
      </w:r>
      <w:r w:rsidR="0081716C">
        <w:t>Defendant</w:t>
      </w:r>
      <w:r>
        <w:t xml:space="preserve"> also </w:t>
      </w:r>
      <w:r w:rsidR="0018076C">
        <w:t xml:space="preserve">asserts that it relied on our decision in </w:t>
      </w:r>
      <w:r w:rsidR="0018076C">
        <w:rPr>
          <w:i/>
        </w:rPr>
        <w:t>Patterson v. Domino’s Pizza, LLC</w:t>
      </w:r>
      <w:r w:rsidR="0018076C">
        <w:t xml:space="preserve"> </w:t>
      </w:r>
      <w:r w:rsidRPr="00252059" w:rsidR="000B13AB">
        <w:rPr>
          <w:szCs w:val="26"/>
        </w:rPr>
        <w:t>(2014) 60 Cal.4th 474</w:t>
      </w:r>
      <w:r w:rsidR="005F6E3C">
        <w:rPr>
          <w:szCs w:val="26"/>
        </w:rPr>
        <w:t xml:space="preserve">.  </w:t>
      </w:r>
      <w:r w:rsidR="005F6E3C">
        <w:rPr>
          <w:i/>
          <w:szCs w:val="26"/>
        </w:rPr>
        <w:t>Patterson</w:t>
      </w:r>
      <w:r w:rsidR="0085312A">
        <w:rPr>
          <w:szCs w:val="26"/>
        </w:rPr>
        <w:t xml:space="preserve"> addressed the propriety of imposing vicarious liability on a franchisor for a franchisee’s wrongdoing</w:t>
      </w:r>
      <w:r w:rsidR="00124421">
        <w:rPr>
          <w:szCs w:val="26"/>
        </w:rPr>
        <w:t>, rather than</w:t>
      </w:r>
      <w:r w:rsidR="00105A38">
        <w:rPr>
          <w:szCs w:val="26"/>
        </w:rPr>
        <w:t xml:space="preserve"> the question </w:t>
      </w:r>
      <w:r w:rsidR="00D6695F">
        <w:rPr>
          <w:szCs w:val="26"/>
        </w:rPr>
        <w:t xml:space="preserve">of what standard applies in determining whether workers should be classified as employees or independent contractors </w:t>
      </w:r>
      <w:r w:rsidR="00360C53">
        <w:rPr>
          <w:szCs w:val="26"/>
        </w:rPr>
        <w:t>for purposes of California’s wage orders.</w:t>
      </w:r>
    </w:p>
  </w:footnote>
  <w:footnote w:id="6">
    <w:p w:rsidR="0087125D" w:rsidRPr="002306A9" w:rsidP="0087125D">
      <w:pPr>
        <w:pStyle w:val="FootnoteText"/>
        <w:keepLines/>
      </w:pPr>
      <w:r>
        <w:rPr>
          <w:rStyle w:val="FootnoteReference"/>
        </w:rPr>
        <w:footnoteRef/>
      </w:r>
      <w:r>
        <w:t xml:space="preserve"> </w:t>
      </w:r>
      <w:r>
        <w:tab/>
        <w:t xml:space="preserve">Having concluded that our decision in </w:t>
      </w:r>
      <w:r>
        <w:rPr>
          <w:i/>
        </w:rPr>
        <w:t xml:space="preserve">Dynamex </w:t>
      </w:r>
      <w:r>
        <w:t>applies retroactively</w:t>
      </w:r>
      <w:r w:rsidR="00B35A36">
        <w:t>,</w:t>
      </w:r>
      <w:r>
        <w:t xml:space="preserve"> and having found no reliance or fairness considerations weighing against the general rule that judicial decisions apply retroactively, we likewise reject </w:t>
      </w:r>
      <w:r w:rsidR="0081716C">
        <w:t>defendant</w:t>
      </w:r>
      <w:r>
        <w:t>’s related due process challenge to retroactive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8B8" w:rsidRPr="00D816E7" w:rsidP="002C78B8">
    <w:pPr>
      <w:spacing w:after="0" w:line="240" w:lineRule="auto"/>
      <w:jc w:val="center"/>
      <w:rPr>
        <w:sz w:val="22"/>
        <w:szCs w:val="22"/>
      </w:rPr>
    </w:pPr>
    <w:r w:rsidRPr="00D816E7">
      <w:rPr>
        <w:sz w:val="22"/>
        <w:szCs w:val="22"/>
      </w:rPr>
      <w:t>VAZQUEZ v. JAN-PRO FRANCHISING INT</w:t>
    </w:r>
    <w:r w:rsidR="00C03FCF">
      <w:rPr>
        <w:sz w:val="22"/>
        <w:szCs w:val="22"/>
      </w:rPr>
      <w:t>ERNATIONAL</w:t>
    </w:r>
    <w:r w:rsidRPr="00D816E7">
      <w:rPr>
        <w:sz w:val="22"/>
        <w:szCs w:val="22"/>
      </w:rPr>
      <w:t>, INC.</w:t>
    </w:r>
  </w:p>
  <w:p w:rsidR="005E68D1" w:rsidRPr="00D816E7" w:rsidP="002C78B8">
    <w:pPr>
      <w:pStyle w:val="Header"/>
      <w:rPr>
        <w:szCs w:val="22"/>
      </w:rPr>
    </w:pPr>
    <w:r>
      <w:rPr>
        <w:szCs w:val="22"/>
      </w:rPr>
      <w:t>Opinion of the Court by Cantil-Sakauye, C.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E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2B325A"/>
    <w:multiLevelType w:val="hybridMultilevel"/>
    <w:tmpl w:val="B8D658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C54"/>
    <w:pPr>
      <w:spacing w:after="100" w:line="400" w:lineRule="exact"/>
      <w:jc w:val="both"/>
    </w:pPr>
    <w:rPr>
      <w:rFonts w:ascii="Century Schoolbook" w:hAnsi="Century Schoolbook"/>
      <w:sz w:val="27"/>
    </w:rPr>
  </w:style>
  <w:style w:type="paragraph" w:styleId="Heading1">
    <w:name w:val="heading 1"/>
    <w:basedOn w:val="Normal"/>
    <w:next w:val="Normal"/>
    <w:qFormat/>
    <w:rsid w:val="00245C54"/>
    <w:pPr>
      <w:keepNext/>
      <w:spacing w:before="140" w:line="240" w:lineRule="atLeast"/>
      <w:jc w:val="center"/>
      <w:outlineLvl w:val="0"/>
    </w:pPr>
    <w:rPr>
      <w:b/>
      <w:smallCaps/>
    </w:rPr>
  </w:style>
  <w:style w:type="paragraph" w:styleId="Heading2">
    <w:name w:val="heading 2"/>
    <w:basedOn w:val="Normal"/>
    <w:next w:val="Normal"/>
    <w:qFormat/>
    <w:rsid w:val="00245C5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45C54"/>
    <w:pPr>
      <w:keepNext/>
      <w:tabs>
        <w:tab w:val="left" w:pos="1584"/>
      </w:tabs>
      <w:spacing w:before="140" w:line="240" w:lineRule="atLeast"/>
      <w:ind w:left="1584" w:hanging="432"/>
      <w:jc w:val="left"/>
      <w:outlineLvl w:val="2"/>
    </w:pPr>
    <w:rPr>
      <w:i/>
    </w:rPr>
  </w:style>
  <w:style w:type="paragraph" w:styleId="Heading4">
    <w:name w:val="heading 4"/>
    <w:basedOn w:val="Normal"/>
    <w:rsid w:val="00245C54"/>
    <w:pPr>
      <w:keepNext/>
      <w:tabs>
        <w:tab w:val="left" w:pos="2016"/>
      </w:tabs>
      <w:spacing w:before="140" w:line="240" w:lineRule="atLeast"/>
      <w:ind w:left="2016" w:hanging="432"/>
      <w:jc w:val="left"/>
      <w:outlineLvl w:val="3"/>
    </w:pPr>
    <w:rPr>
      <w:i/>
    </w:rPr>
  </w:style>
  <w:style w:type="paragraph" w:styleId="Heading5">
    <w:name w:val="heading 5"/>
    <w:basedOn w:val="Normal"/>
    <w:rsid w:val="00245C5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45C54"/>
    <w:pPr>
      <w:ind w:left="720"/>
    </w:pPr>
  </w:style>
  <w:style w:type="paragraph" w:styleId="Footer">
    <w:name w:val="footer"/>
    <w:basedOn w:val="Normal"/>
    <w:qFormat/>
    <w:rsid w:val="00245C54"/>
    <w:pPr>
      <w:tabs>
        <w:tab w:val="center" w:pos="3960"/>
        <w:tab w:val="right" w:pos="10080"/>
      </w:tabs>
      <w:spacing w:after="0" w:line="240" w:lineRule="auto"/>
      <w:jc w:val="center"/>
    </w:pPr>
    <w:rPr>
      <w:sz w:val="22"/>
    </w:rPr>
  </w:style>
  <w:style w:type="paragraph" w:styleId="Header">
    <w:name w:val="header"/>
    <w:basedOn w:val="Normal"/>
    <w:qFormat/>
    <w:rsid w:val="00245C5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45C54"/>
    <w:rPr>
      <w:rFonts w:ascii="Century Schoolbook" w:hAnsi="Century Schoolbook"/>
      <w:b/>
      <w:i w:val="0"/>
      <w:position w:val="4"/>
      <w:sz w:val="27"/>
      <w:vertAlign w:val="superscript"/>
    </w:rPr>
  </w:style>
  <w:style w:type="paragraph" w:styleId="FootnoteText">
    <w:name w:val="footnote text"/>
    <w:basedOn w:val="Normal"/>
    <w:link w:val="FootnoteTextChar"/>
    <w:rsid w:val="00245C54"/>
    <w:pPr>
      <w:spacing w:line="300" w:lineRule="exact"/>
    </w:pPr>
  </w:style>
  <w:style w:type="paragraph" w:customStyle="1" w:styleId="Title1">
    <w:name w:val="Title1"/>
    <w:basedOn w:val="Normal"/>
    <w:rsid w:val="00245C54"/>
    <w:pPr>
      <w:tabs>
        <w:tab w:val="left" w:pos="5760"/>
        <w:tab w:val="left" w:pos="6480"/>
      </w:tabs>
      <w:spacing w:line="240" w:lineRule="atLeast"/>
    </w:pPr>
  </w:style>
  <w:style w:type="paragraph" w:customStyle="1" w:styleId="Recommend">
    <w:name w:val="Recommend"/>
    <w:basedOn w:val="Normal"/>
    <w:rsid w:val="00245C54"/>
  </w:style>
  <w:style w:type="paragraph" w:customStyle="1" w:styleId="Summary">
    <w:name w:val="Summary"/>
    <w:basedOn w:val="Normal"/>
    <w:rsid w:val="00245C54"/>
    <w:pPr>
      <w:ind w:left="2160" w:hanging="2160"/>
    </w:pPr>
  </w:style>
  <w:style w:type="paragraph" w:customStyle="1" w:styleId="Text">
    <w:name w:val="Text"/>
    <w:basedOn w:val="Normal"/>
    <w:rsid w:val="00245C54"/>
    <w:pPr>
      <w:tabs>
        <w:tab w:val="left" w:pos="720"/>
        <w:tab w:val="left" w:pos="1440"/>
        <w:tab w:val="left" w:pos="2160"/>
        <w:tab w:val="center" w:pos="4320"/>
      </w:tabs>
      <w:spacing w:line="480" w:lineRule="atLeast"/>
      <w:ind w:firstLine="540"/>
    </w:pPr>
  </w:style>
  <w:style w:type="paragraph" w:styleId="Date">
    <w:name w:val="Date"/>
    <w:basedOn w:val="Normal"/>
    <w:semiHidden/>
    <w:rsid w:val="00245C54"/>
    <w:pPr>
      <w:jc w:val="right"/>
    </w:pPr>
  </w:style>
  <w:style w:type="character" w:styleId="PageNumber">
    <w:name w:val="page number"/>
    <w:basedOn w:val="DefaultParagraphFont"/>
    <w:semiHidden/>
    <w:rsid w:val="00245C54"/>
  </w:style>
  <w:style w:type="paragraph" w:customStyle="1" w:styleId="subject">
    <w:name w:val="subject"/>
    <w:basedOn w:val="Normal"/>
    <w:rsid w:val="00245C54"/>
    <w:pPr>
      <w:tabs>
        <w:tab w:val="left" w:pos="1008"/>
      </w:tabs>
      <w:ind w:left="990" w:hanging="990"/>
    </w:pPr>
    <w:rPr>
      <w:b/>
    </w:rPr>
  </w:style>
  <w:style w:type="paragraph" w:customStyle="1" w:styleId="Titles">
    <w:name w:val="Titles"/>
    <w:basedOn w:val="Normal"/>
    <w:rsid w:val="00245C54"/>
    <w:pPr>
      <w:tabs>
        <w:tab w:val="left" w:pos="2160"/>
      </w:tabs>
      <w:ind w:left="2160" w:hanging="2160"/>
    </w:pPr>
    <w:rPr>
      <w:b/>
    </w:rPr>
  </w:style>
  <w:style w:type="paragraph" w:styleId="TOAHeading">
    <w:name w:val="toa heading"/>
    <w:basedOn w:val="Normal"/>
    <w:next w:val="Normal"/>
    <w:semiHidden/>
    <w:rsid w:val="00245C54"/>
    <w:pPr>
      <w:spacing w:before="120"/>
    </w:pPr>
    <w:rPr>
      <w:b/>
    </w:rPr>
  </w:style>
  <w:style w:type="paragraph" w:styleId="TOC1">
    <w:name w:val="toc 1"/>
    <w:basedOn w:val="Normal"/>
    <w:next w:val="Normal"/>
    <w:autoRedefine/>
    <w:semiHidden/>
    <w:rsid w:val="00245C54"/>
  </w:style>
  <w:style w:type="paragraph" w:styleId="TOC2">
    <w:name w:val="toc 2"/>
    <w:basedOn w:val="Normal"/>
    <w:next w:val="Normal"/>
    <w:autoRedefine/>
    <w:semiHidden/>
    <w:rsid w:val="00245C54"/>
    <w:pPr>
      <w:ind w:left="259"/>
    </w:pPr>
  </w:style>
  <w:style w:type="paragraph" w:styleId="TOC3">
    <w:name w:val="toc 3"/>
    <w:basedOn w:val="Normal"/>
    <w:next w:val="Normal"/>
    <w:autoRedefine/>
    <w:semiHidden/>
    <w:rsid w:val="00245C54"/>
    <w:pPr>
      <w:ind w:left="520"/>
    </w:pPr>
  </w:style>
  <w:style w:type="paragraph" w:styleId="TOC4">
    <w:name w:val="toc 4"/>
    <w:basedOn w:val="Normal"/>
    <w:next w:val="Normal"/>
    <w:autoRedefine/>
    <w:semiHidden/>
    <w:rsid w:val="00245C54"/>
    <w:pPr>
      <w:ind w:left="780"/>
    </w:pPr>
  </w:style>
  <w:style w:type="paragraph" w:styleId="TOC5">
    <w:name w:val="toc 5"/>
    <w:basedOn w:val="Normal"/>
    <w:next w:val="Normal"/>
    <w:autoRedefine/>
    <w:semiHidden/>
    <w:rsid w:val="00245C54"/>
    <w:pPr>
      <w:ind w:left="1040"/>
    </w:pPr>
  </w:style>
  <w:style w:type="paragraph" w:styleId="TOC6">
    <w:name w:val="toc 6"/>
    <w:basedOn w:val="Normal"/>
    <w:next w:val="Normal"/>
    <w:autoRedefine/>
    <w:semiHidden/>
    <w:rsid w:val="00245C54"/>
    <w:pPr>
      <w:ind w:left="1300"/>
    </w:pPr>
  </w:style>
  <w:style w:type="paragraph" w:styleId="TOC7">
    <w:name w:val="toc 7"/>
    <w:basedOn w:val="Normal"/>
    <w:next w:val="Normal"/>
    <w:autoRedefine/>
    <w:semiHidden/>
    <w:rsid w:val="00245C54"/>
    <w:pPr>
      <w:ind w:left="1560"/>
    </w:pPr>
  </w:style>
  <w:style w:type="paragraph" w:styleId="TOC8">
    <w:name w:val="toc 8"/>
    <w:basedOn w:val="Normal"/>
    <w:next w:val="Normal"/>
    <w:autoRedefine/>
    <w:semiHidden/>
    <w:rsid w:val="00245C54"/>
    <w:pPr>
      <w:ind w:left="1820"/>
    </w:pPr>
  </w:style>
  <w:style w:type="paragraph" w:styleId="TOC9">
    <w:name w:val="toc 9"/>
    <w:basedOn w:val="Normal"/>
    <w:next w:val="Normal"/>
    <w:autoRedefine/>
    <w:semiHidden/>
    <w:rsid w:val="00245C54"/>
    <w:pPr>
      <w:ind w:left="2080"/>
    </w:pPr>
  </w:style>
  <w:style w:type="paragraph" w:customStyle="1" w:styleId="Contents">
    <w:name w:val="Contents"/>
    <w:basedOn w:val="Normal"/>
    <w:rsid w:val="00245C54"/>
    <w:pPr>
      <w:jc w:val="center"/>
    </w:pPr>
    <w:rPr>
      <w:b/>
      <w:spacing w:val="100"/>
    </w:rPr>
  </w:style>
  <w:style w:type="paragraph" w:styleId="ListParagraph">
    <w:name w:val="List Paragraph"/>
    <w:basedOn w:val="Normal"/>
    <w:uiPriority w:val="34"/>
    <w:qFormat/>
    <w:rsid w:val="00503185"/>
    <w:pPr>
      <w:ind w:left="720"/>
      <w:contextualSpacing/>
    </w:pPr>
  </w:style>
  <w:style w:type="character" w:styleId="PlaceholderText">
    <w:name w:val="Placeholder Text"/>
    <w:basedOn w:val="DefaultParagraphFont"/>
    <w:uiPriority w:val="99"/>
    <w:semiHidden/>
    <w:rsid w:val="00CC65D7"/>
    <w:rPr>
      <w:color w:val="808080"/>
    </w:rPr>
  </w:style>
  <w:style w:type="paragraph" w:styleId="BalloonText">
    <w:name w:val="Balloon Text"/>
    <w:basedOn w:val="Normal"/>
    <w:link w:val="BalloonTextChar"/>
    <w:uiPriority w:val="99"/>
    <w:semiHidden/>
    <w:unhideWhenUsed/>
    <w:rsid w:val="00227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F5"/>
    <w:rPr>
      <w:rFonts w:ascii="Segoe UI" w:hAnsi="Segoe UI" w:cs="Segoe UI"/>
      <w:sz w:val="18"/>
      <w:szCs w:val="18"/>
    </w:rPr>
  </w:style>
  <w:style w:type="character" w:styleId="CommentReference">
    <w:name w:val="annotation reference"/>
    <w:basedOn w:val="DefaultParagraphFont"/>
    <w:uiPriority w:val="99"/>
    <w:semiHidden/>
    <w:unhideWhenUsed/>
    <w:rsid w:val="00B6766C"/>
    <w:rPr>
      <w:sz w:val="16"/>
      <w:szCs w:val="16"/>
    </w:rPr>
  </w:style>
  <w:style w:type="paragraph" w:styleId="CommentText">
    <w:name w:val="annotation text"/>
    <w:basedOn w:val="Normal"/>
    <w:link w:val="CommentTextChar"/>
    <w:uiPriority w:val="99"/>
    <w:semiHidden/>
    <w:unhideWhenUsed/>
    <w:rsid w:val="00B6766C"/>
    <w:rPr>
      <w:sz w:val="20"/>
    </w:rPr>
  </w:style>
  <w:style w:type="character" w:customStyle="1" w:styleId="CommentTextChar">
    <w:name w:val="Comment Text Char"/>
    <w:basedOn w:val="DefaultParagraphFont"/>
    <w:link w:val="CommentText"/>
    <w:uiPriority w:val="99"/>
    <w:semiHidden/>
    <w:rsid w:val="00B6766C"/>
    <w:rPr>
      <w:sz w:val="20"/>
    </w:rPr>
  </w:style>
  <w:style w:type="paragraph" w:styleId="CommentSubject">
    <w:name w:val="annotation subject"/>
    <w:basedOn w:val="CommentText"/>
    <w:next w:val="CommentText"/>
    <w:link w:val="CommentSubjectChar"/>
    <w:uiPriority w:val="99"/>
    <w:semiHidden/>
    <w:unhideWhenUsed/>
    <w:rsid w:val="00B6766C"/>
    <w:rPr>
      <w:b/>
      <w:bCs/>
    </w:rPr>
  </w:style>
  <w:style w:type="character" w:customStyle="1" w:styleId="CommentSubjectChar">
    <w:name w:val="Comment Subject Char"/>
    <w:basedOn w:val="CommentTextChar"/>
    <w:link w:val="CommentSubject"/>
    <w:uiPriority w:val="99"/>
    <w:semiHidden/>
    <w:rsid w:val="00B6766C"/>
    <w:rPr>
      <w:b/>
      <w:bCs/>
      <w:sz w:val="20"/>
    </w:rPr>
  </w:style>
  <w:style w:type="character" w:customStyle="1" w:styleId="FootnoteTextChar">
    <w:name w:val="Footnote Text Char"/>
    <w:basedOn w:val="DefaultParagraphFont"/>
    <w:link w:val="FootnoteText"/>
    <w:rsid w:val="003E7710"/>
    <w:rPr>
      <w:rFonts w:ascii="Century Schoolbook" w:hAnsi="Century Schoolbook"/>
      <w:sz w:val="27"/>
    </w:rPr>
  </w:style>
  <w:style w:type="character" w:styleId="Emphasis">
    <w:name w:val="Emphasis"/>
    <w:basedOn w:val="DefaultParagraphFont"/>
    <w:uiPriority w:val="20"/>
    <w:qFormat/>
    <w:rsid w:val="00DD2045"/>
    <w:rPr>
      <w:i/>
      <w:iCs/>
    </w:rPr>
  </w:style>
  <w:style w:type="paragraph" w:styleId="BodyText">
    <w:name w:val="Body Text"/>
    <w:basedOn w:val="Normal"/>
    <w:link w:val="BodyTextChar"/>
    <w:qFormat/>
    <w:rsid w:val="00245C54"/>
  </w:style>
  <w:style w:type="character" w:customStyle="1" w:styleId="BodyTextChar">
    <w:name w:val="Body Text Char"/>
    <w:basedOn w:val="DefaultParagraphFont"/>
    <w:link w:val="BodyText"/>
    <w:rsid w:val="00245C54"/>
    <w:rPr>
      <w:rFonts w:ascii="Century Schoolbook" w:hAnsi="Century Schoolbook"/>
      <w:sz w:val="27"/>
    </w:rPr>
  </w:style>
  <w:style w:type="paragraph" w:styleId="PlainText">
    <w:name w:val="Plain Text"/>
    <w:basedOn w:val="Normal"/>
    <w:link w:val="PlainTextChar"/>
    <w:uiPriority w:val="99"/>
    <w:semiHidden/>
    <w:unhideWhenUsed/>
    <w:rsid w:val="006D2ED0"/>
    <w:pPr>
      <w:spacing w:after="0" w:line="240" w:lineRule="auto"/>
      <w:jc w:val="left"/>
    </w:pPr>
    <w:rPr>
      <w:rFonts w:ascii="Verdana" w:hAnsi="Verdana" w:eastAsiaTheme="minorHAnsi" w:cs="Calibri"/>
      <w:sz w:val="24"/>
      <w:szCs w:val="21"/>
    </w:rPr>
  </w:style>
  <w:style w:type="character" w:customStyle="1" w:styleId="PlainTextChar">
    <w:name w:val="Plain Text Char"/>
    <w:basedOn w:val="DefaultParagraphFont"/>
    <w:link w:val="PlainText"/>
    <w:uiPriority w:val="99"/>
    <w:semiHidden/>
    <w:rsid w:val="006D2ED0"/>
    <w:rPr>
      <w:rFonts w:ascii="Verdana" w:hAnsi="Verdana" w:eastAsiaTheme="minorHAnsi"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2021-01-14T17:18:31Z</dcterms:created>
  <dcterms:modified xsi:type="dcterms:W3CDTF">2021-01-14T17:18:31Z</dcterms:modified>
</cp:coreProperties>
</file>