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B025D" w:rsidP="00CE62E1" w14:paraId="06F643A6" w14:textId="3CBBADEA">
      <w:pPr>
        <w:tabs>
          <w:tab w:val="left" w:leader="underscore" w:pos="4680"/>
        </w:tabs>
        <w:spacing w:after="0"/>
        <w:jc w:val="center"/>
        <w:rPr>
          <w:sz w:val="36"/>
        </w:rPr>
      </w:pPr>
      <w:bookmarkStart w:id="0" w:name="MarkDocLoc"/>
      <w:bookmarkEnd w:id="0"/>
      <w:r>
        <w:rPr>
          <w:b/>
          <w:sz w:val="36"/>
        </w:rPr>
        <w:t>IN THE SUPREME COURT OF CALIFORNIA</w:t>
      </w:r>
    </w:p>
    <w:p w:rsidR="00CE62E1" w:rsidP="00CE62E1" w14:paraId="070BBD42" w14:textId="551A765B">
      <w:pPr>
        <w:tabs>
          <w:tab w:val="left" w:leader="underscore" w:pos="4680"/>
        </w:tabs>
        <w:spacing w:after="0"/>
        <w:jc w:val="center"/>
      </w:pPr>
    </w:p>
    <w:p w:rsidR="00277140" w:rsidP="00CE62E1" w14:paraId="733B5640" w14:textId="7BCDFB27">
      <w:pPr>
        <w:tabs>
          <w:tab w:val="left" w:leader="underscore" w:pos="4680"/>
        </w:tabs>
        <w:spacing w:after="0"/>
        <w:jc w:val="center"/>
      </w:pPr>
      <w:r>
        <w:t>Conservatorship of the Person and Estate of K.P.</w:t>
      </w:r>
    </w:p>
    <w:p w:rsidR="00277140" w:rsidP="00277140" w14:paraId="1ECCBC0E" w14:textId="77777777">
      <w:pPr>
        <w:pBdr>
          <w:bottom w:val="single" w:sz="4" w:space="1" w:color="auto"/>
        </w:pBdr>
        <w:tabs>
          <w:tab w:val="left" w:pos="1440"/>
          <w:tab w:val="left" w:pos="4680"/>
          <w:tab w:val="center" w:pos="7200"/>
        </w:tabs>
        <w:spacing w:after="0"/>
        <w:jc w:val="center"/>
      </w:pPr>
    </w:p>
    <w:p w:rsidR="00277140" w:rsidP="00277140" w14:paraId="2F572F0B" w14:textId="77777777">
      <w:pPr>
        <w:tabs>
          <w:tab w:val="left" w:pos="1440"/>
          <w:tab w:val="left" w:pos="4680"/>
          <w:tab w:val="center" w:pos="7200"/>
        </w:tabs>
        <w:spacing w:after="0"/>
      </w:pPr>
    </w:p>
    <w:p w:rsidR="00F52C57" w:rsidP="00CE62E1" w14:paraId="1F101779" w14:textId="77777777">
      <w:pPr>
        <w:tabs>
          <w:tab w:val="left" w:leader="underscore" w:pos="4680"/>
        </w:tabs>
        <w:spacing w:after="0"/>
        <w:jc w:val="center"/>
      </w:pPr>
      <w:r>
        <w:t xml:space="preserve">PUBLIC GUARDIAN OF LOS ANGELES, </w:t>
      </w:r>
    </w:p>
    <w:p w:rsidR="00CE62E1" w:rsidP="00CE62E1" w14:paraId="015B20E1" w14:textId="3E74B9FE">
      <w:pPr>
        <w:tabs>
          <w:tab w:val="left" w:leader="underscore" w:pos="4680"/>
        </w:tabs>
        <w:spacing w:after="0"/>
        <w:jc w:val="center"/>
      </w:pPr>
      <w:r>
        <w:t>as Conservator, etc.,</w:t>
      </w:r>
    </w:p>
    <w:p w:rsidR="00CE62E1" w:rsidP="00CE62E1" w14:paraId="5A6AACA2" w14:textId="0EAC423B">
      <w:pPr>
        <w:tabs>
          <w:tab w:val="left" w:leader="underscore" w:pos="4680"/>
        </w:tabs>
        <w:spacing w:after="0"/>
        <w:jc w:val="center"/>
      </w:pPr>
      <w:r>
        <w:t>Petitioner and Respondent,</w:t>
      </w:r>
    </w:p>
    <w:p w:rsidR="00CE62E1" w:rsidP="00CE62E1" w14:paraId="017590C1" w14:textId="0486478C">
      <w:pPr>
        <w:tabs>
          <w:tab w:val="left" w:leader="underscore" w:pos="4680"/>
        </w:tabs>
        <w:spacing w:after="0"/>
        <w:jc w:val="center"/>
      </w:pPr>
      <w:r>
        <w:t>v.</w:t>
      </w:r>
    </w:p>
    <w:p w:rsidR="00CE62E1" w:rsidP="00CE62E1" w14:paraId="2E7367B1" w14:textId="5276E625">
      <w:pPr>
        <w:tabs>
          <w:tab w:val="left" w:leader="underscore" w:pos="4680"/>
        </w:tabs>
        <w:spacing w:after="0"/>
        <w:jc w:val="center"/>
      </w:pPr>
      <w:r>
        <w:t>K.P.,</w:t>
      </w:r>
    </w:p>
    <w:p w:rsidR="00CE62E1" w:rsidP="00CE62E1" w14:paraId="5FC15517" w14:textId="77777777">
      <w:pPr>
        <w:tabs>
          <w:tab w:val="left" w:leader="underscore" w:pos="4680"/>
        </w:tabs>
        <w:spacing w:after="0"/>
        <w:jc w:val="center"/>
      </w:pPr>
      <w:r>
        <w:t>Objector and Appellant.</w:t>
      </w:r>
    </w:p>
    <w:p w:rsidR="00CE62E1" w:rsidP="00CE62E1" w14:paraId="3195402C" w14:textId="45CBA9CE">
      <w:pPr>
        <w:tabs>
          <w:tab w:val="left" w:leader="underscore" w:pos="4680"/>
        </w:tabs>
        <w:spacing w:after="0"/>
        <w:jc w:val="center"/>
      </w:pPr>
    </w:p>
    <w:p w:rsidR="00CE62E1" w:rsidP="00CE62E1" w14:paraId="313E2B2A" w14:textId="6A180706">
      <w:pPr>
        <w:tabs>
          <w:tab w:val="left" w:leader="underscore" w:pos="4680"/>
        </w:tabs>
        <w:spacing w:after="0"/>
        <w:jc w:val="center"/>
      </w:pPr>
      <w:r>
        <w:t>S258212</w:t>
      </w:r>
    </w:p>
    <w:p w:rsidR="00CE62E1" w:rsidP="00CE62E1" w14:paraId="36D25C7A" w14:textId="3F32925B">
      <w:pPr>
        <w:tabs>
          <w:tab w:val="left" w:leader="underscore" w:pos="4680"/>
        </w:tabs>
        <w:spacing w:after="0"/>
        <w:jc w:val="center"/>
      </w:pPr>
    </w:p>
    <w:p w:rsidR="00CE62E1" w:rsidP="00CE62E1" w14:paraId="12258554" w14:textId="61B695C1">
      <w:pPr>
        <w:tabs>
          <w:tab w:val="left" w:leader="underscore" w:pos="4680"/>
        </w:tabs>
        <w:spacing w:after="0"/>
        <w:jc w:val="center"/>
      </w:pPr>
      <w:r>
        <w:t>Second Appellate District, Division Two</w:t>
      </w:r>
    </w:p>
    <w:p w:rsidR="00CE62E1" w:rsidP="00CE62E1" w14:paraId="349BF9D6" w14:textId="5F1B42E6">
      <w:pPr>
        <w:tabs>
          <w:tab w:val="left" w:leader="underscore" w:pos="4680"/>
        </w:tabs>
        <w:spacing w:after="0"/>
        <w:jc w:val="center"/>
      </w:pPr>
      <w:r>
        <w:t>B291510</w:t>
      </w:r>
    </w:p>
    <w:p w:rsidR="00CE62E1" w:rsidP="00CE62E1" w14:paraId="33E25177" w14:textId="0C5C08E4">
      <w:pPr>
        <w:tabs>
          <w:tab w:val="left" w:leader="underscore" w:pos="4680"/>
        </w:tabs>
        <w:spacing w:after="0"/>
        <w:jc w:val="center"/>
      </w:pPr>
    </w:p>
    <w:p w:rsidR="00CE62E1" w:rsidP="00CE62E1" w14:paraId="41CDD152" w14:textId="29D3FDC1">
      <w:pPr>
        <w:tabs>
          <w:tab w:val="left" w:leader="underscore" w:pos="4680"/>
        </w:tabs>
        <w:spacing w:after="0"/>
        <w:jc w:val="center"/>
      </w:pPr>
      <w:r>
        <w:t>Los Angeles County</w:t>
      </w:r>
      <w:r w:rsidR="00BB5E81">
        <w:t xml:space="preserve"> Superior Court</w:t>
      </w:r>
    </w:p>
    <w:p w:rsidR="00CE62E1" w:rsidP="00CE62E1" w14:paraId="613B18EE" w14:textId="103A3E77">
      <w:pPr>
        <w:tabs>
          <w:tab w:val="left" w:leader="underscore" w:pos="4680"/>
        </w:tabs>
        <w:spacing w:after="0"/>
        <w:jc w:val="center"/>
      </w:pPr>
      <w:r>
        <w:t>ZE032603</w:t>
      </w:r>
    </w:p>
    <w:p w:rsidR="00CE62E1" w:rsidP="00CE62E1" w14:paraId="257B1C92" w14:textId="7F03CF7F">
      <w:pPr>
        <w:pBdr>
          <w:bottom w:val="single" w:sz="4" w:space="1" w:color="auto"/>
        </w:pBdr>
        <w:tabs>
          <w:tab w:val="left" w:leader="underscore" w:pos="4680"/>
        </w:tabs>
        <w:spacing w:after="0"/>
        <w:jc w:val="center"/>
      </w:pPr>
    </w:p>
    <w:p w:rsidR="00CE62E1" w:rsidP="00CE62E1" w14:paraId="503C3FC2" w14:textId="3266E2CC">
      <w:pPr>
        <w:tabs>
          <w:tab w:val="left" w:leader="underscore" w:pos="4680"/>
        </w:tabs>
        <w:spacing w:after="0"/>
        <w:jc w:val="center"/>
      </w:pPr>
    </w:p>
    <w:p w:rsidR="00CE62E1" w:rsidP="00CE62E1" w14:paraId="30178679" w14:textId="5DD7E44C">
      <w:pPr>
        <w:tabs>
          <w:tab w:val="left" w:leader="underscore" w:pos="4680"/>
        </w:tabs>
        <w:spacing w:after="0"/>
        <w:jc w:val="center"/>
      </w:pPr>
      <w:r>
        <w:t>June 28,</w:t>
      </w:r>
      <w:r>
        <w:t xml:space="preserve"> 2021</w:t>
      </w:r>
    </w:p>
    <w:p w:rsidR="00CE62E1" w:rsidP="00CE62E1" w14:paraId="09A7E2C5" w14:textId="08B352AC">
      <w:pPr>
        <w:tabs>
          <w:tab w:val="left" w:leader="underscore" w:pos="4680"/>
        </w:tabs>
        <w:spacing w:after="0"/>
        <w:jc w:val="center"/>
      </w:pPr>
    </w:p>
    <w:p w:rsidR="00CE62E1" w:rsidP="00CE62E1" w14:paraId="62773F50" w14:textId="34DD4733">
      <w:pPr>
        <w:tabs>
          <w:tab w:val="left" w:leader="underscore" w:pos="4680"/>
        </w:tabs>
        <w:spacing w:after="0"/>
        <w:jc w:val="left"/>
      </w:pPr>
      <w:r>
        <w:t xml:space="preserve">Justice Corrigan authored the opinion of the Court, in which </w:t>
      </w:r>
      <w:r w:rsidR="00CF518D">
        <w:t xml:space="preserve">Chief Justice Cantil-Sakauye and </w:t>
      </w:r>
      <w:r w:rsidR="00277140">
        <w:t xml:space="preserve">Justices </w:t>
      </w:r>
      <w:r w:rsidR="00CF518D">
        <w:t>Liu, Cu</w:t>
      </w:r>
      <w:r w:rsidR="00A8621D">
        <w:t>é</w:t>
      </w:r>
      <w:r w:rsidR="00CF518D">
        <w:t>llar, Kruger, Groban, and Jenkins</w:t>
      </w:r>
      <w:r>
        <w:t xml:space="preserve"> concurred.</w:t>
      </w:r>
    </w:p>
    <w:p w:rsidR="00CE62E1" w:rsidRPr="00CE62E1" w:rsidP="00CE62E1" w14:paraId="3A1E61EF" w14:textId="77777777">
      <w:pPr>
        <w:pBdr>
          <w:bottom w:val="single" w:sz="4" w:space="1" w:color="auto"/>
        </w:pBdr>
        <w:tabs>
          <w:tab w:val="left" w:leader="underscore" w:pos="4680"/>
        </w:tabs>
        <w:spacing w:line="240" w:lineRule="atLeast"/>
        <w:jc w:val="left"/>
      </w:pPr>
      <w:bookmarkStart w:id="1" w:name="Return"/>
      <w:bookmarkEnd w:id="1"/>
    </w:p>
    <w:p w:rsidR="00CE62E1" w:rsidP="00CF0FA4" w14:paraId="239BD42E" w14:textId="77777777">
      <w:pPr>
        <w:tabs>
          <w:tab w:val="left" w:leader="underscore" w:pos="4680"/>
        </w:tabs>
        <w:spacing w:line="240" w:lineRule="atLeast"/>
        <w:sectPr w:rsidSect="00CE62E1">
          <w:headerReference w:type="default" r:id="rId6"/>
          <w:footerReference w:type="default" r:id="rId7"/>
          <w:pgSz w:w="12240" w:h="15840"/>
          <w:pgMar w:top="1800" w:right="2160" w:bottom="1440" w:left="2160" w:header="720" w:footer="720" w:gutter="0"/>
          <w:cols w:space="720"/>
          <w:titlePg/>
          <w:docGrid w:linePitch="367"/>
        </w:sectPr>
      </w:pPr>
    </w:p>
    <w:p w:rsidR="00CE62E1" w:rsidP="00CE62E1" w14:paraId="3E4B3351" w14:textId="39915A14">
      <w:pPr>
        <w:tabs>
          <w:tab w:val="left" w:leader="underscore" w:pos="4680"/>
        </w:tabs>
        <w:jc w:val="center"/>
      </w:pPr>
      <w:r w:rsidRPr="00A35B5E">
        <w:t>Conservatorship of</w:t>
      </w:r>
      <w:r>
        <w:t xml:space="preserve"> K.P.</w:t>
      </w:r>
    </w:p>
    <w:p w:rsidR="00CE62E1" w:rsidP="00CE62E1" w14:paraId="77634C63" w14:textId="5648CA78">
      <w:pPr>
        <w:tabs>
          <w:tab w:val="left" w:leader="underscore" w:pos="4680"/>
        </w:tabs>
        <w:jc w:val="center"/>
      </w:pPr>
      <w:r>
        <w:t>S258212</w:t>
      </w:r>
    </w:p>
    <w:p w:rsidR="00CE62E1" w:rsidP="00CE62E1" w14:paraId="418C32DD" w14:textId="3A8816E3">
      <w:pPr>
        <w:tabs>
          <w:tab w:val="left" w:leader="underscore" w:pos="4680"/>
        </w:tabs>
        <w:jc w:val="center"/>
      </w:pPr>
    </w:p>
    <w:p w:rsidR="00CE62E1" w:rsidP="00CE62E1" w14:paraId="11E2CAB3" w14:textId="0727E7D0">
      <w:pPr>
        <w:tabs>
          <w:tab w:val="left" w:leader="underscore" w:pos="4680"/>
        </w:tabs>
        <w:jc w:val="center"/>
      </w:pPr>
      <w:r>
        <w:t>Opinion of the Court by Corrigan, J.</w:t>
      </w:r>
    </w:p>
    <w:p w:rsidR="00CE62E1" w:rsidRPr="00CE62E1" w:rsidP="00CE62E1" w14:paraId="20F4D97A" w14:textId="77777777">
      <w:pPr>
        <w:tabs>
          <w:tab w:val="left" w:leader="underscore" w:pos="4680"/>
        </w:tabs>
        <w:jc w:val="center"/>
      </w:pPr>
    </w:p>
    <w:p w:rsidR="008904D2" w:rsidRPr="00CE62E1" w:rsidP="00CE62E1" w14:paraId="4EEDB268" w14:textId="783F94B4">
      <w:bookmarkStart w:id="10" w:name="mainstory"/>
      <w:bookmarkEnd w:id="10"/>
      <w:r w:rsidRPr="00CE62E1">
        <w:tab/>
      </w:r>
      <w:r w:rsidRPr="00CE62E1" w:rsidR="000769F3">
        <w:t>The Lanterman-Petris-Short Act</w:t>
      </w:r>
      <w:r w:rsidRPr="00CE62E1" w:rsidR="00967ABE">
        <w:t xml:space="preserve"> (LPS Act or Act</w:t>
      </w:r>
      <w:r w:rsidR="00A35B5E">
        <w:t xml:space="preserve">; Welf. &amp; Inst. Code, </w:t>
      </w:r>
      <w:r w:rsidR="00A35B5E">
        <w:rPr>
          <w:rFonts w:ascii="Times New Roman" w:hAnsi="Times New Roman"/>
        </w:rPr>
        <w:t>§</w:t>
      </w:r>
      <w:r w:rsidR="00A35B5E">
        <w:t> 5000 et seq.</w:t>
      </w:r>
      <w:r w:rsidRPr="00CE62E1" w:rsidR="00967ABE">
        <w:t>)</w:t>
      </w:r>
      <w:r>
        <w:rPr>
          <w:rStyle w:val="FootnoteReference"/>
        </w:rPr>
        <w:footnoteReference w:id="2"/>
      </w:r>
      <w:r w:rsidRPr="00CE62E1" w:rsidR="000769F3">
        <w:t xml:space="preserve"> provides one-year conservatorships </w:t>
      </w:r>
      <w:r w:rsidRPr="00CE62E1" w:rsidR="00C72595">
        <w:t>for those</w:t>
      </w:r>
      <w:r w:rsidRPr="00CE62E1" w:rsidR="000769F3">
        <w:t xml:space="preserve"> “gravely disabled as </w:t>
      </w:r>
      <w:r w:rsidRPr="00CE62E1" w:rsidR="00413B5D">
        <w:t xml:space="preserve">a </w:t>
      </w:r>
      <w:r w:rsidRPr="00CE62E1" w:rsidR="000769F3">
        <w:t xml:space="preserve">result of a mental </w:t>
      </w:r>
      <w:r w:rsidR="00A35B5E">
        <w:t xml:space="preserve">health </w:t>
      </w:r>
      <w:r w:rsidRPr="00CE62E1" w:rsidR="000769F3">
        <w:t>disorder or impairment by chronic alcoholism.”  (§ 5350.)</w:t>
      </w:r>
      <w:r>
        <w:rPr>
          <w:rStyle w:val="FootnoteReference"/>
        </w:rPr>
        <w:footnoteReference w:id="3"/>
      </w:r>
      <w:r w:rsidRPr="00CE62E1" w:rsidR="000769F3">
        <w:t xml:space="preserve">  Those subject to a conservatorship petition </w:t>
      </w:r>
      <w:r w:rsidRPr="00CE62E1" w:rsidR="00C72595">
        <w:t>are entitled</w:t>
      </w:r>
      <w:r w:rsidRPr="00CE62E1" w:rsidR="000769F3">
        <w:t xml:space="preserve"> to a court or jury trial </w:t>
      </w:r>
      <w:r w:rsidRPr="00CE62E1" w:rsidR="004F4328">
        <w:t>to decide if</w:t>
      </w:r>
      <w:r w:rsidRPr="00CE62E1" w:rsidR="000769F3">
        <w:t xml:space="preserve"> they are “gravely disabled.”</w:t>
      </w:r>
      <w:r w:rsidRPr="00CE62E1" w:rsidR="004F4328">
        <w:t xml:space="preserve">  (§ 5350, subd. (d)</w:t>
      </w:r>
      <w:r w:rsidR="00A35B5E">
        <w:t>(1)</w:t>
      </w:r>
      <w:r w:rsidRPr="00CE62E1" w:rsidR="004F4328">
        <w:t>.)  The question here is whether the trier of fact must find</w:t>
      </w:r>
      <w:r w:rsidRPr="00CE62E1" w:rsidR="00C72595">
        <w:t xml:space="preserve">, </w:t>
      </w:r>
      <w:r w:rsidR="00E869E8">
        <w:t>in addition</w:t>
      </w:r>
      <w:r w:rsidRPr="00CE62E1" w:rsidR="00C72595">
        <w:t>,</w:t>
      </w:r>
      <w:r w:rsidRPr="00CE62E1" w:rsidR="004F4328">
        <w:t xml:space="preserve"> that the individual is unwilling or unable to </w:t>
      </w:r>
      <w:r w:rsidRPr="00CE62E1" w:rsidR="00C72595">
        <w:t xml:space="preserve">voluntarily </w:t>
      </w:r>
      <w:r w:rsidRPr="00CE62E1" w:rsidR="004F4328">
        <w:t>accept treatment.</w:t>
      </w:r>
      <w:r w:rsidRPr="00CE62E1" w:rsidR="00194B86">
        <w:t xml:space="preserve">  This is</w:t>
      </w:r>
      <w:r w:rsidRPr="00CE62E1" w:rsidR="00E740E0">
        <w:t xml:space="preserve"> an issue </w:t>
      </w:r>
      <w:r w:rsidRPr="00CE62E1" w:rsidR="00194B86">
        <w:t>of statutory interpretation</w:t>
      </w:r>
      <w:r w:rsidRPr="00CE62E1" w:rsidR="00CA38CA">
        <w:t xml:space="preserve"> on which </w:t>
      </w:r>
      <w:r w:rsidRPr="00CE62E1" w:rsidR="0092297C">
        <w:t>the Courts of Appeal have differe</w:t>
      </w:r>
      <w:r w:rsidRPr="00CE62E1" w:rsidR="00CA38CA">
        <w:t>d</w:t>
      </w:r>
      <w:r w:rsidRPr="00CE62E1" w:rsidR="00194B86">
        <w:t xml:space="preserve">.  </w:t>
      </w:r>
      <w:r w:rsidRPr="00CE62E1" w:rsidR="004D2FE9">
        <w:t xml:space="preserve">We </w:t>
      </w:r>
      <w:r w:rsidRPr="00CE62E1" w:rsidR="0092297C">
        <w:t>granted review to resolve th</w:t>
      </w:r>
      <w:r w:rsidRPr="00CE62E1" w:rsidR="00CA38CA">
        <w:t>e</w:t>
      </w:r>
      <w:r w:rsidRPr="00CE62E1" w:rsidR="0092297C">
        <w:t xml:space="preserve"> conflict and now </w:t>
      </w:r>
      <w:r w:rsidRPr="00CE62E1" w:rsidR="004D2FE9">
        <w:t>hold</w:t>
      </w:r>
      <w:r w:rsidRPr="00CE62E1" w:rsidR="00194B86">
        <w:t xml:space="preserve"> that</w:t>
      </w:r>
      <w:r w:rsidRPr="00CE62E1" w:rsidR="004F4328">
        <w:t xml:space="preserve"> </w:t>
      </w:r>
      <w:r w:rsidRPr="00CE62E1" w:rsidR="00194B86">
        <w:t xml:space="preserve">capacity or willingness to accept treatment is a relevant factor </w:t>
      </w:r>
      <w:r w:rsidRPr="00CE62E1" w:rsidR="0092297C">
        <w:t>to</w:t>
      </w:r>
      <w:r w:rsidRPr="00CE62E1" w:rsidR="00194B86">
        <w:t xml:space="preserve"> be considered </w:t>
      </w:r>
      <w:r w:rsidRPr="00CE62E1" w:rsidR="004D2FE9">
        <w:t xml:space="preserve">on the issue of grave disability </w:t>
      </w:r>
      <w:r w:rsidRPr="00CE62E1" w:rsidR="00194B86">
        <w:t xml:space="preserve">but is not a separate element that must be proven to establish </w:t>
      </w:r>
      <w:r w:rsidRPr="00CE62E1" w:rsidR="004D2FE9">
        <w:t>a conservatorship</w:t>
      </w:r>
      <w:r w:rsidRPr="00CE62E1" w:rsidR="00194B86">
        <w:t>.</w:t>
      </w:r>
    </w:p>
    <w:p w:rsidR="00CF0FA4" w:rsidRPr="00CE62E1" w:rsidP="00277140" w14:paraId="0FE21B0C" w14:textId="77777777">
      <w:pPr>
        <w:keepNext/>
        <w:tabs>
          <w:tab w:val="left" w:pos="1440"/>
        </w:tabs>
        <w:jc w:val="center"/>
        <w:outlineLvl w:val="0"/>
        <w:rPr>
          <w:bCs/>
          <w:caps/>
        </w:rPr>
      </w:pPr>
      <w:r w:rsidRPr="00CE62E1">
        <w:rPr>
          <w:bCs/>
          <w:caps/>
        </w:rPr>
        <w:t xml:space="preserve">I.  </w:t>
      </w:r>
      <w:r w:rsidRPr="00CE62E1">
        <w:rPr>
          <w:bCs/>
          <w:caps/>
        </w:rPr>
        <w:t>BACKGROUND</w:t>
      </w:r>
    </w:p>
    <w:p w:rsidR="00C40A93" w:rsidRPr="00CE62E1" w:rsidP="00CE62E1" w14:paraId="703457F9" w14:textId="2C05D22B">
      <w:r w:rsidRPr="00CE62E1">
        <w:tab/>
      </w:r>
      <w:r w:rsidRPr="00CE62E1" w:rsidR="00583752">
        <w:t>The</w:t>
      </w:r>
      <w:r w:rsidRPr="00CE62E1" w:rsidR="00E73C19">
        <w:t xml:space="preserve"> Los Angeles County</w:t>
      </w:r>
      <w:r w:rsidRPr="00CE62E1" w:rsidR="00583752">
        <w:t xml:space="preserve"> Superior Court</w:t>
      </w:r>
      <w:r w:rsidRPr="00CE62E1" w:rsidR="00E73C19">
        <w:t xml:space="preserve"> </w:t>
      </w:r>
      <w:r w:rsidRPr="00CE62E1" w:rsidR="00583752">
        <w:t>established</w:t>
      </w:r>
      <w:r w:rsidRPr="00CE62E1" w:rsidR="00E73C19">
        <w:t xml:space="preserve"> a conservatorship </w:t>
      </w:r>
      <w:r w:rsidRPr="00CE62E1" w:rsidR="00583752">
        <w:t>for</w:t>
      </w:r>
      <w:r w:rsidRPr="00CE62E1" w:rsidR="00E73C19">
        <w:t xml:space="preserve"> 23-year-old K.P.</w:t>
      </w:r>
      <w:r w:rsidRPr="00CE62E1" w:rsidR="00583752">
        <w:t xml:space="preserve"> in May 2008 and renewed it annually over the next nine years</w:t>
      </w:r>
      <w:r w:rsidRPr="00CE62E1" w:rsidR="00E73C19">
        <w:t xml:space="preserve">.  </w:t>
      </w:r>
      <w:r w:rsidRPr="00CE62E1" w:rsidR="00312E88">
        <w:t xml:space="preserve">In April 2018, the </w:t>
      </w:r>
      <w:r w:rsidRPr="00CE62E1" w:rsidR="00583752">
        <w:t xml:space="preserve">county’s </w:t>
      </w:r>
      <w:r w:rsidR="00A35B5E">
        <w:t>public guardian (</w:t>
      </w:r>
      <w:r w:rsidRPr="00CE62E1" w:rsidR="00312E88">
        <w:t>Public Guardian</w:t>
      </w:r>
      <w:r w:rsidR="00A35B5E">
        <w:t>)</w:t>
      </w:r>
      <w:r w:rsidRPr="00CE62E1" w:rsidR="00312E88">
        <w:t xml:space="preserve"> filed another</w:t>
      </w:r>
      <w:r w:rsidRPr="00CE62E1" w:rsidR="00583752">
        <w:t xml:space="preserve"> renewal</w:t>
      </w:r>
      <w:r w:rsidRPr="00CE62E1" w:rsidR="00312E88">
        <w:t xml:space="preserve"> petition, alleging K.P. </w:t>
      </w:r>
      <w:r w:rsidRPr="00CE62E1" w:rsidR="004D06D3">
        <w:t>remained</w:t>
      </w:r>
      <w:r w:rsidRPr="00CE62E1" w:rsidR="00312E88">
        <w:t xml:space="preserve"> gravely disabled.  This time, K.P. demanded a jury trial. </w:t>
      </w:r>
    </w:p>
    <w:p w:rsidR="000E2CB8" w:rsidRPr="00CE62E1" w:rsidP="00CE62E1" w14:paraId="231FE9A3" w14:textId="794C7714">
      <w:r w:rsidRPr="00CE62E1">
        <w:tab/>
      </w:r>
      <w:r w:rsidRPr="00CE62E1" w:rsidR="00355799">
        <w:t>A</w:t>
      </w:r>
      <w:r w:rsidRPr="00CE62E1">
        <w:t xml:space="preserve"> psychologist </w:t>
      </w:r>
      <w:r w:rsidRPr="00CE62E1" w:rsidR="00355799">
        <w:t>from</w:t>
      </w:r>
      <w:r w:rsidRPr="00CE62E1">
        <w:t xml:space="preserve"> K.P.</w:t>
      </w:r>
      <w:r w:rsidRPr="00CE62E1" w:rsidR="00355799">
        <w:t xml:space="preserve">’s </w:t>
      </w:r>
      <w:r w:rsidRPr="00CE62E1">
        <w:t xml:space="preserve">residential facility testified that </w:t>
      </w:r>
      <w:r w:rsidRPr="00CE62E1" w:rsidR="00583752">
        <w:t>he</w:t>
      </w:r>
      <w:r w:rsidRPr="00CE62E1" w:rsidR="00355799">
        <w:t xml:space="preserve"> suffered from schizophrenia</w:t>
      </w:r>
      <w:r w:rsidRPr="00CE62E1" w:rsidR="00583752">
        <w:t xml:space="preserve">, with </w:t>
      </w:r>
      <w:r w:rsidRPr="00CE62E1" w:rsidR="00355799">
        <w:t xml:space="preserve">auditory hallucinations and paranoid delusions.  For example, on the morning of trial he asked to enter a witness protection program because he believed a </w:t>
      </w:r>
      <w:r w:rsidRPr="00CE62E1" w:rsidR="00583752">
        <w:t xml:space="preserve">fellow </w:t>
      </w:r>
      <w:r w:rsidRPr="00CE62E1" w:rsidR="00355799">
        <w:t xml:space="preserve">resident was planning to attack him.  </w:t>
      </w:r>
      <w:r w:rsidRPr="00CE62E1" w:rsidR="000930FD">
        <w:t>In another</w:t>
      </w:r>
      <w:r w:rsidRPr="00CE62E1" w:rsidR="003D4E0E">
        <w:t xml:space="preserve"> incident</w:t>
      </w:r>
      <w:r w:rsidRPr="00CE62E1" w:rsidR="000930FD">
        <w:t xml:space="preserve">, </w:t>
      </w:r>
      <w:r w:rsidRPr="00CE62E1" w:rsidR="003D4E0E">
        <w:t>K.P.</w:t>
      </w:r>
      <w:r w:rsidRPr="00CE62E1" w:rsidR="000930FD">
        <w:t xml:space="preserve"> chased and threatened </w:t>
      </w:r>
      <w:r w:rsidRPr="00CE62E1" w:rsidR="00AA7B5C">
        <w:t>someone</w:t>
      </w:r>
      <w:r w:rsidRPr="00CE62E1" w:rsidR="003D4E0E">
        <w:t xml:space="preserve"> </w:t>
      </w:r>
      <w:r w:rsidRPr="00CE62E1" w:rsidR="000930FD">
        <w:t xml:space="preserve">he </w:t>
      </w:r>
      <w:r w:rsidRPr="00CE62E1" w:rsidR="003D4E0E">
        <w:t>believed had intentionally hit</w:t>
      </w:r>
      <w:r w:rsidRPr="00CE62E1" w:rsidR="000930FD">
        <w:t xml:space="preserve"> him</w:t>
      </w:r>
      <w:r w:rsidRPr="00CE62E1" w:rsidR="003D4E0E">
        <w:t xml:space="preserve"> with a basketball.</w:t>
      </w:r>
      <w:r w:rsidRPr="00CE62E1" w:rsidR="000930FD">
        <w:t xml:space="preserve"> </w:t>
      </w:r>
      <w:r w:rsidRPr="00CE62E1" w:rsidR="003D4E0E">
        <w:t xml:space="preserve"> He could not be redirected and </w:t>
      </w:r>
      <w:r w:rsidRPr="00CE62E1" w:rsidR="00583752">
        <w:t>was</w:t>
      </w:r>
      <w:r w:rsidRPr="00CE62E1" w:rsidR="003D4E0E">
        <w:t xml:space="preserve"> hospitalized.  </w:t>
      </w:r>
      <w:r w:rsidRPr="00CE62E1" w:rsidR="000930FD">
        <w:t xml:space="preserve">K.P. also displayed “grossly disorganized behaviors,” lack of motivation, and difficulty speaking and socializing. </w:t>
      </w:r>
      <w:r w:rsidRPr="00CE62E1" w:rsidR="00A12FDC">
        <w:t xml:space="preserve"> The psychologist concluded </w:t>
      </w:r>
      <w:r w:rsidRPr="00CE62E1" w:rsidR="003D4E0E">
        <w:t xml:space="preserve">K.P. </w:t>
      </w:r>
      <w:r w:rsidRPr="00CE62E1" w:rsidR="007A1ACB">
        <w:t xml:space="preserve">lacked </w:t>
      </w:r>
      <w:r w:rsidRPr="00CE62E1" w:rsidR="00FC7A3C">
        <w:t xml:space="preserve">significant </w:t>
      </w:r>
      <w:r w:rsidRPr="00CE62E1" w:rsidR="007A1ACB">
        <w:t xml:space="preserve">insight into his disorder.  </w:t>
      </w:r>
      <w:r w:rsidRPr="00CE62E1" w:rsidR="00AA7B5C">
        <w:t>He</w:t>
      </w:r>
      <w:r w:rsidRPr="00CE62E1" w:rsidR="007A1ACB">
        <w:t xml:space="preserve"> minimized </w:t>
      </w:r>
      <w:r w:rsidRPr="00CE62E1" w:rsidR="00AA7B5C">
        <w:t>his symptoms</w:t>
      </w:r>
      <w:r w:rsidRPr="00CE62E1" w:rsidR="007A1ACB">
        <w:t xml:space="preserve"> and </w:t>
      </w:r>
      <w:r w:rsidRPr="00CE62E1" w:rsidR="00583752">
        <w:t>believed</w:t>
      </w:r>
      <w:r w:rsidRPr="00CE62E1" w:rsidR="007A1ACB">
        <w:t xml:space="preserve"> they were caused by medications.  </w:t>
      </w:r>
      <w:r w:rsidRPr="00CE62E1" w:rsidR="00C36528">
        <w:t xml:space="preserve">His mother had expressed the same belief.  </w:t>
      </w:r>
      <w:r w:rsidRPr="00CE62E1" w:rsidR="00583752">
        <w:t>K.P. resisted taking</w:t>
      </w:r>
      <w:r w:rsidRPr="00CE62E1" w:rsidR="00FC7A3C">
        <w:t xml:space="preserve"> his </w:t>
      </w:r>
      <w:r w:rsidRPr="00CE62E1" w:rsidR="00AA7B5C">
        <w:t>prescriptions</w:t>
      </w:r>
      <w:r w:rsidRPr="00CE62E1" w:rsidR="00FC7A3C">
        <w:t xml:space="preserve"> </w:t>
      </w:r>
      <w:r w:rsidRPr="00CE62E1" w:rsidR="00583752">
        <w:t>or participating in</w:t>
      </w:r>
      <w:r w:rsidRPr="00CE62E1" w:rsidR="00FC7A3C">
        <w:t xml:space="preserve"> therapy and other services. </w:t>
      </w:r>
      <w:r w:rsidRPr="00CE62E1" w:rsidR="00C36528">
        <w:t xml:space="preserve"> </w:t>
      </w:r>
      <w:r w:rsidRPr="00CE62E1" w:rsidR="00583752">
        <w:t>T</w:t>
      </w:r>
      <w:r w:rsidRPr="00CE62E1" w:rsidR="00C36528">
        <w:t>he psychologist</w:t>
      </w:r>
      <w:r w:rsidRPr="00CE62E1" w:rsidR="00583752">
        <w:t xml:space="preserve"> concluded</w:t>
      </w:r>
      <w:r w:rsidRPr="00CE62E1" w:rsidR="00C36528">
        <w:t xml:space="preserve"> K.P. could not provide for his basic needs without medication </w:t>
      </w:r>
      <w:r w:rsidRPr="00CE62E1" w:rsidR="00583752">
        <w:t>and</w:t>
      </w:r>
      <w:r w:rsidRPr="00CE62E1" w:rsidR="00C36528">
        <w:t xml:space="preserve"> did not believe he would take them </w:t>
      </w:r>
      <w:r w:rsidRPr="00CE62E1" w:rsidR="008129E2">
        <w:t xml:space="preserve">consistently or correctly </w:t>
      </w:r>
      <w:r w:rsidRPr="00CE62E1" w:rsidR="00C36528">
        <w:t xml:space="preserve">without </w:t>
      </w:r>
      <w:r w:rsidRPr="00CE62E1" w:rsidR="008129E2">
        <w:t xml:space="preserve">a conservator’s </w:t>
      </w:r>
      <w:r w:rsidRPr="00CE62E1" w:rsidR="00C36528">
        <w:t xml:space="preserve">supervision.  </w:t>
      </w:r>
      <w:r w:rsidRPr="00CE62E1" w:rsidR="0022358C">
        <w:t xml:space="preserve">The day before trial, </w:t>
      </w:r>
      <w:r w:rsidRPr="00CE62E1" w:rsidR="008129E2">
        <w:t>K.P. almost gave himself a</w:t>
      </w:r>
      <w:r w:rsidRPr="00CE62E1" w:rsidR="0091058C">
        <w:t xml:space="preserve"> </w:t>
      </w:r>
      <w:r w:rsidRPr="00CE62E1" w:rsidR="008129E2">
        <w:t>double dose</w:t>
      </w:r>
      <w:r w:rsidRPr="00CE62E1" w:rsidR="00C36528">
        <w:t xml:space="preserve"> </w:t>
      </w:r>
      <w:r w:rsidRPr="00CE62E1" w:rsidR="008129E2">
        <w:t xml:space="preserve">of one potentially toxic </w:t>
      </w:r>
      <w:r w:rsidRPr="00CE62E1" w:rsidR="00AA7B5C">
        <w:t>pharmaceutical</w:t>
      </w:r>
      <w:r w:rsidRPr="00CE62E1" w:rsidR="008129E2">
        <w:t xml:space="preserve">. </w:t>
      </w:r>
      <w:r w:rsidRPr="00CE62E1" w:rsidR="00C36528">
        <w:t xml:space="preserve"> </w:t>
      </w:r>
      <w:r w:rsidRPr="00CE62E1" w:rsidR="000726D0">
        <w:t>The psychologist</w:t>
      </w:r>
      <w:r w:rsidRPr="00CE62E1" w:rsidR="000930FD">
        <w:t xml:space="preserve"> believed</w:t>
      </w:r>
      <w:r w:rsidRPr="00CE62E1" w:rsidR="008F7D0F">
        <w:t xml:space="preserve"> K.P. needed round-the-clock supervision</w:t>
      </w:r>
      <w:r w:rsidRPr="00CE62E1" w:rsidR="00583752">
        <w:t xml:space="preserve"> and </w:t>
      </w:r>
      <w:r w:rsidRPr="00CE62E1" w:rsidR="0091058C">
        <w:t xml:space="preserve">lacked the initiative and insight necessary to obtain treatment </w:t>
      </w:r>
      <w:r w:rsidRPr="00CE62E1" w:rsidR="00583752">
        <w:t>himself</w:t>
      </w:r>
      <w:r w:rsidRPr="00CE62E1" w:rsidR="0091058C">
        <w:t xml:space="preserve">. </w:t>
      </w:r>
      <w:r w:rsidRPr="00CE62E1" w:rsidR="00583752">
        <w:t xml:space="preserve"> A</w:t>
      </w:r>
      <w:r w:rsidRPr="00CE62E1" w:rsidR="00DA6390">
        <w:t xml:space="preserve">lthough he had opportunities to do so, K.P. had never left the facility without his therapist or mother. </w:t>
      </w:r>
    </w:p>
    <w:p w:rsidR="007516DA" w:rsidRPr="00CE62E1" w:rsidP="00CE62E1" w14:paraId="1A52E790" w14:textId="302D640D">
      <w:r w:rsidRPr="00CE62E1">
        <w:tab/>
        <w:t xml:space="preserve">K.P.’s mother </w:t>
      </w:r>
      <w:r w:rsidRPr="00CE62E1" w:rsidR="00AF6FF2">
        <w:t>understood that</w:t>
      </w:r>
      <w:r w:rsidRPr="00CE62E1">
        <w:t xml:space="preserve"> he had a mental illness.  If he </w:t>
      </w:r>
      <w:r w:rsidR="00E869E8">
        <w:t>were</w:t>
      </w:r>
      <w:r w:rsidRPr="00CE62E1">
        <w:t xml:space="preserve"> released from the conservatorship, she </w:t>
      </w:r>
      <w:r w:rsidRPr="00CE62E1" w:rsidR="00AF6FF2">
        <w:t xml:space="preserve">testified that she </w:t>
      </w:r>
      <w:r w:rsidRPr="00CE62E1">
        <w:t xml:space="preserve">would help him take his medications and </w:t>
      </w:r>
      <w:r w:rsidRPr="00CE62E1" w:rsidR="00B53CD0">
        <w:t xml:space="preserve">attend </w:t>
      </w:r>
      <w:r w:rsidRPr="00CE62E1">
        <w:t xml:space="preserve">therapy appointments. </w:t>
      </w:r>
      <w:r w:rsidRPr="00CE62E1" w:rsidR="00B53CD0">
        <w:t xml:space="preserve"> She </w:t>
      </w:r>
      <w:r w:rsidRPr="00CE62E1" w:rsidR="00A12FDC">
        <w:t xml:space="preserve">could not provide housing but </w:t>
      </w:r>
      <w:r w:rsidRPr="00CE62E1" w:rsidR="00B53CD0">
        <w:t xml:space="preserve">would help him find </w:t>
      </w:r>
      <w:r w:rsidRPr="00CE62E1" w:rsidR="00A12FDC">
        <w:t xml:space="preserve">a place to live. </w:t>
      </w:r>
      <w:r w:rsidRPr="00CE62E1" w:rsidR="00B53CD0">
        <w:t xml:space="preserve"> </w:t>
      </w:r>
    </w:p>
    <w:p w:rsidR="00D57D2F" w:rsidRPr="00CE62E1" w:rsidP="00CE62E1" w14:paraId="798A2E84" w14:textId="4D96B19F">
      <w:r w:rsidRPr="00CE62E1">
        <w:tab/>
        <w:t xml:space="preserve">K.P. </w:t>
      </w:r>
      <w:r w:rsidRPr="00CE62E1" w:rsidR="00AF6FF2">
        <w:t xml:space="preserve">also </w:t>
      </w:r>
      <w:r w:rsidRPr="00CE62E1">
        <w:t>testified.</w:t>
      </w:r>
      <w:r w:rsidRPr="00CE62E1" w:rsidR="0016541A">
        <w:t xml:space="preserve">  He had not lived outside a hospital or treatment facility since 2013.</w:t>
      </w:r>
      <w:r w:rsidRPr="00CE62E1">
        <w:t xml:space="preserve">  </w:t>
      </w:r>
      <w:r w:rsidRPr="00CE62E1" w:rsidR="005D6690">
        <w:t>After some</w:t>
      </w:r>
      <w:r w:rsidRPr="00CE62E1">
        <w:t xml:space="preserve"> conflicting answer</w:t>
      </w:r>
      <w:r w:rsidRPr="00CE62E1" w:rsidR="0016541A">
        <w:t>s</w:t>
      </w:r>
      <w:r w:rsidRPr="00CE62E1" w:rsidR="005D6690">
        <w:t>, he agreed</w:t>
      </w:r>
      <w:r w:rsidRPr="00CE62E1">
        <w:t xml:space="preserve"> to stay </w:t>
      </w:r>
      <w:r w:rsidRPr="00CE62E1" w:rsidR="005D6690">
        <w:t>in</w:t>
      </w:r>
      <w:r w:rsidRPr="00CE62E1">
        <w:t xml:space="preserve"> </w:t>
      </w:r>
      <w:r w:rsidRPr="00CE62E1" w:rsidR="0016541A">
        <w:t>his current</w:t>
      </w:r>
      <w:r w:rsidRPr="00CE62E1">
        <w:t xml:space="preserve"> </w:t>
      </w:r>
      <w:r w:rsidRPr="00CE62E1" w:rsidR="00AA7B5C">
        <w:t>placement</w:t>
      </w:r>
      <w:r w:rsidRPr="00CE62E1">
        <w:t xml:space="preserve"> until he could find a place to live. </w:t>
      </w:r>
      <w:r w:rsidRPr="00CE62E1" w:rsidR="005D6690">
        <w:t xml:space="preserve"> K.P.’s mother had previously been his conservator but </w:t>
      </w:r>
      <w:r w:rsidRPr="00CE62E1" w:rsidR="00B500BD">
        <w:t>later</w:t>
      </w:r>
      <w:r w:rsidRPr="00CE62E1" w:rsidR="005D6690">
        <w:t xml:space="preserve"> became homeless and moved away. </w:t>
      </w:r>
      <w:r w:rsidRPr="00CE62E1">
        <w:t xml:space="preserve"> </w:t>
      </w:r>
      <w:r w:rsidRPr="00CE62E1" w:rsidR="005D6690">
        <w:t>K.P.</w:t>
      </w:r>
      <w:r w:rsidRPr="00CE62E1">
        <w:t xml:space="preserve"> </w:t>
      </w:r>
      <w:r w:rsidRPr="00CE62E1" w:rsidR="00F10B12">
        <w:t>agreed</w:t>
      </w:r>
      <w:r w:rsidRPr="00CE62E1">
        <w:t xml:space="preserve"> he needed a psychiatrist and </w:t>
      </w:r>
      <w:r w:rsidRPr="00CE62E1" w:rsidR="00F10B12">
        <w:t>said he would</w:t>
      </w:r>
      <w:r w:rsidRPr="00CE62E1">
        <w:t xml:space="preserve"> see a therapist if release</w:t>
      </w:r>
      <w:r w:rsidRPr="00CE62E1" w:rsidR="0016541A">
        <w:t>d</w:t>
      </w:r>
      <w:r w:rsidRPr="00CE62E1">
        <w:t>,</w:t>
      </w:r>
      <w:r w:rsidRPr="00CE62E1" w:rsidR="005D6690">
        <w:t xml:space="preserve"> but</w:t>
      </w:r>
      <w:r w:rsidRPr="00CE62E1">
        <w:t xml:space="preserve"> he </w:t>
      </w:r>
      <w:r w:rsidRPr="00CE62E1" w:rsidR="00F10B12">
        <w:t>denied having</w:t>
      </w:r>
      <w:r w:rsidRPr="00CE62E1">
        <w:t xml:space="preserve"> a</w:t>
      </w:r>
      <w:r w:rsidRPr="00CE62E1" w:rsidR="0016541A">
        <w:t xml:space="preserve">ny mental illness.  He thought </w:t>
      </w:r>
      <w:r w:rsidRPr="00CE62E1" w:rsidR="005D6690">
        <w:t xml:space="preserve">his problems </w:t>
      </w:r>
      <w:r w:rsidRPr="00CE62E1" w:rsidR="00F10B12">
        <w:t xml:space="preserve">might </w:t>
      </w:r>
      <w:r w:rsidRPr="00CE62E1" w:rsidR="00B500BD">
        <w:t>stem</w:t>
      </w:r>
      <w:r w:rsidRPr="00CE62E1" w:rsidR="005D6690">
        <w:t xml:space="preserve"> from a childhood brain injury.  </w:t>
      </w:r>
      <w:r w:rsidRPr="00CE62E1" w:rsidR="00F10B12">
        <w:t xml:space="preserve">K.P. asserted </w:t>
      </w:r>
      <w:r w:rsidRPr="00CE62E1" w:rsidR="0016541A">
        <w:t xml:space="preserve">he did better without his psychiatric </w:t>
      </w:r>
      <w:r w:rsidRPr="00CE62E1" w:rsidR="00AA7B5C">
        <w:t>drugs</w:t>
      </w:r>
      <w:r w:rsidRPr="00CE62E1" w:rsidR="0016541A">
        <w:t xml:space="preserve"> and </w:t>
      </w:r>
      <w:r w:rsidRPr="00CE62E1" w:rsidR="00E740E0">
        <w:t xml:space="preserve">said he </w:t>
      </w:r>
      <w:r w:rsidRPr="00CE62E1" w:rsidR="00B500BD">
        <w:t>would not take</w:t>
      </w:r>
      <w:r w:rsidRPr="00CE62E1" w:rsidR="0016541A">
        <w:t xml:space="preserve"> them if released from the conservatorship. </w:t>
      </w:r>
      <w:r w:rsidRPr="00CE62E1" w:rsidR="005D6690">
        <w:t xml:space="preserve"> To supplement his Social Security benefits, K.P. </w:t>
      </w:r>
      <w:r w:rsidRPr="00CE62E1" w:rsidR="00F10B12">
        <w:t>planned</w:t>
      </w:r>
      <w:r w:rsidRPr="00CE62E1" w:rsidR="005D6690">
        <w:t xml:space="preserve"> to become an entrepreneur. </w:t>
      </w:r>
    </w:p>
    <w:p w:rsidR="00D910C6" w:rsidRPr="00CE62E1" w:rsidP="00CE62E1" w14:paraId="4527686D" w14:textId="350B4C8B">
      <w:r w:rsidRPr="00CE62E1">
        <w:tab/>
        <w:t xml:space="preserve">The court gave two Judicial Council </w:t>
      </w:r>
      <w:r w:rsidR="00A35B5E">
        <w:t xml:space="preserve">of California </w:t>
      </w:r>
      <w:r w:rsidRPr="00CE62E1">
        <w:t>Civil Jury Instructions (CACI) relevant to the issue here.  CACI No. 4000</w:t>
      </w:r>
      <w:r w:rsidR="00A35B5E">
        <w:t xml:space="preserve">, as given, </w:t>
      </w:r>
      <w:r w:rsidRPr="00CE62E1">
        <w:t>state</w:t>
      </w:r>
      <w:r w:rsidRPr="00CE62E1" w:rsidR="00B500BD">
        <w:t>d</w:t>
      </w:r>
      <w:r w:rsidRPr="00CE62E1">
        <w:t xml:space="preserve">:  “The Office of the Public Guardian claims that [K.P.] is gravely disabled due to a mental disorder and therefore should be placed in a conservatorship.  In a conservatorship, a conservator is appointed to oversee, under the direction of the court, the care of persons who are gravely disabled due to a mental disorder.  To succeed on this claim, the Office of the Public Guardian must prove beyond a reasonable doubt all of the following:  </w:t>
      </w:r>
      <w:r w:rsidRPr="00CE62E1" w:rsidR="00413B5D">
        <w:t xml:space="preserve">[¶] </w:t>
      </w:r>
      <w:r w:rsidRPr="00CE62E1">
        <w:t>(1) That [K.P.] has a mental disorder; and</w:t>
      </w:r>
      <w:r w:rsidRPr="00CE62E1" w:rsidR="00413B5D">
        <w:t xml:space="preserve"> [¶]</w:t>
      </w:r>
      <w:r w:rsidRPr="00CE62E1">
        <w:t xml:space="preserve"> (2) That [K.P.] is gravely disabled as a result of the mental disorder.” </w:t>
      </w:r>
    </w:p>
    <w:p w:rsidR="00D910C6" w:rsidRPr="00CE62E1" w:rsidP="00CE62E1" w14:paraId="13DDFBC9" w14:textId="2E868D08">
      <w:r w:rsidRPr="00CE62E1">
        <w:tab/>
        <w:t>CACI No. 4002</w:t>
      </w:r>
      <w:r w:rsidR="00A35B5E">
        <w:t>, as given,</w:t>
      </w:r>
      <w:r w:rsidRPr="00CE62E1">
        <w:t xml:space="preserve"> explain</w:t>
      </w:r>
      <w:r w:rsidRPr="00CE62E1" w:rsidR="00B500BD">
        <w:t>ed</w:t>
      </w:r>
      <w:r w:rsidRPr="00CE62E1">
        <w:t xml:space="preserve"> </w:t>
      </w:r>
      <w:r w:rsidRPr="00CE62E1" w:rsidR="00B500BD">
        <w:t>the meaning of</w:t>
      </w:r>
      <w:r w:rsidRPr="00CE62E1">
        <w:t xml:space="preserve"> “gravely disabled”</w:t>
      </w:r>
      <w:r w:rsidRPr="00CE62E1" w:rsidR="00B500BD">
        <w:t>:</w:t>
      </w:r>
      <w:r w:rsidRPr="00CE62E1">
        <w:t xml:space="preserve">  “The term ‘gravely disabled’ means that a person is presently unable to provide for his or her basic needs for food, clothing, or shelter because of a mental disorder.  [¶] Psychosis, bizarre or eccentric behavior, delusions or hallucinations are not enough, by themselves, to find that [K.P.] is gravely disabled.  He must be unable to provide for the basic needs of food, clothing, or shelter because of a mental disorder.  [¶] If you find [K.P.] will not take his prescribed medication without supervision and that a mental disorder makes him unable to provide for his basic needs for food, clothing, or shelter without such medication, then you may conclude [K.P.] is presently gravely disabled.  [¶] In determining whether [K.P.] is presently gravely disabled, you may consider evidence that he did not take prescribed medication in the past.  You may consider evidence of his lack of insight into his medical condition.  [¶] In determining whether [K.P.] is presently gravely disabled, you may not consider the likelihood of future deterioration or relapse of a condition.  [¶] </w:t>
      </w:r>
      <w:r w:rsidRPr="00CE62E1">
        <w:rPr>
          <w:i/>
          <w:iCs/>
        </w:rPr>
        <w:t>In determining whether [K.P.] is presently gravely disabled, you may consider whether he is unable or unwilling voluntarily to accept meaningful treatment.</w:t>
      </w:r>
      <w:r w:rsidRPr="00CE62E1">
        <w:t>”  (Italics added.)</w:t>
      </w:r>
    </w:p>
    <w:p w:rsidR="00D910C6" w:rsidRPr="00CE62E1" w:rsidP="00CE62E1" w14:paraId="46110DDC" w14:textId="01BBF800">
      <w:r w:rsidRPr="00CE62E1">
        <w:tab/>
        <w:t xml:space="preserve">K.P. requested a modification of CACI No. 4000 </w:t>
      </w:r>
      <w:r w:rsidRPr="00CE62E1" w:rsidR="00E33FE8">
        <w:t>to require, as a separate element, a finding</w:t>
      </w:r>
      <w:r w:rsidRPr="00CE62E1">
        <w:t xml:space="preserve"> </w:t>
      </w:r>
      <w:r w:rsidRPr="00CE62E1" w:rsidR="00CA3B09">
        <w:t xml:space="preserve">that he was “unwilling or unable voluntarily to accept </w:t>
      </w:r>
      <w:r w:rsidRPr="00CE62E1" w:rsidR="00413B5D">
        <w:t xml:space="preserve">meaningful </w:t>
      </w:r>
      <w:r w:rsidRPr="00CE62E1" w:rsidR="00CA3B09">
        <w:t xml:space="preserve">treatment.”  He argued </w:t>
      </w:r>
      <w:r w:rsidRPr="00CE62E1" w:rsidR="00ED32BC">
        <w:t xml:space="preserve">the final sentence of CACI No. 4002 directing the jury’s </w:t>
      </w:r>
      <w:r w:rsidRPr="00CE62E1" w:rsidR="002E1E98">
        <w:t>attention</w:t>
      </w:r>
      <w:r w:rsidRPr="00CE62E1" w:rsidR="00ED32BC">
        <w:t xml:space="preserve"> to this issue was </w:t>
      </w:r>
      <w:r w:rsidRPr="00CE62E1" w:rsidR="002E1E98">
        <w:t>in</w:t>
      </w:r>
      <w:r w:rsidRPr="00CE62E1" w:rsidR="00ED32BC">
        <w:t xml:space="preserve">adequate </w:t>
      </w:r>
      <w:r w:rsidRPr="00CE62E1" w:rsidR="00163071">
        <w:t>because</w:t>
      </w:r>
      <w:r w:rsidRPr="00CE62E1" w:rsidR="0041619C">
        <w:t xml:space="preserve"> it was “thrown in at the bottom of [a] less consequential later jury instruction.” </w:t>
      </w:r>
      <w:r w:rsidRPr="00CE62E1" w:rsidR="00ED32BC">
        <w:t xml:space="preserve"> The </w:t>
      </w:r>
      <w:r w:rsidRPr="00CE62E1" w:rsidR="0041619C">
        <w:t xml:space="preserve">court denied the </w:t>
      </w:r>
      <w:r w:rsidRPr="00CE62E1" w:rsidR="00ED32BC">
        <w:t>request</w:t>
      </w:r>
      <w:r w:rsidRPr="00CE62E1" w:rsidR="0041619C">
        <w:t xml:space="preserve">, observing that resistance to voluntary treatment is appropriately </w:t>
      </w:r>
      <w:r w:rsidRPr="00CE62E1" w:rsidR="0041619C">
        <w:rPr>
          <w:i/>
          <w:iCs/>
        </w:rPr>
        <w:t>considered</w:t>
      </w:r>
      <w:r w:rsidRPr="00CE62E1" w:rsidR="0041619C">
        <w:t xml:space="preserve"> as an aspect of grave disability but is not a separately required element that must be proven</w:t>
      </w:r>
      <w:r w:rsidRPr="00CE62E1" w:rsidR="00ED32BC">
        <w:t xml:space="preserve">. </w:t>
      </w:r>
    </w:p>
    <w:p w:rsidR="009F1A32" w:rsidRPr="00CE62E1" w:rsidP="00CE62E1" w14:paraId="174D8179" w14:textId="441A9E7F">
      <w:r w:rsidRPr="00CE62E1">
        <w:tab/>
      </w:r>
      <w:r w:rsidRPr="00CE62E1" w:rsidR="00E740E0">
        <w:t>T</w:t>
      </w:r>
      <w:r w:rsidRPr="00CE62E1">
        <w:t xml:space="preserve">he jury found that K.P. was gravely disabled, </w:t>
      </w:r>
      <w:r w:rsidRPr="00CE62E1" w:rsidR="00E740E0">
        <w:t xml:space="preserve">and </w:t>
      </w:r>
      <w:r w:rsidRPr="00CE62E1">
        <w:t xml:space="preserve">the reappointment petition was granted. </w:t>
      </w:r>
      <w:r w:rsidRPr="00CE62E1" w:rsidR="00E553DB">
        <w:t xml:space="preserve"> </w:t>
      </w:r>
      <w:r w:rsidRPr="00CE62E1" w:rsidR="0041619C">
        <w:t>On appeal,</w:t>
      </w:r>
      <w:r w:rsidRPr="00CE62E1" w:rsidR="009E7C98">
        <w:t xml:space="preserve"> </w:t>
      </w:r>
      <w:r w:rsidRPr="00CE62E1" w:rsidR="00D910C6">
        <w:t xml:space="preserve">K.P. </w:t>
      </w:r>
      <w:r w:rsidRPr="00CE62E1" w:rsidR="00983669">
        <w:t>challenged</w:t>
      </w:r>
      <w:r w:rsidRPr="00CE62E1" w:rsidR="00D910C6">
        <w:t xml:space="preserve"> the</w:t>
      </w:r>
      <w:r w:rsidRPr="00CE62E1" w:rsidR="00983669">
        <w:t xml:space="preserve"> </w:t>
      </w:r>
      <w:r w:rsidRPr="00CE62E1" w:rsidR="0041619C">
        <w:t>refusal to modify CACI No. 4000</w:t>
      </w:r>
      <w:r w:rsidRPr="00CE62E1" w:rsidR="00983669">
        <w:t xml:space="preserve">.  The Court of Appeal </w:t>
      </w:r>
      <w:r w:rsidRPr="00CE62E1" w:rsidR="0041619C">
        <w:t xml:space="preserve">concluded there was no error.  We granted review </w:t>
      </w:r>
      <w:r w:rsidRPr="00CE62E1" w:rsidR="0097783B">
        <w:t>and now reach the same conclusion.</w:t>
      </w:r>
      <w:r>
        <w:rPr>
          <w:rStyle w:val="FootnoteReference"/>
        </w:rPr>
        <w:footnoteReference w:id="4"/>
      </w:r>
    </w:p>
    <w:p w:rsidR="00CF0FA4" w:rsidRPr="00CE62E1" w:rsidP="00277140" w14:paraId="136CBC8D" w14:textId="77777777">
      <w:pPr>
        <w:keepNext/>
        <w:tabs>
          <w:tab w:val="left" w:pos="1440"/>
        </w:tabs>
        <w:jc w:val="center"/>
        <w:outlineLvl w:val="0"/>
        <w:rPr>
          <w:bCs/>
          <w:caps/>
        </w:rPr>
      </w:pPr>
      <w:r w:rsidRPr="00CE62E1">
        <w:rPr>
          <w:bCs/>
          <w:caps/>
        </w:rPr>
        <w:t xml:space="preserve">II.  </w:t>
      </w:r>
      <w:r w:rsidRPr="00CE62E1">
        <w:rPr>
          <w:bCs/>
          <w:caps/>
        </w:rPr>
        <w:t>DISCUSSION</w:t>
      </w:r>
    </w:p>
    <w:p w:rsidR="00E740E0" w:rsidRPr="00CE62E1" w:rsidP="00CE62E1" w14:paraId="48DB7044" w14:textId="32097A56">
      <w:r w:rsidRPr="00CE62E1">
        <w:tab/>
        <w:t>Although couched as a complaint about jury instructions, K.P.</w:t>
      </w:r>
      <w:r w:rsidR="006210A9">
        <w:t xml:space="preserve"> </w:t>
      </w:r>
      <w:r w:rsidRPr="00CE62E1">
        <w:t xml:space="preserve">essentially </w:t>
      </w:r>
      <w:r w:rsidR="006210A9">
        <w:t xml:space="preserve">claims </w:t>
      </w:r>
      <w:r w:rsidRPr="00CE62E1">
        <w:t>that a finding of unwillingness or inability to accept voluntary treatment is required for a conservatorship to be established.  This is a legal question subject to de novo review.  (</w:t>
      </w:r>
      <w:r w:rsidRPr="00CE62E1">
        <w:rPr>
          <w:i/>
          <w:iCs/>
        </w:rPr>
        <w:t>John L.</w:t>
      </w:r>
      <w:r w:rsidRPr="00CE62E1">
        <w:t xml:space="preserve">, </w:t>
      </w:r>
      <w:r w:rsidRPr="00CE62E1">
        <w:rPr>
          <w:i/>
        </w:rPr>
        <w:t>supra</w:t>
      </w:r>
      <w:r w:rsidRPr="00CE62E1">
        <w:t xml:space="preserve">, 48 Cal.4th at p. 142; see </w:t>
      </w:r>
      <w:r w:rsidRPr="00CE62E1">
        <w:rPr>
          <w:i/>
          <w:iCs/>
        </w:rPr>
        <w:t>Conservatorship of P.D.</w:t>
      </w:r>
      <w:r w:rsidRPr="00CE62E1">
        <w:t xml:space="preserve"> (2018) 21 Cal.App.5th 1163, 1167.)  Our goal in construing the LPS Act is to effectuate the Legislature’s intent.  (</w:t>
      </w:r>
      <w:r w:rsidRPr="00CE62E1">
        <w:rPr>
          <w:i/>
          <w:iCs/>
        </w:rPr>
        <w:t>John L.</w:t>
      </w:r>
      <w:r w:rsidRPr="00CE62E1">
        <w:t xml:space="preserve">, at p. 143.)  We consider individual statutes in the context of the entire Act so that each part may be harmonized and given effect.  (See </w:t>
      </w:r>
      <w:r w:rsidRPr="00CE62E1">
        <w:rPr>
          <w:i/>
          <w:iCs/>
        </w:rPr>
        <w:t>Moyer v. Workmen’s Comp. Appeals Bd.</w:t>
      </w:r>
      <w:r w:rsidRPr="00CE62E1">
        <w:t xml:space="preserve"> (1973) 10 Cal.3d 222, 230; </w:t>
      </w:r>
      <w:r w:rsidRPr="00CE62E1">
        <w:rPr>
          <w:i/>
          <w:iCs/>
        </w:rPr>
        <w:t>Conservatorship of Joseph W.</w:t>
      </w:r>
      <w:r w:rsidRPr="00CE62E1">
        <w:t xml:space="preserve"> (2011) 199 Cal.App.4th 953, 963.)</w:t>
      </w:r>
    </w:p>
    <w:p w:rsidR="00CA38CA" w:rsidRPr="00CE62E1" w:rsidP="00CE62E1" w14:paraId="0C49BF08" w14:textId="77777777">
      <w:pPr>
        <w:keepNext/>
        <w:outlineLvl w:val="0"/>
        <w:rPr>
          <w:bCs/>
          <w:i/>
          <w:iCs/>
        </w:rPr>
      </w:pPr>
      <w:r w:rsidRPr="00CE62E1">
        <w:rPr>
          <w:bCs/>
        </w:rPr>
        <w:t>A.</w:t>
      </w:r>
      <w:r w:rsidRPr="00CE62E1">
        <w:rPr>
          <w:bCs/>
        </w:rPr>
        <w:tab/>
      </w:r>
      <w:r w:rsidRPr="00CE62E1">
        <w:rPr>
          <w:bCs/>
          <w:i/>
          <w:iCs/>
        </w:rPr>
        <w:t>Overview of the LPS Act</w:t>
      </w:r>
    </w:p>
    <w:p w:rsidR="00A07708" w:rsidRPr="00CE62E1" w:rsidP="00CE62E1" w14:paraId="256EBB25" w14:textId="5D29472F">
      <w:r w:rsidRPr="00CE62E1">
        <w:tab/>
      </w:r>
      <w:r w:rsidRPr="00CE62E1" w:rsidR="00967ABE">
        <w:t>The</w:t>
      </w:r>
      <w:r w:rsidRPr="00CE62E1" w:rsidR="00CA38CA">
        <w:t xml:space="preserve"> LPS</w:t>
      </w:r>
      <w:r w:rsidRPr="00CE62E1" w:rsidR="00967ABE">
        <w:t xml:space="preserve"> Act </w:t>
      </w:r>
      <w:r w:rsidRPr="00CE62E1" w:rsidR="00A657D9">
        <w:t>has many</w:t>
      </w:r>
      <w:r w:rsidRPr="00CE62E1" w:rsidR="00BA663A">
        <w:t xml:space="preserve"> purposes, including “end[ing] the inappropriate, indefinite, and involuntary commitment of persons with mental health disorders” (§ 5001, subd. (a)), “provid[ing] prompt evaluation and treatment” (</w:t>
      </w:r>
      <w:r w:rsidRPr="00CE62E1" w:rsidR="00BA663A">
        <w:rPr>
          <w:i/>
          <w:iCs/>
        </w:rPr>
        <w:t>id</w:t>
      </w:r>
      <w:r w:rsidRPr="00CE62E1" w:rsidR="00BA663A">
        <w:t xml:space="preserve">., subd. (b)), and </w:t>
      </w:r>
      <w:r w:rsidRPr="00CE62E1" w:rsidR="00F00B75">
        <w:t>“</w:t>
      </w:r>
      <w:r w:rsidRPr="00CE62E1" w:rsidR="00BA663A">
        <w:t>provid[ing] individualized treatment, supervision, and placement services by a conservatorship program” (</w:t>
      </w:r>
      <w:r w:rsidRPr="00CE62E1" w:rsidR="00BA663A">
        <w:rPr>
          <w:i/>
          <w:iCs/>
        </w:rPr>
        <w:t>id</w:t>
      </w:r>
      <w:r w:rsidRPr="00CE62E1" w:rsidR="00BA663A">
        <w:t>., subd. (e)).</w:t>
      </w:r>
      <w:r w:rsidRPr="00CE62E1" w:rsidR="00967ABE">
        <w:t xml:space="preserve">  The Act defines</w:t>
      </w:r>
      <w:r w:rsidRPr="00CE62E1" w:rsidR="00A657D9">
        <w:t xml:space="preserve"> persons as </w:t>
      </w:r>
      <w:r w:rsidRPr="00CE62E1" w:rsidR="00967ABE">
        <w:t>“</w:t>
      </w:r>
      <w:r w:rsidRPr="00CE62E1" w:rsidR="00413B5D">
        <w:t> ‘</w:t>
      </w:r>
      <w:r w:rsidRPr="00CE62E1" w:rsidR="00967ABE">
        <w:t>gravely disabled</w:t>
      </w:r>
      <w:r w:rsidRPr="00CE62E1" w:rsidR="00413B5D">
        <w:t>’ </w:t>
      </w:r>
      <w:r w:rsidRPr="00CE62E1" w:rsidR="00967ABE">
        <w:t>”</w:t>
      </w:r>
      <w:r w:rsidRPr="00CE62E1" w:rsidR="00E757E2">
        <w:t xml:space="preserve"> </w:t>
      </w:r>
      <w:r w:rsidRPr="00CE62E1" w:rsidR="00A657D9">
        <w:t>if they are</w:t>
      </w:r>
      <w:r w:rsidRPr="00CE62E1" w:rsidR="00967ABE">
        <w:t xml:space="preserve"> unable to provide for basic personal needs </w:t>
      </w:r>
      <w:r w:rsidRPr="00CE62E1" w:rsidR="00A657D9">
        <w:t>of</w:t>
      </w:r>
      <w:r w:rsidRPr="00CE62E1" w:rsidR="00967ABE">
        <w:t xml:space="preserve"> food, clothing, or shelter</w:t>
      </w:r>
      <w:r w:rsidRPr="00CE62E1" w:rsidR="00A657D9">
        <w:t>, as a result of a mental disorder.</w:t>
      </w:r>
      <w:r w:rsidRPr="00CE62E1" w:rsidR="00967ABE">
        <w:t xml:space="preserve">  (§ 5008, subd. (h)(1)(A)</w:t>
      </w:r>
      <w:r w:rsidR="00C45F09">
        <w:t>; see § 5350, subd. (e)</w:t>
      </w:r>
      <w:r w:rsidRPr="00CE62E1" w:rsidR="00967ABE">
        <w:t xml:space="preserve">.)  </w:t>
      </w:r>
    </w:p>
    <w:p w:rsidR="00A07708" w:rsidRPr="00CE62E1" w:rsidP="00CE62E1" w14:paraId="240E3723" w14:textId="4FE2EE58">
      <w:r w:rsidRPr="00CE62E1">
        <w:tab/>
        <w:t xml:space="preserve">The overall statutory scheme </w:t>
      </w:r>
      <w:r w:rsidR="000C2CDE">
        <w:t>describes</w:t>
      </w:r>
      <w:r w:rsidRPr="00CE62E1">
        <w:t xml:space="preserve"> a detailed</w:t>
      </w:r>
      <w:r w:rsidR="000C2CDE">
        <w:t>,</w:t>
      </w:r>
      <w:r w:rsidRPr="00CE62E1">
        <w:t xml:space="preserve"> calibrated system for intervention when circumstances indicate a person may be suffering </w:t>
      </w:r>
      <w:r w:rsidRPr="00CE62E1" w:rsidR="003A23E0">
        <w:t xml:space="preserve">from a mental health disorder.  </w:t>
      </w:r>
      <w:r w:rsidRPr="00CE62E1" w:rsidR="00F00B75">
        <w:t>In addition to conservatorships, t</w:t>
      </w:r>
      <w:r w:rsidRPr="00CE62E1" w:rsidR="003A23E0">
        <w:t>he Act permits 3-day, 14-day, and 30-day involuntary detentions for intensive treatment.</w:t>
      </w:r>
      <w:r>
        <w:rPr>
          <w:rStyle w:val="FootnoteReference"/>
        </w:rPr>
        <w:footnoteReference w:id="5"/>
      </w:r>
    </w:p>
    <w:p w:rsidR="00A07708" w:rsidRPr="00CE62E1" w:rsidP="00CE62E1" w14:paraId="5065F223" w14:textId="77777777">
      <w:pPr>
        <w:keepNext/>
        <w:rPr>
          <w:i/>
          <w:iCs/>
        </w:rPr>
      </w:pPr>
      <w:r w:rsidRPr="00CE62E1">
        <w:tab/>
      </w:r>
      <w:r w:rsidRPr="00CE62E1" w:rsidR="003A23E0">
        <w:t>1</w:t>
      </w:r>
      <w:r w:rsidRPr="00CE62E1">
        <w:t>.</w:t>
      </w:r>
      <w:r w:rsidRPr="00CE62E1">
        <w:tab/>
      </w:r>
      <w:r w:rsidRPr="00CE62E1">
        <w:rPr>
          <w:i/>
          <w:iCs/>
        </w:rPr>
        <w:t>Chapter 2:  Involuntary Detention</w:t>
      </w:r>
      <w:r w:rsidRPr="00CE62E1" w:rsidR="003A23E0">
        <w:rPr>
          <w:i/>
          <w:iCs/>
        </w:rPr>
        <w:t>s</w:t>
      </w:r>
    </w:p>
    <w:p w:rsidR="00A07708" w:rsidRPr="00CE62E1" w:rsidP="00CE62E1" w14:paraId="7206F9EF" w14:textId="7FC24601">
      <w:r w:rsidRPr="00CE62E1">
        <w:tab/>
      </w:r>
      <w:r w:rsidRPr="00CE62E1" w:rsidR="003A23E0">
        <w:t xml:space="preserve">Under </w:t>
      </w:r>
      <w:r w:rsidR="00A35B5E">
        <w:t>c</w:t>
      </w:r>
      <w:r w:rsidRPr="00CE62E1" w:rsidR="003A23E0">
        <w:t>hapter 2 of th</w:t>
      </w:r>
      <w:r w:rsidRPr="00CE62E1">
        <w:t>e Act</w:t>
      </w:r>
      <w:r w:rsidRPr="00CE62E1" w:rsidR="003A23E0">
        <w:t>, those</w:t>
      </w:r>
      <w:r w:rsidRPr="00CE62E1">
        <w:t xml:space="preserve"> gravely disabled </w:t>
      </w:r>
      <w:r w:rsidRPr="00CE62E1" w:rsidR="003A23E0">
        <w:t>by</w:t>
      </w:r>
      <w:r w:rsidRPr="00CE62E1">
        <w:t xml:space="preserve"> a mental health disorder may be held for up to 72 hours for evaluation and treatment.  (§ 5150, subd. (a).)  Before such a detention</w:t>
      </w:r>
      <w:r w:rsidRPr="00CE62E1" w:rsidR="003A23E0">
        <w:t xml:space="preserve"> can begin</w:t>
      </w:r>
      <w:r w:rsidRPr="00CE62E1">
        <w:t>, a professional must assess whether the person “can be properly served without being detained.”  (</w:t>
      </w:r>
      <w:r w:rsidRPr="00CE62E1">
        <w:rPr>
          <w:i/>
          <w:iCs/>
        </w:rPr>
        <w:t>Id</w:t>
      </w:r>
      <w:r w:rsidRPr="00CE62E1">
        <w:t xml:space="preserve">., subd. (c).)  </w:t>
      </w:r>
      <w:r w:rsidRPr="00CE62E1" w:rsidR="003A23E0">
        <w:t>In such a case</w:t>
      </w:r>
      <w:r w:rsidRPr="00CE62E1">
        <w:t>, services must be provided “on a voluntary basis.”  (</w:t>
      </w:r>
      <w:r w:rsidRPr="00CE62E1">
        <w:rPr>
          <w:i/>
          <w:iCs/>
        </w:rPr>
        <w:t>Ibid</w:t>
      </w:r>
      <w:r w:rsidRPr="00CE62E1">
        <w:t>.)  After 72</w:t>
      </w:r>
      <w:r w:rsidRPr="00CE62E1" w:rsidR="003A23E0">
        <w:t xml:space="preserve"> </w:t>
      </w:r>
      <w:r w:rsidRPr="00CE62E1">
        <w:t>hou</w:t>
      </w:r>
      <w:r w:rsidRPr="00CE62E1" w:rsidR="003A23E0">
        <w:t>rs</w:t>
      </w:r>
      <w:r w:rsidRPr="00CE62E1">
        <w:t>, the person may be detained for up to 14 days of intensive treatment if three conditions are met:  (1) a professional has found that the person is gravely disabled due to a mental health disorder</w:t>
      </w:r>
      <w:r w:rsidR="00A35B5E">
        <w:t xml:space="preserve"> (</w:t>
      </w:r>
      <w:r w:rsidR="00A35B5E">
        <w:rPr>
          <w:rFonts w:ascii="Times New Roman" w:hAnsi="Times New Roman"/>
        </w:rPr>
        <w:t>§</w:t>
      </w:r>
      <w:r w:rsidR="00A35B5E">
        <w:t> 5250, subd. (a))</w:t>
      </w:r>
      <w:r w:rsidRPr="00CE62E1">
        <w:t>; (2) the facility providing treatment agrees to admit the person</w:t>
      </w:r>
      <w:r w:rsidR="00A35B5E">
        <w:t xml:space="preserve"> (</w:t>
      </w:r>
      <w:r w:rsidR="00A35B5E">
        <w:rPr>
          <w:i/>
          <w:iCs/>
        </w:rPr>
        <w:t>id</w:t>
      </w:r>
      <w:r w:rsidR="00A35B5E">
        <w:t>., subd. (b))</w:t>
      </w:r>
      <w:r w:rsidRPr="00CE62E1">
        <w:t>; and (3) the person “has been advised of the need for, but has not been willing or able to accept, treatment on a voluntary basis” (</w:t>
      </w:r>
      <w:r w:rsidR="00A35B5E">
        <w:rPr>
          <w:i/>
          <w:iCs/>
        </w:rPr>
        <w:t>id</w:t>
      </w:r>
      <w:r w:rsidR="00A35B5E">
        <w:t>.,</w:t>
      </w:r>
      <w:r w:rsidRPr="00CE62E1">
        <w:t xml:space="preserve"> subd. (c))</w:t>
      </w:r>
      <w:r w:rsidR="00A35B5E">
        <w:t>.</w:t>
      </w:r>
      <w:r w:rsidRPr="00CE62E1">
        <w:t xml:space="preserve">  This 14-day </w:t>
      </w:r>
      <w:r w:rsidRPr="00CE62E1" w:rsidR="003A23E0">
        <w:t>period</w:t>
      </w:r>
      <w:r w:rsidRPr="00CE62E1">
        <w:t xml:space="preserve"> can be extended </w:t>
      </w:r>
      <w:r w:rsidRPr="00CE62E1" w:rsidR="003A23E0">
        <w:t>by</w:t>
      </w:r>
      <w:r w:rsidRPr="00CE62E1">
        <w:t xml:space="preserve"> up to 30 days if the professional staff finds that the person remains both gravely disabled and “unwilling or unable to accept treatment voluntarily.”  (§ 5270.15, subd. (a)</w:t>
      </w:r>
      <w:r w:rsidRPr="00CE62E1" w:rsidR="00413B5D">
        <w:t>(2)</w:t>
      </w:r>
      <w:r w:rsidRPr="00CE62E1">
        <w:t>.)</w:t>
      </w:r>
    </w:p>
    <w:p w:rsidR="00A07708" w:rsidRPr="00CE62E1" w:rsidP="00CE62E1" w14:paraId="10AF4222" w14:textId="77777777">
      <w:r w:rsidRPr="00CE62E1">
        <w:tab/>
      </w:r>
      <w:r w:rsidRPr="00CE62E1" w:rsidR="006318A8">
        <w:t>Someone</w:t>
      </w:r>
      <w:r w:rsidRPr="00CE62E1">
        <w:t xml:space="preserve"> certified for a 14-day or 30-day detention has the right to a prompt certification review hearing.  (§§ 5254, 5256, 5270.15, subd. (b).)  </w:t>
      </w:r>
      <w:r w:rsidRPr="00CE62E1" w:rsidR="006318A8">
        <w:t>The</w:t>
      </w:r>
      <w:r w:rsidRPr="00CE62E1">
        <w:t xml:space="preserve"> only question to be decided </w:t>
      </w:r>
      <w:r w:rsidRPr="00CE62E1" w:rsidR="006318A8">
        <w:t>at such</w:t>
      </w:r>
      <w:r w:rsidRPr="00CE62E1" w:rsidR="000567AE">
        <w:t xml:space="preserve"> a</w:t>
      </w:r>
      <w:r w:rsidRPr="00CE62E1">
        <w:t xml:space="preserve"> review hearing is whether the person is gravely disabled </w:t>
      </w:r>
      <w:r w:rsidRPr="00CE62E1" w:rsidR="006318A8">
        <w:t xml:space="preserve">by </w:t>
      </w:r>
      <w:r w:rsidRPr="00CE62E1">
        <w:t xml:space="preserve">a mental health disorder (see § 5256.5).  If there is </w:t>
      </w:r>
      <w:r w:rsidRPr="00CE62E1" w:rsidR="00DB5BFD">
        <w:t>insufficient</w:t>
      </w:r>
      <w:r w:rsidRPr="00CE62E1">
        <w:t xml:space="preserve"> probable cause to find grave disability, the person must be released.  (§§ 5256.5</w:t>
      </w:r>
      <w:r w:rsidRPr="00CE62E1" w:rsidR="00E94DDB">
        <w:t>–</w:t>
      </w:r>
      <w:r w:rsidRPr="00CE62E1">
        <w:t>5256.6.)</w:t>
      </w:r>
      <w:r>
        <w:rPr>
          <w:rStyle w:val="FootnoteReference"/>
        </w:rPr>
        <w:footnoteReference w:id="6"/>
      </w:r>
    </w:p>
    <w:p w:rsidR="00D543A7" w:rsidRPr="00CE62E1" w:rsidP="00CE62E1" w14:paraId="2E88D304" w14:textId="32D495B7">
      <w:pPr>
        <w:rPr>
          <w:b/>
          <w:bCs/>
          <w:vertAlign w:val="superscript"/>
        </w:rPr>
      </w:pPr>
      <w:r w:rsidRPr="00CE62E1">
        <w:tab/>
        <w:t xml:space="preserve">As an alternative to a certification review hearing, </w:t>
      </w:r>
      <w:r w:rsidRPr="00CE62E1" w:rsidR="000567AE">
        <w:t>those detained</w:t>
      </w:r>
      <w:r w:rsidRPr="00CE62E1">
        <w:t xml:space="preserve"> have the right to habeas corpus</w:t>
      </w:r>
      <w:r w:rsidRPr="00CE62E1" w:rsidR="000567AE">
        <w:t xml:space="preserve"> review</w:t>
      </w:r>
      <w:r w:rsidRPr="00CE62E1">
        <w:t xml:space="preserve">.  (§ 5275.)  </w:t>
      </w:r>
      <w:r w:rsidRPr="00CE62E1" w:rsidR="000567AE">
        <w:t>Unlike a review hearing, h</w:t>
      </w:r>
      <w:r w:rsidRPr="00CE62E1">
        <w:t xml:space="preserve">abeas review tests </w:t>
      </w:r>
      <w:r w:rsidRPr="00CE62E1">
        <w:rPr>
          <w:i/>
          <w:iCs/>
        </w:rPr>
        <w:t>all</w:t>
      </w:r>
      <w:r w:rsidRPr="00CE62E1">
        <w:t xml:space="preserve"> the initial certification requirements.  The court must order an immediate release if it finds</w:t>
      </w:r>
      <w:r w:rsidRPr="00CE62E1">
        <w:t xml:space="preserve"> </w:t>
      </w:r>
      <w:r w:rsidRPr="00CE62E1">
        <w:t>that the detained person is not gravely disabled</w:t>
      </w:r>
      <w:r w:rsidRPr="00CE62E1">
        <w:t xml:space="preserve">, or </w:t>
      </w:r>
      <w:r w:rsidRPr="00CE62E1">
        <w:t>“had not been advised of, or had accepted, voluntary treatment</w:t>
      </w:r>
      <w:r w:rsidRPr="00CE62E1">
        <w:t>,</w:t>
      </w:r>
      <w:r w:rsidRPr="00CE62E1">
        <w:t>” or that the facility is not designated by the county or is not equipped and staffed to provide intensive treatment.  (§ 5276</w:t>
      </w:r>
      <w:r w:rsidR="00A35B5E">
        <w:t>, 2d par</w:t>
      </w:r>
      <w:r w:rsidRPr="00CE62E1">
        <w:t xml:space="preserve">.)  These statutes apply only to </w:t>
      </w:r>
      <w:r w:rsidR="00A35B5E">
        <w:t>c</w:t>
      </w:r>
      <w:r w:rsidRPr="00CE62E1">
        <w:t>hapter</w:t>
      </w:r>
      <w:r w:rsidRPr="00CE62E1">
        <w:t> </w:t>
      </w:r>
      <w:r w:rsidRPr="00CE62E1">
        <w:t xml:space="preserve">2 detentions, however, and not </w:t>
      </w:r>
      <w:r w:rsidR="00A35B5E">
        <w:t>c</w:t>
      </w:r>
      <w:r w:rsidRPr="00CE62E1">
        <w:t>hapter</w:t>
      </w:r>
      <w:r w:rsidRPr="00CE62E1">
        <w:t> </w:t>
      </w:r>
      <w:r w:rsidRPr="00CE62E1">
        <w:t>3</w:t>
      </w:r>
      <w:r w:rsidRPr="00CE62E1">
        <w:t xml:space="preserve">’s more </w:t>
      </w:r>
      <w:r w:rsidR="000C2CDE">
        <w:t>lengthy</w:t>
      </w:r>
      <w:r w:rsidRPr="00CE62E1">
        <w:t xml:space="preserve"> conservatorships.  Although habeas corpus </w:t>
      </w:r>
      <w:r w:rsidRPr="00CE62E1">
        <w:t xml:space="preserve">relief </w:t>
      </w:r>
      <w:r w:rsidRPr="00CE62E1">
        <w:t>may be appropriate “in extraordinary circumstances” (</w:t>
      </w:r>
      <w:r w:rsidRPr="00CE62E1">
        <w:rPr>
          <w:i/>
          <w:iCs/>
        </w:rPr>
        <w:t>In re Gandolfo</w:t>
      </w:r>
      <w:r w:rsidRPr="00CE62E1">
        <w:t xml:space="preserve"> (1984) 36 Cal.3d 889, 899), ordinarily the statutory rehearing provisions (§ 5364; see also § 5358.3) and the right to appeal from a conservator’s appointment or reappointment provide available and adequate remedies for aggrieved conservatees.  (</w:t>
      </w:r>
      <w:r w:rsidRPr="00CE62E1">
        <w:rPr>
          <w:i/>
          <w:iCs/>
        </w:rPr>
        <w:t>Gandolfo</w:t>
      </w:r>
      <w:r w:rsidRPr="00CE62E1">
        <w:t>, at pp. 898</w:t>
      </w:r>
      <w:r w:rsidRPr="00CE62E1" w:rsidR="00E94DDB">
        <w:t>–</w:t>
      </w:r>
      <w:r w:rsidRPr="00CE62E1">
        <w:t xml:space="preserve">900; see </w:t>
      </w:r>
      <w:r w:rsidRPr="00CE62E1">
        <w:rPr>
          <w:i/>
          <w:iCs/>
        </w:rPr>
        <w:t>Michelle K. v. Superior Court</w:t>
      </w:r>
      <w:r w:rsidRPr="00CE62E1">
        <w:t xml:space="preserve"> (2013) 221 Cal.App.4th 409, 433; 6 Witkin &amp; Epstein, Cal. Criminal Law (4th ed. 2020) Criminal Writs</w:t>
      </w:r>
      <w:r w:rsidRPr="00CE62E1" w:rsidR="00413B5D">
        <w:t>,</w:t>
      </w:r>
      <w:r w:rsidRPr="00CE62E1">
        <w:t xml:space="preserve"> § 25, </w:t>
      </w:r>
      <w:r w:rsidR="00B95348">
        <w:t>p</w:t>
      </w:r>
      <w:r w:rsidRPr="00CE62E1">
        <w:t>p. </w:t>
      </w:r>
      <w:r w:rsidRPr="00CE62E1" w:rsidR="00413B5D">
        <w:t>630–631</w:t>
      </w:r>
      <w:r w:rsidRPr="00CE62E1">
        <w:t>.)</w:t>
      </w:r>
    </w:p>
    <w:p w:rsidR="00D543A7" w:rsidRPr="00CE62E1" w:rsidP="00CE62E1" w14:paraId="521410ED" w14:textId="77777777">
      <w:pPr>
        <w:keepNext/>
        <w:rPr>
          <w:i/>
          <w:iCs/>
        </w:rPr>
      </w:pPr>
      <w:r w:rsidRPr="00CE62E1">
        <w:tab/>
        <w:t>2.</w:t>
      </w:r>
      <w:r w:rsidRPr="00CE62E1">
        <w:tab/>
      </w:r>
      <w:r w:rsidRPr="00CE62E1">
        <w:rPr>
          <w:i/>
          <w:iCs/>
        </w:rPr>
        <w:t>Chapter 3:  Conservatorships</w:t>
      </w:r>
    </w:p>
    <w:p w:rsidR="00D543A7" w:rsidRPr="00CE62E1" w:rsidP="00CE62E1" w14:paraId="66DA3115" w14:textId="360D6981">
      <w:r w:rsidRPr="00CE62E1">
        <w:tab/>
        <w:t>Chapter 3 of the Act goes on to provide for the imposition of a conservatorship under specifically described circumstances.  A “series of temporary detentions may culminate in a proceeding to determine whether the person is so disabled that he or she should be involuntarily confined for up to one year.  (§§ 5350, 5361.)  Because of the important liberty interests at stake, correspondingly powerful safeguards protect against erroneous findings.”  (</w:t>
      </w:r>
      <w:r w:rsidRPr="00CE62E1" w:rsidR="00B279D2">
        <w:rPr>
          <w:i/>
          <w:iCs/>
        </w:rPr>
        <w:t>Conservatorship of Ben C.</w:t>
      </w:r>
      <w:r w:rsidRPr="00CE62E1" w:rsidR="00B279D2">
        <w:t xml:space="preserve"> (2007) 40 Cal.4th 529, 541 (</w:t>
      </w:r>
      <w:r w:rsidRPr="00CE62E1" w:rsidR="00B279D2">
        <w:rPr>
          <w:i/>
          <w:iCs/>
        </w:rPr>
        <w:t>Ben C.</w:t>
      </w:r>
      <w:r w:rsidRPr="00CE62E1" w:rsidR="00B279D2">
        <w:t>)</w:t>
      </w:r>
      <w:r w:rsidRPr="00CE62E1">
        <w:t xml:space="preserve">.)  </w:t>
      </w:r>
      <w:r w:rsidRPr="00CE62E1" w:rsidR="00B279D2">
        <w:t xml:space="preserve">Conservatorships can involve confinement </w:t>
      </w:r>
      <w:r w:rsidRPr="00CE62E1" w:rsidR="00510119">
        <w:t xml:space="preserve">and other </w:t>
      </w:r>
      <w:r w:rsidR="00717039">
        <w:t>“</w:t>
      </w:r>
      <w:r w:rsidRPr="00CE62E1" w:rsidR="00510119">
        <w:t>disabilities</w:t>
      </w:r>
      <w:r w:rsidR="00717039">
        <w:t>”</w:t>
      </w:r>
      <w:r w:rsidRPr="00CE62E1" w:rsidR="00510119">
        <w:t xml:space="preserve"> that may be imposed by the court, such as the loss of driving privileges, the right to enter contracts or vote</w:t>
      </w:r>
      <w:r w:rsidRPr="00CE62E1" w:rsidR="00B279D2">
        <w:t>,</w:t>
      </w:r>
      <w:r w:rsidRPr="00CE62E1" w:rsidR="00510119">
        <w:t xml:space="preserve"> and the right to refuse medical and other treatments.  (§ 5357.)</w:t>
      </w:r>
      <w:r w:rsidRPr="00CE62E1" w:rsidR="00B279D2">
        <w:t xml:space="preserve"> </w:t>
      </w:r>
    </w:p>
    <w:p w:rsidR="007415F2" w:rsidRPr="00CE62E1" w:rsidP="00CE62E1" w14:paraId="5B99DC6D" w14:textId="2CB165AC">
      <w:r w:rsidRPr="00CE62E1">
        <w:tab/>
        <w:t xml:space="preserve">Section 5352 sets </w:t>
      </w:r>
      <w:r w:rsidRPr="00CE62E1" w:rsidR="00B279D2">
        <w:t>out</w:t>
      </w:r>
      <w:r w:rsidRPr="00CE62E1">
        <w:t xml:space="preserve"> the requirements for </w:t>
      </w:r>
      <w:r w:rsidRPr="00CE62E1" w:rsidR="00EA2482">
        <w:t>a</w:t>
      </w:r>
      <w:r w:rsidRPr="00CE62E1">
        <w:t xml:space="preserve"> professional recommend</w:t>
      </w:r>
      <w:r w:rsidRPr="00CE62E1" w:rsidR="00EA2482">
        <w:t xml:space="preserve">ation </w:t>
      </w:r>
      <w:r w:rsidR="000C2CDE">
        <w:t>to initiate</w:t>
      </w:r>
      <w:r w:rsidRPr="00CE62E1">
        <w:t xml:space="preserve"> conservatorship proceedings.  The first paragraph of section 5352 </w:t>
      </w:r>
      <w:r w:rsidRPr="00CE62E1" w:rsidR="00B279D2">
        <w:t>addresses</w:t>
      </w:r>
      <w:r w:rsidRPr="00CE62E1">
        <w:t xml:space="preserve"> recommendations for individuals who </w:t>
      </w:r>
      <w:r w:rsidRPr="00CE62E1" w:rsidR="00B279D2">
        <w:t xml:space="preserve">have already been detained for evaluation and treatment under </w:t>
      </w:r>
      <w:r w:rsidR="00717039">
        <w:t>c</w:t>
      </w:r>
      <w:r w:rsidRPr="00CE62E1" w:rsidR="00B279D2">
        <w:t xml:space="preserve">hapter 2.  </w:t>
      </w:r>
      <w:r w:rsidRPr="00CE62E1">
        <w:t xml:space="preserve">When the professional in charge of an </w:t>
      </w:r>
      <w:r w:rsidRPr="00CE62E1">
        <w:t>agency providing comprehensive evaluation</w:t>
      </w:r>
      <w:r w:rsidRPr="00CE62E1">
        <w:t>,</w:t>
      </w:r>
      <w:r w:rsidRPr="00CE62E1">
        <w:t xml:space="preserve"> or</w:t>
      </w:r>
      <w:r w:rsidRPr="00CE62E1">
        <w:t xml:space="preserve"> of</w:t>
      </w:r>
      <w:r w:rsidRPr="00CE62E1">
        <w:t xml:space="preserve"> a facility providing intensive treatment</w:t>
      </w:r>
      <w:r w:rsidRPr="00CE62E1">
        <w:t>,</w:t>
      </w:r>
      <w:r w:rsidRPr="00CE62E1">
        <w:t xml:space="preserve"> </w:t>
      </w:r>
      <w:r w:rsidRPr="00CE62E1">
        <w:t>“</w:t>
      </w:r>
      <w:r w:rsidRPr="00CE62E1">
        <w:t xml:space="preserve">determines that a person in his or her care is gravely disabled as a result of mental disorder or impairment by chronic alcoholism </w:t>
      </w:r>
      <w:r w:rsidRPr="00CE62E1">
        <w:rPr>
          <w:i/>
          <w:iCs/>
        </w:rPr>
        <w:t>and is unwilling to accept, or incapable of accepting, treatment voluntarily</w:t>
      </w:r>
      <w:r w:rsidRPr="00CE62E1">
        <w:t>, he or she may recommend conservatorship to the officer providing conservatorship investigation of the county of residence of the person prior to his or her admission as a patient in such facility.”  (§ 5352,</w:t>
      </w:r>
      <w:r w:rsidR="00717039">
        <w:t xml:space="preserve"> 1st par.,</w:t>
      </w:r>
      <w:r w:rsidRPr="00CE62E1">
        <w:t xml:space="preserve"> italics added.)</w:t>
      </w:r>
      <w:r>
        <w:rPr>
          <w:rStyle w:val="FootnoteReference"/>
        </w:rPr>
        <w:footnoteReference w:id="7"/>
      </w:r>
      <w:r w:rsidRPr="00CE62E1">
        <w:t xml:space="preserve">  Thus, before </w:t>
      </w:r>
      <w:r w:rsidRPr="00CE62E1">
        <w:t xml:space="preserve">a professional </w:t>
      </w:r>
      <w:r w:rsidRPr="00CE62E1">
        <w:t xml:space="preserve">may </w:t>
      </w:r>
      <w:r w:rsidRPr="00CE62E1">
        <w:rPr>
          <w:i/>
          <w:iCs/>
        </w:rPr>
        <w:t>recommend</w:t>
      </w:r>
      <w:r w:rsidRPr="00CE62E1">
        <w:t xml:space="preserve"> </w:t>
      </w:r>
      <w:r w:rsidRPr="00CE62E1">
        <w:t xml:space="preserve">the initiation of a conservatorship </w:t>
      </w:r>
      <w:r w:rsidRPr="00CE62E1">
        <w:t xml:space="preserve">for a </w:t>
      </w:r>
      <w:r w:rsidRPr="00CE62E1">
        <w:t>detained</w:t>
      </w:r>
      <w:r w:rsidRPr="00CE62E1">
        <w:t xml:space="preserve"> inpatient, th</w:t>
      </w:r>
      <w:r w:rsidRPr="00CE62E1">
        <w:t>at</w:t>
      </w:r>
      <w:r w:rsidRPr="00CE62E1">
        <w:t xml:space="preserve"> professional must conclude the person is not willing or able to </w:t>
      </w:r>
      <w:r w:rsidRPr="00CE62E1">
        <w:t>consent to voluntary</w:t>
      </w:r>
      <w:r w:rsidRPr="00CE62E1">
        <w:t xml:space="preserve"> treatment.  </w:t>
      </w:r>
      <w:r w:rsidRPr="00CE62E1">
        <w:t xml:space="preserve">This requirement recognizes that if a person is able and willing to accept inpatient treatment, there may be no need to pursue the additional constraints of a conservatorship.  It also recognizes that when a person is committed for inpatient </w:t>
      </w:r>
      <w:r w:rsidRPr="00CE62E1" w:rsidR="000052A1">
        <w:t>t</w:t>
      </w:r>
      <w:r w:rsidRPr="00CE62E1">
        <w:t>reatment</w:t>
      </w:r>
      <w:r w:rsidRPr="00CE62E1" w:rsidR="000052A1">
        <w:t xml:space="preserve">, but unwilling or unable to consent to that treatment, an additional measure of authority over the </w:t>
      </w:r>
      <w:r w:rsidRPr="00CE62E1" w:rsidR="00F00B75">
        <w:t>person</w:t>
      </w:r>
      <w:r w:rsidRPr="00CE62E1" w:rsidR="000052A1">
        <w:t xml:space="preserve"> may be necessary for treatment to be successful and for other services, like general medical care, to be provided.</w:t>
      </w:r>
    </w:p>
    <w:p w:rsidR="00BF342B" w:rsidRPr="00CE62E1" w:rsidP="00CE62E1" w14:paraId="38AA2DB8" w14:textId="5EC493D6">
      <w:r w:rsidRPr="00CE62E1">
        <w:tab/>
      </w:r>
      <w:r w:rsidRPr="00CE62E1" w:rsidR="00D543A7">
        <w:t xml:space="preserve">The recommendation standards are different for </w:t>
      </w:r>
      <w:r w:rsidRPr="00CE62E1" w:rsidR="00EA2482">
        <w:t>those</w:t>
      </w:r>
      <w:r w:rsidRPr="00CE62E1" w:rsidR="00D543A7">
        <w:t xml:space="preserve"> presently receiving outpatient treatment, however.  The second paragraph of section 5352, which addresses </w:t>
      </w:r>
      <w:r w:rsidRPr="00CE62E1">
        <w:t>outpatients</w:t>
      </w:r>
      <w:r w:rsidRPr="00CE62E1" w:rsidR="00D543A7">
        <w:t xml:space="preserve">, does not mention </w:t>
      </w:r>
      <w:r w:rsidRPr="00CE62E1">
        <w:t>a</w:t>
      </w:r>
      <w:r w:rsidRPr="00CE62E1" w:rsidR="00D543A7">
        <w:t xml:space="preserve"> willingness or ability to accept treatment</w:t>
      </w:r>
      <w:r w:rsidRPr="00CE62E1">
        <w:t>.  Under that paragraph,</w:t>
      </w:r>
      <w:r w:rsidRPr="00CE62E1" w:rsidR="00D543A7">
        <w:t xml:space="preserve"> </w:t>
      </w:r>
      <w:r w:rsidRPr="00CE62E1">
        <w:t>t</w:t>
      </w:r>
      <w:r w:rsidRPr="00CE62E1" w:rsidR="00D543A7">
        <w:t xml:space="preserve">he professional agency </w:t>
      </w:r>
      <w:r w:rsidRPr="00CE62E1">
        <w:t>in charge of “</w:t>
      </w:r>
      <w:r w:rsidRPr="00CE62E1" w:rsidR="00D543A7">
        <w:t>providing comprehensive evaluation or a facility providing intensive treatment, or the professional person in charge of providing mental health treatment at a county jail, or his or her designee, may recommend conservatorship for a person without the person being an inpatient in a facility providing comprehensive evaluation or intensive treatment, if both of the following conditions are met:  </w:t>
      </w:r>
      <w:r w:rsidRPr="00CE62E1" w:rsidR="00413B5D">
        <w:t xml:space="preserve"> </w:t>
      </w:r>
      <w:r w:rsidRPr="00CE62E1" w:rsidR="00D543A7">
        <w:t>(a) the professional person</w:t>
      </w:r>
      <w:r w:rsidRPr="00CE62E1" w:rsidR="00EA2482">
        <w:t>[,]</w:t>
      </w:r>
      <w:r w:rsidRPr="00CE62E1" w:rsidR="00D543A7">
        <w:t xml:space="preserve"> or another professional person designated by him or her</w:t>
      </w:r>
      <w:r w:rsidRPr="00CE62E1" w:rsidR="00EA2482">
        <w:t>[,]</w:t>
      </w:r>
      <w:r w:rsidRPr="00CE62E1" w:rsidR="00D543A7">
        <w:t xml:space="preserve"> has examined and evaluated the person and determined that he or she is gravely disabled; (b) the professional person or </w:t>
      </w:r>
      <w:r w:rsidRPr="00CE62E1" w:rsidR="00EA2482">
        <w:t>[designee]</w:t>
      </w:r>
      <w:r w:rsidRPr="00CE62E1" w:rsidR="00D543A7">
        <w:t xml:space="preserve"> has determined that future examination on an inpatient basis is not necessary for a determination that the person is gravely disabled.”</w:t>
      </w:r>
      <w:r>
        <w:rPr>
          <w:rStyle w:val="FootnoteReference"/>
        </w:rPr>
        <w:footnoteReference w:id="8"/>
      </w:r>
      <w:r w:rsidRPr="00CE62E1" w:rsidR="00263AD8">
        <w:t xml:space="preserve">  </w:t>
      </w:r>
      <w:r w:rsidRPr="00CE62E1">
        <w:t xml:space="preserve">The distinction between the two paragraphs reflects that those not in a county </w:t>
      </w:r>
      <w:r w:rsidRPr="00CE62E1" w:rsidR="00EA2482">
        <w:t>jail</w:t>
      </w:r>
      <w:r w:rsidRPr="00CE62E1" w:rsidR="00263AD8">
        <w:t xml:space="preserve"> are entitled to remain on outpatient status if services can be effectively provided on a voluntary basis (see §§ 5150, subd. (c) [72-hour period]</w:t>
      </w:r>
      <w:r w:rsidRPr="00CE62E1" w:rsidR="00413B5D">
        <w:t>,</w:t>
      </w:r>
      <w:r w:rsidRPr="00CE62E1" w:rsidR="00263AD8">
        <w:t xml:space="preserve"> 5250, subd. (c) [14-day period]</w:t>
      </w:r>
      <w:r w:rsidRPr="00CE62E1" w:rsidR="00413B5D">
        <w:t>,</w:t>
      </w:r>
      <w:r w:rsidRPr="00CE62E1" w:rsidR="00263AD8">
        <w:t xml:space="preserve"> 5270.15, subd. (b) [30-day period]), even when a conservatorship is necessary.</w:t>
      </w:r>
      <w:r>
        <w:rPr>
          <w:rStyle w:val="FootnoteReference"/>
        </w:rPr>
        <w:footnoteReference w:id="9"/>
      </w:r>
    </w:p>
    <w:p w:rsidR="000663A4" w:rsidRPr="00CE62E1" w:rsidP="00CE62E1" w14:paraId="73A8C9CD" w14:textId="183C5B9C">
      <w:r w:rsidRPr="00CE62E1">
        <w:tab/>
        <w:t xml:space="preserve">Under either paragraph of section 5352, the professional’s recommendation simply starts the conservatorship process.  </w:t>
      </w:r>
      <w:r w:rsidRPr="00CE62E1" w:rsidR="00D543A7">
        <w:t>If the county</w:t>
      </w:r>
      <w:r w:rsidRPr="00CE62E1">
        <w:t>’s investigative</w:t>
      </w:r>
      <w:r w:rsidRPr="00CE62E1" w:rsidR="00D543A7">
        <w:t xml:space="preserve"> office agrees with the recommendation, it initiates court proceedings.  (§ 5352.)  </w:t>
      </w:r>
      <w:r w:rsidRPr="00CE62E1">
        <w:t>T</w:t>
      </w:r>
      <w:r w:rsidRPr="00CE62E1" w:rsidR="00D543A7">
        <w:t xml:space="preserve">he county </w:t>
      </w:r>
      <w:r w:rsidRPr="00CE62E1">
        <w:t xml:space="preserve">then </w:t>
      </w:r>
      <w:r w:rsidRPr="00CE62E1" w:rsidR="00D543A7">
        <w:t>conducts a comprehensive investigation of available alternatives to conservatorship, examining “all relevant aspects of the person’s medical, psychological, financial, family, vocational, and social condition, and information obtained from the person’s family members, close friends, social worker, or principal therapist.”  (§ 5354</w:t>
      </w:r>
      <w:r w:rsidRPr="00CE62E1" w:rsidR="00413B5D">
        <w:t>, subd. (a)</w:t>
      </w:r>
      <w:r w:rsidRPr="00CE62E1" w:rsidR="00D543A7">
        <w:t xml:space="preserve">.)  After this investigation, the county </w:t>
      </w:r>
      <w:r w:rsidRPr="00CE62E1">
        <w:t>is empowered to</w:t>
      </w:r>
      <w:r w:rsidRPr="00CE62E1" w:rsidR="00D543A7">
        <w:t xml:space="preserve"> “recommend conservatorship to the court only if no suitable alternatives are available.”  (</w:t>
      </w:r>
      <w:r w:rsidRPr="00CE62E1" w:rsidR="00D543A7">
        <w:rPr>
          <w:i/>
          <w:iCs/>
        </w:rPr>
        <w:t>Ibid</w:t>
      </w:r>
      <w:r w:rsidRPr="00CE62E1" w:rsidR="00D543A7">
        <w:t>.)</w:t>
      </w:r>
      <w:r w:rsidRPr="00CE62E1">
        <w:t xml:space="preserve">  A conservator may</w:t>
      </w:r>
      <w:r w:rsidRPr="00CE62E1" w:rsidR="00F00B75">
        <w:t xml:space="preserve"> then</w:t>
      </w:r>
      <w:r w:rsidRPr="00CE62E1">
        <w:t xml:space="preserve"> be appointed </w:t>
      </w:r>
      <w:r w:rsidRPr="00CE62E1" w:rsidR="00510119">
        <w:t>if the</w:t>
      </w:r>
      <w:r w:rsidRPr="00CE62E1">
        <w:t xml:space="preserve"> person is</w:t>
      </w:r>
      <w:r w:rsidRPr="00CE62E1" w:rsidR="00510119">
        <w:t xml:space="preserve"> found to be</w:t>
      </w:r>
      <w:r w:rsidRPr="00CE62E1">
        <w:t xml:space="preserve"> gravely disabled as a result of a mental health disorder</w:t>
      </w:r>
      <w:r w:rsidRPr="00CE62E1" w:rsidR="00510119">
        <w:t>.</w:t>
      </w:r>
      <w:r w:rsidRPr="00CE62E1">
        <w:t xml:space="preserve">  (§ 5350.)</w:t>
      </w:r>
    </w:p>
    <w:p w:rsidR="00604705" w:rsidRPr="00CE62E1" w:rsidP="00CE62E1" w14:paraId="2D52B522" w14:textId="343ADB23">
      <w:r w:rsidRPr="00CE62E1">
        <w:tab/>
        <w:t>Proposed conservatees have the right to a jury trial to determine whether they are gravely disabled</w:t>
      </w:r>
      <w:r w:rsidRPr="00CE62E1" w:rsidR="002E0447">
        <w:t xml:space="preserve">. </w:t>
      </w:r>
      <w:r w:rsidRPr="00CE62E1">
        <w:t xml:space="preserve"> (§ 5350, subd. (d)(1)</w:t>
      </w:r>
      <w:r w:rsidRPr="00CE62E1" w:rsidR="002E0447">
        <w:t>.</w:t>
      </w:r>
      <w:r w:rsidRPr="00CE62E1">
        <w:t xml:space="preserve">)  </w:t>
      </w:r>
      <w:r w:rsidRPr="00CE62E1" w:rsidR="002E0447">
        <w:t>The determination must be</w:t>
      </w:r>
      <w:r w:rsidRPr="00CE62E1">
        <w:t xml:space="preserve"> unanimous and </w:t>
      </w:r>
      <w:r w:rsidRPr="00CE62E1" w:rsidR="002E0447">
        <w:t xml:space="preserve">upon proof </w:t>
      </w:r>
      <w:r w:rsidRPr="00CE62E1">
        <w:t xml:space="preserve">beyond a reasonable doubt.  </w:t>
      </w:r>
      <w:r w:rsidRPr="00CE62E1" w:rsidR="002E0447">
        <w:t>(</w:t>
      </w:r>
      <w:r w:rsidRPr="00CE62E1">
        <w:rPr>
          <w:i/>
          <w:iCs/>
        </w:rPr>
        <w:t>Conservatorship of Early</w:t>
      </w:r>
      <w:r w:rsidRPr="00CE62E1">
        <w:t xml:space="preserve"> (1983) 35 Cal.3d 244, 248 (</w:t>
      </w:r>
      <w:r w:rsidRPr="00CE62E1">
        <w:rPr>
          <w:i/>
          <w:iCs/>
        </w:rPr>
        <w:t>Early</w:t>
      </w:r>
      <w:r w:rsidRPr="00CE62E1">
        <w:t>)</w:t>
      </w:r>
      <w:r w:rsidR="000C2CDE">
        <w:t xml:space="preserve">; </w:t>
      </w:r>
      <w:r w:rsidRPr="00CE62E1" w:rsidR="000C2CDE">
        <w:rPr>
          <w:i/>
          <w:iCs/>
        </w:rPr>
        <w:t>Conservatorship of Roulet</w:t>
      </w:r>
      <w:r w:rsidRPr="00CE62E1" w:rsidR="000C2CDE">
        <w:t xml:space="preserve"> (1979) 23 Cal.3d 219, </w:t>
      </w:r>
      <w:r w:rsidR="000C2CDE">
        <w:t>235</w:t>
      </w:r>
      <w:r w:rsidRPr="00CE62E1" w:rsidR="000C2CDE">
        <w:t xml:space="preserve"> (</w:t>
      </w:r>
      <w:r w:rsidRPr="00CE62E1" w:rsidR="000C2CDE">
        <w:rPr>
          <w:i/>
          <w:iCs/>
        </w:rPr>
        <w:t>Roulet</w:t>
      </w:r>
      <w:r w:rsidRPr="00CE62E1" w:rsidR="000C2CDE">
        <w:t>)</w:t>
      </w:r>
      <w:r w:rsidRPr="00CE62E1">
        <w:t xml:space="preserve">.)  If grave disability is found, the court appoints a conservator (§ 5350), imposes disabilities on the conservatee as needed (§ 5357), and determines the least restrictive </w:t>
      </w:r>
      <w:r w:rsidRPr="00CE62E1" w:rsidR="002E0447">
        <w:t xml:space="preserve">appropriate </w:t>
      </w:r>
      <w:r w:rsidRPr="00CE62E1">
        <w:t>placement</w:t>
      </w:r>
      <w:r w:rsidRPr="00CE62E1" w:rsidR="00F00B75">
        <w:t xml:space="preserve"> (§ 5358, subd. (a)(1)(A))</w:t>
      </w:r>
      <w:r w:rsidRPr="00CE62E1" w:rsidR="002E0447">
        <w:t>.  T</w:t>
      </w:r>
      <w:r w:rsidRPr="00CE62E1">
        <w:t>he conservatee’s home</w:t>
      </w:r>
      <w:r w:rsidRPr="00CE62E1" w:rsidR="002E0447">
        <w:t>,</w:t>
      </w:r>
      <w:r w:rsidRPr="00CE62E1">
        <w:t xml:space="preserve"> or </w:t>
      </w:r>
      <w:r w:rsidRPr="00CE62E1" w:rsidR="002E0447">
        <w:t xml:space="preserve">that of </w:t>
      </w:r>
      <w:r w:rsidRPr="00CE62E1">
        <w:t>a relative</w:t>
      </w:r>
      <w:r w:rsidRPr="00CE62E1" w:rsidR="002E0447">
        <w:t xml:space="preserve">, is to be </w:t>
      </w:r>
      <w:r w:rsidRPr="00CE62E1">
        <w:t>given first priority</w:t>
      </w:r>
      <w:r w:rsidRPr="00CE62E1" w:rsidR="002E0447">
        <w:t xml:space="preserve">, as an alternative to confinement. </w:t>
      </w:r>
      <w:r w:rsidRPr="00CE62E1">
        <w:t xml:space="preserve"> (§ 5358, subd. (c)(1).)  A conservatorship automatically </w:t>
      </w:r>
      <w:r w:rsidRPr="00CE62E1" w:rsidR="002E0447">
        <w:t>ends</w:t>
      </w:r>
      <w:r w:rsidRPr="00CE62E1">
        <w:t xml:space="preserve"> after one year and may be reestablished only by a new petition (§ 5361)</w:t>
      </w:r>
      <w:r w:rsidRPr="00CE62E1" w:rsidR="002E0447">
        <w:t>, subject to the same</w:t>
      </w:r>
      <w:r w:rsidRPr="00CE62E1">
        <w:t xml:space="preserve"> jury trial rights (</w:t>
      </w:r>
      <w:r w:rsidRPr="00CE62E1" w:rsidR="008101A2">
        <w:t xml:space="preserve">see </w:t>
      </w:r>
      <w:r w:rsidRPr="00CE62E1">
        <w:t xml:space="preserve">§ 5350, subd. (d); </w:t>
      </w:r>
      <w:r w:rsidRPr="00CE62E1" w:rsidR="002E0447">
        <w:rPr>
          <w:i/>
          <w:iCs/>
        </w:rPr>
        <w:t>Roulet</w:t>
      </w:r>
      <w:r w:rsidR="00BA72EC">
        <w:t>,</w:t>
      </w:r>
      <w:r w:rsidRPr="00CE62E1" w:rsidR="002E0447">
        <w:t xml:space="preserve"> </w:t>
      </w:r>
      <w:r w:rsidR="00BA72EC">
        <w:t>at pp. </w:t>
      </w:r>
      <w:r w:rsidRPr="00CE62E1">
        <w:t>225</w:t>
      </w:r>
      <w:r w:rsidRPr="00CE62E1" w:rsidR="00E94DDB">
        <w:t>–</w:t>
      </w:r>
      <w:r w:rsidRPr="00CE62E1">
        <w:t xml:space="preserve">226; </w:t>
      </w:r>
      <w:r w:rsidRPr="00CE62E1">
        <w:rPr>
          <w:i/>
          <w:iCs/>
        </w:rPr>
        <w:t>Baber v. Superior Court</w:t>
      </w:r>
      <w:r w:rsidRPr="00CE62E1">
        <w:t xml:space="preserve"> (1980) 113 Cal.App.3d 955, 959)</w:t>
      </w:r>
      <w:r w:rsidRPr="00CE62E1" w:rsidR="00413B5D">
        <w:t>.</w:t>
      </w:r>
    </w:p>
    <w:p w:rsidR="00D543A7" w:rsidRPr="00CE62E1" w:rsidP="00CE62E1" w14:paraId="4B8EEB0A" w14:textId="3BB02C38">
      <w:r w:rsidRPr="00CE62E1">
        <w:tab/>
        <w:t xml:space="preserve">The court must terminate a conservatorship </w:t>
      </w:r>
      <w:r w:rsidR="00BA72EC">
        <w:t>before the one-year period expires</w:t>
      </w:r>
      <w:r w:rsidRPr="00CE62E1">
        <w:t>, however, if a progress review determines that “the goals [of treatment] have been reached and the person is no longer gravely disabled.”  (§ 5352.6</w:t>
      </w:r>
      <w:r w:rsidR="00695CFD">
        <w:t>, 2d par</w:t>
      </w:r>
      <w:r w:rsidRPr="00CE62E1">
        <w:t xml:space="preserve">.)  </w:t>
      </w:r>
      <w:r w:rsidRPr="00CE62E1" w:rsidR="00763581">
        <w:t>In addition to</w:t>
      </w:r>
      <w:r w:rsidRPr="00CE62E1">
        <w:t xml:space="preserve"> the right to appeal the judgment</w:t>
      </w:r>
      <w:r w:rsidRPr="00CE62E1" w:rsidR="00763581">
        <w:t xml:space="preserve"> imposing conservatorship</w:t>
      </w:r>
      <w:r w:rsidRPr="00CE62E1">
        <w:t>, conservatee</w:t>
      </w:r>
      <w:r w:rsidRPr="00CE62E1" w:rsidR="00763581">
        <w:t>s</w:t>
      </w:r>
      <w:r w:rsidRPr="00CE62E1">
        <w:t xml:space="preserve"> may twice petition for rehearing </w:t>
      </w:r>
      <w:r w:rsidRPr="00CE62E1" w:rsidR="00763581">
        <w:t>on their</w:t>
      </w:r>
      <w:r w:rsidRPr="00CE62E1">
        <w:t xml:space="preserve"> status as a conservatee</w:t>
      </w:r>
      <w:r w:rsidRPr="00CE62E1" w:rsidR="00763581">
        <w:t xml:space="preserve">. </w:t>
      </w:r>
      <w:r w:rsidRPr="00CE62E1">
        <w:t xml:space="preserve"> (§ 5364</w:t>
      </w:r>
      <w:r w:rsidRPr="00CE62E1" w:rsidR="00763581">
        <w:t>.</w:t>
      </w:r>
      <w:r w:rsidRPr="00CE62E1">
        <w:t xml:space="preserve">) </w:t>
      </w:r>
      <w:r w:rsidRPr="00CE62E1" w:rsidR="00763581">
        <w:t xml:space="preserve"> At such a </w:t>
      </w:r>
      <w:r w:rsidRPr="00CE62E1" w:rsidR="00F00B75">
        <w:t>re</w:t>
      </w:r>
      <w:r w:rsidRPr="00CE62E1" w:rsidR="00763581">
        <w:t>hearing, petitioners</w:t>
      </w:r>
      <w:r w:rsidRPr="00CE62E1">
        <w:t xml:space="preserve"> need only prove by a preponderance of the evidence that </w:t>
      </w:r>
      <w:r w:rsidRPr="00CE62E1" w:rsidR="00763581">
        <w:t>they are</w:t>
      </w:r>
      <w:r w:rsidRPr="00CE62E1">
        <w:t xml:space="preserve"> no longer gravely disabled.  (</w:t>
      </w:r>
      <w:r w:rsidRPr="00CE62E1">
        <w:rPr>
          <w:i/>
          <w:iCs/>
        </w:rPr>
        <w:t>John L.</w:t>
      </w:r>
      <w:r w:rsidRPr="00CE62E1">
        <w:t xml:space="preserve">, </w:t>
      </w:r>
      <w:r w:rsidRPr="00CE62E1">
        <w:rPr>
          <w:i/>
        </w:rPr>
        <w:t>supra</w:t>
      </w:r>
      <w:r w:rsidRPr="00CE62E1">
        <w:t>, 48 Cal.4th at p. 152</w:t>
      </w:r>
      <w:r w:rsidR="00DB609A">
        <w:t>.</w:t>
      </w:r>
      <w:r w:rsidRPr="00CE62E1">
        <w:t xml:space="preserve">)  A conservatee’s willingness or ability to accept voluntary treatment is not a basis for rehearing (see § 5364) or for </w:t>
      </w:r>
      <w:r w:rsidRPr="00CE62E1" w:rsidR="00763581">
        <w:t xml:space="preserve">an early conservatorship </w:t>
      </w:r>
      <w:r w:rsidRPr="00CE62E1">
        <w:t>terminati</w:t>
      </w:r>
      <w:r w:rsidRPr="00CE62E1" w:rsidR="00763581">
        <w:t xml:space="preserve">on </w:t>
      </w:r>
      <w:r w:rsidRPr="00CE62E1">
        <w:t>(see § 5352.6).</w:t>
      </w:r>
    </w:p>
    <w:p w:rsidR="00D543A7" w:rsidRPr="00CE62E1" w:rsidP="00CE62E1" w14:paraId="44DBCAC1" w14:textId="0B46C6EF">
      <w:r w:rsidRPr="00CE62E1">
        <w:tab/>
        <w:t xml:space="preserve">If a conservatorship is still needed at the end of the one-year term, the conservator may petition for reappointment.  (§ 5361.)  </w:t>
      </w:r>
      <w:r w:rsidRPr="00CE62E1" w:rsidR="00936CE0">
        <w:t>Such a</w:t>
      </w:r>
      <w:r w:rsidRPr="00CE62E1">
        <w:t xml:space="preserve"> petition must include the opinion of two physicians</w:t>
      </w:r>
      <w:r w:rsidRPr="00CE62E1" w:rsidR="00936CE0">
        <w:t>,</w:t>
      </w:r>
      <w:r w:rsidRPr="00CE62E1">
        <w:t xml:space="preserve"> or </w:t>
      </w:r>
      <w:r w:rsidRPr="00CE62E1" w:rsidR="00936CE0">
        <w:t>other described professionals,</w:t>
      </w:r>
      <w:r w:rsidRPr="00CE62E1">
        <w:t xml:space="preserve"> </w:t>
      </w:r>
      <w:r w:rsidRPr="00CE62E1" w:rsidR="00936CE0">
        <w:t>“</w:t>
      </w:r>
      <w:r w:rsidRPr="00CE62E1">
        <w:t>that the conservatee is still gravely disabled as a result of mental disorder or impairment by chronic alcoholism.”  (</w:t>
      </w:r>
      <w:r w:rsidRPr="00CE62E1">
        <w:rPr>
          <w:i/>
          <w:iCs/>
        </w:rPr>
        <w:t>Id</w:t>
      </w:r>
      <w:r w:rsidRPr="00CE62E1">
        <w:t>.</w:t>
      </w:r>
      <w:r w:rsidR="00695CFD">
        <w:t>, 1st par.</w:t>
      </w:r>
      <w:r w:rsidRPr="00CE62E1">
        <w:t xml:space="preserve">)  Section 5361 focuses on grave disability alone and makes no mention of the conservatee’s amenability to voluntary treatment.  </w:t>
      </w:r>
      <w:r w:rsidRPr="00CE62E1" w:rsidR="0001056E">
        <w:t>A</w:t>
      </w:r>
      <w:r w:rsidRPr="00CE62E1">
        <w:t xml:space="preserve"> “reestablishment hearing is conducted according to the same rules that govern the initial establishment of a conservatorship.  [Citations.]  The state has the burden to prove beyond a reasonable doubt that the conservatee remains gravely disabled.”  (</w:t>
      </w:r>
      <w:r w:rsidRPr="00CE62E1">
        <w:rPr>
          <w:i/>
          <w:iCs/>
        </w:rPr>
        <w:t>Conservatorship of Deidre B.</w:t>
      </w:r>
      <w:r w:rsidRPr="00CE62E1">
        <w:t xml:space="preserve"> (2010) 180 Cal.App.4th 1306, 1312; </w:t>
      </w:r>
      <w:r w:rsidRPr="00CE62E1" w:rsidR="0001056E">
        <w:t xml:space="preserve">see </w:t>
      </w:r>
      <w:r w:rsidRPr="00CE62E1">
        <w:t>§ 5350, subd. (d)(3).)</w:t>
      </w:r>
    </w:p>
    <w:p w:rsidR="002E767E" w:rsidRPr="00CE62E1" w:rsidP="00CE62E1" w14:paraId="35FEE991" w14:textId="11EAC2B4">
      <w:pPr>
        <w:keepNext/>
        <w:rPr>
          <w:i/>
          <w:iCs/>
        </w:rPr>
      </w:pPr>
      <w:r w:rsidRPr="00CE62E1">
        <w:t>B.</w:t>
      </w:r>
      <w:r w:rsidRPr="00CE62E1">
        <w:tab/>
      </w:r>
      <w:r w:rsidRPr="00CE62E1">
        <w:rPr>
          <w:i/>
          <w:iCs/>
        </w:rPr>
        <w:t>Statutory Analysis</w:t>
      </w:r>
    </w:p>
    <w:p w:rsidR="002E767E" w:rsidRPr="00CE62E1" w:rsidP="00CE62E1" w14:paraId="59158EF1" w14:textId="02973697">
      <w:r w:rsidRPr="00CE62E1">
        <w:tab/>
        <w:t xml:space="preserve">Reading </w:t>
      </w:r>
      <w:r w:rsidR="00695CFD">
        <w:t>c</w:t>
      </w:r>
      <w:r w:rsidRPr="00CE62E1">
        <w:t>hapter 3’s</w:t>
      </w:r>
      <w:r w:rsidRPr="00CE62E1">
        <w:t xml:space="preserve"> provisions together, it </w:t>
      </w:r>
      <w:r w:rsidR="00BA72EC">
        <w:t>is clear</w:t>
      </w:r>
      <w:r w:rsidRPr="00CE62E1">
        <w:t xml:space="preserve"> the Act requires consideration of willingness or ability to accept voluntary treatment only when a professional recommends</w:t>
      </w:r>
      <w:r w:rsidRPr="00CE62E1" w:rsidR="0061599D">
        <w:t xml:space="preserve"> the</w:t>
      </w:r>
      <w:r w:rsidRPr="00CE62E1">
        <w:t xml:space="preserve"> </w:t>
      </w:r>
      <w:r w:rsidRPr="00CE62E1">
        <w:rPr>
          <w:i/>
          <w:iCs/>
        </w:rPr>
        <w:t>initiation</w:t>
      </w:r>
      <w:r w:rsidRPr="00CE62E1">
        <w:t xml:space="preserve"> of</w:t>
      </w:r>
      <w:r w:rsidRPr="00CE62E1" w:rsidR="0061599D">
        <w:t xml:space="preserve"> </w:t>
      </w:r>
      <w:r w:rsidRPr="00CE62E1">
        <w:t>conservatorship</w:t>
      </w:r>
      <w:r w:rsidRPr="00CE62E1" w:rsidR="0061599D">
        <w:t xml:space="preserve"> proceedings</w:t>
      </w:r>
      <w:r w:rsidRPr="00CE62E1">
        <w:t xml:space="preserve"> for a person</w:t>
      </w:r>
      <w:r w:rsidRPr="00CE62E1" w:rsidR="00035A56">
        <w:t xml:space="preserve"> who is </w:t>
      </w:r>
      <w:r w:rsidRPr="00CE62E1" w:rsidR="0061599D">
        <w:t xml:space="preserve">currently </w:t>
      </w:r>
      <w:r w:rsidRPr="00CE62E1">
        <w:t>being treated as an inpatient</w:t>
      </w:r>
      <w:r w:rsidRPr="00CE62E1" w:rsidR="0061599D">
        <w:t xml:space="preserve"> (§ 5352) or </w:t>
      </w:r>
      <w:r w:rsidR="00BA72EC">
        <w:t xml:space="preserve">is </w:t>
      </w:r>
      <w:r w:rsidRPr="00CE62E1" w:rsidR="0061599D">
        <w:t>subject to a Probate Code conservatorship (§ 5350.5)</w:t>
      </w:r>
      <w:r w:rsidRPr="00CE62E1">
        <w:t xml:space="preserve">.  Applicable provisions do not mention </w:t>
      </w:r>
      <w:r w:rsidRPr="00CE62E1" w:rsidR="00EA2482">
        <w:t>such a</w:t>
      </w:r>
      <w:r w:rsidRPr="00CE62E1">
        <w:t xml:space="preserve"> requirement for outpatient recommendations (</w:t>
      </w:r>
      <w:r w:rsidRPr="00CE62E1" w:rsidR="003401E6">
        <w:t xml:space="preserve">see </w:t>
      </w:r>
      <w:r w:rsidRPr="00CE62E1">
        <w:t>§ 5352) or for reappointment petitions (</w:t>
      </w:r>
      <w:r w:rsidRPr="00CE62E1" w:rsidR="0006514A">
        <w:t xml:space="preserve">see </w:t>
      </w:r>
      <w:r w:rsidRPr="00CE62E1">
        <w:t>§ 5361).</w:t>
      </w:r>
    </w:p>
    <w:p w:rsidR="002E767E" w:rsidRPr="00CE62E1" w:rsidP="00CE62E1" w14:paraId="795766C5" w14:textId="6737E065">
      <w:r w:rsidRPr="00CE62E1">
        <w:tab/>
      </w:r>
      <w:r w:rsidRPr="00CE62E1" w:rsidR="007C56A1">
        <w:t>Nor</w:t>
      </w:r>
      <w:r w:rsidR="00BA72EC">
        <w:t xml:space="preserve"> does </w:t>
      </w:r>
      <w:r w:rsidRPr="00CE62E1" w:rsidR="00EA2482">
        <w:t>the Act</w:t>
      </w:r>
      <w:r w:rsidR="00BA72EC">
        <w:t xml:space="preserve"> make </w:t>
      </w:r>
      <w:r w:rsidRPr="00CE62E1" w:rsidR="007C56A1">
        <w:t xml:space="preserve">amenability to voluntary treatment an issue </w:t>
      </w:r>
      <w:r w:rsidRPr="00CE62E1" w:rsidR="00EA2482">
        <w:t xml:space="preserve">that </w:t>
      </w:r>
      <w:r w:rsidRPr="00CE62E1" w:rsidR="007C56A1">
        <w:t>must be separately decided at trial</w:t>
      </w:r>
      <w:r w:rsidRPr="00CE62E1" w:rsidR="00035A56">
        <w:t xml:space="preserve">.  Section 5350 authorizes the court to appoint a conservator “for a person who is gravely disabled as a result of a mental health disorder.”  (See also § 5361 [authorizing reappointments].)  </w:t>
      </w:r>
      <w:r w:rsidRPr="00CE62E1">
        <w:t xml:space="preserve">It grants “the right to demand a court or jury trial </w:t>
      </w:r>
      <w:r w:rsidRPr="00CE62E1">
        <w:rPr>
          <w:i/>
          <w:iCs/>
        </w:rPr>
        <w:t>on the issue of whether [the subject] is gravely disabled</w:t>
      </w:r>
      <w:r w:rsidRPr="00CE62E1">
        <w:t>.”  (§ 5350, subd. (d)(1), italics added; see also § 5352.1 [temporary conservatorship].)  Section 5350 thus expressly limits conservatorship trials to the issue of grave disability.  It does not mention whether the proposed conservatee is willing or able to accept treatment voluntarily.  This subject is also absent from the statutory definition of “gravely disabled,” which considers only whether the “person, as a result of a mental health disorder, is unable to provide for his or her basic personal needs for food, clothing, or shelter.”  (§ 5008, subd. (h)(1)(A)</w:t>
      </w:r>
      <w:r w:rsidR="00A803A1">
        <w:t>; see § 5350</w:t>
      </w:r>
      <w:r w:rsidR="001A12D4">
        <w:t>, subd. </w:t>
      </w:r>
      <w:r w:rsidR="00A803A1">
        <w:t>(e)(1)</w:t>
      </w:r>
      <w:r w:rsidRPr="00CE62E1">
        <w:t>.)</w:t>
      </w:r>
      <w:r>
        <w:rPr>
          <w:rStyle w:val="FootnoteReference"/>
        </w:rPr>
        <w:footnoteReference w:id="10"/>
      </w:r>
      <w:r w:rsidRPr="00CE62E1" w:rsidR="0055672F">
        <w:t xml:space="preserve">  Read together, sections 5350 and 5008 establish only two requirements for the creation of a conservatorship:  (1) The subject has a mental health disorder; and (2) as a result of the disorder, the subject is unable to meet basic survival needs.</w:t>
      </w:r>
    </w:p>
    <w:p w:rsidR="002E767E" w:rsidRPr="00CE62E1" w:rsidP="00CE62E1" w14:paraId="0BA89E7F" w14:textId="29295AA1">
      <w:r w:rsidRPr="00CE62E1">
        <w:tab/>
        <w:t>The Legislature amended section 5350 in 1989 to clarify that there is no grave disability if a proposed conservatee can survive safely with the assistance of responsible friends, family members, or others willing and able to help meet these basic needs.  (See § 5350, subd. (e)</w:t>
      </w:r>
      <w:r w:rsidR="00695CFD">
        <w:t>, as amended by</w:t>
      </w:r>
      <w:r w:rsidRPr="00CE62E1">
        <w:t xml:space="preserve"> Stats. 1989, ch. 999, § 2, p.</w:t>
      </w:r>
      <w:r w:rsidRPr="00CE62E1" w:rsidR="000B7F74">
        <w:t> </w:t>
      </w:r>
      <w:r w:rsidRPr="00CE62E1">
        <w:t xml:space="preserve">3484.)  Notably, the modification did not amend section 5350, or any other provision of the Act, to require separate findings on a person’s amenability to voluntary treatment as a prerequisite to imposition of a conservatorship.  </w:t>
      </w:r>
    </w:p>
    <w:p w:rsidR="002E767E" w:rsidRPr="00CE62E1" w:rsidP="00CE62E1" w14:paraId="0F533E9D" w14:textId="65A87F38">
      <w:r w:rsidRPr="00CE62E1">
        <w:tab/>
      </w:r>
      <w:r w:rsidRPr="00CE62E1" w:rsidR="0055672F">
        <w:t>Theoretically,</w:t>
      </w:r>
      <w:r w:rsidRPr="00CE62E1" w:rsidR="000B7F74">
        <w:t xml:space="preserve"> </w:t>
      </w:r>
      <w:r w:rsidR="00BA72EC">
        <w:t xml:space="preserve">someone </w:t>
      </w:r>
      <w:r w:rsidRPr="00CE62E1" w:rsidR="000B7F74">
        <w:t xml:space="preserve">who is willing and able to accept voluntary treatment </w:t>
      </w:r>
      <w:r w:rsidRPr="00CE62E1" w:rsidR="000365AB">
        <w:t>may</w:t>
      </w:r>
      <w:r w:rsidRPr="00CE62E1" w:rsidR="000B7F74">
        <w:t xml:space="preserve"> not </w:t>
      </w:r>
      <w:r w:rsidRPr="00CE62E1" w:rsidR="000365AB">
        <w:t xml:space="preserve">be </w:t>
      </w:r>
      <w:r w:rsidRPr="00CE62E1" w:rsidR="000B7F74">
        <w:t xml:space="preserve">gravely disabled if that treatment will allow the person to meet </w:t>
      </w:r>
      <w:r w:rsidRPr="00CE62E1" w:rsidR="005C7BBB">
        <w:t>the</w:t>
      </w:r>
      <w:r w:rsidRPr="00CE62E1" w:rsidR="000B7F74">
        <w:t xml:space="preserve"> need</w:t>
      </w:r>
      <w:r w:rsidRPr="00CE62E1" w:rsidR="005C7BBB">
        <w:t>s for food, clothing, and shelter</w:t>
      </w:r>
      <w:r w:rsidRPr="00CE62E1" w:rsidR="000B7F74">
        <w:t xml:space="preserve">.  Under the statutory scheme, however, this is an evidentiary </w:t>
      </w:r>
      <w:r w:rsidR="00BA72EC">
        <w:t>conclusion</w:t>
      </w:r>
      <w:r w:rsidRPr="00CE62E1" w:rsidR="000B7F74">
        <w:t xml:space="preserve"> to be </w:t>
      </w:r>
      <w:r w:rsidR="00BA72EC">
        <w:t>drawn</w:t>
      </w:r>
      <w:r w:rsidRPr="00CE62E1" w:rsidR="000B7F74">
        <w:t xml:space="preserve"> by the trier of fact.  If credible evidence shows that </w:t>
      </w:r>
      <w:r w:rsidRPr="00CE62E1" w:rsidR="005C7BBB">
        <w:t>a</w:t>
      </w:r>
      <w:r w:rsidRPr="00CE62E1" w:rsidR="000B7F74">
        <w:t xml:space="preserve"> proposed conservatee is willing and able to accept treatment </w:t>
      </w:r>
      <w:r w:rsidRPr="00F83852" w:rsidR="000365AB">
        <w:t>that would allow</w:t>
      </w:r>
      <w:r w:rsidRPr="00F83852" w:rsidR="000B7F74">
        <w:t xml:space="preserve"> </w:t>
      </w:r>
      <w:r w:rsidRPr="00F83852" w:rsidR="0022437D">
        <w:t>them</w:t>
      </w:r>
      <w:r w:rsidRPr="00F83852" w:rsidR="000B7F74">
        <w:t xml:space="preserve"> to meet basic </w:t>
      </w:r>
      <w:r w:rsidRPr="00F83852" w:rsidR="005C7BBB">
        <w:t xml:space="preserve">survival </w:t>
      </w:r>
      <w:r w:rsidRPr="00F83852" w:rsidR="000B7F74">
        <w:t xml:space="preserve">needs, </w:t>
      </w:r>
      <w:r w:rsidRPr="00F83852" w:rsidR="000365AB">
        <w:t>the fact</w:t>
      </w:r>
      <w:r w:rsidRPr="00F83852" w:rsidR="00695CFD">
        <w:t xml:space="preserve"> </w:t>
      </w:r>
      <w:r w:rsidRPr="00F83852" w:rsidR="000365AB">
        <w:t xml:space="preserve">finder may conclude </w:t>
      </w:r>
      <w:r w:rsidRPr="00F83852" w:rsidR="000B7F74">
        <w:t xml:space="preserve">a reasonable doubt </w:t>
      </w:r>
      <w:r w:rsidRPr="00F83852" w:rsidR="000365AB">
        <w:t>has</w:t>
      </w:r>
      <w:r w:rsidRPr="00F83852" w:rsidR="000B7F74">
        <w:t xml:space="preserve"> been raised on the issue of grave disability, and the effort to impose a conservatorship </w:t>
      </w:r>
      <w:r w:rsidRPr="00F83852" w:rsidR="0022437D">
        <w:t>may</w:t>
      </w:r>
      <w:r w:rsidRPr="00F83852" w:rsidR="000B7F74">
        <w:t xml:space="preserve"> fail</w:t>
      </w:r>
      <w:r w:rsidRPr="00CE62E1" w:rsidR="000B7F74">
        <w:t xml:space="preserve">.  </w:t>
      </w:r>
      <w:r w:rsidR="00BC2E9A">
        <w:t xml:space="preserve">It may be </w:t>
      </w:r>
      <w:r w:rsidR="0052071C">
        <w:t xml:space="preserve">necessary </w:t>
      </w:r>
      <w:r w:rsidR="00BC2E9A">
        <w:t>in some cases for the fact finder to determine w</w:t>
      </w:r>
      <w:r w:rsidRPr="00CE62E1" w:rsidR="001D2F7F">
        <w:t xml:space="preserve">hether the treatment a proposed conservatee is prepared to accept will sufficiently empower </w:t>
      </w:r>
      <w:r w:rsidR="0022437D">
        <w:t>them</w:t>
      </w:r>
      <w:r w:rsidRPr="00CE62E1" w:rsidR="001D2F7F">
        <w:t xml:space="preserve"> to meet basic survival needs.  In some cases of severe dementia or mental illness, there may simply be no treatment that would enable the person to “survive safely in freedom.”  (</w:t>
      </w:r>
      <w:r w:rsidRPr="00CE62E1" w:rsidR="001D2F7F">
        <w:rPr>
          <w:i/>
          <w:iCs/>
        </w:rPr>
        <w:t>Early</w:t>
      </w:r>
      <w:r w:rsidRPr="00CE62E1" w:rsidR="001D2F7F">
        <w:t xml:space="preserve">, </w:t>
      </w:r>
      <w:r w:rsidRPr="00CE62E1" w:rsidR="001D2F7F">
        <w:rPr>
          <w:i/>
        </w:rPr>
        <w:t>supra</w:t>
      </w:r>
      <w:r w:rsidRPr="00CE62E1" w:rsidR="001D2F7F">
        <w:t>, 35 Cal.3d at p. 255</w:t>
      </w:r>
      <w:r w:rsidRPr="00CE62E1" w:rsidR="000365AB">
        <w:t xml:space="preserve">; see </w:t>
      </w:r>
      <w:r w:rsidRPr="00CE62E1" w:rsidR="000365AB">
        <w:rPr>
          <w:i/>
          <w:iCs/>
        </w:rPr>
        <w:t>Conservatorship of Symington</w:t>
      </w:r>
      <w:r w:rsidRPr="00CE62E1" w:rsidR="000365AB">
        <w:t xml:space="preserve"> (1989) 209 Cal.App.3d 1464, </w:t>
      </w:r>
      <w:r w:rsidRPr="00CE62E1" w:rsidR="00E82A9F">
        <w:t>1467</w:t>
      </w:r>
      <w:r w:rsidRPr="00CE62E1" w:rsidR="000365AB">
        <w:t xml:space="preserve"> (</w:t>
      </w:r>
      <w:r w:rsidRPr="00CE62E1" w:rsidR="000365AB">
        <w:rPr>
          <w:i/>
          <w:iCs/>
        </w:rPr>
        <w:t>Symington</w:t>
      </w:r>
      <w:r w:rsidRPr="00CE62E1" w:rsidR="000365AB">
        <w:t>)</w:t>
      </w:r>
      <w:r w:rsidRPr="00CE62E1" w:rsidR="001D2F7F">
        <w:t>.)</w:t>
      </w:r>
      <w:r>
        <w:rPr>
          <w:rStyle w:val="FootnoteReference"/>
        </w:rPr>
        <w:footnoteReference w:id="11"/>
      </w:r>
      <w:r w:rsidRPr="00CE62E1" w:rsidR="001D2F7F">
        <w:t xml:space="preserve">  </w:t>
      </w:r>
      <w:r w:rsidRPr="00CE62E1" w:rsidR="000B7F74">
        <w:t xml:space="preserve">As a practical matter, evidence about amenability to voluntary treatment will generally be in </w:t>
      </w:r>
      <w:r w:rsidRPr="00CE62E1" w:rsidR="0092297C">
        <w:t>the proposed conservatee’s</w:t>
      </w:r>
      <w:r w:rsidRPr="00CE62E1" w:rsidR="000B7F74">
        <w:t xml:space="preserve"> own hands.  Placing a burden on counties </w:t>
      </w:r>
      <w:r w:rsidR="00FE0669">
        <w:t xml:space="preserve">“to negate all reasonable doubts as to the possible existence of” a treatment the person might voluntarily accept </w:t>
      </w:r>
      <w:r w:rsidRPr="00CE62E1" w:rsidR="0092297C">
        <w:t>would be</w:t>
      </w:r>
      <w:r w:rsidRPr="00CE62E1" w:rsidR="000B7F74">
        <w:t xml:space="preserve"> </w:t>
      </w:r>
      <w:r w:rsidRPr="00CE62E1" w:rsidR="0092297C">
        <w:t>counter-productive</w:t>
      </w:r>
      <w:r w:rsidRPr="00CE62E1" w:rsidR="000B7F74">
        <w:t xml:space="preserve"> and potentially contrary to the goals of the Act.  (</w:t>
      </w:r>
      <w:r w:rsidRPr="00CE62E1" w:rsidR="000B7F74">
        <w:rPr>
          <w:i/>
          <w:iCs/>
        </w:rPr>
        <w:t>Early</w:t>
      </w:r>
      <w:r w:rsidRPr="00CE62E1" w:rsidR="000B7F74">
        <w:t>, at p. 254.)</w:t>
      </w:r>
      <w:r>
        <w:rPr>
          <w:rStyle w:val="FootnoteReference"/>
        </w:rPr>
        <w:footnoteReference w:id="12"/>
      </w:r>
    </w:p>
    <w:p w:rsidR="007C56A1" w:rsidRPr="00CE62E1" w:rsidP="00CE62E1" w14:paraId="3EFE2C13" w14:textId="4CA5AD82">
      <w:r w:rsidRPr="00CE62E1">
        <w:tab/>
      </w:r>
      <w:r w:rsidRPr="00CE62E1" w:rsidR="001D2F7F">
        <w:t>Our</w:t>
      </w:r>
      <w:r w:rsidRPr="00CE62E1">
        <w:t xml:space="preserve"> reading</w:t>
      </w:r>
      <w:r w:rsidRPr="00CE62E1" w:rsidR="00CA38CA">
        <w:t xml:space="preserve"> of the statutes</w:t>
      </w:r>
      <w:r w:rsidRPr="00CE62E1">
        <w:t xml:space="preserve"> is consistent with statements in a number of conservatorship cases</w:t>
      </w:r>
      <w:r w:rsidR="00C75E17">
        <w:t xml:space="preserve"> </w:t>
      </w:r>
      <w:r w:rsidRPr="00CE62E1">
        <w:t>observ</w:t>
      </w:r>
      <w:r w:rsidR="00BD7BFC">
        <w:t>ing</w:t>
      </w:r>
      <w:r w:rsidRPr="00CE62E1">
        <w:t xml:space="preserve"> that the “only” question at trial is whether the proposed conservatee is unable to provide for essential needs due to a mental </w:t>
      </w:r>
      <w:r w:rsidRPr="00CE62E1" w:rsidR="000663A4">
        <w:t>illness</w:t>
      </w:r>
      <w:r w:rsidRPr="00CE62E1">
        <w:t>.  (</w:t>
      </w:r>
      <w:r w:rsidRPr="00CE62E1">
        <w:rPr>
          <w:i/>
          <w:iCs/>
        </w:rPr>
        <w:t>Roulet</w:t>
      </w:r>
      <w:r w:rsidRPr="00CE62E1">
        <w:t xml:space="preserve">, </w:t>
      </w:r>
      <w:r w:rsidRPr="00CE62E1">
        <w:rPr>
          <w:i/>
        </w:rPr>
        <w:t>supra</w:t>
      </w:r>
      <w:r w:rsidRPr="00CE62E1">
        <w:t xml:space="preserve">, 23 Cal.3d at p. 232; </w:t>
      </w:r>
      <w:r w:rsidRPr="00CE62E1">
        <w:rPr>
          <w:i/>
          <w:iCs/>
        </w:rPr>
        <w:t>Conservatorship of P.D</w:t>
      </w:r>
      <w:r w:rsidRPr="00CE62E1">
        <w:t>.</w:t>
      </w:r>
      <w:r w:rsidRPr="00CE62E1" w:rsidR="009B72D8">
        <w:t xml:space="preserve">, </w:t>
      </w:r>
      <w:r w:rsidRPr="00CE62E1" w:rsidR="009B72D8">
        <w:rPr>
          <w:i/>
        </w:rPr>
        <w:t>supra</w:t>
      </w:r>
      <w:r w:rsidRPr="00CE62E1" w:rsidR="009B72D8">
        <w:t xml:space="preserve">, </w:t>
      </w:r>
      <w:r w:rsidRPr="00CE62E1" w:rsidR="00524C5B">
        <w:t xml:space="preserve">21 Cal.App.5th </w:t>
      </w:r>
      <w:r w:rsidRPr="00CE62E1" w:rsidR="009B72D8">
        <w:t>at p. </w:t>
      </w:r>
      <w:r w:rsidRPr="00CE62E1">
        <w:t xml:space="preserve">1168; see </w:t>
      </w:r>
      <w:r w:rsidRPr="00CE62E1">
        <w:rPr>
          <w:i/>
          <w:iCs/>
        </w:rPr>
        <w:t>Conservatorship of Jesse G.</w:t>
      </w:r>
      <w:r w:rsidRPr="00CE62E1">
        <w:t xml:space="preserve"> (2016) 248 Cal.App.4th 453, 460</w:t>
      </w:r>
      <w:r w:rsidRPr="00CE62E1" w:rsidR="00E94DDB">
        <w:t>–</w:t>
      </w:r>
      <w:r w:rsidRPr="00CE62E1">
        <w:t>461.)</w:t>
      </w:r>
      <w:r w:rsidRPr="00CE62E1" w:rsidR="000663A4">
        <w:t xml:space="preserve">  However, </w:t>
      </w:r>
      <w:r w:rsidRPr="00CE62E1">
        <w:t xml:space="preserve">K.P. </w:t>
      </w:r>
      <w:r w:rsidRPr="00CE62E1" w:rsidR="000663A4">
        <w:t>points to</w:t>
      </w:r>
      <w:r w:rsidRPr="00CE62E1">
        <w:t xml:space="preserve"> other </w:t>
      </w:r>
      <w:r w:rsidRPr="00CE62E1" w:rsidR="000663A4">
        <w:t>cases to support a contrary conclusion.</w:t>
      </w:r>
      <w:r w:rsidRPr="00CE62E1">
        <w:t xml:space="preserve">  </w:t>
      </w:r>
      <w:r w:rsidRPr="00CE62E1" w:rsidR="000663A4">
        <w:t xml:space="preserve">We now </w:t>
      </w:r>
      <w:r w:rsidRPr="00CE62E1" w:rsidR="003E56BE">
        <w:t>address the</w:t>
      </w:r>
      <w:r w:rsidRPr="00CE62E1" w:rsidR="001D2F7F">
        <w:t>se arguments</w:t>
      </w:r>
      <w:r w:rsidRPr="00CE62E1" w:rsidR="000663A4">
        <w:t>.</w:t>
      </w:r>
    </w:p>
    <w:p w:rsidR="00E77596" w:rsidRPr="00CE62E1" w:rsidP="00CE62E1" w14:paraId="37EDA633" w14:textId="7F60A526">
      <w:pPr>
        <w:keepNext/>
        <w:rPr>
          <w:bCs/>
          <w:i/>
          <w:iCs/>
        </w:rPr>
      </w:pPr>
      <w:r w:rsidRPr="00CE62E1">
        <w:rPr>
          <w:bCs/>
        </w:rPr>
        <w:t>C</w:t>
      </w:r>
      <w:r w:rsidRPr="00CE62E1">
        <w:rPr>
          <w:bCs/>
        </w:rPr>
        <w:t>.</w:t>
      </w:r>
      <w:r w:rsidRPr="00CE62E1">
        <w:rPr>
          <w:bCs/>
        </w:rPr>
        <w:tab/>
      </w:r>
      <w:r w:rsidRPr="00CE62E1" w:rsidR="00405A81">
        <w:rPr>
          <w:bCs/>
          <w:i/>
          <w:iCs/>
        </w:rPr>
        <w:t>K.P.’s Argument and Reliance on Contrary Authority</w:t>
      </w:r>
    </w:p>
    <w:p w:rsidR="00C40E5D" w:rsidRPr="00CE62E1" w:rsidP="00CE62E1" w14:paraId="330DCF71" w14:textId="0189C230">
      <w:r w:rsidRPr="00CE62E1">
        <w:tab/>
      </w:r>
      <w:r w:rsidRPr="00CE62E1" w:rsidR="007566EC">
        <w:t xml:space="preserve">In support of his position that inability or unwillingness to accept voluntary treatment must be </w:t>
      </w:r>
      <w:r w:rsidR="0022437D">
        <w:t xml:space="preserve">separately </w:t>
      </w:r>
      <w:r w:rsidRPr="00CE62E1" w:rsidR="007566EC">
        <w:t>proven at trial</w:t>
      </w:r>
      <w:r w:rsidRPr="00CE62E1">
        <w:t xml:space="preserve">, K.P. </w:t>
      </w:r>
      <w:r w:rsidRPr="00CE62E1" w:rsidR="007566EC">
        <w:t xml:space="preserve">points to a single </w:t>
      </w:r>
      <w:r w:rsidRPr="00CE62E1" w:rsidR="009677AB">
        <w:t>statutory</w:t>
      </w:r>
      <w:r w:rsidRPr="00CE62E1" w:rsidR="007566EC">
        <w:t xml:space="preserve"> provision and early cases construing it. </w:t>
      </w:r>
      <w:r w:rsidRPr="00CE62E1" w:rsidR="009677AB">
        <w:t xml:space="preserve"> </w:t>
      </w:r>
      <w:r w:rsidRPr="00CE62E1" w:rsidR="007566EC">
        <w:t>He cites</w:t>
      </w:r>
      <w:r w:rsidRPr="00CE62E1" w:rsidR="009677AB">
        <w:t xml:space="preserve"> section 5352, which</w:t>
      </w:r>
      <w:r w:rsidRPr="00CE62E1" w:rsidR="007566EC">
        <w:t>, as noted,</w:t>
      </w:r>
      <w:r w:rsidRPr="00CE62E1" w:rsidR="009677AB">
        <w:t xml:space="preserve"> </w:t>
      </w:r>
      <w:r w:rsidRPr="00CE62E1" w:rsidR="007566EC">
        <w:t>requires a</w:t>
      </w:r>
      <w:r w:rsidRPr="00CE62E1" w:rsidR="009677AB">
        <w:t xml:space="preserve"> professional </w:t>
      </w:r>
      <w:r w:rsidRPr="00CE62E1" w:rsidR="007566EC">
        <w:t xml:space="preserve">determination of such inability or unwillingness </w:t>
      </w:r>
      <w:r w:rsidRPr="00CE62E1" w:rsidR="004571D2">
        <w:t xml:space="preserve">before the professional recommends conservatorship for a person receiving inpatient treatment.  As explained above, </w:t>
      </w:r>
      <w:r w:rsidRPr="00CE62E1" w:rsidR="00987B96">
        <w:t>t</w:t>
      </w:r>
      <w:r w:rsidRPr="00CE62E1" w:rsidR="004571D2">
        <w:t xml:space="preserve">his reliance is misplaced.  By its terms, section 5352 speaks only to a professional decision to </w:t>
      </w:r>
      <w:r w:rsidRPr="00CE62E1" w:rsidR="004571D2">
        <w:rPr>
          <w:i/>
          <w:iCs/>
        </w:rPr>
        <w:t>recommend</w:t>
      </w:r>
      <w:r w:rsidRPr="00CE62E1" w:rsidR="004571D2">
        <w:t xml:space="preserve"> that a conservatorship be established.  That recommendation, if accepted, is followed by a structured investigation that may culminate in a trial on grave disability and, if a conservatorship is imposed, on the court’s determination whether confinement is necessary.</w:t>
      </w:r>
    </w:p>
    <w:p w:rsidR="00DF31B2" w:rsidRPr="00CE62E1" w:rsidP="00CE62E1" w14:paraId="33DBDE85" w14:textId="32319F22">
      <w:r w:rsidRPr="00CE62E1">
        <w:tab/>
        <w:t xml:space="preserve">K.P. relies on </w:t>
      </w:r>
      <w:r w:rsidRPr="00CE62E1" w:rsidR="004571D2">
        <w:t xml:space="preserve">two </w:t>
      </w:r>
      <w:r w:rsidRPr="00CE62E1">
        <w:t xml:space="preserve">cases from the 1980s that </w:t>
      </w:r>
      <w:r w:rsidRPr="00CE62E1" w:rsidR="004571D2">
        <w:t>held</w:t>
      </w:r>
      <w:r w:rsidRPr="00CE62E1">
        <w:t xml:space="preserve"> </w:t>
      </w:r>
      <w:r w:rsidRPr="00CE62E1" w:rsidR="00604DB6">
        <w:t>resistance</w:t>
      </w:r>
      <w:r w:rsidRPr="00CE62E1">
        <w:t xml:space="preserve"> to voluntary treatment </w:t>
      </w:r>
      <w:r w:rsidRPr="00CE62E1" w:rsidR="004571D2">
        <w:t>i</w:t>
      </w:r>
      <w:r w:rsidRPr="00CE62E1">
        <w:t xml:space="preserve">s an additional </w:t>
      </w:r>
      <w:r w:rsidRPr="00CE62E1" w:rsidR="004571D2">
        <w:t>element that must be proven</w:t>
      </w:r>
      <w:r w:rsidRPr="00CE62E1" w:rsidR="00604DB6">
        <w:t xml:space="preserve"> </w:t>
      </w:r>
      <w:r w:rsidRPr="00CE62E1" w:rsidR="004571D2">
        <w:t>before</w:t>
      </w:r>
      <w:r w:rsidRPr="00CE62E1" w:rsidR="00604DB6">
        <w:t xml:space="preserve"> conservatorship</w:t>
      </w:r>
      <w:r w:rsidRPr="00CE62E1" w:rsidR="004571D2">
        <w:t xml:space="preserve"> can be imposed</w:t>
      </w:r>
      <w:r w:rsidRPr="00CE62E1" w:rsidR="00604DB6">
        <w:t xml:space="preserve">.  </w:t>
      </w:r>
      <w:r w:rsidRPr="00CE62E1" w:rsidR="00604DB6">
        <w:rPr>
          <w:i/>
          <w:iCs/>
        </w:rPr>
        <w:t>Conservatorship of Davis</w:t>
      </w:r>
      <w:r w:rsidRPr="00CE62E1" w:rsidR="00604DB6">
        <w:t xml:space="preserve"> (1981) 124 Cal.App.3d 313</w:t>
      </w:r>
      <w:r w:rsidRPr="00CE62E1" w:rsidR="00EA2482">
        <w:t xml:space="preserve"> </w:t>
      </w:r>
      <w:r w:rsidRPr="00CE62E1" w:rsidR="00604DB6">
        <w:t>(</w:t>
      </w:r>
      <w:r w:rsidRPr="00CE62E1" w:rsidR="00604DB6">
        <w:rPr>
          <w:i/>
          <w:iCs/>
        </w:rPr>
        <w:t>Davis</w:t>
      </w:r>
      <w:r w:rsidRPr="00CE62E1" w:rsidR="00604DB6">
        <w:t>)</w:t>
      </w:r>
      <w:r w:rsidRPr="00CE62E1" w:rsidR="00EA2482">
        <w:t xml:space="preserve"> </w:t>
      </w:r>
      <w:r w:rsidR="0022437D">
        <w:t>was</w:t>
      </w:r>
      <w:r w:rsidRPr="00CE62E1" w:rsidR="00EA2482">
        <w:t xml:space="preserve"> a public guardian’s appeal </w:t>
      </w:r>
      <w:r w:rsidR="0022437D">
        <w:t>from</w:t>
      </w:r>
      <w:r w:rsidRPr="00CE62E1" w:rsidR="00EA2482">
        <w:t xml:space="preserve"> a finding that </w:t>
      </w:r>
      <w:r w:rsidRPr="00CE62E1" w:rsidR="00171710">
        <w:t xml:space="preserve">the proposed conservatee </w:t>
      </w:r>
      <w:r w:rsidRPr="00CE62E1" w:rsidR="00EA2482">
        <w:t xml:space="preserve">was not gravely disabled. </w:t>
      </w:r>
      <w:r w:rsidRPr="00CE62E1" w:rsidR="00604DB6">
        <w:t xml:space="preserve"> </w:t>
      </w:r>
      <w:r w:rsidRPr="00CE62E1" w:rsidR="00EA2482">
        <w:t>T</w:t>
      </w:r>
      <w:r w:rsidRPr="00CE62E1" w:rsidR="00604DB6">
        <w:t xml:space="preserve">he </w:t>
      </w:r>
      <w:r w:rsidRPr="00CE62E1" w:rsidR="004058EE">
        <w:t xml:space="preserve">trial court </w:t>
      </w:r>
      <w:r w:rsidRPr="00CE62E1" w:rsidR="00EA2482">
        <w:t>had given</w:t>
      </w:r>
      <w:r w:rsidRPr="00CE62E1" w:rsidR="004058EE">
        <w:t xml:space="preserve"> a special instruction at</w:t>
      </w:r>
      <w:r w:rsidR="00171710">
        <w:t xml:space="preserve"> Davis</w:t>
      </w:r>
      <w:r w:rsidRPr="00CE62E1" w:rsidR="004058EE">
        <w:t>’s request stating, “ ‘before you may consider whether Mary Davis is gravely disabled you must first find that she is, as a result of a mental disorder, unwilling or unable to accept treatment for that mental disorder on a voluntary basis.’ ”</w:t>
      </w:r>
      <w:r w:rsidRPr="00CE62E1" w:rsidR="00EA2482">
        <w:t xml:space="preserve">  (</w:t>
      </w:r>
      <w:r w:rsidRPr="00CE62E1" w:rsidR="00EA2482">
        <w:rPr>
          <w:i/>
          <w:iCs/>
        </w:rPr>
        <w:t>Id</w:t>
      </w:r>
      <w:r w:rsidRPr="00CE62E1" w:rsidR="00EA2482">
        <w:t>. at p. 319.)</w:t>
      </w:r>
      <w:r w:rsidRPr="00CE62E1" w:rsidR="004058EE">
        <w:t xml:space="preserve">  It also gave a special instruction directing </w:t>
      </w:r>
      <w:r w:rsidRPr="00CE62E1" w:rsidR="002E1E98">
        <w:t xml:space="preserve">that </w:t>
      </w:r>
      <w:r w:rsidRPr="00CE62E1" w:rsidR="004058EE">
        <w:t xml:space="preserve">the jury could not find </w:t>
      </w:r>
      <w:r w:rsidR="00171710">
        <w:t>Davis</w:t>
      </w:r>
      <w:r w:rsidRPr="00CE62E1" w:rsidR="004058EE">
        <w:t xml:space="preserve"> gravely disabled </w:t>
      </w:r>
      <w:r w:rsidRPr="00CE62E1" w:rsidR="007C6798">
        <w:t>if she was capable of surviving safely with the help of willing family members.  (</w:t>
      </w:r>
      <w:r w:rsidRPr="00CE62E1" w:rsidR="007C6798">
        <w:rPr>
          <w:i/>
          <w:iCs/>
        </w:rPr>
        <w:t>Ibid</w:t>
      </w:r>
      <w:r w:rsidRPr="00CE62E1" w:rsidR="007C6798">
        <w:t xml:space="preserve">.)  The Court of Appeal concluded it was not error to give these instructions. </w:t>
      </w:r>
      <w:r w:rsidRPr="00CE62E1" w:rsidR="00D05076">
        <w:t xml:space="preserve"> (</w:t>
      </w:r>
      <w:r w:rsidRPr="00CE62E1" w:rsidR="00D05076">
        <w:rPr>
          <w:i/>
          <w:iCs/>
        </w:rPr>
        <w:t>Id</w:t>
      </w:r>
      <w:r w:rsidRPr="00CE62E1" w:rsidR="00D05076">
        <w:t>. at p. 329.)</w:t>
      </w:r>
      <w:r w:rsidRPr="00CE62E1" w:rsidR="00FF5F4B">
        <w:t xml:space="preserve">  </w:t>
      </w:r>
      <w:r w:rsidRPr="00CE62E1" w:rsidR="00021948">
        <w:t>It</w:t>
      </w:r>
      <w:r w:rsidRPr="00CE62E1" w:rsidR="007243C7">
        <w:t xml:space="preserve"> </w:t>
      </w:r>
      <w:r w:rsidRPr="00CE62E1" w:rsidR="00F87192">
        <w:t>attempted to harmonize the various conservatorship statutes by concluding</w:t>
      </w:r>
      <w:r w:rsidR="00A779B5">
        <w:t xml:space="preserve"> that</w:t>
      </w:r>
      <w:r w:rsidRPr="00CE62E1" w:rsidR="00F87192">
        <w:t xml:space="preserve"> </w:t>
      </w:r>
      <w:r w:rsidRPr="00CE62E1" w:rsidR="00021948">
        <w:t>any trial on conservatorship</w:t>
      </w:r>
      <w:r w:rsidRPr="00CE62E1" w:rsidR="00F87192">
        <w:t xml:space="preserve"> </w:t>
      </w:r>
      <w:r w:rsidRPr="00CE62E1" w:rsidR="00021948">
        <w:t>encompassed review of</w:t>
      </w:r>
      <w:r w:rsidRPr="00CE62E1" w:rsidR="00F87192">
        <w:t xml:space="preserve"> </w:t>
      </w:r>
      <w:r w:rsidRPr="00CE62E1" w:rsidR="00EA2482">
        <w:t>all</w:t>
      </w:r>
      <w:r w:rsidRPr="00CE62E1" w:rsidR="00987B96">
        <w:t xml:space="preserve"> </w:t>
      </w:r>
      <w:r w:rsidRPr="00CE62E1" w:rsidR="00021948">
        <w:t>preceding steps</w:t>
      </w:r>
      <w:r w:rsidRPr="00CE62E1" w:rsidR="00F87192">
        <w:t>, including initiation (§ 5352) and investigation (§ 5354)</w:t>
      </w:r>
      <w:r w:rsidRPr="00CE62E1" w:rsidR="00021948">
        <w:t>.</w:t>
      </w:r>
      <w:r w:rsidRPr="00CE62E1" w:rsidR="00F87192">
        <w:t xml:space="preserve">  </w:t>
      </w:r>
      <w:r w:rsidR="00F10309">
        <w:t>“</w:t>
      </w:r>
      <w:r w:rsidRPr="00CE62E1" w:rsidR="00F87192">
        <w:t>Thus, although section 5350 states that the issue at trial is ‘whether [the person] is gravely disabled,’ ” the court reasoned, “it appears from a reading of the entire act that this phrase must be broadly construed to include the determination of whether the establishment of a conservatorship is necessary in light of all the relevant facts.”  (</w:t>
      </w:r>
      <w:r w:rsidRPr="00CE62E1" w:rsidR="00F87192">
        <w:rPr>
          <w:i/>
          <w:iCs/>
        </w:rPr>
        <w:t>Davis</w:t>
      </w:r>
      <w:r w:rsidRPr="00CE62E1" w:rsidR="00F87192">
        <w:t xml:space="preserve">, at p. 323.)  Drawing on considerations in sections 5352 and 5354, </w:t>
      </w:r>
      <w:r w:rsidRPr="00CE62E1" w:rsidR="00F87192">
        <w:rPr>
          <w:i/>
          <w:iCs/>
        </w:rPr>
        <w:t>Davis</w:t>
      </w:r>
      <w:r w:rsidRPr="00CE62E1" w:rsidR="00F87192">
        <w:t xml:space="preserve"> concluded</w:t>
      </w:r>
      <w:r w:rsidRPr="00CE62E1" w:rsidR="00D05076">
        <w:t xml:space="preserve"> the LPS statutes “necessarily require the trier of fact . . . to determine the question of grave disability, not in a vacuum, but in the context of suitable alternatives, upon a consideration of the willingness and capability of the proposed conservatee to voluntarily accept treatment and upon consideration of whether the nondangerous individual is capable of surviving safely in freedom by himself or with the help of willing and responsible family members, friends or other third parties.”  (</w:t>
      </w:r>
      <w:r w:rsidRPr="00CE62E1" w:rsidR="00F87192">
        <w:rPr>
          <w:i/>
          <w:iCs/>
        </w:rPr>
        <w:t>Davis</w:t>
      </w:r>
      <w:r w:rsidRPr="00CE62E1" w:rsidR="00F87192">
        <w:t>,</w:t>
      </w:r>
      <w:r w:rsidRPr="00CE62E1" w:rsidR="00D05076">
        <w:t xml:space="preserve"> at p. 325.)</w:t>
      </w:r>
      <w:r>
        <w:rPr>
          <w:rStyle w:val="FootnoteReference"/>
        </w:rPr>
        <w:footnoteReference w:id="13"/>
      </w:r>
    </w:p>
    <w:p w:rsidR="00D46C07" w:rsidRPr="00CE62E1" w:rsidP="00CE62E1" w14:paraId="14F45E33" w14:textId="6568A07A">
      <w:r w:rsidRPr="00CE62E1">
        <w:tab/>
        <w:t>Two years later, we approved</w:t>
      </w:r>
      <w:r w:rsidRPr="00CE62E1">
        <w:t xml:space="preserve"> one of the</w:t>
      </w:r>
      <w:r w:rsidRPr="00CE62E1">
        <w:t xml:space="preserve"> </w:t>
      </w:r>
      <w:r w:rsidRPr="00CE62E1">
        <w:rPr>
          <w:i/>
          <w:iCs/>
        </w:rPr>
        <w:t>Davis</w:t>
      </w:r>
      <w:r w:rsidRPr="00CE62E1">
        <w:t xml:space="preserve"> holding</w:t>
      </w:r>
      <w:r w:rsidRPr="00CE62E1">
        <w:t xml:space="preserve">s: </w:t>
      </w:r>
      <w:r w:rsidRPr="00CE62E1">
        <w:t xml:space="preserve"> </w:t>
      </w:r>
      <w:r w:rsidRPr="00CE62E1">
        <w:t xml:space="preserve">that grave disability cannot be established if the person can safely survive with the capable </w:t>
      </w:r>
      <w:r w:rsidRPr="00CE62E1">
        <w:t xml:space="preserve">assistance </w:t>
      </w:r>
      <w:r w:rsidRPr="00CE62E1">
        <w:t>of others.</w:t>
      </w:r>
      <w:r w:rsidRPr="00CE62E1">
        <w:t xml:space="preserve"> </w:t>
      </w:r>
      <w:r w:rsidRPr="00CE62E1">
        <w:t xml:space="preserve"> (</w:t>
      </w:r>
      <w:r w:rsidRPr="00CE62E1">
        <w:rPr>
          <w:i/>
          <w:iCs/>
        </w:rPr>
        <w:t>Early</w:t>
      </w:r>
      <w:r w:rsidRPr="00CE62E1">
        <w:t xml:space="preserve">, </w:t>
      </w:r>
      <w:r w:rsidRPr="00CE62E1">
        <w:rPr>
          <w:i/>
        </w:rPr>
        <w:t>supra</w:t>
      </w:r>
      <w:r w:rsidRPr="00CE62E1">
        <w:t>, 35 Cal.3d 244.</w:t>
      </w:r>
      <w:r w:rsidRPr="00CE62E1">
        <w:t>)</w:t>
      </w:r>
      <w:r w:rsidRPr="00CE62E1">
        <w:t xml:space="preserve">  </w:t>
      </w:r>
      <w:r w:rsidRPr="00CE62E1" w:rsidR="00D522BC">
        <w:t>Th</w:t>
      </w:r>
      <w:r w:rsidRPr="00CE62E1">
        <w:t xml:space="preserve">at holding was consistent with </w:t>
      </w:r>
      <w:r w:rsidRPr="00CE62E1" w:rsidR="00D522BC">
        <w:t xml:space="preserve">United States Supreme Court </w:t>
      </w:r>
      <w:r w:rsidRPr="00CE62E1">
        <w:t>precedent</w:t>
      </w:r>
      <w:r w:rsidRPr="00CE62E1" w:rsidR="00D522BC">
        <w:t xml:space="preserve"> that </w:t>
      </w:r>
      <w:r w:rsidR="00F10309">
        <w:t xml:space="preserve">a </w:t>
      </w:r>
      <w:r w:rsidRPr="00CE62E1" w:rsidR="00D522BC">
        <w:t xml:space="preserve">state “ ‘cannot constitutionally </w:t>
      </w:r>
      <w:r w:rsidRPr="00A779B5" w:rsidR="00D522BC">
        <w:t>confine</w:t>
      </w:r>
      <w:r w:rsidRPr="00CE62E1" w:rsidR="00D522BC">
        <w:t xml:space="preserve"> . . . a nondangerous individual who is capable of surviving safely in freedom by himself or with the help of willing and responsible family members or friends.’ ”  (</w:t>
      </w:r>
      <w:r w:rsidRPr="00CE62E1" w:rsidR="003401E6">
        <w:rPr>
          <w:i/>
          <w:iCs/>
        </w:rPr>
        <w:t>Id</w:t>
      </w:r>
      <w:r w:rsidRPr="00CE62E1" w:rsidR="003401E6">
        <w:t>.</w:t>
      </w:r>
      <w:r w:rsidRPr="00CE62E1" w:rsidR="00D522BC">
        <w:t xml:space="preserve"> at pp. 251</w:t>
      </w:r>
      <w:r w:rsidRPr="00CE62E1" w:rsidR="00E94DDB">
        <w:t>–</w:t>
      </w:r>
      <w:r w:rsidRPr="00CE62E1" w:rsidR="00D522BC">
        <w:t>252</w:t>
      </w:r>
      <w:r w:rsidRPr="00CE62E1" w:rsidR="00737B8E">
        <w:t xml:space="preserve">, </w:t>
      </w:r>
      <w:r w:rsidRPr="00CE62E1" w:rsidR="00D522BC">
        <w:t xml:space="preserve">quoting </w:t>
      </w:r>
      <w:r w:rsidRPr="00CE62E1" w:rsidR="00D522BC">
        <w:rPr>
          <w:i/>
          <w:iCs/>
        </w:rPr>
        <w:t>O’Connor v. Donaldson</w:t>
      </w:r>
      <w:r w:rsidRPr="00CE62E1" w:rsidR="00D522BC">
        <w:t xml:space="preserve"> (1975) 422 U.S. 563, 576.)</w:t>
      </w:r>
    </w:p>
    <w:p w:rsidR="00F01F08" w:rsidRPr="00CE62E1" w:rsidP="00CE62E1" w14:paraId="76547791" w14:textId="4B84CD0A">
      <w:r w:rsidRPr="00CE62E1">
        <w:tab/>
      </w:r>
      <w:r w:rsidRPr="00CE62E1" w:rsidR="00737B8E">
        <w:rPr>
          <w:i/>
          <w:iCs/>
        </w:rPr>
        <w:t>Early</w:t>
      </w:r>
      <w:r w:rsidRPr="00CE62E1" w:rsidR="00D522BC">
        <w:t xml:space="preserve"> concluded this </w:t>
      </w:r>
      <w:r w:rsidRPr="00CE62E1">
        <w:t xml:space="preserve">constitutional </w:t>
      </w:r>
      <w:r w:rsidRPr="00CE62E1" w:rsidR="00D522BC">
        <w:t>principle had been incorporated in</w:t>
      </w:r>
      <w:r w:rsidRPr="00CE62E1" w:rsidR="007D617B">
        <w:t>to</w:t>
      </w:r>
      <w:r w:rsidRPr="00CE62E1" w:rsidR="00D522BC">
        <w:t xml:space="preserve"> the LPS Act (</w:t>
      </w:r>
      <w:r w:rsidRPr="00CE62E1">
        <w:rPr>
          <w:i/>
          <w:iCs/>
        </w:rPr>
        <w:t>Early</w:t>
      </w:r>
      <w:r w:rsidRPr="00CE62E1">
        <w:t xml:space="preserve">, </w:t>
      </w:r>
      <w:r w:rsidRPr="00CE62E1">
        <w:rPr>
          <w:i/>
        </w:rPr>
        <w:t>supra</w:t>
      </w:r>
      <w:r w:rsidRPr="00CE62E1">
        <w:t>, 35 Cal.3d at p. </w:t>
      </w:r>
      <w:r w:rsidRPr="00CE62E1" w:rsidR="00D522BC">
        <w:t xml:space="preserve">252) and reasoned that section 5008’s definition of grave disability “was intended to encompass a consideration of whether the person could provide these basic needs with or without the assistance of willing and responsible family members, friends, or other third parties.”  </w:t>
      </w:r>
      <w:r w:rsidRPr="00CE62E1" w:rsidR="00474332">
        <w:t>(</w:t>
      </w:r>
      <w:r w:rsidRPr="00BD7BFC" w:rsidR="00B95348">
        <w:rPr>
          <w:i/>
          <w:iCs/>
        </w:rPr>
        <w:t>Early</w:t>
      </w:r>
      <w:r w:rsidR="00B95348">
        <w:t>,</w:t>
      </w:r>
      <w:r w:rsidRPr="00CE62E1" w:rsidR="00474332">
        <w:t xml:space="preserve"> at p. 254.)</w:t>
      </w:r>
      <w:r w:rsidRPr="00CE62E1">
        <w:t xml:space="preserve">  The principle was later codified by legislative amendment of section 5350.  (See § 5350, subd. (e)</w:t>
      </w:r>
      <w:r w:rsidR="00F10309">
        <w:t>, as amended by</w:t>
      </w:r>
      <w:r w:rsidRPr="00CE62E1">
        <w:t xml:space="preserve"> Stats. 1989, ch. 999, § 2</w:t>
      </w:r>
      <w:r w:rsidRPr="00CE62E1" w:rsidR="003401E6">
        <w:t>, p. 3484</w:t>
      </w:r>
      <w:r w:rsidRPr="00CE62E1">
        <w:t>.)  Notably, h</w:t>
      </w:r>
      <w:r w:rsidRPr="00CE62E1" w:rsidR="00737B8E">
        <w:t xml:space="preserve">owever, </w:t>
      </w:r>
      <w:r w:rsidRPr="00CE62E1" w:rsidR="007D617B">
        <w:rPr>
          <w:i/>
          <w:iCs/>
        </w:rPr>
        <w:t>Early</w:t>
      </w:r>
      <w:r w:rsidRPr="00CE62E1" w:rsidR="00737B8E">
        <w:t xml:space="preserve"> stopped short of imposing a </w:t>
      </w:r>
      <w:r w:rsidRPr="00CE62E1" w:rsidR="00A83011">
        <w:t xml:space="preserve">potentially “insuperable” </w:t>
      </w:r>
      <w:r w:rsidRPr="00CE62E1" w:rsidR="00737B8E">
        <w:t xml:space="preserve">burden on </w:t>
      </w:r>
      <w:r w:rsidRPr="00CE62E1" w:rsidR="00A83011">
        <w:t>public guardian</w:t>
      </w:r>
      <w:r w:rsidRPr="00CE62E1" w:rsidR="007D617B">
        <w:t>s</w:t>
      </w:r>
      <w:r w:rsidRPr="00CE62E1" w:rsidR="00A83011">
        <w:t xml:space="preserve"> “to negate all reasonable doubts as to the possible existence of third party aid.”  (</w:t>
      </w:r>
      <w:r w:rsidRPr="00CE62E1">
        <w:rPr>
          <w:i/>
          <w:iCs/>
        </w:rPr>
        <w:t>Early</w:t>
      </w:r>
      <w:r w:rsidRPr="00CE62E1">
        <w:t>, at p. 254</w:t>
      </w:r>
      <w:r w:rsidRPr="00CE62E1" w:rsidR="00A83011">
        <w:t xml:space="preserve">.)  </w:t>
      </w:r>
      <w:r w:rsidRPr="00CE62E1">
        <w:rPr>
          <w:i/>
          <w:iCs/>
        </w:rPr>
        <w:t>Early</w:t>
      </w:r>
      <w:r w:rsidRPr="00CE62E1" w:rsidR="00A83011">
        <w:t xml:space="preserve"> held only that the trier of fact “must </w:t>
      </w:r>
      <w:r w:rsidRPr="00CE62E1" w:rsidR="00A83011">
        <w:rPr>
          <w:i/>
          <w:iCs/>
        </w:rPr>
        <w:t>consider</w:t>
      </w:r>
      <w:r w:rsidRPr="00CE62E1" w:rsidR="00A83011">
        <w:t xml:space="preserve"> the availability of third party assistance” on the issue of grave disability “if credible evidence of such assistance is adduced” at trial, and</w:t>
      </w:r>
      <w:r w:rsidRPr="00CE62E1" w:rsidR="007D617B">
        <w:t xml:space="preserve"> that</w:t>
      </w:r>
      <w:r w:rsidRPr="00CE62E1" w:rsidR="00A83011">
        <w:t xml:space="preserve"> an instruction regarding this evidence must be given upon the proposed conservatee’s request if the case is tried to a jury.  (</w:t>
      </w:r>
      <w:r w:rsidRPr="00CE62E1" w:rsidR="00A83011">
        <w:rPr>
          <w:i/>
          <w:iCs/>
        </w:rPr>
        <w:t>Ibid</w:t>
      </w:r>
      <w:r w:rsidRPr="00CE62E1" w:rsidR="00A83011">
        <w:t>.</w:t>
      </w:r>
      <w:r w:rsidRPr="00CE62E1">
        <w:t>, italics added.</w:t>
      </w:r>
      <w:r w:rsidRPr="00CE62E1" w:rsidR="00A83011">
        <w:t>)</w:t>
      </w:r>
      <w:r w:rsidRPr="00CE62E1">
        <w:t xml:space="preserve">  Of course, the burden of proof remains on the public guardian.  If a proposed conservatee chooses to produce evidence on this topic, the </w:t>
      </w:r>
      <w:r w:rsidRPr="00CE62E1">
        <w:t>question is whether any such evidence casts the issue of grave disability into reasonable doubt.</w:t>
      </w:r>
      <w:r w:rsidRPr="00CE62E1">
        <w:t xml:space="preserve"> </w:t>
      </w:r>
    </w:p>
    <w:p w:rsidR="00D5623C" w:rsidRPr="00CE62E1" w:rsidP="00CE62E1" w14:paraId="217BE732" w14:textId="6E4AC4D0">
      <w:r w:rsidRPr="00CE62E1">
        <w:tab/>
      </w:r>
      <w:r w:rsidRPr="00CE62E1">
        <w:rPr>
          <w:i/>
          <w:iCs/>
        </w:rPr>
        <w:t xml:space="preserve">Early </w:t>
      </w:r>
      <w:r w:rsidRPr="00CE62E1">
        <w:t xml:space="preserve">did not address </w:t>
      </w:r>
      <w:r w:rsidRPr="00CE62E1">
        <w:rPr>
          <w:i/>
          <w:iCs/>
        </w:rPr>
        <w:t>Davis</w:t>
      </w:r>
      <w:r w:rsidRPr="00CE62E1">
        <w:t xml:space="preserve">’s related holding about </w:t>
      </w:r>
      <w:r w:rsidRPr="00CE62E1" w:rsidR="00405A81">
        <w:t xml:space="preserve">a </w:t>
      </w:r>
      <w:r w:rsidRPr="00CE62E1">
        <w:t>voluntary treatment</w:t>
      </w:r>
      <w:r w:rsidRPr="00CE62E1" w:rsidR="00405A81">
        <w:t xml:space="preserve"> element</w:t>
      </w:r>
      <w:r w:rsidRPr="00CE62E1">
        <w:t xml:space="preserve">.  </w:t>
      </w:r>
      <w:r w:rsidRPr="00CE62E1" w:rsidR="00617DD3">
        <w:t>Although the trial court had refused to give</w:t>
      </w:r>
      <w:r w:rsidRPr="00CE62E1" w:rsidR="006321C8">
        <w:t xml:space="preserve"> an instruction </w:t>
      </w:r>
      <w:r w:rsidRPr="00CE62E1" w:rsidR="00617DD3">
        <w:t xml:space="preserve">like the one in </w:t>
      </w:r>
      <w:r w:rsidRPr="00CE62E1" w:rsidR="00617DD3">
        <w:rPr>
          <w:i/>
          <w:iCs/>
        </w:rPr>
        <w:t>Davis</w:t>
      </w:r>
      <w:r w:rsidRPr="00CE62E1" w:rsidR="00617DD3">
        <w:t xml:space="preserve">, </w:t>
      </w:r>
      <w:r w:rsidR="00A779B5">
        <w:t xml:space="preserve">requiring a finding on voluntary treatment before consideration of grave disability, </w:t>
      </w:r>
      <w:r w:rsidRPr="00CE62E1" w:rsidR="00617DD3">
        <w:t xml:space="preserve">we did not decide </w:t>
      </w:r>
      <w:r w:rsidRPr="00CE62E1" w:rsidR="0091280F">
        <w:t xml:space="preserve">whether </w:t>
      </w:r>
      <w:r w:rsidRPr="00CE62E1" w:rsidR="00405A81">
        <w:t>that refusal</w:t>
      </w:r>
      <w:r w:rsidRPr="00CE62E1" w:rsidR="002E1E98">
        <w:t xml:space="preserve"> </w:t>
      </w:r>
      <w:r w:rsidRPr="00CE62E1" w:rsidR="0091280F">
        <w:t>was</w:t>
      </w:r>
      <w:r w:rsidRPr="00CE62E1" w:rsidR="00617DD3">
        <w:t xml:space="preserve"> erro</w:t>
      </w:r>
      <w:r w:rsidRPr="00CE62E1" w:rsidR="004662BA">
        <w:t>neous</w:t>
      </w:r>
      <w:r w:rsidRPr="00CE62E1" w:rsidR="00405A81">
        <w:t xml:space="preserve"> because the evidence showed Early had consistently refused treatment for his disorder</w:t>
      </w:r>
      <w:r w:rsidRPr="00CE62E1" w:rsidR="00617DD3">
        <w:t xml:space="preserve">. </w:t>
      </w:r>
      <w:r w:rsidRPr="00CE62E1" w:rsidR="006321C8">
        <w:t xml:space="preserve"> (</w:t>
      </w:r>
      <w:r w:rsidRPr="00CE62E1" w:rsidR="006321C8">
        <w:rPr>
          <w:i/>
          <w:iCs/>
        </w:rPr>
        <w:t>Early</w:t>
      </w:r>
      <w:r w:rsidRPr="00CE62E1" w:rsidR="006321C8">
        <w:t xml:space="preserve">, </w:t>
      </w:r>
      <w:r w:rsidRPr="00CE62E1" w:rsidR="006321C8">
        <w:rPr>
          <w:i/>
        </w:rPr>
        <w:t>supra</w:t>
      </w:r>
      <w:r w:rsidRPr="00CE62E1" w:rsidR="006321C8">
        <w:t>, 35 Cal.3d at p</w:t>
      </w:r>
      <w:r w:rsidRPr="00CE62E1" w:rsidR="00617DD3">
        <w:t>p</w:t>
      </w:r>
      <w:r w:rsidRPr="00CE62E1" w:rsidR="006321C8">
        <w:t>. 255</w:t>
      </w:r>
      <w:r w:rsidRPr="00CE62E1" w:rsidR="00E94DDB">
        <w:t>–</w:t>
      </w:r>
      <w:r w:rsidRPr="00CE62E1" w:rsidR="00617DD3">
        <w:t>256</w:t>
      </w:r>
      <w:r w:rsidRPr="00CE62E1" w:rsidR="006321C8">
        <w:t>.)</w:t>
      </w:r>
      <w:r w:rsidRPr="00CE62E1" w:rsidR="00C0479E">
        <w:t xml:space="preserve">  Nevertheless, there are parallels between the third party assistance considered in </w:t>
      </w:r>
      <w:r w:rsidRPr="00CE62E1" w:rsidR="00C0479E">
        <w:rPr>
          <w:i/>
          <w:iCs/>
        </w:rPr>
        <w:t>Early</w:t>
      </w:r>
      <w:r w:rsidRPr="00CE62E1" w:rsidR="00C0479E">
        <w:t xml:space="preserve"> and acquiescence to voluntary treatment, </w:t>
      </w:r>
      <w:r w:rsidRPr="00CE62E1" w:rsidR="0049791C">
        <w:t>in that treatment professionals may provide assistance that enables a person to meet survival needs.</w:t>
      </w:r>
      <w:r w:rsidRPr="00CE62E1" w:rsidR="00C0479E">
        <w:t xml:space="preserve"> </w:t>
      </w:r>
      <w:r w:rsidRPr="00CE62E1" w:rsidR="0049791C">
        <w:t xml:space="preserve"> As we held with regard to third party assistance in </w:t>
      </w:r>
      <w:r w:rsidRPr="00CE62E1" w:rsidR="0049791C">
        <w:rPr>
          <w:i/>
          <w:iCs/>
        </w:rPr>
        <w:t>Early</w:t>
      </w:r>
      <w:r w:rsidRPr="00CE62E1" w:rsidR="0049791C">
        <w:t>,</w:t>
      </w:r>
      <w:r w:rsidRPr="00CE62E1" w:rsidR="00571415">
        <w:t xml:space="preserve"> evidence of a proposed conservatee’s amenability to voluntary treatment is relevant and should generally be admitted for the fact</w:t>
      </w:r>
      <w:r w:rsidR="00F10309">
        <w:t xml:space="preserve"> </w:t>
      </w:r>
      <w:r w:rsidRPr="00CE62E1" w:rsidR="00571415">
        <w:t xml:space="preserve">finder’s consideration.  (See </w:t>
      </w:r>
      <w:r w:rsidRPr="00CE62E1" w:rsidR="00571415">
        <w:rPr>
          <w:i/>
          <w:iCs/>
        </w:rPr>
        <w:t>id</w:t>
      </w:r>
      <w:r w:rsidRPr="00CE62E1" w:rsidR="00571415">
        <w:t>. at p. 254</w:t>
      </w:r>
      <w:r w:rsidR="00A779B5">
        <w:t xml:space="preserve">; see also </w:t>
      </w:r>
      <w:r w:rsidR="00A779B5">
        <w:rPr>
          <w:i/>
          <w:iCs/>
        </w:rPr>
        <w:t>Davis</w:t>
      </w:r>
      <w:r w:rsidR="00A779B5">
        <w:t xml:space="preserve">, </w:t>
      </w:r>
      <w:r w:rsidR="00A779B5">
        <w:rPr>
          <w:i/>
        </w:rPr>
        <w:t>supra</w:t>
      </w:r>
      <w:r w:rsidR="00A779B5">
        <w:t>, 124 Cal.App.3d at p. 325</w:t>
      </w:r>
      <w:r w:rsidRPr="00CE62E1" w:rsidR="00571415">
        <w:t xml:space="preserve">.)  </w:t>
      </w:r>
      <w:r w:rsidRPr="00CE62E1" w:rsidR="0096682E">
        <w:t>S</w:t>
      </w:r>
      <w:r w:rsidRPr="00CE62E1" w:rsidR="00571415">
        <w:t xml:space="preserve">uch evidence </w:t>
      </w:r>
      <w:r w:rsidR="00390A00">
        <w:t>will</w:t>
      </w:r>
      <w:r w:rsidRPr="00CE62E1" w:rsidR="00390A00">
        <w:t xml:space="preserve"> </w:t>
      </w:r>
      <w:r w:rsidRPr="00CE62E1" w:rsidR="00571415">
        <w:t xml:space="preserve">defeat a conservatorship if it raises a reasonable doubt about </w:t>
      </w:r>
      <w:r w:rsidRPr="00CE62E1" w:rsidR="0096682E">
        <w:t xml:space="preserve">whether </w:t>
      </w:r>
      <w:r w:rsidRPr="00CE62E1" w:rsidR="00571415">
        <w:t xml:space="preserve">the </w:t>
      </w:r>
      <w:r w:rsidRPr="00CE62E1" w:rsidR="0096682E">
        <w:t>person is</w:t>
      </w:r>
      <w:r w:rsidRPr="00CE62E1" w:rsidR="00571415">
        <w:t xml:space="preserve"> grave</w:t>
      </w:r>
      <w:r w:rsidRPr="00CE62E1" w:rsidR="0096682E">
        <w:t>ly</w:t>
      </w:r>
      <w:r w:rsidRPr="00CE62E1" w:rsidR="00571415">
        <w:t xml:space="preserve"> </w:t>
      </w:r>
      <w:r w:rsidRPr="00CE62E1" w:rsidR="0096682E">
        <w:t>disabled.</w:t>
      </w:r>
    </w:p>
    <w:p w:rsidR="0000202A" w:rsidRPr="00CE62E1" w:rsidP="00CE62E1" w14:paraId="296123D6" w14:textId="1815AF1B">
      <w:r w:rsidRPr="00CE62E1">
        <w:tab/>
      </w:r>
      <w:r w:rsidRPr="00CE62E1" w:rsidR="0091280F">
        <w:t xml:space="preserve">K.P. </w:t>
      </w:r>
      <w:r w:rsidRPr="00CE62E1" w:rsidR="00405A81">
        <w:t xml:space="preserve">also </w:t>
      </w:r>
      <w:r w:rsidRPr="00CE62E1" w:rsidR="0091280F">
        <w:t xml:space="preserve">relies on </w:t>
      </w:r>
      <w:r w:rsidRPr="00CE62E1" w:rsidR="0091280F">
        <w:rPr>
          <w:i/>
          <w:iCs/>
        </w:rPr>
        <w:t>Conservatorship of Walker</w:t>
      </w:r>
      <w:r w:rsidRPr="00CE62E1" w:rsidR="0091280F">
        <w:t xml:space="preserve"> (1987) 196 Cal.App.3d 1082 (</w:t>
      </w:r>
      <w:r w:rsidRPr="00CE62E1" w:rsidR="0091280F">
        <w:rPr>
          <w:i/>
          <w:iCs/>
        </w:rPr>
        <w:t>Walker</w:t>
      </w:r>
      <w:r w:rsidRPr="00CE62E1" w:rsidR="0091280F">
        <w:t xml:space="preserve">).  </w:t>
      </w:r>
      <w:r w:rsidRPr="00CE62E1" w:rsidR="00F65A5C">
        <w:t>There, the jury was instructed:  “ ‘If you find that John Thomas Walker can survive safely in freedom by himself or with the help of this available, willing and responsible family member, friend or other third party and that John Thomas Walker is willing and capable of accepting voluntary treatment, then you must find that John Thomas Walker is not gravely disabled.’ ”  (</w:t>
      </w:r>
      <w:r w:rsidRPr="00CE62E1" w:rsidR="00F65A5C">
        <w:rPr>
          <w:i/>
          <w:iCs/>
        </w:rPr>
        <w:t>Id</w:t>
      </w:r>
      <w:r w:rsidRPr="00CE62E1" w:rsidR="00F65A5C">
        <w:t xml:space="preserve">. at p. 1091, italics omitted.)  The Court of Appeal </w:t>
      </w:r>
      <w:r w:rsidRPr="00CE62E1" w:rsidR="00CF575B">
        <w:t>found fault with</w:t>
      </w:r>
      <w:r w:rsidRPr="00CE62E1" w:rsidR="00D05CD8">
        <w:t xml:space="preserve"> </w:t>
      </w:r>
      <w:r w:rsidRPr="00CE62E1" w:rsidR="00F65A5C">
        <w:t>this instruction.  (</w:t>
      </w:r>
      <w:r w:rsidRPr="00CE62E1" w:rsidR="00F65A5C">
        <w:rPr>
          <w:i/>
          <w:iCs/>
        </w:rPr>
        <w:t>Id</w:t>
      </w:r>
      <w:r w:rsidRPr="00CE62E1" w:rsidR="00F65A5C">
        <w:t xml:space="preserve">. at p. 1092.)  Relying on section 5352 and </w:t>
      </w:r>
      <w:r w:rsidRPr="00CE62E1" w:rsidR="00F65A5C">
        <w:rPr>
          <w:i/>
          <w:iCs/>
        </w:rPr>
        <w:t>Davis</w:t>
      </w:r>
      <w:r w:rsidRPr="00CE62E1" w:rsidR="00F65A5C">
        <w:t xml:space="preserve">, it </w:t>
      </w:r>
      <w:r w:rsidRPr="00CE62E1" w:rsidR="00CF575B">
        <w:t>held that</w:t>
      </w:r>
      <w:r w:rsidRPr="00CE62E1" w:rsidR="00D05CD8">
        <w:t xml:space="preserve"> </w:t>
      </w:r>
      <w:r w:rsidRPr="00CE62E1" w:rsidR="00F65A5C">
        <w:t xml:space="preserve">a conservatorship may be established only upon proof of </w:t>
      </w:r>
      <w:r w:rsidRPr="00CE62E1" w:rsidR="00F65A5C">
        <w:rPr>
          <w:i/>
          <w:iCs/>
        </w:rPr>
        <w:t>both</w:t>
      </w:r>
      <w:r w:rsidRPr="00CE62E1" w:rsidR="00F65A5C">
        <w:t xml:space="preserve"> grave disability</w:t>
      </w:r>
      <w:r w:rsidRPr="00CE62E1" w:rsidR="00405A81">
        <w:t>, as defined in section 5008,</w:t>
      </w:r>
      <w:r w:rsidRPr="00CE62E1" w:rsidR="00F65A5C">
        <w:t xml:space="preserve"> and unwillingness or inability to accept voluntary treatment</w:t>
      </w:r>
      <w:r w:rsidRPr="00CE62E1" w:rsidR="00564473">
        <w:t>.  (</w:t>
      </w:r>
      <w:r w:rsidR="00F10309">
        <w:rPr>
          <w:i/>
          <w:iCs/>
        </w:rPr>
        <w:t>Walker</w:t>
      </w:r>
      <w:r w:rsidR="00F10309">
        <w:t>,</w:t>
      </w:r>
      <w:r w:rsidRPr="00CE62E1" w:rsidR="00564473">
        <w:t xml:space="preserve"> at pp. 1092</w:t>
      </w:r>
      <w:r w:rsidRPr="00CE62E1" w:rsidR="00E94DDB">
        <w:t>–</w:t>
      </w:r>
      <w:r w:rsidRPr="00CE62E1" w:rsidR="00564473">
        <w:t xml:space="preserve">1093.)  Because </w:t>
      </w:r>
      <w:r w:rsidRPr="00CE62E1" w:rsidR="00564473">
        <w:rPr>
          <w:i/>
          <w:iCs/>
        </w:rPr>
        <w:t>Davis</w:t>
      </w:r>
      <w:r w:rsidRPr="00CE62E1" w:rsidR="00564473">
        <w:t xml:space="preserve"> </w:t>
      </w:r>
      <w:r w:rsidRPr="00CE62E1" w:rsidR="00CF575B">
        <w:t>established</w:t>
      </w:r>
      <w:r w:rsidRPr="00CE62E1" w:rsidR="00564473">
        <w:t xml:space="preserve"> that a “proposed conservatee has the right to have a jury determine all the issues relevant to the establishment of the conservatorship” (</w:t>
      </w:r>
      <w:r w:rsidRPr="00CE62E1" w:rsidR="00564473">
        <w:rPr>
          <w:i/>
          <w:iCs/>
        </w:rPr>
        <w:t>Walker</w:t>
      </w:r>
      <w:r w:rsidRPr="00CE62E1" w:rsidR="00564473">
        <w:t xml:space="preserve">, at p. 1092, citing </w:t>
      </w:r>
      <w:r w:rsidRPr="00CE62E1" w:rsidR="00564473">
        <w:rPr>
          <w:i/>
          <w:iCs/>
        </w:rPr>
        <w:t>Davis</w:t>
      </w:r>
      <w:r w:rsidRPr="00CE62E1" w:rsidR="00564473">
        <w:t xml:space="preserve">, </w:t>
      </w:r>
      <w:r w:rsidRPr="00CE62E1" w:rsidR="00564473">
        <w:rPr>
          <w:i/>
        </w:rPr>
        <w:t>supra</w:t>
      </w:r>
      <w:r w:rsidRPr="00CE62E1" w:rsidR="00564473">
        <w:t xml:space="preserve">, 124 Cal.App.3d at p. 324), the court reasoned: </w:t>
      </w:r>
      <w:r w:rsidRPr="00CE62E1" w:rsidR="003401E6">
        <w:t xml:space="preserve"> </w:t>
      </w:r>
      <w:r w:rsidRPr="00CE62E1" w:rsidR="00564473">
        <w:t>“The jury should determine if the person voluntarily accepts meaningful treatment, in which case no conservatorship is necessary.  If the jury finds the person will not accept treatment, then it must determine if the person can meet his basic needs on his own or with help, in which case a conservatorship is not justified.”  (</w:t>
      </w:r>
      <w:r w:rsidRPr="00CE62E1" w:rsidR="003401E6">
        <w:rPr>
          <w:i/>
          <w:iCs/>
        </w:rPr>
        <w:t>Walker</w:t>
      </w:r>
      <w:r w:rsidRPr="00CE62E1" w:rsidR="003401E6">
        <w:t>,</w:t>
      </w:r>
      <w:r w:rsidRPr="00CE62E1" w:rsidR="00564473">
        <w:t xml:space="preserve"> at pp. 1092</w:t>
      </w:r>
      <w:r w:rsidRPr="00CE62E1" w:rsidR="00E94DDB">
        <w:t>–</w:t>
      </w:r>
      <w:r w:rsidRPr="00CE62E1" w:rsidR="00564473">
        <w:t xml:space="preserve">1093.)  </w:t>
      </w:r>
      <w:r w:rsidRPr="00CE62E1" w:rsidR="00D05CD8">
        <w:t>Because t</w:t>
      </w:r>
      <w:r w:rsidRPr="00CE62E1" w:rsidR="00F65A5C">
        <w:t xml:space="preserve">he instruction </w:t>
      </w:r>
      <w:r w:rsidRPr="00CE62E1" w:rsidR="00D05CD8">
        <w:t>at issue</w:t>
      </w:r>
      <w:r w:rsidRPr="00CE62E1" w:rsidR="00F65A5C">
        <w:t xml:space="preserve"> </w:t>
      </w:r>
      <w:r w:rsidRPr="00CE62E1" w:rsidR="00D05CD8">
        <w:t xml:space="preserve">allowed Walker’s jury to reject conservatorship only if it found </w:t>
      </w:r>
      <w:r w:rsidRPr="00CE62E1" w:rsidR="00CF575B">
        <w:t xml:space="preserve">that </w:t>
      </w:r>
      <w:r w:rsidRPr="00CE62E1" w:rsidR="00D05CD8">
        <w:t xml:space="preserve">Walker was </w:t>
      </w:r>
      <w:r w:rsidRPr="00CE62E1" w:rsidR="00D05CD8">
        <w:rPr>
          <w:i/>
          <w:iCs/>
        </w:rPr>
        <w:t>both</w:t>
      </w:r>
      <w:r w:rsidRPr="00CE62E1" w:rsidR="00D05CD8">
        <w:t xml:space="preserve"> capable of meeting his basic needs </w:t>
      </w:r>
      <w:r w:rsidRPr="00CE62E1" w:rsidR="00D05CD8">
        <w:rPr>
          <w:i/>
          <w:iCs/>
        </w:rPr>
        <w:t>and</w:t>
      </w:r>
      <w:r w:rsidRPr="00CE62E1" w:rsidR="00D05CD8">
        <w:t xml:space="preserve"> willing and able to accept voluntary treatment, the court </w:t>
      </w:r>
      <w:r w:rsidRPr="00CE62E1" w:rsidR="00CF575B">
        <w:t>held it was erroneous.  (</w:t>
      </w:r>
      <w:r w:rsidRPr="00CE62E1" w:rsidR="00CF575B">
        <w:rPr>
          <w:i/>
          <w:iCs/>
        </w:rPr>
        <w:t>Id</w:t>
      </w:r>
      <w:r w:rsidRPr="00CE62E1" w:rsidR="00CF575B">
        <w:t>. at p. 1093.)</w:t>
      </w:r>
    </w:p>
    <w:p w:rsidR="00F769D8" w:rsidRPr="00CE62E1" w:rsidP="00CE62E1" w14:paraId="0EA884D7" w14:textId="3A91EA16">
      <w:r w:rsidRPr="00CE62E1">
        <w:tab/>
      </w:r>
      <w:r w:rsidRPr="00CE62E1" w:rsidR="00405A81">
        <w:t>As K.P. acknowledges, other c</w:t>
      </w:r>
      <w:r w:rsidRPr="00CE62E1">
        <w:t xml:space="preserve">ases </w:t>
      </w:r>
      <w:r w:rsidRPr="00CE62E1" w:rsidR="00405A81">
        <w:t>have declined to follow</w:t>
      </w:r>
      <w:r w:rsidRPr="00CE62E1">
        <w:t xml:space="preserve"> </w:t>
      </w:r>
      <w:r w:rsidRPr="00CE62E1">
        <w:rPr>
          <w:i/>
          <w:iCs/>
        </w:rPr>
        <w:t>Davis</w:t>
      </w:r>
      <w:r w:rsidRPr="00CE62E1">
        <w:t xml:space="preserve"> and </w:t>
      </w:r>
      <w:r w:rsidRPr="00CE62E1">
        <w:rPr>
          <w:i/>
          <w:iCs/>
        </w:rPr>
        <w:t>Walker</w:t>
      </w:r>
      <w:r w:rsidRPr="00CE62E1">
        <w:t xml:space="preserve">.  </w:t>
      </w:r>
      <w:r w:rsidRPr="00CE62E1" w:rsidR="009407FC">
        <w:t xml:space="preserve">The first, </w:t>
      </w:r>
      <w:r w:rsidRPr="00CE62E1">
        <w:rPr>
          <w:i/>
          <w:iCs/>
        </w:rPr>
        <w:t>Symington</w:t>
      </w:r>
      <w:r w:rsidRPr="00CE62E1" w:rsidR="000365AB">
        <w:t xml:space="preserve">, </w:t>
      </w:r>
      <w:r w:rsidRPr="00CE62E1" w:rsidR="000365AB">
        <w:rPr>
          <w:i/>
        </w:rPr>
        <w:t>supra</w:t>
      </w:r>
      <w:r w:rsidRPr="00CE62E1" w:rsidR="000365AB">
        <w:t xml:space="preserve">, </w:t>
      </w:r>
      <w:r w:rsidRPr="00CE62E1">
        <w:t>209 Cal.App.3d 1464</w:t>
      </w:r>
      <w:r w:rsidRPr="00CE62E1" w:rsidR="009407FC">
        <w:t xml:space="preserve">, involved a bench trial.  The trial court found the proposed conservatee gravely disabled and observed that it was </w:t>
      </w:r>
      <w:r w:rsidRPr="00CE62E1" w:rsidR="00987B96">
        <w:t>un</w:t>
      </w:r>
      <w:r w:rsidRPr="00CE62E1" w:rsidR="009407FC">
        <w:t>necessary to decide in addition whether she was willing or able to accept voluntary treatment.  (</w:t>
      </w:r>
      <w:r w:rsidRPr="00CE62E1" w:rsidR="009407FC">
        <w:rPr>
          <w:i/>
          <w:iCs/>
        </w:rPr>
        <w:t>Id</w:t>
      </w:r>
      <w:r w:rsidRPr="00CE62E1" w:rsidR="009407FC">
        <w:t xml:space="preserve">. at p. 1466.)  </w:t>
      </w:r>
      <w:r w:rsidRPr="00CE62E1" w:rsidR="002933A1">
        <w:t xml:space="preserve">Symington challenged the absence of this finding on appeal, </w:t>
      </w:r>
      <w:r w:rsidRPr="00CE62E1" w:rsidR="00694D16">
        <w:t>asserting</w:t>
      </w:r>
      <w:r w:rsidRPr="00CE62E1" w:rsidR="002933A1">
        <w:t xml:space="preserve"> </w:t>
      </w:r>
      <w:r w:rsidRPr="00CE62E1" w:rsidR="00166EEA">
        <w:t xml:space="preserve">that </w:t>
      </w:r>
      <w:r w:rsidRPr="00CE62E1" w:rsidR="002933A1">
        <w:t xml:space="preserve">grave disability </w:t>
      </w:r>
      <w:r w:rsidRPr="00CE62E1" w:rsidR="00694D16">
        <w:t>“ ‘</w:t>
      </w:r>
      <w:r w:rsidRPr="00CE62E1" w:rsidR="00694D16">
        <w:rPr>
          <w:i/>
          <w:iCs/>
        </w:rPr>
        <w:t>by definition</w:t>
      </w:r>
      <w:r w:rsidRPr="00CE62E1" w:rsidR="00694D16">
        <w:t xml:space="preserve"> includes an unwillingness and/or inability on the part of the proposed conservatee to voluntarily accept treatment for the mental disorder</w:t>
      </w:r>
      <w:r w:rsidRPr="00CE62E1" w:rsidR="00282A1E">
        <w:t xml:space="preserve"> </w:t>
      </w:r>
      <w:r w:rsidRPr="00CE62E1" w:rsidR="00694D16">
        <w:t>. . . .’ ”  (</w:t>
      </w:r>
      <w:r w:rsidRPr="00CE62E1" w:rsidR="00694D16">
        <w:rPr>
          <w:i/>
          <w:iCs/>
        </w:rPr>
        <w:t>Id</w:t>
      </w:r>
      <w:r w:rsidRPr="00CE62E1" w:rsidR="00694D16">
        <w:t>. at p. 1467.)</w:t>
      </w:r>
      <w:r w:rsidRPr="00CE62E1" w:rsidR="005E4B7F">
        <w:t xml:space="preserve">  The Court of Appeal expressed doubt that a finding of unwillingness or inability to </w:t>
      </w:r>
      <w:r w:rsidRPr="00CE62E1" w:rsidR="005B5832">
        <w:t>accept treatment was required</w:t>
      </w:r>
      <w:r w:rsidRPr="00CE62E1" w:rsidR="005E4B7F">
        <w:t>, explainin</w:t>
      </w:r>
      <w:r w:rsidRPr="00CE62E1" w:rsidR="00282A1E">
        <w:t>g that this lan</w:t>
      </w:r>
      <w:r w:rsidRPr="00CE62E1" w:rsidR="00C61A15">
        <w:t xml:space="preserve">guage is </w:t>
      </w:r>
      <w:r w:rsidRPr="00CE62E1" w:rsidR="00282A1E">
        <w:t xml:space="preserve">not </w:t>
      </w:r>
      <w:r w:rsidRPr="00CE62E1" w:rsidR="00C61A15">
        <w:t>found</w:t>
      </w:r>
      <w:r w:rsidRPr="00CE62E1" w:rsidR="00282A1E">
        <w:t xml:space="preserve"> elsewhere in the conservatorship statutes but</w:t>
      </w:r>
      <w:r w:rsidRPr="00CE62E1" w:rsidR="00C61A15">
        <w:t xml:space="preserve"> only in section 5352, a </w:t>
      </w:r>
      <w:r w:rsidRPr="00CE62E1" w:rsidR="00282A1E">
        <w:t>provision</w:t>
      </w:r>
      <w:r w:rsidRPr="00CE62E1" w:rsidR="00C61A15">
        <w:t xml:space="preserve"> </w:t>
      </w:r>
      <w:r w:rsidRPr="00CE62E1" w:rsidR="00282A1E">
        <w:t>“</w:t>
      </w:r>
      <w:r w:rsidRPr="00CE62E1" w:rsidR="00C61A15">
        <w:t>apparently designed to allow treatment facilities to initiate conservatorship proceedings at the time a patient is accepted where the individual may prove uncooperative.  It appears to have been enacted for that limited purpose, not as an additional element to be proved to establish the conservatorship itself.”  (</w:t>
      </w:r>
      <w:r w:rsidR="00F10309">
        <w:rPr>
          <w:i/>
          <w:iCs/>
        </w:rPr>
        <w:t>Symington</w:t>
      </w:r>
      <w:r w:rsidR="00F10309">
        <w:t>, at p. 1467</w:t>
      </w:r>
      <w:r w:rsidRPr="00CE62E1" w:rsidR="00C61A15">
        <w:t>.)</w:t>
      </w:r>
      <w:r w:rsidRPr="00CE62E1" w:rsidR="00DF62EA">
        <w:t xml:space="preserve">  </w:t>
      </w:r>
      <w:r w:rsidRPr="00CE62E1" w:rsidR="00E3647C">
        <w:t>The court concluded section 5352’s reference to unwillingness or inability to accept voluntary treatment “is not intended to be a legal term, but is a standard by which mental health professionals determine whether a conservatorship is necessary.”  (</w:t>
      </w:r>
      <w:r w:rsidR="00F10309">
        <w:rPr>
          <w:i/>
          <w:iCs/>
        </w:rPr>
        <w:t>Symington</w:t>
      </w:r>
      <w:r w:rsidR="00F10309">
        <w:t xml:space="preserve">, </w:t>
      </w:r>
      <w:r w:rsidRPr="00CE62E1" w:rsidR="00E3647C">
        <w:t>at p. 1468.)  Sensitive to the facts of the case before it, which involved an octogenarian with severe intellectual and memory impairment from senile dementia (</w:t>
      </w:r>
      <w:r w:rsidRPr="00CE62E1" w:rsidR="00E3647C">
        <w:rPr>
          <w:i/>
          <w:iCs/>
        </w:rPr>
        <w:t>id</w:t>
      </w:r>
      <w:r w:rsidRPr="00CE62E1" w:rsidR="00E3647C">
        <w:t>. at p. 1466), the court observed that “many gravely disabled individuals are simply beyond treatment.  Under the interpretation of the statutory scheme urged upon us, they presumably could not be the subject of an LPS Act conservatorship at all.”  (</w:t>
      </w:r>
      <w:r w:rsidRPr="00CE62E1" w:rsidR="00E3647C">
        <w:rPr>
          <w:i/>
          <w:iCs/>
        </w:rPr>
        <w:t>Id</w:t>
      </w:r>
      <w:r w:rsidRPr="00CE62E1" w:rsidR="00E3647C">
        <w:t>. at p. 1467.)</w:t>
      </w:r>
    </w:p>
    <w:p w:rsidR="00890692" w:rsidRPr="00CE62E1" w:rsidP="00CE62E1" w14:paraId="71FCD324" w14:textId="1A98801E">
      <w:r w:rsidRPr="00CE62E1">
        <w:tab/>
        <w:t xml:space="preserve">The issue did not resurface for 30 years, until </w:t>
      </w:r>
      <w:r w:rsidRPr="00CE62E1" w:rsidR="00DE13BA">
        <w:t>K.P.’s appeal</w:t>
      </w:r>
      <w:r w:rsidRPr="00CE62E1" w:rsidR="00773A4A">
        <w:t xml:space="preserve"> here </w:t>
      </w:r>
      <w:r w:rsidRPr="00CE62E1">
        <w:t xml:space="preserve">and </w:t>
      </w:r>
      <w:r w:rsidRPr="00CE62E1">
        <w:rPr>
          <w:i/>
          <w:iCs/>
        </w:rPr>
        <w:t>Conservatorship of D.P.</w:t>
      </w:r>
      <w:r w:rsidRPr="00CE62E1">
        <w:t xml:space="preserve"> (2019) 41 Cal.App.5th 794</w:t>
      </w:r>
      <w:r w:rsidRPr="00CE62E1" w:rsidR="00DE13BA">
        <w:t>, review granted and held Feb</w:t>
      </w:r>
      <w:r w:rsidR="00F10309">
        <w:t>ruary</w:t>
      </w:r>
      <w:r w:rsidRPr="00CE62E1" w:rsidR="00581D4C">
        <w:t xml:space="preserve"> 11, 2020.</w:t>
      </w:r>
      <w:r w:rsidRPr="00CE62E1" w:rsidR="0079792F">
        <w:t xml:space="preserve"> </w:t>
      </w:r>
      <w:r w:rsidR="00A779B5">
        <w:t xml:space="preserve"> </w:t>
      </w:r>
      <w:r w:rsidRPr="00CE62E1" w:rsidR="0079792F">
        <w:t xml:space="preserve">In both cases, the </w:t>
      </w:r>
      <w:r w:rsidRPr="00CE62E1" w:rsidR="004C0393">
        <w:t>juries were given</w:t>
      </w:r>
      <w:r w:rsidRPr="00CE62E1" w:rsidR="009942D5">
        <w:t xml:space="preserve"> a version of CACI No. 4000 that did not include unwillingness or inability to accept voluntary treatment as a required element for conservatorship.  (</w:t>
      </w:r>
      <w:r w:rsidR="00F10309">
        <w:rPr>
          <w:i/>
          <w:iCs/>
        </w:rPr>
        <w:t>D.P.</w:t>
      </w:r>
      <w:r w:rsidR="00F10309">
        <w:t>,</w:t>
      </w:r>
      <w:r w:rsidRPr="00CE62E1" w:rsidR="0078757C">
        <w:t xml:space="preserve"> at p. 799; </w:t>
      </w:r>
      <w:r w:rsidRPr="00CE62E1" w:rsidR="0078757C">
        <w:rPr>
          <w:i/>
          <w:iCs/>
        </w:rPr>
        <w:t>Conservatorship of K.P.</w:t>
      </w:r>
      <w:r w:rsidRPr="00CE62E1" w:rsidR="003401E6">
        <w:t xml:space="preserve">, </w:t>
      </w:r>
      <w:r w:rsidRPr="00CE62E1" w:rsidR="003401E6">
        <w:rPr>
          <w:i/>
          <w:iCs/>
        </w:rPr>
        <w:t>supra</w:t>
      </w:r>
      <w:r w:rsidRPr="00CE62E1" w:rsidR="003401E6">
        <w:t>,</w:t>
      </w:r>
      <w:r w:rsidRPr="00CE62E1" w:rsidR="0078757C">
        <w:t xml:space="preserve"> 39 Cal.App.5th</w:t>
      </w:r>
      <w:r w:rsidRPr="00CE62E1" w:rsidR="0006514A">
        <w:t xml:space="preserve"> </w:t>
      </w:r>
      <w:r w:rsidRPr="00CE62E1" w:rsidR="003401E6">
        <w:t>at p.</w:t>
      </w:r>
      <w:r w:rsidRPr="00CE62E1" w:rsidR="0078757C">
        <w:t xml:space="preserve"> 263.)</w:t>
      </w:r>
      <w:r>
        <w:rPr>
          <w:rStyle w:val="FootnoteReference"/>
        </w:rPr>
        <w:footnoteReference w:id="14"/>
      </w:r>
      <w:r w:rsidRPr="00CE62E1" w:rsidR="00A02198">
        <w:t xml:space="preserve">  However, </w:t>
      </w:r>
      <w:r w:rsidRPr="00CE62E1" w:rsidR="004C0393">
        <w:t>both</w:t>
      </w:r>
      <w:r w:rsidRPr="00CE62E1" w:rsidR="00A02198">
        <w:t xml:space="preserve"> juries were also </w:t>
      </w:r>
      <w:r w:rsidRPr="00CE62E1" w:rsidR="00773A4A">
        <w:t>given</w:t>
      </w:r>
      <w:r w:rsidRPr="00CE62E1" w:rsidR="00A02198">
        <w:t xml:space="preserve"> a modified version of CACI No. 4002, </w:t>
      </w:r>
      <w:r w:rsidRPr="00CE62E1" w:rsidR="00773A4A">
        <w:t xml:space="preserve">which explained </w:t>
      </w:r>
      <w:r w:rsidRPr="00CE62E1" w:rsidR="00A02198">
        <w:t>that they could consider willingness or ability to accept voluntary treatment in deciding whether the proposed conservatees were gravely disabled.  (</w:t>
      </w:r>
      <w:r w:rsidRPr="00CE62E1" w:rsidR="00AB576C">
        <w:rPr>
          <w:i/>
          <w:iCs/>
        </w:rPr>
        <w:t>D.P.</w:t>
      </w:r>
      <w:r w:rsidRPr="00CE62E1" w:rsidR="00AB576C">
        <w:t xml:space="preserve">, at p. 799; </w:t>
      </w:r>
      <w:r w:rsidRPr="00CE62E1" w:rsidR="00AB576C">
        <w:rPr>
          <w:i/>
          <w:iCs/>
        </w:rPr>
        <w:t>K.P.</w:t>
      </w:r>
      <w:r w:rsidRPr="00CE62E1" w:rsidR="00AB576C">
        <w:t xml:space="preserve">, </w:t>
      </w:r>
      <w:r w:rsidR="007720EB">
        <w:t xml:space="preserve">at p. </w:t>
      </w:r>
      <w:r w:rsidRPr="00CE62E1" w:rsidR="00AB576C">
        <w:t>263.)</w:t>
      </w:r>
      <w:r w:rsidRPr="00CE62E1" w:rsidR="00773A4A">
        <w:t xml:space="preserve">  </w:t>
      </w:r>
      <w:r w:rsidRPr="00CE62E1" w:rsidR="004C0393">
        <w:t>On appeal, the</w:t>
      </w:r>
      <w:r w:rsidRPr="00CE62E1" w:rsidR="00773A4A">
        <w:t xml:space="preserve"> </w:t>
      </w:r>
      <w:r w:rsidRPr="00CE62E1" w:rsidR="004C0393">
        <w:t xml:space="preserve">courts </w:t>
      </w:r>
      <w:r w:rsidRPr="00CE62E1" w:rsidR="00773A4A">
        <w:t>determined these instructions accurately reflected the law</w:t>
      </w:r>
      <w:r w:rsidRPr="00CE62E1" w:rsidR="003A0032">
        <w:t>.</w:t>
      </w:r>
      <w:r w:rsidRPr="00CE62E1" w:rsidR="00984E96">
        <w:t xml:space="preserve">  </w:t>
      </w:r>
      <w:r w:rsidRPr="00CE62E1" w:rsidR="00405A81">
        <w:t>The court here</w:t>
      </w:r>
      <w:r w:rsidRPr="00CE62E1" w:rsidR="00984E96">
        <w:t xml:space="preserve"> found </w:t>
      </w:r>
      <w:r w:rsidRPr="00CE62E1" w:rsidR="00984E96">
        <w:rPr>
          <w:i/>
          <w:iCs/>
        </w:rPr>
        <w:t>Symington</w:t>
      </w:r>
      <w:r w:rsidRPr="00CE62E1" w:rsidR="00984E96">
        <w:t xml:space="preserve">’s reasoning persuasive and agreed that section 5352 does not </w:t>
      </w:r>
      <w:r w:rsidRPr="00CE62E1" w:rsidR="00166EEA">
        <w:t>require</w:t>
      </w:r>
      <w:r w:rsidRPr="00CE62E1" w:rsidR="00984E96">
        <w:t xml:space="preserve"> additional </w:t>
      </w:r>
      <w:r w:rsidRPr="00CE62E1" w:rsidR="00166EEA">
        <w:t>proof</w:t>
      </w:r>
      <w:r w:rsidRPr="00CE62E1" w:rsidR="00984E96">
        <w:t>.  (</w:t>
      </w:r>
      <w:r w:rsidRPr="00CE62E1" w:rsidR="00984E96">
        <w:rPr>
          <w:i/>
          <w:iCs/>
        </w:rPr>
        <w:t>K.P.</w:t>
      </w:r>
      <w:r w:rsidRPr="00CE62E1" w:rsidR="00984E96">
        <w:t xml:space="preserve">, at p. 268.)  </w:t>
      </w:r>
      <w:r w:rsidRPr="00CE62E1" w:rsidR="004C0393">
        <w:t>The Court of Appeal</w:t>
      </w:r>
      <w:r w:rsidRPr="00CE62E1" w:rsidR="00E872C5">
        <w:t xml:space="preserve"> in </w:t>
      </w:r>
      <w:r w:rsidRPr="00CE62E1" w:rsidR="00E872C5">
        <w:rPr>
          <w:i/>
          <w:iCs/>
        </w:rPr>
        <w:t>D.P.</w:t>
      </w:r>
      <w:r w:rsidRPr="00CE62E1" w:rsidR="00E872C5">
        <w:t xml:space="preserve"> also agreed with </w:t>
      </w:r>
      <w:r w:rsidRPr="00CE62E1" w:rsidR="00E872C5">
        <w:rPr>
          <w:i/>
          <w:iCs/>
        </w:rPr>
        <w:t>Symington</w:t>
      </w:r>
      <w:r w:rsidRPr="00CE62E1" w:rsidR="00E872C5">
        <w:t>’s statutory analysis.  (</w:t>
      </w:r>
      <w:r w:rsidRPr="00CE62E1" w:rsidR="00E872C5">
        <w:rPr>
          <w:i/>
          <w:iCs/>
        </w:rPr>
        <w:t>D.P.</w:t>
      </w:r>
      <w:r w:rsidRPr="00CE62E1" w:rsidR="00E872C5">
        <w:t>, at pp. 802</w:t>
      </w:r>
      <w:r w:rsidRPr="00CE62E1" w:rsidR="00E94DDB">
        <w:t>–</w:t>
      </w:r>
      <w:r w:rsidRPr="00CE62E1" w:rsidR="00E872C5">
        <w:t>803.)  It further noted that section 5352 does not apply to reappointment petitions, and the applicable statute requires only a finding that the person “</w:t>
      </w:r>
      <w:r w:rsidRPr="00CE62E1" w:rsidR="003401E6">
        <w:t> ‘</w:t>
      </w:r>
      <w:r w:rsidRPr="00CE62E1" w:rsidR="00E872C5">
        <w:rPr>
          <w:i/>
          <w:iCs/>
        </w:rPr>
        <w:t>remains</w:t>
      </w:r>
      <w:r w:rsidRPr="00CE62E1" w:rsidR="00E872C5">
        <w:t xml:space="preserve"> gravely disabled.</w:t>
      </w:r>
      <w:r w:rsidRPr="00CE62E1" w:rsidR="003401E6">
        <w:t>’ </w:t>
      </w:r>
      <w:r w:rsidRPr="00CE62E1" w:rsidR="00E872C5">
        <w:t>”  (</w:t>
      </w:r>
      <w:r w:rsidRPr="00CE62E1" w:rsidR="003401E6">
        <w:rPr>
          <w:i/>
          <w:iCs/>
        </w:rPr>
        <w:t>D.P.</w:t>
      </w:r>
      <w:r w:rsidRPr="00CE62E1" w:rsidR="003401E6">
        <w:t>, at p. 804; see</w:t>
      </w:r>
      <w:r w:rsidRPr="00CE62E1" w:rsidR="0006514A">
        <w:t xml:space="preserve"> </w:t>
      </w:r>
      <w:r w:rsidRPr="00CE62E1" w:rsidR="00E872C5">
        <w:t>§ 535</w:t>
      </w:r>
      <w:r w:rsidRPr="00CE62E1" w:rsidR="003401E6">
        <w:t>2</w:t>
      </w:r>
      <w:r w:rsidRPr="00CE62E1" w:rsidR="00E872C5">
        <w:t>.)</w:t>
      </w:r>
      <w:r w:rsidRPr="00CE62E1" w:rsidR="00773A4A">
        <w:t xml:space="preserve"> </w:t>
      </w:r>
      <w:r w:rsidRPr="00CE62E1" w:rsidR="00E872C5">
        <w:t xml:space="preserve"> Thus, even if a finding about amenability to voluntary treatment were required in the initial appointment of a conservator, there was no statutory basis for imposing it in reappointment proceedings.  (</w:t>
      </w:r>
      <w:r w:rsidRPr="00CE62E1" w:rsidR="00E872C5">
        <w:rPr>
          <w:i/>
          <w:iCs/>
        </w:rPr>
        <w:t>D.P.</w:t>
      </w:r>
      <w:r w:rsidRPr="00CE62E1" w:rsidR="00E872C5">
        <w:t>, at pp. 803</w:t>
      </w:r>
      <w:r w:rsidRPr="00CE62E1" w:rsidR="00E94DDB">
        <w:t>–</w:t>
      </w:r>
      <w:r w:rsidRPr="00CE62E1" w:rsidR="00E872C5">
        <w:t>804.)</w:t>
      </w:r>
    </w:p>
    <w:p w:rsidR="009F56BF" w:rsidRPr="00CE62E1" w:rsidP="00CE62E1" w14:paraId="0B3CFE46" w14:textId="0430B813">
      <w:r w:rsidRPr="00CE62E1">
        <w:tab/>
      </w:r>
      <w:r w:rsidR="00A779B5">
        <w:t xml:space="preserve">We agree with these recent decisions that </w:t>
      </w:r>
      <w:r w:rsidRPr="00CE62E1" w:rsidR="00406DE7">
        <w:rPr>
          <w:i/>
          <w:iCs/>
        </w:rPr>
        <w:t>Davis</w:t>
      </w:r>
      <w:r w:rsidRPr="00CE62E1" w:rsidR="00406DE7">
        <w:t xml:space="preserve"> and </w:t>
      </w:r>
      <w:r w:rsidRPr="00CE62E1" w:rsidR="00406DE7">
        <w:rPr>
          <w:i/>
          <w:iCs/>
        </w:rPr>
        <w:t>Walker</w:t>
      </w:r>
      <w:r w:rsidRPr="00CE62E1" w:rsidR="00406DE7">
        <w:t xml:space="preserve"> </w:t>
      </w:r>
      <w:r w:rsidRPr="00CE62E1" w:rsidR="004F29E5">
        <w:t xml:space="preserve">are not persuasive </w:t>
      </w:r>
      <w:r w:rsidRPr="00CE62E1" w:rsidR="000365AB">
        <w:t>as to</w:t>
      </w:r>
      <w:r w:rsidRPr="00CE62E1" w:rsidR="004F29E5">
        <w:t xml:space="preserve"> the role that acceptance of voluntary treatment appropriately plays in a conservatorship trial.  As in </w:t>
      </w:r>
      <w:r w:rsidRPr="00CE62E1" w:rsidR="004F29E5">
        <w:rPr>
          <w:i/>
          <w:iCs/>
        </w:rPr>
        <w:t>Early</w:t>
      </w:r>
      <w:r w:rsidRPr="00CE62E1" w:rsidR="004F29E5">
        <w:t xml:space="preserve">, </w:t>
      </w:r>
      <w:r w:rsidRPr="00CE62E1" w:rsidR="004F29E5">
        <w:rPr>
          <w:i/>
          <w:iCs/>
        </w:rPr>
        <w:t>Davis</w:t>
      </w:r>
      <w:r w:rsidRPr="00CE62E1" w:rsidR="004F29E5">
        <w:t xml:space="preserve"> was partially correct to the extent it held a trier of fact may </w:t>
      </w:r>
      <w:r w:rsidRPr="00CE62E1" w:rsidR="004F29E5">
        <w:rPr>
          <w:i/>
          <w:iCs/>
        </w:rPr>
        <w:t>consider</w:t>
      </w:r>
      <w:r w:rsidRPr="00CE62E1" w:rsidR="004F29E5">
        <w:t xml:space="preserve"> a proposed conservatee’s openness to treatment when </w:t>
      </w:r>
      <w:r w:rsidRPr="00CE62E1" w:rsidR="004C7B1C">
        <w:t>evaluating whether the constraints of conservatorship are necessary under all attendant circumstances.  Naturally, a trier of fact can consider all relevant evidence, which is defined as that “having any tendency in reason to prove or disprove any disputed fact that is of consequence to the determination of the action.”  (Evid. Code, § 210.)</w:t>
      </w:r>
      <w:r w:rsidRPr="00CE62E1" w:rsidR="00E82A9F">
        <w:t xml:space="preserve">  Evidence that a person is willing and able to accept meaningful treatment is certainly relevant to </w:t>
      </w:r>
      <w:r w:rsidRPr="00CE62E1" w:rsidR="002C11F7">
        <w:t>the ultimate question whether a conservatorship is necessary.</w:t>
      </w:r>
      <w:r w:rsidRPr="00CE62E1" w:rsidR="00CE3AA4">
        <w:t xml:space="preserve">  But there is a difference between relevant evidence </w:t>
      </w:r>
      <w:r w:rsidRPr="00CE62E1" w:rsidR="00844A3A">
        <w:t xml:space="preserve">and the elements that must be proven to determine an action.  In a conservatorship trial, the only </w:t>
      </w:r>
      <w:r w:rsidRPr="00CE62E1" w:rsidR="00844A3A">
        <w:rPr>
          <w:i/>
          <w:iCs/>
        </w:rPr>
        <w:t>elements</w:t>
      </w:r>
      <w:r w:rsidRPr="00CE62E1" w:rsidR="00844A3A">
        <w:t xml:space="preserve"> that must be proven are that the person (1) </w:t>
      </w:r>
      <w:r w:rsidRPr="00CE62E1" w:rsidR="000365AB">
        <w:t xml:space="preserve">suffers from a mental health disorder that </w:t>
      </w:r>
      <w:r w:rsidRPr="00CE62E1" w:rsidR="00844A3A">
        <w:t xml:space="preserve">(2) </w:t>
      </w:r>
      <w:r w:rsidRPr="00CE62E1" w:rsidR="000365AB">
        <w:t xml:space="preserve">renders </w:t>
      </w:r>
      <w:r w:rsidR="00F10309">
        <w:t>him or her</w:t>
      </w:r>
      <w:r w:rsidRPr="00CE62E1" w:rsidR="000365AB">
        <w:t xml:space="preserve"> gravely disabled</w:t>
      </w:r>
      <w:r w:rsidRPr="00CE62E1" w:rsidR="00844A3A">
        <w:t>.  (</w:t>
      </w:r>
      <w:r w:rsidR="00F10309">
        <w:t xml:space="preserve">Welf. &amp; Inst. Code, </w:t>
      </w:r>
      <w:r w:rsidRPr="00CE62E1" w:rsidR="00844A3A">
        <w:t>§ 5350.)  Evidence bearing on the person’s ability and willingness to accept treatment may assist the fact</w:t>
      </w:r>
      <w:r w:rsidR="00F10309">
        <w:t xml:space="preserve"> </w:t>
      </w:r>
      <w:r w:rsidRPr="00CE62E1" w:rsidR="00844A3A">
        <w:t xml:space="preserve">finder in resolving </w:t>
      </w:r>
      <w:r w:rsidRPr="00CE62E1" w:rsidR="0058612B">
        <w:t xml:space="preserve">that question.  But such willingness is neither an element that must be proven nor </w:t>
      </w:r>
      <w:r w:rsidR="00867A75">
        <w:t xml:space="preserve">itself </w:t>
      </w:r>
      <w:r w:rsidRPr="00CE62E1" w:rsidR="0058612B">
        <w:t>dispositive</w:t>
      </w:r>
      <w:r w:rsidRPr="00CE62E1" w:rsidR="00AA535F">
        <w:t xml:space="preserve"> </w:t>
      </w:r>
      <w:r w:rsidRPr="00CE62E1" w:rsidR="002218EF">
        <w:t>o</w:t>
      </w:r>
      <w:r w:rsidR="002218EF">
        <w:t xml:space="preserve">f </w:t>
      </w:r>
      <w:r w:rsidRPr="00CE62E1" w:rsidR="00AA535F">
        <w:t>the issue of grave disability.</w:t>
      </w:r>
      <w:r>
        <w:rPr>
          <w:rStyle w:val="FootnoteReference"/>
        </w:rPr>
        <w:footnoteReference w:id="15"/>
      </w:r>
      <w:r w:rsidRPr="00CE62E1" w:rsidR="00AA535F">
        <w:t xml:space="preserve">  Particularly for those suffering from mental illness, </w:t>
      </w:r>
      <w:r w:rsidRPr="00CE62E1" w:rsidR="00C514AF">
        <w:t xml:space="preserve">openness to treatment may not be a fixed status.  It may wax and wane depending on many variables, including medication status and the particulars of housing status or confinement.  Evidence on the topic may also be disputed, or of varying degrees of persuasiveness.  </w:t>
      </w:r>
      <w:r w:rsidRPr="00CE62E1" w:rsidR="00C514AF">
        <w:rPr>
          <w:i/>
          <w:iCs/>
        </w:rPr>
        <w:t>Early</w:t>
      </w:r>
      <w:r w:rsidRPr="00CE62E1" w:rsidR="00C514AF">
        <w:t xml:space="preserve">’s caution against imposing on public guardians the insuperable burden of </w:t>
      </w:r>
      <w:r w:rsidRPr="00CE62E1" w:rsidR="00BD4229">
        <w:t>disproving a negative is equally applicable here.</w:t>
      </w:r>
      <w:r w:rsidRPr="00CE62E1" w:rsidR="00C514AF">
        <w:t xml:space="preserve">  (</w:t>
      </w:r>
      <w:r w:rsidRPr="00CE62E1" w:rsidR="00BD4229">
        <w:t xml:space="preserve">See </w:t>
      </w:r>
      <w:r w:rsidRPr="00CE62E1" w:rsidR="00C514AF">
        <w:rPr>
          <w:i/>
          <w:iCs/>
        </w:rPr>
        <w:t>Early</w:t>
      </w:r>
      <w:r w:rsidRPr="00CE62E1" w:rsidR="00C514AF">
        <w:t xml:space="preserve">, </w:t>
      </w:r>
      <w:r w:rsidRPr="00CE62E1" w:rsidR="00C514AF">
        <w:rPr>
          <w:i/>
          <w:iCs/>
        </w:rPr>
        <w:t>supra</w:t>
      </w:r>
      <w:r w:rsidRPr="00CE62E1" w:rsidR="00C514AF">
        <w:t>, 35 Cal.3d at p. 254.)</w:t>
      </w:r>
    </w:p>
    <w:p w:rsidR="007160C5" w:rsidRPr="00CE62E1" w:rsidP="00CE62E1" w14:paraId="3DF37003" w14:textId="021B0822">
      <w:r w:rsidRPr="00CE62E1">
        <w:tab/>
      </w:r>
      <w:r w:rsidRPr="00CE62E1" w:rsidR="00B44D06">
        <w:t xml:space="preserve">Thus, the </w:t>
      </w:r>
      <w:r w:rsidRPr="00CE62E1" w:rsidR="00B44D06">
        <w:rPr>
          <w:i/>
          <w:iCs/>
        </w:rPr>
        <w:t>Davis</w:t>
      </w:r>
      <w:r w:rsidRPr="00CE62E1" w:rsidR="00B44D06">
        <w:t xml:space="preserve"> decision went too far </w:t>
      </w:r>
      <w:r w:rsidRPr="00CE62E1" w:rsidR="002C11F7">
        <w:t>to the extent it called for</w:t>
      </w:r>
      <w:r w:rsidRPr="00CE62E1" w:rsidR="00166EEA">
        <w:t xml:space="preserve"> proof of</w:t>
      </w:r>
      <w:r w:rsidRPr="00CE62E1" w:rsidR="00B44D06">
        <w:t xml:space="preserve"> an </w:t>
      </w:r>
      <w:r w:rsidRPr="00CE62E1" w:rsidR="00A62419">
        <w:t xml:space="preserve">additional </w:t>
      </w:r>
      <w:r w:rsidRPr="00CE62E1" w:rsidR="00B44D06">
        <w:t>element not found in the stat</w:t>
      </w:r>
      <w:r w:rsidRPr="00CE62E1" w:rsidR="00A62419">
        <w:t>utory definition.</w:t>
      </w:r>
      <w:r w:rsidRPr="00CE62E1" w:rsidR="00B44D06">
        <w:t xml:space="preserve">  </w:t>
      </w:r>
      <w:r w:rsidRPr="00CE62E1" w:rsidR="00166EEA">
        <w:t>C</w:t>
      </w:r>
      <w:r w:rsidRPr="00CE62E1" w:rsidR="00B44D06">
        <w:t>ourts may not expand statutory language under the guise of interpretation.  (</w:t>
      </w:r>
      <w:r w:rsidRPr="00CE62E1" w:rsidR="00B44D06">
        <w:rPr>
          <w:i/>
          <w:iCs/>
        </w:rPr>
        <w:t>In re Miller</w:t>
      </w:r>
      <w:r w:rsidRPr="00CE62E1" w:rsidR="00B44D06">
        <w:t xml:space="preserve"> (1947) 31 Cal.2d 191, 199; see Code Civ. Pro</w:t>
      </w:r>
      <w:r w:rsidRPr="00CE62E1" w:rsidR="003401E6">
        <w:t>c</w:t>
      </w:r>
      <w:r w:rsidRPr="00CE62E1" w:rsidR="00B44D06">
        <w:t xml:space="preserve">., § 1858.)  </w:t>
      </w:r>
      <w:r w:rsidRPr="00CE62E1" w:rsidR="00A62419">
        <w:t xml:space="preserve">The </w:t>
      </w:r>
      <w:r w:rsidRPr="00CE62E1" w:rsidR="00A62419">
        <w:rPr>
          <w:i/>
          <w:iCs/>
        </w:rPr>
        <w:t>Walker</w:t>
      </w:r>
      <w:r w:rsidRPr="00CE62E1" w:rsidR="00A62419">
        <w:t xml:space="preserve"> court </w:t>
      </w:r>
      <w:r w:rsidRPr="00CE62E1" w:rsidR="00166EEA">
        <w:t>strayed</w:t>
      </w:r>
      <w:r w:rsidRPr="00CE62E1" w:rsidR="00A62419">
        <w:t xml:space="preserve"> even further afield from the statutory framework.  It endorsed a two-step procedure </w:t>
      </w:r>
      <w:r w:rsidRPr="00CE62E1" w:rsidR="00A022DC">
        <w:t xml:space="preserve">under which a jury would not even consider the issue of grave disability if it concluded the proposed conservatee was willing and able to accept treatment. </w:t>
      </w:r>
      <w:r w:rsidRPr="00CE62E1" w:rsidR="00A62419">
        <w:t xml:space="preserve"> </w:t>
      </w:r>
      <w:r w:rsidRPr="00CE62E1" w:rsidR="00A022DC">
        <w:t xml:space="preserve">(See </w:t>
      </w:r>
      <w:r w:rsidRPr="00CE62E1" w:rsidR="00A62419">
        <w:rPr>
          <w:i/>
          <w:iCs/>
        </w:rPr>
        <w:t>Walker</w:t>
      </w:r>
      <w:r w:rsidRPr="00CE62E1" w:rsidR="00A62419">
        <w:t xml:space="preserve">, </w:t>
      </w:r>
      <w:r w:rsidRPr="00CE62E1" w:rsidR="00A62419">
        <w:rPr>
          <w:i/>
        </w:rPr>
        <w:t>supra</w:t>
      </w:r>
      <w:r w:rsidRPr="00CE62E1" w:rsidR="00A62419">
        <w:t>, 196 Cal.App.3d at pp. 1092</w:t>
      </w:r>
      <w:r w:rsidRPr="00CE62E1" w:rsidR="00E94DDB">
        <w:t>–</w:t>
      </w:r>
      <w:r w:rsidRPr="00CE62E1" w:rsidR="00A62419">
        <w:t xml:space="preserve">1093.)  </w:t>
      </w:r>
      <w:r w:rsidRPr="00CE62E1" w:rsidR="00A022DC">
        <w:t xml:space="preserve">These cases did not have the benefit of the Legislature’s 1989 amendment of section 5350, which codified the holdings in </w:t>
      </w:r>
      <w:r w:rsidRPr="00CE62E1" w:rsidR="00A022DC">
        <w:rPr>
          <w:i/>
          <w:iCs/>
        </w:rPr>
        <w:t>Davis</w:t>
      </w:r>
      <w:r w:rsidRPr="00CE62E1" w:rsidR="00A022DC">
        <w:t xml:space="preserve"> and </w:t>
      </w:r>
      <w:r w:rsidRPr="00CE62E1" w:rsidR="00A022DC">
        <w:rPr>
          <w:i/>
          <w:iCs/>
        </w:rPr>
        <w:t>Early</w:t>
      </w:r>
      <w:r w:rsidRPr="00CE62E1" w:rsidR="00A022DC">
        <w:t xml:space="preserve"> on third</w:t>
      </w:r>
      <w:r w:rsidR="00F10309">
        <w:t xml:space="preserve"> </w:t>
      </w:r>
      <w:r w:rsidRPr="00CE62E1" w:rsidR="00A022DC">
        <w:t xml:space="preserve">party assistance but did not embrace the additional expansion </w:t>
      </w:r>
      <w:r w:rsidRPr="00CE62E1" w:rsidR="00A022DC">
        <w:rPr>
          <w:i/>
          <w:iCs/>
        </w:rPr>
        <w:t>Davis</w:t>
      </w:r>
      <w:r w:rsidRPr="00CE62E1" w:rsidR="00A022DC">
        <w:t xml:space="preserve"> suggested for amenability to voluntary treatment.  They also upset the carefully calibrated statutory approach through which the Legislature has endeavored to protect both the mentally ill and the public, and to ensure that those in need can receive prompt, appropriate</w:t>
      </w:r>
      <w:r w:rsidRPr="00CE62E1" w:rsidR="002021FE">
        <w:t xml:space="preserve"> </w:t>
      </w:r>
      <w:r w:rsidRPr="00CE62E1" w:rsidR="00A022DC">
        <w:t>treatment</w:t>
      </w:r>
      <w:r w:rsidRPr="00CE62E1" w:rsidR="002021FE">
        <w:t xml:space="preserve"> tailored to their individual condition and circumstances.  </w:t>
      </w:r>
      <w:r w:rsidRPr="00CE62E1" w:rsidR="003401E6">
        <w:rPr>
          <w:i/>
          <w:iCs/>
        </w:rPr>
        <w:t xml:space="preserve">Conservatorship of </w:t>
      </w:r>
      <w:r w:rsidRPr="00CE62E1" w:rsidR="002021FE">
        <w:rPr>
          <w:i/>
          <w:iCs/>
        </w:rPr>
        <w:t>Davis</w:t>
      </w:r>
      <w:r w:rsidRPr="00CE62E1" w:rsidR="002021FE">
        <w:t xml:space="preserve">, </w:t>
      </w:r>
      <w:r w:rsidRPr="00CE62E1" w:rsidR="002021FE">
        <w:rPr>
          <w:i/>
        </w:rPr>
        <w:t>supra</w:t>
      </w:r>
      <w:r w:rsidRPr="00CE62E1" w:rsidR="002021FE">
        <w:t xml:space="preserve">, 124 Cal.App.3d 313, </w:t>
      </w:r>
      <w:r w:rsidRPr="00CE62E1" w:rsidR="003401E6">
        <w:rPr>
          <w:i/>
          <w:iCs/>
        </w:rPr>
        <w:t xml:space="preserve">Conservatorship of </w:t>
      </w:r>
      <w:r w:rsidRPr="00CE62E1" w:rsidR="002021FE">
        <w:rPr>
          <w:i/>
          <w:iCs/>
        </w:rPr>
        <w:t>Walker</w:t>
      </w:r>
      <w:r w:rsidRPr="00CE62E1" w:rsidR="002021FE">
        <w:t xml:space="preserve">, </w:t>
      </w:r>
      <w:r w:rsidRPr="00CE62E1" w:rsidR="002021FE">
        <w:rPr>
          <w:i/>
        </w:rPr>
        <w:t>supra</w:t>
      </w:r>
      <w:r w:rsidRPr="00CE62E1" w:rsidR="002021FE">
        <w:t xml:space="preserve">, 196 Cal.App.3d 1082, and </w:t>
      </w:r>
      <w:r w:rsidRPr="00CE62E1" w:rsidR="002021FE">
        <w:rPr>
          <w:i/>
          <w:iCs/>
        </w:rPr>
        <w:t>Conservatorship of Baber</w:t>
      </w:r>
      <w:r w:rsidRPr="00CE62E1" w:rsidR="002021FE">
        <w:t xml:space="preserve">, </w:t>
      </w:r>
      <w:r w:rsidRPr="00CE62E1" w:rsidR="002021FE">
        <w:rPr>
          <w:i/>
        </w:rPr>
        <w:t>supra</w:t>
      </w:r>
      <w:r w:rsidRPr="00CE62E1" w:rsidR="002021FE">
        <w:t>, 153 Cal.App.3d 542 are therefore disapproved to the extent they are inconsistent with the decision here.</w:t>
      </w:r>
    </w:p>
    <w:p w:rsidR="001F296C" w:rsidRPr="00CE62E1" w:rsidP="00CE62E1" w14:paraId="3F1CFFDA" w14:textId="7BA26044">
      <w:pPr>
        <w:keepNext/>
        <w:rPr>
          <w:bCs/>
          <w:i/>
          <w:iCs/>
        </w:rPr>
      </w:pPr>
      <w:r>
        <w:rPr>
          <w:bCs/>
        </w:rPr>
        <w:t>D</w:t>
      </w:r>
      <w:r w:rsidRPr="00CE62E1">
        <w:rPr>
          <w:bCs/>
        </w:rPr>
        <w:t>.</w:t>
      </w:r>
      <w:r w:rsidRPr="00CE62E1">
        <w:rPr>
          <w:bCs/>
        </w:rPr>
        <w:tab/>
      </w:r>
      <w:r w:rsidRPr="00CE62E1">
        <w:rPr>
          <w:bCs/>
          <w:i/>
          <w:iCs/>
        </w:rPr>
        <w:t>Due Process</w:t>
      </w:r>
    </w:p>
    <w:p w:rsidR="00770987" w:rsidRPr="00CE62E1" w:rsidP="00CE62E1" w14:paraId="3E459FCB" w14:textId="79711578">
      <w:r w:rsidRPr="00CE62E1">
        <w:tab/>
        <w:t xml:space="preserve">Finally, even assuming the LPS Act does not require it, K.P. contends state and federal due process principles prohibit the appointment of a conservator </w:t>
      </w:r>
      <w:r w:rsidRPr="00CE62E1" w:rsidR="000F0A4F">
        <w:t>unless the state can prove</w:t>
      </w:r>
      <w:r w:rsidRPr="00CE62E1">
        <w:t xml:space="preserve"> beyond a reasonable doubt that the conservatee is unwilling or unable to accept treatment voluntarily.</w:t>
      </w:r>
    </w:p>
    <w:p w:rsidR="00335C27" w:rsidRPr="00CE62E1" w:rsidP="00CE62E1" w14:paraId="03EF6489" w14:textId="3A96D933">
      <w:r w:rsidRPr="00CE62E1">
        <w:tab/>
      </w:r>
      <w:r w:rsidRPr="00CE62E1">
        <w:t>“</w:t>
      </w:r>
      <w:r w:rsidRPr="00CE62E1" w:rsidR="00FA25B2">
        <w:t>T</w:t>
      </w:r>
      <w:r w:rsidRPr="00CE62E1" w:rsidR="000F0A4F">
        <w:t xml:space="preserve">he </w:t>
      </w:r>
      <w:r w:rsidRPr="00CE62E1" w:rsidR="00FA25B2">
        <w:t xml:space="preserve">liberty </w:t>
      </w:r>
      <w:r w:rsidR="00F10309">
        <w:t>interests</w:t>
      </w:r>
      <w:r w:rsidRPr="00CE62E1" w:rsidR="00FA25B2">
        <w:t xml:space="preserve"> at stake in a conservatorship </w:t>
      </w:r>
      <w:r w:rsidRPr="00CE62E1">
        <w:t xml:space="preserve">proceeding </w:t>
      </w:r>
      <w:r w:rsidRPr="00CE62E1" w:rsidR="00FA25B2">
        <w:t>are</w:t>
      </w:r>
      <w:r w:rsidRPr="00CE62E1" w:rsidR="000F0A4F">
        <w:t xml:space="preserve"> significant</w:t>
      </w:r>
      <w:r w:rsidRPr="00CE62E1">
        <w:t>.</w:t>
      </w:r>
      <w:r w:rsidRPr="00CE62E1">
        <w:t>”</w:t>
      </w:r>
      <w:r w:rsidRPr="00CE62E1">
        <w:t xml:space="preserve"> </w:t>
      </w:r>
      <w:r w:rsidRPr="00CE62E1" w:rsidR="00FA25B2">
        <w:t xml:space="preserve"> (</w:t>
      </w:r>
      <w:r w:rsidRPr="00CE62E1" w:rsidR="00FA25B2">
        <w:rPr>
          <w:i/>
          <w:iCs/>
        </w:rPr>
        <w:t>Ben C.</w:t>
      </w:r>
      <w:r w:rsidRPr="00CE62E1" w:rsidR="00FA25B2">
        <w:t xml:space="preserve">, </w:t>
      </w:r>
      <w:r w:rsidRPr="00CE62E1" w:rsidR="00FA25B2">
        <w:rPr>
          <w:i/>
        </w:rPr>
        <w:t>supra</w:t>
      </w:r>
      <w:r w:rsidRPr="00CE62E1" w:rsidR="00FA25B2">
        <w:t>, 40 Cal.4th at p. 540</w:t>
      </w:r>
      <w:r w:rsidRPr="00CE62E1" w:rsidR="00281237">
        <w:t xml:space="preserve">; </w:t>
      </w:r>
      <w:r w:rsidRPr="00CE62E1">
        <w:t xml:space="preserve">see </w:t>
      </w:r>
      <w:r w:rsidRPr="00CE62E1" w:rsidR="00281237">
        <w:rPr>
          <w:i/>
          <w:iCs/>
        </w:rPr>
        <w:t>Roulet</w:t>
      </w:r>
      <w:r w:rsidRPr="00CE62E1" w:rsidR="00281237">
        <w:t xml:space="preserve">, </w:t>
      </w:r>
      <w:r w:rsidRPr="00CE62E1" w:rsidR="00281237">
        <w:rPr>
          <w:i/>
        </w:rPr>
        <w:t>supra</w:t>
      </w:r>
      <w:r w:rsidRPr="00CE62E1" w:rsidR="00281237">
        <w:t>, 23 Cal.3d at p. 228</w:t>
      </w:r>
      <w:r w:rsidRPr="00CE62E1">
        <w:t>.</w:t>
      </w:r>
      <w:r w:rsidRPr="00CE62E1" w:rsidR="00FA25B2">
        <w:t>)</w:t>
      </w:r>
      <w:r w:rsidRPr="00CE62E1" w:rsidR="000F0A4F">
        <w:t xml:space="preserve"> </w:t>
      </w:r>
      <w:r w:rsidRPr="00CE62E1">
        <w:t xml:space="preserve"> A conservatorship can result in</w:t>
      </w:r>
      <w:r w:rsidRPr="00CE62E1" w:rsidR="000615EA">
        <w:t xml:space="preserve"> </w:t>
      </w:r>
      <w:r w:rsidRPr="00CE62E1">
        <w:t>involuntary confinement</w:t>
      </w:r>
      <w:r w:rsidRPr="00CE62E1" w:rsidR="000615EA">
        <w:t>, which “ ‘ “entails a ‘massive curtailment of liberty’ in the constitutional sense.” ’ ”  (</w:t>
      </w:r>
      <w:r w:rsidRPr="00CE62E1" w:rsidR="000615EA">
        <w:rPr>
          <w:i/>
          <w:iCs/>
        </w:rPr>
        <w:t>Roulet</w:t>
      </w:r>
      <w:r w:rsidRPr="00CE62E1" w:rsidR="000615EA">
        <w:t>, at p. 224.)</w:t>
      </w:r>
      <w:r w:rsidRPr="00CE62E1">
        <w:t xml:space="preserve"> </w:t>
      </w:r>
      <w:r w:rsidRPr="00CE62E1" w:rsidR="00FA25B2">
        <w:t xml:space="preserve"> </w:t>
      </w:r>
      <w:r w:rsidRPr="00CE62E1">
        <w:t xml:space="preserve">A person found gravely disabled also faces stigmatization </w:t>
      </w:r>
      <w:r w:rsidRPr="00CE62E1" w:rsidR="000615EA">
        <w:t xml:space="preserve">and </w:t>
      </w:r>
      <w:r w:rsidRPr="00CE62E1">
        <w:t>the loss of personal rights like the freedom to drive, vote, enter contracts, and decide about medical treatment.  (See</w:t>
      </w:r>
      <w:r w:rsidRPr="00CE62E1" w:rsidR="000615EA">
        <w:t xml:space="preserve"> </w:t>
      </w:r>
      <w:r w:rsidRPr="00CE62E1" w:rsidR="000615EA">
        <w:rPr>
          <w:i/>
          <w:iCs/>
        </w:rPr>
        <w:t>Ben C.</w:t>
      </w:r>
      <w:r w:rsidRPr="00CE62E1" w:rsidR="000615EA">
        <w:t>, at p. 540;</w:t>
      </w:r>
      <w:r w:rsidRPr="00CE62E1" w:rsidR="000615EA">
        <w:rPr>
          <w:i/>
          <w:iCs/>
        </w:rPr>
        <w:t xml:space="preserve"> John L.</w:t>
      </w:r>
      <w:r w:rsidRPr="00CE62E1" w:rsidR="000615EA">
        <w:t xml:space="preserve">, </w:t>
      </w:r>
      <w:r w:rsidRPr="00CE62E1" w:rsidR="000615EA">
        <w:rPr>
          <w:i/>
        </w:rPr>
        <w:t>supra</w:t>
      </w:r>
      <w:r w:rsidRPr="00CE62E1" w:rsidR="000615EA">
        <w:t>, 48 Cal.4th at p. 150</w:t>
      </w:r>
      <w:r w:rsidRPr="00CE62E1">
        <w:t xml:space="preserve">; see also § 5357.)  </w:t>
      </w:r>
      <w:r w:rsidRPr="00CE62E1" w:rsidR="00185571">
        <w:t>T</w:t>
      </w:r>
      <w:r w:rsidRPr="00CE62E1">
        <w:t>his potential deprivation of liberty implicates due process concerns.</w:t>
      </w:r>
    </w:p>
    <w:p w:rsidR="007160C5" w:rsidRPr="00CE62E1" w:rsidP="00CE62E1" w14:paraId="56902317" w14:textId="0C258334">
      <w:r w:rsidRPr="00CE62E1">
        <w:tab/>
        <w:t xml:space="preserve">K.P. </w:t>
      </w:r>
      <w:r w:rsidRPr="00CE62E1" w:rsidR="00185571">
        <w:t>contends, “limiting the jury’s consideration to the sole issue of grave disability as defined by the statute would seriously infringe on the conservatee’s due process rights.”  His argument takes an unduly narrow view of what “grave disability” means in a conservatorship trial.  W</w:t>
      </w:r>
      <w:r w:rsidRPr="00CE62E1" w:rsidR="00FA25B2">
        <w:t>e agree that</w:t>
      </w:r>
      <w:r w:rsidRPr="00CE62E1" w:rsidR="000F0A4F">
        <w:t xml:space="preserve"> </w:t>
      </w:r>
      <w:r w:rsidRPr="00CE62E1" w:rsidR="00FA25B2">
        <w:t>that the fact</w:t>
      </w:r>
      <w:r w:rsidR="00F10309">
        <w:t xml:space="preserve"> </w:t>
      </w:r>
      <w:r w:rsidRPr="00CE62E1" w:rsidR="00FA25B2">
        <w:t xml:space="preserve">finder </w:t>
      </w:r>
      <w:r w:rsidRPr="00CE62E1" w:rsidR="00574299">
        <w:t xml:space="preserve">must </w:t>
      </w:r>
      <w:r w:rsidRPr="00CE62E1" w:rsidR="00FA25B2">
        <w:t xml:space="preserve">be allowed to consider all credible evidence bearing on </w:t>
      </w:r>
      <w:r w:rsidRPr="00CE62E1" w:rsidR="00185571">
        <w:t>the issue of grave disability</w:t>
      </w:r>
      <w:r w:rsidRPr="00CE62E1" w:rsidR="00FA25B2">
        <w:t xml:space="preserve">, including whether the person is capable of receiving voluntary treatment.  </w:t>
      </w:r>
      <w:r w:rsidRPr="00CE62E1" w:rsidR="00185571">
        <w:t xml:space="preserve">A conservatorship </w:t>
      </w:r>
      <w:r w:rsidR="00B13319">
        <w:t>is</w:t>
      </w:r>
      <w:r w:rsidRPr="00CE62E1" w:rsidR="00B13319">
        <w:t xml:space="preserve"> </w:t>
      </w:r>
      <w:r w:rsidRPr="00CE62E1" w:rsidR="00185571">
        <w:t xml:space="preserve">not be necessary if the mentally ill person is willing and able to accept </w:t>
      </w:r>
      <w:r w:rsidR="00B13319">
        <w:t>specified</w:t>
      </w:r>
      <w:r w:rsidR="008B2365">
        <w:t>, available</w:t>
      </w:r>
      <w:r w:rsidRPr="00CE62E1" w:rsidR="00B13319">
        <w:t xml:space="preserve"> </w:t>
      </w:r>
      <w:r w:rsidRPr="00CE62E1" w:rsidR="00185571">
        <w:t>treatment that will enable the</w:t>
      </w:r>
      <w:r w:rsidR="00F10309">
        <w:t xml:space="preserve"> person</w:t>
      </w:r>
      <w:r w:rsidR="00A779B5">
        <w:t xml:space="preserve"> </w:t>
      </w:r>
      <w:r w:rsidRPr="00CE62E1" w:rsidR="00185571">
        <w:t xml:space="preserve">to </w:t>
      </w:r>
      <w:r w:rsidR="00AE0E42">
        <w:t>survive safely without involuntary detention</w:t>
      </w:r>
      <w:r w:rsidRPr="00CE62E1" w:rsidR="00185571">
        <w:t>.  (See §</w:t>
      </w:r>
      <w:r w:rsidRPr="00CE62E1" w:rsidR="00B13319">
        <w:t>§</w:t>
      </w:r>
      <w:r w:rsidRPr="00CE62E1" w:rsidR="00185571">
        <w:t> 5008</w:t>
      </w:r>
      <w:r w:rsidR="00B13319">
        <w:t>, 5350</w:t>
      </w:r>
      <w:r w:rsidR="00D266D5">
        <w:t>, subd. </w:t>
      </w:r>
      <w:r w:rsidR="00B13319">
        <w:t>(e)</w:t>
      </w:r>
      <w:r w:rsidR="00547B86">
        <w:t>(1)</w:t>
      </w:r>
      <w:r w:rsidRPr="00CE62E1" w:rsidR="00185571">
        <w:t>.)  The fact</w:t>
      </w:r>
      <w:r w:rsidR="00F10309">
        <w:t xml:space="preserve"> </w:t>
      </w:r>
      <w:r w:rsidRPr="00CE62E1" w:rsidR="00185571">
        <w:t>finder should be able to evaluate competent evidence of the person’s amenability to voluntary treatment, and a jury should receive appropriate instructions on how the evidence should be considered.  But the question here is not just whether the fact</w:t>
      </w:r>
      <w:r w:rsidR="00F10309">
        <w:t xml:space="preserve"> </w:t>
      </w:r>
      <w:r w:rsidRPr="00CE62E1" w:rsidR="00185571">
        <w:t xml:space="preserve">finder may consider evidence; it is whether due process requires that the state prove a proposed conservatee’s resistance to voluntary treatment </w:t>
      </w:r>
      <w:r w:rsidR="00C8003E">
        <w:t>as a separate element</w:t>
      </w:r>
      <w:r w:rsidR="00D266D5">
        <w:t>.</w:t>
      </w:r>
      <w:r w:rsidRPr="00CE62E1" w:rsidR="00185571">
        <w:t xml:space="preserve">  W</w:t>
      </w:r>
      <w:r w:rsidRPr="00CE62E1" w:rsidR="00574299">
        <w:t>e are not persuaded that the federal or state Constitutions require a separate finding on the voluntary treatment issue</w:t>
      </w:r>
      <w:r w:rsidR="00454937">
        <w:t xml:space="preserve">. </w:t>
      </w:r>
    </w:p>
    <w:p w:rsidR="000460C0" w:rsidRPr="00CE62E1" w:rsidP="00CE62E1" w14:paraId="38035E78" w14:textId="714935F7">
      <w:r w:rsidRPr="00CE62E1">
        <w:tab/>
      </w:r>
      <w:r w:rsidRPr="00CE62E1" w:rsidR="00A0261F">
        <w:t>K.P. has not explained why</w:t>
      </w:r>
      <w:r w:rsidRPr="00CE62E1" w:rsidR="00CC26AD">
        <w:t xml:space="preserve"> a proposed conservatee’s constitutional rights are not sufficiently protected by the fact</w:t>
      </w:r>
      <w:r w:rsidR="00F10309">
        <w:t xml:space="preserve"> </w:t>
      </w:r>
      <w:r w:rsidRPr="00CE62E1" w:rsidR="00CC26AD">
        <w:t>finder’s</w:t>
      </w:r>
      <w:r w:rsidRPr="00CE62E1" w:rsidR="00B527A9">
        <w:t xml:space="preserve"> consider</w:t>
      </w:r>
      <w:r w:rsidRPr="00CE62E1" w:rsidR="00CC26AD">
        <w:t>ation of</w:t>
      </w:r>
      <w:r w:rsidRPr="00CE62E1" w:rsidR="00B527A9">
        <w:t xml:space="preserve"> amenability to voluntary treatment in connection with grave disability, </w:t>
      </w:r>
      <w:r w:rsidRPr="00CE62E1" w:rsidR="00CC26AD">
        <w:t>or</w:t>
      </w:r>
      <w:r w:rsidRPr="00CE62E1" w:rsidR="00B527A9">
        <w:t xml:space="preserve"> why the state must instead be tasked with proving this issue separately.</w:t>
      </w:r>
      <w:r w:rsidRPr="00CE62E1" w:rsidR="00A0261F">
        <w:t xml:space="preserve">  We</w:t>
      </w:r>
      <w:r w:rsidRPr="00CE62E1" w:rsidR="00D31338">
        <w:t xml:space="preserve"> have previously</w:t>
      </w:r>
      <w:r w:rsidRPr="00CE62E1" w:rsidR="00A0261F">
        <w:t xml:space="preserve"> declined to </w:t>
      </w:r>
      <w:r w:rsidRPr="00CE62E1" w:rsidR="00D31338">
        <w:t>create such a new requirement</w:t>
      </w:r>
      <w:r w:rsidRPr="00CE62E1">
        <w:t>.</w:t>
      </w:r>
      <w:r w:rsidRPr="00CE62E1" w:rsidR="00A0261F">
        <w:t xml:space="preserve">  </w:t>
      </w:r>
      <w:r w:rsidRPr="00CE62E1" w:rsidR="00C33154">
        <w:rPr>
          <w:i/>
          <w:iCs/>
        </w:rPr>
        <w:t>Early</w:t>
      </w:r>
      <w:r w:rsidRPr="00CE62E1" w:rsidR="00C33154">
        <w:t xml:space="preserve"> </w:t>
      </w:r>
      <w:r w:rsidRPr="00CE62E1" w:rsidR="00731DA3">
        <w:t>held</w:t>
      </w:r>
      <w:r w:rsidRPr="00CE62E1" w:rsidR="00861733">
        <w:t xml:space="preserve"> that a person </w:t>
      </w:r>
      <w:r w:rsidR="00A779B5">
        <w:t>who</w:t>
      </w:r>
      <w:r w:rsidRPr="00CE62E1" w:rsidR="00861733">
        <w:t xml:space="preserve"> can provide for basic </w:t>
      </w:r>
      <w:r w:rsidR="00077937">
        <w:t xml:space="preserve">survival </w:t>
      </w:r>
      <w:r w:rsidRPr="00CE62E1" w:rsidR="00861733">
        <w:t>needs with assistance from</w:t>
      </w:r>
      <w:r w:rsidRPr="00CE62E1" w:rsidR="00731DA3">
        <w:t xml:space="preserve"> others</w:t>
      </w:r>
      <w:r w:rsidRPr="00A779B5" w:rsidR="00A779B5">
        <w:t xml:space="preserve"> </w:t>
      </w:r>
      <w:r w:rsidRPr="00CE62E1" w:rsidR="00A779B5">
        <w:t>is not gravely disabled</w:t>
      </w:r>
      <w:r w:rsidR="00A779B5">
        <w:t>.  This holding w</w:t>
      </w:r>
      <w:r w:rsidRPr="00CE62E1" w:rsidR="00731DA3">
        <w:t>as constitutionally required under United States Supreme Court precedent</w:t>
      </w:r>
      <w:r w:rsidRPr="00CE62E1" w:rsidR="00861733">
        <w:t>.  (</w:t>
      </w:r>
      <w:r w:rsidR="00077937">
        <w:t xml:space="preserve">See </w:t>
      </w:r>
      <w:r w:rsidRPr="00CE62E1" w:rsidR="00731DA3">
        <w:rPr>
          <w:i/>
          <w:iCs/>
        </w:rPr>
        <w:t>Early</w:t>
      </w:r>
      <w:r w:rsidRPr="00CE62E1" w:rsidR="00731DA3">
        <w:t xml:space="preserve">, </w:t>
      </w:r>
      <w:r w:rsidRPr="00CE62E1" w:rsidR="00731DA3">
        <w:rPr>
          <w:i/>
        </w:rPr>
        <w:t>supra</w:t>
      </w:r>
      <w:r w:rsidRPr="00CE62E1" w:rsidR="00731DA3">
        <w:t>, 35 Cal.3d</w:t>
      </w:r>
      <w:r w:rsidRPr="00CE62E1" w:rsidR="00861733">
        <w:t xml:space="preserve"> at pp. 251</w:t>
      </w:r>
      <w:r w:rsidRPr="00CE62E1" w:rsidR="00E94DDB">
        <w:t>–</w:t>
      </w:r>
      <w:r w:rsidRPr="00CE62E1" w:rsidR="00861733">
        <w:t>252</w:t>
      </w:r>
      <w:r w:rsidRPr="00CE62E1" w:rsidR="004662BA">
        <w:t xml:space="preserve">, citing </w:t>
      </w:r>
      <w:r w:rsidRPr="00CE62E1" w:rsidR="004662BA">
        <w:rPr>
          <w:i/>
          <w:iCs/>
        </w:rPr>
        <w:t>O’Connor v. Donaldson</w:t>
      </w:r>
      <w:r w:rsidRPr="00CE62E1" w:rsidR="004662BA">
        <w:t xml:space="preserve">, </w:t>
      </w:r>
      <w:r w:rsidRPr="00CE62E1" w:rsidR="004662BA">
        <w:rPr>
          <w:i/>
        </w:rPr>
        <w:t>supra</w:t>
      </w:r>
      <w:r w:rsidRPr="00CE62E1" w:rsidR="004662BA">
        <w:t>, 422 U.S. at p. 576</w:t>
      </w:r>
      <w:r w:rsidRPr="00CE62E1" w:rsidR="00861733">
        <w:t xml:space="preserve">.)  </w:t>
      </w:r>
      <w:r w:rsidR="00077937">
        <w:t xml:space="preserve">Yet, though </w:t>
      </w:r>
      <w:r w:rsidRPr="00CE62E1" w:rsidR="00CC26AD">
        <w:rPr>
          <w:i/>
          <w:iCs/>
        </w:rPr>
        <w:t>Early</w:t>
      </w:r>
      <w:r w:rsidRPr="00CE62E1" w:rsidR="00861733">
        <w:t xml:space="preserve"> concluded </w:t>
      </w:r>
      <w:r w:rsidRPr="00CE62E1">
        <w:t xml:space="preserve">evidence of third party assistance </w:t>
      </w:r>
      <w:r w:rsidRPr="00CE62E1" w:rsidR="00CF5F07">
        <w:t>could</w:t>
      </w:r>
      <w:r w:rsidRPr="00CE62E1">
        <w:t xml:space="preserve"> be considered by the fact</w:t>
      </w:r>
      <w:r w:rsidR="00F10309">
        <w:t xml:space="preserve"> </w:t>
      </w:r>
      <w:r w:rsidRPr="00CE62E1">
        <w:t>finder when offered</w:t>
      </w:r>
      <w:r w:rsidR="00077937">
        <w:t xml:space="preserve">, it </w:t>
      </w:r>
      <w:r w:rsidRPr="00CE62E1" w:rsidR="00CF5F07">
        <w:t>also observed</w:t>
      </w:r>
      <w:r w:rsidR="00077937">
        <w:t xml:space="preserve"> that</w:t>
      </w:r>
      <w:r w:rsidRPr="00CE62E1" w:rsidR="00CF5F07">
        <w:t xml:space="preserve"> “</w:t>
      </w:r>
      <w:r w:rsidRPr="00CE62E1">
        <w:t xml:space="preserve">the burden of proving grave disability </w:t>
      </w:r>
      <w:r w:rsidRPr="00CE62E1" w:rsidR="00CF5F07">
        <w:t>[as statutorily]</w:t>
      </w:r>
      <w:r w:rsidRPr="00CE62E1">
        <w:t xml:space="preserve"> defined could well become insuperable if those alleging such disability had to negate all reasonable doubts as to the possible existence of third party aid</w:t>
      </w:r>
      <w:r w:rsidR="00077937">
        <w:t>.</w:t>
      </w:r>
      <w:r w:rsidRPr="00CE62E1" w:rsidR="00CF5F07">
        <w:t>”  (</w:t>
      </w:r>
      <w:r w:rsidRPr="00CE62E1" w:rsidR="003401E6">
        <w:rPr>
          <w:i/>
          <w:iCs/>
        </w:rPr>
        <w:t>Early</w:t>
      </w:r>
      <w:r w:rsidRPr="00CE62E1" w:rsidR="003401E6">
        <w:t>,</w:t>
      </w:r>
      <w:r w:rsidRPr="00CE62E1" w:rsidR="00CF5F07">
        <w:t xml:space="preserve"> at p. 254.) </w:t>
      </w:r>
    </w:p>
    <w:p w:rsidR="001F296C" w:rsidRPr="00CE62E1" w:rsidP="00CE62E1" w14:paraId="744BF68F" w14:textId="254FB9F9">
      <w:r w:rsidRPr="00CE62E1">
        <w:tab/>
        <w:t xml:space="preserve">Similar to </w:t>
      </w:r>
      <w:r w:rsidRPr="00CE62E1" w:rsidR="000513D0">
        <w:t>third</w:t>
      </w:r>
      <w:r w:rsidR="00F10309">
        <w:t xml:space="preserve"> </w:t>
      </w:r>
      <w:r w:rsidRPr="00CE62E1" w:rsidR="000513D0">
        <w:t>party</w:t>
      </w:r>
      <w:r w:rsidRPr="00CE62E1">
        <w:t xml:space="preserve"> assistance, the fact</w:t>
      </w:r>
      <w:r w:rsidR="00F10309">
        <w:t xml:space="preserve"> </w:t>
      </w:r>
      <w:r w:rsidRPr="00CE62E1">
        <w:t xml:space="preserve">finder may conclude </w:t>
      </w:r>
      <w:r w:rsidRPr="00CE62E1" w:rsidR="003B36DF">
        <w:t xml:space="preserve">there is no grave disability if </w:t>
      </w:r>
      <w:r w:rsidRPr="00CE62E1">
        <w:t xml:space="preserve">a person is </w:t>
      </w:r>
      <w:r w:rsidRPr="00CE62E1" w:rsidR="00CF5F07">
        <w:t xml:space="preserve">both </w:t>
      </w:r>
      <w:r w:rsidRPr="00CE62E1">
        <w:t xml:space="preserve">willing and able to accept treatment </w:t>
      </w:r>
      <w:r w:rsidRPr="00CE62E1" w:rsidR="00CF5F07">
        <w:t xml:space="preserve">that will ensure </w:t>
      </w:r>
      <w:r w:rsidRPr="00CE62E1">
        <w:t xml:space="preserve">basic </w:t>
      </w:r>
      <w:r w:rsidRPr="00CE62E1" w:rsidR="003B36DF">
        <w:t xml:space="preserve">survival </w:t>
      </w:r>
      <w:r w:rsidRPr="00CE62E1">
        <w:t>needs</w:t>
      </w:r>
      <w:r w:rsidRPr="00CE62E1" w:rsidR="00CF5F07">
        <w:t xml:space="preserve"> are met</w:t>
      </w:r>
      <w:r w:rsidRPr="00CE62E1">
        <w:t>.  Amenability to voluntary treatment is thus relevant to the ultimate question of grave disability.</w:t>
      </w:r>
      <w:r w:rsidRPr="00CE62E1" w:rsidR="000513D0">
        <w:t xml:space="preserve">  As </w:t>
      </w:r>
      <w:r w:rsidRPr="00CE62E1" w:rsidR="003B36DF">
        <w:t xml:space="preserve">in </w:t>
      </w:r>
      <w:r w:rsidRPr="00CE62E1" w:rsidR="000513D0">
        <w:rPr>
          <w:i/>
          <w:iCs/>
        </w:rPr>
        <w:t>Early</w:t>
      </w:r>
      <w:r w:rsidRPr="00CE62E1" w:rsidR="000513D0">
        <w:t xml:space="preserve">, we conclude evidence on the voluntary treatment issue </w:t>
      </w:r>
      <w:r w:rsidRPr="00CE62E1" w:rsidR="00CC6C91">
        <w:t>is admissible for the fact</w:t>
      </w:r>
      <w:r w:rsidR="00F10309">
        <w:t xml:space="preserve"> </w:t>
      </w:r>
      <w:r w:rsidRPr="00CE62E1" w:rsidR="00CC6C91">
        <w:t xml:space="preserve">finder’s consideration.  </w:t>
      </w:r>
      <w:r w:rsidRPr="00CE62E1">
        <w:t xml:space="preserve">But the Legislature has </w:t>
      </w:r>
      <w:r w:rsidRPr="00CE62E1" w:rsidR="000513D0">
        <w:t xml:space="preserve">not made resistance to voluntary treatment a </w:t>
      </w:r>
      <w:r w:rsidRPr="00CE62E1" w:rsidR="00CC6C91">
        <w:t>separate</w:t>
      </w:r>
      <w:r w:rsidRPr="00CE62E1" w:rsidR="000513D0">
        <w:t xml:space="preserve"> element</w:t>
      </w:r>
      <w:r w:rsidR="00BC2E9A">
        <w:t xml:space="preserve"> to be proven by the state</w:t>
      </w:r>
      <w:r w:rsidRPr="00CE62E1" w:rsidR="000513D0">
        <w:t xml:space="preserve">, </w:t>
      </w:r>
      <w:r w:rsidRPr="00CE62E1" w:rsidR="00CC6C91">
        <w:t>nor does any constitutional</w:t>
      </w:r>
      <w:r w:rsidRPr="00CE62E1" w:rsidR="000513D0">
        <w:t xml:space="preserve"> precedent </w:t>
      </w:r>
      <w:r w:rsidRPr="00CE62E1" w:rsidR="00CC6C91">
        <w:t>require that it do so</w:t>
      </w:r>
      <w:r w:rsidRPr="00CE62E1" w:rsidR="000513D0">
        <w:t xml:space="preserve">.  It has long been held that the gravely disabled standard is constitutionally sufficient to justify the </w:t>
      </w:r>
      <w:r w:rsidRPr="00CE62E1" w:rsidR="00CC6C91">
        <w:t>imposition of</w:t>
      </w:r>
      <w:r w:rsidRPr="00CE62E1" w:rsidR="000513D0">
        <w:t xml:space="preserve"> a conservatorship.  (</w:t>
      </w:r>
      <w:r w:rsidRPr="00CE62E1" w:rsidR="000513D0">
        <w:rPr>
          <w:i/>
          <w:iCs/>
        </w:rPr>
        <w:t>Conservatorship of Chambers</w:t>
      </w:r>
      <w:r w:rsidRPr="00CE62E1" w:rsidR="000513D0">
        <w:t xml:space="preserve"> (1977) 71 Cal.App.3d 277, 285.)</w:t>
      </w:r>
      <w:r w:rsidRPr="00CE62E1" w:rsidR="0061022A">
        <w:t xml:space="preserve"> </w:t>
      </w:r>
      <w:r w:rsidRPr="00CE62E1" w:rsidR="00987B96">
        <w:t xml:space="preserve"> K.P. has not demonstrated that more is required.</w:t>
      </w:r>
    </w:p>
    <w:p w:rsidR="00E03947" w:rsidRPr="00CE62E1" w:rsidP="00CE62E1" w14:paraId="213ECB68" w14:textId="742E07A6">
      <w:pPr>
        <w:keepNext/>
        <w:rPr>
          <w:bCs/>
          <w:i/>
          <w:iCs/>
        </w:rPr>
      </w:pPr>
      <w:r>
        <w:rPr>
          <w:bCs/>
        </w:rPr>
        <w:t>E</w:t>
      </w:r>
      <w:r w:rsidRPr="00CE62E1">
        <w:rPr>
          <w:bCs/>
        </w:rPr>
        <w:t>.</w:t>
      </w:r>
      <w:r w:rsidRPr="00CE62E1">
        <w:rPr>
          <w:bCs/>
        </w:rPr>
        <w:tab/>
      </w:r>
      <w:r w:rsidRPr="00CE62E1">
        <w:rPr>
          <w:bCs/>
          <w:i/>
          <w:iCs/>
        </w:rPr>
        <w:t>Application</w:t>
      </w:r>
    </w:p>
    <w:p w:rsidR="00B370F8" w:rsidRPr="00CE62E1" w:rsidP="00CE62E1" w14:paraId="010E0736" w14:textId="18E9A648">
      <w:r w:rsidRPr="00CE62E1">
        <w:tab/>
        <w:t>At the trial below, both the Public Guardian and K.P. presented evidence about K.P.’s willingness and ability to accept voluntary treatment.  A</w:t>
      </w:r>
      <w:r w:rsidRPr="00CE62E1" w:rsidR="00873B04">
        <w:t xml:space="preserve"> psychologist </w:t>
      </w:r>
      <w:r w:rsidRPr="00CE62E1">
        <w:t xml:space="preserve">explained that K.P.’s </w:t>
      </w:r>
      <w:r w:rsidRPr="00CE62E1" w:rsidR="00873B04">
        <w:t xml:space="preserve">lack of insight </w:t>
      </w:r>
      <w:r w:rsidRPr="00CE62E1">
        <w:t>into his schizophrenia would hinder his</w:t>
      </w:r>
      <w:r w:rsidRPr="00CE62E1" w:rsidR="00873B04">
        <w:t xml:space="preserve"> ability to continue </w:t>
      </w:r>
      <w:r w:rsidRPr="00CE62E1">
        <w:t>with</w:t>
      </w:r>
      <w:r w:rsidRPr="00CE62E1" w:rsidR="00873B04">
        <w:t xml:space="preserve"> medications and therapy </w:t>
      </w:r>
      <w:r w:rsidRPr="00CE62E1">
        <w:t>on a voluntary basis</w:t>
      </w:r>
      <w:r w:rsidRPr="00CE62E1" w:rsidR="00873B04">
        <w:t xml:space="preserve">.  The psychologist believed K.P. needed </w:t>
      </w:r>
      <w:r w:rsidRPr="00CE62E1">
        <w:t>a conservator’s supervision to ensure he would take his medications consistently and correctly</w:t>
      </w:r>
      <w:r w:rsidRPr="00CE62E1" w:rsidR="00873B04">
        <w:t xml:space="preserve">.  K.P. </w:t>
      </w:r>
      <w:r w:rsidRPr="00CE62E1">
        <w:t>confirmed th</w:t>
      </w:r>
      <w:r w:rsidRPr="00CE62E1" w:rsidR="00801F47">
        <w:t xml:space="preserve">is </w:t>
      </w:r>
      <w:r w:rsidRPr="00CE62E1">
        <w:t>assessment when he</w:t>
      </w:r>
      <w:r w:rsidRPr="00CE62E1" w:rsidR="00873B04">
        <w:t xml:space="preserve"> testified.  He </w:t>
      </w:r>
      <w:r w:rsidRPr="00CE62E1">
        <w:t>denied having a</w:t>
      </w:r>
      <w:r w:rsidRPr="00CE62E1" w:rsidR="00873B04">
        <w:t xml:space="preserve"> mental illness</w:t>
      </w:r>
      <w:r w:rsidRPr="00CE62E1">
        <w:t xml:space="preserve"> and admitted he would not continue taking his medications if released from conservatorship</w:t>
      </w:r>
      <w:r w:rsidRPr="00CE62E1" w:rsidR="00873B04">
        <w:t xml:space="preserve">. </w:t>
      </w:r>
    </w:p>
    <w:p w:rsidR="00277140" w:rsidP="00CE62E1" w14:paraId="19D72966" w14:textId="7F38EA0D">
      <w:r w:rsidRPr="00CE62E1">
        <w:tab/>
        <w:t xml:space="preserve">The court </w:t>
      </w:r>
      <w:r w:rsidRPr="00CE62E1" w:rsidR="00801F47">
        <w:t>also gave appropriate instructions on how this evidence could be considered</w:t>
      </w:r>
      <w:r w:rsidRPr="00CE62E1">
        <w:t xml:space="preserve">.  </w:t>
      </w:r>
      <w:r w:rsidRPr="00CE62E1" w:rsidR="00801F47">
        <w:t xml:space="preserve">After instructing </w:t>
      </w:r>
      <w:r w:rsidRPr="00CE62E1" w:rsidR="00C106F2">
        <w:t>on</w:t>
      </w:r>
      <w:r w:rsidRPr="00CE62E1">
        <w:t xml:space="preserve"> the Public Guardian</w:t>
      </w:r>
      <w:r w:rsidRPr="00CE62E1" w:rsidR="00C106F2">
        <w:t>’s obligation to</w:t>
      </w:r>
      <w:r w:rsidRPr="00CE62E1">
        <w:t xml:space="preserve"> prove </w:t>
      </w:r>
      <w:r w:rsidRPr="00CE62E1" w:rsidR="00C106F2">
        <w:t>t</w:t>
      </w:r>
      <w:r w:rsidRPr="00CE62E1">
        <w:t>hat K.P. ha</w:t>
      </w:r>
      <w:r w:rsidRPr="00CE62E1" w:rsidR="00C106F2">
        <w:t>d</w:t>
      </w:r>
      <w:r w:rsidRPr="00CE62E1">
        <w:t xml:space="preserve"> a mental disorder and </w:t>
      </w:r>
      <w:r w:rsidRPr="00CE62E1" w:rsidR="00C106F2">
        <w:t>wa</w:t>
      </w:r>
      <w:r w:rsidRPr="00CE62E1">
        <w:t xml:space="preserve">s gravely disabled as a result </w:t>
      </w:r>
      <w:r w:rsidRPr="00CE62E1" w:rsidR="00C106F2">
        <w:t xml:space="preserve">(CACI No. 4000), the court gave a modified version of </w:t>
      </w:r>
      <w:r w:rsidRPr="00CE62E1">
        <w:t>CACI No. 4002</w:t>
      </w:r>
      <w:r w:rsidRPr="00CE62E1" w:rsidR="00C106F2">
        <w:t xml:space="preserve"> that specifically referenced </w:t>
      </w:r>
      <w:r w:rsidRPr="00CE62E1" w:rsidR="00987B96">
        <w:t xml:space="preserve">K.P.’s </w:t>
      </w:r>
      <w:r w:rsidRPr="00CE62E1" w:rsidR="00CC6C91">
        <w:t xml:space="preserve">willingness and ability to accept </w:t>
      </w:r>
      <w:r w:rsidRPr="00CE62E1" w:rsidR="00C106F2">
        <w:t xml:space="preserve">voluntary treatment. </w:t>
      </w:r>
      <w:r w:rsidRPr="00CE62E1">
        <w:t xml:space="preserve"> </w:t>
      </w:r>
      <w:r w:rsidRPr="00CE62E1" w:rsidR="000E1572">
        <w:t>Because evidence on amenability to voluntary treatment was properly admitted, and the jury was properly instructed on its relevance, there was no error.  The jury’s finding of grave disability was sufficient to appoint a conservato</w:t>
      </w:r>
      <w:r w:rsidRPr="00CE62E1" w:rsidR="00CC6C91">
        <w:t>r</w:t>
      </w:r>
      <w:r w:rsidRPr="00CE62E1" w:rsidR="000E1572">
        <w:t>.</w:t>
      </w:r>
    </w:p>
    <w:p w:rsidR="00277140" w14:paraId="4577F753" w14:textId="0A7D26F6">
      <w:pPr>
        <w:spacing w:after="0" w:line="240" w:lineRule="auto"/>
        <w:jc w:val="left"/>
      </w:pPr>
    </w:p>
    <w:p w:rsidR="00CF0FA4" w:rsidRPr="00CE62E1" w:rsidP="00277140" w14:paraId="7155F839" w14:textId="77777777">
      <w:pPr>
        <w:keepNext/>
        <w:tabs>
          <w:tab w:val="left" w:pos="1440"/>
        </w:tabs>
        <w:jc w:val="center"/>
        <w:outlineLvl w:val="0"/>
        <w:rPr>
          <w:bCs/>
          <w:caps/>
        </w:rPr>
      </w:pPr>
      <w:r w:rsidRPr="00CE62E1">
        <w:rPr>
          <w:bCs/>
          <w:caps/>
        </w:rPr>
        <w:t xml:space="preserve">III.  </w:t>
      </w:r>
      <w:r w:rsidRPr="00CE62E1">
        <w:rPr>
          <w:bCs/>
          <w:caps/>
        </w:rPr>
        <w:t>DISPOSITION</w:t>
      </w:r>
    </w:p>
    <w:p w:rsidR="00D6323A" w:rsidRPr="00CE62E1" w:rsidP="00CE62E1" w14:paraId="0A209D8E" w14:textId="31A9CB3E">
      <w:pPr>
        <w:outlineLvl w:val="0"/>
      </w:pPr>
      <w:r w:rsidRPr="00CE62E1">
        <w:tab/>
      </w:r>
      <w:r w:rsidR="00277140">
        <w:t>T</w:t>
      </w:r>
      <w:r w:rsidRPr="00CE62E1" w:rsidR="00D910C6">
        <w:t xml:space="preserve">he judgment </w:t>
      </w:r>
      <w:r w:rsidR="00277140">
        <w:t>is</w:t>
      </w:r>
      <w:r w:rsidRPr="00CE62E1" w:rsidR="00D910C6">
        <w:t xml:space="preserve"> affirmed.</w:t>
      </w:r>
    </w:p>
    <w:p w:rsidR="000E2CB8" w:rsidRPr="00CE62E1" w:rsidP="00CE62E1" w14:paraId="20490F9A" w14:textId="77777777"/>
    <w:p w:rsidR="004D2FE9" w:rsidRPr="00CE62E1" w:rsidP="00CE62E1" w14:paraId="03704ADD" w14:textId="77777777">
      <w:pPr>
        <w:rPr>
          <w:b/>
          <w:bCs/>
        </w:rPr>
      </w:pPr>
      <w:r w:rsidRPr="00CE62E1">
        <w:rPr>
          <w:b/>
          <w:bCs/>
        </w:rPr>
        <w:tab/>
      </w:r>
      <w:r w:rsidRPr="00CE62E1">
        <w:rPr>
          <w:b/>
          <w:bCs/>
        </w:rPr>
        <w:tab/>
      </w:r>
      <w:r w:rsidRPr="00CE62E1">
        <w:rPr>
          <w:b/>
          <w:bCs/>
        </w:rPr>
        <w:tab/>
      </w:r>
      <w:r w:rsidRPr="00CE62E1">
        <w:rPr>
          <w:b/>
          <w:bCs/>
        </w:rPr>
        <w:tab/>
      </w:r>
      <w:r w:rsidRPr="00CE62E1">
        <w:rPr>
          <w:b/>
          <w:bCs/>
        </w:rPr>
        <w:tab/>
      </w:r>
      <w:r w:rsidRPr="00CE62E1">
        <w:rPr>
          <w:b/>
          <w:bCs/>
        </w:rPr>
        <w:tab/>
      </w:r>
      <w:r w:rsidRPr="00CE62E1">
        <w:rPr>
          <w:b/>
          <w:bCs/>
        </w:rPr>
        <w:tab/>
      </w:r>
      <w:r w:rsidRPr="00CE62E1">
        <w:rPr>
          <w:b/>
          <w:bCs/>
        </w:rPr>
        <w:tab/>
        <w:t>CORRIGAN, J.</w:t>
      </w:r>
    </w:p>
    <w:p w:rsidR="004D2FE9" w:rsidRPr="00CE62E1" w:rsidP="00CE62E1" w14:paraId="05F4A621" w14:textId="77777777"/>
    <w:p w:rsidR="00CF518D" w:rsidRPr="00CE62E1" w:rsidP="00CE62E1" w14:paraId="2A990C0A" w14:textId="4C6FA177">
      <w:pPr>
        <w:rPr>
          <w:b/>
          <w:bCs/>
        </w:rPr>
      </w:pPr>
      <w:r w:rsidRPr="00CE62E1">
        <w:rPr>
          <w:b/>
          <w:bCs/>
        </w:rPr>
        <w:t>We Concur:</w:t>
      </w:r>
    </w:p>
    <w:p w:rsidR="00CF518D" w:rsidP="00CF518D" w14:paraId="062343E5" w14:textId="77777777">
      <w:pPr>
        <w:spacing w:after="0" w:line="240" w:lineRule="auto"/>
        <w:rPr>
          <w:b/>
          <w:szCs w:val="26"/>
        </w:rPr>
      </w:pPr>
      <w:r>
        <w:rPr>
          <w:b/>
          <w:szCs w:val="26"/>
        </w:rPr>
        <w:t>CANTIL-SAKAUYE, C. J.</w:t>
      </w:r>
    </w:p>
    <w:p w:rsidR="00CF518D" w:rsidP="00CF518D" w14:paraId="11F06B7B" w14:textId="77777777">
      <w:pPr>
        <w:spacing w:after="0" w:line="240" w:lineRule="auto"/>
        <w:rPr>
          <w:b/>
          <w:szCs w:val="26"/>
        </w:rPr>
      </w:pPr>
      <w:r>
        <w:rPr>
          <w:b/>
          <w:szCs w:val="26"/>
        </w:rPr>
        <w:t>LIU, J.</w:t>
      </w:r>
    </w:p>
    <w:p w:rsidR="00CF518D" w:rsidP="00CF518D" w14:paraId="4F580581" w14:textId="77777777">
      <w:pPr>
        <w:spacing w:after="0" w:line="240" w:lineRule="auto"/>
        <w:rPr>
          <w:b/>
          <w:szCs w:val="26"/>
        </w:rPr>
      </w:pPr>
      <w:r>
        <w:rPr>
          <w:b/>
          <w:szCs w:val="26"/>
        </w:rPr>
        <w:t>CUÉLLAR, J.</w:t>
      </w:r>
    </w:p>
    <w:p w:rsidR="00CF518D" w:rsidP="00CF518D" w14:paraId="7ED80C10" w14:textId="77777777">
      <w:pPr>
        <w:spacing w:after="0" w:line="240" w:lineRule="auto"/>
        <w:rPr>
          <w:b/>
        </w:rPr>
      </w:pPr>
      <w:r>
        <w:rPr>
          <w:b/>
        </w:rPr>
        <w:t>KRUGER, J.</w:t>
      </w:r>
    </w:p>
    <w:p w:rsidR="00CF518D" w:rsidP="00CF518D" w14:paraId="4153B8B9" w14:textId="77777777">
      <w:pPr>
        <w:spacing w:after="0" w:line="240" w:lineRule="auto"/>
        <w:rPr>
          <w:b/>
        </w:rPr>
      </w:pPr>
      <w:r>
        <w:rPr>
          <w:b/>
        </w:rPr>
        <w:t>GROBAN, J.</w:t>
      </w:r>
    </w:p>
    <w:p w:rsidR="00CF518D" w:rsidRPr="000D54AF" w:rsidP="00CF518D" w14:paraId="43E2753D" w14:textId="77777777">
      <w:pPr>
        <w:spacing w:after="0" w:line="240" w:lineRule="auto"/>
        <w:rPr>
          <w:b/>
        </w:rPr>
      </w:pPr>
      <w:r>
        <w:rPr>
          <w:b/>
        </w:rPr>
        <w:t>JENKINS, J.</w:t>
      </w:r>
    </w:p>
    <w:p w:rsidR="00140E52" w:rsidP="00CE62E1" w14:paraId="5D46E938" w14:textId="77777777">
      <w:pPr>
        <w:sectPr w:rsidSect="00CE62E1">
          <w:footerReference w:type="first" r:id="rId8"/>
          <w:pgSz w:w="12240" w:h="15840"/>
          <w:pgMar w:top="1800" w:right="2160" w:bottom="1440" w:left="2160" w:header="720" w:footer="720" w:gutter="0"/>
          <w:pgNumType w:start="1"/>
          <w:cols w:space="720"/>
          <w:titlePg/>
          <w:docGrid w:linePitch="367"/>
        </w:sectPr>
      </w:pPr>
    </w:p>
    <w:p w:rsidR="002F1FC8" w:rsidRPr="002F1FC8" w:rsidP="002F1FC8" w14:paraId="6D6E462B" w14:textId="77777777">
      <w:pPr>
        <w:spacing w:after="0" w:line="240" w:lineRule="auto"/>
        <w:jc w:val="left"/>
        <w:rPr>
          <w:i/>
          <w:sz w:val="24"/>
          <w:szCs w:val="24"/>
        </w:rPr>
      </w:pPr>
      <w:r w:rsidRPr="002F1FC8">
        <w:rPr>
          <w:i/>
          <w:sz w:val="24"/>
          <w:szCs w:val="24"/>
        </w:rPr>
        <w:t>See next page for addresses and telephone numbers for counsel who argued in Supreme Court.</w:t>
      </w:r>
    </w:p>
    <w:p w:rsidR="002F1FC8" w:rsidRPr="002F1FC8" w:rsidP="002F1FC8" w14:paraId="3A86C66C" w14:textId="77777777">
      <w:pPr>
        <w:spacing w:after="0" w:line="240" w:lineRule="auto"/>
        <w:jc w:val="left"/>
        <w:rPr>
          <w:i/>
          <w:sz w:val="24"/>
          <w:szCs w:val="24"/>
        </w:rPr>
      </w:pPr>
    </w:p>
    <w:p w:rsidR="002F1FC8" w:rsidRPr="002F1FC8" w:rsidP="002F1FC8" w14:paraId="5F76FF2A" w14:textId="77777777">
      <w:pPr>
        <w:spacing w:after="0" w:line="240" w:lineRule="auto"/>
        <w:jc w:val="left"/>
        <w:rPr>
          <w:b/>
          <w:sz w:val="24"/>
          <w:szCs w:val="24"/>
        </w:rPr>
      </w:pPr>
      <w:r w:rsidRPr="002F1FC8">
        <w:rPr>
          <w:b/>
          <w:sz w:val="24"/>
          <w:szCs w:val="24"/>
        </w:rPr>
        <w:t xml:space="preserve">Name of Opinion  </w:t>
      </w:r>
      <w:r w:rsidRPr="002F1FC8">
        <w:rPr>
          <w:bCs/>
          <w:sz w:val="24"/>
          <w:szCs w:val="24"/>
        </w:rPr>
        <w:t>Conservatorship of K.P.</w:t>
      </w:r>
      <w:r w:rsidRPr="002F1FC8">
        <w:rPr>
          <w:b/>
          <w:sz w:val="24"/>
          <w:szCs w:val="24"/>
        </w:rPr>
        <w:t xml:space="preserve"> </w:t>
      </w:r>
      <w:r w:rsidRPr="002F1FC8">
        <w:rPr>
          <w:bCs/>
          <w:sz w:val="24"/>
          <w:szCs w:val="24"/>
        </w:rPr>
        <w:t xml:space="preserve"> </w:t>
      </w:r>
      <w:r w:rsidRPr="002F1FC8">
        <w:rPr>
          <w:sz w:val="24"/>
          <w:szCs w:val="24"/>
        </w:rPr>
        <w:t xml:space="preserve"> </w:t>
      </w:r>
      <w:r w:rsidRPr="002F1FC8">
        <w:rPr>
          <w:b/>
          <w:sz w:val="24"/>
          <w:szCs w:val="24"/>
        </w:rPr>
        <w:t xml:space="preserve">__________________________________________________________________ </w:t>
      </w:r>
    </w:p>
    <w:p w:rsidR="002F1FC8" w:rsidRPr="002F1FC8" w:rsidP="002F1FC8" w14:paraId="7327D79B" w14:textId="77777777">
      <w:pPr>
        <w:spacing w:after="0" w:line="240" w:lineRule="auto"/>
        <w:jc w:val="left"/>
        <w:rPr>
          <w:b/>
          <w:sz w:val="24"/>
          <w:szCs w:val="24"/>
        </w:rPr>
      </w:pPr>
    </w:p>
    <w:p w:rsidR="002F1FC8" w:rsidRPr="002F1FC8" w:rsidP="002F1FC8" w14:paraId="5A873DFB" w14:textId="77777777">
      <w:pPr>
        <w:spacing w:after="0" w:line="240" w:lineRule="auto"/>
        <w:jc w:val="left"/>
        <w:rPr>
          <w:sz w:val="24"/>
          <w:szCs w:val="24"/>
        </w:rPr>
      </w:pPr>
      <w:r w:rsidRPr="002F1FC8">
        <w:rPr>
          <w:b/>
          <w:bCs/>
          <w:sz w:val="24"/>
          <w:szCs w:val="24"/>
          <w:u w:val="single"/>
        </w:rPr>
        <w:t>Procedural Posture</w:t>
      </w:r>
      <w:r w:rsidRPr="002F1FC8">
        <w:rPr>
          <w:b/>
          <w:bCs/>
          <w:sz w:val="24"/>
          <w:szCs w:val="24"/>
        </w:rPr>
        <w:t xml:space="preserve"> </w:t>
      </w:r>
      <w:r w:rsidRPr="002F1FC8">
        <w:rPr>
          <w:sz w:val="24"/>
          <w:szCs w:val="24"/>
        </w:rPr>
        <w:t>(see XX below)</w:t>
      </w:r>
    </w:p>
    <w:p w:rsidR="002F1FC8" w:rsidRPr="002F1FC8" w:rsidP="002F1FC8" w14:paraId="1161BCF3" w14:textId="77777777">
      <w:pPr>
        <w:spacing w:after="0" w:line="240" w:lineRule="auto"/>
        <w:jc w:val="left"/>
        <w:rPr>
          <w:b/>
          <w:bCs/>
          <w:sz w:val="24"/>
          <w:szCs w:val="24"/>
        </w:rPr>
      </w:pPr>
      <w:r w:rsidRPr="002F1FC8">
        <w:rPr>
          <w:b/>
          <w:bCs/>
          <w:sz w:val="24"/>
          <w:szCs w:val="24"/>
        </w:rPr>
        <w:t xml:space="preserve">Original Appeal  </w:t>
      </w:r>
    </w:p>
    <w:p w:rsidR="002F1FC8" w:rsidRPr="002F1FC8" w:rsidP="002F1FC8" w14:paraId="6D9A65EE" w14:textId="77777777">
      <w:pPr>
        <w:spacing w:after="0" w:line="240" w:lineRule="auto"/>
        <w:jc w:val="left"/>
        <w:rPr>
          <w:b/>
          <w:bCs/>
          <w:sz w:val="24"/>
          <w:szCs w:val="24"/>
        </w:rPr>
      </w:pPr>
      <w:r w:rsidRPr="002F1FC8">
        <w:rPr>
          <w:b/>
          <w:bCs/>
          <w:sz w:val="24"/>
          <w:szCs w:val="24"/>
        </w:rPr>
        <w:t xml:space="preserve">Original Proceeding  </w:t>
      </w:r>
    </w:p>
    <w:p w:rsidR="002F1FC8" w:rsidRPr="002F1FC8" w:rsidP="002F1FC8" w14:paraId="57454961" w14:textId="77777777">
      <w:pPr>
        <w:spacing w:after="0" w:line="240" w:lineRule="auto"/>
        <w:jc w:val="left"/>
        <w:rPr>
          <w:sz w:val="24"/>
          <w:szCs w:val="24"/>
        </w:rPr>
      </w:pPr>
      <w:r w:rsidRPr="002F1FC8">
        <w:rPr>
          <w:b/>
          <w:bCs/>
          <w:sz w:val="24"/>
          <w:szCs w:val="24"/>
        </w:rPr>
        <w:t>Review Granted</w:t>
      </w:r>
      <w:r w:rsidRPr="002F1FC8">
        <w:rPr>
          <w:sz w:val="24"/>
          <w:szCs w:val="24"/>
        </w:rPr>
        <w:t xml:space="preserve"> </w:t>
      </w:r>
      <w:r w:rsidRPr="002F1FC8">
        <w:rPr>
          <w:b/>
          <w:bCs/>
          <w:sz w:val="24"/>
          <w:szCs w:val="24"/>
        </w:rPr>
        <w:t xml:space="preserve">(published) </w:t>
      </w:r>
      <w:r w:rsidRPr="002F1FC8">
        <w:rPr>
          <w:sz w:val="24"/>
          <w:szCs w:val="24"/>
        </w:rPr>
        <w:t>XX 39 Cal.App.5th 254</w:t>
      </w:r>
    </w:p>
    <w:p w:rsidR="002F1FC8" w:rsidRPr="002F1FC8" w:rsidP="002F1FC8" w14:paraId="181CFA10" w14:textId="77777777">
      <w:pPr>
        <w:spacing w:after="0" w:line="240" w:lineRule="auto"/>
        <w:jc w:val="left"/>
        <w:rPr>
          <w:sz w:val="24"/>
          <w:szCs w:val="24"/>
        </w:rPr>
      </w:pPr>
      <w:r w:rsidRPr="002F1FC8">
        <w:rPr>
          <w:b/>
          <w:bCs/>
          <w:sz w:val="24"/>
          <w:szCs w:val="24"/>
        </w:rPr>
        <w:t xml:space="preserve">Review Granted (unpublished) </w:t>
      </w:r>
    </w:p>
    <w:p w:rsidR="002F1FC8" w:rsidRPr="002F1FC8" w:rsidP="002F1FC8" w14:paraId="2AB1F9E7" w14:textId="77777777">
      <w:pPr>
        <w:spacing w:after="0" w:line="240" w:lineRule="auto"/>
        <w:jc w:val="left"/>
        <w:rPr>
          <w:b/>
          <w:bCs/>
          <w:sz w:val="24"/>
          <w:szCs w:val="24"/>
        </w:rPr>
      </w:pPr>
      <w:r w:rsidRPr="002F1FC8">
        <w:rPr>
          <w:b/>
          <w:bCs/>
          <w:sz w:val="24"/>
          <w:szCs w:val="24"/>
        </w:rPr>
        <w:t>Rehearing Granted</w:t>
      </w:r>
    </w:p>
    <w:p w:rsidR="002F1FC8" w:rsidRPr="002F1FC8" w:rsidP="002F1FC8" w14:paraId="08CCCE57" w14:textId="77777777">
      <w:pPr>
        <w:spacing w:after="0" w:line="240" w:lineRule="auto"/>
        <w:jc w:val="left"/>
        <w:rPr>
          <w:b/>
          <w:sz w:val="24"/>
          <w:szCs w:val="24"/>
        </w:rPr>
      </w:pPr>
      <w:r w:rsidRPr="002F1FC8">
        <w:rPr>
          <w:b/>
          <w:sz w:val="24"/>
          <w:szCs w:val="24"/>
        </w:rPr>
        <w:t xml:space="preserve">__________________________________________________________________ </w:t>
      </w:r>
    </w:p>
    <w:p w:rsidR="002F1FC8" w:rsidRPr="002F1FC8" w:rsidP="002F1FC8" w14:paraId="341494A8" w14:textId="77777777">
      <w:pPr>
        <w:spacing w:after="0" w:line="240" w:lineRule="auto"/>
        <w:jc w:val="left"/>
        <w:rPr>
          <w:b/>
          <w:sz w:val="24"/>
          <w:szCs w:val="24"/>
        </w:rPr>
      </w:pPr>
    </w:p>
    <w:p w:rsidR="002F1FC8" w:rsidRPr="002F1FC8" w:rsidP="002F1FC8" w14:paraId="1497BB96" w14:textId="77777777">
      <w:pPr>
        <w:spacing w:after="0" w:line="240" w:lineRule="auto"/>
        <w:jc w:val="left"/>
        <w:rPr>
          <w:bCs/>
          <w:sz w:val="24"/>
          <w:szCs w:val="24"/>
        </w:rPr>
      </w:pPr>
      <w:r w:rsidRPr="002F1FC8">
        <w:rPr>
          <w:b/>
          <w:sz w:val="24"/>
          <w:szCs w:val="24"/>
        </w:rPr>
        <w:t>Opinion No.</w:t>
      </w:r>
      <w:r w:rsidRPr="002F1FC8">
        <w:rPr>
          <w:sz w:val="24"/>
          <w:szCs w:val="24"/>
        </w:rPr>
        <w:t xml:space="preserve"> S258212 </w:t>
      </w:r>
    </w:p>
    <w:p w:rsidR="002F1FC8" w:rsidRPr="002F1FC8" w:rsidP="002F1FC8" w14:paraId="1C043912" w14:textId="77777777">
      <w:pPr>
        <w:spacing w:after="0" w:line="240" w:lineRule="auto"/>
        <w:jc w:val="left"/>
        <w:rPr>
          <w:bCs/>
          <w:sz w:val="24"/>
          <w:szCs w:val="24"/>
        </w:rPr>
      </w:pPr>
      <w:r w:rsidRPr="002F1FC8">
        <w:rPr>
          <w:b/>
          <w:sz w:val="24"/>
          <w:szCs w:val="24"/>
        </w:rPr>
        <w:t>Date Filed:</w:t>
      </w:r>
      <w:r w:rsidRPr="002F1FC8">
        <w:rPr>
          <w:sz w:val="24"/>
          <w:szCs w:val="24"/>
        </w:rPr>
        <w:t xml:space="preserve">  </w:t>
      </w:r>
      <w:r w:rsidRPr="002F1FC8">
        <w:rPr>
          <w:color w:val="000000"/>
          <w:sz w:val="24"/>
          <w:szCs w:val="24"/>
        </w:rPr>
        <w:t>June 28, 2021</w:t>
      </w:r>
    </w:p>
    <w:p w:rsidR="002F1FC8" w:rsidRPr="002F1FC8" w:rsidP="002F1FC8" w14:paraId="690E1744" w14:textId="77777777">
      <w:pPr>
        <w:spacing w:after="0" w:line="240" w:lineRule="auto"/>
        <w:jc w:val="left"/>
        <w:rPr>
          <w:b/>
          <w:sz w:val="24"/>
          <w:szCs w:val="24"/>
        </w:rPr>
      </w:pPr>
      <w:r w:rsidRPr="002F1FC8">
        <w:rPr>
          <w:b/>
          <w:sz w:val="24"/>
          <w:szCs w:val="24"/>
        </w:rPr>
        <w:t xml:space="preserve">__________________________________________________________________ </w:t>
      </w:r>
    </w:p>
    <w:p w:rsidR="002F1FC8" w:rsidRPr="002F1FC8" w:rsidP="002F1FC8" w14:paraId="5C9F8097" w14:textId="77777777">
      <w:pPr>
        <w:spacing w:after="0" w:line="240" w:lineRule="auto"/>
        <w:jc w:val="left"/>
        <w:rPr>
          <w:b/>
          <w:sz w:val="24"/>
          <w:szCs w:val="24"/>
        </w:rPr>
      </w:pPr>
    </w:p>
    <w:p w:rsidR="002F1FC8" w:rsidRPr="002F1FC8" w:rsidP="002F1FC8" w14:paraId="6E15087B" w14:textId="77777777">
      <w:pPr>
        <w:spacing w:after="0" w:line="240" w:lineRule="auto"/>
        <w:jc w:val="left"/>
        <w:rPr>
          <w:bCs/>
          <w:sz w:val="24"/>
          <w:szCs w:val="24"/>
        </w:rPr>
      </w:pPr>
      <w:r w:rsidRPr="002F1FC8">
        <w:rPr>
          <w:b/>
          <w:sz w:val="24"/>
          <w:szCs w:val="24"/>
        </w:rPr>
        <w:t xml:space="preserve">Court:  </w:t>
      </w:r>
      <w:r w:rsidRPr="002F1FC8">
        <w:rPr>
          <w:bCs/>
          <w:sz w:val="24"/>
          <w:szCs w:val="24"/>
        </w:rPr>
        <w:t>Superior</w:t>
      </w:r>
      <w:r w:rsidRPr="002F1FC8">
        <w:rPr>
          <w:b/>
          <w:sz w:val="24"/>
          <w:szCs w:val="24"/>
        </w:rPr>
        <w:t xml:space="preserve">   </w:t>
      </w:r>
    </w:p>
    <w:p w:rsidR="002F1FC8" w:rsidRPr="002F1FC8" w:rsidP="002F1FC8" w14:paraId="37F3388A" w14:textId="77777777">
      <w:pPr>
        <w:spacing w:after="0" w:line="240" w:lineRule="auto"/>
        <w:jc w:val="left"/>
        <w:rPr>
          <w:bCs/>
          <w:sz w:val="24"/>
          <w:szCs w:val="24"/>
        </w:rPr>
      </w:pPr>
      <w:r w:rsidRPr="002F1FC8">
        <w:rPr>
          <w:b/>
          <w:sz w:val="24"/>
          <w:szCs w:val="24"/>
        </w:rPr>
        <w:t xml:space="preserve">County:  </w:t>
      </w:r>
      <w:r w:rsidRPr="002F1FC8">
        <w:rPr>
          <w:bCs/>
          <w:sz w:val="24"/>
          <w:szCs w:val="24"/>
        </w:rPr>
        <w:t>Los Angeles</w:t>
      </w:r>
      <w:r w:rsidRPr="002F1FC8">
        <w:rPr>
          <w:b/>
          <w:sz w:val="24"/>
          <w:szCs w:val="24"/>
        </w:rPr>
        <w:t xml:space="preserve">  </w:t>
      </w:r>
      <w:r w:rsidRPr="002F1FC8">
        <w:rPr>
          <w:bCs/>
          <w:sz w:val="24"/>
          <w:szCs w:val="24"/>
        </w:rPr>
        <w:t xml:space="preserve"> </w:t>
      </w:r>
    </w:p>
    <w:p w:rsidR="002F1FC8" w:rsidRPr="002F1FC8" w:rsidP="002F1FC8" w14:paraId="08CCE8AB" w14:textId="77777777">
      <w:pPr>
        <w:spacing w:after="0" w:line="240" w:lineRule="auto"/>
        <w:ind w:left="720" w:hanging="720"/>
        <w:jc w:val="left"/>
        <w:rPr>
          <w:bCs/>
          <w:sz w:val="24"/>
          <w:szCs w:val="24"/>
        </w:rPr>
      </w:pPr>
      <w:r w:rsidRPr="002F1FC8">
        <w:rPr>
          <w:b/>
          <w:sz w:val="24"/>
          <w:szCs w:val="24"/>
        </w:rPr>
        <w:t xml:space="preserve">Judge:  </w:t>
      </w:r>
      <w:r w:rsidRPr="002F1FC8">
        <w:rPr>
          <w:bCs/>
          <w:sz w:val="24"/>
          <w:szCs w:val="24"/>
        </w:rPr>
        <w:t>Robert S. Harrison</w:t>
      </w:r>
      <w:r w:rsidRPr="002F1FC8">
        <w:rPr>
          <w:b/>
          <w:sz w:val="24"/>
          <w:szCs w:val="24"/>
        </w:rPr>
        <w:t xml:space="preserve">  </w:t>
      </w:r>
      <w:r w:rsidRPr="002F1FC8">
        <w:rPr>
          <w:bCs/>
          <w:sz w:val="24"/>
          <w:szCs w:val="24"/>
        </w:rPr>
        <w:t xml:space="preserve"> </w:t>
      </w:r>
    </w:p>
    <w:p w:rsidR="002F1FC8" w:rsidRPr="002F1FC8" w:rsidP="002F1FC8" w14:paraId="38069621" w14:textId="77777777">
      <w:pPr>
        <w:spacing w:after="0" w:line="240" w:lineRule="auto"/>
        <w:jc w:val="left"/>
        <w:rPr>
          <w:b/>
          <w:sz w:val="24"/>
          <w:szCs w:val="24"/>
        </w:rPr>
      </w:pPr>
      <w:r w:rsidRPr="002F1FC8">
        <w:rPr>
          <w:b/>
          <w:sz w:val="24"/>
          <w:szCs w:val="24"/>
        </w:rPr>
        <w:t xml:space="preserve">__________________________________________________________________ </w:t>
      </w:r>
    </w:p>
    <w:p w:rsidR="002F1FC8" w:rsidRPr="002F1FC8" w:rsidP="002F1FC8" w14:paraId="6FBA37B1" w14:textId="77777777">
      <w:pPr>
        <w:spacing w:after="0" w:line="240" w:lineRule="auto"/>
        <w:jc w:val="left"/>
        <w:rPr>
          <w:b/>
          <w:sz w:val="24"/>
          <w:szCs w:val="24"/>
        </w:rPr>
      </w:pPr>
    </w:p>
    <w:p w:rsidR="002F1FC8" w:rsidRPr="002F1FC8" w:rsidP="002F1FC8" w14:paraId="55F77AFC" w14:textId="77777777">
      <w:pPr>
        <w:spacing w:after="0" w:line="240" w:lineRule="auto"/>
        <w:jc w:val="left"/>
        <w:rPr>
          <w:b/>
          <w:sz w:val="24"/>
          <w:szCs w:val="24"/>
        </w:rPr>
      </w:pPr>
      <w:r w:rsidRPr="002F1FC8">
        <w:rPr>
          <w:b/>
          <w:sz w:val="24"/>
          <w:szCs w:val="24"/>
        </w:rPr>
        <w:t>Counsel:</w:t>
      </w:r>
    </w:p>
    <w:p w:rsidR="002F1FC8" w:rsidRPr="002F1FC8" w:rsidP="002F1FC8" w14:paraId="1235EECA" w14:textId="77777777">
      <w:pPr>
        <w:spacing w:after="0" w:line="240" w:lineRule="auto"/>
        <w:jc w:val="left"/>
        <w:rPr>
          <w:b/>
          <w:sz w:val="24"/>
          <w:szCs w:val="24"/>
        </w:rPr>
      </w:pPr>
    </w:p>
    <w:p w:rsidR="002F1FC8" w:rsidRPr="002F1FC8" w:rsidP="002F1FC8" w14:paraId="3A167BAC" w14:textId="77777777">
      <w:pPr>
        <w:spacing w:after="0" w:line="240" w:lineRule="auto"/>
        <w:jc w:val="left"/>
        <w:rPr>
          <w:color w:val="212121"/>
          <w:sz w:val="24"/>
          <w:szCs w:val="24"/>
          <w:shd w:val="clear" w:color="auto" w:fill="FFFFFF"/>
        </w:rPr>
      </w:pPr>
      <w:bookmarkStart w:id="12" w:name="_Hlk75256433"/>
      <w:r w:rsidRPr="002F1FC8">
        <w:rPr>
          <w:color w:val="212121"/>
          <w:sz w:val="24"/>
          <w:szCs w:val="24"/>
          <w:shd w:val="clear" w:color="auto" w:fill="FFFFFF"/>
        </w:rPr>
        <w:t>Christopher L. Haberman, under appointment by the Supreme Court</w:t>
      </w:r>
      <w:r w:rsidRPr="002F1FC8">
        <w:rPr>
          <w:sz w:val="24"/>
          <w:szCs w:val="24"/>
          <w:bdr w:val="none" w:sz="0" w:space="0" w:color="auto" w:frame="1"/>
        </w:rPr>
        <w:t>, and Christian C. Buckley</w:t>
      </w:r>
      <w:r w:rsidRPr="002F1FC8">
        <w:rPr>
          <w:color w:val="212121"/>
          <w:sz w:val="24"/>
          <w:szCs w:val="24"/>
          <w:shd w:val="clear" w:color="auto" w:fill="FFFFFF"/>
        </w:rPr>
        <w:t>, under appointment by the Court of Appeal, for Objector and Appellant.</w:t>
      </w:r>
    </w:p>
    <w:p w:rsidR="002F1FC8" w:rsidRPr="002F1FC8" w:rsidP="002F1FC8" w14:paraId="0B93497C" w14:textId="77777777">
      <w:pPr>
        <w:spacing w:after="0" w:line="240" w:lineRule="auto"/>
        <w:jc w:val="left"/>
        <w:rPr>
          <w:color w:val="212121"/>
          <w:sz w:val="24"/>
          <w:szCs w:val="24"/>
          <w:shd w:val="clear" w:color="auto" w:fill="FFFFFF"/>
        </w:rPr>
      </w:pPr>
    </w:p>
    <w:p w:rsidR="002F1FC8" w:rsidRPr="002F1FC8" w:rsidP="002F1FC8" w14:paraId="2C76BEEA" w14:textId="77777777">
      <w:pPr>
        <w:spacing w:after="0" w:line="240" w:lineRule="auto"/>
        <w:jc w:val="left"/>
        <w:rPr>
          <w:b/>
          <w:sz w:val="24"/>
          <w:szCs w:val="24"/>
        </w:rPr>
      </w:pPr>
      <w:r w:rsidRPr="002F1FC8">
        <w:rPr>
          <w:sz w:val="24"/>
          <w:szCs w:val="24"/>
          <w:bdr w:val="none" w:sz="0" w:space="0" w:color="auto" w:frame="1"/>
        </w:rPr>
        <w:t>Mary C. Wickham</w:t>
      </w:r>
      <w:r w:rsidRPr="002F1FC8">
        <w:rPr>
          <w:color w:val="212121"/>
          <w:sz w:val="24"/>
          <w:szCs w:val="24"/>
          <w:shd w:val="clear" w:color="auto" w:fill="FFFFFF"/>
        </w:rPr>
        <w:t xml:space="preserve">, County Counsel, Rosanne Wong and Joyce M. Aiello, Assistant County Counsel, Jose Silva, Principal Deputy County Counsel, and </w:t>
      </w:r>
      <w:r w:rsidRPr="002F1FC8">
        <w:rPr>
          <w:sz w:val="24"/>
          <w:szCs w:val="24"/>
          <w:bdr w:val="none" w:sz="0" w:space="0" w:color="auto" w:frame="1"/>
        </w:rPr>
        <w:t>William C. Sias</w:t>
      </w:r>
      <w:r w:rsidRPr="002F1FC8">
        <w:rPr>
          <w:color w:val="212121"/>
          <w:sz w:val="24"/>
          <w:szCs w:val="24"/>
          <w:shd w:val="clear" w:color="auto" w:fill="FFFFFF"/>
        </w:rPr>
        <w:t>, Deputy County Counsel, for Petitioner and Respondent.</w:t>
      </w:r>
      <w:bookmarkEnd w:id="12"/>
      <w:r w:rsidRPr="002F1FC8">
        <w:rPr>
          <w:b/>
          <w:sz w:val="24"/>
          <w:szCs w:val="24"/>
        </w:rPr>
        <w:t xml:space="preserve"> </w:t>
      </w:r>
      <w:r w:rsidRPr="002F1FC8">
        <w:rPr>
          <w:b/>
          <w:sz w:val="24"/>
          <w:szCs w:val="24"/>
        </w:rPr>
        <w:br w:type="page"/>
      </w:r>
    </w:p>
    <w:p w:rsidR="002F1FC8" w:rsidRPr="002F1FC8" w:rsidP="002F1FC8" w14:paraId="6286D891" w14:textId="77777777">
      <w:pPr>
        <w:spacing w:after="0" w:line="240" w:lineRule="auto"/>
        <w:jc w:val="left"/>
        <w:rPr>
          <w:b/>
          <w:sz w:val="24"/>
          <w:szCs w:val="24"/>
        </w:rPr>
      </w:pPr>
      <w:r w:rsidRPr="002F1FC8">
        <w:rPr>
          <w:b/>
          <w:sz w:val="24"/>
          <w:szCs w:val="24"/>
        </w:rPr>
        <w:t>Counsel who argued in Supreme Court (not intended for publication with opinion):</w:t>
      </w:r>
    </w:p>
    <w:p w:rsidR="002F1FC8" w:rsidRPr="002F1FC8" w:rsidP="002F1FC8" w14:paraId="6A2F3067" w14:textId="77777777">
      <w:pPr>
        <w:spacing w:after="0" w:line="240" w:lineRule="auto"/>
        <w:jc w:val="left"/>
        <w:rPr>
          <w:b/>
          <w:sz w:val="24"/>
          <w:szCs w:val="24"/>
        </w:rPr>
      </w:pPr>
    </w:p>
    <w:p w:rsidR="002F1FC8" w:rsidRPr="002F1FC8" w:rsidP="002F1FC8" w14:paraId="2F60D7AE" w14:textId="77777777">
      <w:pPr>
        <w:spacing w:after="0" w:line="240" w:lineRule="auto"/>
        <w:jc w:val="left"/>
        <w:rPr>
          <w:color w:val="212121"/>
          <w:sz w:val="24"/>
          <w:szCs w:val="24"/>
          <w:shd w:val="clear" w:color="auto" w:fill="FFFFFF"/>
        </w:rPr>
      </w:pPr>
      <w:r w:rsidRPr="002F1FC8">
        <w:rPr>
          <w:color w:val="212121"/>
          <w:sz w:val="24"/>
          <w:szCs w:val="24"/>
          <w:shd w:val="clear" w:color="auto" w:fill="FFFFFF"/>
        </w:rPr>
        <w:t>Christopher L. Haberman</w:t>
      </w:r>
    </w:p>
    <w:p w:rsidR="002F1FC8" w:rsidRPr="002F1FC8" w:rsidP="002F1FC8" w14:paraId="313EF625" w14:textId="77777777">
      <w:pPr>
        <w:spacing w:after="0" w:line="240" w:lineRule="auto"/>
        <w:jc w:val="left"/>
        <w:rPr>
          <w:color w:val="212121"/>
          <w:sz w:val="24"/>
          <w:szCs w:val="24"/>
          <w:shd w:val="clear" w:color="auto" w:fill="FFFFFF"/>
        </w:rPr>
      </w:pPr>
      <w:r w:rsidRPr="002F1FC8">
        <w:rPr>
          <w:color w:val="212121"/>
          <w:sz w:val="24"/>
          <w:szCs w:val="24"/>
          <w:shd w:val="clear" w:color="auto" w:fill="FFFFFF"/>
        </w:rPr>
        <w:t>Attorney at Law</w:t>
      </w:r>
    </w:p>
    <w:p w:rsidR="002F1FC8" w:rsidRPr="002F1FC8" w:rsidP="002F1FC8" w14:paraId="5775AB4D" w14:textId="77777777">
      <w:pPr>
        <w:spacing w:after="0" w:line="240" w:lineRule="auto"/>
        <w:jc w:val="left"/>
        <w:rPr>
          <w:color w:val="212121"/>
          <w:sz w:val="24"/>
          <w:szCs w:val="24"/>
          <w:shd w:val="clear" w:color="auto" w:fill="FFFFFF"/>
        </w:rPr>
      </w:pPr>
      <w:r w:rsidRPr="002F1FC8">
        <w:rPr>
          <w:color w:val="212121"/>
          <w:sz w:val="24"/>
          <w:szCs w:val="24"/>
          <w:shd w:val="clear" w:color="auto" w:fill="FFFFFF"/>
        </w:rPr>
        <w:t>P.O. Box 521</w:t>
      </w:r>
    </w:p>
    <w:p w:rsidR="002F1FC8" w:rsidRPr="002F1FC8" w:rsidP="002F1FC8" w14:paraId="58399C36" w14:textId="77777777">
      <w:pPr>
        <w:spacing w:after="0" w:line="240" w:lineRule="auto"/>
        <w:jc w:val="left"/>
        <w:rPr>
          <w:color w:val="212121"/>
          <w:sz w:val="24"/>
          <w:szCs w:val="24"/>
          <w:shd w:val="clear" w:color="auto" w:fill="FFFFFF"/>
        </w:rPr>
      </w:pPr>
      <w:r w:rsidRPr="002F1FC8">
        <w:rPr>
          <w:color w:val="212121"/>
          <w:sz w:val="24"/>
          <w:szCs w:val="24"/>
          <w:shd w:val="clear" w:color="auto" w:fill="FFFFFF"/>
        </w:rPr>
        <w:t>Visalia, CA 93279</w:t>
      </w:r>
    </w:p>
    <w:p w:rsidR="002F1FC8" w:rsidRPr="002F1FC8" w:rsidP="002F1FC8" w14:paraId="352AAB65" w14:textId="77777777">
      <w:pPr>
        <w:spacing w:after="0" w:line="240" w:lineRule="auto"/>
        <w:jc w:val="left"/>
        <w:rPr>
          <w:color w:val="212121"/>
          <w:sz w:val="24"/>
          <w:szCs w:val="24"/>
          <w:shd w:val="clear" w:color="auto" w:fill="FFFFFF"/>
        </w:rPr>
      </w:pPr>
      <w:r w:rsidRPr="002F1FC8">
        <w:rPr>
          <w:color w:val="212121"/>
          <w:sz w:val="24"/>
          <w:szCs w:val="24"/>
          <w:shd w:val="clear" w:color="auto" w:fill="FFFFFF"/>
        </w:rPr>
        <w:t>(559) 384-0703</w:t>
      </w:r>
    </w:p>
    <w:p w:rsidR="002F1FC8" w:rsidRPr="002F1FC8" w:rsidP="002F1FC8" w14:paraId="40FE0B1F" w14:textId="77777777">
      <w:pPr>
        <w:spacing w:after="0" w:line="240" w:lineRule="auto"/>
        <w:jc w:val="left"/>
        <w:rPr>
          <w:color w:val="212121"/>
          <w:sz w:val="24"/>
          <w:szCs w:val="24"/>
          <w:shd w:val="clear" w:color="auto" w:fill="FFFFFF"/>
        </w:rPr>
      </w:pPr>
    </w:p>
    <w:p w:rsidR="002F1FC8" w:rsidRPr="002F1FC8" w:rsidP="002F1FC8" w14:paraId="6CFD7E66" w14:textId="77777777">
      <w:pPr>
        <w:spacing w:after="0" w:line="240" w:lineRule="auto"/>
        <w:jc w:val="left"/>
        <w:rPr>
          <w:sz w:val="24"/>
          <w:szCs w:val="24"/>
          <w:bdr w:val="none" w:sz="0" w:space="0" w:color="auto" w:frame="1"/>
        </w:rPr>
      </w:pPr>
      <w:r w:rsidRPr="002F1FC8">
        <w:rPr>
          <w:sz w:val="24"/>
          <w:szCs w:val="24"/>
          <w:bdr w:val="none" w:sz="0" w:space="0" w:color="auto" w:frame="1"/>
        </w:rPr>
        <w:t>William C. Sias</w:t>
      </w:r>
    </w:p>
    <w:p w:rsidR="002F1FC8" w:rsidRPr="002F1FC8" w:rsidP="002F1FC8" w14:paraId="53E6FC99" w14:textId="77777777">
      <w:pPr>
        <w:spacing w:after="0" w:line="240" w:lineRule="auto"/>
        <w:jc w:val="left"/>
        <w:rPr>
          <w:sz w:val="24"/>
          <w:szCs w:val="24"/>
          <w:bdr w:val="none" w:sz="0" w:space="0" w:color="auto" w:frame="1"/>
        </w:rPr>
      </w:pPr>
      <w:r w:rsidRPr="002F1FC8">
        <w:rPr>
          <w:sz w:val="24"/>
          <w:szCs w:val="24"/>
          <w:bdr w:val="none" w:sz="0" w:space="0" w:color="auto" w:frame="1"/>
        </w:rPr>
        <w:t>Deputy County Counsel</w:t>
      </w:r>
    </w:p>
    <w:p w:rsidR="002F1FC8" w:rsidRPr="002F1FC8" w:rsidP="002F1FC8" w14:paraId="5F756900" w14:textId="77777777">
      <w:pPr>
        <w:spacing w:after="0" w:line="240" w:lineRule="auto"/>
        <w:jc w:val="left"/>
        <w:rPr>
          <w:sz w:val="24"/>
          <w:szCs w:val="24"/>
          <w:bdr w:val="none" w:sz="0" w:space="0" w:color="auto" w:frame="1"/>
        </w:rPr>
      </w:pPr>
      <w:r w:rsidRPr="002F1FC8">
        <w:rPr>
          <w:sz w:val="24"/>
          <w:szCs w:val="24"/>
          <w:bdr w:val="none" w:sz="0" w:space="0" w:color="auto" w:frame="1"/>
        </w:rPr>
        <w:t>500 West Temple St., Suite 648</w:t>
      </w:r>
    </w:p>
    <w:p w:rsidR="002F1FC8" w:rsidRPr="002F1FC8" w:rsidP="002F1FC8" w14:paraId="364A02A9" w14:textId="77777777">
      <w:pPr>
        <w:spacing w:after="0" w:line="240" w:lineRule="auto"/>
        <w:jc w:val="left"/>
        <w:rPr>
          <w:sz w:val="24"/>
          <w:szCs w:val="24"/>
          <w:bdr w:val="none" w:sz="0" w:space="0" w:color="auto" w:frame="1"/>
        </w:rPr>
      </w:pPr>
      <w:r w:rsidRPr="002F1FC8">
        <w:rPr>
          <w:sz w:val="24"/>
          <w:szCs w:val="24"/>
          <w:bdr w:val="none" w:sz="0" w:space="0" w:color="auto" w:frame="1"/>
        </w:rPr>
        <w:t>Los Angeles, CA 90012</w:t>
      </w:r>
    </w:p>
    <w:p w:rsidR="002F1FC8" w:rsidRPr="002F1FC8" w:rsidP="002F1FC8" w14:paraId="5054E92E" w14:textId="77777777">
      <w:pPr>
        <w:spacing w:after="0" w:line="240" w:lineRule="auto"/>
        <w:jc w:val="left"/>
        <w:rPr>
          <w:sz w:val="24"/>
          <w:szCs w:val="24"/>
        </w:rPr>
      </w:pPr>
      <w:r w:rsidRPr="002F1FC8">
        <w:rPr>
          <w:sz w:val="24"/>
          <w:szCs w:val="24"/>
          <w:bdr w:val="none" w:sz="0" w:space="0" w:color="auto" w:frame="1"/>
        </w:rPr>
        <w:t>(213) 407-4947</w:t>
      </w:r>
    </w:p>
    <w:p w:rsidR="00887B76" w:rsidRPr="00CE62E1" w:rsidP="00CE62E1" w14:paraId="17DF0F24" w14:textId="4294B094"/>
    <w:sectPr w:rsidSect="00FD2AA6">
      <w:headerReference w:type="even" r:id="rId9"/>
      <w:headerReference w:type="default" r:id="rId10"/>
      <w:footerReference w:type="even" r:id="rId11"/>
      <w:footerReference w:type="default" r:id="rId12"/>
      <w:headerReference w:type="first" r:id="rId13"/>
      <w:footerReference w:type="first" r:id="rId14"/>
      <w:pgSz w:w="12240" w:h="15840"/>
      <w:pgMar w:top="180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5A81" w14:paraId="1D3AF38D" w14:textId="77777777">
    <w:pPr>
      <w:pStyle w:val="Footer"/>
    </w:pPr>
    <w:r>
      <w:fldChar w:fldCharType="begin"/>
    </w:r>
    <w:r>
      <w:instrText>PAGE</w:instrText>
    </w:r>
    <w:r>
      <w:fldChar w:fldCharType="separate"/>
    </w:r>
    <w:r>
      <w:rPr>
        <w:noProof/>
      </w:rPr>
      <w:t>38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2E1" w14:paraId="6377C6EC"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0A9E" w14:paraId="56F6A2E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0A9E" w14:paraId="72B9439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0A9E" w14:paraId="49E2CF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1A63" w14:paraId="77A11C98" w14:textId="77777777">
      <w:r>
        <w:separator/>
      </w:r>
    </w:p>
  </w:footnote>
  <w:footnote w:type="continuationSeparator" w:id="1">
    <w:p w:rsidR="00CC1A63" w14:paraId="0A78007C" w14:textId="77777777">
      <w:r>
        <w:continuationSeparator/>
      </w:r>
    </w:p>
  </w:footnote>
  <w:footnote w:id="2">
    <w:p w:rsidR="00A35B5E" w14:paraId="1C322AE9" w14:textId="1392FCE4">
      <w:pPr>
        <w:pStyle w:val="FootnoteText"/>
      </w:pPr>
      <w:r>
        <w:rPr>
          <w:rStyle w:val="FootnoteReference"/>
        </w:rPr>
        <w:footnoteRef/>
      </w:r>
      <w:r>
        <w:t xml:space="preserve"> </w:t>
      </w:r>
      <w:r>
        <w:tab/>
        <w:t>All statutory references are to the Welfare and Institutions Code unless otherwise stated.</w:t>
      </w:r>
    </w:p>
  </w:footnote>
  <w:footnote w:id="3">
    <w:p w:rsidR="00405A81" w:rsidP="00CE62E1" w14:paraId="63549E95" w14:textId="0CCC4861">
      <w:pPr>
        <w:pStyle w:val="FootnoteText"/>
      </w:pPr>
      <w:r>
        <w:rPr>
          <w:rStyle w:val="FootnoteReference"/>
        </w:rPr>
        <w:footnoteRef/>
      </w:r>
      <w:r>
        <w:t xml:space="preserve"> </w:t>
      </w:r>
      <w:r>
        <w:tab/>
        <w:t>Because this case involves only mental disorders, we generally dispense with further mention of chronic alcoholism.</w:t>
      </w:r>
    </w:p>
  </w:footnote>
  <w:footnote w:id="4">
    <w:p w:rsidR="00E869E8" w:rsidRPr="00C76E27" w:rsidP="00E869E8" w14:paraId="0F660EF8" w14:textId="7A598ECC">
      <w:pPr>
        <w:pStyle w:val="FootnoteText"/>
      </w:pPr>
      <w:r>
        <w:rPr>
          <w:rStyle w:val="FootnoteReference"/>
        </w:rPr>
        <w:footnoteRef/>
      </w:r>
      <w:r>
        <w:t xml:space="preserve"> </w:t>
      </w:r>
      <w:r>
        <w:tab/>
        <w:t xml:space="preserve">The conservatorship challenged here ended, rendering the appeal technically moot.  This problem frequently arises because a conservatorship’s duration is short, compared to the appellate process.  (See, e.g., </w:t>
      </w:r>
      <w:r>
        <w:rPr>
          <w:i/>
          <w:iCs/>
        </w:rPr>
        <w:t>Conservatorship of John L.</w:t>
      </w:r>
      <w:r>
        <w:t xml:space="preserve"> (2010) 48 Cal.4th 131, 142, fn. 2 (</w:t>
      </w:r>
      <w:r>
        <w:rPr>
          <w:i/>
          <w:iCs/>
        </w:rPr>
        <w:t>John L.</w:t>
      </w:r>
      <w:r>
        <w:t>).)  The Court of Appeal concluded the issue K.P. raises is capable of repetition but likely to evade review.  (</w:t>
      </w:r>
      <w:r>
        <w:rPr>
          <w:i/>
          <w:iCs/>
        </w:rPr>
        <w:t>Conservatorship of K.P.</w:t>
      </w:r>
      <w:r>
        <w:t xml:space="preserve"> (2019) 39 Cal.App.5th 254, 257, fn. 2; see </w:t>
      </w:r>
      <w:r>
        <w:rPr>
          <w:i/>
          <w:iCs/>
        </w:rPr>
        <w:t>Conservatorship of David L.</w:t>
      </w:r>
      <w:r>
        <w:t xml:space="preserve"> (2008) 164 Cal.App.4th 701, 709.)  We agree and elect to decide this otherwise moot appeal.</w:t>
      </w:r>
    </w:p>
  </w:footnote>
  <w:footnote w:id="5">
    <w:p w:rsidR="00405A81" w:rsidP="00CE62E1" w14:paraId="479C78E0" w14:textId="77777777">
      <w:pPr>
        <w:pStyle w:val="FootnoteText"/>
      </w:pPr>
      <w:r>
        <w:rPr>
          <w:rStyle w:val="FootnoteReference"/>
        </w:rPr>
        <w:footnoteRef/>
      </w:r>
      <w:r>
        <w:t xml:space="preserve"> </w:t>
      </w:r>
      <w:r>
        <w:tab/>
        <w:t>Our discussion is confined to the provisions for persons gravely disabled due to a mental health disorder, but such detentions are also available for individuals who are imminently dangerous to themselves or others, or are impaired by chronic alcoholism.  (See §§ 5150, 5250, 5260, 5300.)</w:t>
      </w:r>
    </w:p>
  </w:footnote>
  <w:footnote w:id="6">
    <w:p w:rsidR="00405A81" w:rsidP="00CE62E1" w14:paraId="58D60F5A" w14:textId="77777777">
      <w:pPr>
        <w:pStyle w:val="FootnoteText"/>
      </w:pPr>
      <w:r>
        <w:rPr>
          <w:rStyle w:val="FootnoteReference"/>
        </w:rPr>
        <w:footnoteRef/>
      </w:r>
      <w:r>
        <w:t xml:space="preserve"> </w:t>
      </w:r>
      <w:r>
        <w:tab/>
        <w:t>Release is also required at the end of an involuntary detention period, unless the gravely disabled person is certified for an additional 14 or 30 days of intensive treatment, is the subject of a petition for conservatorship or confinement of a dangerous person (see § 5300), or agrees to receive treatment voluntarily.  (§ 5257, subd. (b).)</w:t>
      </w:r>
    </w:p>
  </w:footnote>
  <w:footnote w:id="7">
    <w:p w:rsidR="00405A81" w:rsidP="00CE62E1" w14:paraId="57D4B058" w14:textId="480B274C">
      <w:pPr>
        <w:pStyle w:val="FootnoteText"/>
      </w:pPr>
      <w:r>
        <w:rPr>
          <w:rStyle w:val="FootnoteReference"/>
        </w:rPr>
        <w:footnoteRef/>
      </w:r>
      <w:r>
        <w:t xml:space="preserve"> </w:t>
      </w:r>
      <w:r>
        <w:tab/>
        <w:t>These requirements also apply when conservatorship is considered for someone who is already subject to a Probate Code conservatorship.  (§ 5350.5</w:t>
      </w:r>
      <w:r w:rsidR="00413B5D">
        <w:t>, subd. (a)</w:t>
      </w:r>
      <w:r>
        <w:t>.)</w:t>
      </w:r>
    </w:p>
  </w:footnote>
  <w:footnote w:id="8">
    <w:p w:rsidR="00405A81" w:rsidP="00CE62E1" w14:paraId="157E0487" w14:textId="3DEE89B6">
      <w:pPr>
        <w:pStyle w:val="FootnoteText"/>
      </w:pPr>
      <w:r>
        <w:rPr>
          <w:rStyle w:val="FootnoteReference"/>
        </w:rPr>
        <w:footnoteRef/>
      </w:r>
      <w:r>
        <w:t xml:space="preserve"> </w:t>
      </w:r>
      <w:r>
        <w:tab/>
        <w:t xml:space="preserve">If an inpatient placement is necessary for a proper determination of grave disability, the detention process under </w:t>
      </w:r>
      <w:r w:rsidR="00695CFD">
        <w:t>c</w:t>
      </w:r>
      <w:r>
        <w:t>hapter 2 may be initiated.</w:t>
      </w:r>
    </w:p>
  </w:footnote>
  <w:footnote w:id="9">
    <w:p w:rsidR="00EA2482" w:rsidP="00CE62E1" w14:paraId="1E805961" w14:textId="4657FE39">
      <w:pPr>
        <w:pStyle w:val="FootnoteText"/>
      </w:pPr>
      <w:r>
        <w:rPr>
          <w:rStyle w:val="FootnoteReference"/>
        </w:rPr>
        <w:footnoteRef/>
      </w:r>
      <w:r>
        <w:t xml:space="preserve"> </w:t>
      </w:r>
      <w:r>
        <w:tab/>
      </w:r>
      <w:r w:rsidR="00415487">
        <w:t xml:space="preserve">K.P. </w:t>
      </w:r>
      <w:r w:rsidR="00C35A29">
        <w:t>offers a different reading of section 5352</w:t>
      </w:r>
      <w:r w:rsidR="00415487">
        <w:t xml:space="preserve">.  He </w:t>
      </w:r>
      <w:r w:rsidR="00C35A29">
        <w:t>asserts</w:t>
      </w:r>
      <w:r w:rsidR="00415487">
        <w:t xml:space="preserve"> the </w:t>
      </w:r>
      <w:r w:rsidR="00C35A29">
        <w:t xml:space="preserve">statute’s </w:t>
      </w:r>
      <w:r w:rsidR="00415487">
        <w:t xml:space="preserve">second paragraph merely </w:t>
      </w:r>
      <w:r w:rsidR="00C35A29">
        <w:t xml:space="preserve">provides an alternate mechanism for outpatient recommendations and does not alter the substantive standards set forth in the first paragraph.  In particular, he contends the first paragraph’s requirements should be incorporated into the second paragraph.  This interpretation is contradicted by the statutory language, which clearly establishes only two requirements for an outpatient recommendation and does not reference or incorporate the first paragraph’s inpatient recommendation requirements.  More importantly, </w:t>
      </w:r>
      <w:r w:rsidR="000C2CDE">
        <w:t xml:space="preserve">as will be discussed, </w:t>
      </w:r>
      <w:r w:rsidR="00C35A29">
        <w:t xml:space="preserve">nothing in section 5352 evinces a legislative intent to incorporate the guidelines for a treatment provider’s </w:t>
      </w:r>
      <w:r w:rsidRPr="009049C5" w:rsidR="00C35A29">
        <w:rPr>
          <w:i/>
          <w:iCs/>
        </w:rPr>
        <w:t>initiation</w:t>
      </w:r>
      <w:r w:rsidR="00C35A29">
        <w:t xml:space="preserve"> of conservatorship proceedings into the factual findings required to impose a conservatorship.</w:t>
      </w:r>
    </w:p>
  </w:footnote>
  <w:footnote w:id="10">
    <w:p w:rsidR="002E767E" w:rsidP="00CE62E1" w14:paraId="65C42549" w14:textId="77777777">
      <w:pPr>
        <w:pStyle w:val="FootnoteText"/>
      </w:pPr>
      <w:r>
        <w:rPr>
          <w:rStyle w:val="FootnoteReference"/>
        </w:rPr>
        <w:footnoteRef/>
      </w:r>
      <w:r>
        <w:t xml:space="preserve"> </w:t>
      </w:r>
      <w:r>
        <w:tab/>
        <w:t>It should be recalled, however, that those potentially subject to conservatorship will often have been found unwilling or unable to accept treatment by the professional initially recommending conservatorship (§ 5352) and as part of the involuntary detention process (see §§ 5150, subd. (c), 5250, subd. (c), 5270.15, subd. (a)), in which the determination is subject to habeas corpus review (§ 5275).</w:t>
      </w:r>
    </w:p>
  </w:footnote>
  <w:footnote w:id="11">
    <w:p w:rsidR="003432BA" w:rsidRPr="003432BA" w:rsidP="00CE62E1" w14:paraId="6EBC2FAE" w14:textId="5CC3795E">
      <w:pPr>
        <w:pStyle w:val="FootnoteText"/>
      </w:pPr>
      <w:r>
        <w:rPr>
          <w:rStyle w:val="FootnoteReference"/>
        </w:rPr>
        <w:footnoteRef/>
      </w:r>
      <w:r>
        <w:t xml:space="preserve"> </w:t>
      </w:r>
      <w:r>
        <w:tab/>
        <w:t xml:space="preserve">K.P. has presented no evidence or argument suggesting he was willing to submit to </w:t>
      </w:r>
      <w:r>
        <w:rPr>
          <w:i/>
          <w:iCs/>
        </w:rPr>
        <w:t>inpatient</w:t>
      </w:r>
      <w:r>
        <w:t xml:space="preserve"> treatment.  Generally, the relevant question in a conservatorship trial is whether the proposed conservatee is able to “survive safely </w:t>
      </w:r>
      <w:r>
        <w:rPr>
          <w:i/>
          <w:iCs/>
        </w:rPr>
        <w:t>in freedom</w:t>
      </w:r>
      <w:r>
        <w:t>,” either alone or with the willing help of others.  (</w:t>
      </w:r>
      <w:r>
        <w:rPr>
          <w:i/>
          <w:iCs/>
        </w:rPr>
        <w:t>Early</w:t>
      </w:r>
      <w:r>
        <w:t xml:space="preserve">, </w:t>
      </w:r>
      <w:r>
        <w:rPr>
          <w:i/>
        </w:rPr>
        <w:t>supra</w:t>
      </w:r>
      <w:r>
        <w:t>, 35 Cal.3d at p. 255, italics added.)</w:t>
      </w:r>
    </w:p>
  </w:footnote>
  <w:footnote w:id="12">
    <w:p w:rsidR="00092DE8" w:rsidRPr="006579F1" w14:paraId="3676C2E9" w14:textId="16271F09">
      <w:pPr>
        <w:pStyle w:val="FootnoteText"/>
        <w:rPr>
          <w:szCs w:val="26"/>
        </w:rPr>
      </w:pPr>
      <w:r>
        <w:rPr>
          <w:rStyle w:val="FootnoteReference"/>
        </w:rPr>
        <w:footnoteRef/>
      </w:r>
      <w:r>
        <w:t xml:space="preserve"> </w:t>
      </w:r>
      <w:r>
        <w:tab/>
      </w:r>
      <w:r w:rsidRPr="002218EF" w:rsidR="002218EF">
        <w:rPr>
          <w:szCs w:val="26"/>
        </w:rPr>
        <w:t>Similarly, a person who can survive safely with the responsible help of others is not gravely disabled.  If proper evidence of such assistance is presented, the county must prove that the assistance would not enable the proposed conservat</w:t>
      </w:r>
      <w:r w:rsidR="002218EF">
        <w:rPr>
          <w:szCs w:val="26"/>
        </w:rPr>
        <w:t>e</w:t>
      </w:r>
      <w:r w:rsidRPr="002218EF" w:rsidR="002218EF">
        <w:rPr>
          <w:szCs w:val="26"/>
        </w:rPr>
        <w:t>e to survive safely without involuntary detention.  But the county’s burden on this topic extends only to assistance put at issue by the evidence.  Section 5350, subdivision (e)(</w:t>
      </w:r>
      <w:r w:rsidR="0052071C">
        <w:rPr>
          <w:szCs w:val="26"/>
        </w:rPr>
        <w:t>2</w:t>
      </w:r>
      <w:r w:rsidRPr="002218EF" w:rsidR="002218EF">
        <w:rPr>
          <w:szCs w:val="26"/>
        </w:rPr>
        <w:t xml:space="preserve">) requires that, </w:t>
      </w:r>
      <w:bookmarkStart w:id="11" w:name="_Hlk74831993"/>
      <w:r w:rsidRPr="002218EF" w:rsidR="002218EF">
        <w:rPr>
          <w:szCs w:val="26"/>
        </w:rPr>
        <w:t xml:space="preserve">“unless they specifically indicate in writing their willingness and ability to help, family, friends, or others shall not be considered willing or able to </w:t>
      </w:r>
      <w:r w:rsidR="0052071C">
        <w:rPr>
          <w:szCs w:val="26"/>
        </w:rPr>
        <w:t xml:space="preserve">provide this </w:t>
      </w:r>
      <w:r w:rsidRPr="002218EF" w:rsidR="002218EF">
        <w:rPr>
          <w:szCs w:val="26"/>
        </w:rPr>
        <w:t>help.”</w:t>
      </w:r>
      <w:bookmarkEnd w:id="11"/>
      <w:r w:rsidRPr="002218EF" w:rsidR="002218EF">
        <w:rPr>
          <w:szCs w:val="26"/>
        </w:rPr>
        <w:t xml:space="preserve">  The mere possibility of assistance from others is not sufficient to defeat a conservatorship.</w:t>
      </w:r>
    </w:p>
  </w:footnote>
  <w:footnote w:id="13">
    <w:p w:rsidR="00405A81" w:rsidRPr="005C382C" w:rsidP="00CE62E1" w14:paraId="1E0AA1A4" w14:textId="69B909AE">
      <w:pPr>
        <w:pStyle w:val="FootnoteText"/>
      </w:pPr>
      <w:r>
        <w:rPr>
          <w:rStyle w:val="FootnoteReference"/>
        </w:rPr>
        <w:footnoteRef/>
      </w:r>
      <w:r>
        <w:t xml:space="preserve"> </w:t>
      </w:r>
      <w:r>
        <w:tab/>
        <w:t xml:space="preserve">The </w:t>
      </w:r>
      <w:r>
        <w:rPr>
          <w:i/>
          <w:iCs/>
        </w:rPr>
        <w:t>Davis</w:t>
      </w:r>
      <w:r>
        <w:t xml:space="preserve"> decision was essentially followed in </w:t>
      </w:r>
      <w:r>
        <w:rPr>
          <w:i/>
          <w:iCs/>
        </w:rPr>
        <w:t>Conservatorship of Baber</w:t>
      </w:r>
      <w:r>
        <w:t xml:space="preserve"> (1984) 153 Cal.App.3d 542, which involved similar instructions.  Although it approved the instructions in principle, however, </w:t>
      </w:r>
      <w:r>
        <w:rPr>
          <w:i/>
          <w:iCs/>
        </w:rPr>
        <w:t>Baber</w:t>
      </w:r>
      <w:r>
        <w:t xml:space="preserve"> found error in the voluntary assistance instruction’s phrasing because it asked only if the proposed conservatee was “unwilling” to accept voluntary treatment, not whether he was “</w:t>
      </w:r>
      <w:r w:rsidR="003401E6">
        <w:t> ‘</w:t>
      </w:r>
      <w:r>
        <w:t>unwilling or unable</w:t>
      </w:r>
      <w:r w:rsidR="003401E6">
        <w:t>’ </w:t>
      </w:r>
      <w:r>
        <w:t>” to do so.  (</w:t>
      </w:r>
      <w:r>
        <w:rPr>
          <w:i/>
          <w:iCs/>
        </w:rPr>
        <w:t>Id</w:t>
      </w:r>
      <w:r>
        <w:t>. at p. 552</w:t>
      </w:r>
      <w:r w:rsidR="00F10309">
        <w:t>, italics omitted</w:t>
      </w:r>
      <w:r>
        <w:t xml:space="preserve">.)  Thus, a verdict of no grave disability would have been required if the jury found merely that Baber was willing to accept treatment, even if he </w:t>
      </w:r>
      <w:r w:rsidR="00F10309">
        <w:t>were</w:t>
      </w:r>
      <w:r>
        <w:t xml:space="preserve"> incapable of doing so.  (</w:t>
      </w:r>
      <w:r>
        <w:rPr>
          <w:i/>
          <w:iCs/>
        </w:rPr>
        <w:t>Ibid</w:t>
      </w:r>
      <w:r>
        <w:t>.)</w:t>
      </w:r>
    </w:p>
  </w:footnote>
  <w:footnote w:id="14">
    <w:p w:rsidR="00405A81" w:rsidP="00CE62E1" w14:paraId="11419D44" w14:textId="187FB05A">
      <w:pPr>
        <w:pStyle w:val="FootnoteText"/>
      </w:pPr>
      <w:r>
        <w:rPr>
          <w:rStyle w:val="FootnoteReference"/>
        </w:rPr>
        <w:footnoteRef/>
      </w:r>
      <w:r>
        <w:t xml:space="preserve"> </w:t>
      </w:r>
      <w:r>
        <w:tab/>
        <w:t xml:space="preserve">The Judicial Council’s form instruction for CACI No. 4000 includes this requirement in brackets.  A use note explains, with citations to </w:t>
      </w:r>
      <w:r>
        <w:rPr>
          <w:i/>
          <w:iCs/>
        </w:rPr>
        <w:t>Symington</w:t>
      </w:r>
      <w:r>
        <w:t xml:space="preserve">, </w:t>
      </w:r>
      <w:r>
        <w:rPr>
          <w:i/>
        </w:rPr>
        <w:t>supra</w:t>
      </w:r>
      <w:r>
        <w:t xml:space="preserve">, 209 Cal.App.3d at page 1467 and </w:t>
      </w:r>
      <w:r>
        <w:rPr>
          <w:i/>
          <w:iCs/>
        </w:rPr>
        <w:t>Davis</w:t>
      </w:r>
      <w:r>
        <w:t xml:space="preserve">, </w:t>
      </w:r>
      <w:r>
        <w:rPr>
          <w:i/>
        </w:rPr>
        <w:t>supra</w:t>
      </w:r>
      <w:r>
        <w:t>, 124 Cal.App.3d at page 328, that “[t]here is a split of authority as to whether element 3 is required.”  (Use Note to CACI No. 4000 (2020) p. </w:t>
      </w:r>
      <w:r w:rsidR="003401E6">
        <w:t>976</w:t>
      </w:r>
      <w:r>
        <w:t>.)</w:t>
      </w:r>
    </w:p>
  </w:footnote>
  <w:footnote w:id="15">
    <w:p w:rsidR="002C11F7" w:rsidRPr="00454937" w:rsidP="00CE62E1" w14:paraId="7DD27A5D" w14:textId="0C6FA494">
      <w:pPr>
        <w:pStyle w:val="FootnoteText"/>
      </w:pPr>
      <w:r>
        <w:rPr>
          <w:rStyle w:val="FootnoteReference"/>
        </w:rPr>
        <w:footnoteRef/>
      </w:r>
      <w:r>
        <w:t xml:space="preserve"> </w:t>
      </w:r>
      <w:r>
        <w:tab/>
        <w:t>In this way, amenability to treatment is similar to the role of motive in a homicide trial.  Motive is not an element of any homicide offense; however, evidence of motive may be relevant to show the offender’s mental state, which is a required element.</w:t>
      </w:r>
      <w:r w:rsidR="00D266D5">
        <w:t xml:space="preserve">  (See </w:t>
      </w:r>
      <w:r w:rsidR="00D266D5">
        <w:rPr>
          <w:i/>
          <w:iCs/>
        </w:rPr>
        <w:t>People v. Smith</w:t>
      </w:r>
      <w:r w:rsidR="00D266D5">
        <w:t xml:space="preserve"> (2005) 37 Cal.4th 733, 740</w:t>
      </w:r>
      <w:r w:rsidRPr="00CE62E1" w:rsidR="00BD7BFC">
        <w:t>–</w:t>
      </w:r>
      <w:r w:rsidR="00D266D5">
        <w:t>742.)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2E1" w14:paraId="3246C95E" w14:textId="1797013F">
    <w:pPr>
      <w:pStyle w:val="Header"/>
    </w:pPr>
    <w:bookmarkStart w:id="2" w:name="_Hlk71119886"/>
    <w:bookmarkStart w:id="3" w:name="_Hlk71119887"/>
    <w:bookmarkStart w:id="4" w:name="_Hlk71119888"/>
    <w:bookmarkStart w:id="5" w:name="_Hlk71119889"/>
    <w:bookmarkStart w:id="6" w:name="_Hlk71119890"/>
    <w:bookmarkStart w:id="7" w:name="_Hlk71119891"/>
    <w:bookmarkStart w:id="8" w:name="_Hlk71119892"/>
    <w:bookmarkStart w:id="9" w:name="_Hlk71119893"/>
    <w:r w:rsidRPr="00695CFD">
      <w:t>Conservatorship of</w:t>
    </w:r>
    <w:r>
      <w:t xml:space="preserve"> K.P.</w:t>
    </w:r>
  </w:p>
  <w:p w:rsidR="00CE62E1" w14:paraId="5E7387A4" w14:textId="31B698E2">
    <w:pPr>
      <w:pStyle w:val="Header"/>
    </w:pPr>
    <w:r>
      <w:t>Opinion of the Court by Corrigan, J.</w:t>
    </w:r>
  </w:p>
  <w:bookmarkEnd w:id="2"/>
  <w:bookmarkEnd w:id="3"/>
  <w:bookmarkEnd w:id="4"/>
  <w:bookmarkEnd w:id="5"/>
  <w:bookmarkEnd w:id="6"/>
  <w:bookmarkEnd w:id="7"/>
  <w:bookmarkEnd w:id="8"/>
  <w:bookmarkEnd w:id="9"/>
  <w:p w:rsidR="00CE62E1" w14:paraId="4513D3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0A9E" w14:paraId="6482771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0A9E" w14:paraId="78B0C50A"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0A9E" w14:paraId="4532FE8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5E1267D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A4"/>
    <w:rsid w:val="00000E4D"/>
    <w:rsid w:val="000015E9"/>
    <w:rsid w:val="0000202A"/>
    <w:rsid w:val="00002FD8"/>
    <w:rsid w:val="000035A5"/>
    <w:rsid w:val="000052A1"/>
    <w:rsid w:val="000068CC"/>
    <w:rsid w:val="000101DC"/>
    <w:rsid w:val="0001056E"/>
    <w:rsid w:val="00010E90"/>
    <w:rsid w:val="0001156F"/>
    <w:rsid w:val="00012759"/>
    <w:rsid w:val="00012A73"/>
    <w:rsid w:val="0001378A"/>
    <w:rsid w:val="00013AF3"/>
    <w:rsid w:val="0002087D"/>
    <w:rsid w:val="000216A1"/>
    <w:rsid w:val="00021948"/>
    <w:rsid w:val="00022148"/>
    <w:rsid w:val="00022360"/>
    <w:rsid w:val="000229F7"/>
    <w:rsid w:val="0002369D"/>
    <w:rsid w:val="00024503"/>
    <w:rsid w:val="000256EA"/>
    <w:rsid w:val="00032D13"/>
    <w:rsid w:val="000339E0"/>
    <w:rsid w:val="00035291"/>
    <w:rsid w:val="00035A56"/>
    <w:rsid w:val="0003622E"/>
    <w:rsid w:val="000365AB"/>
    <w:rsid w:val="00040FFE"/>
    <w:rsid w:val="00042502"/>
    <w:rsid w:val="00046058"/>
    <w:rsid w:val="000460C0"/>
    <w:rsid w:val="00047553"/>
    <w:rsid w:val="00050D02"/>
    <w:rsid w:val="000513D0"/>
    <w:rsid w:val="000527E6"/>
    <w:rsid w:val="00052F00"/>
    <w:rsid w:val="00053A47"/>
    <w:rsid w:val="00055169"/>
    <w:rsid w:val="00056778"/>
    <w:rsid w:val="000567AE"/>
    <w:rsid w:val="000601DC"/>
    <w:rsid w:val="0006030F"/>
    <w:rsid w:val="00060965"/>
    <w:rsid w:val="000615EA"/>
    <w:rsid w:val="00061791"/>
    <w:rsid w:val="0006301A"/>
    <w:rsid w:val="00063519"/>
    <w:rsid w:val="0006505C"/>
    <w:rsid w:val="0006514A"/>
    <w:rsid w:val="00065171"/>
    <w:rsid w:val="000663A4"/>
    <w:rsid w:val="00066C09"/>
    <w:rsid w:val="00070568"/>
    <w:rsid w:val="0007169B"/>
    <w:rsid w:val="000726D0"/>
    <w:rsid w:val="0007460B"/>
    <w:rsid w:val="000769F3"/>
    <w:rsid w:val="00077937"/>
    <w:rsid w:val="00081491"/>
    <w:rsid w:val="000816EF"/>
    <w:rsid w:val="00083A34"/>
    <w:rsid w:val="00084163"/>
    <w:rsid w:val="00084B8B"/>
    <w:rsid w:val="00086FFB"/>
    <w:rsid w:val="00090245"/>
    <w:rsid w:val="00090490"/>
    <w:rsid w:val="00090C05"/>
    <w:rsid w:val="00092777"/>
    <w:rsid w:val="00092C6A"/>
    <w:rsid w:val="00092DE8"/>
    <w:rsid w:val="000930FD"/>
    <w:rsid w:val="00095330"/>
    <w:rsid w:val="000966CA"/>
    <w:rsid w:val="00097320"/>
    <w:rsid w:val="000A21BD"/>
    <w:rsid w:val="000A3181"/>
    <w:rsid w:val="000A4C36"/>
    <w:rsid w:val="000A71C4"/>
    <w:rsid w:val="000A76E9"/>
    <w:rsid w:val="000B025D"/>
    <w:rsid w:val="000B03FF"/>
    <w:rsid w:val="000B1D9B"/>
    <w:rsid w:val="000B232A"/>
    <w:rsid w:val="000B58B2"/>
    <w:rsid w:val="000B6937"/>
    <w:rsid w:val="000B76E0"/>
    <w:rsid w:val="000B7F74"/>
    <w:rsid w:val="000C058F"/>
    <w:rsid w:val="000C059D"/>
    <w:rsid w:val="000C0F8C"/>
    <w:rsid w:val="000C2CDE"/>
    <w:rsid w:val="000C65F2"/>
    <w:rsid w:val="000C7980"/>
    <w:rsid w:val="000D0CBC"/>
    <w:rsid w:val="000D10AB"/>
    <w:rsid w:val="000D1957"/>
    <w:rsid w:val="000D1C19"/>
    <w:rsid w:val="000D25DE"/>
    <w:rsid w:val="000D4997"/>
    <w:rsid w:val="000D4E19"/>
    <w:rsid w:val="000D54AF"/>
    <w:rsid w:val="000D62E0"/>
    <w:rsid w:val="000D7679"/>
    <w:rsid w:val="000E1572"/>
    <w:rsid w:val="000E2CB8"/>
    <w:rsid w:val="000E2FB7"/>
    <w:rsid w:val="000E36EB"/>
    <w:rsid w:val="000E3A40"/>
    <w:rsid w:val="000E6672"/>
    <w:rsid w:val="000E75E4"/>
    <w:rsid w:val="000E7A1F"/>
    <w:rsid w:val="000F0A4F"/>
    <w:rsid w:val="000F2645"/>
    <w:rsid w:val="001015C9"/>
    <w:rsid w:val="001021AF"/>
    <w:rsid w:val="0010279D"/>
    <w:rsid w:val="00107971"/>
    <w:rsid w:val="0011064E"/>
    <w:rsid w:val="001119E9"/>
    <w:rsid w:val="00114B92"/>
    <w:rsid w:val="00116C92"/>
    <w:rsid w:val="00117A19"/>
    <w:rsid w:val="0012147E"/>
    <w:rsid w:val="00124221"/>
    <w:rsid w:val="001242C7"/>
    <w:rsid w:val="00124EFB"/>
    <w:rsid w:val="001252EA"/>
    <w:rsid w:val="001265DB"/>
    <w:rsid w:val="00126B80"/>
    <w:rsid w:val="00127453"/>
    <w:rsid w:val="00127A54"/>
    <w:rsid w:val="001300E7"/>
    <w:rsid w:val="001300ED"/>
    <w:rsid w:val="001308F5"/>
    <w:rsid w:val="00130D9A"/>
    <w:rsid w:val="0013196B"/>
    <w:rsid w:val="001332EA"/>
    <w:rsid w:val="0013361A"/>
    <w:rsid w:val="00134193"/>
    <w:rsid w:val="001343EC"/>
    <w:rsid w:val="001366D7"/>
    <w:rsid w:val="00137572"/>
    <w:rsid w:val="00140E52"/>
    <w:rsid w:val="0014162F"/>
    <w:rsid w:val="00141F07"/>
    <w:rsid w:val="00142F1A"/>
    <w:rsid w:val="001444F1"/>
    <w:rsid w:val="00145590"/>
    <w:rsid w:val="001477E7"/>
    <w:rsid w:val="00150CDA"/>
    <w:rsid w:val="00152688"/>
    <w:rsid w:val="001528DD"/>
    <w:rsid w:val="00152D99"/>
    <w:rsid w:val="00153511"/>
    <w:rsid w:val="0015444B"/>
    <w:rsid w:val="0015465E"/>
    <w:rsid w:val="00154FBB"/>
    <w:rsid w:val="00155591"/>
    <w:rsid w:val="00160750"/>
    <w:rsid w:val="0016130C"/>
    <w:rsid w:val="00161F4F"/>
    <w:rsid w:val="00161F9A"/>
    <w:rsid w:val="00163071"/>
    <w:rsid w:val="00163169"/>
    <w:rsid w:val="001636B4"/>
    <w:rsid w:val="0016541A"/>
    <w:rsid w:val="00165556"/>
    <w:rsid w:val="00165BE9"/>
    <w:rsid w:val="00166EEA"/>
    <w:rsid w:val="00167335"/>
    <w:rsid w:val="001676BC"/>
    <w:rsid w:val="0016794A"/>
    <w:rsid w:val="00171710"/>
    <w:rsid w:val="00172DA3"/>
    <w:rsid w:val="001736E5"/>
    <w:rsid w:val="001737AA"/>
    <w:rsid w:val="00173E8A"/>
    <w:rsid w:val="001746CA"/>
    <w:rsid w:val="001801DB"/>
    <w:rsid w:val="0018209C"/>
    <w:rsid w:val="0018252E"/>
    <w:rsid w:val="00182FC9"/>
    <w:rsid w:val="0018350A"/>
    <w:rsid w:val="00183DD1"/>
    <w:rsid w:val="00184818"/>
    <w:rsid w:val="00184C28"/>
    <w:rsid w:val="00185571"/>
    <w:rsid w:val="00185F75"/>
    <w:rsid w:val="001865F7"/>
    <w:rsid w:val="00190AA2"/>
    <w:rsid w:val="00191D22"/>
    <w:rsid w:val="00192B66"/>
    <w:rsid w:val="00192C09"/>
    <w:rsid w:val="00193659"/>
    <w:rsid w:val="00194B86"/>
    <w:rsid w:val="00195A41"/>
    <w:rsid w:val="00196ED5"/>
    <w:rsid w:val="00197BDB"/>
    <w:rsid w:val="00197D5F"/>
    <w:rsid w:val="001A1225"/>
    <w:rsid w:val="001A12D4"/>
    <w:rsid w:val="001A1E9D"/>
    <w:rsid w:val="001A2DE8"/>
    <w:rsid w:val="001A35C3"/>
    <w:rsid w:val="001A3C8C"/>
    <w:rsid w:val="001A3D0F"/>
    <w:rsid w:val="001A4056"/>
    <w:rsid w:val="001A4F2A"/>
    <w:rsid w:val="001A52B0"/>
    <w:rsid w:val="001A6D17"/>
    <w:rsid w:val="001B07AD"/>
    <w:rsid w:val="001B0FAB"/>
    <w:rsid w:val="001B39D7"/>
    <w:rsid w:val="001B4423"/>
    <w:rsid w:val="001C12EF"/>
    <w:rsid w:val="001C1D9F"/>
    <w:rsid w:val="001C28D0"/>
    <w:rsid w:val="001C342C"/>
    <w:rsid w:val="001C491F"/>
    <w:rsid w:val="001C5241"/>
    <w:rsid w:val="001C56B5"/>
    <w:rsid w:val="001C795F"/>
    <w:rsid w:val="001D0818"/>
    <w:rsid w:val="001D129E"/>
    <w:rsid w:val="001D2D45"/>
    <w:rsid w:val="001D2F7F"/>
    <w:rsid w:val="001D302F"/>
    <w:rsid w:val="001D7408"/>
    <w:rsid w:val="001E1BDA"/>
    <w:rsid w:val="001E1CAB"/>
    <w:rsid w:val="001E1DDD"/>
    <w:rsid w:val="001E36AA"/>
    <w:rsid w:val="001E3C12"/>
    <w:rsid w:val="001E7751"/>
    <w:rsid w:val="001E78E5"/>
    <w:rsid w:val="001E7CC4"/>
    <w:rsid w:val="001F1079"/>
    <w:rsid w:val="001F20AA"/>
    <w:rsid w:val="001F2724"/>
    <w:rsid w:val="001F296C"/>
    <w:rsid w:val="001F2D3B"/>
    <w:rsid w:val="001F2E5C"/>
    <w:rsid w:val="001F332F"/>
    <w:rsid w:val="001F360A"/>
    <w:rsid w:val="001F4E96"/>
    <w:rsid w:val="001F510E"/>
    <w:rsid w:val="001F5BBD"/>
    <w:rsid w:val="001F661C"/>
    <w:rsid w:val="001F77A9"/>
    <w:rsid w:val="0020191B"/>
    <w:rsid w:val="002021FE"/>
    <w:rsid w:val="00202B89"/>
    <w:rsid w:val="00203946"/>
    <w:rsid w:val="0020508E"/>
    <w:rsid w:val="00210B63"/>
    <w:rsid w:val="00211FCF"/>
    <w:rsid w:val="00212938"/>
    <w:rsid w:val="00212C43"/>
    <w:rsid w:val="00212DED"/>
    <w:rsid w:val="00213695"/>
    <w:rsid w:val="002136C5"/>
    <w:rsid w:val="002218EF"/>
    <w:rsid w:val="002233C1"/>
    <w:rsid w:val="0022358C"/>
    <w:rsid w:val="00224168"/>
    <w:rsid w:val="0022437D"/>
    <w:rsid w:val="00224827"/>
    <w:rsid w:val="0022671C"/>
    <w:rsid w:val="002271BA"/>
    <w:rsid w:val="00232240"/>
    <w:rsid w:val="0023398E"/>
    <w:rsid w:val="00236C93"/>
    <w:rsid w:val="002375E8"/>
    <w:rsid w:val="00241FC8"/>
    <w:rsid w:val="002420C0"/>
    <w:rsid w:val="00242A4D"/>
    <w:rsid w:val="002508CA"/>
    <w:rsid w:val="002509CE"/>
    <w:rsid w:val="00251BD4"/>
    <w:rsid w:val="00254508"/>
    <w:rsid w:val="00254640"/>
    <w:rsid w:val="00254D8C"/>
    <w:rsid w:val="002557CE"/>
    <w:rsid w:val="0026016A"/>
    <w:rsid w:val="002613C8"/>
    <w:rsid w:val="00261AD4"/>
    <w:rsid w:val="002634A8"/>
    <w:rsid w:val="00263AD8"/>
    <w:rsid w:val="0026444F"/>
    <w:rsid w:val="002651E1"/>
    <w:rsid w:val="002669F3"/>
    <w:rsid w:val="00271B2B"/>
    <w:rsid w:val="00271EC3"/>
    <w:rsid w:val="00274177"/>
    <w:rsid w:val="00275A71"/>
    <w:rsid w:val="00275CA8"/>
    <w:rsid w:val="00277140"/>
    <w:rsid w:val="0027749C"/>
    <w:rsid w:val="002807E2"/>
    <w:rsid w:val="00281237"/>
    <w:rsid w:val="00282A1E"/>
    <w:rsid w:val="00284D3D"/>
    <w:rsid w:val="00286B61"/>
    <w:rsid w:val="00287C8B"/>
    <w:rsid w:val="0029087C"/>
    <w:rsid w:val="002914ED"/>
    <w:rsid w:val="002933A1"/>
    <w:rsid w:val="00294574"/>
    <w:rsid w:val="00294B2F"/>
    <w:rsid w:val="00296636"/>
    <w:rsid w:val="002A17CD"/>
    <w:rsid w:val="002A434D"/>
    <w:rsid w:val="002A4D0C"/>
    <w:rsid w:val="002A57D6"/>
    <w:rsid w:val="002A643B"/>
    <w:rsid w:val="002A75E7"/>
    <w:rsid w:val="002A7C92"/>
    <w:rsid w:val="002A7C9C"/>
    <w:rsid w:val="002B7542"/>
    <w:rsid w:val="002B7E98"/>
    <w:rsid w:val="002C11F7"/>
    <w:rsid w:val="002C411C"/>
    <w:rsid w:val="002C5FAA"/>
    <w:rsid w:val="002C6A9F"/>
    <w:rsid w:val="002C6B66"/>
    <w:rsid w:val="002C6FB1"/>
    <w:rsid w:val="002C70B1"/>
    <w:rsid w:val="002C7C2D"/>
    <w:rsid w:val="002D035B"/>
    <w:rsid w:val="002D1D42"/>
    <w:rsid w:val="002D25A5"/>
    <w:rsid w:val="002D25BB"/>
    <w:rsid w:val="002D2F09"/>
    <w:rsid w:val="002D4A12"/>
    <w:rsid w:val="002D5D01"/>
    <w:rsid w:val="002D68B6"/>
    <w:rsid w:val="002E0421"/>
    <w:rsid w:val="002E0447"/>
    <w:rsid w:val="002E1D31"/>
    <w:rsid w:val="002E1E70"/>
    <w:rsid w:val="002E1E98"/>
    <w:rsid w:val="002E2486"/>
    <w:rsid w:val="002E5642"/>
    <w:rsid w:val="002E56E5"/>
    <w:rsid w:val="002E59D4"/>
    <w:rsid w:val="002E6723"/>
    <w:rsid w:val="002E767E"/>
    <w:rsid w:val="002F0601"/>
    <w:rsid w:val="002F1344"/>
    <w:rsid w:val="002F1FC8"/>
    <w:rsid w:val="002F3CDA"/>
    <w:rsid w:val="00300213"/>
    <w:rsid w:val="00300639"/>
    <w:rsid w:val="00301D39"/>
    <w:rsid w:val="00301F4A"/>
    <w:rsid w:val="003115BB"/>
    <w:rsid w:val="003120FF"/>
    <w:rsid w:val="0031271E"/>
    <w:rsid w:val="00312E88"/>
    <w:rsid w:val="00312EA6"/>
    <w:rsid w:val="003144E7"/>
    <w:rsid w:val="00315F88"/>
    <w:rsid w:val="003171EA"/>
    <w:rsid w:val="00322E49"/>
    <w:rsid w:val="003240DD"/>
    <w:rsid w:val="00325C10"/>
    <w:rsid w:val="0032683E"/>
    <w:rsid w:val="00327999"/>
    <w:rsid w:val="003301F9"/>
    <w:rsid w:val="00330D24"/>
    <w:rsid w:val="00331294"/>
    <w:rsid w:val="00331B8E"/>
    <w:rsid w:val="00331D24"/>
    <w:rsid w:val="003324DB"/>
    <w:rsid w:val="003342C7"/>
    <w:rsid w:val="003347CA"/>
    <w:rsid w:val="003348DF"/>
    <w:rsid w:val="00335C27"/>
    <w:rsid w:val="003401E6"/>
    <w:rsid w:val="003408E1"/>
    <w:rsid w:val="003413BB"/>
    <w:rsid w:val="00343102"/>
    <w:rsid w:val="003432BA"/>
    <w:rsid w:val="003438A8"/>
    <w:rsid w:val="00344CE6"/>
    <w:rsid w:val="0034600F"/>
    <w:rsid w:val="00346578"/>
    <w:rsid w:val="003515C5"/>
    <w:rsid w:val="00352DD2"/>
    <w:rsid w:val="00354866"/>
    <w:rsid w:val="00355799"/>
    <w:rsid w:val="00355DC3"/>
    <w:rsid w:val="00356A08"/>
    <w:rsid w:val="00356FB3"/>
    <w:rsid w:val="00360933"/>
    <w:rsid w:val="0036212D"/>
    <w:rsid w:val="00363197"/>
    <w:rsid w:val="003634CD"/>
    <w:rsid w:val="00363DAE"/>
    <w:rsid w:val="00365D7A"/>
    <w:rsid w:val="003662D8"/>
    <w:rsid w:val="00366F4C"/>
    <w:rsid w:val="00371598"/>
    <w:rsid w:val="00371D10"/>
    <w:rsid w:val="00380844"/>
    <w:rsid w:val="00384FB6"/>
    <w:rsid w:val="00385578"/>
    <w:rsid w:val="00385DE3"/>
    <w:rsid w:val="00387190"/>
    <w:rsid w:val="003876CE"/>
    <w:rsid w:val="0039057D"/>
    <w:rsid w:val="00390A00"/>
    <w:rsid w:val="003915E3"/>
    <w:rsid w:val="0039167C"/>
    <w:rsid w:val="00392F1C"/>
    <w:rsid w:val="00394859"/>
    <w:rsid w:val="003A0032"/>
    <w:rsid w:val="003A0200"/>
    <w:rsid w:val="003A0354"/>
    <w:rsid w:val="003A05B5"/>
    <w:rsid w:val="003A1338"/>
    <w:rsid w:val="003A1E2E"/>
    <w:rsid w:val="003A23E0"/>
    <w:rsid w:val="003A31F6"/>
    <w:rsid w:val="003A4458"/>
    <w:rsid w:val="003A4E4D"/>
    <w:rsid w:val="003B36DF"/>
    <w:rsid w:val="003B552D"/>
    <w:rsid w:val="003B55D8"/>
    <w:rsid w:val="003C013C"/>
    <w:rsid w:val="003C183D"/>
    <w:rsid w:val="003C265D"/>
    <w:rsid w:val="003C2971"/>
    <w:rsid w:val="003C3BF7"/>
    <w:rsid w:val="003C3FB0"/>
    <w:rsid w:val="003C5201"/>
    <w:rsid w:val="003C5B30"/>
    <w:rsid w:val="003C6389"/>
    <w:rsid w:val="003C71B8"/>
    <w:rsid w:val="003D327C"/>
    <w:rsid w:val="003D4E0E"/>
    <w:rsid w:val="003E01A2"/>
    <w:rsid w:val="003E1F59"/>
    <w:rsid w:val="003E2BA9"/>
    <w:rsid w:val="003E4496"/>
    <w:rsid w:val="003E4C37"/>
    <w:rsid w:val="003E56BE"/>
    <w:rsid w:val="003E5783"/>
    <w:rsid w:val="003E5BAF"/>
    <w:rsid w:val="003F1FA5"/>
    <w:rsid w:val="003F3D52"/>
    <w:rsid w:val="003F435D"/>
    <w:rsid w:val="003F56E0"/>
    <w:rsid w:val="003F59DB"/>
    <w:rsid w:val="003F613B"/>
    <w:rsid w:val="003F694C"/>
    <w:rsid w:val="004017B7"/>
    <w:rsid w:val="004030FF"/>
    <w:rsid w:val="00403179"/>
    <w:rsid w:val="00403A26"/>
    <w:rsid w:val="00404BFE"/>
    <w:rsid w:val="00405819"/>
    <w:rsid w:val="004058EE"/>
    <w:rsid w:val="00405A81"/>
    <w:rsid w:val="00406DB7"/>
    <w:rsid w:val="00406DE7"/>
    <w:rsid w:val="0041247F"/>
    <w:rsid w:val="00412D0F"/>
    <w:rsid w:val="00412FFB"/>
    <w:rsid w:val="00413272"/>
    <w:rsid w:val="00413884"/>
    <w:rsid w:val="00413B5D"/>
    <w:rsid w:val="00415487"/>
    <w:rsid w:val="00415CE1"/>
    <w:rsid w:val="0041619C"/>
    <w:rsid w:val="00416FFE"/>
    <w:rsid w:val="00417161"/>
    <w:rsid w:val="00417441"/>
    <w:rsid w:val="00417EFF"/>
    <w:rsid w:val="00422CB3"/>
    <w:rsid w:val="00423466"/>
    <w:rsid w:val="00423BAB"/>
    <w:rsid w:val="00425015"/>
    <w:rsid w:val="0042508F"/>
    <w:rsid w:val="004300E3"/>
    <w:rsid w:val="00430C70"/>
    <w:rsid w:val="004315CB"/>
    <w:rsid w:val="00432997"/>
    <w:rsid w:val="00433217"/>
    <w:rsid w:val="00433245"/>
    <w:rsid w:val="00435FBE"/>
    <w:rsid w:val="0043711E"/>
    <w:rsid w:val="0043762E"/>
    <w:rsid w:val="00437FDE"/>
    <w:rsid w:val="004406F7"/>
    <w:rsid w:val="00442C48"/>
    <w:rsid w:val="00443733"/>
    <w:rsid w:val="0044386B"/>
    <w:rsid w:val="004463A2"/>
    <w:rsid w:val="00447BE8"/>
    <w:rsid w:val="0045077D"/>
    <w:rsid w:val="00452300"/>
    <w:rsid w:val="00453D07"/>
    <w:rsid w:val="00454937"/>
    <w:rsid w:val="004571D2"/>
    <w:rsid w:val="0046144A"/>
    <w:rsid w:val="00461D6D"/>
    <w:rsid w:val="00463355"/>
    <w:rsid w:val="004633AD"/>
    <w:rsid w:val="004639E1"/>
    <w:rsid w:val="004661F4"/>
    <w:rsid w:val="004662BA"/>
    <w:rsid w:val="004676F1"/>
    <w:rsid w:val="00470245"/>
    <w:rsid w:val="00470678"/>
    <w:rsid w:val="00470D20"/>
    <w:rsid w:val="004712CD"/>
    <w:rsid w:val="00474332"/>
    <w:rsid w:val="0047491B"/>
    <w:rsid w:val="00475E72"/>
    <w:rsid w:val="004770AC"/>
    <w:rsid w:val="004770BD"/>
    <w:rsid w:val="004778B2"/>
    <w:rsid w:val="004811F0"/>
    <w:rsid w:val="004819FD"/>
    <w:rsid w:val="00483C33"/>
    <w:rsid w:val="0048572E"/>
    <w:rsid w:val="004857DE"/>
    <w:rsid w:val="00485817"/>
    <w:rsid w:val="00486E81"/>
    <w:rsid w:val="00487593"/>
    <w:rsid w:val="00487FB5"/>
    <w:rsid w:val="0049313B"/>
    <w:rsid w:val="00493698"/>
    <w:rsid w:val="004973F6"/>
    <w:rsid w:val="0049791C"/>
    <w:rsid w:val="004A00E5"/>
    <w:rsid w:val="004A1855"/>
    <w:rsid w:val="004A2724"/>
    <w:rsid w:val="004A2F39"/>
    <w:rsid w:val="004A335D"/>
    <w:rsid w:val="004A38DF"/>
    <w:rsid w:val="004A3A17"/>
    <w:rsid w:val="004A5AE0"/>
    <w:rsid w:val="004A7C10"/>
    <w:rsid w:val="004B3774"/>
    <w:rsid w:val="004B37BB"/>
    <w:rsid w:val="004B3B88"/>
    <w:rsid w:val="004B5043"/>
    <w:rsid w:val="004C025D"/>
    <w:rsid w:val="004C0393"/>
    <w:rsid w:val="004C5625"/>
    <w:rsid w:val="004C5F00"/>
    <w:rsid w:val="004C6346"/>
    <w:rsid w:val="004C67DE"/>
    <w:rsid w:val="004C736B"/>
    <w:rsid w:val="004C7B1C"/>
    <w:rsid w:val="004D06D3"/>
    <w:rsid w:val="004D0987"/>
    <w:rsid w:val="004D21BC"/>
    <w:rsid w:val="004D2641"/>
    <w:rsid w:val="004D2FE9"/>
    <w:rsid w:val="004D3896"/>
    <w:rsid w:val="004D38F3"/>
    <w:rsid w:val="004D3D91"/>
    <w:rsid w:val="004D3E43"/>
    <w:rsid w:val="004E0612"/>
    <w:rsid w:val="004E0A16"/>
    <w:rsid w:val="004E42BA"/>
    <w:rsid w:val="004E567C"/>
    <w:rsid w:val="004E5A46"/>
    <w:rsid w:val="004E7A4F"/>
    <w:rsid w:val="004F0D00"/>
    <w:rsid w:val="004F29E5"/>
    <w:rsid w:val="004F4328"/>
    <w:rsid w:val="004F4A2F"/>
    <w:rsid w:val="004F573A"/>
    <w:rsid w:val="004F592F"/>
    <w:rsid w:val="004F664C"/>
    <w:rsid w:val="00503A46"/>
    <w:rsid w:val="00503A47"/>
    <w:rsid w:val="0050482D"/>
    <w:rsid w:val="00510119"/>
    <w:rsid w:val="00512FBE"/>
    <w:rsid w:val="005159F4"/>
    <w:rsid w:val="00517448"/>
    <w:rsid w:val="00520610"/>
    <w:rsid w:val="0052071C"/>
    <w:rsid w:val="00520B98"/>
    <w:rsid w:val="00520E76"/>
    <w:rsid w:val="0052296D"/>
    <w:rsid w:val="005229C3"/>
    <w:rsid w:val="00522FD1"/>
    <w:rsid w:val="0052364A"/>
    <w:rsid w:val="00523F41"/>
    <w:rsid w:val="00524BE5"/>
    <w:rsid w:val="00524C5B"/>
    <w:rsid w:val="00526AAB"/>
    <w:rsid w:val="00526B3E"/>
    <w:rsid w:val="00526F64"/>
    <w:rsid w:val="00527E56"/>
    <w:rsid w:val="005304C6"/>
    <w:rsid w:val="00530A28"/>
    <w:rsid w:val="00530E83"/>
    <w:rsid w:val="005334A6"/>
    <w:rsid w:val="00533C5F"/>
    <w:rsid w:val="0053457A"/>
    <w:rsid w:val="005345C1"/>
    <w:rsid w:val="0053715F"/>
    <w:rsid w:val="0054080A"/>
    <w:rsid w:val="00540BF7"/>
    <w:rsid w:val="00541150"/>
    <w:rsid w:val="0054275D"/>
    <w:rsid w:val="00542886"/>
    <w:rsid w:val="00542E36"/>
    <w:rsid w:val="00544880"/>
    <w:rsid w:val="005471EB"/>
    <w:rsid w:val="00547B86"/>
    <w:rsid w:val="00551B7E"/>
    <w:rsid w:val="005520BC"/>
    <w:rsid w:val="005529C9"/>
    <w:rsid w:val="00552F48"/>
    <w:rsid w:val="005550D2"/>
    <w:rsid w:val="0055566F"/>
    <w:rsid w:val="005565BC"/>
    <w:rsid w:val="0055672F"/>
    <w:rsid w:val="005571DA"/>
    <w:rsid w:val="00560929"/>
    <w:rsid w:val="00561AD2"/>
    <w:rsid w:val="005621E0"/>
    <w:rsid w:val="005633B6"/>
    <w:rsid w:val="00563AC7"/>
    <w:rsid w:val="00564473"/>
    <w:rsid w:val="00565945"/>
    <w:rsid w:val="00565C5B"/>
    <w:rsid w:val="005661C0"/>
    <w:rsid w:val="005707CF"/>
    <w:rsid w:val="0057089D"/>
    <w:rsid w:val="00571415"/>
    <w:rsid w:val="00573574"/>
    <w:rsid w:val="00574299"/>
    <w:rsid w:val="005757AD"/>
    <w:rsid w:val="00576A64"/>
    <w:rsid w:val="005777F0"/>
    <w:rsid w:val="0058170B"/>
    <w:rsid w:val="00581D4C"/>
    <w:rsid w:val="005829B8"/>
    <w:rsid w:val="00583752"/>
    <w:rsid w:val="00583E96"/>
    <w:rsid w:val="00583F59"/>
    <w:rsid w:val="00584FA1"/>
    <w:rsid w:val="0058612B"/>
    <w:rsid w:val="00586910"/>
    <w:rsid w:val="00587858"/>
    <w:rsid w:val="00587E29"/>
    <w:rsid w:val="00591459"/>
    <w:rsid w:val="00591977"/>
    <w:rsid w:val="00591C57"/>
    <w:rsid w:val="0059472F"/>
    <w:rsid w:val="00595439"/>
    <w:rsid w:val="00596730"/>
    <w:rsid w:val="00597659"/>
    <w:rsid w:val="00597688"/>
    <w:rsid w:val="00597F2F"/>
    <w:rsid w:val="005A0C30"/>
    <w:rsid w:val="005A1402"/>
    <w:rsid w:val="005A19D9"/>
    <w:rsid w:val="005A35EC"/>
    <w:rsid w:val="005A77F7"/>
    <w:rsid w:val="005B0A69"/>
    <w:rsid w:val="005B1400"/>
    <w:rsid w:val="005B40BB"/>
    <w:rsid w:val="005B54D2"/>
    <w:rsid w:val="005B5832"/>
    <w:rsid w:val="005B7BDD"/>
    <w:rsid w:val="005C382C"/>
    <w:rsid w:val="005C3CAD"/>
    <w:rsid w:val="005C3FE0"/>
    <w:rsid w:val="005C5708"/>
    <w:rsid w:val="005C58B5"/>
    <w:rsid w:val="005C5DF1"/>
    <w:rsid w:val="005C66B8"/>
    <w:rsid w:val="005C7005"/>
    <w:rsid w:val="005C7BBB"/>
    <w:rsid w:val="005C7F5B"/>
    <w:rsid w:val="005D54BF"/>
    <w:rsid w:val="005D55DE"/>
    <w:rsid w:val="005D6690"/>
    <w:rsid w:val="005D7A36"/>
    <w:rsid w:val="005E0A33"/>
    <w:rsid w:val="005E0E07"/>
    <w:rsid w:val="005E0E86"/>
    <w:rsid w:val="005E0F0F"/>
    <w:rsid w:val="005E1745"/>
    <w:rsid w:val="005E2909"/>
    <w:rsid w:val="005E31F7"/>
    <w:rsid w:val="005E4619"/>
    <w:rsid w:val="005E4698"/>
    <w:rsid w:val="005E4B7F"/>
    <w:rsid w:val="005E7D69"/>
    <w:rsid w:val="005F04BB"/>
    <w:rsid w:val="005F06B0"/>
    <w:rsid w:val="005F28CA"/>
    <w:rsid w:val="005F4CB4"/>
    <w:rsid w:val="005F4E94"/>
    <w:rsid w:val="005F600D"/>
    <w:rsid w:val="005F7715"/>
    <w:rsid w:val="00600921"/>
    <w:rsid w:val="00604687"/>
    <w:rsid w:val="00604705"/>
    <w:rsid w:val="00604DB6"/>
    <w:rsid w:val="00604ED1"/>
    <w:rsid w:val="00605715"/>
    <w:rsid w:val="00606B82"/>
    <w:rsid w:val="0061022A"/>
    <w:rsid w:val="006105A0"/>
    <w:rsid w:val="0061138C"/>
    <w:rsid w:val="006116FC"/>
    <w:rsid w:val="00612B4E"/>
    <w:rsid w:val="00613CDE"/>
    <w:rsid w:val="006142D8"/>
    <w:rsid w:val="0061599D"/>
    <w:rsid w:val="00616743"/>
    <w:rsid w:val="00617854"/>
    <w:rsid w:val="00617DD3"/>
    <w:rsid w:val="00620FFD"/>
    <w:rsid w:val="006210A9"/>
    <w:rsid w:val="006216BB"/>
    <w:rsid w:val="0062672A"/>
    <w:rsid w:val="00626782"/>
    <w:rsid w:val="006272A3"/>
    <w:rsid w:val="00627729"/>
    <w:rsid w:val="00627F42"/>
    <w:rsid w:val="006318A8"/>
    <w:rsid w:val="006321C8"/>
    <w:rsid w:val="00633429"/>
    <w:rsid w:val="006352B9"/>
    <w:rsid w:val="006362D3"/>
    <w:rsid w:val="00636EF5"/>
    <w:rsid w:val="00637B69"/>
    <w:rsid w:val="006402CC"/>
    <w:rsid w:val="006411D5"/>
    <w:rsid w:val="00642BB7"/>
    <w:rsid w:val="00644C0C"/>
    <w:rsid w:val="0064517A"/>
    <w:rsid w:val="00646059"/>
    <w:rsid w:val="006466C8"/>
    <w:rsid w:val="00647082"/>
    <w:rsid w:val="00650BD5"/>
    <w:rsid w:val="006520E5"/>
    <w:rsid w:val="006522A8"/>
    <w:rsid w:val="006540CB"/>
    <w:rsid w:val="00654799"/>
    <w:rsid w:val="00655FB3"/>
    <w:rsid w:val="006579F1"/>
    <w:rsid w:val="00661362"/>
    <w:rsid w:val="0066181E"/>
    <w:rsid w:val="006655B6"/>
    <w:rsid w:val="00667849"/>
    <w:rsid w:val="006722B6"/>
    <w:rsid w:val="006724E2"/>
    <w:rsid w:val="0067355D"/>
    <w:rsid w:val="00673B3E"/>
    <w:rsid w:val="00673CE8"/>
    <w:rsid w:val="006744FC"/>
    <w:rsid w:val="00674D8C"/>
    <w:rsid w:val="00675D66"/>
    <w:rsid w:val="006761D2"/>
    <w:rsid w:val="00677127"/>
    <w:rsid w:val="006771E5"/>
    <w:rsid w:val="00677575"/>
    <w:rsid w:val="006812D3"/>
    <w:rsid w:val="00681F3C"/>
    <w:rsid w:val="00682A1F"/>
    <w:rsid w:val="006831CF"/>
    <w:rsid w:val="00684652"/>
    <w:rsid w:val="00685551"/>
    <w:rsid w:val="0068703B"/>
    <w:rsid w:val="006873C6"/>
    <w:rsid w:val="00691CBB"/>
    <w:rsid w:val="006929AD"/>
    <w:rsid w:val="00692F85"/>
    <w:rsid w:val="00693656"/>
    <w:rsid w:val="0069431C"/>
    <w:rsid w:val="00694556"/>
    <w:rsid w:val="00694D16"/>
    <w:rsid w:val="00695657"/>
    <w:rsid w:val="00695CFD"/>
    <w:rsid w:val="00695D77"/>
    <w:rsid w:val="00695D9F"/>
    <w:rsid w:val="006A2C72"/>
    <w:rsid w:val="006A5814"/>
    <w:rsid w:val="006A6532"/>
    <w:rsid w:val="006A6A3E"/>
    <w:rsid w:val="006A74DB"/>
    <w:rsid w:val="006B068D"/>
    <w:rsid w:val="006B0706"/>
    <w:rsid w:val="006B1AE6"/>
    <w:rsid w:val="006B2AB4"/>
    <w:rsid w:val="006B726A"/>
    <w:rsid w:val="006C088E"/>
    <w:rsid w:val="006C1EA4"/>
    <w:rsid w:val="006C7912"/>
    <w:rsid w:val="006D0610"/>
    <w:rsid w:val="006D10FE"/>
    <w:rsid w:val="006D1254"/>
    <w:rsid w:val="006D240A"/>
    <w:rsid w:val="006D2C8E"/>
    <w:rsid w:val="006D2E16"/>
    <w:rsid w:val="006D2F8A"/>
    <w:rsid w:val="006D36DA"/>
    <w:rsid w:val="006D5FBC"/>
    <w:rsid w:val="006D63CC"/>
    <w:rsid w:val="006E0DEE"/>
    <w:rsid w:val="006E1401"/>
    <w:rsid w:val="006E185D"/>
    <w:rsid w:val="006E1C05"/>
    <w:rsid w:val="006E1D6A"/>
    <w:rsid w:val="006E205B"/>
    <w:rsid w:val="006E2A08"/>
    <w:rsid w:val="006E2AF7"/>
    <w:rsid w:val="006E2C46"/>
    <w:rsid w:val="006E44DA"/>
    <w:rsid w:val="006E6B53"/>
    <w:rsid w:val="006E73A3"/>
    <w:rsid w:val="006E7826"/>
    <w:rsid w:val="006E7B5E"/>
    <w:rsid w:val="006F02D8"/>
    <w:rsid w:val="006F0372"/>
    <w:rsid w:val="006F309D"/>
    <w:rsid w:val="006F4027"/>
    <w:rsid w:val="006F73CC"/>
    <w:rsid w:val="006F7CCC"/>
    <w:rsid w:val="00703279"/>
    <w:rsid w:val="00704560"/>
    <w:rsid w:val="007046F0"/>
    <w:rsid w:val="00704866"/>
    <w:rsid w:val="00706636"/>
    <w:rsid w:val="007125B1"/>
    <w:rsid w:val="00713EDB"/>
    <w:rsid w:val="007160C5"/>
    <w:rsid w:val="00716768"/>
    <w:rsid w:val="00717039"/>
    <w:rsid w:val="00717779"/>
    <w:rsid w:val="0071785E"/>
    <w:rsid w:val="0072073D"/>
    <w:rsid w:val="00720755"/>
    <w:rsid w:val="007243C7"/>
    <w:rsid w:val="007249FB"/>
    <w:rsid w:val="00724A07"/>
    <w:rsid w:val="0073067D"/>
    <w:rsid w:val="00731DA3"/>
    <w:rsid w:val="00732957"/>
    <w:rsid w:val="007343A9"/>
    <w:rsid w:val="00734607"/>
    <w:rsid w:val="00734B10"/>
    <w:rsid w:val="00734B72"/>
    <w:rsid w:val="007365EF"/>
    <w:rsid w:val="00736600"/>
    <w:rsid w:val="00736781"/>
    <w:rsid w:val="00736F60"/>
    <w:rsid w:val="00737B8E"/>
    <w:rsid w:val="00740046"/>
    <w:rsid w:val="007415F2"/>
    <w:rsid w:val="00743E2C"/>
    <w:rsid w:val="00745FCD"/>
    <w:rsid w:val="00746248"/>
    <w:rsid w:val="00747B55"/>
    <w:rsid w:val="0075069A"/>
    <w:rsid w:val="007509BA"/>
    <w:rsid w:val="007516DA"/>
    <w:rsid w:val="00751A85"/>
    <w:rsid w:val="0075253E"/>
    <w:rsid w:val="00754386"/>
    <w:rsid w:val="00755425"/>
    <w:rsid w:val="007555AC"/>
    <w:rsid w:val="00755C4B"/>
    <w:rsid w:val="00755D71"/>
    <w:rsid w:val="0075629F"/>
    <w:rsid w:val="00756520"/>
    <w:rsid w:val="007566EC"/>
    <w:rsid w:val="00760519"/>
    <w:rsid w:val="007616CA"/>
    <w:rsid w:val="00762BFA"/>
    <w:rsid w:val="00763581"/>
    <w:rsid w:val="00763AF5"/>
    <w:rsid w:val="007643DA"/>
    <w:rsid w:val="00764BCC"/>
    <w:rsid w:val="00765519"/>
    <w:rsid w:val="007662CD"/>
    <w:rsid w:val="007666B3"/>
    <w:rsid w:val="00767F1C"/>
    <w:rsid w:val="00770987"/>
    <w:rsid w:val="007720EB"/>
    <w:rsid w:val="00773A4A"/>
    <w:rsid w:val="007756CB"/>
    <w:rsid w:val="007767F7"/>
    <w:rsid w:val="0078120E"/>
    <w:rsid w:val="007840CC"/>
    <w:rsid w:val="00784BB8"/>
    <w:rsid w:val="00785507"/>
    <w:rsid w:val="00785E86"/>
    <w:rsid w:val="0078675A"/>
    <w:rsid w:val="00786884"/>
    <w:rsid w:val="007869BA"/>
    <w:rsid w:val="0078757C"/>
    <w:rsid w:val="00787873"/>
    <w:rsid w:val="00791E99"/>
    <w:rsid w:val="00791F74"/>
    <w:rsid w:val="00793DBB"/>
    <w:rsid w:val="00795B1B"/>
    <w:rsid w:val="00796FEF"/>
    <w:rsid w:val="0079792F"/>
    <w:rsid w:val="007A0E4C"/>
    <w:rsid w:val="007A13E8"/>
    <w:rsid w:val="007A1404"/>
    <w:rsid w:val="007A1ACB"/>
    <w:rsid w:val="007A36EE"/>
    <w:rsid w:val="007A3B36"/>
    <w:rsid w:val="007A3BBD"/>
    <w:rsid w:val="007A4086"/>
    <w:rsid w:val="007A4F44"/>
    <w:rsid w:val="007A56D0"/>
    <w:rsid w:val="007A5F64"/>
    <w:rsid w:val="007A6574"/>
    <w:rsid w:val="007A7965"/>
    <w:rsid w:val="007A79FF"/>
    <w:rsid w:val="007B19A9"/>
    <w:rsid w:val="007B3015"/>
    <w:rsid w:val="007B4150"/>
    <w:rsid w:val="007B481A"/>
    <w:rsid w:val="007B6051"/>
    <w:rsid w:val="007B7AC0"/>
    <w:rsid w:val="007B7E47"/>
    <w:rsid w:val="007C0A00"/>
    <w:rsid w:val="007C0C35"/>
    <w:rsid w:val="007C3464"/>
    <w:rsid w:val="007C5049"/>
    <w:rsid w:val="007C5315"/>
    <w:rsid w:val="007C56A1"/>
    <w:rsid w:val="007C5CF4"/>
    <w:rsid w:val="007C6793"/>
    <w:rsid w:val="007C6798"/>
    <w:rsid w:val="007C74A0"/>
    <w:rsid w:val="007C7AFB"/>
    <w:rsid w:val="007C7B11"/>
    <w:rsid w:val="007D2851"/>
    <w:rsid w:val="007D3209"/>
    <w:rsid w:val="007D3887"/>
    <w:rsid w:val="007D40C7"/>
    <w:rsid w:val="007D4163"/>
    <w:rsid w:val="007D484D"/>
    <w:rsid w:val="007D4F1F"/>
    <w:rsid w:val="007D617B"/>
    <w:rsid w:val="007D6A45"/>
    <w:rsid w:val="007D7D22"/>
    <w:rsid w:val="007E20A2"/>
    <w:rsid w:val="007E241C"/>
    <w:rsid w:val="007E3704"/>
    <w:rsid w:val="007E3DAD"/>
    <w:rsid w:val="007E4E41"/>
    <w:rsid w:val="007E79B3"/>
    <w:rsid w:val="007F1744"/>
    <w:rsid w:val="007F1E89"/>
    <w:rsid w:val="007F5D81"/>
    <w:rsid w:val="007F7027"/>
    <w:rsid w:val="00801946"/>
    <w:rsid w:val="00801F47"/>
    <w:rsid w:val="00802819"/>
    <w:rsid w:val="0080516B"/>
    <w:rsid w:val="008057BC"/>
    <w:rsid w:val="008101A2"/>
    <w:rsid w:val="00810230"/>
    <w:rsid w:val="00810FA4"/>
    <w:rsid w:val="0081190A"/>
    <w:rsid w:val="008129E2"/>
    <w:rsid w:val="00812FAF"/>
    <w:rsid w:val="00814522"/>
    <w:rsid w:val="008169A5"/>
    <w:rsid w:val="0081762D"/>
    <w:rsid w:val="00821658"/>
    <w:rsid w:val="00824228"/>
    <w:rsid w:val="00824560"/>
    <w:rsid w:val="00824796"/>
    <w:rsid w:val="00824E67"/>
    <w:rsid w:val="008269AC"/>
    <w:rsid w:val="00831A72"/>
    <w:rsid w:val="00833E66"/>
    <w:rsid w:val="00834A56"/>
    <w:rsid w:val="00835CF6"/>
    <w:rsid w:val="008372FF"/>
    <w:rsid w:val="008373D2"/>
    <w:rsid w:val="00841275"/>
    <w:rsid w:val="00841C2E"/>
    <w:rsid w:val="00843C0E"/>
    <w:rsid w:val="008441E2"/>
    <w:rsid w:val="0084436C"/>
    <w:rsid w:val="00844A3A"/>
    <w:rsid w:val="0084536E"/>
    <w:rsid w:val="00845588"/>
    <w:rsid w:val="00846BCF"/>
    <w:rsid w:val="008473BF"/>
    <w:rsid w:val="00850B2A"/>
    <w:rsid w:val="00850EDF"/>
    <w:rsid w:val="00852A18"/>
    <w:rsid w:val="00852CEE"/>
    <w:rsid w:val="00853CB9"/>
    <w:rsid w:val="008558FE"/>
    <w:rsid w:val="00856748"/>
    <w:rsid w:val="00857C5A"/>
    <w:rsid w:val="00861733"/>
    <w:rsid w:val="00862398"/>
    <w:rsid w:val="0086413D"/>
    <w:rsid w:val="00864586"/>
    <w:rsid w:val="00867A75"/>
    <w:rsid w:val="00870C2B"/>
    <w:rsid w:val="008723F8"/>
    <w:rsid w:val="00873374"/>
    <w:rsid w:val="00873B04"/>
    <w:rsid w:val="00873C87"/>
    <w:rsid w:val="008747B9"/>
    <w:rsid w:val="00875238"/>
    <w:rsid w:val="00881350"/>
    <w:rsid w:val="00881AC8"/>
    <w:rsid w:val="008820D6"/>
    <w:rsid w:val="008832C2"/>
    <w:rsid w:val="008837FB"/>
    <w:rsid w:val="00884BD3"/>
    <w:rsid w:val="00884F8B"/>
    <w:rsid w:val="00885C7A"/>
    <w:rsid w:val="008872EF"/>
    <w:rsid w:val="00887B76"/>
    <w:rsid w:val="008904D2"/>
    <w:rsid w:val="008904F9"/>
    <w:rsid w:val="00890692"/>
    <w:rsid w:val="008914B2"/>
    <w:rsid w:val="00891EA5"/>
    <w:rsid w:val="00892850"/>
    <w:rsid w:val="008942AF"/>
    <w:rsid w:val="00896AAB"/>
    <w:rsid w:val="008A10BA"/>
    <w:rsid w:val="008A1AD6"/>
    <w:rsid w:val="008A1B2D"/>
    <w:rsid w:val="008A1FDF"/>
    <w:rsid w:val="008A3F57"/>
    <w:rsid w:val="008A6F53"/>
    <w:rsid w:val="008A7D48"/>
    <w:rsid w:val="008B090D"/>
    <w:rsid w:val="008B2365"/>
    <w:rsid w:val="008B3129"/>
    <w:rsid w:val="008B3604"/>
    <w:rsid w:val="008B4BC6"/>
    <w:rsid w:val="008B6E79"/>
    <w:rsid w:val="008B7D98"/>
    <w:rsid w:val="008C14DE"/>
    <w:rsid w:val="008C52E1"/>
    <w:rsid w:val="008D01BF"/>
    <w:rsid w:val="008D095D"/>
    <w:rsid w:val="008D3118"/>
    <w:rsid w:val="008D34C9"/>
    <w:rsid w:val="008D4BE1"/>
    <w:rsid w:val="008D57BF"/>
    <w:rsid w:val="008D587E"/>
    <w:rsid w:val="008E1105"/>
    <w:rsid w:val="008E1834"/>
    <w:rsid w:val="008E3375"/>
    <w:rsid w:val="008E445F"/>
    <w:rsid w:val="008E6224"/>
    <w:rsid w:val="008E6B5E"/>
    <w:rsid w:val="008E6BE1"/>
    <w:rsid w:val="008E6D8D"/>
    <w:rsid w:val="008F0630"/>
    <w:rsid w:val="008F0EEB"/>
    <w:rsid w:val="008F2B98"/>
    <w:rsid w:val="008F321F"/>
    <w:rsid w:val="008F48FE"/>
    <w:rsid w:val="008F4BF3"/>
    <w:rsid w:val="008F4FC0"/>
    <w:rsid w:val="008F517B"/>
    <w:rsid w:val="008F54AC"/>
    <w:rsid w:val="008F5C7C"/>
    <w:rsid w:val="008F615A"/>
    <w:rsid w:val="008F7D0F"/>
    <w:rsid w:val="00900231"/>
    <w:rsid w:val="0090095E"/>
    <w:rsid w:val="00902388"/>
    <w:rsid w:val="009049C5"/>
    <w:rsid w:val="009069A6"/>
    <w:rsid w:val="00906F35"/>
    <w:rsid w:val="00907478"/>
    <w:rsid w:val="00907D59"/>
    <w:rsid w:val="00910387"/>
    <w:rsid w:val="0091058C"/>
    <w:rsid w:val="009122C6"/>
    <w:rsid w:val="0091280F"/>
    <w:rsid w:val="00912DF2"/>
    <w:rsid w:val="00913A99"/>
    <w:rsid w:val="009149B7"/>
    <w:rsid w:val="00915A5D"/>
    <w:rsid w:val="00920467"/>
    <w:rsid w:val="009220C9"/>
    <w:rsid w:val="0092297C"/>
    <w:rsid w:val="00923193"/>
    <w:rsid w:val="00923588"/>
    <w:rsid w:val="009236CE"/>
    <w:rsid w:val="00924643"/>
    <w:rsid w:val="009255C2"/>
    <w:rsid w:val="00927523"/>
    <w:rsid w:val="00927FD0"/>
    <w:rsid w:val="00932618"/>
    <w:rsid w:val="00932894"/>
    <w:rsid w:val="009338BB"/>
    <w:rsid w:val="0093667B"/>
    <w:rsid w:val="00936CE0"/>
    <w:rsid w:val="009375B2"/>
    <w:rsid w:val="00937AE8"/>
    <w:rsid w:val="00937CC9"/>
    <w:rsid w:val="00937EB5"/>
    <w:rsid w:val="0094004F"/>
    <w:rsid w:val="00940450"/>
    <w:rsid w:val="009407FC"/>
    <w:rsid w:val="0094167F"/>
    <w:rsid w:val="00943B88"/>
    <w:rsid w:val="009450A6"/>
    <w:rsid w:val="00946D1A"/>
    <w:rsid w:val="009472A1"/>
    <w:rsid w:val="009477D0"/>
    <w:rsid w:val="009502E1"/>
    <w:rsid w:val="00950555"/>
    <w:rsid w:val="00950D66"/>
    <w:rsid w:val="00952696"/>
    <w:rsid w:val="00952DDF"/>
    <w:rsid w:val="00954D2A"/>
    <w:rsid w:val="00955923"/>
    <w:rsid w:val="00960AAC"/>
    <w:rsid w:val="0096126B"/>
    <w:rsid w:val="00964C95"/>
    <w:rsid w:val="00964E0B"/>
    <w:rsid w:val="00965ECF"/>
    <w:rsid w:val="0096682E"/>
    <w:rsid w:val="009677AB"/>
    <w:rsid w:val="00967ABE"/>
    <w:rsid w:val="00970F49"/>
    <w:rsid w:val="00971ED9"/>
    <w:rsid w:val="00971FE2"/>
    <w:rsid w:val="00972188"/>
    <w:rsid w:val="00972257"/>
    <w:rsid w:val="00972DBB"/>
    <w:rsid w:val="00973152"/>
    <w:rsid w:val="00973601"/>
    <w:rsid w:val="009737C1"/>
    <w:rsid w:val="00975D01"/>
    <w:rsid w:val="00976E99"/>
    <w:rsid w:val="0097783B"/>
    <w:rsid w:val="0098072A"/>
    <w:rsid w:val="00980E1D"/>
    <w:rsid w:val="00983162"/>
    <w:rsid w:val="00983669"/>
    <w:rsid w:val="0098439D"/>
    <w:rsid w:val="00984E96"/>
    <w:rsid w:val="00985554"/>
    <w:rsid w:val="00987B96"/>
    <w:rsid w:val="009903C0"/>
    <w:rsid w:val="00992EEA"/>
    <w:rsid w:val="009942D5"/>
    <w:rsid w:val="00995EB2"/>
    <w:rsid w:val="009968AF"/>
    <w:rsid w:val="00996AD7"/>
    <w:rsid w:val="0099720A"/>
    <w:rsid w:val="009A1033"/>
    <w:rsid w:val="009A1084"/>
    <w:rsid w:val="009A1B6C"/>
    <w:rsid w:val="009A49C8"/>
    <w:rsid w:val="009A633D"/>
    <w:rsid w:val="009A78B4"/>
    <w:rsid w:val="009B1A10"/>
    <w:rsid w:val="009B3E48"/>
    <w:rsid w:val="009B59BB"/>
    <w:rsid w:val="009B72D8"/>
    <w:rsid w:val="009B7B39"/>
    <w:rsid w:val="009C115A"/>
    <w:rsid w:val="009C2BBC"/>
    <w:rsid w:val="009C6E1B"/>
    <w:rsid w:val="009D197B"/>
    <w:rsid w:val="009D1CA7"/>
    <w:rsid w:val="009D25FB"/>
    <w:rsid w:val="009D317F"/>
    <w:rsid w:val="009D4301"/>
    <w:rsid w:val="009D4630"/>
    <w:rsid w:val="009D5244"/>
    <w:rsid w:val="009D69A5"/>
    <w:rsid w:val="009E1053"/>
    <w:rsid w:val="009E3FD2"/>
    <w:rsid w:val="009E7C98"/>
    <w:rsid w:val="009F1113"/>
    <w:rsid w:val="009F1A32"/>
    <w:rsid w:val="009F1C25"/>
    <w:rsid w:val="009F2553"/>
    <w:rsid w:val="009F2CF2"/>
    <w:rsid w:val="009F431D"/>
    <w:rsid w:val="009F5115"/>
    <w:rsid w:val="009F5157"/>
    <w:rsid w:val="009F56BF"/>
    <w:rsid w:val="009F6D00"/>
    <w:rsid w:val="009F722B"/>
    <w:rsid w:val="00A00AD2"/>
    <w:rsid w:val="00A02198"/>
    <w:rsid w:val="00A022DC"/>
    <w:rsid w:val="00A0261F"/>
    <w:rsid w:val="00A0422F"/>
    <w:rsid w:val="00A044B5"/>
    <w:rsid w:val="00A0646F"/>
    <w:rsid w:val="00A07366"/>
    <w:rsid w:val="00A07708"/>
    <w:rsid w:val="00A07D97"/>
    <w:rsid w:val="00A12910"/>
    <w:rsid w:val="00A12FDC"/>
    <w:rsid w:val="00A135C8"/>
    <w:rsid w:val="00A14251"/>
    <w:rsid w:val="00A14978"/>
    <w:rsid w:val="00A16B5D"/>
    <w:rsid w:val="00A16D8D"/>
    <w:rsid w:val="00A2132D"/>
    <w:rsid w:val="00A217CE"/>
    <w:rsid w:val="00A23429"/>
    <w:rsid w:val="00A260F4"/>
    <w:rsid w:val="00A31A2F"/>
    <w:rsid w:val="00A31B4C"/>
    <w:rsid w:val="00A3268E"/>
    <w:rsid w:val="00A331A8"/>
    <w:rsid w:val="00A334E3"/>
    <w:rsid w:val="00A343AE"/>
    <w:rsid w:val="00A349F2"/>
    <w:rsid w:val="00A34EC4"/>
    <w:rsid w:val="00A35A39"/>
    <w:rsid w:val="00A35AF1"/>
    <w:rsid w:val="00A35B5E"/>
    <w:rsid w:val="00A3661E"/>
    <w:rsid w:val="00A36A52"/>
    <w:rsid w:val="00A37D8C"/>
    <w:rsid w:val="00A40184"/>
    <w:rsid w:val="00A401FC"/>
    <w:rsid w:val="00A42704"/>
    <w:rsid w:val="00A432B8"/>
    <w:rsid w:val="00A43A08"/>
    <w:rsid w:val="00A50AAF"/>
    <w:rsid w:val="00A515D6"/>
    <w:rsid w:val="00A55A37"/>
    <w:rsid w:val="00A56A4C"/>
    <w:rsid w:val="00A570F4"/>
    <w:rsid w:val="00A577F1"/>
    <w:rsid w:val="00A60A9E"/>
    <w:rsid w:val="00A60B29"/>
    <w:rsid w:val="00A6108C"/>
    <w:rsid w:val="00A61FD5"/>
    <w:rsid w:val="00A62419"/>
    <w:rsid w:val="00A63097"/>
    <w:rsid w:val="00A641EF"/>
    <w:rsid w:val="00A647DB"/>
    <w:rsid w:val="00A657D9"/>
    <w:rsid w:val="00A658B5"/>
    <w:rsid w:val="00A664AD"/>
    <w:rsid w:val="00A71429"/>
    <w:rsid w:val="00A721FE"/>
    <w:rsid w:val="00A7530F"/>
    <w:rsid w:val="00A75910"/>
    <w:rsid w:val="00A76BF1"/>
    <w:rsid w:val="00A77330"/>
    <w:rsid w:val="00A779B5"/>
    <w:rsid w:val="00A77B77"/>
    <w:rsid w:val="00A803A1"/>
    <w:rsid w:val="00A818CB"/>
    <w:rsid w:val="00A83011"/>
    <w:rsid w:val="00A831F8"/>
    <w:rsid w:val="00A832B3"/>
    <w:rsid w:val="00A8412E"/>
    <w:rsid w:val="00A85015"/>
    <w:rsid w:val="00A85642"/>
    <w:rsid w:val="00A8621D"/>
    <w:rsid w:val="00A907C2"/>
    <w:rsid w:val="00A92524"/>
    <w:rsid w:val="00A92B9A"/>
    <w:rsid w:val="00A940AC"/>
    <w:rsid w:val="00A94DE3"/>
    <w:rsid w:val="00A95918"/>
    <w:rsid w:val="00A959C1"/>
    <w:rsid w:val="00A95EE1"/>
    <w:rsid w:val="00A9713F"/>
    <w:rsid w:val="00AA1FF6"/>
    <w:rsid w:val="00AA4260"/>
    <w:rsid w:val="00AA436D"/>
    <w:rsid w:val="00AA44C8"/>
    <w:rsid w:val="00AA535F"/>
    <w:rsid w:val="00AA74B7"/>
    <w:rsid w:val="00AA7B5C"/>
    <w:rsid w:val="00AA7DC0"/>
    <w:rsid w:val="00AA7F64"/>
    <w:rsid w:val="00AB0002"/>
    <w:rsid w:val="00AB0C99"/>
    <w:rsid w:val="00AB24B9"/>
    <w:rsid w:val="00AB48B9"/>
    <w:rsid w:val="00AB576C"/>
    <w:rsid w:val="00AC1DF8"/>
    <w:rsid w:val="00AC3D83"/>
    <w:rsid w:val="00AC407E"/>
    <w:rsid w:val="00AC4168"/>
    <w:rsid w:val="00AD0227"/>
    <w:rsid w:val="00AD10C2"/>
    <w:rsid w:val="00AD123F"/>
    <w:rsid w:val="00AD1EE9"/>
    <w:rsid w:val="00AD3E02"/>
    <w:rsid w:val="00AD527B"/>
    <w:rsid w:val="00AD582B"/>
    <w:rsid w:val="00AD6F9E"/>
    <w:rsid w:val="00AE06C6"/>
    <w:rsid w:val="00AE0D9E"/>
    <w:rsid w:val="00AE0E42"/>
    <w:rsid w:val="00AE20AA"/>
    <w:rsid w:val="00AE5606"/>
    <w:rsid w:val="00AE5F78"/>
    <w:rsid w:val="00AF0849"/>
    <w:rsid w:val="00AF114E"/>
    <w:rsid w:val="00AF2A27"/>
    <w:rsid w:val="00AF59EA"/>
    <w:rsid w:val="00AF614C"/>
    <w:rsid w:val="00AF63F0"/>
    <w:rsid w:val="00AF6D7A"/>
    <w:rsid w:val="00AF6FF2"/>
    <w:rsid w:val="00B02B00"/>
    <w:rsid w:val="00B02B02"/>
    <w:rsid w:val="00B03A84"/>
    <w:rsid w:val="00B0473F"/>
    <w:rsid w:val="00B057B7"/>
    <w:rsid w:val="00B06920"/>
    <w:rsid w:val="00B07295"/>
    <w:rsid w:val="00B13319"/>
    <w:rsid w:val="00B13C23"/>
    <w:rsid w:val="00B1598E"/>
    <w:rsid w:val="00B161AC"/>
    <w:rsid w:val="00B16305"/>
    <w:rsid w:val="00B21EA2"/>
    <w:rsid w:val="00B22D08"/>
    <w:rsid w:val="00B2434D"/>
    <w:rsid w:val="00B24F90"/>
    <w:rsid w:val="00B26E79"/>
    <w:rsid w:val="00B26F14"/>
    <w:rsid w:val="00B279D2"/>
    <w:rsid w:val="00B27ADE"/>
    <w:rsid w:val="00B30138"/>
    <w:rsid w:val="00B30611"/>
    <w:rsid w:val="00B31184"/>
    <w:rsid w:val="00B311D7"/>
    <w:rsid w:val="00B3153A"/>
    <w:rsid w:val="00B327EE"/>
    <w:rsid w:val="00B34C57"/>
    <w:rsid w:val="00B34EEB"/>
    <w:rsid w:val="00B3546C"/>
    <w:rsid w:val="00B35ED4"/>
    <w:rsid w:val="00B370F8"/>
    <w:rsid w:val="00B40BF9"/>
    <w:rsid w:val="00B424B7"/>
    <w:rsid w:val="00B43BEF"/>
    <w:rsid w:val="00B44A85"/>
    <w:rsid w:val="00B44D06"/>
    <w:rsid w:val="00B45C27"/>
    <w:rsid w:val="00B460B7"/>
    <w:rsid w:val="00B47453"/>
    <w:rsid w:val="00B47AD9"/>
    <w:rsid w:val="00B500BD"/>
    <w:rsid w:val="00B50121"/>
    <w:rsid w:val="00B50C31"/>
    <w:rsid w:val="00B50E1C"/>
    <w:rsid w:val="00B51712"/>
    <w:rsid w:val="00B522D5"/>
    <w:rsid w:val="00B526D2"/>
    <w:rsid w:val="00B527A9"/>
    <w:rsid w:val="00B53CD0"/>
    <w:rsid w:val="00B550C9"/>
    <w:rsid w:val="00B55704"/>
    <w:rsid w:val="00B55FC5"/>
    <w:rsid w:val="00B5621F"/>
    <w:rsid w:val="00B61E48"/>
    <w:rsid w:val="00B62118"/>
    <w:rsid w:val="00B627E9"/>
    <w:rsid w:val="00B63611"/>
    <w:rsid w:val="00B641D2"/>
    <w:rsid w:val="00B64C7A"/>
    <w:rsid w:val="00B64DD2"/>
    <w:rsid w:val="00B65B46"/>
    <w:rsid w:val="00B665CD"/>
    <w:rsid w:val="00B668EB"/>
    <w:rsid w:val="00B67A19"/>
    <w:rsid w:val="00B713F2"/>
    <w:rsid w:val="00B720A5"/>
    <w:rsid w:val="00B72D99"/>
    <w:rsid w:val="00B739BD"/>
    <w:rsid w:val="00B75BFE"/>
    <w:rsid w:val="00B75C3F"/>
    <w:rsid w:val="00B77224"/>
    <w:rsid w:val="00B77599"/>
    <w:rsid w:val="00B77DF4"/>
    <w:rsid w:val="00B843E6"/>
    <w:rsid w:val="00B867A3"/>
    <w:rsid w:val="00B876D0"/>
    <w:rsid w:val="00B878CC"/>
    <w:rsid w:val="00B90B04"/>
    <w:rsid w:val="00B93706"/>
    <w:rsid w:val="00B94025"/>
    <w:rsid w:val="00B94DB2"/>
    <w:rsid w:val="00B95348"/>
    <w:rsid w:val="00B96DFE"/>
    <w:rsid w:val="00BA0119"/>
    <w:rsid w:val="00BA10D2"/>
    <w:rsid w:val="00BA18E7"/>
    <w:rsid w:val="00BA1CFC"/>
    <w:rsid w:val="00BA45C4"/>
    <w:rsid w:val="00BA663A"/>
    <w:rsid w:val="00BA6E5F"/>
    <w:rsid w:val="00BA72EC"/>
    <w:rsid w:val="00BA7F4D"/>
    <w:rsid w:val="00BB1224"/>
    <w:rsid w:val="00BB2092"/>
    <w:rsid w:val="00BB5E81"/>
    <w:rsid w:val="00BB6047"/>
    <w:rsid w:val="00BB6721"/>
    <w:rsid w:val="00BB7470"/>
    <w:rsid w:val="00BB7F14"/>
    <w:rsid w:val="00BC2911"/>
    <w:rsid w:val="00BC2E9A"/>
    <w:rsid w:val="00BC30F7"/>
    <w:rsid w:val="00BC5B22"/>
    <w:rsid w:val="00BD0A6E"/>
    <w:rsid w:val="00BD248B"/>
    <w:rsid w:val="00BD3E4A"/>
    <w:rsid w:val="00BD4229"/>
    <w:rsid w:val="00BD47A0"/>
    <w:rsid w:val="00BD6A2B"/>
    <w:rsid w:val="00BD7BFC"/>
    <w:rsid w:val="00BD7DB2"/>
    <w:rsid w:val="00BE01DD"/>
    <w:rsid w:val="00BE0FA2"/>
    <w:rsid w:val="00BE1903"/>
    <w:rsid w:val="00BE1ED7"/>
    <w:rsid w:val="00BE4AA3"/>
    <w:rsid w:val="00BE71E1"/>
    <w:rsid w:val="00BF0DD3"/>
    <w:rsid w:val="00BF23A9"/>
    <w:rsid w:val="00BF26B7"/>
    <w:rsid w:val="00BF2E44"/>
    <w:rsid w:val="00BF342B"/>
    <w:rsid w:val="00BF3668"/>
    <w:rsid w:val="00BF47C1"/>
    <w:rsid w:val="00BF6F6C"/>
    <w:rsid w:val="00BF7683"/>
    <w:rsid w:val="00BF7A48"/>
    <w:rsid w:val="00BF7B24"/>
    <w:rsid w:val="00C00CE6"/>
    <w:rsid w:val="00C022AC"/>
    <w:rsid w:val="00C0332B"/>
    <w:rsid w:val="00C03D83"/>
    <w:rsid w:val="00C03DB5"/>
    <w:rsid w:val="00C04236"/>
    <w:rsid w:val="00C0479E"/>
    <w:rsid w:val="00C0534E"/>
    <w:rsid w:val="00C06A85"/>
    <w:rsid w:val="00C074E8"/>
    <w:rsid w:val="00C07AB2"/>
    <w:rsid w:val="00C106F2"/>
    <w:rsid w:val="00C1081B"/>
    <w:rsid w:val="00C10953"/>
    <w:rsid w:val="00C1163A"/>
    <w:rsid w:val="00C13ABE"/>
    <w:rsid w:val="00C13CA7"/>
    <w:rsid w:val="00C16190"/>
    <w:rsid w:val="00C17406"/>
    <w:rsid w:val="00C2014A"/>
    <w:rsid w:val="00C2118A"/>
    <w:rsid w:val="00C2319F"/>
    <w:rsid w:val="00C24939"/>
    <w:rsid w:val="00C24A1D"/>
    <w:rsid w:val="00C24B11"/>
    <w:rsid w:val="00C24E1E"/>
    <w:rsid w:val="00C259D8"/>
    <w:rsid w:val="00C30015"/>
    <w:rsid w:val="00C306BA"/>
    <w:rsid w:val="00C31328"/>
    <w:rsid w:val="00C32FC6"/>
    <w:rsid w:val="00C33154"/>
    <w:rsid w:val="00C3332D"/>
    <w:rsid w:val="00C33674"/>
    <w:rsid w:val="00C35A29"/>
    <w:rsid w:val="00C36528"/>
    <w:rsid w:val="00C368B7"/>
    <w:rsid w:val="00C377C2"/>
    <w:rsid w:val="00C37EC7"/>
    <w:rsid w:val="00C40639"/>
    <w:rsid w:val="00C40A93"/>
    <w:rsid w:val="00C40E5D"/>
    <w:rsid w:val="00C41C6B"/>
    <w:rsid w:val="00C43964"/>
    <w:rsid w:val="00C4497D"/>
    <w:rsid w:val="00C44B1C"/>
    <w:rsid w:val="00C45480"/>
    <w:rsid w:val="00C45F09"/>
    <w:rsid w:val="00C466A5"/>
    <w:rsid w:val="00C514AF"/>
    <w:rsid w:val="00C522CE"/>
    <w:rsid w:val="00C52701"/>
    <w:rsid w:val="00C544DE"/>
    <w:rsid w:val="00C5475C"/>
    <w:rsid w:val="00C55038"/>
    <w:rsid w:val="00C56037"/>
    <w:rsid w:val="00C56799"/>
    <w:rsid w:val="00C56EDB"/>
    <w:rsid w:val="00C57BDF"/>
    <w:rsid w:val="00C60724"/>
    <w:rsid w:val="00C60F91"/>
    <w:rsid w:val="00C61A15"/>
    <w:rsid w:val="00C6528E"/>
    <w:rsid w:val="00C65B38"/>
    <w:rsid w:val="00C66475"/>
    <w:rsid w:val="00C66996"/>
    <w:rsid w:val="00C678D8"/>
    <w:rsid w:val="00C71FD8"/>
    <w:rsid w:val="00C72595"/>
    <w:rsid w:val="00C72771"/>
    <w:rsid w:val="00C74844"/>
    <w:rsid w:val="00C750F8"/>
    <w:rsid w:val="00C755CA"/>
    <w:rsid w:val="00C75E17"/>
    <w:rsid w:val="00C764CF"/>
    <w:rsid w:val="00C76681"/>
    <w:rsid w:val="00C76E27"/>
    <w:rsid w:val="00C80005"/>
    <w:rsid w:val="00C8003E"/>
    <w:rsid w:val="00C80545"/>
    <w:rsid w:val="00C81325"/>
    <w:rsid w:val="00C82DBD"/>
    <w:rsid w:val="00C8413E"/>
    <w:rsid w:val="00C85FB4"/>
    <w:rsid w:val="00C860C1"/>
    <w:rsid w:val="00C93FCF"/>
    <w:rsid w:val="00C943A5"/>
    <w:rsid w:val="00C94851"/>
    <w:rsid w:val="00C94B0E"/>
    <w:rsid w:val="00C94E2A"/>
    <w:rsid w:val="00C953D9"/>
    <w:rsid w:val="00C96F37"/>
    <w:rsid w:val="00CA12CA"/>
    <w:rsid w:val="00CA32E4"/>
    <w:rsid w:val="00CA38CA"/>
    <w:rsid w:val="00CA3B09"/>
    <w:rsid w:val="00CA4548"/>
    <w:rsid w:val="00CA6D7B"/>
    <w:rsid w:val="00CA796C"/>
    <w:rsid w:val="00CB48DB"/>
    <w:rsid w:val="00CB5053"/>
    <w:rsid w:val="00CB50A8"/>
    <w:rsid w:val="00CB53F8"/>
    <w:rsid w:val="00CB57D6"/>
    <w:rsid w:val="00CB7596"/>
    <w:rsid w:val="00CC03F8"/>
    <w:rsid w:val="00CC12EC"/>
    <w:rsid w:val="00CC15A8"/>
    <w:rsid w:val="00CC1A63"/>
    <w:rsid w:val="00CC1D73"/>
    <w:rsid w:val="00CC26AD"/>
    <w:rsid w:val="00CC2FA8"/>
    <w:rsid w:val="00CC3B1A"/>
    <w:rsid w:val="00CC4FFC"/>
    <w:rsid w:val="00CC6C91"/>
    <w:rsid w:val="00CC7D00"/>
    <w:rsid w:val="00CD04E8"/>
    <w:rsid w:val="00CD3016"/>
    <w:rsid w:val="00CD3857"/>
    <w:rsid w:val="00CD41F4"/>
    <w:rsid w:val="00CD51C5"/>
    <w:rsid w:val="00CD53E2"/>
    <w:rsid w:val="00CD5D29"/>
    <w:rsid w:val="00CD6DEF"/>
    <w:rsid w:val="00CE0F62"/>
    <w:rsid w:val="00CE1292"/>
    <w:rsid w:val="00CE2CBB"/>
    <w:rsid w:val="00CE2FCF"/>
    <w:rsid w:val="00CE3AA4"/>
    <w:rsid w:val="00CE3AB9"/>
    <w:rsid w:val="00CE3DFF"/>
    <w:rsid w:val="00CE62E1"/>
    <w:rsid w:val="00CE79F5"/>
    <w:rsid w:val="00CE7F0D"/>
    <w:rsid w:val="00CF0751"/>
    <w:rsid w:val="00CF0FA4"/>
    <w:rsid w:val="00CF1180"/>
    <w:rsid w:val="00CF1D24"/>
    <w:rsid w:val="00CF3251"/>
    <w:rsid w:val="00CF518D"/>
    <w:rsid w:val="00CF54F8"/>
    <w:rsid w:val="00CF575B"/>
    <w:rsid w:val="00CF5F07"/>
    <w:rsid w:val="00D00168"/>
    <w:rsid w:val="00D008AD"/>
    <w:rsid w:val="00D022C9"/>
    <w:rsid w:val="00D031DF"/>
    <w:rsid w:val="00D03C52"/>
    <w:rsid w:val="00D04869"/>
    <w:rsid w:val="00D05076"/>
    <w:rsid w:val="00D05CD8"/>
    <w:rsid w:val="00D062D8"/>
    <w:rsid w:val="00D1099F"/>
    <w:rsid w:val="00D10C5F"/>
    <w:rsid w:val="00D10CB6"/>
    <w:rsid w:val="00D11928"/>
    <w:rsid w:val="00D12DEF"/>
    <w:rsid w:val="00D14DE9"/>
    <w:rsid w:val="00D1522B"/>
    <w:rsid w:val="00D157AF"/>
    <w:rsid w:val="00D2037E"/>
    <w:rsid w:val="00D244CE"/>
    <w:rsid w:val="00D25AEA"/>
    <w:rsid w:val="00D262CD"/>
    <w:rsid w:val="00D2651D"/>
    <w:rsid w:val="00D266D5"/>
    <w:rsid w:val="00D27639"/>
    <w:rsid w:val="00D31338"/>
    <w:rsid w:val="00D31A46"/>
    <w:rsid w:val="00D31CB8"/>
    <w:rsid w:val="00D323C6"/>
    <w:rsid w:val="00D35240"/>
    <w:rsid w:val="00D36713"/>
    <w:rsid w:val="00D379F5"/>
    <w:rsid w:val="00D40FF6"/>
    <w:rsid w:val="00D46C07"/>
    <w:rsid w:val="00D4769D"/>
    <w:rsid w:val="00D476A0"/>
    <w:rsid w:val="00D501F6"/>
    <w:rsid w:val="00D505D0"/>
    <w:rsid w:val="00D522BC"/>
    <w:rsid w:val="00D5423C"/>
    <w:rsid w:val="00D543A7"/>
    <w:rsid w:val="00D5546A"/>
    <w:rsid w:val="00D5623C"/>
    <w:rsid w:val="00D5669F"/>
    <w:rsid w:val="00D57D2F"/>
    <w:rsid w:val="00D60453"/>
    <w:rsid w:val="00D613E4"/>
    <w:rsid w:val="00D6323A"/>
    <w:rsid w:val="00D6723F"/>
    <w:rsid w:val="00D704FA"/>
    <w:rsid w:val="00D70B23"/>
    <w:rsid w:val="00D7106D"/>
    <w:rsid w:val="00D7361C"/>
    <w:rsid w:val="00D73D05"/>
    <w:rsid w:val="00D75429"/>
    <w:rsid w:val="00D763FA"/>
    <w:rsid w:val="00D766E8"/>
    <w:rsid w:val="00D8034C"/>
    <w:rsid w:val="00D8085C"/>
    <w:rsid w:val="00D81548"/>
    <w:rsid w:val="00D81723"/>
    <w:rsid w:val="00D81BA6"/>
    <w:rsid w:val="00D82AF8"/>
    <w:rsid w:val="00D83962"/>
    <w:rsid w:val="00D84DF7"/>
    <w:rsid w:val="00D86993"/>
    <w:rsid w:val="00D869B0"/>
    <w:rsid w:val="00D90076"/>
    <w:rsid w:val="00D910C6"/>
    <w:rsid w:val="00D92619"/>
    <w:rsid w:val="00D94C2D"/>
    <w:rsid w:val="00D95CD2"/>
    <w:rsid w:val="00D96181"/>
    <w:rsid w:val="00D96869"/>
    <w:rsid w:val="00DA0199"/>
    <w:rsid w:val="00DA18C7"/>
    <w:rsid w:val="00DA1A8E"/>
    <w:rsid w:val="00DA25F0"/>
    <w:rsid w:val="00DA3076"/>
    <w:rsid w:val="00DA4021"/>
    <w:rsid w:val="00DA44FD"/>
    <w:rsid w:val="00DA6390"/>
    <w:rsid w:val="00DA7376"/>
    <w:rsid w:val="00DA75DA"/>
    <w:rsid w:val="00DB0491"/>
    <w:rsid w:val="00DB06BE"/>
    <w:rsid w:val="00DB1E1F"/>
    <w:rsid w:val="00DB1E26"/>
    <w:rsid w:val="00DB1EE4"/>
    <w:rsid w:val="00DB2393"/>
    <w:rsid w:val="00DB2AF7"/>
    <w:rsid w:val="00DB3338"/>
    <w:rsid w:val="00DB3D74"/>
    <w:rsid w:val="00DB58BE"/>
    <w:rsid w:val="00DB5BFD"/>
    <w:rsid w:val="00DB609A"/>
    <w:rsid w:val="00DC38AB"/>
    <w:rsid w:val="00DC4C3A"/>
    <w:rsid w:val="00DC6A4B"/>
    <w:rsid w:val="00DD067D"/>
    <w:rsid w:val="00DD0718"/>
    <w:rsid w:val="00DD1023"/>
    <w:rsid w:val="00DD2527"/>
    <w:rsid w:val="00DD2555"/>
    <w:rsid w:val="00DD27E7"/>
    <w:rsid w:val="00DD2AC5"/>
    <w:rsid w:val="00DD3690"/>
    <w:rsid w:val="00DD3E2A"/>
    <w:rsid w:val="00DD508C"/>
    <w:rsid w:val="00DD54B3"/>
    <w:rsid w:val="00DD5C07"/>
    <w:rsid w:val="00DD6FAB"/>
    <w:rsid w:val="00DD7810"/>
    <w:rsid w:val="00DE0E14"/>
    <w:rsid w:val="00DE13BA"/>
    <w:rsid w:val="00DE2148"/>
    <w:rsid w:val="00DE2962"/>
    <w:rsid w:val="00DE380B"/>
    <w:rsid w:val="00DF31B2"/>
    <w:rsid w:val="00DF4344"/>
    <w:rsid w:val="00DF4FA3"/>
    <w:rsid w:val="00DF62EA"/>
    <w:rsid w:val="00E02C84"/>
    <w:rsid w:val="00E03491"/>
    <w:rsid w:val="00E03947"/>
    <w:rsid w:val="00E03D9F"/>
    <w:rsid w:val="00E07001"/>
    <w:rsid w:val="00E101A8"/>
    <w:rsid w:val="00E12875"/>
    <w:rsid w:val="00E136B3"/>
    <w:rsid w:val="00E14FD8"/>
    <w:rsid w:val="00E16B99"/>
    <w:rsid w:val="00E204E6"/>
    <w:rsid w:val="00E24E91"/>
    <w:rsid w:val="00E258A0"/>
    <w:rsid w:val="00E26493"/>
    <w:rsid w:val="00E30F82"/>
    <w:rsid w:val="00E312F1"/>
    <w:rsid w:val="00E31559"/>
    <w:rsid w:val="00E31AE1"/>
    <w:rsid w:val="00E31F80"/>
    <w:rsid w:val="00E33E68"/>
    <w:rsid w:val="00E33FE8"/>
    <w:rsid w:val="00E361BD"/>
    <w:rsid w:val="00E3647C"/>
    <w:rsid w:val="00E36858"/>
    <w:rsid w:val="00E36864"/>
    <w:rsid w:val="00E37908"/>
    <w:rsid w:val="00E4009F"/>
    <w:rsid w:val="00E42367"/>
    <w:rsid w:val="00E42726"/>
    <w:rsid w:val="00E44671"/>
    <w:rsid w:val="00E4516F"/>
    <w:rsid w:val="00E452F0"/>
    <w:rsid w:val="00E47C48"/>
    <w:rsid w:val="00E50CA5"/>
    <w:rsid w:val="00E549E4"/>
    <w:rsid w:val="00E553DB"/>
    <w:rsid w:val="00E56397"/>
    <w:rsid w:val="00E56C36"/>
    <w:rsid w:val="00E5786D"/>
    <w:rsid w:val="00E57C6A"/>
    <w:rsid w:val="00E60021"/>
    <w:rsid w:val="00E60C56"/>
    <w:rsid w:val="00E61B6B"/>
    <w:rsid w:val="00E61B72"/>
    <w:rsid w:val="00E625BD"/>
    <w:rsid w:val="00E62F56"/>
    <w:rsid w:val="00E65D8B"/>
    <w:rsid w:val="00E65F05"/>
    <w:rsid w:val="00E70F25"/>
    <w:rsid w:val="00E71650"/>
    <w:rsid w:val="00E73C19"/>
    <w:rsid w:val="00E740E0"/>
    <w:rsid w:val="00E7448E"/>
    <w:rsid w:val="00E74BF0"/>
    <w:rsid w:val="00E74D99"/>
    <w:rsid w:val="00E757E2"/>
    <w:rsid w:val="00E77596"/>
    <w:rsid w:val="00E82A9F"/>
    <w:rsid w:val="00E83007"/>
    <w:rsid w:val="00E832AB"/>
    <w:rsid w:val="00E83E15"/>
    <w:rsid w:val="00E8482E"/>
    <w:rsid w:val="00E869E1"/>
    <w:rsid w:val="00E869E8"/>
    <w:rsid w:val="00E872C5"/>
    <w:rsid w:val="00E87437"/>
    <w:rsid w:val="00E87494"/>
    <w:rsid w:val="00E91583"/>
    <w:rsid w:val="00E91EE0"/>
    <w:rsid w:val="00E94249"/>
    <w:rsid w:val="00E947CA"/>
    <w:rsid w:val="00E94DDB"/>
    <w:rsid w:val="00E968E2"/>
    <w:rsid w:val="00E97ACC"/>
    <w:rsid w:val="00EA0F5F"/>
    <w:rsid w:val="00EA1958"/>
    <w:rsid w:val="00EA2482"/>
    <w:rsid w:val="00EA48D4"/>
    <w:rsid w:val="00EA4A50"/>
    <w:rsid w:val="00EA6740"/>
    <w:rsid w:val="00EA7CBF"/>
    <w:rsid w:val="00EB13BD"/>
    <w:rsid w:val="00EB4678"/>
    <w:rsid w:val="00EB56AA"/>
    <w:rsid w:val="00EB5D9E"/>
    <w:rsid w:val="00EB6FE3"/>
    <w:rsid w:val="00EB72E8"/>
    <w:rsid w:val="00EC0FFF"/>
    <w:rsid w:val="00EC29F1"/>
    <w:rsid w:val="00EC2D40"/>
    <w:rsid w:val="00EC3AA9"/>
    <w:rsid w:val="00EC4391"/>
    <w:rsid w:val="00EC4B3E"/>
    <w:rsid w:val="00EC4E78"/>
    <w:rsid w:val="00ED02FE"/>
    <w:rsid w:val="00ED1744"/>
    <w:rsid w:val="00ED32BC"/>
    <w:rsid w:val="00ED381E"/>
    <w:rsid w:val="00ED4EC9"/>
    <w:rsid w:val="00ED5D67"/>
    <w:rsid w:val="00ED7EE0"/>
    <w:rsid w:val="00EE0173"/>
    <w:rsid w:val="00EE166B"/>
    <w:rsid w:val="00EE1671"/>
    <w:rsid w:val="00EE2427"/>
    <w:rsid w:val="00EE2CB9"/>
    <w:rsid w:val="00EE3888"/>
    <w:rsid w:val="00EE7862"/>
    <w:rsid w:val="00EF074D"/>
    <w:rsid w:val="00EF2101"/>
    <w:rsid w:val="00EF6138"/>
    <w:rsid w:val="00EF6CFC"/>
    <w:rsid w:val="00EF6D44"/>
    <w:rsid w:val="00EF783B"/>
    <w:rsid w:val="00F00B75"/>
    <w:rsid w:val="00F01F08"/>
    <w:rsid w:val="00F02CD1"/>
    <w:rsid w:val="00F02F98"/>
    <w:rsid w:val="00F031DC"/>
    <w:rsid w:val="00F0350E"/>
    <w:rsid w:val="00F038B4"/>
    <w:rsid w:val="00F03A7E"/>
    <w:rsid w:val="00F0542D"/>
    <w:rsid w:val="00F10309"/>
    <w:rsid w:val="00F10B12"/>
    <w:rsid w:val="00F145EB"/>
    <w:rsid w:val="00F14FCF"/>
    <w:rsid w:val="00F15889"/>
    <w:rsid w:val="00F16761"/>
    <w:rsid w:val="00F167A0"/>
    <w:rsid w:val="00F16893"/>
    <w:rsid w:val="00F237A5"/>
    <w:rsid w:val="00F2565B"/>
    <w:rsid w:val="00F256AD"/>
    <w:rsid w:val="00F26895"/>
    <w:rsid w:val="00F30752"/>
    <w:rsid w:val="00F31245"/>
    <w:rsid w:val="00F31310"/>
    <w:rsid w:val="00F33078"/>
    <w:rsid w:val="00F335DE"/>
    <w:rsid w:val="00F34980"/>
    <w:rsid w:val="00F3514B"/>
    <w:rsid w:val="00F360DB"/>
    <w:rsid w:val="00F36BDC"/>
    <w:rsid w:val="00F3724F"/>
    <w:rsid w:val="00F40FFC"/>
    <w:rsid w:val="00F419F4"/>
    <w:rsid w:val="00F42109"/>
    <w:rsid w:val="00F42F52"/>
    <w:rsid w:val="00F43A6A"/>
    <w:rsid w:val="00F4662B"/>
    <w:rsid w:val="00F467F6"/>
    <w:rsid w:val="00F47408"/>
    <w:rsid w:val="00F51E42"/>
    <w:rsid w:val="00F524B0"/>
    <w:rsid w:val="00F52C57"/>
    <w:rsid w:val="00F5375F"/>
    <w:rsid w:val="00F55152"/>
    <w:rsid w:val="00F55AF1"/>
    <w:rsid w:val="00F561C6"/>
    <w:rsid w:val="00F602C6"/>
    <w:rsid w:val="00F61CE7"/>
    <w:rsid w:val="00F628E4"/>
    <w:rsid w:val="00F63468"/>
    <w:rsid w:val="00F647A4"/>
    <w:rsid w:val="00F647DB"/>
    <w:rsid w:val="00F65A5C"/>
    <w:rsid w:val="00F65E3A"/>
    <w:rsid w:val="00F66C1E"/>
    <w:rsid w:val="00F670CF"/>
    <w:rsid w:val="00F70106"/>
    <w:rsid w:val="00F70B43"/>
    <w:rsid w:val="00F71500"/>
    <w:rsid w:val="00F71D89"/>
    <w:rsid w:val="00F7233E"/>
    <w:rsid w:val="00F74890"/>
    <w:rsid w:val="00F7615A"/>
    <w:rsid w:val="00F769D8"/>
    <w:rsid w:val="00F800EB"/>
    <w:rsid w:val="00F801E4"/>
    <w:rsid w:val="00F80D52"/>
    <w:rsid w:val="00F817B8"/>
    <w:rsid w:val="00F8310A"/>
    <w:rsid w:val="00F83852"/>
    <w:rsid w:val="00F83A7C"/>
    <w:rsid w:val="00F843AD"/>
    <w:rsid w:val="00F84CCC"/>
    <w:rsid w:val="00F86370"/>
    <w:rsid w:val="00F86456"/>
    <w:rsid w:val="00F864DA"/>
    <w:rsid w:val="00F87192"/>
    <w:rsid w:val="00F91ECE"/>
    <w:rsid w:val="00F9280B"/>
    <w:rsid w:val="00F92F2D"/>
    <w:rsid w:val="00FA0DE3"/>
    <w:rsid w:val="00FA0FC2"/>
    <w:rsid w:val="00FA25B2"/>
    <w:rsid w:val="00FA4758"/>
    <w:rsid w:val="00FA7198"/>
    <w:rsid w:val="00FB0BB2"/>
    <w:rsid w:val="00FB2097"/>
    <w:rsid w:val="00FB2549"/>
    <w:rsid w:val="00FB2EF5"/>
    <w:rsid w:val="00FB5AB1"/>
    <w:rsid w:val="00FB6588"/>
    <w:rsid w:val="00FB65A5"/>
    <w:rsid w:val="00FB7EA1"/>
    <w:rsid w:val="00FC1A5A"/>
    <w:rsid w:val="00FC7A3C"/>
    <w:rsid w:val="00FD1EF4"/>
    <w:rsid w:val="00FD2852"/>
    <w:rsid w:val="00FD3014"/>
    <w:rsid w:val="00FD3B93"/>
    <w:rsid w:val="00FD474C"/>
    <w:rsid w:val="00FD50DE"/>
    <w:rsid w:val="00FD5758"/>
    <w:rsid w:val="00FD7436"/>
    <w:rsid w:val="00FD7C0B"/>
    <w:rsid w:val="00FE0669"/>
    <w:rsid w:val="00FE2B7E"/>
    <w:rsid w:val="00FE4E9B"/>
    <w:rsid w:val="00FE5583"/>
    <w:rsid w:val="00FE7F1F"/>
    <w:rsid w:val="00FF30B0"/>
    <w:rsid w:val="00FF35CF"/>
    <w:rsid w:val="00FF4B9B"/>
    <w:rsid w:val="00FF4D92"/>
    <w:rsid w:val="00FF5F36"/>
    <w:rsid w:val="00FF5F4B"/>
    <w:rsid w:val="00FF7C2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E1"/>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CE62E1"/>
    <w:pPr>
      <w:keepNext/>
      <w:spacing w:before="140" w:line="240" w:lineRule="atLeast"/>
      <w:jc w:val="center"/>
      <w:outlineLvl w:val="0"/>
    </w:pPr>
    <w:rPr>
      <w:smallCaps/>
    </w:rPr>
  </w:style>
  <w:style w:type="paragraph" w:styleId="Heading2">
    <w:name w:val="heading 2"/>
    <w:basedOn w:val="Normal"/>
    <w:next w:val="Normal"/>
    <w:link w:val="Heading2Char"/>
    <w:qFormat/>
    <w:rsid w:val="00CE62E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CE62E1"/>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CE62E1"/>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CE62E1"/>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CE62E1"/>
    <w:pPr>
      <w:tabs>
        <w:tab w:val="center" w:pos="3960"/>
        <w:tab w:val="right" w:pos="10080"/>
      </w:tabs>
      <w:spacing w:after="0" w:line="240" w:lineRule="auto"/>
      <w:jc w:val="center"/>
    </w:pPr>
    <w:rPr>
      <w:sz w:val="22"/>
    </w:rPr>
  </w:style>
  <w:style w:type="character" w:styleId="FootnoteReference">
    <w:name w:val="footnote reference"/>
    <w:basedOn w:val="DefaultParagraphFont"/>
    <w:rsid w:val="00CE62E1"/>
    <w:rPr>
      <w:rFonts w:ascii="Century Schoolbook" w:hAnsi="Century Schoolbook"/>
      <w:b/>
      <w:i w:val="0"/>
      <w:position w:val="4"/>
      <w:sz w:val="27"/>
      <w:vertAlign w:val="superscript"/>
    </w:rPr>
  </w:style>
  <w:style w:type="paragraph" w:styleId="FootnoteText">
    <w:name w:val="footnote text"/>
    <w:basedOn w:val="Normal"/>
    <w:rsid w:val="00CE62E1"/>
    <w:pPr>
      <w:spacing w:line="300" w:lineRule="exact"/>
    </w:pPr>
  </w:style>
  <w:style w:type="paragraph" w:styleId="Header">
    <w:name w:val="header"/>
    <w:basedOn w:val="Normal"/>
    <w:link w:val="HeaderChar"/>
    <w:qFormat/>
    <w:rsid w:val="00CE62E1"/>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7B4150"/>
    <w:rPr>
      <w:rFonts w:ascii="Century Schoolbook" w:hAnsi="Century Schoolbook"/>
      <w:sz w:val="22"/>
    </w:rPr>
  </w:style>
  <w:style w:type="paragraph" w:styleId="BalloonText">
    <w:name w:val="Balloon Text"/>
    <w:basedOn w:val="Normal"/>
    <w:link w:val="BalloonTextChar"/>
    <w:rsid w:val="004D06D3"/>
    <w:rPr>
      <w:rFonts w:ascii="Segoe UI" w:hAnsi="Segoe UI" w:cs="Segoe UI"/>
      <w:sz w:val="18"/>
      <w:szCs w:val="18"/>
    </w:rPr>
  </w:style>
  <w:style w:type="character" w:customStyle="1" w:styleId="BalloonTextChar">
    <w:name w:val="Balloon Text Char"/>
    <w:basedOn w:val="DefaultParagraphFont"/>
    <w:link w:val="BalloonText"/>
    <w:rsid w:val="004D06D3"/>
    <w:rPr>
      <w:rFonts w:ascii="Segoe UI" w:hAnsi="Segoe UI" w:cs="Segoe UI"/>
      <w:sz w:val="18"/>
      <w:szCs w:val="18"/>
    </w:rPr>
  </w:style>
  <w:style w:type="character" w:styleId="CommentReference">
    <w:name w:val="annotation reference"/>
    <w:basedOn w:val="DefaultParagraphFont"/>
    <w:semiHidden/>
    <w:unhideWhenUsed/>
    <w:rsid w:val="00413B5D"/>
    <w:rPr>
      <w:sz w:val="16"/>
      <w:szCs w:val="16"/>
    </w:rPr>
  </w:style>
  <w:style w:type="paragraph" w:styleId="CommentText">
    <w:name w:val="annotation text"/>
    <w:basedOn w:val="Normal"/>
    <w:link w:val="CommentTextChar"/>
    <w:semiHidden/>
    <w:unhideWhenUsed/>
    <w:rsid w:val="00413B5D"/>
    <w:rPr>
      <w:sz w:val="20"/>
    </w:rPr>
  </w:style>
  <w:style w:type="character" w:customStyle="1" w:styleId="CommentTextChar">
    <w:name w:val="Comment Text Char"/>
    <w:basedOn w:val="DefaultParagraphFont"/>
    <w:link w:val="CommentText"/>
    <w:semiHidden/>
    <w:rsid w:val="00413B5D"/>
  </w:style>
  <w:style w:type="paragraph" w:styleId="CommentSubject">
    <w:name w:val="annotation subject"/>
    <w:basedOn w:val="CommentText"/>
    <w:next w:val="CommentText"/>
    <w:link w:val="CommentSubjectChar"/>
    <w:semiHidden/>
    <w:unhideWhenUsed/>
    <w:rsid w:val="00413B5D"/>
    <w:rPr>
      <w:b/>
      <w:bCs/>
    </w:rPr>
  </w:style>
  <w:style w:type="character" w:customStyle="1" w:styleId="CommentSubjectChar">
    <w:name w:val="Comment Subject Char"/>
    <w:basedOn w:val="CommentTextChar"/>
    <w:link w:val="CommentSubject"/>
    <w:semiHidden/>
    <w:rsid w:val="00413B5D"/>
    <w:rPr>
      <w:b/>
      <w:bCs/>
    </w:rPr>
  </w:style>
  <w:style w:type="paragraph" w:styleId="Revision">
    <w:name w:val="Revision"/>
    <w:hidden/>
    <w:uiPriority w:val="71"/>
    <w:semiHidden/>
    <w:rsid w:val="00413B5D"/>
    <w:rPr>
      <w:sz w:val="26"/>
    </w:rPr>
  </w:style>
  <w:style w:type="character" w:customStyle="1" w:styleId="Heading1Char">
    <w:name w:val="Heading 1 Char"/>
    <w:basedOn w:val="DefaultParagraphFont"/>
    <w:link w:val="Heading1"/>
    <w:rsid w:val="00CE62E1"/>
    <w:rPr>
      <w:rFonts w:ascii="Century Schoolbook" w:hAnsi="Century Schoolbook"/>
      <w:smallCaps/>
      <w:sz w:val="27"/>
    </w:rPr>
  </w:style>
  <w:style w:type="character" w:customStyle="1" w:styleId="Heading2Char">
    <w:name w:val="Heading 2 Char"/>
    <w:basedOn w:val="DefaultParagraphFont"/>
    <w:link w:val="Heading2"/>
    <w:rsid w:val="00CE62E1"/>
    <w:rPr>
      <w:rFonts w:ascii="Century Schoolbook" w:hAnsi="Century Schoolbook"/>
      <w:b/>
      <w:sz w:val="27"/>
    </w:rPr>
  </w:style>
  <w:style w:type="character" w:customStyle="1" w:styleId="Heading3Char">
    <w:name w:val="Heading 3 Char"/>
    <w:basedOn w:val="DefaultParagraphFont"/>
    <w:link w:val="Heading3"/>
    <w:rsid w:val="00CE62E1"/>
    <w:rPr>
      <w:rFonts w:ascii="Century Schoolbook" w:hAnsi="Century Schoolbook"/>
      <w:i/>
      <w:sz w:val="27"/>
    </w:rPr>
  </w:style>
  <w:style w:type="character" w:customStyle="1" w:styleId="Heading4Char">
    <w:name w:val="Heading 4 Char"/>
    <w:basedOn w:val="DefaultParagraphFont"/>
    <w:link w:val="Heading4"/>
    <w:rsid w:val="00CE62E1"/>
    <w:rPr>
      <w:rFonts w:ascii="Century Schoolbook" w:hAnsi="Century Schoolbook"/>
      <w:i/>
      <w:sz w:val="27"/>
    </w:rPr>
  </w:style>
  <w:style w:type="character" w:customStyle="1" w:styleId="Heading5Char">
    <w:name w:val="Heading 5 Char"/>
    <w:basedOn w:val="DefaultParagraphFont"/>
    <w:link w:val="Heading5"/>
    <w:rsid w:val="00CE62E1"/>
    <w:rPr>
      <w:rFonts w:ascii="Century Schoolbook" w:hAnsi="Century Schoolbook"/>
      <w:i/>
      <w:sz w:val="27"/>
    </w:rPr>
  </w:style>
  <w:style w:type="paragraph" w:styleId="Date">
    <w:name w:val="Date"/>
    <w:basedOn w:val="Normal"/>
    <w:link w:val="DateChar"/>
    <w:semiHidden/>
    <w:rsid w:val="00CE62E1"/>
    <w:pPr>
      <w:jc w:val="right"/>
    </w:pPr>
  </w:style>
  <w:style w:type="character" w:customStyle="1" w:styleId="DateChar">
    <w:name w:val="Date Char"/>
    <w:basedOn w:val="DefaultParagraphFont"/>
    <w:link w:val="Date"/>
    <w:semiHidden/>
    <w:rsid w:val="00CE62E1"/>
    <w:rPr>
      <w:rFonts w:ascii="Century Schoolbook" w:hAnsi="Century Schoolbook"/>
      <w:sz w:val="27"/>
    </w:rPr>
  </w:style>
  <w:style w:type="paragraph" w:styleId="NormalIndent">
    <w:name w:val="Normal Indent"/>
    <w:basedOn w:val="Normal"/>
    <w:semiHidden/>
    <w:rsid w:val="00CE62E1"/>
    <w:pPr>
      <w:ind w:left="720"/>
    </w:pPr>
  </w:style>
  <w:style w:type="character" w:styleId="PageNumber">
    <w:name w:val="page number"/>
    <w:basedOn w:val="DefaultParagraphFont"/>
    <w:semiHidden/>
    <w:rsid w:val="00CE62E1"/>
  </w:style>
  <w:style w:type="paragraph" w:customStyle="1" w:styleId="Recommend">
    <w:name w:val="Recommend"/>
    <w:basedOn w:val="Normal"/>
    <w:rsid w:val="00CE62E1"/>
  </w:style>
  <w:style w:type="paragraph" w:customStyle="1" w:styleId="subject">
    <w:name w:val="subject"/>
    <w:basedOn w:val="Normal"/>
    <w:rsid w:val="00CE62E1"/>
    <w:pPr>
      <w:tabs>
        <w:tab w:val="left" w:pos="1008"/>
      </w:tabs>
      <w:ind w:left="990" w:hanging="990"/>
    </w:pPr>
    <w:rPr>
      <w:b/>
    </w:rPr>
  </w:style>
  <w:style w:type="paragraph" w:customStyle="1" w:styleId="Summary">
    <w:name w:val="Summary"/>
    <w:basedOn w:val="Normal"/>
    <w:rsid w:val="00CE62E1"/>
    <w:pPr>
      <w:ind w:left="2160" w:hanging="2160"/>
    </w:pPr>
  </w:style>
  <w:style w:type="paragraph" w:customStyle="1" w:styleId="Text">
    <w:name w:val="Text"/>
    <w:basedOn w:val="Normal"/>
    <w:rsid w:val="00CE62E1"/>
    <w:pPr>
      <w:tabs>
        <w:tab w:val="left" w:pos="720"/>
        <w:tab w:val="left" w:pos="1440"/>
        <w:tab w:val="left" w:pos="2160"/>
        <w:tab w:val="center" w:pos="4320"/>
      </w:tabs>
      <w:spacing w:line="480" w:lineRule="atLeast"/>
      <w:ind w:firstLine="540"/>
    </w:pPr>
  </w:style>
  <w:style w:type="paragraph" w:customStyle="1" w:styleId="Title1">
    <w:name w:val="Title1"/>
    <w:basedOn w:val="Normal"/>
    <w:rsid w:val="00CE62E1"/>
    <w:pPr>
      <w:tabs>
        <w:tab w:val="left" w:pos="5760"/>
        <w:tab w:val="left" w:pos="6480"/>
      </w:tabs>
      <w:spacing w:line="240" w:lineRule="atLeast"/>
    </w:pPr>
  </w:style>
  <w:style w:type="paragraph" w:customStyle="1" w:styleId="Titles">
    <w:name w:val="Titles"/>
    <w:basedOn w:val="Normal"/>
    <w:rsid w:val="00CE62E1"/>
    <w:pPr>
      <w:tabs>
        <w:tab w:val="left" w:pos="2160"/>
      </w:tabs>
      <w:ind w:left="2160" w:hanging="2160"/>
    </w:pPr>
    <w:rPr>
      <w:b/>
    </w:rPr>
  </w:style>
  <w:style w:type="paragraph" w:styleId="TOAHeading">
    <w:name w:val="toa heading"/>
    <w:basedOn w:val="Normal"/>
    <w:next w:val="Normal"/>
    <w:semiHidden/>
    <w:rsid w:val="00CE62E1"/>
    <w:pPr>
      <w:spacing w:before="120"/>
    </w:pPr>
    <w:rPr>
      <w:b/>
    </w:rPr>
  </w:style>
  <w:style w:type="paragraph" w:styleId="TOC1">
    <w:name w:val="toc 1"/>
    <w:basedOn w:val="Normal"/>
    <w:next w:val="Normal"/>
    <w:autoRedefine/>
    <w:semiHidden/>
    <w:rsid w:val="00CE62E1"/>
  </w:style>
  <w:style w:type="paragraph" w:styleId="TOC2">
    <w:name w:val="toc 2"/>
    <w:basedOn w:val="Normal"/>
    <w:next w:val="Normal"/>
    <w:autoRedefine/>
    <w:semiHidden/>
    <w:rsid w:val="00CE62E1"/>
    <w:pPr>
      <w:ind w:left="259"/>
    </w:pPr>
  </w:style>
  <w:style w:type="paragraph" w:styleId="TOC3">
    <w:name w:val="toc 3"/>
    <w:basedOn w:val="Normal"/>
    <w:next w:val="Normal"/>
    <w:autoRedefine/>
    <w:semiHidden/>
    <w:rsid w:val="00CE62E1"/>
    <w:pPr>
      <w:ind w:left="520"/>
    </w:pPr>
  </w:style>
  <w:style w:type="paragraph" w:styleId="TOC4">
    <w:name w:val="toc 4"/>
    <w:basedOn w:val="Normal"/>
    <w:next w:val="Normal"/>
    <w:autoRedefine/>
    <w:semiHidden/>
    <w:rsid w:val="00CE62E1"/>
    <w:pPr>
      <w:ind w:left="780"/>
    </w:pPr>
  </w:style>
  <w:style w:type="paragraph" w:styleId="TOC5">
    <w:name w:val="toc 5"/>
    <w:basedOn w:val="Normal"/>
    <w:next w:val="Normal"/>
    <w:autoRedefine/>
    <w:semiHidden/>
    <w:rsid w:val="00CE62E1"/>
    <w:pPr>
      <w:ind w:left="1040"/>
    </w:pPr>
  </w:style>
  <w:style w:type="paragraph" w:styleId="TOC6">
    <w:name w:val="toc 6"/>
    <w:basedOn w:val="Normal"/>
    <w:next w:val="Normal"/>
    <w:autoRedefine/>
    <w:semiHidden/>
    <w:rsid w:val="00CE62E1"/>
    <w:pPr>
      <w:ind w:left="1300"/>
    </w:pPr>
  </w:style>
  <w:style w:type="paragraph" w:styleId="TOC7">
    <w:name w:val="toc 7"/>
    <w:basedOn w:val="Normal"/>
    <w:next w:val="Normal"/>
    <w:autoRedefine/>
    <w:semiHidden/>
    <w:rsid w:val="00CE62E1"/>
    <w:pPr>
      <w:ind w:left="1560"/>
    </w:pPr>
  </w:style>
  <w:style w:type="paragraph" w:styleId="TOC8">
    <w:name w:val="toc 8"/>
    <w:basedOn w:val="Normal"/>
    <w:next w:val="Normal"/>
    <w:autoRedefine/>
    <w:semiHidden/>
    <w:rsid w:val="00CE62E1"/>
    <w:pPr>
      <w:ind w:left="1820"/>
    </w:pPr>
  </w:style>
  <w:style w:type="paragraph" w:styleId="TOC9">
    <w:name w:val="toc 9"/>
    <w:basedOn w:val="Normal"/>
    <w:next w:val="Normal"/>
    <w:autoRedefine/>
    <w:semiHidden/>
    <w:rsid w:val="00CE62E1"/>
    <w:pPr>
      <w:ind w:left="2080"/>
    </w:pPr>
  </w:style>
  <w:style w:type="paragraph" w:customStyle="1" w:styleId="Contents">
    <w:name w:val="Contents"/>
    <w:basedOn w:val="Normal"/>
    <w:rsid w:val="00CE62E1"/>
    <w:pPr>
      <w:jc w:val="center"/>
    </w:pPr>
    <w:rPr>
      <w:b/>
      <w:spacing w:val="100"/>
    </w:rPr>
  </w:style>
  <w:style w:type="paragraph" w:styleId="BodyText">
    <w:name w:val="Body Text"/>
    <w:basedOn w:val="Normal"/>
    <w:link w:val="BodyTextChar"/>
    <w:qFormat/>
    <w:rsid w:val="00CE62E1"/>
  </w:style>
  <w:style w:type="character" w:customStyle="1" w:styleId="BodyTextChar">
    <w:name w:val="Body Text Char"/>
    <w:basedOn w:val="DefaultParagraphFont"/>
    <w:link w:val="BodyText"/>
    <w:rsid w:val="00CE62E1"/>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BC3D2-CAD9-4FBC-BC6A-6EEB5335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6565</Words>
  <Characters>37427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2021-06-28T16:40:53Z</dcterms:created>
  <dcterms:modified xsi:type="dcterms:W3CDTF">2021-06-28T16:40:53Z</dcterms:modified>
</cp:coreProperties>
</file>