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25D1B" w:rsidP="00514C40">
      <w:pPr>
        <w:tabs>
          <w:tab w:val="left" w:pos="1440"/>
          <w:tab w:val="left" w:pos="4680"/>
          <w:tab w:val="center" w:pos="7200"/>
        </w:tabs>
        <w:spacing w:after="0"/>
        <w:jc w:val="center"/>
        <w:rPr>
          <w:sz w:val="36"/>
        </w:rPr>
      </w:pPr>
      <w:r>
        <w:rPr>
          <w:b/>
          <w:sz w:val="36"/>
        </w:rPr>
        <w:t>IN THE SUPREME COURT OF CALIFORNIA</w:t>
      </w:r>
    </w:p>
    <w:p w:rsidR="00514C40" w:rsidP="00514C40">
      <w:pPr>
        <w:tabs>
          <w:tab w:val="left" w:pos="1440"/>
          <w:tab w:val="left" w:pos="4680"/>
          <w:tab w:val="center" w:pos="7200"/>
        </w:tabs>
        <w:spacing w:after="0"/>
        <w:jc w:val="center"/>
      </w:pPr>
    </w:p>
    <w:p w:rsidR="00514C40" w:rsidP="00514C40">
      <w:pPr>
        <w:tabs>
          <w:tab w:val="left" w:pos="1440"/>
          <w:tab w:val="left" w:pos="4680"/>
          <w:tab w:val="center" w:pos="7200"/>
        </w:tabs>
        <w:spacing w:after="0"/>
        <w:jc w:val="center"/>
      </w:pPr>
      <w:r>
        <w:t>CURTIS OLSON</w:t>
      </w:r>
      <w:r w:rsidR="00C440E5">
        <w:t>,</w:t>
      </w:r>
    </w:p>
    <w:p w:rsidR="00514C40" w:rsidP="00383443">
      <w:pPr>
        <w:tabs>
          <w:tab w:val="left" w:pos="4680"/>
          <w:tab w:val="center" w:pos="7200"/>
        </w:tabs>
        <w:spacing w:after="0"/>
        <w:jc w:val="center"/>
      </w:pPr>
      <w:r>
        <w:t>Cross-complainant</w:t>
      </w:r>
      <w:r>
        <w:t xml:space="preserve"> and</w:t>
      </w:r>
      <w:r>
        <w:t xml:space="preserve"> Appellant,</w:t>
      </w:r>
    </w:p>
    <w:p w:rsidR="00514C40" w:rsidP="00514C40">
      <w:pPr>
        <w:tabs>
          <w:tab w:val="left" w:pos="1440"/>
          <w:tab w:val="left" w:pos="4680"/>
          <w:tab w:val="center" w:pos="7200"/>
        </w:tabs>
        <w:spacing w:after="0"/>
        <w:jc w:val="center"/>
      </w:pPr>
      <w:r>
        <w:t>v.</w:t>
      </w:r>
    </w:p>
    <w:p w:rsidR="00514C40" w:rsidP="00514C40">
      <w:pPr>
        <w:tabs>
          <w:tab w:val="left" w:pos="1440"/>
          <w:tab w:val="left" w:pos="4680"/>
          <w:tab w:val="center" w:pos="7200"/>
        </w:tabs>
        <w:spacing w:after="0"/>
        <w:jc w:val="center"/>
      </w:pPr>
      <w:r>
        <w:t>JANE DOE</w:t>
      </w:r>
      <w:r w:rsidR="00C440E5">
        <w:t>,</w:t>
      </w:r>
    </w:p>
    <w:p w:rsidR="00514C40" w:rsidP="00383443">
      <w:pPr>
        <w:tabs>
          <w:tab w:val="left" w:pos="4680"/>
          <w:tab w:val="center" w:pos="7200"/>
        </w:tabs>
        <w:spacing w:after="0"/>
        <w:jc w:val="center"/>
      </w:pPr>
      <w:r>
        <w:t>Cross-defendant</w:t>
      </w:r>
      <w:r>
        <w:t xml:space="preserve"> and </w:t>
      </w:r>
      <w:r>
        <w:t>Respondent</w:t>
      </w:r>
      <w:r>
        <w:t>.</w:t>
      </w:r>
    </w:p>
    <w:p w:rsidR="00514C40" w:rsidP="00514C40">
      <w:pPr>
        <w:tabs>
          <w:tab w:val="left" w:pos="1440"/>
          <w:tab w:val="left" w:pos="4680"/>
          <w:tab w:val="center" w:pos="7200"/>
        </w:tabs>
        <w:spacing w:after="0"/>
        <w:jc w:val="center"/>
      </w:pPr>
    </w:p>
    <w:p w:rsidR="00514C40" w:rsidP="00514C40">
      <w:pPr>
        <w:tabs>
          <w:tab w:val="left" w:pos="1440"/>
          <w:tab w:val="left" w:pos="4680"/>
          <w:tab w:val="center" w:pos="7200"/>
        </w:tabs>
        <w:spacing w:after="0"/>
        <w:jc w:val="center"/>
      </w:pPr>
      <w:r>
        <w:t>S258498</w:t>
      </w:r>
    </w:p>
    <w:p w:rsidR="00B11EE9" w:rsidP="00514C40">
      <w:pPr>
        <w:tabs>
          <w:tab w:val="left" w:pos="1440"/>
          <w:tab w:val="left" w:pos="4680"/>
          <w:tab w:val="center" w:pos="7200"/>
        </w:tabs>
        <w:spacing w:after="0"/>
        <w:jc w:val="center"/>
      </w:pPr>
    </w:p>
    <w:p w:rsidR="00B11EE9" w:rsidP="00514C40">
      <w:pPr>
        <w:tabs>
          <w:tab w:val="left" w:pos="1440"/>
          <w:tab w:val="left" w:pos="4680"/>
          <w:tab w:val="center" w:pos="7200"/>
        </w:tabs>
        <w:spacing w:after="0"/>
        <w:jc w:val="center"/>
      </w:pPr>
      <w:r>
        <w:t>Second Appellate District, Division Eight</w:t>
      </w:r>
    </w:p>
    <w:p w:rsidR="00B11EE9" w:rsidP="00514C40">
      <w:pPr>
        <w:tabs>
          <w:tab w:val="left" w:pos="1440"/>
          <w:tab w:val="left" w:pos="4680"/>
          <w:tab w:val="center" w:pos="7200"/>
        </w:tabs>
        <w:spacing w:after="0"/>
        <w:jc w:val="center"/>
      </w:pPr>
      <w:r>
        <w:t>B286105</w:t>
      </w:r>
    </w:p>
    <w:p w:rsidR="00514C40" w:rsidP="00514C40">
      <w:pPr>
        <w:tabs>
          <w:tab w:val="left" w:pos="1440"/>
          <w:tab w:val="left" w:pos="4680"/>
          <w:tab w:val="center" w:pos="7200"/>
        </w:tabs>
        <w:spacing w:after="0"/>
        <w:jc w:val="center"/>
      </w:pPr>
    </w:p>
    <w:p w:rsidR="002E26D4" w:rsidP="00514C40">
      <w:pPr>
        <w:tabs>
          <w:tab w:val="left" w:pos="1440"/>
          <w:tab w:val="left" w:pos="4680"/>
          <w:tab w:val="center" w:pos="7200"/>
        </w:tabs>
        <w:spacing w:after="0"/>
        <w:jc w:val="center"/>
      </w:pPr>
      <w:r>
        <w:t xml:space="preserve"> Los Angeles County</w:t>
      </w:r>
      <w:r>
        <w:t xml:space="preserve"> </w:t>
      </w:r>
      <w:r>
        <w:t>Super</w:t>
      </w:r>
      <w:r>
        <w:t>ior</w:t>
      </w:r>
      <w:r>
        <w:t xml:space="preserve"> C</w:t>
      </w:r>
      <w:r>
        <w:t>ourt</w:t>
      </w:r>
      <w:r>
        <w:t xml:space="preserve"> </w:t>
      </w:r>
    </w:p>
    <w:p w:rsidR="00514C40" w:rsidP="00514C40">
      <w:pPr>
        <w:tabs>
          <w:tab w:val="left" w:pos="1440"/>
          <w:tab w:val="left" w:pos="4680"/>
          <w:tab w:val="center" w:pos="7200"/>
        </w:tabs>
        <w:spacing w:after="0"/>
        <w:jc w:val="center"/>
      </w:pPr>
      <w:r>
        <w:t>SC126806</w:t>
      </w:r>
    </w:p>
    <w:p w:rsidR="00514C40" w:rsidP="00514C40">
      <w:pPr>
        <w:pBdr>
          <w:bottom w:val="single" w:sz="4" w:space="1" w:color="auto"/>
        </w:pBdr>
        <w:tabs>
          <w:tab w:val="left" w:pos="1440"/>
          <w:tab w:val="left" w:pos="4680"/>
          <w:tab w:val="center" w:pos="7200"/>
        </w:tabs>
        <w:spacing w:after="0"/>
        <w:jc w:val="center"/>
      </w:pPr>
    </w:p>
    <w:p w:rsidR="00514C40" w:rsidP="00514C40">
      <w:pPr>
        <w:tabs>
          <w:tab w:val="left" w:pos="1440"/>
          <w:tab w:val="left" w:pos="4680"/>
          <w:tab w:val="center" w:pos="7200"/>
        </w:tabs>
        <w:spacing w:after="0"/>
        <w:jc w:val="center"/>
      </w:pPr>
    </w:p>
    <w:p w:rsidR="00514C40" w:rsidP="00514C40">
      <w:pPr>
        <w:tabs>
          <w:tab w:val="left" w:pos="1440"/>
          <w:tab w:val="left" w:pos="4680"/>
          <w:tab w:val="center" w:pos="7200"/>
        </w:tabs>
        <w:spacing w:after="0"/>
        <w:jc w:val="center"/>
      </w:pPr>
      <w:r>
        <w:t>January 13</w:t>
      </w:r>
      <w:r>
        <w:t>, 202</w:t>
      </w:r>
      <w:r>
        <w:t>2</w:t>
      </w:r>
    </w:p>
    <w:p w:rsidR="00514C40" w:rsidP="00514C40">
      <w:pPr>
        <w:tabs>
          <w:tab w:val="left" w:pos="1440"/>
          <w:tab w:val="left" w:pos="4680"/>
          <w:tab w:val="center" w:pos="7200"/>
        </w:tabs>
        <w:spacing w:after="0"/>
        <w:jc w:val="center"/>
      </w:pPr>
    </w:p>
    <w:p w:rsidR="00514C40" w:rsidRPr="004B4CDA" w:rsidP="00121BAC">
      <w:pPr>
        <w:tabs>
          <w:tab w:val="left" w:pos="1440"/>
          <w:tab w:val="left" w:pos="4680"/>
          <w:tab w:val="center" w:pos="7200"/>
        </w:tabs>
        <w:spacing w:after="0"/>
        <w:jc w:val="left"/>
      </w:pPr>
      <w:r>
        <w:t xml:space="preserve">Justice Liu authored the opinion of the Court, in which </w:t>
      </w:r>
      <w:r w:rsidRPr="004B4CDA" w:rsidR="004B4CDA">
        <w:t>Chief Justice Cantil-Sakauye and Justices Corrigan, Kruger</w:t>
      </w:r>
      <w:r w:rsidR="004B4CDA">
        <w:t>, Groban, Jenkins</w:t>
      </w:r>
      <w:r w:rsidRPr="004B4CDA" w:rsidR="004B4CDA">
        <w:t xml:space="preserve">, and </w:t>
      </w:r>
      <w:r w:rsidR="004B4CDA">
        <w:t>Moor</w:t>
      </w:r>
      <w:r>
        <w:rPr>
          <w:b/>
          <w:position w:val="4"/>
          <w:vertAlign w:val="superscript"/>
        </w:rPr>
        <w:footnoteReference w:customMarkFollows="1" w:id="3"/>
        <w:t xml:space="preserve">*</w:t>
      </w:r>
      <w:r w:rsidRPr="004B4CDA" w:rsidR="004B4CDA">
        <w:t xml:space="preserve"> concurred</w:t>
      </w:r>
      <w:r>
        <w:t>.</w:t>
      </w:r>
    </w:p>
    <w:p w:rsidR="00514C40" w:rsidRPr="00514C40" w:rsidP="00514C40">
      <w:pPr>
        <w:pBdr>
          <w:bottom w:val="single" w:sz="4" w:space="1" w:color="auto"/>
        </w:pBdr>
        <w:tabs>
          <w:tab w:val="left" w:pos="1440"/>
          <w:tab w:val="left" w:pos="4680"/>
          <w:tab w:val="center" w:pos="7200"/>
        </w:tabs>
        <w:spacing w:line="480" w:lineRule="atLeast"/>
        <w:jc w:val="left"/>
      </w:pPr>
      <w:bookmarkStart w:id="0" w:name="Return"/>
      <w:bookmarkEnd w:id="0"/>
    </w:p>
    <w:p w:rsidR="00514C40">
      <w:pPr>
        <w:tabs>
          <w:tab w:val="left" w:pos="1440"/>
          <w:tab w:val="left" w:pos="4680"/>
          <w:tab w:val="center" w:pos="7200"/>
        </w:tabs>
        <w:spacing w:line="480" w:lineRule="atLeast"/>
        <w:sectPr w:rsidSect="00514C40">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514C40" w:rsidP="00514C40">
      <w:pPr>
        <w:tabs>
          <w:tab w:val="left" w:pos="1440"/>
          <w:tab w:val="left" w:pos="4680"/>
          <w:tab w:val="center" w:pos="7200"/>
        </w:tabs>
        <w:jc w:val="center"/>
      </w:pPr>
      <w:r>
        <w:t>OLSON v. DOE</w:t>
      </w:r>
    </w:p>
    <w:p w:rsidR="00514C40" w:rsidP="00514C40">
      <w:pPr>
        <w:tabs>
          <w:tab w:val="left" w:pos="1440"/>
          <w:tab w:val="left" w:pos="4680"/>
          <w:tab w:val="center" w:pos="7200"/>
        </w:tabs>
        <w:jc w:val="center"/>
      </w:pPr>
      <w:r>
        <w:t>S258498</w:t>
      </w:r>
    </w:p>
    <w:p w:rsidR="00514C40" w:rsidP="00514C40">
      <w:pPr>
        <w:tabs>
          <w:tab w:val="left" w:pos="1440"/>
          <w:tab w:val="left" w:pos="4680"/>
          <w:tab w:val="center" w:pos="7200"/>
        </w:tabs>
        <w:jc w:val="center"/>
      </w:pPr>
    </w:p>
    <w:p w:rsidR="00514C40" w:rsidP="00514C40">
      <w:pPr>
        <w:tabs>
          <w:tab w:val="left" w:pos="1440"/>
          <w:tab w:val="left" w:pos="4680"/>
          <w:tab w:val="center" w:pos="7200"/>
        </w:tabs>
        <w:jc w:val="center"/>
      </w:pPr>
      <w:r>
        <w:t>Opinion of the Court by L</w:t>
      </w:r>
      <w:r w:rsidR="006C7889">
        <w:t>iu</w:t>
      </w:r>
      <w:r>
        <w:t>, J.</w:t>
      </w:r>
    </w:p>
    <w:p w:rsidR="00514C40" w:rsidRPr="00514C40" w:rsidP="00514C40">
      <w:pPr>
        <w:tabs>
          <w:tab w:val="left" w:pos="1440"/>
          <w:tab w:val="left" w:pos="4680"/>
          <w:tab w:val="center" w:pos="7200"/>
        </w:tabs>
        <w:jc w:val="center"/>
      </w:pPr>
    </w:p>
    <w:p w:rsidR="003A0857" w:rsidRPr="00514C40" w:rsidP="00514C40">
      <w:pPr>
        <w:tabs>
          <w:tab w:val="left" w:pos="1440"/>
        </w:tabs>
        <w:ind w:firstLine="720"/>
      </w:pPr>
      <w:bookmarkStart w:id="1" w:name="justice"/>
      <w:bookmarkStart w:id="2" w:name="mainstory"/>
      <w:bookmarkEnd w:id="1"/>
      <w:bookmarkEnd w:id="2"/>
      <w:r w:rsidRPr="00514C40">
        <w:t xml:space="preserve">Code of Civil Procedure section </w:t>
      </w:r>
      <w:r w:rsidRPr="00514C40" w:rsidR="00A5757A">
        <w:t>527.6</w:t>
      </w:r>
      <w:r w:rsidRPr="00514C40" w:rsidR="009E557D">
        <w:t xml:space="preserve"> provides</w:t>
      </w:r>
      <w:r w:rsidRPr="00514C40" w:rsidR="001631C0">
        <w:t xml:space="preserve"> a specialized procedure </w:t>
      </w:r>
      <w:r w:rsidRPr="00514C40" w:rsidR="00977B05">
        <w:t xml:space="preserve">for </w:t>
      </w:r>
      <w:r w:rsidRPr="00514C40" w:rsidR="00233C0E">
        <w:t>a petitioner who has</w:t>
      </w:r>
      <w:r w:rsidRPr="00514C40" w:rsidR="006931D6">
        <w:t xml:space="preserve"> suffered harassment</w:t>
      </w:r>
      <w:r w:rsidRPr="00514C40" w:rsidR="00A557D9">
        <w:t xml:space="preserve"> within the meaning of the statute</w:t>
      </w:r>
      <w:r w:rsidRPr="00514C40" w:rsidR="004C2CDE">
        <w:t xml:space="preserve"> </w:t>
      </w:r>
      <w:r w:rsidRPr="00514C40" w:rsidR="00977B05">
        <w:t xml:space="preserve">to </w:t>
      </w:r>
      <w:r w:rsidRPr="00514C40" w:rsidR="00BF1494">
        <w:t xml:space="preserve">expeditiously </w:t>
      </w:r>
      <w:r w:rsidRPr="00514C40" w:rsidR="00977B05">
        <w:t xml:space="preserve">seek a </w:t>
      </w:r>
      <w:r w:rsidRPr="00514C40" w:rsidR="00E72836">
        <w:t xml:space="preserve">limited </w:t>
      </w:r>
      <w:r w:rsidRPr="00514C40" w:rsidR="005836D7">
        <w:t xml:space="preserve">judicial </w:t>
      </w:r>
      <w:r w:rsidRPr="00514C40" w:rsidR="00977B05">
        <w:t>remedy</w:t>
      </w:r>
      <w:r w:rsidRPr="00514C40" w:rsidR="00E72836">
        <w:t> — injunctive relief</w:t>
      </w:r>
      <w:r w:rsidRPr="00514C40" w:rsidR="00977B05">
        <w:t xml:space="preserve"> to </w:t>
      </w:r>
      <w:r w:rsidRPr="00514C40" w:rsidR="004C2CDE">
        <w:t>prevent threatened future harm</w:t>
      </w:r>
      <w:r w:rsidRPr="00514C40" w:rsidR="005836D7">
        <w:t>.</w:t>
      </w:r>
      <w:r w:rsidRPr="00514C40" w:rsidR="00BC70EB">
        <w:t xml:space="preserve">  (All undesignated statutory references are to the Code</w:t>
      </w:r>
      <w:r w:rsidRPr="00514C40" w:rsidR="00816207">
        <w:t xml:space="preserve"> of Civil Procedure</w:t>
      </w:r>
      <w:r w:rsidRPr="00514C40" w:rsidR="00BC70EB">
        <w:t>.)</w:t>
      </w:r>
      <w:r w:rsidRPr="00514C40" w:rsidR="00600D06">
        <w:t xml:space="preserve">  </w:t>
      </w:r>
      <w:r w:rsidRPr="00514C40" w:rsidR="00DC1F96">
        <w:t>A</w:t>
      </w:r>
      <w:r w:rsidRPr="00514C40" w:rsidR="00600D06">
        <w:t xml:space="preserve"> petition</w:t>
      </w:r>
      <w:r w:rsidRPr="00514C40" w:rsidR="00F25F22">
        <w:t>er</w:t>
      </w:r>
      <w:r w:rsidRPr="00514C40" w:rsidR="00600D06">
        <w:t xml:space="preserve"> who also desires retrospective relief</w:t>
      </w:r>
      <w:r w:rsidRPr="00514C40" w:rsidR="00E85C0A">
        <w:t xml:space="preserve"> </w:t>
      </w:r>
      <w:r w:rsidRPr="00514C40" w:rsidR="00DC1F96">
        <w:t xml:space="preserve">in connection with the same </w:t>
      </w:r>
      <w:r w:rsidRPr="00514C40" w:rsidR="00E85C0A">
        <w:t>underlying conduct</w:t>
      </w:r>
      <w:r w:rsidRPr="00514C40" w:rsidR="0082777D">
        <w:t>, such as tort damages,</w:t>
      </w:r>
      <w:r w:rsidRPr="00514C40" w:rsidR="00F25F22">
        <w:t xml:space="preserve"> must</w:t>
      </w:r>
      <w:r w:rsidRPr="00514C40" w:rsidR="002E5BEF">
        <w:t xml:space="preserve"> do so separately</w:t>
      </w:r>
      <w:r w:rsidRPr="00514C40" w:rsidR="00E85C0A">
        <w:t>.</w:t>
      </w:r>
    </w:p>
    <w:p w:rsidR="002025D9" w:rsidRPr="00514C40" w:rsidP="00514C40">
      <w:pPr>
        <w:tabs>
          <w:tab w:val="left" w:pos="1440"/>
        </w:tabs>
        <w:ind w:firstLine="720"/>
      </w:pPr>
      <w:r>
        <w:t>Cross-defendant</w:t>
      </w:r>
      <w:r w:rsidRPr="00514C40">
        <w:t xml:space="preserve"> </w:t>
      </w:r>
      <w:r w:rsidRPr="00514C40" w:rsidR="00920F50">
        <w:t>Jane Doe</w:t>
      </w:r>
      <w:r w:rsidRPr="00514C40" w:rsidR="008F2F9C">
        <w:t xml:space="preserve"> </w:t>
      </w:r>
      <w:r w:rsidRPr="00514C40" w:rsidR="003A0857">
        <w:t xml:space="preserve">and </w:t>
      </w:r>
      <w:r>
        <w:t>cross-complainant</w:t>
      </w:r>
      <w:r w:rsidRPr="00514C40">
        <w:t xml:space="preserve"> </w:t>
      </w:r>
      <w:r w:rsidRPr="00514C40" w:rsidR="003A0857">
        <w:t xml:space="preserve">Curtis Olson each own units in the same condominium building.  Doe </w:t>
      </w:r>
      <w:r w:rsidRPr="00514C40" w:rsidR="00920F50">
        <w:t xml:space="preserve">sought a civil harassment restraining order against </w:t>
      </w:r>
      <w:r w:rsidRPr="00514C40" w:rsidR="003A0857">
        <w:t xml:space="preserve">Olson </w:t>
      </w:r>
      <w:r w:rsidRPr="00514C40" w:rsidR="00920F50">
        <w:t xml:space="preserve">pursuant to section 527.6. </w:t>
      </w:r>
      <w:r w:rsidRPr="00514C40" w:rsidR="00475DE2">
        <w:t xml:space="preserve"> As a result of </w:t>
      </w:r>
      <w:r w:rsidRPr="00514C40" w:rsidR="000530CC">
        <w:t>court</w:t>
      </w:r>
      <w:r w:rsidRPr="00514C40" w:rsidR="00914DBE">
        <w:noBreakHyphen/>
      </w:r>
      <w:r w:rsidRPr="00514C40" w:rsidR="000530CC">
        <w:t xml:space="preserve">ordered </w:t>
      </w:r>
      <w:r w:rsidRPr="00514C40" w:rsidR="00475DE2">
        <w:t xml:space="preserve">mediation, </w:t>
      </w:r>
      <w:r w:rsidRPr="00514C40" w:rsidR="00CA30C0">
        <w:t>the parties</w:t>
      </w:r>
      <w:r w:rsidRPr="00514C40" w:rsidR="002D4BB6">
        <w:t xml:space="preserve"> agreed</w:t>
      </w:r>
      <w:r w:rsidRPr="00514C40" w:rsidR="003A0857">
        <w:t xml:space="preserve"> </w:t>
      </w:r>
      <w:r w:rsidRPr="00514C40" w:rsidR="002D4BB6">
        <w:t>“</w:t>
      </w:r>
      <w:r w:rsidRPr="00514C40" w:rsidR="00475DE2">
        <w:t xml:space="preserve">not to contact or communicate with one </w:t>
      </w:r>
      <w:r w:rsidRPr="00514C40" w:rsidR="003A0857">
        <w:t>anothe</w:t>
      </w:r>
      <w:r w:rsidRPr="00514C40" w:rsidR="00475DE2">
        <w:t>r or guests accompanying them, except in writing and/or as required by law</w:t>
      </w:r>
      <w:r w:rsidRPr="00514C40" w:rsidR="002E0E00">
        <w:t>,”</w:t>
      </w:r>
      <w:r w:rsidRPr="00514C40" w:rsidR="004679A7">
        <w:t xml:space="preserve"> </w:t>
      </w:r>
      <w:r w:rsidRPr="00514C40" w:rsidR="005D772A">
        <w:t xml:space="preserve">to </w:t>
      </w:r>
      <w:r w:rsidRPr="00514C40" w:rsidR="004679A7">
        <w:t>“go</w:t>
      </w:r>
      <w:r w:rsidRPr="00514C40" w:rsidR="005D772A">
        <w:t>[]</w:t>
      </w:r>
      <w:r w:rsidRPr="00514C40" w:rsidR="004679A7">
        <w:t xml:space="preserve"> their respective directions away from one another” if “the parties encounter each other in a public place or in common areas near their residences</w:t>
      </w:r>
      <w:r w:rsidRPr="00514C40" w:rsidR="005D772A">
        <w:t>,</w:t>
      </w:r>
      <w:r w:rsidRPr="00514C40" w:rsidR="004679A7">
        <w:t>”</w:t>
      </w:r>
      <w:r w:rsidRPr="00514C40" w:rsidR="005D772A">
        <w:t xml:space="preserve"> and</w:t>
      </w:r>
      <w:r w:rsidRPr="00514C40" w:rsidR="004679A7">
        <w:t xml:space="preserve"> </w:t>
      </w:r>
      <w:r w:rsidRPr="00514C40" w:rsidR="005D772A">
        <w:t>“</w:t>
      </w:r>
      <w:r w:rsidRPr="00514C40" w:rsidR="00475DE2">
        <w:t>not to disparage one another.</w:t>
      </w:r>
      <w:r w:rsidRPr="00514C40" w:rsidR="005D772A">
        <w:t>”</w:t>
      </w:r>
      <w:r w:rsidRPr="00514C40" w:rsidR="005E243B">
        <w:t xml:space="preserve">  </w:t>
      </w:r>
    </w:p>
    <w:p w:rsidR="00E455E6" w:rsidRPr="00514C40" w:rsidP="00514C40">
      <w:pPr>
        <w:tabs>
          <w:tab w:val="left" w:pos="1440"/>
        </w:tabs>
        <w:ind w:firstLine="720"/>
      </w:pPr>
      <w:r w:rsidRPr="00514C40">
        <w:t>The question here</w:t>
      </w:r>
      <w:r w:rsidRPr="00514C40" w:rsidR="007E285A">
        <w:t xml:space="preserve"> </w:t>
      </w:r>
      <w:r w:rsidRPr="00514C40" w:rsidR="003A0857">
        <w:t>is</w:t>
      </w:r>
      <w:r w:rsidRPr="00514C40">
        <w:t xml:space="preserve"> whether the nondisparagement clause in the parties’ mediation agreement </w:t>
      </w:r>
      <w:r w:rsidRPr="00514C40" w:rsidR="00C6736C">
        <w:t xml:space="preserve">potentially applies to and </w:t>
      </w:r>
      <w:r w:rsidRPr="00514C40" w:rsidR="0062636C">
        <w:t xml:space="preserve">thereby </w:t>
      </w:r>
      <w:r w:rsidRPr="00514C40" w:rsidR="00C6736C">
        <w:t xml:space="preserve">limits Doe’s ability to </w:t>
      </w:r>
      <w:r w:rsidRPr="00514C40" w:rsidR="001770E3">
        <w:t xml:space="preserve">bring </w:t>
      </w:r>
      <w:r w:rsidRPr="00514C40" w:rsidR="00C6736C">
        <w:t>a</w:t>
      </w:r>
      <w:r w:rsidRPr="00514C40" w:rsidR="00FF64DA">
        <w:t xml:space="preserve"> subsequent</w:t>
      </w:r>
      <w:r w:rsidRPr="00514C40" w:rsidR="00C6736C">
        <w:t xml:space="preserve"> unlimited civil lawsuit against Olson</w:t>
      </w:r>
      <w:r w:rsidRPr="00514C40" w:rsidR="001770E3">
        <w:t xml:space="preserve"> seeking damages.</w:t>
      </w:r>
      <w:r w:rsidRPr="00514C40" w:rsidR="003B11A6">
        <w:t xml:space="preserve"> </w:t>
      </w:r>
      <w:r w:rsidRPr="00514C40" w:rsidR="00B45325">
        <w:t xml:space="preserve"> </w:t>
      </w:r>
      <w:r w:rsidRPr="00514C40" w:rsidR="00DA24F2">
        <w:t>Doe</w:t>
      </w:r>
      <w:r w:rsidRPr="00514C40" w:rsidR="00AC1B5C">
        <w:t xml:space="preserve"> later</w:t>
      </w:r>
      <w:r w:rsidRPr="00514C40" w:rsidR="00DA24F2">
        <w:t xml:space="preserve"> filed </w:t>
      </w:r>
      <w:r w:rsidRPr="00514C40" w:rsidR="00AC1B5C">
        <w:t>such a lawsuit</w:t>
      </w:r>
      <w:r w:rsidRPr="00514C40" w:rsidR="003A0857">
        <w:t>;</w:t>
      </w:r>
      <w:r w:rsidRPr="00514C40" w:rsidR="00DA24F2">
        <w:t xml:space="preserve"> Olson cross</w:t>
      </w:r>
      <w:r w:rsidRPr="00514C40" w:rsidR="00DA24F2">
        <w:noBreakHyphen/>
        <w:t>complained for breach of contract</w:t>
      </w:r>
      <w:r w:rsidRPr="00514C40" w:rsidR="00F2273D">
        <w:t xml:space="preserve"> and specific performance</w:t>
      </w:r>
      <w:r w:rsidRPr="00514C40" w:rsidR="003A0857">
        <w:t>,</w:t>
      </w:r>
      <w:r w:rsidRPr="00514C40" w:rsidR="00F2273D">
        <w:t xml:space="preserve"> arguing </w:t>
      </w:r>
      <w:r w:rsidRPr="00514C40" w:rsidR="00D93D93">
        <w:t>that Doe</w:t>
      </w:r>
      <w:r w:rsidRPr="00514C40" w:rsidR="00EB63A3">
        <w:t xml:space="preserve">’s suit </w:t>
      </w:r>
      <w:r w:rsidRPr="00514C40" w:rsidR="00F2273D">
        <w:t>violat</w:t>
      </w:r>
      <w:r w:rsidRPr="00514C40" w:rsidR="00D93D93">
        <w:t>ed</w:t>
      </w:r>
      <w:r w:rsidRPr="00514C40" w:rsidR="00F2273D">
        <w:t xml:space="preserve"> the </w:t>
      </w:r>
      <w:r w:rsidRPr="00514C40" w:rsidR="00F2273D">
        <w:t>nondisparagement</w:t>
      </w:r>
      <w:r w:rsidRPr="00514C40" w:rsidR="000223B4">
        <w:t xml:space="preserve"> clause</w:t>
      </w:r>
      <w:r w:rsidRPr="00514C40" w:rsidR="003A0857">
        <w:t>;</w:t>
      </w:r>
      <w:r w:rsidRPr="00514C40" w:rsidR="00DA24F2">
        <w:t xml:space="preserve"> and Doe </w:t>
      </w:r>
      <w:r w:rsidRPr="00514C40" w:rsidR="003A0857">
        <w:t xml:space="preserve">moved </w:t>
      </w:r>
      <w:r w:rsidRPr="00514C40" w:rsidR="00DA24F2">
        <w:t xml:space="preserve">to strike </w:t>
      </w:r>
      <w:r w:rsidRPr="00514C40" w:rsidR="00FE1B86">
        <w:t>Olson’s cross</w:t>
      </w:r>
      <w:r w:rsidRPr="00514C40" w:rsidR="00FE1B86">
        <w:noBreakHyphen/>
        <w:t xml:space="preserve">complaint </w:t>
      </w:r>
      <w:r w:rsidRPr="00514C40" w:rsidR="00DA24F2">
        <w:t xml:space="preserve">under the anti-SLAPP statute.  </w:t>
      </w:r>
      <w:r w:rsidR="0082777D">
        <w:t>We hold that</w:t>
      </w:r>
      <w:r w:rsidRPr="00514C40" w:rsidR="0082777D">
        <w:t xml:space="preserve"> </w:t>
      </w:r>
      <w:r w:rsidRPr="00514C40" w:rsidR="00CB7370">
        <w:t>the mediation agreemen</w:t>
      </w:r>
      <w:r w:rsidRPr="00514C40" w:rsidR="00EE20A5">
        <w:t>t</w:t>
      </w:r>
      <w:r w:rsidRPr="00514C40" w:rsidR="00CB7370">
        <w:t xml:space="preserve"> as a whole</w:t>
      </w:r>
      <w:r w:rsidRPr="00514C40" w:rsidR="00E91176">
        <w:t xml:space="preserve"> and the specific context in which it was reached</w:t>
      </w:r>
      <w:r w:rsidR="003A5AAB">
        <w:t> </w:t>
      </w:r>
      <w:r w:rsidR="0082777D">
        <w:t xml:space="preserve">— </w:t>
      </w:r>
      <w:r w:rsidRPr="00514C40" w:rsidR="00E91176">
        <w:t>a section 527.6 proceeding</w:t>
      </w:r>
      <w:r w:rsidR="003A5AAB">
        <w:t> </w:t>
      </w:r>
      <w:r w:rsidR="0082777D">
        <w:t>—</w:t>
      </w:r>
      <w:r w:rsidRPr="00514C40" w:rsidR="009628CC">
        <w:t xml:space="preserve"> preclude </w:t>
      </w:r>
      <w:r w:rsidRPr="00514C40" w:rsidR="001C5D02">
        <w:t>Olson’s</w:t>
      </w:r>
      <w:r w:rsidRPr="00514C40" w:rsidR="009628CC">
        <w:t xml:space="preserve"> broad reading of the nondisparagement clause</w:t>
      </w:r>
      <w:r w:rsidR="0082777D">
        <w:t>.  Accordingly</w:t>
      </w:r>
      <w:r w:rsidRPr="00514C40" w:rsidR="009628CC">
        <w:t xml:space="preserve">, </w:t>
      </w:r>
      <w:r w:rsidRPr="00514C40" w:rsidR="004E2A65">
        <w:t>Olson</w:t>
      </w:r>
      <w:r w:rsidRPr="00514C40" w:rsidR="001B47A5">
        <w:t xml:space="preserve"> has failed to </w:t>
      </w:r>
      <w:r w:rsidRPr="00514C40" w:rsidR="004E2A65">
        <w:t xml:space="preserve">show </w:t>
      </w:r>
      <w:r w:rsidRPr="00514C40" w:rsidR="006B2B82">
        <w:t xml:space="preserve">the requisite “minimal merit” </w:t>
      </w:r>
      <w:r w:rsidRPr="00514C40" w:rsidR="001B47A5">
        <w:t xml:space="preserve">on a critical element of his </w:t>
      </w:r>
      <w:r w:rsidRPr="00514C40">
        <w:t xml:space="preserve">breach of contract </w:t>
      </w:r>
      <w:r w:rsidRPr="00514C40" w:rsidR="001B47A5">
        <w:t>claim</w:t>
      </w:r>
      <w:r w:rsidR="003A5AAB">
        <w:t> </w:t>
      </w:r>
      <w:r w:rsidRPr="00514C40" w:rsidR="001B47A5">
        <w:t>—</w:t>
      </w:r>
      <w:r w:rsidRPr="00514C40" w:rsidR="004E2A65">
        <w:t xml:space="preserve"> </w:t>
      </w:r>
      <w:r w:rsidRPr="00514C40" w:rsidR="001B47A5">
        <w:t xml:space="preserve">Doe’s </w:t>
      </w:r>
      <w:r w:rsidRPr="00514C40" w:rsidR="00601B5A">
        <w:t xml:space="preserve">obligation under </w:t>
      </w:r>
      <w:r w:rsidRPr="00514C40" w:rsidR="001B47A5">
        <w:t>the agreement</w:t>
      </w:r>
      <w:r w:rsidRPr="00514C40" w:rsidR="001D5C40">
        <w:t> </w:t>
      </w:r>
      <w:r w:rsidRPr="00514C40" w:rsidR="00566D15">
        <w:t xml:space="preserve">to refrain from making </w:t>
      </w:r>
      <w:r w:rsidR="00217C96">
        <w:t xml:space="preserve">disparaging </w:t>
      </w:r>
      <w:r w:rsidRPr="00514C40" w:rsidR="00566D15">
        <w:t>statements in litigation</w:t>
      </w:r>
      <w:r w:rsidR="00ED4D10">
        <w:t> </w:t>
      </w:r>
      <w:r w:rsidRPr="00514C40" w:rsidR="001D5C40">
        <w:t xml:space="preserve">— and thus </w:t>
      </w:r>
      <w:r w:rsidRPr="00514C40" w:rsidR="001B47A5">
        <w:t>cannot defeat Doe’s anti</w:t>
      </w:r>
      <w:r w:rsidRPr="00514C40" w:rsidR="0009388D">
        <w:noBreakHyphen/>
      </w:r>
      <w:r w:rsidRPr="00514C40" w:rsidR="001B47A5">
        <w:t xml:space="preserve">SLAPP motion. </w:t>
      </w:r>
      <w:r w:rsidRPr="00514C40" w:rsidR="001D5C40">
        <w:t xml:space="preserve"> </w:t>
      </w:r>
      <w:r w:rsidRPr="00514C40">
        <w:t>(</w:t>
      </w:r>
      <w:r w:rsidRPr="00514C40">
        <w:rPr>
          <w:i/>
          <w:iCs/>
        </w:rPr>
        <w:t>Navellier v. Sletten</w:t>
      </w:r>
      <w:r w:rsidRPr="00514C40">
        <w:t xml:space="preserve"> (2002) 29 Cal.4th 82, 94 (</w:t>
      </w:r>
      <w:r w:rsidRPr="00514C40">
        <w:rPr>
          <w:i/>
          <w:iCs/>
        </w:rPr>
        <w:t>Navellier</w:t>
      </w:r>
      <w:r w:rsidRPr="00514C40">
        <w:t xml:space="preserve">).)  </w:t>
      </w:r>
    </w:p>
    <w:p w:rsidR="000116CD" w:rsidRPr="00514C40" w:rsidP="00514C40">
      <w:pPr>
        <w:pStyle w:val="Heading1"/>
      </w:pPr>
      <w:r w:rsidRPr="00514C40">
        <w:t>I.</w:t>
      </w:r>
    </w:p>
    <w:p w:rsidR="00951507" w:rsidRPr="00514C40" w:rsidP="00514C40">
      <w:pPr>
        <w:tabs>
          <w:tab w:val="left" w:pos="1440"/>
        </w:tabs>
        <w:ind w:firstLine="720"/>
      </w:pPr>
      <w:r w:rsidRPr="00514C40">
        <w:t xml:space="preserve">Doe and Olson </w:t>
      </w:r>
      <w:r w:rsidRPr="00514C40" w:rsidR="008D603E">
        <w:t xml:space="preserve">met in 2002 and </w:t>
      </w:r>
      <w:r w:rsidRPr="00514C40">
        <w:t xml:space="preserve">worked together to acquire and preserve a historic apartment building. </w:t>
      </w:r>
      <w:r w:rsidRPr="00514C40" w:rsidR="00536A28">
        <w:t xml:space="preserve"> </w:t>
      </w:r>
      <w:r w:rsidRPr="00514C40">
        <w:t xml:space="preserve">Olson acquired the building, converted </w:t>
      </w:r>
      <w:r w:rsidRPr="00514C40" w:rsidR="0010448C">
        <w:t>the apartments in</w:t>
      </w:r>
      <w:r w:rsidRPr="00514C40">
        <w:t>to eight condominium units</w:t>
      </w:r>
      <w:r w:rsidRPr="00514C40" w:rsidR="008B4BB1">
        <w:t>,</w:t>
      </w:r>
      <w:r w:rsidRPr="00514C40">
        <w:t xml:space="preserve"> and</w:t>
      </w:r>
      <w:r w:rsidRPr="00514C40" w:rsidR="0014584D">
        <w:t xml:space="preserve"> </w:t>
      </w:r>
      <w:r w:rsidRPr="00514C40" w:rsidR="008B4BB1">
        <w:t>ultimately became</w:t>
      </w:r>
      <w:r w:rsidRPr="00514C40" w:rsidR="00DC59C4">
        <w:t xml:space="preserve"> the owner and part-time resident of one of </w:t>
      </w:r>
      <w:r w:rsidRPr="00514C40" w:rsidR="003E3A84">
        <w:t xml:space="preserve">the </w:t>
      </w:r>
      <w:r w:rsidRPr="00514C40" w:rsidR="00DC59C4">
        <w:t>units.</w:t>
      </w:r>
      <w:r w:rsidRPr="00514C40" w:rsidR="00014AE7">
        <w:t xml:space="preserve">  </w:t>
      </w:r>
      <w:r w:rsidRPr="00514C40" w:rsidR="00E462B0">
        <w:t xml:space="preserve">Olson </w:t>
      </w:r>
      <w:r w:rsidRPr="00514C40" w:rsidR="00B04DFB">
        <w:t>served</w:t>
      </w:r>
      <w:r w:rsidRPr="00514C40" w:rsidR="00E462B0">
        <w:t xml:space="preserve"> </w:t>
      </w:r>
      <w:r w:rsidRPr="00514C40" w:rsidR="008F2F9C">
        <w:t xml:space="preserve">as </w:t>
      </w:r>
      <w:r w:rsidRPr="00514C40" w:rsidR="00E462B0">
        <w:t xml:space="preserve">the president of the </w:t>
      </w:r>
      <w:r w:rsidRPr="00514C40" w:rsidR="00EE0E8A">
        <w:t>b</w:t>
      </w:r>
      <w:r w:rsidRPr="00514C40" w:rsidR="00E462B0">
        <w:t>uilding</w:t>
      </w:r>
      <w:r w:rsidRPr="00514C40" w:rsidR="00EE0E8A">
        <w:t>’</w:t>
      </w:r>
      <w:r w:rsidRPr="00514C40" w:rsidR="00E462B0">
        <w:t xml:space="preserve">s </w:t>
      </w:r>
      <w:r w:rsidR="00B11EE9">
        <w:t>h</w:t>
      </w:r>
      <w:r w:rsidRPr="00514C40" w:rsidR="00E462B0">
        <w:t xml:space="preserve">omeowners </w:t>
      </w:r>
      <w:r w:rsidR="00B11EE9">
        <w:t>a</w:t>
      </w:r>
      <w:r w:rsidRPr="00514C40" w:rsidR="00E462B0">
        <w:t xml:space="preserve">ssociation (HOA) </w:t>
      </w:r>
      <w:r w:rsidR="00B11EE9">
        <w:t>b</w:t>
      </w:r>
      <w:r w:rsidRPr="00514C40" w:rsidR="00E462B0">
        <w:t>oard from 2013 to January 2016</w:t>
      </w:r>
      <w:r w:rsidRPr="00514C40" w:rsidR="00B04DFB">
        <w:t xml:space="preserve">, and </w:t>
      </w:r>
      <w:r w:rsidRPr="00514C40" w:rsidR="00E45E96">
        <w:t xml:space="preserve">Doe </w:t>
      </w:r>
      <w:r w:rsidRPr="00514C40" w:rsidR="001C18CC">
        <w:t>resided</w:t>
      </w:r>
      <w:r w:rsidRPr="00514C40" w:rsidR="00E45E96">
        <w:t xml:space="preserve"> in one of the condominium units.  </w:t>
      </w:r>
    </w:p>
    <w:p w:rsidR="00FC1211" w:rsidRPr="00514C40" w:rsidP="00514C40">
      <w:pPr>
        <w:tabs>
          <w:tab w:val="left" w:pos="1440"/>
        </w:tabs>
        <w:ind w:firstLine="720"/>
      </w:pPr>
      <w:r w:rsidRPr="00514C40">
        <w:t>In December 2016</w:t>
      </w:r>
      <w:r w:rsidRPr="00514C40" w:rsidR="0041218F">
        <w:t>,</w:t>
      </w:r>
      <w:r w:rsidRPr="00514C40">
        <w:t xml:space="preserve"> Doe filed a</w:t>
      </w:r>
      <w:r w:rsidRPr="00514C40" w:rsidR="00CD7CAE">
        <w:t>n unlimited</w:t>
      </w:r>
      <w:r w:rsidRPr="00514C40">
        <w:t xml:space="preserve"> civil lawsuit against Olson</w:t>
      </w:r>
      <w:r w:rsidRPr="00514C40" w:rsidR="00283489">
        <w:t xml:space="preserve"> and various other defendants, including other residents of the</w:t>
      </w:r>
      <w:r w:rsidRPr="00514C40" w:rsidR="00717361">
        <w:t xml:space="preserve"> building, the HOA, and the property management company.</w:t>
      </w:r>
      <w:r w:rsidRPr="00514C40">
        <w:t xml:space="preserve"> </w:t>
      </w:r>
      <w:r w:rsidRPr="00514C40" w:rsidR="00717361">
        <w:t xml:space="preserve"> </w:t>
      </w:r>
      <w:r w:rsidRPr="00514C40" w:rsidR="0041218F">
        <w:t xml:space="preserve">Through the complaint, </w:t>
      </w:r>
      <w:r w:rsidRPr="00514C40" w:rsidR="00CC1727">
        <w:t>Doe</w:t>
      </w:r>
      <w:r w:rsidRPr="00514C40" w:rsidR="0041218F">
        <w:t xml:space="preserve"> seeks</w:t>
      </w:r>
      <w:r w:rsidRPr="00514C40" w:rsidR="00CC1727">
        <w:t xml:space="preserve"> damages </w:t>
      </w:r>
      <w:r w:rsidRPr="00514C40" w:rsidR="006C644C">
        <w:t xml:space="preserve">for a variety of claims, including sexual battery, assault, </w:t>
      </w:r>
      <w:r w:rsidRPr="00514C40" w:rsidR="00722967">
        <w:t xml:space="preserve">and discrimination based on </w:t>
      </w:r>
      <w:r w:rsidRPr="00514C40" w:rsidR="00B14D1E">
        <w:t xml:space="preserve">perceived </w:t>
      </w:r>
      <w:r w:rsidRPr="00514C40" w:rsidR="004C6275">
        <w:t>ethnicity, religion, and marital status.</w:t>
      </w:r>
      <w:r w:rsidRPr="00514C40" w:rsidR="00B14D1E">
        <w:t xml:space="preserve">  </w:t>
      </w:r>
      <w:r w:rsidRPr="00514C40" w:rsidR="00313CC9">
        <w:t xml:space="preserve">The complaint </w:t>
      </w:r>
      <w:r w:rsidRPr="00514C40" w:rsidR="00674127">
        <w:t>allege</w:t>
      </w:r>
      <w:r w:rsidRPr="00514C40" w:rsidR="003324A8">
        <w:t>s</w:t>
      </w:r>
      <w:r w:rsidRPr="00514C40" w:rsidR="00674127">
        <w:t xml:space="preserve"> </w:t>
      </w:r>
      <w:r w:rsidRPr="00514C40" w:rsidR="001C2BD1">
        <w:t xml:space="preserve">multiple </w:t>
      </w:r>
      <w:r w:rsidRPr="00514C40" w:rsidR="00112808">
        <w:t xml:space="preserve">romantic advances </w:t>
      </w:r>
      <w:r w:rsidRPr="00514C40" w:rsidR="00A317A3">
        <w:t xml:space="preserve">over a long period of time </w:t>
      </w:r>
      <w:r w:rsidRPr="00514C40" w:rsidR="00112808">
        <w:t>by Olson toward Doe</w:t>
      </w:r>
      <w:r w:rsidRPr="00514C40" w:rsidR="001C2BD1">
        <w:t>, whic</w:t>
      </w:r>
      <w:r w:rsidRPr="00514C40" w:rsidR="00381657">
        <w:t xml:space="preserve">h </w:t>
      </w:r>
      <w:r w:rsidRPr="00514C40" w:rsidR="00112808">
        <w:t>Doe reject</w:t>
      </w:r>
      <w:r w:rsidRPr="00514C40" w:rsidR="00381657">
        <w:t>ed</w:t>
      </w:r>
      <w:r w:rsidRPr="00514C40" w:rsidR="002B18E2">
        <w:t>,</w:t>
      </w:r>
      <w:r w:rsidRPr="00514C40" w:rsidR="00381657">
        <w:t xml:space="preserve"> followed by </w:t>
      </w:r>
      <w:r w:rsidRPr="00514C40" w:rsidR="00AC6906">
        <w:t>“a pattern of retaliatory events</w:t>
      </w:r>
      <w:r w:rsidRPr="00514C40" w:rsidR="00257FB1">
        <w:t>” by Olson</w:t>
      </w:r>
      <w:r w:rsidRPr="00514C40" w:rsidR="00657BF0">
        <w:t xml:space="preserve">, </w:t>
      </w:r>
      <w:r w:rsidRPr="00514C40" w:rsidR="00257FB1">
        <w:t>friends and associates of</w:t>
      </w:r>
      <w:r w:rsidRPr="00514C40" w:rsidR="004B6BA5">
        <w:t xml:space="preserve"> Olson </w:t>
      </w:r>
      <w:r w:rsidRPr="00514C40" w:rsidR="004C0F01">
        <w:t>(</w:t>
      </w:r>
      <w:r w:rsidRPr="00514C40" w:rsidR="004B6BA5">
        <w:t xml:space="preserve">some of whom </w:t>
      </w:r>
      <w:r w:rsidRPr="00514C40" w:rsidR="004976A6">
        <w:t>resided in the building after purchasing units from Olson</w:t>
      </w:r>
      <w:r w:rsidRPr="00514C40" w:rsidR="003A3620">
        <w:t>)</w:t>
      </w:r>
      <w:r w:rsidRPr="00514C40" w:rsidR="00657BF0">
        <w:t xml:space="preserve">, and </w:t>
      </w:r>
      <w:r w:rsidRPr="00514C40" w:rsidR="00657BF0">
        <w:t>the HOA</w:t>
      </w:r>
      <w:r w:rsidRPr="00514C40" w:rsidR="004976A6">
        <w:t>.</w:t>
      </w:r>
      <w:r w:rsidRPr="00514C40" w:rsidR="00624901">
        <w:t xml:space="preserve">  </w:t>
      </w:r>
      <w:r w:rsidRPr="00514C40" w:rsidR="006C0958">
        <w:t xml:space="preserve">Doe ultimately moved out of the building </w:t>
      </w:r>
      <w:r w:rsidRPr="00514C40" w:rsidR="004E724A">
        <w:t xml:space="preserve">for a period </w:t>
      </w:r>
      <w:r w:rsidRPr="00514C40" w:rsidR="005F6145">
        <w:t xml:space="preserve">from </w:t>
      </w:r>
      <w:r w:rsidRPr="00514C40" w:rsidR="006C0958">
        <w:t>2009</w:t>
      </w:r>
      <w:r w:rsidRPr="00514C40" w:rsidR="005F6145">
        <w:t xml:space="preserve"> to 2013</w:t>
      </w:r>
      <w:r w:rsidRPr="00514C40" w:rsidR="00503CB5">
        <w:t xml:space="preserve">.  </w:t>
      </w:r>
    </w:p>
    <w:p w:rsidR="00160928" w:rsidRPr="00514C40" w:rsidP="00514C40">
      <w:pPr>
        <w:tabs>
          <w:tab w:val="left" w:pos="1440"/>
        </w:tabs>
        <w:ind w:firstLine="720"/>
      </w:pPr>
      <w:r w:rsidRPr="00514C40">
        <w:t>The complaint further alleges that in May 2015</w:t>
      </w:r>
      <w:r w:rsidRPr="00514C40" w:rsidR="00684A90">
        <w:t>,</w:t>
      </w:r>
      <w:r w:rsidRPr="00514C40" w:rsidR="00F9030E">
        <w:t xml:space="preserve"> </w:t>
      </w:r>
      <w:r w:rsidRPr="00514C40" w:rsidR="003C55CC">
        <w:t>after</w:t>
      </w:r>
      <w:r w:rsidRPr="00514C40" w:rsidR="009107C4">
        <w:t xml:space="preserve"> </w:t>
      </w:r>
      <w:r w:rsidRPr="00514C40" w:rsidR="00684A90">
        <w:t>Doe</w:t>
      </w:r>
      <w:r w:rsidRPr="00514C40" w:rsidR="00921870">
        <w:t xml:space="preserve"> had </w:t>
      </w:r>
      <w:r w:rsidRPr="00514C40" w:rsidR="0054514D">
        <w:t xml:space="preserve">resumed living in </w:t>
      </w:r>
      <w:r w:rsidRPr="00514C40" w:rsidR="00921870">
        <w:t xml:space="preserve">her unit, </w:t>
      </w:r>
      <w:r w:rsidRPr="00514C40" w:rsidR="00F9030E">
        <w:t xml:space="preserve">Olson </w:t>
      </w:r>
      <w:r w:rsidRPr="00514C40" w:rsidR="00742BDE">
        <w:t xml:space="preserve">invited </w:t>
      </w:r>
      <w:r w:rsidRPr="00514C40" w:rsidR="00082CF8">
        <w:t xml:space="preserve">her </w:t>
      </w:r>
      <w:r w:rsidRPr="00514C40" w:rsidR="00742BDE">
        <w:t xml:space="preserve">to meet </w:t>
      </w:r>
      <w:r w:rsidRPr="00514C40" w:rsidR="00F9030E">
        <w:t xml:space="preserve">with him </w:t>
      </w:r>
      <w:r w:rsidRPr="00514C40" w:rsidR="00EC49FB">
        <w:t xml:space="preserve">in order </w:t>
      </w:r>
      <w:r w:rsidRPr="00514C40" w:rsidR="00742BDE">
        <w:t xml:space="preserve">to </w:t>
      </w:r>
      <w:r w:rsidRPr="00514C40" w:rsidR="00F9030E">
        <w:t>“ ‘</w:t>
      </w:r>
      <w:r w:rsidRPr="00514C40" w:rsidR="00742BDE">
        <w:t>bury</w:t>
      </w:r>
      <w:r w:rsidRPr="00514C40" w:rsidR="00C33020">
        <w:t xml:space="preserve"> </w:t>
      </w:r>
      <w:r w:rsidRPr="00514C40" w:rsidR="00742BDE">
        <w:t>the hatchet</w:t>
      </w:r>
      <w:r w:rsidRPr="00514C40" w:rsidR="003639B9">
        <w:t>,</w:t>
      </w:r>
      <w:r w:rsidRPr="00514C40" w:rsidR="00F9030E">
        <w:t>’ ”</w:t>
      </w:r>
      <w:r w:rsidRPr="00514C40" w:rsidR="00742BDE">
        <w:t xml:space="preserve"> </w:t>
      </w:r>
      <w:r w:rsidRPr="00514C40" w:rsidR="003639B9">
        <w:t>and after socializing in the courtyard of the building</w:t>
      </w:r>
      <w:r w:rsidRPr="00514C40" w:rsidR="004E724A">
        <w:t>,</w:t>
      </w:r>
      <w:r w:rsidRPr="00514C40" w:rsidR="00286E46">
        <w:t xml:space="preserve"> Doe accompanied Olson to his condominium unit to watch a</w:t>
      </w:r>
      <w:r w:rsidRPr="00514C40" w:rsidR="009B2021">
        <w:t xml:space="preserve"> short video on the internet that he was having difficulty loading.  </w:t>
      </w:r>
      <w:r w:rsidRPr="00514C40" w:rsidR="004E724A">
        <w:t>According to t</w:t>
      </w:r>
      <w:r w:rsidRPr="00514C40" w:rsidR="00865481">
        <w:t>he complaint</w:t>
      </w:r>
      <w:r w:rsidRPr="00514C40" w:rsidR="004E724A">
        <w:t>,</w:t>
      </w:r>
      <w:r w:rsidRPr="00514C40" w:rsidR="00687953">
        <w:t xml:space="preserve"> Doe was sitting on </w:t>
      </w:r>
      <w:r w:rsidRPr="00514C40" w:rsidR="005066E1">
        <w:t>a sofa in Olson’s unit when Olson “forced himself on top of” her</w:t>
      </w:r>
      <w:r w:rsidRPr="00514C40" w:rsidR="00F20EFB">
        <w:t xml:space="preserve"> and </w:t>
      </w:r>
      <w:r w:rsidRPr="00514C40" w:rsidR="003B5C21">
        <w:t>“started touching her face, hair, and breasts and tried to kiss” her</w:t>
      </w:r>
      <w:r w:rsidRPr="00514C40" w:rsidR="00A7571D">
        <w:t xml:space="preserve"> before she was able to struggle free </w:t>
      </w:r>
      <w:r w:rsidRPr="00514C40" w:rsidR="002E1565">
        <w:t xml:space="preserve">and leave.  </w:t>
      </w:r>
      <w:r w:rsidRPr="00514C40" w:rsidR="00255FAA">
        <w:t>After</w:t>
      </w:r>
      <w:r w:rsidRPr="00514C40" w:rsidR="002A39BC">
        <w:t xml:space="preserve"> this incident, Doe alleges</w:t>
      </w:r>
      <w:r w:rsidRPr="00514C40" w:rsidR="004E724A">
        <w:t>,</w:t>
      </w:r>
      <w:r w:rsidRPr="00514C40" w:rsidR="002A39BC">
        <w:t xml:space="preserve"> Olson </w:t>
      </w:r>
      <w:r w:rsidRPr="00514C40" w:rsidR="00006648">
        <w:t>confronted her</w:t>
      </w:r>
      <w:r w:rsidRPr="00514C40" w:rsidR="009810C0">
        <w:t xml:space="preserve"> </w:t>
      </w:r>
      <w:r w:rsidRPr="00514C40" w:rsidR="00244CDF">
        <w:t>in the courtyard</w:t>
      </w:r>
      <w:r w:rsidRPr="00514C40" w:rsidR="00246AB0">
        <w:t xml:space="preserve"> </w:t>
      </w:r>
      <w:r w:rsidRPr="00514C40" w:rsidR="009810C0">
        <w:t>visibly upset</w:t>
      </w:r>
      <w:r w:rsidRPr="00514C40" w:rsidR="004E724A">
        <w:t>,</w:t>
      </w:r>
      <w:r w:rsidRPr="00514C40" w:rsidR="009810C0">
        <w:t xml:space="preserve"> </w:t>
      </w:r>
      <w:r w:rsidRPr="00514C40" w:rsidR="00246AB0">
        <w:t>and</w:t>
      </w:r>
      <w:r w:rsidRPr="00514C40" w:rsidR="00422C28">
        <w:t xml:space="preserve"> </w:t>
      </w:r>
      <w:r w:rsidRPr="00514C40" w:rsidR="00246AB0">
        <w:t>over the ensuing months</w:t>
      </w:r>
      <w:r w:rsidRPr="00514C40" w:rsidR="00422C28">
        <w:t xml:space="preserve"> Olson and</w:t>
      </w:r>
      <w:r w:rsidRPr="00514C40" w:rsidR="004A778C">
        <w:t xml:space="preserve"> his associates</w:t>
      </w:r>
      <w:r w:rsidRPr="00514C40" w:rsidR="00246AB0">
        <w:t xml:space="preserve"> </w:t>
      </w:r>
      <w:r w:rsidRPr="00514C40" w:rsidR="0090541F">
        <w:t>continued to</w:t>
      </w:r>
      <w:r w:rsidRPr="00514C40" w:rsidR="006D49AF">
        <w:t xml:space="preserve"> harass </w:t>
      </w:r>
      <w:r w:rsidRPr="00514C40" w:rsidR="003546AA">
        <w:t xml:space="preserve">and stalk </w:t>
      </w:r>
      <w:r w:rsidRPr="00514C40" w:rsidR="006D49AF">
        <w:t>her by, for example,</w:t>
      </w:r>
      <w:r w:rsidRPr="00514C40" w:rsidR="009B5720">
        <w:t xml:space="preserve"> </w:t>
      </w:r>
      <w:r w:rsidRPr="00514C40">
        <w:t xml:space="preserve">“peeping, filming, videotaping, </w:t>
      </w:r>
      <w:r w:rsidRPr="00514C40" w:rsidR="009B5720">
        <w:t>and/or photographing [Doe] and her guests</w:t>
      </w:r>
      <w:r w:rsidRPr="00514C40" w:rsidR="00087FCA">
        <w:t>,</w:t>
      </w:r>
      <w:r w:rsidRPr="00514C40" w:rsidR="009B5720">
        <w:t>”</w:t>
      </w:r>
      <w:r w:rsidRPr="00514C40" w:rsidR="00087FCA">
        <w:t xml:space="preserve"> including through </w:t>
      </w:r>
      <w:r w:rsidRPr="00514C40" w:rsidR="00804AC1">
        <w:t>the bedroom and bathroom windows of</w:t>
      </w:r>
      <w:r w:rsidRPr="00514C40" w:rsidR="00AF5026">
        <w:t xml:space="preserve"> her condominium unit</w:t>
      </w:r>
      <w:r w:rsidRPr="00514C40" w:rsidR="00E61546">
        <w:t>, which prompted Doe to file police reports</w:t>
      </w:r>
      <w:r w:rsidRPr="00514C40" w:rsidR="00AF5026">
        <w:t xml:space="preserve">.  </w:t>
      </w:r>
    </w:p>
    <w:p w:rsidR="007B74F3" w:rsidRPr="00514C40" w:rsidP="00514C40">
      <w:pPr>
        <w:tabs>
          <w:tab w:val="left" w:pos="1440"/>
        </w:tabs>
        <w:ind w:firstLine="720"/>
      </w:pPr>
      <w:r w:rsidRPr="00514C40">
        <w:t xml:space="preserve">The events described in the complaint initially prompted Doe to seek </w:t>
      </w:r>
      <w:r w:rsidRPr="00514C40" w:rsidR="0066013E">
        <w:t xml:space="preserve">a civil harassment restraining order against Olson </w:t>
      </w:r>
      <w:r w:rsidRPr="00514C40" w:rsidR="006820A9">
        <w:t>pursuant to section 527.6</w:t>
      </w:r>
      <w:r w:rsidRPr="00514C40" w:rsidR="00153115">
        <w:t xml:space="preserve"> in October 2015</w:t>
      </w:r>
      <w:r w:rsidRPr="00514C40" w:rsidR="0066013E">
        <w:t xml:space="preserve">. </w:t>
      </w:r>
      <w:r w:rsidRPr="00514C40" w:rsidR="00076B42">
        <w:t xml:space="preserve"> </w:t>
      </w:r>
      <w:r w:rsidRPr="00514C40" w:rsidR="000B51A4">
        <w:t xml:space="preserve">Her request </w:t>
      </w:r>
      <w:r w:rsidRPr="00514C40" w:rsidR="00146E41">
        <w:t>included allegations of sexual battery, peeping,</w:t>
      </w:r>
      <w:r w:rsidRPr="00514C40" w:rsidR="00F168C3">
        <w:t xml:space="preserve"> harassment, and threats </w:t>
      </w:r>
      <w:r w:rsidRPr="00514C40" w:rsidR="001F52AB">
        <w:t>to Doe’s life and property</w:t>
      </w:r>
      <w:r w:rsidRPr="00514C40" w:rsidR="00214D18">
        <w:t>,</w:t>
      </w:r>
      <w:r w:rsidRPr="00514C40" w:rsidR="0049778F">
        <w:t xml:space="preserve"> and </w:t>
      </w:r>
      <w:r w:rsidRPr="00514C40" w:rsidR="00214D18">
        <w:t xml:space="preserve">it </w:t>
      </w:r>
      <w:r w:rsidRPr="00514C40" w:rsidR="0049778F">
        <w:t>sought both personal conduct and stay-away orders</w:t>
      </w:r>
      <w:r w:rsidRPr="00514C40" w:rsidR="003F37EC">
        <w:t xml:space="preserve"> against Olson</w:t>
      </w:r>
      <w:r w:rsidRPr="00514C40" w:rsidR="001F52AB">
        <w:t xml:space="preserve">.  </w:t>
      </w:r>
      <w:r w:rsidRPr="00514C40" w:rsidR="00A83F16">
        <w:t xml:space="preserve">The court </w:t>
      </w:r>
      <w:r w:rsidRPr="00514C40" w:rsidR="00BF1304">
        <w:t xml:space="preserve">granted </w:t>
      </w:r>
      <w:r w:rsidRPr="00514C40" w:rsidR="00A83F16">
        <w:t>Doe</w:t>
      </w:r>
      <w:r w:rsidRPr="00514C40" w:rsidR="002E284C">
        <w:t xml:space="preserve">’s </w:t>
      </w:r>
      <w:r w:rsidRPr="00514C40" w:rsidR="00A83F16">
        <w:t>request</w:t>
      </w:r>
      <w:r w:rsidRPr="00514C40" w:rsidR="00F17B30">
        <w:t xml:space="preserve"> for</w:t>
      </w:r>
      <w:r w:rsidRPr="00514C40" w:rsidR="007C4563">
        <w:t xml:space="preserve"> a</w:t>
      </w:r>
      <w:r w:rsidRPr="00514C40" w:rsidR="00F17B30">
        <w:t xml:space="preserve"> </w:t>
      </w:r>
      <w:r w:rsidRPr="00514C40" w:rsidR="00A83F16">
        <w:t>personal conduct order</w:t>
      </w:r>
      <w:r w:rsidRPr="00514C40" w:rsidR="007C4563">
        <w:t xml:space="preserve"> against </w:t>
      </w:r>
      <w:r w:rsidRPr="00514C40" w:rsidR="00C65880">
        <w:t>Olson and issued a temporary restraining order</w:t>
      </w:r>
      <w:r w:rsidRPr="00514C40" w:rsidR="00A83F16">
        <w:t xml:space="preserve">, but </w:t>
      </w:r>
      <w:r w:rsidRPr="00514C40" w:rsidR="005D5E00">
        <w:t xml:space="preserve">the court </w:t>
      </w:r>
      <w:r w:rsidRPr="00514C40" w:rsidR="00EA1DC7">
        <w:t xml:space="preserve">denied Doe’s </w:t>
      </w:r>
      <w:r w:rsidRPr="00514C40" w:rsidR="00A83F16">
        <w:t>request for a stay-away order</w:t>
      </w:r>
      <w:r w:rsidRPr="00514C40" w:rsidR="009B0DE0">
        <w:t xml:space="preserve"> in advance of a hearing</w:t>
      </w:r>
      <w:r w:rsidRPr="00514C40" w:rsidR="00A83F16">
        <w:t>.</w:t>
      </w:r>
      <w:r w:rsidRPr="00514C40" w:rsidR="009B0DE0">
        <w:t xml:space="preserve">  </w:t>
      </w:r>
    </w:p>
    <w:p w:rsidR="00325067" w:rsidRPr="00514C40" w:rsidP="00514C40">
      <w:pPr>
        <w:tabs>
          <w:tab w:val="left" w:pos="1440"/>
        </w:tabs>
        <w:ind w:firstLine="720"/>
      </w:pPr>
      <w:r w:rsidRPr="00514C40">
        <w:t>Olson opposed Doe’s request for a civil harassment restraining order</w:t>
      </w:r>
      <w:r w:rsidRPr="00514C40" w:rsidR="009A2719">
        <w:t>, “vehemently deny[ing] th[e] allegations” in her request</w:t>
      </w:r>
      <w:r w:rsidRPr="00514C40" w:rsidR="005F76DD">
        <w:t xml:space="preserve"> and asserting </w:t>
      </w:r>
      <w:r w:rsidRPr="00514C40" w:rsidR="002660D3">
        <w:t xml:space="preserve">that the HOA </w:t>
      </w:r>
      <w:r w:rsidRPr="00514C40" w:rsidR="005F76DD">
        <w:t>“</w:t>
      </w:r>
      <w:r w:rsidRPr="00514C40" w:rsidR="002660D3">
        <w:t xml:space="preserve">and its vendors have had </w:t>
      </w:r>
      <w:r w:rsidRPr="00514C40" w:rsidR="005F76DD">
        <w:t xml:space="preserve">a </w:t>
      </w:r>
      <w:r w:rsidRPr="00514C40" w:rsidR="00154B65">
        <w:t xml:space="preserve">well-documented history of problems with </w:t>
      </w:r>
      <w:r w:rsidRPr="00514C40" w:rsidR="002660D3">
        <w:t>[Doe]</w:t>
      </w:r>
      <w:r w:rsidRPr="00514C40" w:rsidR="00154B65">
        <w:t xml:space="preserve"> in connection with her use and residency</w:t>
      </w:r>
      <w:r w:rsidRPr="00514C40" w:rsidR="003F511E">
        <w:t>”</w:t>
      </w:r>
      <w:r w:rsidRPr="00514C40" w:rsidR="00154B65">
        <w:t xml:space="preserve"> at the </w:t>
      </w:r>
      <w:r w:rsidRPr="00514C40" w:rsidR="003F511E">
        <w:t>building</w:t>
      </w:r>
      <w:r w:rsidRPr="00514C40" w:rsidR="00440F2F">
        <w:t xml:space="preserve">, including her </w:t>
      </w:r>
      <w:r w:rsidRPr="00514C40" w:rsidR="00B8245A">
        <w:t xml:space="preserve">continued use of </w:t>
      </w:r>
      <w:r w:rsidRPr="00514C40" w:rsidR="006B003A">
        <w:t xml:space="preserve">a </w:t>
      </w:r>
      <w:r w:rsidRPr="00514C40" w:rsidR="00B8245A">
        <w:t>basement storage</w:t>
      </w:r>
      <w:r w:rsidRPr="00514C40" w:rsidR="006B003A">
        <w:t xml:space="preserve"> unit</w:t>
      </w:r>
      <w:r w:rsidRPr="00514C40" w:rsidR="003F511E">
        <w:t xml:space="preserve">.  </w:t>
      </w:r>
      <w:r w:rsidRPr="00514C40" w:rsidR="00626C13">
        <w:t xml:space="preserve">At </w:t>
      </w:r>
      <w:r w:rsidRPr="00514C40" w:rsidR="00464E96">
        <w:t>a</w:t>
      </w:r>
      <w:r w:rsidRPr="00514C40" w:rsidR="00626C13">
        <w:t xml:space="preserve"> hearing</w:t>
      </w:r>
      <w:r w:rsidRPr="00514C40" w:rsidR="00D717AC">
        <w:t xml:space="preserve"> on December 10, 2015, t</w:t>
      </w:r>
      <w:r w:rsidRPr="00514C40" w:rsidR="00B70A33">
        <w:t>he court ordered the parties to mediation supervised</w:t>
      </w:r>
      <w:r w:rsidRPr="00514C40" w:rsidR="00A01AFE">
        <w:t xml:space="preserve"> </w:t>
      </w:r>
      <w:r w:rsidRPr="00514C40" w:rsidR="00B70A33">
        <w:t>by a volunteer mediator from the California Academy</w:t>
      </w:r>
      <w:r w:rsidRPr="00514C40" w:rsidR="00A01AFE">
        <w:t xml:space="preserve"> </w:t>
      </w:r>
      <w:r w:rsidRPr="00514C40" w:rsidR="00B70A33">
        <w:t xml:space="preserve">of Mediation Professionals (CAMP). </w:t>
      </w:r>
      <w:r w:rsidRPr="00514C40" w:rsidR="00BA4552">
        <w:t xml:space="preserve"> </w:t>
      </w:r>
      <w:r w:rsidRPr="00514C40" w:rsidR="00C51672">
        <w:t>T</w:t>
      </w:r>
      <w:r w:rsidRPr="00514C40" w:rsidR="009D06A7">
        <w:t xml:space="preserve">he parties </w:t>
      </w:r>
      <w:r w:rsidRPr="00514C40" w:rsidR="00C51672">
        <w:t xml:space="preserve">then </w:t>
      </w:r>
      <w:r w:rsidRPr="00514C40" w:rsidR="009D06A7">
        <w:t xml:space="preserve">entered into </w:t>
      </w:r>
      <w:r w:rsidRPr="00514C40" w:rsidR="00B74CA9">
        <w:t xml:space="preserve">single-page </w:t>
      </w:r>
      <w:r w:rsidRPr="00514C40" w:rsidR="009D06A7">
        <w:t>“Mediation”</w:t>
      </w:r>
      <w:r w:rsidRPr="00514C40" w:rsidR="005948B4">
        <w:t xml:space="preserve"> </w:t>
      </w:r>
      <w:r w:rsidRPr="00514C40" w:rsidR="00AA770B">
        <w:t xml:space="preserve">and “Mediation/Confidentiality” </w:t>
      </w:r>
      <w:r w:rsidRPr="00514C40" w:rsidR="005948B4">
        <w:t>agreements</w:t>
      </w:r>
      <w:r w:rsidRPr="00514C40" w:rsidR="009D06A7">
        <w:t xml:space="preserve"> </w:t>
      </w:r>
      <w:r w:rsidRPr="00514C40" w:rsidR="00CE0578">
        <w:t>that same day</w:t>
      </w:r>
      <w:r w:rsidRPr="00514C40" w:rsidR="009D06A7">
        <w:t xml:space="preserve">. </w:t>
      </w:r>
      <w:r w:rsidRPr="00514C40" w:rsidR="004D03A5">
        <w:t xml:space="preserve"> </w:t>
      </w:r>
    </w:p>
    <w:p w:rsidR="006E6433" w:rsidRPr="00514C40" w:rsidP="00514C40">
      <w:pPr>
        <w:tabs>
          <w:tab w:val="left" w:pos="1440"/>
        </w:tabs>
        <w:ind w:firstLine="720"/>
      </w:pPr>
      <w:r w:rsidRPr="00514C40">
        <w:t>Pursuant to th</w:t>
      </w:r>
      <w:r w:rsidRPr="00514C40" w:rsidR="00CE4680">
        <w:t>e mediation</w:t>
      </w:r>
      <w:r w:rsidRPr="00514C40">
        <w:t xml:space="preserve"> agreement, </w:t>
      </w:r>
      <w:r w:rsidRPr="00514C40" w:rsidR="00B727B0">
        <w:t>Doe’s request for a civil harassment restraining order</w:t>
      </w:r>
      <w:r w:rsidRPr="00514C40" w:rsidR="00325067">
        <w:t xml:space="preserve"> was dismissed without prejudice</w:t>
      </w:r>
      <w:r w:rsidRPr="00514C40" w:rsidR="00A93973">
        <w:t>,</w:t>
      </w:r>
      <w:r w:rsidRPr="00514C40" w:rsidR="00B4107E">
        <w:t xml:space="preserve"> and the parties agree</w:t>
      </w:r>
      <w:r w:rsidRPr="00514C40">
        <w:t>d</w:t>
      </w:r>
      <w:r w:rsidRPr="00514C40" w:rsidR="00B4107E">
        <w:t xml:space="preserve"> to </w:t>
      </w:r>
      <w:r w:rsidRPr="00514C40" w:rsidR="005E1012">
        <w:t>resolve</w:t>
      </w:r>
      <w:r w:rsidRPr="00514C40" w:rsidR="00B4107E">
        <w:t xml:space="preserve"> their dispute </w:t>
      </w:r>
      <w:r w:rsidRPr="00514C40">
        <w:t xml:space="preserve">in pertinent part </w:t>
      </w:r>
      <w:r w:rsidRPr="00514C40" w:rsidR="00B4107E">
        <w:t>as follows:</w:t>
      </w:r>
      <w:r w:rsidRPr="00514C40" w:rsidR="00A4001D">
        <w:t xml:space="preserve">  </w:t>
      </w:r>
      <w:r w:rsidRPr="00514C40" w:rsidR="00756B27">
        <w:t>“</w:t>
      </w:r>
      <w:r w:rsidRPr="00514C40" w:rsidR="00A4001D">
        <w:t xml:space="preserve">(1) </w:t>
      </w:r>
      <w:r w:rsidRPr="00514C40" w:rsidR="00756B27">
        <w:t>[</w:t>
      </w:r>
      <w:r w:rsidRPr="00514C40">
        <w:t>Olson</w:t>
      </w:r>
      <w:r w:rsidRPr="00514C40" w:rsidR="00756B27">
        <w:t xml:space="preserve">] </w:t>
      </w:r>
      <w:r w:rsidRPr="00514C40">
        <w:t>denies each and every allegation made by [Doe]</w:t>
      </w:r>
      <w:r w:rsidRPr="00514C40" w:rsidR="00BC44BB">
        <w:t xml:space="preserve"> </w:t>
      </w:r>
      <w:r w:rsidRPr="00514C40">
        <w:t>in the dispute</w:t>
      </w:r>
      <w:r w:rsidRPr="00514C40" w:rsidR="00756B27">
        <w:t>.</w:t>
      </w:r>
      <w:r w:rsidRPr="00514C40" w:rsidR="00BC44BB">
        <w:t xml:space="preserve">  </w:t>
      </w:r>
      <w:r w:rsidRPr="00514C40">
        <w:t>(</w:t>
      </w:r>
      <w:r w:rsidRPr="00514C40" w:rsidR="00BC44BB">
        <w:t>2</w:t>
      </w:r>
      <w:r w:rsidRPr="00514C40">
        <w:t xml:space="preserve">) </w:t>
      </w:r>
      <w:r w:rsidRPr="00514C40" w:rsidR="00BC44BB">
        <w:t>Th</w:t>
      </w:r>
      <w:r w:rsidRPr="00514C40" w:rsidR="007B011B">
        <w:t>is</w:t>
      </w:r>
      <w:r w:rsidRPr="00514C40" w:rsidR="00BC44BB">
        <w:t xml:space="preserve"> </w:t>
      </w:r>
      <w:r w:rsidRPr="00514C40">
        <w:t>agreement is made voluntarily by mutual</w:t>
      </w:r>
      <w:r w:rsidRPr="00514C40" w:rsidR="00BC44BB">
        <w:t xml:space="preserve"> </w:t>
      </w:r>
      <w:r w:rsidRPr="00514C40">
        <w:t>agreement of the parties</w:t>
      </w:r>
      <w:r w:rsidRPr="00514C40" w:rsidR="0082294C">
        <w:t>, and nothing contained herein is to be construed as an admission of any wrongdoing of the parties.</w:t>
      </w:r>
      <w:r w:rsidRPr="00514C40" w:rsidR="001E14AB">
        <w:t xml:space="preserve">  (3) </w:t>
      </w:r>
      <w:r w:rsidRPr="00514C40">
        <w:t>The parties agree not to contact or communicate</w:t>
      </w:r>
      <w:r w:rsidRPr="00514C40" w:rsidR="001E14AB">
        <w:t xml:space="preserve"> </w:t>
      </w:r>
      <w:r w:rsidRPr="00514C40">
        <w:t>with one another or guests accompanying them, except</w:t>
      </w:r>
      <w:r w:rsidRPr="00514C40" w:rsidR="001E14AB">
        <w:t xml:space="preserve"> </w:t>
      </w:r>
      <w:r w:rsidRPr="00514C40">
        <w:t xml:space="preserve">in writing and/or as required by law. </w:t>
      </w:r>
      <w:r w:rsidRPr="00514C40" w:rsidR="00561458">
        <w:t xml:space="preserve"> (4) </w:t>
      </w:r>
      <w:r w:rsidRPr="00514C40">
        <w:t>Should the</w:t>
      </w:r>
      <w:r w:rsidRPr="00514C40" w:rsidR="00561458">
        <w:t xml:space="preserve"> </w:t>
      </w:r>
      <w:r w:rsidRPr="00514C40">
        <w:t>parties encounter each other in a public place or in common</w:t>
      </w:r>
      <w:r w:rsidRPr="00514C40" w:rsidR="00561458">
        <w:t xml:space="preserve"> </w:t>
      </w:r>
      <w:r w:rsidRPr="00514C40">
        <w:t>areas near their residences, they shall seek to honor this</w:t>
      </w:r>
      <w:r w:rsidRPr="00514C40" w:rsidR="007B011B">
        <w:t xml:space="preserve"> </w:t>
      </w:r>
      <w:r w:rsidRPr="00514C40">
        <w:t>agreement by going their respective directions away from</w:t>
      </w:r>
      <w:r w:rsidRPr="00514C40" w:rsidR="007B011B">
        <w:t xml:space="preserve"> </w:t>
      </w:r>
      <w:r w:rsidRPr="00514C40">
        <w:t>one another.</w:t>
      </w:r>
      <w:r w:rsidRPr="00514C40" w:rsidR="007B011B">
        <w:t xml:space="preserve"> </w:t>
      </w:r>
      <w:r w:rsidRPr="00514C40" w:rsidR="00B26561">
        <w:t xml:space="preserve"> </w:t>
      </w:r>
      <w:r w:rsidRPr="00514C40">
        <w:t>(</w:t>
      </w:r>
      <w:r w:rsidRPr="00514C40" w:rsidR="00B26561">
        <w:t>5</w:t>
      </w:r>
      <w:r w:rsidRPr="00514C40">
        <w:t xml:space="preserve">) </w:t>
      </w:r>
      <w:r w:rsidRPr="00514C40" w:rsidR="00B26561">
        <w:t>T</w:t>
      </w:r>
      <w:r w:rsidRPr="00514C40">
        <w:t>he parties agree not to disparage one another.</w:t>
      </w:r>
      <w:r w:rsidRPr="00514C40" w:rsidR="00B26561">
        <w:t xml:space="preserve">  </w:t>
      </w:r>
      <w:r w:rsidRPr="00514C40">
        <w:t>(</w:t>
      </w:r>
      <w:r w:rsidRPr="00514C40" w:rsidR="00B26561">
        <w:t>6</w:t>
      </w:r>
      <w:r w:rsidRPr="00514C40">
        <w:t>) The term of this agreement shall be three (3) years.”</w:t>
      </w:r>
      <w:r w:rsidRPr="00514C40" w:rsidR="00B26561">
        <w:t xml:space="preserve">  </w:t>
      </w:r>
    </w:p>
    <w:p w:rsidR="00C16BCB" w:rsidRPr="00514C40" w:rsidP="00514C40">
      <w:pPr>
        <w:tabs>
          <w:tab w:val="left" w:pos="1440"/>
        </w:tabs>
        <w:ind w:firstLine="720"/>
      </w:pPr>
      <w:r w:rsidRPr="00514C40">
        <w:t xml:space="preserve">According to </w:t>
      </w:r>
      <w:r w:rsidRPr="00514C40" w:rsidR="00801C25">
        <w:t xml:space="preserve">Doe’s </w:t>
      </w:r>
      <w:r w:rsidRPr="00514C40" w:rsidR="00101ADC">
        <w:t xml:space="preserve">civil </w:t>
      </w:r>
      <w:r w:rsidRPr="00514C40" w:rsidR="00801C25">
        <w:t>complaint</w:t>
      </w:r>
      <w:r w:rsidRPr="00514C40">
        <w:t xml:space="preserve">, </w:t>
      </w:r>
      <w:r w:rsidRPr="00514C40" w:rsidR="003279FD">
        <w:t>harassment by</w:t>
      </w:r>
      <w:r w:rsidRPr="00514C40" w:rsidR="00801C25">
        <w:t xml:space="preserve"> the HOA </w:t>
      </w:r>
      <w:r w:rsidR="00B11EE9">
        <w:t>b</w:t>
      </w:r>
      <w:r w:rsidRPr="00514C40" w:rsidR="00801C25">
        <w:t xml:space="preserve">oard and other associates of Olson continued </w:t>
      </w:r>
      <w:r w:rsidRPr="00514C40" w:rsidR="003279FD">
        <w:t xml:space="preserve">even after the mediation agreement </w:t>
      </w:r>
      <w:r w:rsidRPr="00514C40" w:rsidR="001F2210">
        <w:t>was reached</w:t>
      </w:r>
      <w:r w:rsidRPr="00514C40" w:rsidR="003279FD">
        <w:t xml:space="preserve">, including a demand </w:t>
      </w:r>
      <w:r w:rsidRPr="00514C40" w:rsidR="001F2210">
        <w:t xml:space="preserve">by </w:t>
      </w:r>
      <w:r w:rsidRPr="00514C40" w:rsidR="003279FD">
        <w:t xml:space="preserve">the HOA </w:t>
      </w:r>
      <w:r w:rsidR="00B11EE9">
        <w:t>b</w:t>
      </w:r>
      <w:r w:rsidRPr="00514C40" w:rsidR="003279FD">
        <w:t xml:space="preserve">oard </w:t>
      </w:r>
      <w:r w:rsidRPr="00514C40" w:rsidR="001F2210">
        <w:t xml:space="preserve">in May 2016 </w:t>
      </w:r>
      <w:r w:rsidRPr="00514C40" w:rsidR="003279FD">
        <w:t xml:space="preserve">that Doe </w:t>
      </w:r>
      <w:r w:rsidRPr="00514C40" w:rsidR="00561297">
        <w:t xml:space="preserve">pay a percentage of </w:t>
      </w:r>
      <w:r w:rsidRPr="00514C40" w:rsidR="0089516A">
        <w:t xml:space="preserve">the </w:t>
      </w:r>
      <w:r w:rsidRPr="00514C40" w:rsidR="00561297">
        <w:t>legal fees</w:t>
      </w:r>
      <w:r w:rsidRPr="00514C40" w:rsidR="006343A2">
        <w:t xml:space="preserve"> </w:t>
      </w:r>
      <w:r w:rsidRPr="00514C40" w:rsidR="00561297">
        <w:t xml:space="preserve">incurred </w:t>
      </w:r>
      <w:r w:rsidRPr="00514C40" w:rsidR="0089516A">
        <w:t xml:space="preserve">by Olson </w:t>
      </w:r>
      <w:r w:rsidRPr="00514C40" w:rsidR="00561297">
        <w:t xml:space="preserve">in connection with </w:t>
      </w:r>
      <w:r w:rsidRPr="00514C40" w:rsidR="004928BB">
        <w:t xml:space="preserve">opposing </w:t>
      </w:r>
      <w:r w:rsidRPr="00514C40" w:rsidR="0089516A">
        <w:t xml:space="preserve">the civil harassment </w:t>
      </w:r>
      <w:r w:rsidRPr="00514C40" w:rsidR="00561297">
        <w:t>restraining order.</w:t>
      </w:r>
      <w:r w:rsidRPr="00514C40" w:rsidR="004928BB">
        <w:t xml:space="preserve">  </w:t>
      </w:r>
      <w:r w:rsidRPr="00514C40" w:rsidR="00A93973">
        <w:t xml:space="preserve">In August 2016, </w:t>
      </w:r>
      <w:r w:rsidRPr="00514C40" w:rsidR="007B2791">
        <w:t xml:space="preserve">Doe filed </w:t>
      </w:r>
      <w:r w:rsidRPr="00514C40" w:rsidR="006A09A6">
        <w:t>an administrative complaint with the United States</w:t>
      </w:r>
      <w:r w:rsidRPr="00514C40" w:rsidR="00D04DC6">
        <w:t xml:space="preserve"> Department of Housing and Urban Development</w:t>
      </w:r>
      <w:r w:rsidRPr="00514C40" w:rsidR="004B708E">
        <w:t xml:space="preserve"> (HUD),</w:t>
      </w:r>
      <w:r w:rsidRPr="00514C40" w:rsidR="006A09A6">
        <w:t xml:space="preserve"> </w:t>
      </w:r>
      <w:r w:rsidRPr="00514C40" w:rsidR="00E27197">
        <w:t>naming Olson and the HOA</w:t>
      </w:r>
      <w:r w:rsidRPr="00514C40" w:rsidR="00A824FB">
        <w:t xml:space="preserve"> as respondents and </w:t>
      </w:r>
      <w:r w:rsidRPr="00514C40" w:rsidR="006A09A6">
        <w:t>alleging discrimination based on sex and gender</w:t>
      </w:r>
      <w:r w:rsidRPr="00514C40" w:rsidR="00A824FB">
        <w:t xml:space="preserve">.  The </w:t>
      </w:r>
      <w:r w:rsidRPr="00514C40" w:rsidR="00BD3819">
        <w:t xml:space="preserve">administrative </w:t>
      </w:r>
      <w:r w:rsidRPr="00514C40" w:rsidR="00A824FB">
        <w:t xml:space="preserve">complaint was referred to the California Department of Fair Employment and Housing (DFEH) for investigation.  </w:t>
      </w:r>
      <w:r w:rsidRPr="00514C40" w:rsidR="00004139">
        <w:t>In the</w:t>
      </w:r>
      <w:r w:rsidRPr="00514C40" w:rsidR="00101ADC">
        <w:t xml:space="preserve"> administrative</w:t>
      </w:r>
      <w:r w:rsidRPr="00514C40" w:rsidR="00004139">
        <w:t xml:space="preserve"> complaint, Doe </w:t>
      </w:r>
      <w:r w:rsidRPr="00514C40" w:rsidR="00E54096">
        <w:t xml:space="preserve">claimed </w:t>
      </w:r>
      <w:r w:rsidRPr="00514C40" w:rsidR="008C6DA7">
        <w:t>“discrimination</w:t>
      </w:r>
      <w:r w:rsidRPr="00514C40" w:rsidR="00004139">
        <w:t xml:space="preserve"> </w:t>
      </w:r>
      <w:r w:rsidRPr="00514C40" w:rsidR="008C6DA7">
        <w:t>based on sex and gender</w:t>
      </w:r>
      <w:r w:rsidRPr="00514C40" w:rsidR="00E54096">
        <w:t>,</w:t>
      </w:r>
      <w:r w:rsidRPr="00514C40" w:rsidR="008C6DA7">
        <w:t>”</w:t>
      </w:r>
      <w:r w:rsidRPr="00514C40" w:rsidR="00E54096">
        <w:t xml:space="preserve"> </w:t>
      </w:r>
      <w:r w:rsidRPr="00514C40" w:rsidR="00707268">
        <w:t>alleg</w:t>
      </w:r>
      <w:r w:rsidRPr="00514C40" w:rsidR="00E54096">
        <w:t>ing</w:t>
      </w:r>
      <w:r w:rsidRPr="00514C40" w:rsidR="008C6DA7">
        <w:t xml:space="preserve"> that Olson </w:t>
      </w:r>
      <w:r w:rsidRPr="00514C40" w:rsidR="008C39A6">
        <w:t>“stalked</w:t>
      </w:r>
      <w:r w:rsidRPr="00514C40" w:rsidR="00DC786F">
        <w:t xml:space="preserve"> her</w:t>
      </w:r>
      <w:r w:rsidRPr="00514C40" w:rsidR="00343B5F">
        <w:t>,</w:t>
      </w:r>
      <w:r w:rsidRPr="00514C40" w:rsidR="008C39A6">
        <w:t xml:space="preserve">” </w:t>
      </w:r>
      <w:r w:rsidRPr="00514C40" w:rsidR="008C6DA7">
        <w:t xml:space="preserve">“subjected </w:t>
      </w:r>
      <w:r w:rsidRPr="00514C40" w:rsidR="00DB63D6">
        <w:t>her</w:t>
      </w:r>
      <w:r w:rsidRPr="00514C40" w:rsidR="008C6DA7">
        <w:t xml:space="preserve"> to</w:t>
      </w:r>
      <w:r w:rsidRPr="00514C40" w:rsidR="00004139">
        <w:t xml:space="preserve"> </w:t>
      </w:r>
      <w:r w:rsidRPr="00514C40" w:rsidR="008C6DA7">
        <w:t>unwanted sexual comments and touching,”</w:t>
      </w:r>
      <w:r w:rsidRPr="00514C40">
        <w:t xml:space="preserve"> </w:t>
      </w:r>
      <w:r w:rsidRPr="00514C40" w:rsidR="00343B5F">
        <w:t xml:space="preserve">took </w:t>
      </w:r>
      <w:r w:rsidRPr="00514C40" w:rsidR="00BA716C">
        <w:t xml:space="preserve">“pictures of [her] while she </w:t>
      </w:r>
      <w:r w:rsidRPr="00514C40" w:rsidR="0077673E">
        <w:t>[wa]</w:t>
      </w:r>
      <w:r w:rsidRPr="00514C40" w:rsidR="00BA716C">
        <w:t>s in the bathroom and in her bedroom,”</w:t>
      </w:r>
      <w:r w:rsidRPr="00514C40" w:rsidR="00A236D2">
        <w:t xml:space="preserve"> </w:t>
      </w:r>
      <w:r w:rsidRPr="00514C40" w:rsidR="00E54096">
        <w:t xml:space="preserve">and </w:t>
      </w:r>
      <w:r w:rsidRPr="00514C40" w:rsidR="00A236D2">
        <w:t>“</w:t>
      </w:r>
      <w:r w:rsidRPr="00514C40" w:rsidR="008C39A6">
        <w:t>used his position as board president to direct the maintenance man to install cameras in [her] unit,”</w:t>
      </w:r>
      <w:r w:rsidRPr="00514C40" w:rsidR="00424A8D">
        <w:t xml:space="preserve"> and </w:t>
      </w:r>
      <w:r w:rsidRPr="00514C40" w:rsidR="00E54096">
        <w:t xml:space="preserve">that </w:t>
      </w:r>
      <w:r w:rsidRPr="00514C40" w:rsidR="00424A8D">
        <w:t>“as a result of the restraining order [Olson and the HOA] tied in a portion of the attorney fees to her home”</w:t>
      </w:r>
      <w:r w:rsidRPr="00514C40" w:rsidR="00CE3E62">
        <w:t xml:space="preserve"> such that “[i]f the balance[] is not paid in full a 10% monthly fee is added to the unpaid balance and they are able to foreclose on [her] property.”  </w:t>
      </w:r>
    </w:p>
    <w:p w:rsidR="00831D1F" w:rsidRPr="00514C40" w:rsidP="00514C40">
      <w:pPr>
        <w:tabs>
          <w:tab w:val="left" w:pos="1440"/>
        </w:tabs>
        <w:ind w:firstLine="720"/>
      </w:pPr>
      <w:r w:rsidRPr="00514C40">
        <w:t xml:space="preserve">Doe subsequently filed </w:t>
      </w:r>
      <w:r w:rsidR="00D75478">
        <w:t>a</w:t>
      </w:r>
      <w:r w:rsidRPr="00514C40" w:rsidR="00D75478">
        <w:t xml:space="preserve"> </w:t>
      </w:r>
      <w:r w:rsidRPr="00514C40">
        <w:t xml:space="preserve">civil complaint </w:t>
      </w:r>
      <w:r w:rsidRPr="00514C40" w:rsidR="004C443B">
        <w:t xml:space="preserve">against Olson and the other defendants </w:t>
      </w:r>
      <w:r w:rsidRPr="00514C40">
        <w:t>seeking damages</w:t>
      </w:r>
      <w:r w:rsidRPr="00514C40" w:rsidR="00E527B8">
        <w:t xml:space="preserve">.  </w:t>
      </w:r>
      <w:r w:rsidRPr="00514C40" w:rsidR="00E54096">
        <w:t>I</w:t>
      </w:r>
      <w:r w:rsidRPr="00514C40" w:rsidR="00855DFC">
        <w:t>n May 2017, Ols</w:t>
      </w:r>
      <w:r w:rsidRPr="00514C40" w:rsidR="00A63F40">
        <w:t>o</w:t>
      </w:r>
      <w:r w:rsidRPr="00514C40" w:rsidR="00855DFC">
        <w:t>n filed a cross-complaint</w:t>
      </w:r>
      <w:r w:rsidRPr="00514C40" w:rsidR="00457E51">
        <w:t xml:space="preserve"> against Doe for breach of contract damages and specific performance.</w:t>
      </w:r>
      <w:r w:rsidRPr="00514C40" w:rsidR="00780322">
        <w:t xml:space="preserve">  The cross-complaint allege</w:t>
      </w:r>
      <w:r w:rsidRPr="00514C40" w:rsidR="00EF40FA">
        <w:t>s</w:t>
      </w:r>
      <w:r w:rsidRPr="00514C40" w:rsidR="00780322">
        <w:t xml:space="preserve"> that Doe breached the mediation agreement’s nondisparagement clause</w:t>
      </w:r>
      <w:r w:rsidRPr="00514C40" w:rsidR="00DA52A6">
        <w:t xml:space="preserve"> by filing her administrative complaint</w:t>
      </w:r>
      <w:r w:rsidRPr="00514C40" w:rsidR="005D4E79">
        <w:t xml:space="preserve"> and her civil complaint for damages</w:t>
      </w:r>
      <w:r w:rsidRPr="00514C40" w:rsidR="00BC38BE">
        <w:t>,</w:t>
      </w:r>
      <w:r w:rsidRPr="00514C40" w:rsidR="0022733A">
        <w:t xml:space="preserve"> and </w:t>
      </w:r>
      <w:r w:rsidRPr="00514C40" w:rsidR="00BC38BE">
        <w:t xml:space="preserve">it </w:t>
      </w:r>
      <w:r w:rsidRPr="00514C40" w:rsidR="00565615">
        <w:t xml:space="preserve">requests </w:t>
      </w:r>
      <w:r w:rsidRPr="00514C40" w:rsidR="008C181B">
        <w:t xml:space="preserve">contract damages and </w:t>
      </w:r>
      <w:r w:rsidRPr="00514C40" w:rsidR="0022733A">
        <w:t>an order</w:t>
      </w:r>
      <w:r w:rsidRPr="00514C40" w:rsidR="00FD6906">
        <w:t xml:space="preserve"> for specific performance requiring </w:t>
      </w:r>
      <w:r w:rsidRPr="00514C40" w:rsidR="00BC38BE">
        <w:t xml:space="preserve">Doe </w:t>
      </w:r>
      <w:r w:rsidRPr="00514C40" w:rsidR="004D02EF">
        <w:t xml:space="preserve">“to </w:t>
      </w:r>
      <w:r w:rsidRPr="00514C40" w:rsidR="00333193">
        <w:t>withdraw and dismiss all claims in this case, the HUD Complaint,</w:t>
      </w:r>
      <w:r w:rsidRPr="00514C40" w:rsidR="009D636A">
        <w:t xml:space="preserve"> </w:t>
      </w:r>
      <w:r w:rsidRPr="00514C40" w:rsidR="00333193">
        <w:t>and the DFEH Complaint against Olson or that otherwise disparage Olson</w:t>
      </w:r>
      <w:r w:rsidRPr="00514C40" w:rsidR="009D636A">
        <w:t>.</w:t>
      </w:r>
      <w:r w:rsidRPr="00514C40" w:rsidR="00333193">
        <w:t>”</w:t>
      </w:r>
      <w:r w:rsidRPr="00514C40" w:rsidR="009D636A">
        <w:t xml:space="preserve">  </w:t>
      </w:r>
    </w:p>
    <w:p w:rsidR="0091413A" w:rsidRPr="00514C40" w:rsidP="00514C40">
      <w:pPr>
        <w:tabs>
          <w:tab w:val="left" w:pos="1440"/>
        </w:tabs>
        <w:ind w:firstLine="720"/>
      </w:pPr>
      <w:r w:rsidRPr="00514C40">
        <w:t xml:space="preserve">Doe moved to strike Olson’s cross-complaint </w:t>
      </w:r>
      <w:r w:rsidRPr="00514C40" w:rsidR="00831D1F">
        <w:t>under</w:t>
      </w:r>
      <w:r w:rsidRPr="00514C40">
        <w:t xml:space="preserve"> </w:t>
      </w:r>
      <w:r w:rsidRPr="00514C40" w:rsidR="00831D1F">
        <w:t xml:space="preserve">the </w:t>
      </w:r>
      <w:r w:rsidRPr="00514C40">
        <w:t>anti-SLAPP statute</w:t>
      </w:r>
      <w:r w:rsidRPr="00514C40" w:rsidR="00BC38BE">
        <w:t>,</w:t>
      </w:r>
      <w:r w:rsidRPr="00514C40">
        <w:t xml:space="preserve"> </w:t>
      </w:r>
      <w:r w:rsidRPr="00514C40" w:rsidR="00160B09">
        <w:t xml:space="preserve">asserting that it was </w:t>
      </w:r>
      <w:r w:rsidRPr="00514C40">
        <w:t xml:space="preserve">“retaliatory litigation” </w:t>
      </w:r>
      <w:r w:rsidRPr="00514C40" w:rsidR="00206B80">
        <w:t xml:space="preserve">and </w:t>
      </w:r>
      <w:r w:rsidRPr="00514C40" w:rsidR="00F26E04">
        <w:t>“</w:t>
      </w:r>
      <w:r w:rsidRPr="00514C40" w:rsidR="00206B80">
        <w:t>an attempt to chill Doe</w:t>
      </w:r>
      <w:r w:rsidRPr="00514C40" w:rsidR="00A94E63">
        <w:t>’</w:t>
      </w:r>
      <w:r w:rsidRPr="00514C40" w:rsidR="00206B80">
        <w:t>s exercise of her rights of free speech</w:t>
      </w:r>
      <w:r w:rsidRPr="00514C40" w:rsidR="00387605">
        <w:t> </w:t>
      </w:r>
      <w:r w:rsidRPr="00514C40" w:rsidR="009E5013">
        <w:t xml:space="preserve">under the United States or California Constitution </w:t>
      </w:r>
      <w:r w:rsidRPr="00514C40" w:rsidR="00387605">
        <w:t xml:space="preserve">. . . </w:t>
      </w:r>
      <w:r w:rsidRPr="00514C40">
        <w:t>and right to petition the</w:t>
      </w:r>
      <w:r w:rsidRPr="00514C40" w:rsidR="00387605">
        <w:t xml:space="preserve"> </w:t>
      </w:r>
      <w:r w:rsidRPr="00514C40">
        <w:t>courts and the executive branch for redress of grievances.”</w:t>
      </w:r>
      <w:r w:rsidRPr="00514C40" w:rsidR="00831D1F">
        <w:t xml:space="preserve"> </w:t>
      </w:r>
      <w:r w:rsidRPr="00514C40" w:rsidR="00387605">
        <w:t xml:space="preserve"> </w:t>
      </w:r>
      <w:r w:rsidRPr="00514C40" w:rsidR="00831D1F">
        <w:t>(</w:t>
      </w:r>
      <w:r w:rsidRPr="00514C40" w:rsidR="00387605">
        <w:t xml:space="preserve">See </w:t>
      </w:r>
      <w:r w:rsidRPr="00514C40" w:rsidR="00831D1F">
        <w:t>§ 425.16,</w:t>
      </w:r>
      <w:r w:rsidRPr="00514C40" w:rsidR="003A0AC6">
        <w:t xml:space="preserve"> </w:t>
      </w:r>
      <w:r w:rsidRPr="00514C40" w:rsidR="00831D1F">
        <w:t>subds. (b)(1), (e)(1) &amp; (e)(4)</w:t>
      </w:r>
      <w:r w:rsidRPr="00514C40" w:rsidR="003A0AC6">
        <w:t>.</w:t>
      </w:r>
      <w:r w:rsidRPr="00514C40" w:rsidR="00831D1F">
        <w:t>)</w:t>
      </w:r>
      <w:r w:rsidRPr="00514C40" w:rsidR="003A0AC6">
        <w:t xml:space="preserve">  </w:t>
      </w:r>
      <w:r w:rsidRPr="00514C40" w:rsidR="002954C9">
        <w:t>Doe argued that Olson could not establish</w:t>
      </w:r>
      <w:r w:rsidRPr="00514C40" w:rsidR="006A4126">
        <w:t xml:space="preserve"> a </w:t>
      </w:r>
      <w:r w:rsidRPr="00514C40" w:rsidR="002954C9">
        <w:t xml:space="preserve">probability </w:t>
      </w:r>
      <w:r w:rsidRPr="00514C40" w:rsidR="006A4126">
        <w:t xml:space="preserve">of prevailing because </w:t>
      </w:r>
      <w:r w:rsidRPr="00514C40" w:rsidR="0050142C">
        <w:t>“[t]</w:t>
      </w:r>
      <w:r w:rsidRPr="00514C40" w:rsidR="002954C9">
        <w:t>here was an exception clause that expressly preserves Doe</w:t>
      </w:r>
      <w:r w:rsidRPr="00514C40" w:rsidR="0050142C">
        <w:t>’</w:t>
      </w:r>
      <w:r w:rsidRPr="00514C40" w:rsidR="002954C9">
        <w:t>s right to sue and no release of all claims executed by Doe and Doe</w:t>
      </w:r>
      <w:r w:rsidRPr="00514C40" w:rsidR="0050142C">
        <w:t>’</w:t>
      </w:r>
      <w:r w:rsidRPr="00514C40" w:rsidR="002954C9">
        <w:t xml:space="preserve">s Complaint and reports to HUD and DFEH are absolute </w:t>
      </w:r>
      <w:r w:rsidRPr="00514C40" w:rsidR="00C46424">
        <w:t>[</w:t>
      </w:r>
      <w:r w:rsidRPr="00514C40" w:rsidR="00C46424">
        <w:rPr>
          <w:i/>
          <w:iCs/>
        </w:rPr>
        <w:t>sic</w:t>
      </w:r>
      <w:r w:rsidRPr="00514C40" w:rsidR="00C46424">
        <w:t xml:space="preserve">] </w:t>
      </w:r>
      <w:r w:rsidRPr="00514C40" w:rsidR="002954C9">
        <w:t>privileged under California Civil Code §</w:t>
      </w:r>
      <w:r w:rsidRPr="00514C40" w:rsidR="0050142C">
        <w:t> </w:t>
      </w:r>
      <w:r w:rsidRPr="00514C40" w:rsidR="002954C9">
        <w:t>47.</w:t>
      </w:r>
      <w:r w:rsidRPr="00514C40" w:rsidR="0050142C">
        <w:t>”</w:t>
      </w:r>
      <w:r w:rsidRPr="00514C40" w:rsidR="00E24F37">
        <w:t xml:space="preserve">  </w:t>
      </w:r>
      <w:r w:rsidRPr="00514C40" w:rsidR="0052139A">
        <w:t>Olson opposed the motion, argu</w:t>
      </w:r>
      <w:r w:rsidRPr="00514C40" w:rsidR="00CC068B">
        <w:t>ing</w:t>
      </w:r>
      <w:r w:rsidRPr="00514C40" w:rsidR="0052139A">
        <w:t xml:space="preserve"> that </w:t>
      </w:r>
      <w:r w:rsidRPr="00514C40" w:rsidR="00CB76E8">
        <w:t>the parties “agreed not to disparage one another for three years,”</w:t>
      </w:r>
      <w:r w:rsidRPr="00514C40">
        <w:t xml:space="preserve"> </w:t>
      </w:r>
      <w:r w:rsidRPr="00514C40" w:rsidR="00E54096">
        <w:t xml:space="preserve">that Doe </w:t>
      </w:r>
      <w:r w:rsidRPr="00514C40" w:rsidR="00CB76E8">
        <w:t xml:space="preserve">breached that agreement by filing </w:t>
      </w:r>
      <w:r w:rsidRPr="00514C40">
        <w:t>the administrative and civil</w:t>
      </w:r>
      <w:r w:rsidRPr="00514C40" w:rsidR="00CB76E8">
        <w:t xml:space="preserve"> complaints</w:t>
      </w:r>
      <w:r w:rsidRPr="00514C40" w:rsidR="001F0FB8">
        <w:t xml:space="preserve">, and that “having contractually obligated herself not to disparage Olson, Doe is not entitled to th[e] protections” of the anti-SLAPP statute.  </w:t>
      </w:r>
    </w:p>
    <w:p w:rsidR="00520B63" w:rsidRPr="00514C40" w:rsidP="00514C40">
      <w:pPr>
        <w:tabs>
          <w:tab w:val="left" w:pos="1440"/>
        </w:tabs>
        <w:ind w:firstLine="720"/>
      </w:pPr>
      <w:r w:rsidRPr="00514C40">
        <w:t>The trial court granted Doe’s special motion to strike</w:t>
      </w:r>
      <w:r w:rsidRPr="00514C40" w:rsidR="00DA101B">
        <w:t>,</w:t>
      </w:r>
      <w:r w:rsidRPr="00514C40" w:rsidR="00F62C97">
        <w:t xml:space="preserve"> and Olson appealed. </w:t>
      </w:r>
      <w:r w:rsidRPr="00514C40" w:rsidR="00505D6B">
        <w:t xml:space="preserve"> The Court of Appeal affirmed in part and reversed in part.</w:t>
      </w:r>
      <w:r w:rsidRPr="00514C40" w:rsidR="008A59AA">
        <w:t xml:space="preserve">  </w:t>
      </w:r>
      <w:r w:rsidRPr="00514C40" w:rsidR="0080570F">
        <w:t>With respect to Doe’s administrative complaint</w:t>
      </w:r>
      <w:r w:rsidRPr="00514C40" w:rsidR="002943A2">
        <w:t>, the Court of Appeal</w:t>
      </w:r>
      <w:r w:rsidRPr="00514C40" w:rsidR="00C364A0">
        <w:t xml:space="preserve"> </w:t>
      </w:r>
      <w:r w:rsidRPr="00514C40" w:rsidR="009330FF">
        <w:t xml:space="preserve">agreed with the trial court and </w:t>
      </w:r>
      <w:r w:rsidRPr="00514C40" w:rsidR="00C364A0">
        <w:t xml:space="preserve">viewed </w:t>
      </w:r>
      <w:r w:rsidRPr="00514C40" w:rsidR="00C364A0">
        <w:rPr>
          <w:i/>
          <w:iCs/>
        </w:rPr>
        <w:t>Vivian v. Labrucherie</w:t>
      </w:r>
      <w:r w:rsidRPr="00514C40" w:rsidR="00C364A0">
        <w:t xml:space="preserve"> (2013) 214 Cal.App.4th 267 as dispositive</w:t>
      </w:r>
      <w:r w:rsidRPr="00514C40" w:rsidR="009330FF">
        <w:t xml:space="preserve">, concluding </w:t>
      </w:r>
      <w:r w:rsidRPr="00514C40" w:rsidR="00FE3EA8">
        <w:t xml:space="preserve">that </w:t>
      </w:r>
      <w:r w:rsidRPr="00514C40" w:rsidR="00383DDE">
        <w:t xml:space="preserve">applying </w:t>
      </w:r>
      <w:r w:rsidRPr="00514C40" w:rsidR="00FE3EA8">
        <w:t xml:space="preserve">the litigation privilege </w:t>
      </w:r>
      <w:r w:rsidRPr="00514C40" w:rsidR="00383DDE">
        <w:t xml:space="preserve">was necessary to promote full and candid disclosure </w:t>
      </w:r>
      <w:r w:rsidRPr="00514C40" w:rsidR="00FB10DA">
        <w:t>to</w:t>
      </w:r>
      <w:r w:rsidRPr="00514C40" w:rsidR="009330FF">
        <w:t xml:space="preserve"> a</w:t>
      </w:r>
      <w:r w:rsidRPr="00514C40" w:rsidR="00FB10DA">
        <w:t xml:space="preserve"> </w:t>
      </w:r>
      <w:r w:rsidRPr="00514C40" w:rsidR="00383DDE">
        <w:t xml:space="preserve">public agency </w:t>
      </w:r>
      <w:r w:rsidRPr="00514C40" w:rsidR="004A7D10">
        <w:t>whose purpose is to</w:t>
      </w:r>
      <w:r w:rsidRPr="00514C40" w:rsidR="00FB10DA">
        <w:t xml:space="preserve"> </w:t>
      </w:r>
      <w:r w:rsidRPr="00514C40" w:rsidR="00383DDE">
        <w:t>protect the public from</w:t>
      </w:r>
      <w:r w:rsidRPr="00514C40" w:rsidR="00FB10DA">
        <w:t xml:space="preserve"> </w:t>
      </w:r>
      <w:r w:rsidRPr="00514C40" w:rsidR="00383DDE">
        <w:t>illegal activity</w:t>
      </w:r>
      <w:r w:rsidRPr="00514C40" w:rsidR="00FB10DA">
        <w:t xml:space="preserve"> and </w:t>
      </w:r>
      <w:r w:rsidRPr="00514C40" w:rsidR="004A7D10">
        <w:t>thus</w:t>
      </w:r>
      <w:r w:rsidRPr="00514C40" w:rsidR="00FB10DA">
        <w:t xml:space="preserve"> </w:t>
      </w:r>
      <w:r w:rsidRPr="00514C40" w:rsidR="00D52C28">
        <w:t>absolved Doe of any liability</w:t>
      </w:r>
      <w:r w:rsidRPr="00514C40" w:rsidR="00FB10DA">
        <w:t>.</w:t>
      </w:r>
      <w:r w:rsidRPr="00514C40" w:rsidR="00EA14A4">
        <w:t xml:space="preserve">  </w:t>
      </w:r>
      <w:r w:rsidRPr="00514C40" w:rsidR="00226E2E">
        <w:t>With respect to Doe’s civil complaint, however, the Court of Appeal disagreed with the trial court</w:t>
      </w:r>
      <w:r w:rsidRPr="00514C40" w:rsidR="006F493A">
        <w:t xml:space="preserve">, concluding that the </w:t>
      </w:r>
      <w:r w:rsidRPr="00514C40" w:rsidR="007C2D47">
        <w:t xml:space="preserve">public policy underlying the litigation privilege did not support </w:t>
      </w:r>
      <w:r w:rsidRPr="00514C40" w:rsidR="00821EF8">
        <w:t>its application to Doe’s complaint.</w:t>
      </w:r>
      <w:r w:rsidRPr="00514C40" w:rsidR="00D27F9E">
        <w:t xml:space="preserve">  </w:t>
      </w:r>
      <w:r w:rsidRPr="00514C40" w:rsidR="0079103C">
        <w:t xml:space="preserve">The Court of Appeal further concluded that Olson had </w:t>
      </w:r>
      <w:r w:rsidRPr="00514C40" w:rsidR="001D4E84">
        <w:t>demonstrated the minimal merit needed</w:t>
      </w:r>
      <w:r w:rsidRPr="00514C40" w:rsidR="00CE70F8">
        <w:t xml:space="preserve"> to pass the second prong of the anti-SLAPP inquiry </w:t>
      </w:r>
      <w:r w:rsidRPr="00514C40" w:rsidR="003B6EB2">
        <w:t>with respect to his breach of contract claim for damages</w:t>
      </w:r>
      <w:r w:rsidRPr="00514C40" w:rsidR="0053351E">
        <w:t xml:space="preserve"> but had failed to do so with respect to his claim for specific performance.</w:t>
      </w:r>
      <w:r w:rsidRPr="00514C40" w:rsidR="00B0009B">
        <w:t xml:space="preserve">  </w:t>
      </w:r>
      <w:r w:rsidRPr="00514C40" w:rsidR="008A7931">
        <w:t>W</w:t>
      </w:r>
      <w:r w:rsidRPr="00514C40" w:rsidR="007C6B38">
        <w:t xml:space="preserve">e granted review to decide </w:t>
      </w:r>
      <w:r w:rsidRPr="00514C40" w:rsidR="00DC6279">
        <w:t xml:space="preserve">under what circumstances </w:t>
      </w:r>
      <w:r w:rsidRPr="00514C40" w:rsidR="007C6B38">
        <w:t>the litigation privilege of Civil Code section 47, subdivision</w:t>
      </w:r>
      <w:r w:rsidRPr="00514C40" w:rsidR="00926AA7">
        <w:t> </w:t>
      </w:r>
      <w:r w:rsidRPr="00514C40" w:rsidR="007C6B38">
        <w:t xml:space="preserve">(b) applies to contract claims, and </w:t>
      </w:r>
      <w:r w:rsidRPr="00514C40" w:rsidR="00793E45">
        <w:t>whether</w:t>
      </w:r>
      <w:r w:rsidRPr="00514C40" w:rsidR="007C6B38">
        <w:t xml:space="preserve"> an agreement following mediation between the parties in an action for a </w:t>
      </w:r>
      <w:r w:rsidRPr="00514C40" w:rsidR="00AA4796">
        <w:t>civil harassment</w:t>
      </w:r>
      <w:r w:rsidRPr="00514C40" w:rsidR="007C6B38">
        <w:t xml:space="preserve"> restraining order, in which they agree not to disparage </w:t>
      </w:r>
      <w:r w:rsidRPr="00514C40" w:rsidR="00BA3EBD">
        <w:t>one</w:t>
      </w:r>
      <w:r w:rsidRPr="00514C40" w:rsidR="007C6B38">
        <w:t xml:space="preserve"> </w:t>
      </w:r>
      <w:r w:rsidRPr="00514C40" w:rsidR="00BA3EBD">
        <w:t>an</w:t>
      </w:r>
      <w:r w:rsidRPr="00514C40" w:rsidR="007C6B38">
        <w:t xml:space="preserve">other, </w:t>
      </w:r>
      <w:r w:rsidRPr="00514C40" w:rsidR="00793E45">
        <w:t xml:space="preserve">can </w:t>
      </w:r>
      <w:r w:rsidRPr="00514C40" w:rsidR="00D834CB">
        <w:t xml:space="preserve">lead to liability for </w:t>
      </w:r>
      <w:r w:rsidR="00B747D8">
        <w:t>statements made in</w:t>
      </w:r>
      <w:r w:rsidRPr="00514C40" w:rsidR="00D834CB">
        <w:t xml:space="preserve"> </w:t>
      </w:r>
      <w:r w:rsidRPr="00514C40" w:rsidR="007C6B38">
        <w:t xml:space="preserve">a later unlimited civil lawsuit arising from the same alleged </w:t>
      </w:r>
      <w:r w:rsidRPr="00514C40" w:rsidR="008B68C0">
        <w:t>misconduct</w:t>
      </w:r>
      <w:r w:rsidRPr="00514C40" w:rsidR="00793E45">
        <w:t>.</w:t>
      </w:r>
    </w:p>
    <w:p w:rsidR="0073373C" w:rsidRPr="00514C40" w:rsidP="00514C40">
      <w:pPr>
        <w:pStyle w:val="Heading1"/>
      </w:pPr>
      <w:r w:rsidRPr="00514C40">
        <w:t>II.</w:t>
      </w:r>
    </w:p>
    <w:p w:rsidR="00FE0CB5" w:rsidRPr="00514C40" w:rsidP="00514C40">
      <w:pPr>
        <w:tabs>
          <w:tab w:val="left" w:pos="1440"/>
        </w:tabs>
        <w:ind w:firstLine="720"/>
      </w:pPr>
      <w:r w:rsidRPr="00514C40">
        <w:t>The parties’ dispute centers on</w:t>
      </w:r>
      <w:r w:rsidRPr="00514C40" w:rsidR="001339E1">
        <w:t xml:space="preserve"> the construction </w:t>
      </w:r>
      <w:r w:rsidRPr="00514C40" w:rsidR="00616897">
        <w:t>of their mediation agreement</w:t>
      </w:r>
      <w:r w:rsidRPr="00514C40" w:rsidR="00EC6D49">
        <w:t xml:space="preserve">, which </w:t>
      </w:r>
      <w:r w:rsidRPr="00514C40" w:rsidR="008C6581">
        <w:t xml:space="preserve">was reached </w:t>
      </w:r>
      <w:r w:rsidRPr="00514C40" w:rsidR="00EC6D49">
        <w:t>with</w:t>
      </w:r>
      <w:r w:rsidRPr="00514C40" w:rsidR="008C6581">
        <w:t xml:space="preserve">in the context of a civil </w:t>
      </w:r>
      <w:r w:rsidRPr="00514C40" w:rsidR="00EC6D49">
        <w:t xml:space="preserve">harassment restraining order </w:t>
      </w:r>
      <w:r w:rsidRPr="00514C40" w:rsidR="00626D67">
        <w:t xml:space="preserve">proceeding.  (§ 527.6.)  </w:t>
      </w:r>
      <w:r w:rsidRPr="00514C40" w:rsidR="00A93973">
        <w:t>We begin with</w:t>
      </w:r>
      <w:r w:rsidRPr="00514C40">
        <w:t xml:space="preserve"> some background on this specialized civil procedure</w:t>
      </w:r>
      <w:r w:rsidRPr="00514C40" w:rsidR="00CC0128">
        <w:t>.</w:t>
      </w:r>
    </w:p>
    <w:p w:rsidR="00595DAF" w:rsidRPr="00514C40" w:rsidP="00514C40">
      <w:pPr>
        <w:tabs>
          <w:tab w:val="left" w:pos="1440"/>
        </w:tabs>
        <w:ind w:firstLine="720"/>
      </w:pPr>
      <w:r w:rsidRPr="00514C40">
        <w:t xml:space="preserve">The Legislature enacted </w:t>
      </w:r>
      <w:r w:rsidRPr="00514C40" w:rsidR="00FA27BA">
        <w:t xml:space="preserve">section 527.6 </w:t>
      </w:r>
      <w:r w:rsidRPr="00514C40" w:rsidR="00D47746">
        <w:t xml:space="preserve">in 1978 </w:t>
      </w:r>
      <w:r w:rsidRPr="00514C40" w:rsidR="00FA27BA">
        <w:t xml:space="preserve">in order </w:t>
      </w:r>
      <w:r w:rsidRPr="00514C40" w:rsidR="00BA0BEA">
        <w:t xml:space="preserve">“to protect the individual’s right to pursue safety, happiness and privacy as guaranteed by the California Constitution.”  </w:t>
      </w:r>
      <w:r w:rsidRPr="00514C40" w:rsidR="009B2D12">
        <w:t>(Stats. 1978, ch. 1307, § 1, p. 4294</w:t>
      </w:r>
      <w:r w:rsidRPr="00514C40" w:rsidR="009B3BC6">
        <w:t>; see Cal. Const., art.</w:t>
      </w:r>
      <w:r w:rsidRPr="00514C40" w:rsidR="007A2DF6">
        <w:t> </w:t>
      </w:r>
      <w:r w:rsidRPr="00514C40" w:rsidR="009B3BC6">
        <w:t>I, §</w:t>
      </w:r>
      <w:r w:rsidRPr="00514C40" w:rsidR="007A2DF6">
        <w:t> </w:t>
      </w:r>
      <w:r w:rsidRPr="00514C40" w:rsidR="009B3BC6">
        <w:t>1</w:t>
      </w:r>
      <w:r w:rsidRPr="00514C40" w:rsidR="009B2D12">
        <w:t xml:space="preserve">.)  </w:t>
      </w:r>
      <w:r w:rsidRPr="00514C40" w:rsidR="008B68C0">
        <w:t>The</w:t>
      </w:r>
      <w:r w:rsidRPr="00514C40" w:rsidR="00FA27BA">
        <w:t xml:space="preserve"> provision</w:t>
      </w:r>
      <w:r w:rsidRPr="00514C40" w:rsidR="00D266CC">
        <w:t xml:space="preserve"> </w:t>
      </w:r>
      <w:r w:rsidRPr="00514C40" w:rsidR="008B68C0">
        <w:t>was intended</w:t>
      </w:r>
      <w:r w:rsidRPr="00514C40" w:rsidR="00D266CC">
        <w:t xml:space="preserve"> to </w:t>
      </w:r>
      <w:r w:rsidRPr="00514C40" w:rsidR="000C7BC1">
        <w:t>“</w:t>
      </w:r>
      <w:r w:rsidR="00ED4D10">
        <w:t> </w:t>
      </w:r>
      <w:r w:rsidR="009C5784">
        <w:t>‘</w:t>
      </w:r>
      <w:r w:rsidRPr="00514C40" w:rsidR="00D266CC">
        <w:t xml:space="preserve">establish an expedited procedure for enjoining acts of </w:t>
      </w:r>
      <w:r w:rsidR="009C5784">
        <w:t>“</w:t>
      </w:r>
      <w:r w:rsidRPr="00514C40" w:rsidR="00D266CC">
        <w:t>harassment</w:t>
      </w:r>
      <w:r w:rsidR="009C5784">
        <w:t>”</w:t>
      </w:r>
      <w:r w:rsidR="00ED4D10">
        <w:t> </w:t>
      </w:r>
      <w:r w:rsidRPr="00514C40" w:rsidR="00D266CC">
        <w:t>’</w:t>
      </w:r>
      <w:r w:rsidRPr="00514C40" w:rsidR="000C7BC1">
        <w:t> ” in order “</w:t>
      </w:r>
      <w:r w:rsidR="00ED4D10">
        <w:t> </w:t>
      </w:r>
      <w:r w:rsidR="009C5784">
        <w:t>‘</w:t>
      </w:r>
      <w:r w:rsidRPr="00514C40" w:rsidR="00D266CC">
        <w:t>to provide quick relief to harassed persons</w:t>
      </w:r>
      <w:r w:rsidRPr="00514C40" w:rsidR="00717DF6">
        <w:t>.</w:t>
      </w:r>
      <w:r w:rsidR="009C5784">
        <w:t>’</w:t>
      </w:r>
      <w:r w:rsidR="00ED4D10">
        <w:t> </w:t>
      </w:r>
      <w:r w:rsidRPr="00514C40" w:rsidR="00D266CC">
        <w:t>”</w:t>
      </w:r>
      <w:r w:rsidRPr="00514C40" w:rsidR="000C7BC1">
        <w:t xml:space="preserve"> </w:t>
      </w:r>
      <w:r w:rsidRPr="00514C40" w:rsidR="00717DF6">
        <w:t xml:space="preserve"> </w:t>
      </w:r>
      <w:r w:rsidRPr="00514C40" w:rsidR="000C7BC1">
        <w:t>(</w:t>
      </w:r>
      <w:r w:rsidRPr="00514C40" w:rsidR="00D266CC">
        <w:rPr>
          <w:i/>
          <w:iCs/>
        </w:rPr>
        <w:t>Smith v. Silvey</w:t>
      </w:r>
      <w:r w:rsidRPr="00514C40" w:rsidR="00D266CC">
        <w:t xml:space="preserve"> (1983) 149 Cal.App.3d 400, 405</w:t>
      </w:r>
      <w:r w:rsidRPr="00514C40" w:rsidR="00AB5150">
        <w:t xml:space="preserve"> (</w:t>
      </w:r>
      <w:r w:rsidRPr="00514C40" w:rsidR="00AB5150">
        <w:rPr>
          <w:i/>
          <w:iCs/>
        </w:rPr>
        <w:t>Smith</w:t>
      </w:r>
      <w:r w:rsidRPr="00514C40" w:rsidR="00AB5150">
        <w:t>)</w:t>
      </w:r>
      <w:r w:rsidRPr="00514C40" w:rsidR="00717DF6">
        <w:t>.</w:t>
      </w:r>
      <w:r w:rsidRPr="00514C40" w:rsidR="000C7BC1">
        <w:t>)</w:t>
      </w:r>
      <w:r w:rsidRPr="00514C40" w:rsidR="00717DF6">
        <w:t xml:space="preserve">  In the Legislature’s view</w:t>
      </w:r>
      <w:r w:rsidRPr="00514C40" w:rsidR="00EF2290">
        <w:t xml:space="preserve">, </w:t>
      </w:r>
      <w:r w:rsidRPr="00514C40" w:rsidR="003F4422">
        <w:t xml:space="preserve">“procedures under </w:t>
      </w:r>
      <w:r w:rsidRPr="00514C40" w:rsidR="00644B58">
        <w:t>[then-]</w:t>
      </w:r>
      <w:r w:rsidRPr="00514C40" w:rsidR="003F4422">
        <w:t>existing law</w:t>
      </w:r>
      <w:r w:rsidRPr="00514C40" w:rsidR="00644B58">
        <w:t>”</w:t>
      </w:r>
      <w:r w:rsidR="003A5AAB">
        <w:t> </w:t>
      </w:r>
      <w:r w:rsidRPr="00514C40" w:rsidR="00644B58">
        <w:t xml:space="preserve">— namely </w:t>
      </w:r>
      <w:r w:rsidRPr="00514C40" w:rsidR="00CE5295">
        <w:t xml:space="preserve">“a tort action based either on invasion of privacy or </w:t>
      </w:r>
      <w:r w:rsidRPr="00514C40" w:rsidR="009B2739">
        <w:t xml:space="preserve">on </w:t>
      </w:r>
      <w:r w:rsidRPr="00514C40" w:rsidR="00CE5295">
        <w:t>intentional infliction of</w:t>
      </w:r>
      <w:r w:rsidRPr="00514C40" w:rsidR="009B2739">
        <w:t xml:space="preserve"> </w:t>
      </w:r>
      <w:r w:rsidRPr="00514C40" w:rsidR="00CE5295">
        <w:t>e</w:t>
      </w:r>
      <w:r w:rsidRPr="00514C40" w:rsidR="009B2739">
        <w:t>m</w:t>
      </w:r>
      <w:r w:rsidRPr="00514C40" w:rsidR="00CE5295">
        <w:t>otional dist</w:t>
      </w:r>
      <w:r w:rsidRPr="00514C40" w:rsidR="009B2739">
        <w:t>re</w:t>
      </w:r>
      <w:r w:rsidRPr="00514C40" w:rsidR="00CE5295">
        <w:t>s</w:t>
      </w:r>
      <w:r w:rsidRPr="00514C40" w:rsidR="009B2739">
        <w:t>s” —</w:t>
      </w:r>
      <w:r w:rsidRPr="00514C40" w:rsidR="00EE4F42">
        <w:t xml:space="preserve"> were “</w:t>
      </w:r>
      <w:r w:rsidRPr="00514C40" w:rsidR="003F4422">
        <w:t>inadequate to remedy the mental and emotional distress suffered by a person</w:t>
      </w:r>
      <w:r w:rsidRPr="00514C40" w:rsidR="00717DF6">
        <w:t>,</w:t>
      </w:r>
      <w:r w:rsidRPr="00514C40" w:rsidR="00EE4F42">
        <w:t>” and</w:t>
      </w:r>
      <w:r w:rsidRPr="00514C40" w:rsidR="003F4422">
        <w:t xml:space="preserve"> </w:t>
      </w:r>
      <w:r w:rsidRPr="00514C40" w:rsidR="00EE4F42">
        <w:t>“[t]</w:t>
      </w:r>
      <w:r w:rsidRPr="00514C40" w:rsidR="003F4422">
        <w:t>he length of time it takes to obtain an injunction in many cases is too long</w:t>
      </w:r>
      <w:r w:rsidRPr="00514C40" w:rsidR="00717DF6">
        <w:t>.</w:t>
      </w:r>
      <w:r w:rsidRPr="00514C40" w:rsidR="003F4422">
        <w:t>”</w:t>
      </w:r>
      <w:r w:rsidRPr="00514C40" w:rsidR="00634300">
        <w:t xml:space="preserve"> </w:t>
      </w:r>
      <w:r w:rsidRPr="00514C40" w:rsidR="00717DF6">
        <w:t xml:space="preserve"> </w:t>
      </w:r>
      <w:r w:rsidRPr="00514C40" w:rsidR="00634300">
        <w:t>(</w:t>
      </w:r>
      <w:r w:rsidRPr="00B618F2" w:rsidR="00710319">
        <w:t xml:space="preserve">Sen. Com. </w:t>
      </w:r>
      <w:r w:rsidRPr="00B618F2" w:rsidR="00326958">
        <w:t>o</w:t>
      </w:r>
      <w:r w:rsidRPr="00B618F2" w:rsidR="00710319">
        <w:t xml:space="preserve">n Judiciary, Analysis of Assem. Bill </w:t>
      </w:r>
      <w:r w:rsidRPr="00B618F2" w:rsidR="009D6BD3">
        <w:t>No. 3093</w:t>
      </w:r>
      <w:r w:rsidRPr="00B618F2" w:rsidR="00710319">
        <w:t xml:space="preserve"> </w:t>
      </w:r>
      <w:r w:rsidRPr="00B618F2" w:rsidR="00C45D03">
        <w:t>(1977–1978 Reg. Sess.)</w:t>
      </w:r>
      <w:r w:rsidRPr="00B618F2" w:rsidR="00787154">
        <w:t xml:space="preserve"> as amended June 19, </w:t>
      </w:r>
      <w:r w:rsidRPr="00B618F2" w:rsidR="00A5225E">
        <w:t>1978</w:t>
      </w:r>
      <w:r w:rsidRPr="00B618F2" w:rsidR="00E66BCD">
        <w:t>, p</w:t>
      </w:r>
      <w:r w:rsidRPr="00B618F2" w:rsidR="000E2FA4">
        <w:t>p. 1–2</w:t>
      </w:r>
      <w:r w:rsidRPr="00514C40" w:rsidR="00717DF6">
        <w:t>.</w:t>
      </w:r>
      <w:r w:rsidRPr="00514C40" w:rsidR="00634300">
        <w:t>)</w:t>
      </w:r>
      <w:r w:rsidRPr="00514C40" w:rsidR="008C48CB">
        <w:t xml:space="preserve">  </w:t>
      </w:r>
      <w:r w:rsidRPr="00514C40" w:rsidR="0038448E">
        <w:t>S</w:t>
      </w:r>
      <w:r w:rsidRPr="00514C40">
        <w:t>ection 527.6, subdivision</w:t>
      </w:r>
      <w:r w:rsidRPr="00514C40" w:rsidR="00E814DB">
        <w:t> </w:t>
      </w:r>
      <w:r w:rsidRPr="00514C40">
        <w:t xml:space="preserve">(a)(1) </w:t>
      </w:r>
      <w:r w:rsidRPr="00514C40" w:rsidR="00E814DB">
        <w:t xml:space="preserve">enables </w:t>
      </w:r>
      <w:r w:rsidRPr="00514C40">
        <w:t>a victim of “harassment</w:t>
      </w:r>
      <w:r w:rsidRPr="00514C40" w:rsidR="00857DBF">
        <w:t>” to</w:t>
      </w:r>
      <w:r w:rsidRPr="00514C40">
        <w:t xml:space="preserve"> </w:t>
      </w:r>
      <w:r w:rsidRPr="00514C40" w:rsidR="00857DBF">
        <w:t>“</w:t>
      </w:r>
      <w:r w:rsidRPr="00514C40">
        <w:t>seek a temporary restraining order and an order after hearing prohibiting harassment</w:t>
      </w:r>
      <w:r w:rsidRPr="00514C40" w:rsidR="002442CF">
        <w:t>.</w:t>
      </w:r>
      <w:r w:rsidRPr="00514C40">
        <w:t>”</w:t>
      </w:r>
      <w:r w:rsidRPr="00514C40" w:rsidR="002442CF">
        <w:t xml:space="preserve">  </w:t>
      </w:r>
      <w:r w:rsidRPr="00514C40" w:rsidR="005E165D">
        <w:t>In its current form, section 527.6</w:t>
      </w:r>
      <w:r w:rsidRPr="00514C40" w:rsidR="002442CF">
        <w:t xml:space="preserve"> </w:t>
      </w:r>
      <w:r w:rsidRPr="00514C40" w:rsidR="00D80DFD">
        <w:t xml:space="preserve">provides “for the issuance of a temporary restraining order without notice </w:t>
      </w:r>
      <w:r w:rsidRPr="00514C40" w:rsidR="00ED5A41">
        <w:t xml:space="preserve">. . . </w:t>
      </w:r>
      <w:r w:rsidRPr="00514C40" w:rsidR="00D80DFD">
        <w:t>on the same day that the petition is submitted to the court</w:t>
      </w:r>
      <w:r w:rsidRPr="00514C40" w:rsidR="00ED5A41">
        <w:t>” (§ </w:t>
      </w:r>
      <w:r w:rsidRPr="00514C40" w:rsidR="001D75DB">
        <w:t xml:space="preserve">527.6, subd. (e)) </w:t>
      </w:r>
      <w:r w:rsidRPr="00514C40" w:rsidR="0052638C">
        <w:t xml:space="preserve">and generally requires </w:t>
      </w:r>
      <w:r w:rsidRPr="00514C40" w:rsidR="00FC1A4C">
        <w:t xml:space="preserve">the court to hold a hearing on the petition </w:t>
      </w:r>
      <w:r w:rsidRPr="00514C40" w:rsidR="007A72B8">
        <w:t xml:space="preserve">within 21 days </w:t>
      </w:r>
      <w:r w:rsidRPr="00514C40" w:rsidR="00FC5898">
        <w:t>(</w:t>
      </w:r>
      <w:r w:rsidRPr="00514C40" w:rsidR="00FC5898">
        <w:rPr>
          <w:i/>
          <w:iCs/>
        </w:rPr>
        <w:t>id.</w:t>
      </w:r>
      <w:r w:rsidRPr="00514C40" w:rsidR="00FC5898">
        <w:t xml:space="preserve">, subd. (g)).  </w:t>
      </w:r>
      <w:r w:rsidRPr="00514C40" w:rsidR="003001DF">
        <w:t>“If the judge finds by clear and convincing evidence that unlawful harassment exists, an order shall issue prohibiting the harassment.”  (</w:t>
      </w:r>
      <w:r w:rsidRPr="00514C40" w:rsidR="00A2105C">
        <w:rPr>
          <w:i/>
          <w:iCs/>
        </w:rPr>
        <w:t>Id.</w:t>
      </w:r>
      <w:r w:rsidRPr="00514C40" w:rsidR="003001DF">
        <w:t>, subd. (i).)</w:t>
      </w:r>
    </w:p>
    <w:p w:rsidR="00297538" w:rsidRPr="00514C40" w:rsidP="00514C40">
      <w:pPr>
        <w:tabs>
          <w:tab w:val="left" w:pos="1440"/>
        </w:tabs>
        <w:ind w:firstLine="720"/>
      </w:pPr>
      <w:r w:rsidRPr="00514C40">
        <w:t xml:space="preserve">Thus, </w:t>
      </w:r>
      <w:r w:rsidRPr="00514C40" w:rsidR="009A2865">
        <w:t>“</w:t>
      </w:r>
      <w:r w:rsidRPr="00514C40" w:rsidR="0038448E">
        <w:t>s</w:t>
      </w:r>
      <w:r w:rsidRPr="00514C40" w:rsidR="009A2865">
        <w:t xml:space="preserve">ection 527.6 provides </w:t>
      </w:r>
      <w:r w:rsidRPr="00514C40" w:rsidR="00A6626E">
        <w:t>a quick, simple and truncated procedure</w:t>
      </w:r>
      <w:r w:rsidRPr="00514C40" w:rsidR="009A2865">
        <w:t xml:space="preserve"> . . </w:t>
      </w:r>
      <w:r w:rsidRPr="00514C40" w:rsidR="00A6626E">
        <w:t>. and was drafted with the expectation that victims often would seek relief without the benefit of a lawyer.</w:t>
      </w:r>
      <w:r w:rsidRPr="00514C40" w:rsidR="00926642">
        <w:t>”  (</w:t>
      </w:r>
      <w:r w:rsidRPr="00514C40" w:rsidR="00926642">
        <w:rPr>
          <w:i/>
          <w:iCs/>
        </w:rPr>
        <w:t>Yost v. Forestiere</w:t>
      </w:r>
      <w:r w:rsidRPr="00514C40" w:rsidR="00926642">
        <w:t xml:space="preserve"> (2020) 51 Cal.App.5th 509, 520</w:t>
      </w:r>
      <w:r w:rsidR="00F6354E">
        <w:t xml:space="preserve"> </w:t>
      </w:r>
      <w:r w:rsidRPr="00514C40" w:rsidR="00F6354E">
        <w:t>(</w:t>
      </w:r>
      <w:r w:rsidRPr="00514C40" w:rsidR="00F6354E">
        <w:rPr>
          <w:i/>
          <w:iCs/>
        </w:rPr>
        <w:t>Yost</w:t>
      </w:r>
      <w:r w:rsidRPr="00514C40" w:rsidR="00F6354E">
        <w:t>)</w:t>
      </w:r>
      <w:r w:rsidRPr="00514C40" w:rsidR="00926642">
        <w:t xml:space="preserve">.) </w:t>
      </w:r>
      <w:r w:rsidRPr="00514C40" w:rsidR="009B7F55">
        <w:t xml:space="preserve"> </w:t>
      </w:r>
      <w:r w:rsidRPr="00514C40" w:rsidR="007E5E73">
        <w:t>To that end</w:t>
      </w:r>
      <w:r w:rsidRPr="00514C40" w:rsidR="00A2015E">
        <w:t xml:space="preserve">, section 527.6 </w:t>
      </w:r>
      <w:r w:rsidRPr="00514C40" w:rsidR="00717DF6">
        <w:t xml:space="preserve">from its inception </w:t>
      </w:r>
      <w:r w:rsidRPr="00514C40" w:rsidR="00A2015E">
        <w:t xml:space="preserve">has required the Judicial Council to </w:t>
      </w:r>
      <w:r w:rsidRPr="00514C40" w:rsidR="007E5E73">
        <w:t>develop forms</w:t>
      </w:r>
      <w:r w:rsidRPr="00514C40" w:rsidR="00FC0EFD">
        <w:t xml:space="preserve"> for use in </w:t>
      </w:r>
      <w:r w:rsidRPr="00514C40" w:rsidR="00B229EB">
        <w:t>these</w:t>
      </w:r>
      <w:r w:rsidRPr="00514C40" w:rsidR="00FC0EFD">
        <w:t xml:space="preserve"> proceedings (</w:t>
      </w:r>
      <w:r w:rsidRPr="00514C40" w:rsidR="00717DF6">
        <w:t>S</w:t>
      </w:r>
      <w:r w:rsidRPr="00514C40" w:rsidR="00FC0EFD">
        <w:t>tats. 1978, ch. 1307, § </w:t>
      </w:r>
      <w:r w:rsidRPr="00514C40" w:rsidR="00617B46">
        <w:t>2</w:t>
      </w:r>
      <w:r w:rsidRPr="00514C40" w:rsidR="00FC0EFD">
        <w:t>,</w:t>
      </w:r>
      <w:r w:rsidRPr="00514C40" w:rsidR="00617B46">
        <w:t xml:space="preserve"> subd.</w:t>
      </w:r>
      <w:r w:rsidRPr="00514C40" w:rsidR="006A2CBB">
        <w:t> </w:t>
      </w:r>
      <w:r w:rsidRPr="00514C40" w:rsidR="00617B46">
        <w:t>(k),</w:t>
      </w:r>
      <w:r w:rsidRPr="00514C40" w:rsidR="00FC0EFD">
        <w:t xml:space="preserve"> p.</w:t>
      </w:r>
      <w:r w:rsidRPr="00514C40" w:rsidR="00306DD4">
        <w:t> </w:t>
      </w:r>
      <w:r w:rsidRPr="00514C40" w:rsidR="00FC0EFD">
        <w:t>429</w:t>
      </w:r>
      <w:r w:rsidRPr="00514C40" w:rsidR="00617B46">
        <w:t>6</w:t>
      </w:r>
      <w:r w:rsidRPr="00514C40" w:rsidR="00AB7DDB">
        <w:t>; see § 527.6, subd. (x)(1)</w:t>
      </w:r>
      <w:r w:rsidRPr="00514C40" w:rsidR="002C6EB0">
        <w:t>)</w:t>
      </w:r>
      <w:r w:rsidRPr="00514C40" w:rsidR="00717DF6">
        <w:t>,</w:t>
      </w:r>
      <w:r w:rsidRPr="00514C40" w:rsidR="002C6EB0">
        <w:t xml:space="preserve"> and current law requires that “[t]</w:t>
      </w:r>
      <w:r w:rsidRPr="00514C40" w:rsidR="007E5E73">
        <w:t xml:space="preserve">he petition and response forms </w:t>
      </w:r>
      <w:r w:rsidRPr="00514C40" w:rsidR="006F430B">
        <w:t xml:space="preserve">. . . </w:t>
      </w:r>
      <w:r w:rsidRPr="00514C40" w:rsidR="007E5E73">
        <w:t xml:space="preserve">be simple and concise, and their use by parties in actions brought pursuant to </w:t>
      </w:r>
      <w:r w:rsidRPr="00514C40" w:rsidR="00B229EB">
        <w:t>[section 527.6]</w:t>
      </w:r>
      <w:r w:rsidRPr="00514C40" w:rsidR="007E5E73">
        <w:t xml:space="preserve"> is mandatory</w:t>
      </w:r>
      <w:r w:rsidRPr="00514C40" w:rsidR="006F430B">
        <w:t>” (§ 527.6, subd. (</w:t>
      </w:r>
      <w:r w:rsidRPr="00514C40" w:rsidR="00DF0454">
        <w:t>x</w:t>
      </w:r>
      <w:r w:rsidRPr="00514C40" w:rsidR="006F430B">
        <w:t>)</w:t>
      </w:r>
      <w:r w:rsidRPr="00514C40" w:rsidR="00DF0454">
        <w:t>(1))</w:t>
      </w:r>
      <w:r w:rsidRPr="00514C40" w:rsidR="00B229EB">
        <w:t>.</w:t>
      </w:r>
    </w:p>
    <w:p w:rsidR="00EE4F42" w:rsidRPr="00514C40" w:rsidP="00514C40">
      <w:pPr>
        <w:tabs>
          <w:tab w:val="left" w:pos="1440"/>
        </w:tabs>
        <w:ind w:firstLine="720"/>
      </w:pPr>
      <w:r w:rsidRPr="00514C40">
        <w:t>S</w:t>
      </w:r>
      <w:r w:rsidRPr="00514C40" w:rsidR="00FC56F5">
        <w:t xml:space="preserve">ection 527.6 has </w:t>
      </w:r>
      <w:r w:rsidRPr="00514C40">
        <w:t xml:space="preserve">also </w:t>
      </w:r>
      <w:r w:rsidRPr="00514C40" w:rsidR="00FC56F5">
        <w:t xml:space="preserve">made clear </w:t>
      </w:r>
      <w:r w:rsidRPr="00514C40">
        <w:t xml:space="preserve">since its inception </w:t>
      </w:r>
      <w:r w:rsidRPr="00514C40" w:rsidR="00FC56F5">
        <w:t>that utilizing th</w:t>
      </w:r>
      <w:r w:rsidRPr="00514C40" w:rsidR="00A93EC1">
        <w:t xml:space="preserve">is specialized </w:t>
      </w:r>
      <w:r w:rsidRPr="00514C40" w:rsidR="00F60C4B">
        <w:t xml:space="preserve">civil </w:t>
      </w:r>
      <w:r w:rsidRPr="00514C40" w:rsidR="00A93EC1">
        <w:t>procedure does not “preclude</w:t>
      </w:r>
      <w:r w:rsidRPr="00514C40" w:rsidR="00AB5DAB">
        <w:t xml:space="preserve"> </w:t>
      </w:r>
      <w:r w:rsidRPr="00514C40" w:rsidR="00A93EC1">
        <w:t xml:space="preserve">a </w:t>
      </w:r>
      <w:r w:rsidRPr="00514C40" w:rsidR="00AB5DAB">
        <w:t>plaintiff’s right to utilize other existing civil remedies.”  (Stats. 1978, ch. 1307, § 2, subd. (</w:t>
      </w:r>
      <w:r w:rsidRPr="00514C40" w:rsidR="00743E4D">
        <w:t>j</w:t>
      </w:r>
      <w:r w:rsidRPr="00514C40" w:rsidR="00AB5DAB">
        <w:t>), p.</w:t>
      </w:r>
      <w:r w:rsidRPr="00514C40" w:rsidR="00B96B83">
        <w:t> </w:t>
      </w:r>
      <w:r w:rsidRPr="00514C40" w:rsidR="00AB5DAB">
        <w:t>4296</w:t>
      </w:r>
      <w:r w:rsidRPr="00514C40" w:rsidR="00743E4D">
        <w:t>; see § 527.6, subd. (w)</w:t>
      </w:r>
      <w:r w:rsidRPr="00514C40" w:rsidR="00E96C94">
        <w:t>.)</w:t>
      </w:r>
      <w:r w:rsidRPr="00514C40" w:rsidR="00DC3D92">
        <w:t xml:space="preserve">  “</w:t>
      </w:r>
      <w:r w:rsidRPr="00514C40">
        <w:t>T</w:t>
      </w:r>
      <w:r w:rsidRPr="00514C40" w:rsidR="00B53F62">
        <w:t xml:space="preserve">he quick, injunctive relief provided by section 527.6 </w:t>
      </w:r>
      <w:r w:rsidRPr="00514C40" w:rsidR="00DC3D92">
        <w:t>‘</w:t>
      </w:r>
      <w:r w:rsidRPr="00514C40" w:rsidR="00B53F62">
        <w:t>lies only to prevent threatened injury</w:t>
      </w:r>
      <w:r w:rsidRPr="00514C40" w:rsidR="00DC3D92">
        <w:t>’</w:t>
      </w:r>
      <w:r w:rsidRPr="00514C40" w:rsidR="00E259BD">
        <w:t> </w:t>
      </w:r>
      <w:r w:rsidRPr="00514C40" w:rsidR="00B53F62">
        <w:t>—</w:t>
      </w:r>
      <w:r w:rsidRPr="00514C40" w:rsidR="00E259BD">
        <w:t xml:space="preserve"> </w:t>
      </w:r>
      <w:r w:rsidRPr="00514C40" w:rsidR="00B53F62">
        <w:t>that is, future wrongs</w:t>
      </w:r>
      <w:r w:rsidRPr="00514C40" w:rsidR="00E259BD">
        <w:t>”</w:t>
      </w:r>
      <w:r w:rsidR="00ED4D10">
        <w:t> </w:t>
      </w:r>
      <w:r w:rsidRPr="00514C40">
        <w:t xml:space="preserve">— </w:t>
      </w:r>
      <w:r w:rsidRPr="00514C40" w:rsidR="00E259BD">
        <w:t>and “</w:t>
      </w:r>
      <w:r w:rsidRPr="00514C40" w:rsidR="00B53F62">
        <w:t>is not intended to punish the restrained party for past acts of harassment.</w:t>
      </w:r>
      <w:r w:rsidRPr="00514C40" w:rsidR="005635D3">
        <w:t>”  (</w:t>
      </w:r>
      <w:r w:rsidRPr="00514C40" w:rsidR="00B53F62">
        <w:rPr>
          <w:i/>
          <w:iCs/>
        </w:rPr>
        <w:t>Yost</w:t>
      </w:r>
      <w:r w:rsidRPr="00514C40" w:rsidR="001D0C97">
        <w:t xml:space="preserve">, </w:t>
      </w:r>
      <w:r w:rsidRPr="00514C40" w:rsidR="001D0C97">
        <w:rPr>
          <w:i/>
          <w:iCs/>
        </w:rPr>
        <w:t>supra</w:t>
      </w:r>
      <w:r w:rsidRPr="00514C40" w:rsidR="001D0C97">
        <w:t>,</w:t>
      </w:r>
      <w:r w:rsidRPr="00514C40" w:rsidR="00B53F62">
        <w:t xml:space="preserve"> 51 Cal.App.5th </w:t>
      </w:r>
      <w:r w:rsidRPr="00514C40" w:rsidR="001D0C97">
        <w:t>at p. </w:t>
      </w:r>
      <w:r w:rsidRPr="00514C40" w:rsidR="00B53F62">
        <w:t>520</w:t>
      </w:r>
      <w:r w:rsidRPr="00514C40" w:rsidR="005635D3">
        <w:t xml:space="preserve">, quoting </w:t>
      </w:r>
      <w:r w:rsidRPr="00514C40" w:rsidR="005635D3">
        <w:rPr>
          <w:i/>
          <w:iCs/>
        </w:rPr>
        <w:t>Scripps Health v. Marin</w:t>
      </w:r>
      <w:r w:rsidRPr="00514C40" w:rsidR="005635D3">
        <w:t xml:space="preserve"> (1999) 72 Cal.App.4th 324, 332.)</w:t>
      </w:r>
    </w:p>
    <w:p w:rsidR="000116CD" w:rsidRPr="00514C40" w:rsidP="00514C40">
      <w:pPr>
        <w:pStyle w:val="Heading1"/>
      </w:pPr>
      <w:r w:rsidRPr="00514C40">
        <w:t>II</w:t>
      </w:r>
      <w:r w:rsidRPr="00514C40" w:rsidR="0073373C">
        <w:t>I</w:t>
      </w:r>
      <w:r w:rsidRPr="00514C40">
        <w:t>.</w:t>
      </w:r>
    </w:p>
    <w:p w:rsidR="000B5C10" w:rsidRPr="00514C40" w:rsidP="00514C40">
      <w:pPr>
        <w:tabs>
          <w:tab w:val="left" w:pos="1440"/>
        </w:tabs>
        <w:ind w:firstLine="720"/>
      </w:pPr>
      <w:r w:rsidRPr="00514C40">
        <w:t>With this statutory context</w:t>
      </w:r>
      <w:r w:rsidRPr="00514C40" w:rsidR="001D0A1E">
        <w:t xml:space="preserve"> in mind</w:t>
      </w:r>
      <w:r w:rsidRPr="00514C40">
        <w:t xml:space="preserve">, we </w:t>
      </w:r>
      <w:r w:rsidRPr="00514C40" w:rsidR="00C4623D">
        <w:t xml:space="preserve">consider the subject of </w:t>
      </w:r>
      <w:r w:rsidRPr="00514C40" w:rsidR="006254C2">
        <w:t xml:space="preserve">Doe’s </w:t>
      </w:r>
      <w:r w:rsidRPr="00514C40" w:rsidR="002547C6">
        <w:t>special motion to strike Olson’s cross-complaint</w:t>
      </w:r>
      <w:r w:rsidRPr="00514C40" w:rsidR="00C4623D">
        <w:t xml:space="preserve">:  </w:t>
      </w:r>
      <w:r w:rsidRPr="00514C40" w:rsidR="000F0711">
        <w:t xml:space="preserve">whether </w:t>
      </w:r>
      <w:r w:rsidRPr="00514C40" w:rsidR="001E0978">
        <w:t xml:space="preserve">Doe’s civil lawsuit violated </w:t>
      </w:r>
      <w:r w:rsidRPr="00514C40" w:rsidR="000F0711">
        <w:t xml:space="preserve">the nondisparagement clause in the </w:t>
      </w:r>
      <w:r w:rsidRPr="00514C40" w:rsidR="001E0978">
        <w:t xml:space="preserve">parties’ </w:t>
      </w:r>
      <w:r w:rsidRPr="00514C40" w:rsidR="000F0711">
        <w:t>mediation agreemen</w:t>
      </w:r>
      <w:r w:rsidRPr="00514C40" w:rsidR="004416B8">
        <w:t>t</w:t>
      </w:r>
      <w:r w:rsidRPr="00514C40" w:rsidR="00C4623D">
        <w:t xml:space="preserve"> arising from Doe’s section 527.6 action seeking a temporary restraining order</w:t>
      </w:r>
      <w:r w:rsidRPr="00514C40" w:rsidR="001E0978">
        <w:t>.</w:t>
      </w:r>
      <w:r w:rsidRPr="00514C40" w:rsidR="00450AAA">
        <w:t xml:space="preserve">  (See § 425.16.)</w:t>
      </w:r>
      <w:r w:rsidRPr="00514C40">
        <w:t xml:space="preserve"> </w:t>
      </w:r>
      <w:r w:rsidRPr="00514C40" w:rsidR="00A274C0">
        <w:t xml:space="preserve"> </w:t>
      </w:r>
      <w:r w:rsidRPr="00514C40" w:rsidR="00C4623D">
        <w:t>The question is</w:t>
      </w:r>
      <w:r w:rsidRPr="00514C40" w:rsidR="00A274C0">
        <w:t xml:space="preserve"> whether such a nondisparagement </w:t>
      </w:r>
      <w:r w:rsidRPr="00514C40" w:rsidR="00530816">
        <w:t xml:space="preserve">clause </w:t>
      </w:r>
      <w:r w:rsidRPr="00514C40" w:rsidR="00AD712C">
        <w:t xml:space="preserve">applies to statements made in </w:t>
      </w:r>
      <w:r w:rsidRPr="00514C40" w:rsidR="00530816">
        <w:t xml:space="preserve">a </w:t>
      </w:r>
      <w:r w:rsidRPr="00514C40" w:rsidR="00C4623D">
        <w:t xml:space="preserve">later </w:t>
      </w:r>
      <w:r w:rsidRPr="00514C40" w:rsidR="00530816">
        <w:t>unlimited civil lawsuit</w:t>
      </w:r>
      <w:r w:rsidRPr="00514C40" w:rsidR="00025A13">
        <w:t xml:space="preserve"> arising from the </w:t>
      </w:r>
      <w:r w:rsidRPr="00514C40" w:rsidR="00623460">
        <w:t xml:space="preserve">same </w:t>
      </w:r>
      <w:r w:rsidRPr="00514C40" w:rsidR="00025A13">
        <w:t xml:space="preserve">alleged </w:t>
      </w:r>
      <w:r w:rsidRPr="00514C40" w:rsidR="00C4623D">
        <w:t>misconduct</w:t>
      </w:r>
      <w:r w:rsidRPr="00514C40" w:rsidR="00025A13">
        <w:t>.</w:t>
      </w:r>
    </w:p>
    <w:p w:rsidR="00DF4DE3" w:rsidRPr="00514C40" w:rsidP="00EE3B09">
      <w:pPr>
        <w:pStyle w:val="Heading2"/>
        <w:ind w:left="0" w:firstLine="0"/>
        <w:jc w:val="center"/>
      </w:pPr>
      <w:r w:rsidRPr="00514C40">
        <w:t>A.</w:t>
      </w:r>
    </w:p>
    <w:p w:rsidR="00B173BC" w:rsidRPr="00514C40" w:rsidP="00514C40">
      <w:pPr>
        <w:tabs>
          <w:tab w:val="left" w:pos="1440"/>
        </w:tabs>
        <w:ind w:firstLine="720"/>
      </w:pPr>
      <w:r w:rsidRPr="00514C40">
        <w:t>Pursuant to section 425.16</w:t>
      </w:r>
      <w:r w:rsidRPr="00514C40" w:rsidR="00720EE5">
        <w:t xml:space="preserve">, a party may file a special motion to strike </w:t>
      </w:r>
      <w:r w:rsidRPr="00514C40" w:rsidR="001125B9">
        <w:t>a cause of action</w:t>
      </w:r>
      <w:r w:rsidRPr="00514C40" w:rsidR="00554982">
        <w:t xml:space="preserve"> or particular claims</w:t>
      </w:r>
      <w:r w:rsidRPr="00514C40" w:rsidR="00326809">
        <w:t xml:space="preserve"> underlying a cause of action</w:t>
      </w:r>
      <w:r w:rsidRPr="00514C40" w:rsidR="0013544E">
        <w:t xml:space="preserve"> that arise from activity</w:t>
      </w:r>
      <w:r w:rsidRPr="00514C40" w:rsidR="002024FB">
        <w:t xml:space="preserve"> protected by the anti-SLAPP statute</w:t>
      </w:r>
      <w:r w:rsidRPr="00514C40" w:rsidR="00326809">
        <w:t>.</w:t>
      </w:r>
      <w:r w:rsidRPr="00514C40" w:rsidR="0013544E">
        <w:t xml:space="preserve">  </w:t>
      </w:r>
      <w:r w:rsidRPr="00514C40" w:rsidR="00AC2BDB">
        <w:t>The moving party “must establish that the challenged claim arises from activity protected by section 425.16</w:t>
      </w:r>
      <w:r w:rsidRPr="00514C40" w:rsidR="00195357">
        <w:t>”</w:t>
      </w:r>
      <w:r w:rsidRPr="00514C40" w:rsidR="00C4623D">
        <w:t>;</w:t>
      </w:r>
      <w:r w:rsidRPr="00514C40" w:rsidR="00195357">
        <w:t xml:space="preserve"> if </w:t>
      </w:r>
      <w:r w:rsidRPr="00514C40" w:rsidR="00C4623D">
        <w:t>the moving party does so</w:t>
      </w:r>
      <w:r w:rsidRPr="00514C40" w:rsidR="00195357">
        <w:t xml:space="preserve">, </w:t>
      </w:r>
      <w:r w:rsidRPr="00514C40" w:rsidR="00C85CD0">
        <w:t>“the burden shifts</w:t>
      </w:r>
      <w:r w:rsidRPr="00514C40" w:rsidR="00F57B2E">
        <w:t>” t</w:t>
      </w:r>
      <w:r w:rsidRPr="00514C40" w:rsidR="00AB2FCE">
        <w:t>o the nonmoving party</w:t>
      </w:r>
      <w:r w:rsidRPr="00514C40" w:rsidR="00C85CD0">
        <w:t xml:space="preserve"> </w:t>
      </w:r>
      <w:r w:rsidRPr="00514C40" w:rsidR="00AB2FCE">
        <w:t>“</w:t>
      </w:r>
      <w:r w:rsidRPr="00514C40" w:rsidR="00C85CD0">
        <w:t>to demonstrate the merit of the claim by establishing a probability of success.”</w:t>
      </w:r>
      <w:r w:rsidRPr="00514C40" w:rsidR="00385919">
        <w:t xml:space="preserve">  (</w:t>
      </w:r>
      <w:r w:rsidRPr="00514C40" w:rsidR="00A4339E">
        <w:rPr>
          <w:i/>
          <w:iCs/>
        </w:rPr>
        <w:t>Baral v. Schnitt</w:t>
      </w:r>
      <w:r w:rsidRPr="00514C40" w:rsidR="00A4339E">
        <w:t xml:space="preserve"> (2016) </w:t>
      </w:r>
      <w:r w:rsidRPr="00514C40" w:rsidR="00307F65">
        <w:t>1</w:t>
      </w:r>
      <w:r w:rsidRPr="00514C40" w:rsidR="00A4339E">
        <w:t xml:space="preserve"> Cal.5th 376, 384 (</w:t>
      </w:r>
      <w:r w:rsidRPr="00514C40" w:rsidR="00A4339E">
        <w:rPr>
          <w:i/>
          <w:iCs/>
        </w:rPr>
        <w:t>Baral</w:t>
      </w:r>
      <w:r w:rsidRPr="00514C40" w:rsidR="00A4339E">
        <w:t>)</w:t>
      </w:r>
      <w:r w:rsidRPr="00514C40" w:rsidR="00B50AB5">
        <w:t>; see § </w:t>
      </w:r>
      <w:r w:rsidRPr="00514C40" w:rsidR="00300556">
        <w:t>425.16, subd. (b)(1)</w:t>
      </w:r>
      <w:r w:rsidRPr="00514C40" w:rsidR="00FF170E">
        <w:t>.)</w:t>
      </w:r>
      <w:r w:rsidRPr="00514C40" w:rsidR="00AB2FCE">
        <w:t xml:space="preserve"> </w:t>
      </w:r>
      <w:r w:rsidRPr="00514C40" w:rsidR="00EE76A8">
        <w:t xml:space="preserve"> </w:t>
      </w:r>
      <w:r w:rsidRPr="00514C40">
        <w:t>Before the trial court and on appeal</w:t>
      </w:r>
      <w:r w:rsidRPr="00514C40" w:rsidR="00C4623D">
        <w:t>,</w:t>
      </w:r>
      <w:r w:rsidRPr="00514C40">
        <w:t xml:space="preserve"> Olson conceded that Doe’s administrative and civil complaints</w:t>
      </w:r>
      <w:r w:rsidR="00ED4D10">
        <w:t> </w:t>
      </w:r>
      <w:r w:rsidRPr="00514C40" w:rsidR="00B7734D">
        <w:t>—</w:t>
      </w:r>
      <w:r w:rsidR="00A635FC">
        <w:t xml:space="preserve"> </w:t>
      </w:r>
      <w:r w:rsidRPr="00514C40" w:rsidR="00B7734D">
        <w:t>the conduct that</w:t>
      </w:r>
      <w:r w:rsidRPr="00514C40">
        <w:t xml:space="preserve"> gave rise to Olson’s actions for breach of contract and specific performance</w:t>
      </w:r>
      <w:r w:rsidR="00ED4D10">
        <w:t> </w:t>
      </w:r>
      <w:r w:rsidRPr="00514C40" w:rsidR="006C4F31">
        <w:t xml:space="preserve">— </w:t>
      </w:r>
      <w:r w:rsidRPr="00514C40">
        <w:t xml:space="preserve">constitute petitioning activity protected by section 425.16.  Thus, </w:t>
      </w:r>
      <w:r w:rsidRPr="00514C40" w:rsidR="00CC3BAD">
        <w:t xml:space="preserve">the only issue before us is </w:t>
      </w:r>
      <w:r w:rsidRPr="00514C40">
        <w:t>whether Olson has shown a probability of success.</w:t>
      </w:r>
      <w:r w:rsidRPr="00514C40" w:rsidR="00BB4A7F">
        <w:t xml:space="preserve">  </w:t>
      </w:r>
      <w:r w:rsidRPr="00514C40" w:rsidR="007F6ED6">
        <w:t>I</w:t>
      </w:r>
      <w:r w:rsidRPr="00514C40" w:rsidR="00BB4A7F">
        <w:t>n that regard</w:t>
      </w:r>
      <w:r w:rsidRPr="00514C40" w:rsidR="000131DC">
        <w:t>,</w:t>
      </w:r>
      <w:r w:rsidRPr="00514C40" w:rsidR="00BB4A7F">
        <w:t xml:space="preserve"> we address only </w:t>
      </w:r>
      <w:r w:rsidR="00305656">
        <w:t xml:space="preserve">the breach of contract claim that </w:t>
      </w:r>
      <w:r w:rsidRPr="00514C40" w:rsidR="00BB4A7F">
        <w:t>Olson</w:t>
      </w:r>
      <w:r w:rsidR="00305656">
        <w:t xml:space="preserve"> raised in the Court of Appeal: </w:t>
      </w:r>
      <w:r w:rsidR="004F2334">
        <w:t xml:space="preserve"> that Doe breached their agreement</w:t>
      </w:r>
      <w:r w:rsidR="00E23EA3">
        <w:t>,</w:t>
      </w:r>
      <w:r w:rsidR="004F2334">
        <w:t xml:space="preserve"> not by suing him under his own name</w:t>
      </w:r>
      <w:r w:rsidR="00E23EA3">
        <w:t>,</w:t>
      </w:r>
      <w:r w:rsidR="004F2334">
        <w:t xml:space="preserve"> but by filing the administrative and civil complaints against him</w:t>
      </w:r>
      <w:r w:rsidRPr="00514C40" w:rsidR="006F1741">
        <w:t>.  T</w:t>
      </w:r>
      <w:r w:rsidRPr="00514C40" w:rsidR="00BB4A7F">
        <w:t xml:space="preserve">he Court of Appeal held that Olson “failed to prove the requisite minimal merit” for his claim for specific performance and affirmed </w:t>
      </w:r>
      <w:r w:rsidRPr="00514C40" w:rsidR="000131DC">
        <w:t xml:space="preserve">that </w:t>
      </w:r>
      <w:r w:rsidRPr="00514C40" w:rsidR="004F0016">
        <w:t>portion</w:t>
      </w:r>
      <w:r w:rsidRPr="00514C40" w:rsidR="000131DC">
        <w:t xml:space="preserve"> of </w:t>
      </w:r>
      <w:r w:rsidRPr="00514C40" w:rsidR="00BB4A7F">
        <w:t xml:space="preserve">the trial court’s </w:t>
      </w:r>
      <w:r w:rsidRPr="00514C40" w:rsidR="00EE0028">
        <w:t>order</w:t>
      </w:r>
      <w:r w:rsidRPr="00514C40" w:rsidR="004B3FC5">
        <w:t>, and Olson did not seek review</w:t>
      </w:r>
      <w:r w:rsidRPr="00514C40" w:rsidR="00BB4A7F">
        <w:t xml:space="preserve">.  </w:t>
      </w:r>
      <w:r w:rsidR="0029529A">
        <w:t>(</w:t>
      </w:r>
      <w:r w:rsidR="0029529A">
        <w:rPr>
          <w:i/>
          <w:iCs/>
        </w:rPr>
        <w:t>Doe v. Olson</w:t>
      </w:r>
      <w:r w:rsidR="0029529A">
        <w:t xml:space="preserve"> (Aug. 30, 2019, B286105) [nonpub. opn.].)</w:t>
      </w:r>
    </w:p>
    <w:p w:rsidR="003A6886" w:rsidRPr="00514C40" w:rsidP="00514C40">
      <w:pPr>
        <w:tabs>
          <w:tab w:val="left" w:pos="1440"/>
        </w:tabs>
        <w:ind w:firstLine="720"/>
      </w:pPr>
      <w:r w:rsidRPr="00514C40">
        <w:t>To succeed in opposing a special motion to strike, the nonmoving party must “demonstrate both that the claim is legally sufficient and that there is sufficient evidence to establish a prima facie case with respect to the claim</w:t>
      </w:r>
      <w:r w:rsidRPr="00514C40" w:rsidR="007F7A02">
        <w:t>.</w:t>
      </w:r>
      <w:r w:rsidRPr="00514C40">
        <w:t xml:space="preserve">” </w:t>
      </w:r>
      <w:r w:rsidRPr="00514C40" w:rsidR="007F7A02">
        <w:t xml:space="preserve"> </w:t>
      </w:r>
      <w:r w:rsidRPr="00514C40">
        <w:t>(</w:t>
      </w:r>
      <w:r w:rsidRPr="00514C40">
        <w:rPr>
          <w:i/>
          <w:iCs/>
        </w:rPr>
        <w:t>Taus v. Loftus</w:t>
      </w:r>
      <w:r w:rsidRPr="00514C40">
        <w:t xml:space="preserve"> (2007) 40 Cal.4th 683, 714</w:t>
      </w:r>
      <w:r w:rsidRPr="00514C40" w:rsidR="007F7A02">
        <w:t>.</w:t>
      </w:r>
      <w:r w:rsidRPr="00514C40" w:rsidR="00295C80">
        <w:t xml:space="preserve">) </w:t>
      </w:r>
      <w:r w:rsidRPr="00514C40" w:rsidR="007F7A02">
        <w:t xml:space="preserve"> </w:t>
      </w:r>
      <w:r w:rsidRPr="00514C40" w:rsidR="00295C80">
        <w:t>“</w:t>
      </w:r>
      <w:r w:rsidRPr="00514C40" w:rsidR="007F7A02">
        <w:t>[C]</w:t>
      </w:r>
      <w:r w:rsidRPr="00514C40" w:rsidR="00295C80">
        <w:t>laims with the requisite minimal merit may proceed</w:t>
      </w:r>
      <w:r w:rsidRPr="00514C40" w:rsidR="007F7A02">
        <w:t>.</w:t>
      </w:r>
      <w:r w:rsidRPr="00514C40" w:rsidR="00295C80">
        <w:t>”</w:t>
      </w:r>
      <w:r w:rsidRPr="00514C40" w:rsidR="007F7A02">
        <w:t xml:space="preserve"> </w:t>
      </w:r>
      <w:r w:rsidRPr="00514C40" w:rsidR="00295C80">
        <w:t xml:space="preserve"> (</w:t>
      </w:r>
      <w:r w:rsidRPr="00514C40" w:rsidR="00295C80">
        <w:rPr>
          <w:i/>
          <w:iCs/>
        </w:rPr>
        <w:t>Navellier</w:t>
      </w:r>
      <w:r w:rsidRPr="00514C40" w:rsidR="00653380">
        <w:t xml:space="preserve">, </w:t>
      </w:r>
      <w:r w:rsidRPr="00514C40" w:rsidR="00653380">
        <w:rPr>
          <w:i/>
          <w:iCs/>
        </w:rPr>
        <w:t>supra</w:t>
      </w:r>
      <w:r w:rsidRPr="00514C40" w:rsidR="00653380">
        <w:t>,</w:t>
      </w:r>
      <w:r w:rsidRPr="00514C40" w:rsidR="00295C80">
        <w:t xml:space="preserve"> 29 Cal.4th </w:t>
      </w:r>
      <w:r w:rsidRPr="00514C40" w:rsidR="00653380">
        <w:t>at p. </w:t>
      </w:r>
      <w:r w:rsidRPr="00514C40" w:rsidR="00295C80">
        <w:t>94</w:t>
      </w:r>
      <w:r w:rsidRPr="00514C40" w:rsidR="007F7A02">
        <w:t>.</w:t>
      </w:r>
      <w:r w:rsidRPr="00514C40" w:rsidR="00307F65">
        <w:t xml:space="preserve">)  </w:t>
      </w:r>
      <w:r w:rsidRPr="00514C40" w:rsidR="000A2F9E">
        <w:t xml:space="preserve">The </w:t>
      </w:r>
      <w:r w:rsidRPr="00514C40" w:rsidR="009321DA">
        <w:t xml:space="preserve">moving party </w:t>
      </w:r>
      <w:r w:rsidRPr="00514C40" w:rsidR="000A2F9E">
        <w:t xml:space="preserve">prevails by </w:t>
      </w:r>
      <w:r w:rsidRPr="00514C40" w:rsidR="009321DA">
        <w:t>“defeat[</w:t>
      </w:r>
      <w:r w:rsidRPr="00514C40" w:rsidR="000862DE">
        <w:t>ing</w:t>
      </w:r>
      <w:r w:rsidRPr="00514C40" w:rsidR="009321DA">
        <w:t>]” the “</w:t>
      </w:r>
      <w:r w:rsidRPr="00514C40" w:rsidR="00CA1B15">
        <w:t>claim as a matter of law</w:t>
      </w:r>
      <w:r w:rsidRPr="00514C40" w:rsidR="005B35EE">
        <w:t>”</w:t>
      </w:r>
      <w:r w:rsidRPr="00514C40" w:rsidR="00307F65">
        <w:t xml:space="preserve"> </w:t>
      </w:r>
      <w:r w:rsidRPr="00514C40" w:rsidR="005B35EE">
        <w:t>(</w:t>
      </w:r>
      <w:r w:rsidRPr="00514C40" w:rsidR="005B35EE">
        <w:rPr>
          <w:i/>
          <w:iCs/>
        </w:rPr>
        <w:t>Baral</w:t>
      </w:r>
      <w:r w:rsidRPr="00514C40" w:rsidR="005B35EE">
        <w:t xml:space="preserve">, </w:t>
      </w:r>
      <w:r w:rsidRPr="00514C40" w:rsidR="00307F65">
        <w:rPr>
          <w:i/>
          <w:iCs/>
        </w:rPr>
        <w:t>supra</w:t>
      </w:r>
      <w:r w:rsidRPr="00514C40" w:rsidR="00307F65">
        <w:t>, 1</w:t>
      </w:r>
      <w:r w:rsidRPr="00514C40" w:rsidR="00287468">
        <w:t> </w:t>
      </w:r>
      <w:r w:rsidRPr="00514C40" w:rsidR="00307F65">
        <w:t xml:space="preserve">Cal.5th </w:t>
      </w:r>
      <w:r w:rsidRPr="00514C40" w:rsidR="005B35EE">
        <w:t>at p. 385</w:t>
      </w:r>
      <w:r w:rsidRPr="00514C40" w:rsidR="0045395F">
        <w:t xml:space="preserve">) </w:t>
      </w:r>
      <w:r w:rsidRPr="00514C40" w:rsidR="001B4624">
        <w:t xml:space="preserve">in </w:t>
      </w:r>
      <w:r w:rsidRPr="00514C40" w:rsidR="001F4E12">
        <w:t xml:space="preserve">“a summary-judgment-like procedure” </w:t>
      </w:r>
      <w:r w:rsidRPr="00514C40" w:rsidR="001B4624">
        <w:t>(</w:t>
      </w:r>
      <w:r w:rsidRPr="00514C40" w:rsidR="001F4E12">
        <w:rPr>
          <w:i/>
          <w:iCs/>
        </w:rPr>
        <w:t>Taus</w:t>
      </w:r>
      <w:r w:rsidRPr="00514C40" w:rsidR="001B4624">
        <w:t>, at p. </w:t>
      </w:r>
      <w:r w:rsidRPr="00514C40" w:rsidR="001F4E12">
        <w:t>714)</w:t>
      </w:r>
      <w:r w:rsidRPr="00514C40" w:rsidR="001B4624">
        <w:t>.</w:t>
      </w:r>
      <w:r w:rsidRPr="00514C40" w:rsidR="00A91EFA">
        <w:t xml:space="preserve"> </w:t>
      </w:r>
      <w:r w:rsidRPr="00514C40" w:rsidR="005B0241">
        <w:t xml:space="preserve"> </w:t>
      </w:r>
    </w:p>
    <w:p w:rsidR="00A55C32" w:rsidRPr="00514C40" w:rsidP="00514C40">
      <w:pPr>
        <w:tabs>
          <w:tab w:val="left" w:pos="1440"/>
        </w:tabs>
        <w:ind w:firstLine="720"/>
      </w:pPr>
      <w:r w:rsidRPr="00514C40">
        <w:t>As relevant here,</w:t>
      </w:r>
      <w:r w:rsidRPr="00514C40" w:rsidR="003F1B5A">
        <w:t xml:space="preserve"> we recognized in </w:t>
      </w:r>
      <w:r w:rsidRPr="00514C40" w:rsidR="003F1B5A">
        <w:rPr>
          <w:i/>
          <w:iCs/>
        </w:rPr>
        <w:t>Navellier</w:t>
      </w:r>
      <w:r w:rsidRPr="00514C40" w:rsidR="003F1B5A">
        <w:t xml:space="preserve"> that the anti-SLAPP statute</w:t>
      </w:r>
      <w:r w:rsidRPr="00514C40" w:rsidR="000043B3">
        <w:t xml:space="preserve"> can apply to a breach of contract claim</w:t>
      </w:r>
      <w:r w:rsidRPr="00514C40" w:rsidR="008E3936">
        <w:t>, but the statute “</w:t>
      </w:r>
      <w:r w:rsidRPr="00514C40" w:rsidR="00B44B46">
        <w:t>preserves appropriate remedies for breaches of contracts involving speech</w:t>
      </w:r>
      <w:r w:rsidRPr="00514C40" w:rsidR="008E3936">
        <w:t xml:space="preserve">” since </w:t>
      </w:r>
      <w:r w:rsidRPr="00514C40" w:rsidR="006131D8">
        <w:t>“</w:t>
      </w:r>
      <w:r w:rsidRPr="00514C40" w:rsidR="00B44B46">
        <w:t xml:space="preserve">a defendant who in fact has validly contracted not to speak or petition has in effect </w:t>
      </w:r>
      <w:r w:rsidRPr="00514C40" w:rsidR="006131D8">
        <w:t>‘</w:t>
      </w:r>
      <w:r w:rsidRPr="00514C40" w:rsidR="00B44B46">
        <w:t>waived</w:t>
      </w:r>
      <w:r w:rsidRPr="00514C40" w:rsidR="006131D8">
        <w:t>’</w:t>
      </w:r>
      <w:r w:rsidRPr="00514C40" w:rsidR="00B44B46">
        <w:t xml:space="preserve"> the right to the anti-SLAPP statute</w:t>
      </w:r>
      <w:r w:rsidRPr="00514C40" w:rsidR="006131D8">
        <w:t>’</w:t>
      </w:r>
      <w:r w:rsidRPr="00514C40" w:rsidR="00B44B46">
        <w:t>s protection in the event he or she later breaches that contract.</w:t>
      </w:r>
      <w:r w:rsidRPr="00514C40" w:rsidR="006131D8">
        <w:t>”  (</w:t>
      </w:r>
      <w:r w:rsidRPr="00514C40" w:rsidR="006131D8">
        <w:rPr>
          <w:i/>
          <w:iCs/>
        </w:rPr>
        <w:t>Navellier</w:t>
      </w:r>
      <w:r w:rsidRPr="00514C40" w:rsidR="006131D8">
        <w:t xml:space="preserve">, </w:t>
      </w:r>
      <w:r w:rsidRPr="00514C40" w:rsidR="006131D8">
        <w:rPr>
          <w:i/>
          <w:iCs/>
        </w:rPr>
        <w:t>supra</w:t>
      </w:r>
      <w:r w:rsidRPr="00514C40" w:rsidR="006131D8">
        <w:t>,</w:t>
      </w:r>
      <w:r w:rsidRPr="00514C40" w:rsidR="00B44B46">
        <w:t xml:space="preserve"> 29 Cal.4th </w:t>
      </w:r>
      <w:r w:rsidRPr="00514C40" w:rsidR="006131D8">
        <w:t>at p. </w:t>
      </w:r>
      <w:r w:rsidRPr="00514C40" w:rsidR="00B44B46">
        <w:t>94</w:t>
      </w:r>
      <w:r w:rsidRPr="00514C40" w:rsidR="006131D8">
        <w:t xml:space="preserve">.) </w:t>
      </w:r>
      <w:r w:rsidRPr="00514C40" w:rsidR="007A2099">
        <w:t xml:space="preserve"> </w:t>
      </w:r>
      <w:r w:rsidR="00F6354E">
        <w:t>A</w:t>
      </w:r>
      <w:r w:rsidRPr="00514C40" w:rsidR="005F788C">
        <w:t xml:space="preserve">n essential element of </w:t>
      </w:r>
      <w:r w:rsidRPr="00514C40">
        <w:t xml:space="preserve">Olson’s </w:t>
      </w:r>
      <w:r w:rsidRPr="00514C40" w:rsidR="005F788C">
        <w:t>breach of contract action is showing that Doe</w:t>
      </w:r>
      <w:r w:rsidRPr="00514C40">
        <w:t xml:space="preserve"> breached the mediation agreement.</w:t>
      </w:r>
      <w:r w:rsidRPr="00514C40" w:rsidR="00BE7C39">
        <w:t xml:space="preserve"> </w:t>
      </w:r>
      <w:r w:rsidRPr="00514C40">
        <w:t xml:space="preserve"> </w:t>
      </w:r>
      <w:r w:rsidRPr="00514C40" w:rsidR="00977CB0">
        <w:t>(</w:t>
      </w:r>
      <w:r w:rsidRPr="00514C40">
        <w:t xml:space="preserve">E.g., </w:t>
      </w:r>
      <w:r w:rsidRPr="00514C40" w:rsidR="00BE7C39">
        <w:rPr>
          <w:i/>
          <w:iCs/>
        </w:rPr>
        <w:t>Oasis West Realty, LLC v. Goldman</w:t>
      </w:r>
      <w:r w:rsidRPr="00514C40" w:rsidR="00BE7C39">
        <w:t xml:space="preserve"> (2011) 51</w:t>
      </w:r>
      <w:r w:rsidRPr="00514C40" w:rsidR="007355EC">
        <w:t> </w:t>
      </w:r>
      <w:r w:rsidRPr="00514C40" w:rsidR="00BE7C39">
        <w:t>Cal.4th 811, 821</w:t>
      </w:r>
      <w:r w:rsidRPr="00514C40" w:rsidR="004847F7">
        <w:t xml:space="preserve"> [setting forth elements of breach of contract claim].)</w:t>
      </w:r>
      <w:r w:rsidRPr="00514C40" w:rsidR="00A437E2">
        <w:t xml:space="preserve">  </w:t>
      </w:r>
      <w:r w:rsidRPr="00514C40" w:rsidR="006F1741">
        <w:t>I</w:t>
      </w:r>
      <w:r w:rsidRPr="00514C40" w:rsidR="00A437E2">
        <w:t>n light of the language</w:t>
      </w:r>
      <w:r w:rsidRPr="00514C40" w:rsidR="00C36D96">
        <w:t xml:space="preserve"> </w:t>
      </w:r>
      <w:r w:rsidRPr="00514C40" w:rsidR="002D5F4A">
        <w:t xml:space="preserve">of the nondisparagement clause, </w:t>
      </w:r>
      <w:r w:rsidRPr="00514C40" w:rsidR="002500A5">
        <w:t xml:space="preserve">the mediation agreement as a whole, </w:t>
      </w:r>
      <w:r w:rsidRPr="00514C40" w:rsidR="00C36D96">
        <w:t>and</w:t>
      </w:r>
      <w:r w:rsidRPr="00514C40" w:rsidR="00A27D3B">
        <w:t xml:space="preserve"> the broader context in which</w:t>
      </w:r>
      <w:r w:rsidRPr="00514C40" w:rsidR="00C36D96">
        <w:t xml:space="preserve"> </w:t>
      </w:r>
      <w:r w:rsidRPr="00514C40" w:rsidR="00643F16">
        <w:t xml:space="preserve">the </w:t>
      </w:r>
      <w:r w:rsidRPr="00514C40" w:rsidR="002500A5">
        <w:t>agreement</w:t>
      </w:r>
      <w:r w:rsidRPr="00514C40" w:rsidR="00A27D3B">
        <w:t xml:space="preserve"> was negotiated</w:t>
      </w:r>
      <w:r w:rsidRPr="00514C40" w:rsidR="00C36D96">
        <w:t xml:space="preserve">, </w:t>
      </w:r>
      <w:r w:rsidRPr="00514C40" w:rsidR="006F1741">
        <w:t>we</w:t>
      </w:r>
      <w:r w:rsidRPr="00514C40" w:rsidR="00C36D96">
        <w:t xml:space="preserve"> hold that </w:t>
      </w:r>
      <w:r w:rsidRPr="00514C40" w:rsidR="00BC3BE0">
        <w:t>the nondisparagement clause does not apply to statements made by Doe in the litigation context</w:t>
      </w:r>
      <w:r w:rsidR="00A635FC">
        <w:t>.  Thus</w:t>
      </w:r>
      <w:r w:rsidRPr="00514C40" w:rsidR="00BC3BE0">
        <w:t xml:space="preserve">, </w:t>
      </w:r>
      <w:r w:rsidRPr="00514C40" w:rsidR="00C36D96">
        <w:t xml:space="preserve">Olson has </w:t>
      </w:r>
      <w:r w:rsidRPr="00514C40" w:rsidR="00101704">
        <w:t>failed to make a prima facie showing on this element s</w:t>
      </w:r>
      <w:r w:rsidRPr="00514C40" w:rsidR="00B579F6">
        <w:t>ufficient to overcome Doe’s special motion to strike</w:t>
      </w:r>
      <w:r w:rsidRPr="00514C40" w:rsidR="00C36D96">
        <w:t>.</w:t>
      </w:r>
    </w:p>
    <w:p w:rsidR="00A2270A" w:rsidRPr="00514C40" w:rsidP="00514C40">
      <w:pPr>
        <w:tabs>
          <w:tab w:val="left" w:pos="1440"/>
        </w:tabs>
        <w:ind w:firstLine="720"/>
      </w:pPr>
      <w:r w:rsidRPr="00514C40">
        <w:t>The</w:t>
      </w:r>
      <w:r w:rsidRPr="00514C40" w:rsidR="00B72561">
        <w:t xml:space="preserve"> language of the nondisparagement clause is </w:t>
      </w:r>
      <w:r w:rsidRPr="00514C40" w:rsidR="00776564">
        <w:t>simple</w:t>
      </w:r>
      <w:r w:rsidRPr="00514C40" w:rsidR="00B72561">
        <w:t>:  “The parties agree not to disparage one another.”</w:t>
      </w:r>
      <w:r w:rsidRPr="00514C40" w:rsidR="00D756F5">
        <w:t xml:space="preserve">  </w:t>
      </w:r>
      <w:r w:rsidRPr="00514C40" w:rsidR="00BC3BE0">
        <w:t>Read in isolation</w:t>
      </w:r>
      <w:r w:rsidRPr="00514C40" w:rsidR="005B0E31">
        <w:t>,</w:t>
      </w:r>
      <w:r w:rsidRPr="00514C40" w:rsidR="00B50089">
        <w:t xml:space="preserve"> </w:t>
      </w:r>
      <w:r w:rsidRPr="00514C40" w:rsidR="00FF2C8D">
        <w:t xml:space="preserve">this language </w:t>
      </w:r>
      <w:r w:rsidRPr="00514C40" w:rsidR="00812437">
        <w:t xml:space="preserve">is </w:t>
      </w:r>
      <w:r w:rsidR="00BC3F98">
        <w:t>vague as to its scope</w:t>
      </w:r>
      <w:r w:rsidRPr="00514C40" w:rsidR="00812437">
        <w:t xml:space="preserve"> and </w:t>
      </w:r>
      <w:r w:rsidRPr="00514C40" w:rsidR="00700461">
        <w:t xml:space="preserve">conceivably </w:t>
      </w:r>
      <w:r w:rsidRPr="00514C40" w:rsidR="003C04BF">
        <w:t xml:space="preserve">could </w:t>
      </w:r>
      <w:r w:rsidRPr="00514C40" w:rsidR="00700461">
        <w:t xml:space="preserve">be </w:t>
      </w:r>
      <w:r w:rsidRPr="00514C40" w:rsidR="00E65FBA">
        <w:t xml:space="preserve">understood </w:t>
      </w:r>
      <w:r w:rsidRPr="00514C40" w:rsidR="00FF4FEC">
        <w:t xml:space="preserve">to sweep </w:t>
      </w:r>
      <w:r w:rsidRPr="00514C40" w:rsidR="00A04FB8">
        <w:t xml:space="preserve">broadly </w:t>
      </w:r>
      <w:r w:rsidRPr="00514C40" w:rsidR="00700461">
        <w:t>as Olson suggests</w:t>
      </w:r>
      <w:r w:rsidRPr="00514C40" w:rsidR="009E454E">
        <w:t>.</w:t>
      </w:r>
      <w:r w:rsidRPr="00514C40" w:rsidR="00F40987">
        <w:t xml:space="preserve"> </w:t>
      </w:r>
      <w:r w:rsidRPr="00514C40" w:rsidR="0020251B">
        <w:t xml:space="preserve"> Yet a few reasons </w:t>
      </w:r>
      <w:r w:rsidRPr="00514C40" w:rsidR="00815FE8">
        <w:t>suggest</w:t>
      </w:r>
      <w:r w:rsidRPr="00514C40" w:rsidR="001C503A">
        <w:t xml:space="preserve"> that such a reading</w:t>
      </w:r>
      <w:r w:rsidRPr="00514C40" w:rsidR="00E22E72">
        <w:t xml:space="preserve"> — i.e., one that prevents Doe from making any allegations potentially disparaging against Olson in future litigation — </w:t>
      </w:r>
      <w:r w:rsidRPr="00514C40" w:rsidR="001C503A">
        <w:t xml:space="preserve">is </w:t>
      </w:r>
      <w:r w:rsidRPr="00514C40" w:rsidR="00E47685">
        <w:t>foreclosed</w:t>
      </w:r>
      <w:r w:rsidRPr="00514C40" w:rsidR="001C503A">
        <w:t xml:space="preserve"> as a matter of law.</w:t>
      </w:r>
      <w:r w:rsidRPr="00514C40" w:rsidR="00EC4792">
        <w:t xml:space="preserve">  (See </w:t>
      </w:r>
      <w:r w:rsidRPr="00514C40" w:rsidR="00EC4792">
        <w:rPr>
          <w:i/>
          <w:iCs/>
        </w:rPr>
        <w:t>People v. Doolin</w:t>
      </w:r>
      <w:r w:rsidRPr="00514C40" w:rsidR="00EC4792">
        <w:t xml:space="preserve"> (2009) 45 Cal.4th 390, 413, fn. 17</w:t>
      </w:r>
      <w:r w:rsidRPr="00514C40" w:rsidR="002A2A47">
        <w:t xml:space="preserve"> (</w:t>
      </w:r>
      <w:r w:rsidRPr="00514C40" w:rsidR="002A2A47">
        <w:rPr>
          <w:i/>
          <w:iCs/>
        </w:rPr>
        <w:t>Doolin</w:t>
      </w:r>
      <w:r w:rsidRPr="00514C40" w:rsidR="002A2A47">
        <w:t>)</w:t>
      </w:r>
      <w:r w:rsidRPr="00514C40" w:rsidR="00EC4792">
        <w:t xml:space="preserve"> [</w:t>
      </w:r>
      <w:r w:rsidRPr="00514C40" w:rsidR="004C01C2">
        <w:t>“[w]</w:t>
      </w:r>
      <w:r w:rsidRPr="00514C40">
        <w:t>here</w:t>
      </w:r>
      <w:r w:rsidRPr="00514C40" w:rsidR="004C01C2">
        <w:t xml:space="preserve"> . . .</w:t>
      </w:r>
      <w:r w:rsidRPr="00514C40">
        <w:t xml:space="preserve"> the meaning of</w:t>
      </w:r>
      <w:r w:rsidRPr="00514C40" w:rsidR="004C01C2">
        <w:t xml:space="preserve"> [the]</w:t>
      </w:r>
      <w:r w:rsidRPr="00514C40">
        <w:t xml:space="preserve"> agreement does not turn on the credibility of extrinsic evidence, interpretation is a question of law</w:t>
      </w:r>
      <w:r w:rsidRPr="00514C40" w:rsidR="002A2A47">
        <w:t>”].)</w:t>
      </w:r>
    </w:p>
    <w:p w:rsidR="00FE56AC" w:rsidP="00514C40">
      <w:pPr>
        <w:tabs>
          <w:tab w:val="left" w:pos="1440"/>
        </w:tabs>
        <w:ind w:firstLine="720"/>
      </w:pPr>
      <w:r w:rsidRPr="00514C40">
        <w:t xml:space="preserve">First, </w:t>
      </w:r>
      <w:r w:rsidRPr="00514C40" w:rsidR="00E927DA">
        <w:t xml:space="preserve">the nondisparagement clause must be understood in connection with the mediation agreement as a whole.  </w:t>
      </w:r>
      <w:r w:rsidRPr="00514C40" w:rsidR="00AD2DC0">
        <w:t>(See</w:t>
      </w:r>
      <w:r w:rsidRPr="00514C40" w:rsidR="00AD2DC0">
        <w:rPr>
          <w:i/>
          <w:iCs/>
        </w:rPr>
        <w:t xml:space="preserve"> Doolin</w:t>
      </w:r>
      <w:r w:rsidRPr="00514C40" w:rsidR="002A2A47">
        <w:t xml:space="preserve">, </w:t>
      </w:r>
      <w:r w:rsidRPr="00514C40" w:rsidR="002A2A47">
        <w:rPr>
          <w:i/>
          <w:iCs/>
        </w:rPr>
        <w:t>supra</w:t>
      </w:r>
      <w:r w:rsidRPr="00514C40" w:rsidR="002A2A47">
        <w:t>,</w:t>
      </w:r>
      <w:r w:rsidRPr="00514C40" w:rsidR="00AD2DC0">
        <w:t xml:space="preserve"> 45 Cal.4th </w:t>
      </w:r>
      <w:r w:rsidRPr="00514C40" w:rsidR="002A2A47">
        <w:t>at p. </w:t>
      </w:r>
      <w:r w:rsidRPr="00514C40" w:rsidR="00AD2DC0">
        <w:t xml:space="preserve">413, fn. 17 [“Our interpretation of the agreement is guided by the basic principle that ‘[a]ny contract must be construed as a whole, with the various individual provisions interpreted together so as to give effect to all, if reasonably possible or practicable.’ ”].)  </w:t>
      </w:r>
      <w:r w:rsidRPr="00514C40" w:rsidR="00E927DA">
        <w:t xml:space="preserve">It is </w:t>
      </w:r>
      <w:r w:rsidRPr="00514C40" w:rsidR="00B01564">
        <w:t xml:space="preserve">one of only six </w:t>
      </w:r>
      <w:r w:rsidRPr="00514C40" w:rsidR="00823639">
        <w:t>numbered</w:t>
      </w:r>
      <w:r w:rsidRPr="00514C40" w:rsidR="00B01564">
        <w:t xml:space="preserve"> terms of the one-page agreement</w:t>
      </w:r>
      <w:r w:rsidRPr="00514C40" w:rsidR="00E927DA">
        <w:t>, a</w:t>
      </w:r>
      <w:r w:rsidRPr="00514C40" w:rsidR="00F66AB9">
        <w:t>nd only three</w:t>
      </w:r>
      <w:r w:rsidRPr="00514C40" w:rsidR="00150BCC">
        <w:t xml:space="preserve"> of those </w:t>
      </w:r>
      <w:r w:rsidRPr="00514C40" w:rsidR="00643DA4">
        <w:t>constitute</w:t>
      </w:r>
      <w:r w:rsidRPr="00514C40" w:rsidR="00D130F8">
        <w:t xml:space="preserve"> the </w:t>
      </w:r>
      <w:r w:rsidRPr="00514C40" w:rsidR="002A10C9">
        <w:t>substantive</w:t>
      </w:r>
      <w:r w:rsidRPr="00514C40" w:rsidR="00D130F8">
        <w:t xml:space="preserve"> </w:t>
      </w:r>
      <w:r w:rsidRPr="00514C40" w:rsidR="00150BCC">
        <w:t xml:space="preserve">terms </w:t>
      </w:r>
      <w:r w:rsidRPr="00514C40" w:rsidR="008D07D9">
        <w:t xml:space="preserve">intended to </w:t>
      </w:r>
      <w:r w:rsidRPr="00514C40" w:rsidR="00150BCC">
        <w:t>directly govern the prospective conduct of the parties</w:t>
      </w:r>
      <w:r w:rsidRPr="00514C40" w:rsidR="007431BE">
        <w:t>.  A</w:t>
      </w:r>
      <w:r w:rsidRPr="00514C40" w:rsidR="00097A83">
        <w:t>part from the nondisparagement clause</w:t>
      </w:r>
      <w:r w:rsidRPr="00514C40" w:rsidR="007431BE">
        <w:t xml:space="preserve">, </w:t>
      </w:r>
      <w:r w:rsidRPr="00514C40" w:rsidR="00815FE8">
        <w:t>Doe and Olson agreed</w:t>
      </w:r>
      <w:r w:rsidRPr="00514C40">
        <w:t xml:space="preserve"> </w:t>
      </w:r>
      <w:r w:rsidRPr="00514C40" w:rsidR="00097A83">
        <w:t>“</w:t>
      </w:r>
      <w:r w:rsidRPr="00514C40">
        <w:t>not to contact or communicate with one another or guests accompanying them, except in writing and/or as required by law</w:t>
      </w:r>
      <w:r w:rsidRPr="00514C40" w:rsidR="00815FE8">
        <w:t>,</w:t>
      </w:r>
      <w:r w:rsidRPr="00514C40" w:rsidR="00097A83">
        <w:t>” and</w:t>
      </w:r>
      <w:r w:rsidRPr="00514C40" w:rsidR="00251FE8">
        <w:t xml:space="preserve"> “</w:t>
      </w:r>
      <w:r w:rsidRPr="00514C40">
        <w:t>to honor this agreement by going their respective directions away from one another</w:t>
      </w:r>
      <w:r w:rsidRPr="00514C40" w:rsidR="00251FE8">
        <w:t xml:space="preserve">” if “the parties encounter each other in a public place or in common areas near their residences.”  </w:t>
      </w:r>
      <w:r w:rsidRPr="00514C40" w:rsidR="00BB4CA2">
        <w:t>The purpose and primary focus</w:t>
      </w:r>
      <w:r w:rsidRPr="00514C40" w:rsidR="001907F9">
        <w:t xml:space="preserve"> of the mediation agreement is self-evident</w:t>
      </w:r>
      <w:r w:rsidRPr="00514C40" w:rsidR="00472D26">
        <w:t xml:space="preserve"> from the agreement as a whole</w:t>
      </w:r>
      <w:r w:rsidRPr="00514C40" w:rsidR="002A10C9">
        <w:t xml:space="preserve">: </w:t>
      </w:r>
      <w:r w:rsidRPr="00514C40" w:rsidR="004C7042">
        <w:t xml:space="preserve"> </w:t>
      </w:r>
      <w:r w:rsidRPr="00514C40" w:rsidR="002A10C9">
        <w:t>to set</w:t>
      </w:r>
      <w:r w:rsidRPr="00514C40" w:rsidR="001907F9">
        <w:t xml:space="preserve"> forth mutually agreeable parameters to govern the parties’ </w:t>
      </w:r>
      <w:r w:rsidRPr="00514C40" w:rsidR="00096D91">
        <w:t>potential</w:t>
      </w:r>
      <w:r w:rsidRPr="00514C40" w:rsidR="00DB738B">
        <w:t xml:space="preserve"> future</w:t>
      </w:r>
      <w:r w:rsidRPr="00514C40" w:rsidR="00096D91">
        <w:t xml:space="preserve"> </w:t>
      </w:r>
      <w:r w:rsidRPr="00514C40" w:rsidR="00743082">
        <w:t xml:space="preserve">physical </w:t>
      </w:r>
      <w:r w:rsidRPr="00514C40" w:rsidR="001907F9">
        <w:t>interactions</w:t>
      </w:r>
      <w:r w:rsidRPr="00514C40" w:rsidR="00096D91">
        <w:t xml:space="preserve"> with one other</w:t>
      </w:r>
      <w:r w:rsidRPr="00514C40" w:rsidR="009E22BB">
        <w:t xml:space="preserve">, including </w:t>
      </w:r>
      <w:r w:rsidRPr="00514C40" w:rsidR="009C3E9C">
        <w:t xml:space="preserve">encounters </w:t>
      </w:r>
      <w:r w:rsidRPr="00514C40" w:rsidR="00096D91">
        <w:t>rendered unavoidable by the fact that both</w:t>
      </w:r>
      <w:r w:rsidRPr="00514C40" w:rsidR="00680FCD">
        <w:t xml:space="preserve"> owned </w:t>
      </w:r>
      <w:r w:rsidRPr="00514C40" w:rsidR="00823715">
        <w:t xml:space="preserve">condominium </w:t>
      </w:r>
      <w:r w:rsidRPr="00514C40" w:rsidR="00680FCD">
        <w:t>units in the same building.</w:t>
      </w:r>
    </w:p>
    <w:p w:rsidR="009032B5" w:rsidP="000A2EBE">
      <w:pPr>
        <w:tabs>
          <w:tab w:val="left" w:pos="1440"/>
        </w:tabs>
        <w:ind w:firstLine="720"/>
      </w:pPr>
      <w:r>
        <w:t xml:space="preserve">The terms of </w:t>
      </w:r>
      <w:r w:rsidR="000A2EBE">
        <w:t xml:space="preserve">Doe and Olson’s </w:t>
      </w:r>
      <w:r w:rsidR="001F5570">
        <w:t xml:space="preserve">agreement </w:t>
      </w:r>
      <w:r>
        <w:t xml:space="preserve">were </w:t>
      </w:r>
      <w:r w:rsidR="001F5570">
        <w:t>handwritten.</w:t>
      </w:r>
      <w:r w:rsidR="000A2EBE">
        <w:t xml:space="preserve"> </w:t>
      </w:r>
      <w:r w:rsidR="001F5570">
        <w:t xml:space="preserve"> T</w:t>
      </w:r>
      <w:r w:rsidR="000A2EBE">
        <w:t xml:space="preserve">he mediator had apparently run out of the standard-issue, typed mediation agreements used at the courthouse.  But the </w:t>
      </w:r>
      <w:r w:rsidR="00175AC9">
        <w:t xml:space="preserve">substantive </w:t>
      </w:r>
      <w:r w:rsidR="000A2EBE">
        <w:t xml:space="preserve">terms contained in Doe and Olson’s agreement </w:t>
      </w:r>
      <w:r w:rsidR="001F5570">
        <w:t xml:space="preserve">nonetheless share substantial similarity with </w:t>
      </w:r>
      <w:r w:rsidR="000A2EBE">
        <w:t xml:space="preserve">those contained in the </w:t>
      </w:r>
      <w:r w:rsidR="009F120A">
        <w:t>version provided by the clerk in response to a request for the “standard mediation agreement</w:t>
      </w:r>
      <w:r w:rsidR="000A2EBE">
        <w:t>.</w:t>
      </w:r>
      <w:r w:rsidR="009F120A">
        <w:t>”</w:t>
      </w:r>
      <w:r w:rsidR="000A2EBE">
        <w:t xml:space="preserve">  </w:t>
      </w:r>
      <w:r w:rsidR="00DD277C">
        <w:t xml:space="preserve">The </w:t>
      </w:r>
      <w:r w:rsidR="00A1295B">
        <w:t xml:space="preserve">standard agreement provides:  </w:t>
      </w:r>
      <w:r w:rsidRPr="00A1295B" w:rsidR="00A1295B">
        <w:t>“The parties agree not to communicate with each other directly or through persons acting on their behalf</w:t>
      </w:r>
      <w:r w:rsidR="009223D6">
        <w:t xml:space="preserve"> . . . .”</w:t>
      </w:r>
      <w:r w:rsidR="000A2EBE">
        <w:t xml:space="preserve"> </w:t>
      </w:r>
      <w:r w:rsidR="00611436">
        <w:t xml:space="preserve"> </w:t>
      </w:r>
      <w:r w:rsidR="0074369D">
        <w:t>Further, although t</w:t>
      </w:r>
      <w:r w:rsidR="003551BA">
        <w:t xml:space="preserve">he standard agreement </w:t>
      </w:r>
      <w:r w:rsidR="00C341F1">
        <w:t xml:space="preserve">does not </w:t>
      </w:r>
      <w:r w:rsidR="003551BA">
        <w:t xml:space="preserve">anticipate </w:t>
      </w:r>
      <w:r w:rsidR="00C341F1">
        <w:t>parties sharing a residential building</w:t>
      </w:r>
      <w:r w:rsidR="0074369D">
        <w:t>, it</w:t>
      </w:r>
      <w:r w:rsidR="00C341F1">
        <w:t xml:space="preserve"> </w:t>
      </w:r>
      <w:r w:rsidR="0074369D">
        <w:t>says:</w:t>
      </w:r>
      <w:r w:rsidR="00C341F1">
        <w:t xml:space="preserve"> </w:t>
      </w:r>
      <w:r w:rsidR="0074369D">
        <w:t xml:space="preserve"> </w:t>
      </w:r>
      <w:r w:rsidR="00C341F1">
        <w:t>“</w:t>
      </w:r>
      <w:r w:rsidR="0074369D">
        <w:t>T</w:t>
      </w:r>
      <w:r w:rsidRPr="00C341F1" w:rsidR="00C341F1">
        <w:t>he parties agree to stay away from each other and their respective property, including but not limited to, their residences, places of employment, and personal property</w:t>
      </w:r>
      <w:r w:rsidR="00AF27D9">
        <w:t>,</w:t>
      </w:r>
      <w:r w:rsidRPr="00C341F1" w:rsidR="00C341F1">
        <w:t>”</w:t>
      </w:r>
      <w:r w:rsidR="00C341F1">
        <w:t xml:space="preserve"> </w:t>
      </w:r>
      <w:r w:rsidR="00C72185">
        <w:t xml:space="preserve">and “[s]hould the parties encounter each other in a public place, they agree to continue </w:t>
      </w:r>
      <w:r w:rsidR="009034BE">
        <w:t>going in their respective directions away from one another.”</w:t>
      </w:r>
      <w:r w:rsidRPr="00514C40" w:rsidR="000A2EBE">
        <w:t xml:space="preserve"> </w:t>
      </w:r>
    </w:p>
    <w:p w:rsidR="000A2EBE" w:rsidRPr="00514C40" w:rsidP="000A2EBE">
      <w:pPr>
        <w:tabs>
          <w:tab w:val="left" w:pos="1440"/>
        </w:tabs>
        <w:ind w:firstLine="720"/>
      </w:pPr>
      <w:r>
        <w:t>T</w:t>
      </w:r>
      <w:r w:rsidRPr="00514C40">
        <w:t xml:space="preserve">he standard-issue mediation agreement </w:t>
      </w:r>
      <w:r w:rsidR="0074369D">
        <w:t xml:space="preserve">also </w:t>
      </w:r>
      <w:r>
        <w:t>has a nondisparagement clause</w:t>
      </w:r>
      <w:r w:rsidR="0074369D">
        <w:t xml:space="preserve"> of sorts</w:t>
      </w:r>
      <w:r>
        <w:t xml:space="preserve">.  </w:t>
      </w:r>
      <w:r w:rsidR="0074369D">
        <w:t>It</w:t>
      </w:r>
      <w:r>
        <w:t xml:space="preserve"> </w:t>
      </w:r>
      <w:r w:rsidRPr="00514C40">
        <w:t xml:space="preserve">provides that the “parties agree to not gossip about each other to anyone.  The parties further agree to not comment . . . about each other to non-governmental 3rd parties unless specifically requested to do so.  If they are asked to comment, they shall refer to each other using neutral terms and shall not use negative words or disparage one another.” </w:t>
      </w:r>
      <w:r w:rsidR="00C613E2">
        <w:t xml:space="preserve"> </w:t>
      </w:r>
      <w:r w:rsidRPr="00514C40">
        <w:t xml:space="preserve">By specifically exempting “governmental 3rd parties” from its ambit, the form makes clear that such agreements are intended to prevent interpersonal third party “gossip” and rumor-spreading, not official filings with legal authorities.  </w:t>
      </w:r>
      <w:r w:rsidR="00377D99">
        <w:t>The similar</w:t>
      </w:r>
      <w:r w:rsidR="0074369D">
        <w:t>ities</w:t>
      </w:r>
      <w:r w:rsidR="00377D99">
        <w:t xml:space="preserve"> </w:t>
      </w:r>
      <w:r w:rsidR="003E7CB7">
        <w:t xml:space="preserve">between </w:t>
      </w:r>
      <w:r w:rsidR="00377D99">
        <w:t xml:space="preserve">Doe and Olson’s agreement </w:t>
      </w:r>
      <w:r w:rsidR="00875F16">
        <w:t>and the standard</w:t>
      </w:r>
      <w:r w:rsidR="00402333">
        <w:t>-issue</w:t>
      </w:r>
      <w:r w:rsidR="00875F16">
        <w:t xml:space="preserve"> form suggest </w:t>
      </w:r>
      <w:r w:rsidR="00402333">
        <w:t xml:space="preserve">that </w:t>
      </w:r>
      <w:r w:rsidR="00875F16">
        <w:t>the parties did</w:t>
      </w:r>
      <w:r w:rsidR="0074369D">
        <w:t xml:space="preserve"> not</w:t>
      </w:r>
      <w:r w:rsidR="00875F16">
        <w:t xml:space="preserve"> intend </w:t>
      </w:r>
      <w:r w:rsidR="003C0B23">
        <w:t xml:space="preserve">something </w:t>
      </w:r>
      <w:r w:rsidR="00875F16">
        <w:t>out of the ordinary</w:t>
      </w:r>
      <w:r w:rsidR="00402333">
        <w:t xml:space="preserve"> </w:t>
      </w:r>
      <w:r w:rsidR="00365540">
        <w:t>with their agreement</w:t>
      </w:r>
      <w:r w:rsidR="001A08E1">
        <w:t>.</w:t>
      </w:r>
      <w:r w:rsidR="00821089">
        <w:t xml:space="preserve"> </w:t>
      </w:r>
      <w:r w:rsidR="00365540">
        <w:t xml:space="preserve"> </w:t>
      </w:r>
      <w:r w:rsidR="00821089">
        <w:t xml:space="preserve">The standard-issue form, moreover, makes clear that </w:t>
      </w:r>
      <w:r w:rsidR="00402333">
        <w:t xml:space="preserve">the typical nondisparagement clause is not intended to apply to </w:t>
      </w:r>
      <w:r w:rsidR="00365540">
        <w:t>litigation conduct</w:t>
      </w:r>
      <w:r w:rsidR="00875F16">
        <w:t>.</w:t>
      </w:r>
    </w:p>
    <w:p w:rsidR="00850C7F" w:rsidRPr="00514C40" w:rsidP="00514C40">
      <w:pPr>
        <w:tabs>
          <w:tab w:val="left" w:pos="1440"/>
        </w:tabs>
        <w:ind w:firstLine="720"/>
      </w:pPr>
      <w:r w:rsidRPr="00514C40">
        <w:t>A</w:t>
      </w:r>
      <w:r w:rsidRPr="00514C40" w:rsidR="009C3E9C">
        <w:t>bsent</w:t>
      </w:r>
      <w:r w:rsidRPr="00514C40" w:rsidR="005C0019">
        <w:t xml:space="preserve"> from</w:t>
      </w:r>
      <w:r w:rsidRPr="00514C40" w:rsidR="00853339">
        <w:t xml:space="preserve"> </w:t>
      </w:r>
      <w:r w:rsidR="00F94C54">
        <w:t xml:space="preserve">either Doe and Olson’s agreement or </w:t>
      </w:r>
      <w:r w:rsidRPr="00514C40" w:rsidR="00853339">
        <w:t xml:space="preserve">the </w:t>
      </w:r>
      <w:r w:rsidR="00F94C54">
        <w:t xml:space="preserve">standard </w:t>
      </w:r>
      <w:r w:rsidRPr="00514C40" w:rsidR="00853339">
        <w:t>mediation agreement</w:t>
      </w:r>
      <w:r w:rsidRPr="00514C40" w:rsidR="00B76892">
        <w:t xml:space="preserve"> are terms providing </w:t>
      </w:r>
      <w:r w:rsidRPr="00514C40" w:rsidR="00B70CB1">
        <w:t>any</w:t>
      </w:r>
      <w:r w:rsidRPr="00514C40" w:rsidR="00B76892">
        <w:t xml:space="preserve"> release from liability</w:t>
      </w:r>
      <w:r w:rsidRPr="00514C40" w:rsidR="008D55FC">
        <w:t xml:space="preserve"> or waiver of claims. </w:t>
      </w:r>
      <w:r w:rsidRPr="00514C40" w:rsidR="00A37B99">
        <w:t xml:space="preserve"> Olson </w:t>
      </w:r>
      <w:r w:rsidRPr="00514C40" w:rsidR="00943D31">
        <w:t>seeks a broad reading</w:t>
      </w:r>
      <w:r w:rsidRPr="00514C40" w:rsidR="00D759F4">
        <w:t xml:space="preserve"> of the nondisparagement clause</w:t>
      </w:r>
      <w:r w:rsidRPr="00514C40" w:rsidR="001F7322">
        <w:t xml:space="preserve">, one </w:t>
      </w:r>
      <w:r w:rsidRPr="00514C40" w:rsidR="00D759F4">
        <w:t xml:space="preserve">that would </w:t>
      </w:r>
      <w:r w:rsidRPr="00514C40" w:rsidR="00060A1E">
        <w:t xml:space="preserve">effectively </w:t>
      </w:r>
      <w:r w:rsidRPr="00514C40" w:rsidR="00A37B99">
        <w:t xml:space="preserve">serve </w:t>
      </w:r>
      <w:r w:rsidRPr="00514C40" w:rsidR="000B67E6">
        <w:t xml:space="preserve">the </w:t>
      </w:r>
      <w:r w:rsidRPr="00514C40" w:rsidR="00A37B99">
        <w:t>purpose</w:t>
      </w:r>
      <w:r w:rsidRPr="00514C40" w:rsidR="000B67E6">
        <w:t xml:space="preserve"> of </w:t>
      </w:r>
      <w:r w:rsidRPr="00514C40" w:rsidR="00991E86">
        <w:t>those</w:t>
      </w:r>
      <w:r w:rsidRPr="00514C40" w:rsidR="005D066D">
        <w:t xml:space="preserve"> missing</w:t>
      </w:r>
      <w:r w:rsidRPr="00514C40" w:rsidR="000B67E6">
        <w:t xml:space="preserve"> terms</w:t>
      </w:r>
      <w:r w:rsidRPr="00514C40" w:rsidR="00895403">
        <w:t>.</w:t>
      </w:r>
      <w:r w:rsidRPr="00514C40" w:rsidR="00274ED9">
        <w:t xml:space="preserve">  Yet we must tread carefully </w:t>
      </w:r>
      <w:r w:rsidRPr="00514C40" w:rsidR="001E0CC8">
        <w:t>in such circumstances.</w:t>
      </w:r>
      <w:r w:rsidRPr="00514C40" w:rsidR="004E3784">
        <w:t xml:space="preserve">  </w:t>
      </w:r>
      <w:r w:rsidRPr="00514C40" w:rsidR="008231CA">
        <w:t>“</w:t>
      </w:r>
      <w:r w:rsidRPr="00514C40" w:rsidR="00A654F1">
        <w:t> ‘</w:t>
      </w:r>
      <w:r w:rsidRPr="00514C40">
        <w:t>R</w:t>
      </w:r>
      <w:r w:rsidRPr="00514C40" w:rsidR="008231CA">
        <w:t xml:space="preserve">elease, indemnity and similar exculpatory provisions are binding on the signatories and enforceable so long as they are </w:t>
      </w:r>
      <w:r w:rsidRPr="00514C40" w:rsidR="001E0CC8">
        <w:t>. . .</w:t>
      </w:r>
      <w:r w:rsidRPr="00514C40" w:rsidR="008231CA">
        <w:t xml:space="preserve"> </w:t>
      </w:r>
      <w:r w:rsidRPr="00514C40" w:rsidR="00A654F1">
        <w:t>“</w:t>
      </w:r>
      <w:r w:rsidRPr="00514C40" w:rsidR="008231CA">
        <w:t xml:space="preserve">clear, explicit and comprehensible in each [of their] essential details. </w:t>
      </w:r>
      <w:r w:rsidRPr="00514C40" w:rsidR="001E0CC8">
        <w:t xml:space="preserve"> </w:t>
      </w:r>
      <w:r w:rsidRPr="00514C40" w:rsidR="008231CA">
        <w:t>Such an agreement, read as a whole, must clearly notify the prospective releasor or indemnitor of the effect of signing the agreement.</w:t>
      </w:r>
      <w:r w:rsidRPr="00514C40" w:rsidR="00A654F1">
        <w:t>” </w:t>
      </w:r>
      <w:r w:rsidRPr="00514C40" w:rsidR="00EC31FB">
        <w:t>’ </w:t>
      </w:r>
      <w:r w:rsidRPr="00514C40" w:rsidR="008231CA">
        <w:t>”</w:t>
      </w:r>
      <w:r w:rsidRPr="00514C40" w:rsidR="00EC31FB">
        <w:t xml:space="preserve">  (</w:t>
      </w:r>
      <w:r w:rsidRPr="00514C40" w:rsidR="008231CA">
        <w:rPr>
          <w:i/>
          <w:iCs/>
        </w:rPr>
        <w:t>Skrbina v. Fleming Companies</w:t>
      </w:r>
      <w:r w:rsidRPr="00514C40" w:rsidR="008231CA">
        <w:t xml:space="preserve"> (1996) 45 Cal.App.4th 1353, 1368</w:t>
      </w:r>
      <w:r w:rsidRPr="00514C40" w:rsidR="00EC31FB">
        <w:t xml:space="preserve">, quoting </w:t>
      </w:r>
      <w:r w:rsidRPr="00514C40" w:rsidR="00EC31FB">
        <w:rPr>
          <w:i/>
          <w:iCs/>
        </w:rPr>
        <w:t>Powers v. Superior Court</w:t>
      </w:r>
      <w:r w:rsidRPr="00514C40" w:rsidR="00EC31FB">
        <w:t xml:space="preserve"> (1987) 196 Cal.App.3d 318, 320.)</w:t>
      </w:r>
      <w:r w:rsidR="00BC3F98">
        <w:t xml:space="preserve"> </w:t>
      </w:r>
      <w:r w:rsidRPr="00514C40" w:rsidR="008231CA">
        <w:t xml:space="preserve"> </w:t>
      </w:r>
      <w:r w:rsidRPr="00514C40" w:rsidR="00AB6E4B">
        <w:t xml:space="preserve">Moreover, </w:t>
      </w:r>
      <w:r w:rsidRPr="00514C40" w:rsidR="00AE5C2C">
        <w:t>according to</w:t>
      </w:r>
      <w:r w:rsidRPr="00514C40" w:rsidR="00A52569">
        <w:t xml:space="preserve"> the terms </w:t>
      </w:r>
      <w:r w:rsidRPr="00514C40" w:rsidR="00805B1C">
        <w:t xml:space="preserve">of </w:t>
      </w:r>
      <w:r w:rsidRPr="00514C40" w:rsidR="002F1A11">
        <w:t>the agreement</w:t>
      </w:r>
      <w:r w:rsidRPr="00514C40">
        <w:t>,</w:t>
      </w:r>
      <w:r w:rsidRPr="00514C40" w:rsidR="002F1A11">
        <w:t xml:space="preserve"> </w:t>
      </w:r>
      <w:r w:rsidRPr="00514C40" w:rsidR="008A2DB1">
        <w:t>Doe’s section 527.6</w:t>
      </w:r>
      <w:r w:rsidRPr="00514C40" w:rsidR="00672F43">
        <w:t xml:space="preserve"> petition </w:t>
      </w:r>
      <w:r w:rsidRPr="00514C40" w:rsidR="00B062E8">
        <w:t>was</w:t>
      </w:r>
      <w:r w:rsidRPr="00514C40" w:rsidR="00672F43">
        <w:t xml:space="preserve"> dismissed “without prejudice,”</w:t>
      </w:r>
      <w:r w:rsidRPr="00514C40" w:rsidR="00D560C1">
        <w:t xml:space="preserve"> in clear contemplation of the potential for further section 527.6 proceedings</w:t>
      </w:r>
      <w:r w:rsidRPr="00514C40" w:rsidR="00104AF1">
        <w:t xml:space="preserve">. </w:t>
      </w:r>
      <w:r w:rsidRPr="00514C40" w:rsidR="00F954F8">
        <w:t xml:space="preserve"> </w:t>
      </w:r>
      <w:r w:rsidR="0074369D">
        <w:t>A</w:t>
      </w:r>
      <w:r w:rsidRPr="00514C40" w:rsidR="00106B31">
        <w:t xml:space="preserve"> broad reading of the nondisparagement</w:t>
      </w:r>
      <w:r w:rsidRPr="00514C40" w:rsidR="00B062E8">
        <w:t xml:space="preserve"> </w:t>
      </w:r>
      <w:r w:rsidRPr="00514C40" w:rsidR="00106B31">
        <w:t>clause</w:t>
      </w:r>
      <w:r w:rsidRPr="00514C40" w:rsidR="0057674B">
        <w:t xml:space="preserve"> would render </w:t>
      </w:r>
      <w:r w:rsidRPr="00514C40" w:rsidR="00AD7DD4">
        <w:t xml:space="preserve">a </w:t>
      </w:r>
      <w:r w:rsidRPr="00514C40" w:rsidR="001D35A6">
        <w:t xml:space="preserve">dismissal </w:t>
      </w:r>
      <w:r w:rsidRPr="00514C40" w:rsidR="0057674B">
        <w:t>without prejudice meaningless</w:t>
      </w:r>
      <w:r w:rsidRPr="00514C40" w:rsidR="00007C6A">
        <w:t xml:space="preserve"> if Doe </w:t>
      </w:r>
      <w:r w:rsidR="0074369D">
        <w:t>c</w:t>
      </w:r>
      <w:r w:rsidRPr="00514C40" w:rsidR="00007C6A">
        <w:t xml:space="preserve">ould be liable for breach of the mediation agreement were she to </w:t>
      </w:r>
      <w:r w:rsidRPr="00514C40" w:rsidR="00B26928">
        <w:t xml:space="preserve">exercise </w:t>
      </w:r>
      <w:r w:rsidRPr="00514C40">
        <w:t xml:space="preserve">her </w:t>
      </w:r>
      <w:r w:rsidRPr="00514C40" w:rsidR="00B26928">
        <w:t>right</w:t>
      </w:r>
      <w:r w:rsidRPr="00514C40" w:rsidR="00E14820">
        <w:t xml:space="preserve"> to</w:t>
      </w:r>
      <w:r w:rsidRPr="00514C40" w:rsidR="00B26928">
        <w:t xml:space="preserve"> </w:t>
      </w:r>
      <w:r w:rsidRPr="00514C40" w:rsidR="00007C6A">
        <w:t xml:space="preserve">seek further section 527.6 relief against Olson or </w:t>
      </w:r>
      <w:r w:rsidRPr="00514C40" w:rsidR="00BE4D5C">
        <w:t xml:space="preserve">against </w:t>
      </w:r>
      <w:r w:rsidRPr="00514C40" w:rsidR="00007C6A">
        <w:t>any other</w:t>
      </w:r>
      <w:r w:rsidRPr="00514C40" w:rsidR="00013652">
        <w:t xml:space="preserve"> party where the </w:t>
      </w:r>
      <w:r w:rsidRPr="00514C40" w:rsidR="00BE7409">
        <w:t xml:space="preserve">underlying </w:t>
      </w:r>
      <w:r w:rsidRPr="00514C40" w:rsidR="00013652">
        <w:t xml:space="preserve">factual </w:t>
      </w:r>
      <w:r w:rsidRPr="00514C40" w:rsidR="00BE7409">
        <w:t xml:space="preserve">allegations touch on </w:t>
      </w:r>
      <w:r w:rsidRPr="00514C40" w:rsidR="00013652">
        <w:t>Olson.</w:t>
      </w:r>
      <w:r w:rsidRPr="00514C40" w:rsidR="00C312D7">
        <w:t xml:space="preserve"> </w:t>
      </w:r>
      <w:r w:rsidRPr="00514C40" w:rsidR="009E4912">
        <w:t xml:space="preserve"> </w:t>
      </w:r>
      <w:r w:rsidR="006E1DC0">
        <w:t>Olson concedes that the mediation agreement does not limit Doe’s ability to file a renewed petition for a restraining order</w:t>
      </w:r>
      <w:r w:rsidR="00451DA0">
        <w:t xml:space="preserve"> against him</w:t>
      </w:r>
      <w:r w:rsidR="0074369D">
        <w:t>;</w:t>
      </w:r>
      <w:r w:rsidR="009C716F">
        <w:t xml:space="preserve"> he agrees </w:t>
      </w:r>
      <w:r w:rsidR="005C763A">
        <w:t xml:space="preserve">that </w:t>
      </w:r>
      <w:r w:rsidR="009C716F">
        <w:t>Doe would not face contract damages for doing so.  But he</w:t>
      </w:r>
      <w:r w:rsidR="00451DA0">
        <w:t xml:space="preserve"> provides no </w:t>
      </w:r>
      <w:r w:rsidR="0073094F">
        <w:t xml:space="preserve">reason to believe the parties intended </w:t>
      </w:r>
      <w:r w:rsidR="00920E64">
        <w:t xml:space="preserve">to permit Doe to make disparaging remarks in one kind of litigation (a subsequent petition for a restraining order) but not in </w:t>
      </w:r>
      <w:r w:rsidR="0074369D">
        <w:t xml:space="preserve">other </w:t>
      </w:r>
      <w:r w:rsidR="00920E64">
        <w:t xml:space="preserve">litigation </w:t>
      </w:r>
      <w:r w:rsidR="0074369D">
        <w:t>seeking</w:t>
      </w:r>
      <w:r w:rsidR="00920E64">
        <w:t xml:space="preserve"> a different type of relief. </w:t>
      </w:r>
    </w:p>
    <w:p w:rsidR="00F54990" w:rsidRPr="00514C40" w:rsidP="00BC3F98">
      <w:pPr>
        <w:ind w:firstLine="720"/>
      </w:pPr>
      <w:r w:rsidRPr="00514C40">
        <w:t xml:space="preserve">The </w:t>
      </w:r>
      <w:r w:rsidR="00A04479">
        <w:t xml:space="preserve">parties’ </w:t>
      </w:r>
      <w:r w:rsidRPr="00514C40">
        <w:t>agreement</w:t>
      </w:r>
      <w:r w:rsidRPr="00514C40" w:rsidR="0031265A">
        <w:t xml:space="preserve">s </w:t>
      </w:r>
      <w:r w:rsidR="0013648F">
        <w:t xml:space="preserve">further </w:t>
      </w:r>
      <w:r w:rsidR="00D41F6A">
        <w:t>suggest</w:t>
      </w:r>
      <w:r w:rsidRPr="00514C40" w:rsidR="00C75876">
        <w:t xml:space="preserve"> </w:t>
      </w:r>
      <w:r w:rsidRPr="00514C40" w:rsidR="0006104A">
        <w:t>that the</w:t>
      </w:r>
      <w:r w:rsidR="00A04479">
        <w:t>y</w:t>
      </w:r>
      <w:r w:rsidRPr="00514C40" w:rsidR="0006104A">
        <w:t xml:space="preserve"> contemplated the possibility of future litigation outside of section 527.6 proceedings.  </w:t>
      </w:r>
      <w:r w:rsidR="00AC1974">
        <w:t>The</w:t>
      </w:r>
      <w:r w:rsidRPr="00514C40" w:rsidR="001A47C9">
        <w:t xml:space="preserve"> “Mediation/Confidentiality Agreement” </w:t>
      </w:r>
      <w:r w:rsidR="005E0211">
        <w:t xml:space="preserve">between </w:t>
      </w:r>
      <w:r w:rsidRPr="00514C40" w:rsidR="00AC1974">
        <w:t xml:space="preserve">Doe and Olson </w:t>
      </w:r>
      <w:r w:rsidR="005E0211">
        <w:t>says that</w:t>
      </w:r>
      <w:r w:rsidRPr="00514C40" w:rsidR="000479F6">
        <w:t xml:space="preserve"> “each party </w:t>
      </w:r>
      <w:r w:rsidR="008C5EB3">
        <w:t>. . .</w:t>
      </w:r>
      <w:r w:rsidRPr="00514C40" w:rsidR="000479F6">
        <w:t xml:space="preserve"> understands and acknowledges that evidence presented during this mediation may be verified outside of the mediation process and used as evidence in </w:t>
      </w:r>
      <w:r w:rsidRPr="00BC3F98" w:rsidR="000479F6">
        <w:rPr>
          <w:i/>
          <w:iCs/>
        </w:rPr>
        <w:t>subsequent legal proceedings</w:t>
      </w:r>
      <w:r w:rsidRPr="00514C40" w:rsidR="000479F6">
        <w:t xml:space="preserve">.”  </w:t>
      </w:r>
      <w:r w:rsidRPr="00514C40" w:rsidR="00404C76">
        <w:t xml:space="preserve">(Italics added.)  </w:t>
      </w:r>
      <w:r w:rsidRPr="00514C40" w:rsidR="000479F6">
        <w:t xml:space="preserve">The mediation agreement itself </w:t>
      </w:r>
      <w:r w:rsidRPr="00514C40">
        <w:t>also specifically provide</w:t>
      </w:r>
      <w:r w:rsidR="005E0211">
        <w:t>s</w:t>
      </w:r>
      <w:r w:rsidRPr="00514C40" w:rsidR="002E4544">
        <w:t>, immediately above the signature line,</w:t>
      </w:r>
      <w:r w:rsidRPr="00514C40">
        <w:t xml:space="preserve"> that “this written settlement may be disclosed in a court of law.  Upon disclosure, this agreement may be admitted as evidence and/or enforced as determined to be appropriate by the court.”  </w:t>
      </w:r>
      <w:r w:rsidRPr="00514C40" w:rsidR="009930D5">
        <w:t xml:space="preserve">Thus, the </w:t>
      </w:r>
      <w:r w:rsidR="009930D5">
        <w:t xml:space="preserve">parties’ </w:t>
      </w:r>
      <w:r w:rsidRPr="00514C40" w:rsidR="009930D5">
        <w:t>agreement</w:t>
      </w:r>
      <w:r w:rsidR="009930D5">
        <w:t>s</w:t>
      </w:r>
      <w:r w:rsidRPr="00514C40" w:rsidR="009930D5">
        <w:t xml:space="preserve"> as a whole counsel against an expansive reading</w:t>
      </w:r>
      <w:r w:rsidR="009930D5">
        <w:t xml:space="preserve"> of the nondisparagement clause</w:t>
      </w:r>
      <w:r w:rsidRPr="00514C40" w:rsidR="009930D5">
        <w:t>.</w:t>
      </w:r>
    </w:p>
    <w:p w:rsidR="009D1B86" w:rsidRPr="00514C40" w:rsidP="00514C40">
      <w:pPr>
        <w:tabs>
          <w:tab w:val="left" w:pos="1440"/>
        </w:tabs>
        <w:ind w:firstLine="720"/>
      </w:pPr>
      <w:r w:rsidRPr="00514C40">
        <w:t>Second,</w:t>
      </w:r>
      <w:r w:rsidRPr="00514C40" w:rsidR="000309FB">
        <w:t xml:space="preserve"> the mediation agreement is inextricably linked </w:t>
      </w:r>
      <w:r w:rsidRPr="00514C40" w:rsidR="00DB17C8">
        <w:t>to the</w:t>
      </w:r>
      <w:r w:rsidRPr="00514C40" w:rsidR="00EC4D6F">
        <w:t xml:space="preserve"> broader</w:t>
      </w:r>
      <w:r w:rsidRPr="00514C40" w:rsidR="00DB17C8">
        <w:t xml:space="preserve"> context in which it was negotiated</w:t>
      </w:r>
      <w:r w:rsidR="00ED4D10">
        <w:t> </w:t>
      </w:r>
      <w:r w:rsidRPr="00514C40" w:rsidR="00DB17C8">
        <w:t xml:space="preserve">— </w:t>
      </w:r>
      <w:r w:rsidRPr="00514C40" w:rsidR="002468B8">
        <w:t xml:space="preserve">i.e., in </w:t>
      </w:r>
      <w:r w:rsidRPr="00514C40" w:rsidR="00DB17C8">
        <w:t xml:space="preserve">a proceeding for a civil harassment restraining order.  </w:t>
      </w:r>
      <w:r w:rsidRPr="00514C40" w:rsidR="00B466ED">
        <w:t xml:space="preserve">This context is critical.  </w:t>
      </w:r>
      <w:r w:rsidRPr="00514C40" w:rsidR="00CD27A6">
        <w:t>(See Civ. Code, § 1647 [“A contract may be explained by reference to the circumstances under which it was made, and the matter to which it relates.”];</w:t>
      </w:r>
      <w:r w:rsidRPr="00514C40" w:rsidR="00B466ED">
        <w:t xml:space="preserve"> </w:t>
      </w:r>
      <w:r w:rsidRPr="00514C40" w:rsidR="00CD27A6">
        <w:rPr>
          <w:i/>
          <w:iCs/>
        </w:rPr>
        <w:t>id.</w:t>
      </w:r>
      <w:r w:rsidR="0092270C">
        <w:t>,</w:t>
      </w:r>
      <w:r w:rsidRPr="00514C40" w:rsidR="00B466ED">
        <w:t xml:space="preserve"> §</w:t>
      </w:r>
      <w:r w:rsidRPr="00514C40" w:rsidR="00CD27A6">
        <w:t> </w:t>
      </w:r>
      <w:r w:rsidRPr="00514C40" w:rsidR="00B466ED">
        <w:t xml:space="preserve">1648 [“However broad may be the terms of a contract, it extends only to those things concerning which it appears that the parties intended to contract.”].)  </w:t>
      </w:r>
      <w:r w:rsidRPr="00514C40" w:rsidR="00412274">
        <w:t>S</w:t>
      </w:r>
      <w:r w:rsidRPr="00514C40" w:rsidR="00EC2AB3">
        <w:t xml:space="preserve">uch </w:t>
      </w:r>
      <w:r w:rsidR="0093173F">
        <w:t xml:space="preserve">a </w:t>
      </w:r>
      <w:r w:rsidRPr="00514C40">
        <w:t xml:space="preserve">proceeding </w:t>
      </w:r>
      <w:r w:rsidR="0093173F">
        <w:t xml:space="preserve">is </w:t>
      </w:r>
      <w:r w:rsidRPr="00514C40" w:rsidR="00195EB1">
        <w:t xml:space="preserve">statutorily designed to </w:t>
      </w:r>
      <w:r w:rsidRPr="00514C40" w:rsidR="00B77704">
        <w:t xml:space="preserve">narrowly focus on </w:t>
      </w:r>
      <w:r w:rsidRPr="00514C40">
        <w:t>interpersonal conflict</w:t>
      </w:r>
      <w:r w:rsidRPr="00514C40" w:rsidR="007B3763">
        <w:t xml:space="preserve">.  </w:t>
      </w:r>
      <w:r w:rsidR="0093173F">
        <w:t>Its</w:t>
      </w:r>
      <w:r w:rsidRPr="00514C40" w:rsidR="0093173F">
        <w:t xml:space="preserve"> </w:t>
      </w:r>
      <w:r w:rsidRPr="00514C40" w:rsidR="00C206C3">
        <w:t>purpose</w:t>
      </w:r>
      <w:r w:rsidRPr="00514C40" w:rsidR="00987EEC">
        <w:t>, when warranted by the circumstances,</w:t>
      </w:r>
      <w:r w:rsidRPr="00514C40" w:rsidR="00C206C3">
        <w:t xml:space="preserve"> is to</w:t>
      </w:r>
      <w:r w:rsidRPr="00514C40" w:rsidR="00502F2D">
        <w:t xml:space="preserve"> </w:t>
      </w:r>
      <w:r w:rsidRPr="00514C40" w:rsidR="00217C2B">
        <w:t>prevent threatened fu</w:t>
      </w:r>
      <w:r w:rsidRPr="00514C40" w:rsidR="00195EB1">
        <w:t>ture injury</w:t>
      </w:r>
      <w:r w:rsidRPr="00514C40" w:rsidR="00502F2D">
        <w:t xml:space="preserve"> through a</w:t>
      </w:r>
      <w:r w:rsidRPr="00514C40" w:rsidR="00341511">
        <w:t xml:space="preserve"> resulting </w:t>
      </w:r>
      <w:r w:rsidRPr="00514C40" w:rsidR="00793CA0">
        <w:t>“</w:t>
      </w:r>
      <w:r w:rsidRPr="00514C40" w:rsidR="00341511">
        <w:t xml:space="preserve">order </w:t>
      </w:r>
      <w:r w:rsidRPr="00514C40" w:rsidR="00793CA0">
        <w:t xml:space="preserve">enjoining a party from </w:t>
      </w:r>
      <w:r w:rsidRPr="00514C40">
        <w:t>harassing, intimidating, molesting, attacking, striking, stalking, threatening, sexually assaulting, battering, abusing</w:t>
      </w:r>
      <w:r w:rsidRPr="00514C40" w:rsidR="009B5D72">
        <w:t>, telephoning, including, but not limited to, making annoying telephone calls, as described in Section 653m of the Penal Code, destroying personal property, contacting, either directly or indirectly, by mail or otherwise, or coming within a specified distance of, or disturbing the peace of, the petitione</w:t>
      </w:r>
      <w:r w:rsidRPr="00514C40">
        <w:t>r.</w:t>
      </w:r>
      <w:r w:rsidRPr="00514C40" w:rsidR="00960D8B">
        <w:t>”</w:t>
      </w:r>
      <w:r w:rsidRPr="00514C40">
        <w:t xml:space="preserve"> </w:t>
      </w:r>
      <w:r w:rsidRPr="00514C40" w:rsidR="009B5D72">
        <w:t xml:space="preserve"> </w:t>
      </w:r>
      <w:r w:rsidRPr="00514C40">
        <w:t>(§ 527.6, subd. (b)(6)(A).)</w:t>
      </w:r>
    </w:p>
    <w:p w:rsidR="00836A6A" w:rsidRPr="00514C40" w:rsidP="00514C40">
      <w:pPr>
        <w:tabs>
          <w:tab w:val="left" w:pos="1440"/>
        </w:tabs>
        <w:ind w:firstLine="720"/>
      </w:pPr>
      <w:r w:rsidRPr="00514C40">
        <w:t xml:space="preserve">The narrow focus </w:t>
      </w:r>
      <w:r w:rsidRPr="00514C40" w:rsidR="00A73A86">
        <w:t xml:space="preserve">of these proceedings is communicated to petitioners through instructions </w:t>
      </w:r>
      <w:r w:rsidRPr="00514C40" w:rsidR="00AD7D34">
        <w:t>issued by the Judicial Council</w:t>
      </w:r>
      <w:r w:rsidRPr="00514C40" w:rsidR="00477ED7">
        <w:t xml:space="preserve">. </w:t>
      </w:r>
      <w:r w:rsidRPr="00514C40" w:rsidR="004D5ADA">
        <w:t xml:space="preserve"> </w:t>
      </w:r>
      <w:r w:rsidR="00B64508">
        <w:t>Judicial Council f</w:t>
      </w:r>
      <w:r w:rsidRPr="00514C40" w:rsidR="004D5ADA">
        <w:t>orm CH-100-INFO explains that the purpose of a civil harassment restraining order is to “protect people from harassment.”</w:t>
      </w:r>
      <w:r w:rsidRPr="00514C40" w:rsidR="004B7963">
        <w:t xml:space="preserve">  </w:t>
      </w:r>
      <w:r w:rsidRPr="00514C40" w:rsidR="00703D21">
        <w:t>The instructions explain that i</w:t>
      </w:r>
      <w:r w:rsidRPr="00514C40" w:rsidR="001B5ABC">
        <w:t>n a civil harassment case</w:t>
      </w:r>
      <w:r w:rsidRPr="00514C40" w:rsidR="00703D21">
        <w:t xml:space="preserve">, the court can </w:t>
      </w:r>
      <w:r w:rsidRPr="00514C40" w:rsidR="007C313C">
        <w:t>“order a person to</w:t>
      </w:r>
      <w:r w:rsidR="00B64508">
        <w:t xml:space="preserve"> . . . [</w:t>
      </w:r>
      <w:r w:rsidR="00B64508">
        <w:rPr>
          <w:rFonts w:ascii="Verdana" w:hAnsi="Verdana"/>
        </w:rPr>
        <w:t>¶</w:t>
      </w:r>
      <w:r w:rsidR="00B64508">
        <w:t>]</w:t>
      </w:r>
      <w:r w:rsidRPr="00514C40" w:rsidR="007C313C">
        <w:t xml:space="preserve"> [n]ot harass or threaten you</w:t>
      </w:r>
      <w:r w:rsidR="00B64508">
        <w:t>[</w:t>
      </w:r>
      <w:r w:rsidRPr="00514C40" w:rsidR="007C313C">
        <w:t>,</w:t>
      </w:r>
      <w:r w:rsidR="00B64508">
        <w:t>] [</w:t>
      </w:r>
      <w:r w:rsidR="00B64508">
        <w:rPr>
          <w:rFonts w:ascii="Verdana" w:hAnsi="Verdana"/>
        </w:rPr>
        <w:t>¶</w:t>
      </w:r>
      <w:r w:rsidR="00B64508">
        <w:t>]</w:t>
      </w:r>
      <w:r w:rsidRPr="00514C40" w:rsidR="007C313C">
        <w:t xml:space="preserve"> [n]ot contact or go near you, </w:t>
      </w:r>
      <w:r w:rsidRPr="00AD7D99" w:rsidR="007C313C">
        <w:rPr>
          <w:i/>
          <w:iCs/>
        </w:rPr>
        <w:t>and</w:t>
      </w:r>
      <w:r w:rsidRPr="00514C40" w:rsidR="007C313C">
        <w:t xml:space="preserve"> </w:t>
      </w:r>
      <w:r w:rsidR="00B64508">
        <w:t>[</w:t>
      </w:r>
      <w:r w:rsidR="00B64508">
        <w:rPr>
          <w:rFonts w:ascii="Verdana" w:hAnsi="Verdana"/>
        </w:rPr>
        <w:t>¶</w:t>
      </w:r>
      <w:r w:rsidR="00B64508">
        <w:t>]</w:t>
      </w:r>
      <w:r w:rsidRPr="00514C40" w:rsidR="00B64508">
        <w:t xml:space="preserve"> </w:t>
      </w:r>
      <w:r w:rsidRPr="00514C40" w:rsidR="007C313C">
        <w:t>[n]ot have a gun.”</w:t>
      </w:r>
      <w:r w:rsidRPr="00514C40" w:rsidR="00EA7589">
        <w:t xml:space="preserve">  But the court cannot, among other things, “[o]rder a person to pay money that he or she owes you.”</w:t>
      </w:r>
    </w:p>
    <w:p w:rsidR="000B6128" w:rsidRPr="00514C40" w:rsidP="00514C40">
      <w:pPr>
        <w:tabs>
          <w:tab w:val="left" w:pos="1440"/>
        </w:tabs>
        <w:ind w:firstLine="720"/>
      </w:pPr>
      <w:r>
        <w:t>That t</w:t>
      </w:r>
      <w:r w:rsidRPr="00514C40" w:rsidR="00815FE8">
        <w:t>he petitioner in a</w:t>
      </w:r>
      <w:r w:rsidRPr="00514C40" w:rsidR="00B20F8F">
        <w:t xml:space="preserve"> </w:t>
      </w:r>
      <w:r w:rsidRPr="00514C40" w:rsidR="00C33E32">
        <w:t>section 527.6</w:t>
      </w:r>
      <w:r w:rsidRPr="00514C40" w:rsidR="00B20F8F">
        <w:t xml:space="preserve"> proceeding</w:t>
      </w:r>
      <w:r w:rsidRPr="00514C40" w:rsidR="00E839EC">
        <w:t xml:space="preserve"> has no ability to</w:t>
      </w:r>
      <w:r w:rsidRPr="00514C40" w:rsidR="000E604D">
        <w:t xml:space="preserve"> seek</w:t>
      </w:r>
      <w:r w:rsidRPr="00514C40" w:rsidR="009902D6">
        <w:t>, and the court has no authority to order,</w:t>
      </w:r>
      <w:r w:rsidRPr="00514C40" w:rsidR="000E604D">
        <w:t xml:space="preserve"> redress</w:t>
      </w:r>
      <w:r w:rsidRPr="00514C40" w:rsidR="009902D6">
        <w:t xml:space="preserve"> </w:t>
      </w:r>
      <w:r w:rsidRPr="00514C40" w:rsidR="00D9661E">
        <w:t>of past wrongs</w:t>
      </w:r>
      <w:r w:rsidRPr="00514C40" w:rsidR="00B20F8F">
        <w:t xml:space="preserve"> </w:t>
      </w:r>
      <w:r w:rsidR="00D55D38">
        <w:t>through</w:t>
      </w:r>
      <w:r w:rsidRPr="00514C40" w:rsidR="00317CEC">
        <w:t xml:space="preserve"> damages or otherwise</w:t>
      </w:r>
      <w:r w:rsidRPr="00514C40" w:rsidR="009178FD">
        <w:t xml:space="preserve"> </w:t>
      </w:r>
      <w:r w:rsidR="00D55D38">
        <w:t>does not mean</w:t>
      </w:r>
      <w:r w:rsidRPr="00514C40" w:rsidR="009178FD">
        <w:t xml:space="preserve"> that </w:t>
      </w:r>
      <w:r w:rsidRPr="00514C40" w:rsidR="00815FE8">
        <w:t xml:space="preserve">a </w:t>
      </w:r>
      <w:r w:rsidRPr="00514C40" w:rsidR="009178FD">
        <w:t>petitioner</w:t>
      </w:r>
      <w:r w:rsidRPr="00514C40" w:rsidR="00B7222B">
        <w:t xml:space="preserve"> waive</w:t>
      </w:r>
      <w:r w:rsidRPr="00514C40" w:rsidR="00A52C25">
        <w:t>s</w:t>
      </w:r>
      <w:r w:rsidRPr="00514C40" w:rsidR="00B7222B">
        <w:t xml:space="preserve"> </w:t>
      </w:r>
      <w:r w:rsidR="00D55D38">
        <w:t>the</w:t>
      </w:r>
      <w:r w:rsidRPr="00514C40" w:rsidR="00815FE8">
        <w:t xml:space="preserve"> </w:t>
      </w:r>
      <w:r w:rsidRPr="00514C40" w:rsidR="00B7222B">
        <w:t xml:space="preserve">right to </w:t>
      </w:r>
      <w:r w:rsidRPr="00514C40" w:rsidR="005D7377">
        <w:t xml:space="preserve">separately </w:t>
      </w:r>
      <w:r w:rsidRPr="00514C40" w:rsidR="00B7222B">
        <w:t xml:space="preserve">seek such </w:t>
      </w:r>
      <w:r w:rsidRPr="00514C40" w:rsidR="009D424B">
        <w:t>other remedies</w:t>
      </w:r>
      <w:r w:rsidRPr="00514C40" w:rsidR="00B7222B">
        <w:t xml:space="preserve"> merely by </w:t>
      </w:r>
      <w:r w:rsidR="00D55D38">
        <w:t>utilizing</w:t>
      </w:r>
      <w:r w:rsidRPr="00514C40" w:rsidR="00B7222B">
        <w:t xml:space="preserve"> th</w:t>
      </w:r>
      <w:r w:rsidRPr="00514C40" w:rsidR="009C0D9B">
        <w:t xml:space="preserve">is specialized </w:t>
      </w:r>
      <w:r w:rsidRPr="00514C40" w:rsidR="00C02AF0">
        <w:t xml:space="preserve">statutory </w:t>
      </w:r>
      <w:r w:rsidRPr="00514C40" w:rsidR="009C0D9B">
        <w:t>procedure</w:t>
      </w:r>
      <w:r w:rsidRPr="00514C40" w:rsidR="00226386">
        <w:t xml:space="preserve"> for imminent injunctive relief</w:t>
      </w:r>
      <w:r w:rsidRPr="00514C40" w:rsidR="009C0D9B">
        <w:t xml:space="preserve">. </w:t>
      </w:r>
      <w:r w:rsidRPr="00514C40" w:rsidR="00B9022E">
        <w:t xml:space="preserve"> </w:t>
      </w:r>
      <w:r w:rsidR="00D55D38">
        <w:t xml:space="preserve">To </w:t>
      </w:r>
      <w:r w:rsidRPr="00514C40" w:rsidR="00B9022E">
        <w:t xml:space="preserve">the contrary, the statute </w:t>
      </w:r>
      <w:r w:rsidRPr="00514C40" w:rsidR="009D1B86">
        <w:t>expressly</w:t>
      </w:r>
      <w:r w:rsidRPr="00514C40" w:rsidR="002D1D57">
        <w:t xml:space="preserve"> provides that “a petitioner” is “</w:t>
      </w:r>
      <w:r w:rsidRPr="00514C40" w:rsidR="009D1B86">
        <w:t>not preclude</w:t>
      </w:r>
      <w:r w:rsidRPr="00514C40" w:rsidR="002D1D57">
        <w:t xml:space="preserve">[d] </w:t>
      </w:r>
      <w:r w:rsidRPr="00514C40" w:rsidR="009D1B86">
        <w:t>from using other existing civil remedies</w:t>
      </w:r>
      <w:r w:rsidRPr="00514C40" w:rsidR="002D1D57">
        <w:t>.</w:t>
      </w:r>
      <w:r w:rsidRPr="00514C40" w:rsidR="009D1B86">
        <w:t xml:space="preserve">” </w:t>
      </w:r>
      <w:r w:rsidRPr="00514C40" w:rsidR="002D1D57">
        <w:t xml:space="preserve"> </w:t>
      </w:r>
      <w:r w:rsidRPr="00514C40" w:rsidR="009D1B86">
        <w:t>(§</w:t>
      </w:r>
      <w:r w:rsidRPr="00514C40" w:rsidR="002D1D57">
        <w:t> </w:t>
      </w:r>
      <w:r w:rsidRPr="00514C40" w:rsidR="009D1B86">
        <w:t>527.6, subd.</w:t>
      </w:r>
      <w:r w:rsidRPr="00514C40" w:rsidR="002D1D57">
        <w:t> </w:t>
      </w:r>
      <w:r w:rsidRPr="00514C40" w:rsidR="009D1B86">
        <w:t>(w)</w:t>
      </w:r>
      <w:r w:rsidRPr="00514C40" w:rsidR="002D1D57">
        <w:t>.)</w:t>
      </w:r>
      <w:r w:rsidRPr="00514C40" w:rsidR="00930376">
        <w:t xml:space="preserve">  “</w:t>
      </w:r>
      <w:r w:rsidR="00D55D38">
        <w:t>S</w:t>
      </w:r>
      <w:r w:rsidRPr="00514C40" w:rsidR="00930376">
        <w:t xml:space="preserve">ection 527.6 was passed to </w:t>
      </w:r>
      <w:r w:rsidRPr="00514C40" w:rsidR="00930376">
        <w:rPr>
          <w:i/>
          <w:iCs/>
        </w:rPr>
        <w:t>supplement</w:t>
      </w:r>
      <w:r w:rsidRPr="00514C40" w:rsidR="00930376">
        <w:t xml:space="preserve"> the existing common law torts of invasion of privacy and intentional infliction of emotional distress by providing quick relief to harassment victims threatened with great or irreparable injury</w:t>
      </w:r>
      <w:r w:rsidRPr="00514C40" w:rsidR="005A6594">
        <w:t>,” not to supplant</w:t>
      </w:r>
      <w:r w:rsidRPr="00514C40" w:rsidR="00E92DF3">
        <w:t xml:space="preserve"> those</w:t>
      </w:r>
      <w:r w:rsidRPr="00514C40" w:rsidR="005501B1">
        <w:t xml:space="preserve"> complementary</w:t>
      </w:r>
      <w:r w:rsidRPr="00514C40" w:rsidR="00235A6D">
        <w:t xml:space="preserve"> remedies</w:t>
      </w:r>
      <w:r w:rsidRPr="00514C40" w:rsidR="00930376">
        <w:t>.</w:t>
      </w:r>
      <w:r w:rsidRPr="00514C40" w:rsidR="00554CE8">
        <w:t xml:space="preserve"> </w:t>
      </w:r>
      <w:r w:rsidRPr="00514C40" w:rsidR="00554CE8">
        <w:t> </w:t>
      </w:r>
      <w:r w:rsidRPr="00514C40" w:rsidR="002849F1">
        <w:t>(</w:t>
      </w:r>
      <w:r w:rsidRPr="00514C40" w:rsidR="00554CE8">
        <w:rPr>
          <w:i/>
          <w:iCs/>
        </w:rPr>
        <w:t>Grant v. Clampitt</w:t>
      </w:r>
      <w:r w:rsidRPr="00514C40" w:rsidR="00554CE8">
        <w:t xml:space="preserve"> (1997) 56 Cal.App.4th 586</w:t>
      </w:r>
      <w:r w:rsidRPr="00514C40" w:rsidR="002849F1">
        <w:t xml:space="preserve">, </w:t>
      </w:r>
      <w:r w:rsidRPr="00514C40" w:rsidR="006B50DE">
        <w:t xml:space="preserve">591, </w:t>
      </w:r>
      <w:r w:rsidRPr="00514C40" w:rsidR="00B55E6D">
        <w:t xml:space="preserve">italics </w:t>
      </w:r>
      <w:r w:rsidRPr="00514C40" w:rsidR="006B50DE">
        <w:t>added.)</w:t>
      </w:r>
    </w:p>
    <w:p w:rsidR="006E5BFB" w:rsidRPr="00514C40" w:rsidP="00514C40">
      <w:pPr>
        <w:tabs>
          <w:tab w:val="left" w:pos="1440"/>
        </w:tabs>
        <w:ind w:firstLine="720"/>
      </w:pPr>
      <w:r w:rsidRPr="00514C40">
        <w:t>“</w:t>
      </w:r>
      <w:r w:rsidRPr="00514C40" w:rsidR="006B512C">
        <w:t xml:space="preserve">Compromise agreements are, of course, </w:t>
      </w:r>
      <w:r w:rsidRPr="00514C40">
        <w:t>‘</w:t>
      </w:r>
      <w:r w:rsidRPr="00514C40" w:rsidR="006B512C">
        <w:t>governed by the legal principles applicable to contracts generally</w:t>
      </w:r>
      <w:r w:rsidRPr="00514C40">
        <w:t>’</w:t>
      </w:r>
      <w:r w:rsidRPr="00514C40" w:rsidR="00B265EC">
        <w:t xml:space="preserve"> . . . [and]</w:t>
      </w:r>
      <w:r w:rsidRPr="00514C40" w:rsidR="006B512C">
        <w:t xml:space="preserve"> </w:t>
      </w:r>
      <w:r w:rsidRPr="00514C40" w:rsidR="00B265EC">
        <w:t>‘</w:t>
      </w:r>
      <w:r w:rsidRPr="00514C40" w:rsidR="006B512C">
        <w:t>regulate and settle only such matters and differences as appear clearly to be comprehended in them by the intention of the parties and the necessary consequences thereof, and do not extend to matters which the parties never intended to include therein, although existing at the time.</w:t>
      </w:r>
      <w:r w:rsidRPr="00514C40" w:rsidR="00B265EC">
        <w:t>’ </w:t>
      </w:r>
      <w:r w:rsidRPr="00514C40" w:rsidR="006B512C">
        <w:t>”</w:t>
      </w:r>
      <w:r w:rsidRPr="00514C40" w:rsidR="00B265EC">
        <w:t xml:space="preserve">  (</w:t>
      </w:r>
      <w:r w:rsidRPr="00B618F2" w:rsidR="006B512C">
        <w:rPr>
          <w:i/>
          <w:iCs/>
        </w:rPr>
        <w:t>Folsom v. Butte County Assn. of Governments</w:t>
      </w:r>
      <w:r w:rsidRPr="00514C40" w:rsidR="006B512C">
        <w:t xml:space="preserve"> (1982) 32 Cal.3d 668, 677</w:t>
      </w:r>
      <w:r w:rsidRPr="00514C40" w:rsidR="00B265EC">
        <w:t xml:space="preserve">.)  </w:t>
      </w:r>
      <w:r w:rsidRPr="00514C40" w:rsidR="00B9703A">
        <w:t>We</w:t>
      </w:r>
      <w:r w:rsidRPr="00514C40" w:rsidR="00694787">
        <w:t xml:space="preserve"> have applied this principle in a </w:t>
      </w:r>
      <w:r w:rsidRPr="00514C40" w:rsidR="00A62ABF">
        <w:t>somewhat analogous context</w:t>
      </w:r>
      <w:r w:rsidRPr="00514C40" w:rsidR="00003255">
        <w:t xml:space="preserve"> </w:t>
      </w:r>
      <w:r w:rsidRPr="00514C40" w:rsidR="00694787">
        <w:t xml:space="preserve">where </w:t>
      </w:r>
      <w:r w:rsidRPr="00514C40" w:rsidR="00003255">
        <w:t>we considered the meaning of the standard language</w:t>
      </w:r>
      <w:r w:rsidRPr="00514C40" w:rsidR="002864A1">
        <w:t xml:space="preserve"> used to release</w:t>
      </w:r>
      <w:r w:rsidRPr="00514C40" w:rsidR="00003255">
        <w:t xml:space="preserve"> </w:t>
      </w:r>
      <w:r w:rsidRPr="00514C40" w:rsidR="002864A1">
        <w:t xml:space="preserve">claims and </w:t>
      </w:r>
      <w:r w:rsidRPr="00514C40" w:rsidR="00003255">
        <w:t xml:space="preserve">causes of action </w:t>
      </w:r>
      <w:r w:rsidRPr="00514C40" w:rsidR="000957F5">
        <w:t>in workers’ compensation settlement</w:t>
      </w:r>
      <w:r w:rsidRPr="00514C40" w:rsidR="002B2AFB">
        <w:t>s</w:t>
      </w:r>
      <w:r w:rsidRPr="00514C40" w:rsidR="000957F5">
        <w:t>.</w:t>
      </w:r>
      <w:r w:rsidRPr="00514C40" w:rsidR="009A5021">
        <w:t xml:space="preserve">  </w:t>
      </w:r>
      <w:r w:rsidRPr="00514C40" w:rsidR="005123B0">
        <w:t>(</w:t>
      </w:r>
      <w:r w:rsidRPr="00514C40" w:rsidR="003B6CB2">
        <w:t xml:space="preserve">See </w:t>
      </w:r>
      <w:r w:rsidRPr="00514C40" w:rsidR="005123B0">
        <w:rPr>
          <w:i/>
          <w:iCs/>
        </w:rPr>
        <w:t>Claxton v. Waters</w:t>
      </w:r>
      <w:r w:rsidRPr="00514C40" w:rsidR="005123B0">
        <w:t xml:space="preserve"> (2004) 34</w:t>
      </w:r>
      <w:r w:rsidRPr="00514C40" w:rsidR="001273B4">
        <w:t> </w:t>
      </w:r>
      <w:r w:rsidRPr="00514C40" w:rsidR="005123B0">
        <w:t>Cal.4th 367.)  Despite the broad language</w:t>
      </w:r>
      <w:r w:rsidRPr="00514C40" w:rsidR="003377D7">
        <w:t xml:space="preserve"> </w:t>
      </w:r>
      <w:r w:rsidRPr="00514C40" w:rsidR="00BC3907">
        <w:t xml:space="preserve">of the release </w:t>
      </w:r>
      <w:r w:rsidRPr="00514C40" w:rsidR="003377D7">
        <w:t>at issue</w:t>
      </w:r>
      <w:r w:rsidRPr="00514C40" w:rsidR="005123B0">
        <w:t xml:space="preserve"> </w:t>
      </w:r>
      <w:r w:rsidRPr="00514C40" w:rsidR="00180949">
        <w:t xml:space="preserve">in </w:t>
      </w:r>
      <w:r w:rsidRPr="00514C40" w:rsidR="00180949">
        <w:rPr>
          <w:i/>
          <w:iCs/>
        </w:rPr>
        <w:t>Claxton</w:t>
      </w:r>
      <w:r w:rsidR="00ED4D10">
        <w:t> </w:t>
      </w:r>
      <w:r w:rsidRPr="00514C40" w:rsidR="00180949">
        <w:t xml:space="preserve">— </w:t>
      </w:r>
      <w:r w:rsidRPr="00514C40" w:rsidR="00777800">
        <w:t>“</w:t>
      </w:r>
      <w:r w:rsidR="00ED4D10">
        <w:t> </w:t>
      </w:r>
      <w:r w:rsidR="00453939">
        <w:t>‘</w:t>
      </w:r>
      <w:r w:rsidRPr="00514C40" w:rsidR="00777800">
        <w:t>releas[ing]</w:t>
      </w:r>
      <w:r w:rsidRPr="00514C40" w:rsidR="005123B0">
        <w:t xml:space="preserve"> and forever </w:t>
      </w:r>
      <w:r w:rsidRPr="00514C40" w:rsidR="00777800">
        <w:t>discharg[ing]</w:t>
      </w:r>
      <w:r w:rsidRPr="00514C40" w:rsidR="005123B0">
        <w:t xml:space="preserve"> said employer and insurance carrier from all claims and causes of action, whether now known or ascertained, or which may hereafter arise or develop as a result of said injury</w:t>
      </w:r>
      <w:r w:rsidR="00453939">
        <w:t>’ </w:t>
      </w:r>
      <w:r w:rsidRPr="00514C40" w:rsidR="00777800">
        <w:t>”</w:t>
      </w:r>
      <w:r w:rsidR="00ED4D10">
        <w:t> </w:t>
      </w:r>
      <w:r w:rsidRPr="00514C40" w:rsidR="00180949">
        <w:t>—</w:t>
      </w:r>
      <w:r w:rsidRPr="00514C40" w:rsidR="00775CA2">
        <w:t xml:space="preserve"> we held that </w:t>
      </w:r>
      <w:r w:rsidRPr="00514C40" w:rsidR="00033B46">
        <w:t xml:space="preserve">it </w:t>
      </w:r>
      <w:r w:rsidRPr="00514C40" w:rsidR="004807C1">
        <w:t>“releases only those claims that are within the scope of the workers’ compensation system, and does not apply to claims asserted in separate civil actions</w:t>
      </w:r>
      <w:r w:rsidRPr="00514C40" w:rsidR="001E6CEE">
        <w:t>.”  (</w:t>
      </w:r>
      <w:r w:rsidRPr="00514C40" w:rsidR="001273B4">
        <w:rPr>
          <w:i/>
          <w:iCs/>
        </w:rPr>
        <w:t>Claxton</w:t>
      </w:r>
      <w:r w:rsidRPr="00514C40" w:rsidR="001273B4">
        <w:t xml:space="preserve">, </w:t>
      </w:r>
      <w:r w:rsidRPr="00514C40" w:rsidR="001E6CEE">
        <w:t>at pp. 371</w:t>
      </w:r>
      <w:r w:rsidRPr="00514C40" w:rsidR="002B68CA">
        <w:t>, 376</w:t>
      </w:r>
      <w:r w:rsidRPr="00514C40" w:rsidR="001E6CEE">
        <w:t>.)</w:t>
      </w:r>
      <w:r w:rsidRPr="00514C40" w:rsidR="00B9597A">
        <w:t xml:space="preserve">  We construed this language in light of the statutory context</w:t>
      </w:r>
      <w:r w:rsidRPr="00514C40" w:rsidR="00824679">
        <w:t xml:space="preserve"> governing workers’ compensation</w:t>
      </w:r>
      <w:r w:rsidR="00ED4D10">
        <w:t> </w:t>
      </w:r>
      <w:r w:rsidRPr="00514C40" w:rsidR="00B55E6D">
        <w:t>— in particular,</w:t>
      </w:r>
      <w:r w:rsidRPr="00514C40" w:rsidR="005E2FD4">
        <w:t xml:space="preserve"> </w:t>
      </w:r>
      <w:r w:rsidRPr="00514C40" w:rsidR="00A07F0B">
        <w:t>the statute</w:t>
      </w:r>
      <w:r w:rsidR="00D55D38">
        <w:t xml:space="preserve"> focuses</w:t>
      </w:r>
      <w:r w:rsidRPr="00514C40" w:rsidR="005E2FD4">
        <w:t xml:space="preserve"> </w:t>
      </w:r>
      <w:r w:rsidRPr="00514C40" w:rsidR="008362E7">
        <w:t>narrow</w:t>
      </w:r>
      <w:r w:rsidR="00D55D38">
        <w:t>ly</w:t>
      </w:r>
      <w:r w:rsidRPr="00514C40" w:rsidR="005E2FD4">
        <w:t xml:space="preserve"> </w:t>
      </w:r>
      <w:r w:rsidRPr="00514C40" w:rsidR="008B779C">
        <w:t>on eligible employee injuries</w:t>
      </w:r>
      <w:r w:rsidRPr="00514C40" w:rsidR="007627B9">
        <w:t xml:space="preserve"> where </w:t>
      </w:r>
      <w:r w:rsidRPr="00514C40" w:rsidR="00A07F0B">
        <w:t>it provides the exclusive remedy</w:t>
      </w:r>
      <w:r w:rsidR="00D55D38">
        <w:t>;</w:t>
      </w:r>
      <w:r w:rsidRPr="00514C40" w:rsidR="008B779C">
        <w:t xml:space="preserve"> s</w:t>
      </w:r>
      <w:r w:rsidRPr="00514C40" w:rsidR="00A4196B">
        <w:t>ome claims based on conduct contrary to fundamental public policy are not subject to the scheme’s exclusivity provisions</w:t>
      </w:r>
      <w:r w:rsidR="00D55D38">
        <w:t>;</w:t>
      </w:r>
      <w:r w:rsidRPr="00514C40" w:rsidR="00A4196B">
        <w:t xml:space="preserve"> </w:t>
      </w:r>
      <w:r w:rsidRPr="00514C40" w:rsidR="008D2F1D">
        <w:t xml:space="preserve">and other claims </w:t>
      </w:r>
      <w:r w:rsidRPr="00514C40" w:rsidR="005E4D5F">
        <w:t xml:space="preserve">are not compensable </w:t>
      </w:r>
      <w:r w:rsidRPr="00514C40" w:rsidR="009F2BAD">
        <w:t xml:space="preserve">or cognizable </w:t>
      </w:r>
      <w:r w:rsidRPr="00514C40" w:rsidR="005E4D5F">
        <w:t xml:space="preserve">under the </w:t>
      </w:r>
      <w:r w:rsidRPr="00514C40" w:rsidR="009F2BAD">
        <w:t>scheme</w:t>
      </w:r>
      <w:r w:rsidRPr="00514C40" w:rsidR="00A74984">
        <w:t xml:space="preserve"> at all</w:t>
      </w:r>
      <w:r w:rsidRPr="00514C40" w:rsidR="00503FF4">
        <w:t xml:space="preserve"> and must be pursued separately</w:t>
      </w:r>
      <w:r w:rsidRPr="00514C40" w:rsidR="009F2BAD">
        <w:t>.  (</w:t>
      </w:r>
      <w:r w:rsidRPr="00514C40" w:rsidR="009F2BAD">
        <w:rPr>
          <w:i/>
          <w:iCs/>
        </w:rPr>
        <w:t>Id.</w:t>
      </w:r>
      <w:r w:rsidRPr="00514C40" w:rsidR="009F2BAD">
        <w:t xml:space="preserve"> at pp. </w:t>
      </w:r>
      <w:r w:rsidRPr="00514C40" w:rsidR="004A5793">
        <w:t>372–374.)</w:t>
      </w:r>
      <w:r w:rsidRPr="00514C40" w:rsidR="00325847">
        <w:t xml:space="preserve">  We also noted the </w:t>
      </w:r>
      <w:r w:rsidRPr="00514C40" w:rsidR="00917E1C">
        <w:t>goal of “quickly provid[ing]</w:t>
      </w:r>
      <w:r w:rsidRPr="00514C40" w:rsidR="0000061A">
        <w:t xml:space="preserve"> benefits</w:t>
      </w:r>
      <w:r w:rsidRPr="00514C40" w:rsidR="00917E1C">
        <w:t>” to “injured worker</w:t>
      </w:r>
      <w:r w:rsidRPr="00514C40" w:rsidR="003A5DBC">
        <w:t>s</w:t>
      </w:r>
      <w:r w:rsidRPr="00514C40" w:rsidR="0000061A">
        <w:t>,</w:t>
      </w:r>
      <w:r w:rsidRPr="00514C40" w:rsidR="00917E1C">
        <w:t>”</w:t>
      </w:r>
      <w:r w:rsidRPr="00514C40" w:rsidR="0000061A">
        <w:t xml:space="preserve"> the </w:t>
      </w:r>
      <w:r w:rsidRPr="00514C40" w:rsidR="00325847">
        <w:t>“</w:t>
      </w:r>
      <w:r w:rsidRPr="00514C40">
        <w:t xml:space="preserve">informal rules of pleading </w:t>
      </w:r>
      <w:r w:rsidRPr="00514C40" w:rsidR="008D506B">
        <w:t xml:space="preserve">[that] </w:t>
      </w:r>
      <w:r w:rsidRPr="00514C40">
        <w:t>apply to such proceedings</w:t>
      </w:r>
      <w:r w:rsidRPr="00514C40" w:rsidR="0000061A">
        <w:t>,</w:t>
      </w:r>
      <w:r w:rsidRPr="00514C40" w:rsidR="008D506B">
        <w:t xml:space="preserve">” and </w:t>
      </w:r>
      <w:r w:rsidR="00D55D38">
        <w:t xml:space="preserve">the fact </w:t>
      </w:r>
      <w:r w:rsidRPr="00514C40" w:rsidR="008D506B">
        <w:t>th</w:t>
      </w:r>
      <w:r w:rsidRPr="00514C40" w:rsidR="006B0C5E">
        <w:t>at “</w:t>
      </w:r>
      <w:r w:rsidRPr="00514C40">
        <w:t>workers may be represented by individuals other than attorneys</w:t>
      </w:r>
      <w:r w:rsidRPr="00514C40" w:rsidR="006B0C5E">
        <w:t>.”  (</w:t>
      </w:r>
      <w:r w:rsidRPr="00514C40" w:rsidR="006B0C5E">
        <w:rPr>
          <w:i/>
          <w:iCs/>
        </w:rPr>
        <w:t>Id.</w:t>
      </w:r>
      <w:r w:rsidRPr="00514C40" w:rsidR="006B0C5E">
        <w:t xml:space="preserve"> at p. </w:t>
      </w:r>
      <w:r w:rsidRPr="00514C40" w:rsidR="005E114B">
        <w:t>373.</w:t>
      </w:r>
      <w:r w:rsidRPr="00514C40" w:rsidR="006B0C5E">
        <w:t>)</w:t>
      </w:r>
    </w:p>
    <w:p w:rsidR="00F6647D" w:rsidRPr="00514C40" w:rsidP="00514C40">
      <w:pPr>
        <w:tabs>
          <w:tab w:val="left" w:pos="1440"/>
        </w:tabs>
        <w:ind w:firstLine="720"/>
      </w:pPr>
      <w:r w:rsidRPr="00514C40">
        <w:t>Similar</w:t>
      </w:r>
      <w:r w:rsidRPr="00514C40" w:rsidR="008F03F8">
        <w:t xml:space="preserve"> </w:t>
      </w:r>
      <w:r w:rsidRPr="00514C40" w:rsidR="00A5059A">
        <w:t>reasoning</w:t>
      </w:r>
      <w:r w:rsidRPr="00514C40" w:rsidR="008F03F8">
        <w:t xml:space="preserve"> applies here</w:t>
      </w:r>
      <w:r w:rsidRPr="00514C40" w:rsidR="002D5B4B">
        <w:t xml:space="preserve">. </w:t>
      </w:r>
      <w:r w:rsidRPr="00514C40" w:rsidR="00071F32">
        <w:t xml:space="preserve"> As noted, </w:t>
      </w:r>
      <w:r w:rsidRPr="00514C40" w:rsidR="00C64D3E">
        <w:t>a petitioner seeking a civil harassment restraining order and a court reviewing such a request ar</w:t>
      </w:r>
      <w:r w:rsidRPr="00514C40" w:rsidR="00A5512D">
        <w:t>e</w:t>
      </w:r>
      <w:r w:rsidRPr="00514C40" w:rsidR="00EE43B5">
        <w:t xml:space="preserve"> confined by the limited nature of</w:t>
      </w:r>
      <w:r w:rsidRPr="00514C40" w:rsidR="00B84530">
        <w:t xml:space="preserve"> section 527.6</w:t>
      </w:r>
      <w:r w:rsidRPr="00514C40" w:rsidR="00EE43B5">
        <w:t xml:space="preserve"> proceeding</w:t>
      </w:r>
      <w:r w:rsidRPr="00514C40" w:rsidR="00193B47">
        <w:t>s</w:t>
      </w:r>
      <w:r w:rsidRPr="00514C40" w:rsidR="00AB3D3A">
        <w:t>.</w:t>
      </w:r>
      <w:r w:rsidRPr="00514C40" w:rsidR="003660DB">
        <w:t xml:space="preserve">  T</w:t>
      </w:r>
      <w:r w:rsidRPr="00514C40" w:rsidR="00C318A6">
        <w:t xml:space="preserve">ort </w:t>
      </w:r>
      <w:r w:rsidRPr="00514C40" w:rsidR="00257161">
        <w:t>and</w:t>
      </w:r>
      <w:r w:rsidRPr="00514C40" w:rsidR="00C318A6">
        <w:t xml:space="preserve"> other actions seeking </w:t>
      </w:r>
      <w:r w:rsidRPr="00514C40" w:rsidR="00C65B27">
        <w:t xml:space="preserve">retrospective relief by way of </w:t>
      </w:r>
      <w:r w:rsidRPr="00514C40" w:rsidR="00C318A6">
        <w:t>damages</w:t>
      </w:r>
      <w:r w:rsidRPr="00514C40" w:rsidR="00B34BD1">
        <w:t xml:space="preserve"> </w:t>
      </w:r>
      <w:r w:rsidRPr="00514C40" w:rsidR="00180BA9">
        <w:t>for the conduct underlying</w:t>
      </w:r>
      <w:r w:rsidRPr="00514C40" w:rsidR="00C07622">
        <w:t xml:space="preserve"> a petition </w:t>
      </w:r>
      <w:r w:rsidRPr="00514C40" w:rsidR="00B34BD1">
        <w:t>are not cognizable</w:t>
      </w:r>
      <w:r w:rsidRPr="00514C40" w:rsidR="00897431">
        <w:t xml:space="preserve">.  </w:t>
      </w:r>
      <w:r w:rsidRPr="00514C40" w:rsidR="00B44071">
        <w:t>It is clear from the statute and legislative history that s</w:t>
      </w:r>
      <w:r w:rsidRPr="00514C40" w:rsidR="00AD5456">
        <w:t xml:space="preserve">ection 527.6 proceedings are not intended to provide a forum for a global resolution of a petitioner’s </w:t>
      </w:r>
      <w:r w:rsidRPr="00514C40" w:rsidR="009F2F6D">
        <w:t xml:space="preserve">potential </w:t>
      </w:r>
      <w:r w:rsidRPr="00514C40" w:rsidR="00AD5456">
        <w:t>claims related to the underlying conduct at issue.</w:t>
      </w:r>
      <w:r w:rsidRPr="00514C40" w:rsidR="00B44071">
        <w:t xml:space="preserve">  Rather, s</w:t>
      </w:r>
      <w:r w:rsidRPr="00514C40" w:rsidR="00F14220">
        <w:t xml:space="preserve">ection </w:t>
      </w:r>
      <w:r w:rsidRPr="00514C40" w:rsidR="00297879">
        <w:t xml:space="preserve">527.6 provides </w:t>
      </w:r>
      <w:r w:rsidRPr="00514C40" w:rsidR="00DC7B2D">
        <w:t>“</w:t>
      </w:r>
      <w:r w:rsidR="00ED4D10">
        <w:t> </w:t>
      </w:r>
      <w:r w:rsidR="00453939">
        <w:t>‘</w:t>
      </w:r>
      <w:r w:rsidRPr="00514C40" w:rsidR="00DC7B2D">
        <w:t xml:space="preserve">an expedited procedure </w:t>
      </w:r>
      <w:r w:rsidRPr="00514C40" w:rsidR="0076176B">
        <w:t xml:space="preserve">. . . </w:t>
      </w:r>
      <w:r w:rsidRPr="00514C40" w:rsidR="00DC7B2D">
        <w:t>to provide quick relief to harassed persons</w:t>
      </w:r>
      <w:r w:rsidR="00453939">
        <w:t>’</w:t>
      </w:r>
      <w:r w:rsidR="00ED4D10">
        <w:t> </w:t>
      </w:r>
      <w:r w:rsidRPr="00514C40" w:rsidR="00DC7B2D">
        <w:t>” (</w:t>
      </w:r>
      <w:r w:rsidRPr="00514C40" w:rsidR="00DC7B2D">
        <w:rPr>
          <w:i/>
          <w:iCs/>
        </w:rPr>
        <w:t>Smith</w:t>
      </w:r>
      <w:r w:rsidRPr="00514C40" w:rsidR="005300B9">
        <w:t xml:space="preserve">, </w:t>
      </w:r>
      <w:r w:rsidRPr="00514C40" w:rsidR="005300B9">
        <w:rPr>
          <w:i/>
          <w:iCs/>
        </w:rPr>
        <w:t>supra</w:t>
      </w:r>
      <w:r w:rsidRPr="00514C40" w:rsidR="005300B9">
        <w:t>,</w:t>
      </w:r>
      <w:r w:rsidRPr="00514C40" w:rsidR="00DC7B2D">
        <w:t xml:space="preserve"> 149 Cal.App.3d</w:t>
      </w:r>
      <w:r w:rsidRPr="00514C40">
        <w:t xml:space="preserve"> </w:t>
      </w:r>
      <w:r w:rsidRPr="00514C40" w:rsidR="005300B9">
        <w:t>at p. </w:t>
      </w:r>
      <w:r w:rsidRPr="00514C40" w:rsidR="00DC7B2D">
        <w:t>405),</w:t>
      </w:r>
      <w:r w:rsidRPr="00514C40" w:rsidR="00297879">
        <w:t xml:space="preserve"> not to the exclusion of a petitioner’s right to seek other relief</w:t>
      </w:r>
      <w:r w:rsidRPr="00514C40" w:rsidR="0048392D">
        <w:t xml:space="preserve"> </w:t>
      </w:r>
      <w:r w:rsidRPr="00514C40" w:rsidR="00C07622">
        <w:t xml:space="preserve">through </w:t>
      </w:r>
      <w:r w:rsidRPr="00514C40" w:rsidR="003104ED">
        <w:t>traditional civil litigation</w:t>
      </w:r>
      <w:r w:rsidRPr="00514C40" w:rsidR="00EC1CAB">
        <w:t xml:space="preserve"> </w:t>
      </w:r>
      <w:r w:rsidRPr="00514C40" w:rsidR="00C3353E">
        <w:t xml:space="preserve">and at a much slower pace </w:t>
      </w:r>
      <w:r w:rsidRPr="00514C40" w:rsidR="00EC1CAB">
        <w:t>(see § 527.6, subd. </w:t>
      </w:r>
      <w:r w:rsidRPr="00514C40" w:rsidR="00C643FD">
        <w:t>(w))</w:t>
      </w:r>
      <w:r w:rsidRPr="00514C40" w:rsidR="00C3353E">
        <w:t>.</w:t>
      </w:r>
      <w:r w:rsidRPr="00514C40" w:rsidR="00691308">
        <w:t xml:space="preserve">  Like</w:t>
      </w:r>
      <w:r w:rsidRPr="00514C40" w:rsidR="004A0171">
        <w:t xml:space="preserve"> the workers’ compensation scheme</w:t>
      </w:r>
      <w:r w:rsidRPr="00514C40" w:rsidR="00951869">
        <w:t xml:space="preserve"> in </w:t>
      </w:r>
      <w:r w:rsidRPr="00514C40" w:rsidR="00951869">
        <w:rPr>
          <w:i/>
          <w:iCs/>
        </w:rPr>
        <w:t>Claxton</w:t>
      </w:r>
      <w:r w:rsidRPr="00514C40" w:rsidR="00691308">
        <w:t>, section 527.6</w:t>
      </w:r>
      <w:r w:rsidRPr="00514C40" w:rsidR="004A0171">
        <w:t xml:space="preserve"> </w:t>
      </w:r>
      <w:r w:rsidRPr="00514C40" w:rsidR="00185A98">
        <w:t>procedures</w:t>
      </w:r>
      <w:r w:rsidRPr="00514C40" w:rsidR="004A0171">
        <w:t xml:space="preserve"> are </w:t>
      </w:r>
      <w:r w:rsidRPr="00514C40" w:rsidR="00451354">
        <w:t>relatively informal</w:t>
      </w:r>
      <w:r w:rsidRPr="00514C40" w:rsidR="00F82128">
        <w:t>, proceed</w:t>
      </w:r>
      <w:r w:rsidRPr="00514C40" w:rsidR="005D5428">
        <w:t>ing</w:t>
      </w:r>
      <w:r w:rsidRPr="00514C40" w:rsidR="0011235A">
        <w:t xml:space="preserve"> by “simple and concise” forms that parties are required to use</w:t>
      </w:r>
      <w:r w:rsidRPr="00514C40" w:rsidR="00FE79B9">
        <w:t xml:space="preserve"> (§ 527.6, subd.</w:t>
      </w:r>
      <w:r w:rsidRPr="00514C40" w:rsidR="00D77079">
        <w:t> </w:t>
      </w:r>
      <w:r w:rsidRPr="00514C40" w:rsidR="00FE79B9">
        <w:t>(x)(1))</w:t>
      </w:r>
      <w:r w:rsidRPr="00514C40" w:rsidR="0070357F">
        <w:t xml:space="preserve"> and </w:t>
      </w:r>
      <w:r w:rsidRPr="00514C40" w:rsidR="00EC1CAB">
        <w:t xml:space="preserve">“with the expectation that victims often </w:t>
      </w:r>
      <w:r w:rsidRPr="00514C40" w:rsidR="00EF7545">
        <w:t>. . .</w:t>
      </w:r>
      <w:r w:rsidRPr="00514C40" w:rsidR="00EC1CAB">
        <w:t xml:space="preserve"> seek relief without the benefit of a lawyer</w:t>
      </w:r>
      <w:r w:rsidRPr="00514C40" w:rsidR="00042BD4">
        <w:t>,</w:t>
      </w:r>
      <w:r w:rsidRPr="00514C40" w:rsidR="00EC1CAB">
        <w:t>”</w:t>
      </w:r>
      <w:r w:rsidRPr="00514C40" w:rsidR="00042BD4">
        <w:t xml:space="preserve"> as was the case here with Doe proceeding in propia persona</w:t>
      </w:r>
      <w:r w:rsidRPr="00514C40" w:rsidR="00EC1CAB">
        <w:t xml:space="preserve"> (</w:t>
      </w:r>
      <w:r w:rsidRPr="00514C40" w:rsidR="00EC1CAB">
        <w:rPr>
          <w:i/>
          <w:iCs/>
        </w:rPr>
        <w:t>Yost</w:t>
      </w:r>
      <w:r w:rsidRPr="00514C40">
        <w:t xml:space="preserve">, </w:t>
      </w:r>
      <w:r w:rsidRPr="00514C40">
        <w:rPr>
          <w:i/>
          <w:iCs/>
        </w:rPr>
        <w:t>supra</w:t>
      </w:r>
      <w:r w:rsidRPr="00514C40">
        <w:t>,</w:t>
      </w:r>
      <w:r w:rsidRPr="00514C40" w:rsidR="00EC1CAB">
        <w:t xml:space="preserve"> 51 Cal.App.5th</w:t>
      </w:r>
      <w:r w:rsidRPr="00514C40">
        <w:t xml:space="preserve"> at p. </w:t>
      </w:r>
      <w:r w:rsidRPr="00514C40" w:rsidR="00EC1CAB">
        <w:t>52</w:t>
      </w:r>
      <w:r w:rsidRPr="00514C40" w:rsidR="00F13C86">
        <w:t>1</w:t>
      </w:r>
      <w:r w:rsidRPr="00514C40" w:rsidR="00EC1CAB">
        <w:t>)</w:t>
      </w:r>
      <w:r w:rsidRPr="00514C40">
        <w:t>.</w:t>
      </w:r>
    </w:p>
    <w:p w:rsidR="00FE0BB6" w:rsidRPr="00514C40" w:rsidP="00514C40">
      <w:pPr>
        <w:tabs>
          <w:tab w:val="left" w:pos="1440"/>
        </w:tabs>
        <w:ind w:firstLine="720"/>
      </w:pPr>
      <w:r w:rsidRPr="00514C40">
        <w:t>Moreover</w:t>
      </w:r>
      <w:r w:rsidRPr="00514C40" w:rsidR="000728EF">
        <w:t>,</w:t>
      </w:r>
      <w:r w:rsidRPr="00514C40" w:rsidR="00022F6C">
        <w:t xml:space="preserve"> the specific procedures governing the mediation process for section 527.6 proceedings</w:t>
      </w:r>
      <w:r w:rsidRPr="00514C40" w:rsidR="008F5D76">
        <w:t xml:space="preserve"> seem uniquely unsuited to expanding</w:t>
      </w:r>
      <w:r w:rsidRPr="00514C40" w:rsidR="00DA6EBF">
        <w:t xml:space="preserve"> </w:t>
      </w:r>
      <w:r w:rsidRPr="00514C40" w:rsidR="00192B66">
        <w:t>a section 527.6</w:t>
      </w:r>
      <w:r w:rsidRPr="00514C40" w:rsidR="00DA6EBF">
        <w:t xml:space="preserve"> mediation beyond </w:t>
      </w:r>
      <w:r w:rsidRPr="00514C40" w:rsidR="00192B66">
        <w:t>the statute’</w:t>
      </w:r>
      <w:r w:rsidRPr="00514C40" w:rsidR="00DA6EBF">
        <w:t>s narrow</w:t>
      </w:r>
      <w:r w:rsidRPr="00514C40" w:rsidR="00192B66">
        <w:t xml:space="preserve"> </w:t>
      </w:r>
      <w:r w:rsidRPr="00514C40" w:rsidR="00DA6EBF">
        <w:t>focus.</w:t>
      </w:r>
      <w:r w:rsidRPr="00514C40" w:rsidR="00183B08">
        <w:t xml:space="preserve">  </w:t>
      </w:r>
      <w:r w:rsidRPr="00514C40" w:rsidR="00537901">
        <w:t xml:space="preserve">The parties were referred to mediation on the day </w:t>
      </w:r>
      <w:r w:rsidRPr="00514C40" w:rsidR="00CA4E1F">
        <w:t xml:space="preserve">of the trial court hearing on Doe’s </w:t>
      </w:r>
      <w:r w:rsidRPr="00514C40" w:rsidR="00D12DEA">
        <w:t xml:space="preserve">petition.  </w:t>
      </w:r>
      <w:r w:rsidRPr="00514C40" w:rsidR="00622933">
        <w:t>A</w:t>
      </w:r>
      <w:r w:rsidRPr="00514C40" w:rsidR="00E62E40">
        <w:t>s a</w:t>
      </w:r>
      <w:r w:rsidRPr="00514C40" w:rsidR="00622933">
        <w:t xml:space="preserve">mici curiae </w:t>
      </w:r>
      <w:r w:rsidRPr="00514C40" w:rsidR="00E62E40">
        <w:t>note</w:t>
      </w:r>
      <w:r w:rsidRPr="00514C40" w:rsidR="00B863E5">
        <w:t>, such mediations “</w:t>
      </w:r>
      <w:r w:rsidRPr="00514C40" w:rsidR="009D1B86">
        <w:t>are conducted only by court appointed specially trained mediators</w:t>
      </w:r>
      <w:r w:rsidRPr="00514C40" w:rsidR="00BE222B">
        <w:t>,” “</w:t>
      </w:r>
      <w:r w:rsidRPr="00514C40" w:rsidR="009D1B86">
        <w:t>only on the court</w:t>
      </w:r>
      <w:r w:rsidRPr="00514C40" w:rsidR="00BE222B">
        <w:t>’s</w:t>
      </w:r>
      <w:r w:rsidRPr="00514C40" w:rsidR="009D1B86">
        <w:t xml:space="preserve"> premises</w:t>
      </w:r>
      <w:r w:rsidRPr="00514C40" w:rsidR="00BE222B">
        <w:t>,” and</w:t>
      </w:r>
      <w:r w:rsidRPr="00514C40" w:rsidR="008F7FB2">
        <w:t xml:space="preserve"> agreements</w:t>
      </w:r>
      <w:r w:rsidRPr="00514C40" w:rsidR="00BE222B">
        <w:t xml:space="preserve"> “</w:t>
      </w:r>
      <w:r w:rsidRPr="00514C40" w:rsidR="009D1B86">
        <w:t>must be agreed to and signed the same day, by the close of the courthouse day, which is usually about 4:30 p.m.</w:t>
      </w:r>
      <w:r w:rsidRPr="00514C40" w:rsidR="00356374">
        <w:t>”</w:t>
      </w:r>
      <w:r w:rsidRPr="00514C40" w:rsidR="00AC148F">
        <w:t xml:space="preserve">  </w:t>
      </w:r>
      <w:r w:rsidRPr="00514C40" w:rsidR="0049572D">
        <w:t>I</w:t>
      </w:r>
      <w:r w:rsidRPr="00514C40" w:rsidR="00F405E6">
        <w:t xml:space="preserve">f the parties fail to </w:t>
      </w:r>
      <w:r w:rsidRPr="00514C40" w:rsidR="00A4686E">
        <w:t xml:space="preserve">reach an agreement, </w:t>
      </w:r>
      <w:r w:rsidRPr="00514C40" w:rsidR="00443199">
        <w:t xml:space="preserve">an </w:t>
      </w:r>
      <w:r w:rsidRPr="00514C40" w:rsidR="00C924EB">
        <w:t xml:space="preserve">evidentiary hearing </w:t>
      </w:r>
      <w:r w:rsidRPr="00514C40" w:rsidR="00443199">
        <w:t xml:space="preserve">on the section 527.6 petition </w:t>
      </w:r>
      <w:r w:rsidRPr="00514C40" w:rsidR="00C924EB">
        <w:t>typically begins the following day</w:t>
      </w:r>
      <w:r w:rsidRPr="00514C40" w:rsidR="008E04B8">
        <w:t>.</w:t>
      </w:r>
      <w:r w:rsidRPr="00514C40" w:rsidR="007E46A6">
        <w:t xml:space="preserve">  These procedures</w:t>
      </w:r>
      <w:r w:rsidRPr="00514C40" w:rsidR="00C01F8C">
        <w:t xml:space="preserve"> appear tailored to the narrow</w:t>
      </w:r>
      <w:r w:rsidRPr="00514C40" w:rsidR="00906A32">
        <w:t xml:space="preserve"> focus and expedited nature of section 527.6 proceedings</w:t>
      </w:r>
      <w:r w:rsidRPr="00514C40" w:rsidR="000E1D72">
        <w:t>;</w:t>
      </w:r>
      <w:r w:rsidRPr="00514C40" w:rsidR="00A41619">
        <w:t xml:space="preserve"> expanding</w:t>
      </w:r>
      <w:r w:rsidRPr="00514C40" w:rsidR="00DC7020">
        <w:t xml:space="preserve"> the mediation to consider </w:t>
      </w:r>
      <w:r w:rsidRPr="00514C40" w:rsidR="00603342">
        <w:t xml:space="preserve">additional issues </w:t>
      </w:r>
      <w:r w:rsidRPr="00514C40" w:rsidR="00631D28">
        <w:t xml:space="preserve">would </w:t>
      </w:r>
      <w:r w:rsidRPr="00514C40" w:rsidR="00723367">
        <w:t>run counter</w:t>
      </w:r>
      <w:r w:rsidRPr="00514C40" w:rsidR="00603342">
        <w:t xml:space="preserve"> to the statutory purpose of</w:t>
      </w:r>
      <w:r w:rsidRPr="00514C40" w:rsidR="009810A0">
        <w:t xml:space="preserve"> </w:t>
      </w:r>
      <w:r w:rsidRPr="00514C40" w:rsidR="00C02250">
        <w:t>“</w:t>
      </w:r>
      <w:r w:rsidR="00ED4D10">
        <w:t> </w:t>
      </w:r>
      <w:r w:rsidR="00453939">
        <w:t>‘</w:t>
      </w:r>
      <w:r w:rsidRPr="00514C40" w:rsidR="00C02250">
        <w:t>provid[ing] quick relief to harassed persons</w:t>
      </w:r>
      <w:r w:rsidRPr="00514C40" w:rsidR="00723367">
        <w:t>.</w:t>
      </w:r>
      <w:r w:rsidR="00453939">
        <w:t>’</w:t>
      </w:r>
      <w:r w:rsidR="00ED4D10">
        <w:t> </w:t>
      </w:r>
      <w:r w:rsidRPr="00514C40" w:rsidR="00C02250">
        <w:t xml:space="preserve">” </w:t>
      </w:r>
      <w:r w:rsidRPr="00514C40" w:rsidR="00723367">
        <w:t xml:space="preserve"> </w:t>
      </w:r>
      <w:r w:rsidRPr="00514C40" w:rsidR="00C02250">
        <w:t>(</w:t>
      </w:r>
      <w:r w:rsidRPr="00514C40" w:rsidR="00C02250">
        <w:rPr>
          <w:i/>
          <w:iCs/>
        </w:rPr>
        <w:t>Smith</w:t>
      </w:r>
      <w:r w:rsidRPr="00514C40" w:rsidR="00723367">
        <w:t xml:space="preserve">, </w:t>
      </w:r>
      <w:r w:rsidRPr="00514C40" w:rsidR="00723367">
        <w:rPr>
          <w:i/>
          <w:iCs/>
        </w:rPr>
        <w:t>supra</w:t>
      </w:r>
      <w:r w:rsidRPr="00514C40" w:rsidR="00723367">
        <w:t>,</w:t>
      </w:r>
      <w:r w:rsidRPr="00514C40" w:rsidR="00C02250">
        <w:t xml:space="preserve"> 149 Cal.App.3d</w:t>
      </w:r>
      <w:r w:rsidRPr="00514C40" w:rsidR="00723367">
        <w:t xml:space="preserve"> at p. </w:t>
      </w:r>
      <w:r w:rsidRPr="00514C40" w:rsidR="00C02250">
        <w:t>405</w:t>
      </w:r>
      <w:r w:rsidRPr="00514C40" w:rsidR="00723367">
        <w:t>.</w:t>
      </w:r>
      <w:r w:rsidRPr="00514C40" w:rsidR="00C02250">
        <w:t>)</w:t>
      </w:r>
      <w:r w:rsidRPr="00514C40" w:rsidR="00701F65">
        <w:t xml:space="preserve">  This </w:t>
      </w:r>
      <w:r w:rsidRPr="00514C40" w:rsidR="00FB4F7F">
        <w:t xml:space="preserve">counsels skepticism toward </w:t>
      </w:r>
      <w:r w:rsidRPr="00514C40" w:rsidR="00BF15DF">
        <w:t xml:space="preserve">reading an agreement reached through </w:t>
      </w:r>
      <w:r w:rsidRPr="00514C40" w:rsidR="0010513E">
        <w:t>such a</w:t>
      </w:r>
      <w:r w:rsidRPr="00514C40" w:rsidR="00BF15DF">
        <w:t xml:space="preserve"> process </w:t>
      </w:r>
      <w:r w:rsidRPr="00514C40" w:rsidR="00751EED">
        <w:t>to have far-reaching implications beyond the section 527.6 context.</w:t>
      </w:r>
    </w:p>
    <w:p w:rsidR="004D5EBC" w:rsidRPr="00514C40" w:rsidP="00514C40">
      <w:pPr>
        <w:tabs>
          <w:tab w:val="left" w:pos="1440"/>
        </w:tabs>
        <w:ind w:firstLine="720"/>
      </w:pPr>
      <w:r w:rsidRPr="00514C40">
        <w:t>Finally,</w:t>
      </w:r>
      <w:r w:rsidRPr="00514C40" w:rsidR="00493D09">
        <w:t xml:space="preserve"> it is undisputed that </w:t>
      </w:r>
      <w:r w:rsidRPr="00514C40" w:rsidR="00746C55">
        <w:t>Doe’s administrative and civil complaints constitute petitioning activity protected by section 425.16</w:t>
      </w:r>
      <w:r w:rsidRPr="00514C40" w:rsidR="00554C5A">
        <w:t xml:space="preserve"> and </w:t>
      </w:r>
      <w:r w:rsidRPr="00514C40" w:rsidR="005478EA">
        <w:t xml:space="preserve">article I, section 3 of the California Constitution.  (See </w:t>
      </w:r>
      <w:r w:rsidRPr="00514C40" w:rsidR="00C56483">
        <w:rPr>
          <w:i/>
          <w:iCs/>
        </w:rPr>
        <w:t>Briggs v. Eden Council for Hope</w:t>
      </w:r>
      <w:r w:rsidR="00453939">
        <w:rPr>
          <w:i/>
          <w:iCs/>
        </w:rPr>
        <w:t xml:space="preserve"> &amp;</w:t>
      </w:r>
      <w:r w:rsidRPr="00514C40" w:rsidR="00C56483">
        <w:rPr>
          <w:i/>
          <w:iCs/>
        </w:rPr>
        <w:t xml:space="preserve"> Opportunity</w:t>
      </w:r>
      <w:r w:rsidRPr="00514C40" w:rsidR="005478EA">
        <w:t xml:space="preserve"> </w:t>
      </w:r>
      <w:r w:rsidRPr="00514C40" w:rsidR="00C56483">
        <w:t>(1999) 19 Cal.4th 1106, 1115 [“</w:t>
      </w:r>
      <w:r w:rsidRPr="00514C40" w:rsidR="003D759C">
        <w:t> ‘</w:t>
      </w:r>
      <w:r w:rsidRPr="00514C40" w:rsidR="009E4B4D">
        <w:t>petitioning activity involves lobbying the government, suing, [and] testifying</w:t>
      </w:r>
      <w:r w:rsidRPr="00514C40" w:rsidR="003D759C">
        <w:t>’ </w:t>
      </w:r>
      <w:r w:rsidRPr="00514C40" w:rsidR="009E4B4D">
        <w:t>”</w:t>
      </w:r>
      <w:r w:rsidRPr="00514C40" w:rsidR="00B523F1">
        <w:t xml:space="preserve"> and</w:t>
      </w:r>
      <w:r w:rsidRPr="00514C40" w:rsidR="009E4B4D">
        <w:t xml:space="preserve"> “</w:t>
      </w:r>
      <w:r w:rsidRPr="00514C40" w:rsidR="00B523F1">
        <w:t> ‘</w:t>
      </w:r>
      <w:r w:rsidRPr="00514C40" w:rsidR="002B7A64">
        <w:t> “</w:t>
      </w:r>
      <w:r w:rsidRPr="00514C40" w:rsidR="009E4B4D">
        <w:t xml:space="preserve">[t]he constitutional right to petition </w:t>
      </w:r>
      <w:r w:rsidRPr="00514C40" w:rsidR="002B7A64">
        <w:t xml:space="preserve">. . . </w:t>
      </w:r>
      <w:r w:rsidRPr="00514C40" w:rsidR="009E4B4D">
        <w:t>includes the basic act of filing litigation or otherwise seeking administrative action</w:t>
      </w:r>
      <w:r w:rsidRPr="00514C40" w:rsidR="002B7A64">
        <w:t>” ’ </w:t>
      </w:r>
      <w:r w:rsidRPr="00514C40" w:rsidR="009E4B4D">
        <w:t>”</w:t>
      </w:r>
      <w:r w:rsidRPr="00514C40" w:rsidR="00FC7F4E">
        <w:t>].)</w:t>
      </w:r>
      <w:r w:rsidRPr="00514C40" w:rsidR="008A0D80">
        <w:t xml:space="preserve">  Although the right to petition is somewhat differently situated from</w:t>
      </w:r>
      <w:r w:rsidRPr="00514C40" w:rsidR="00933639">
        <w:t xml:space="preserve"> the right to a jury trial under article I, section 16</w:t>
      </w:r>
      <w:r w:rsidR="00453939">
        <w:t xml:space="preserve"> of the </w:t>
      </w:r>
      <w:r w:rsidR="0029529A">
        <w:t xml:space="preserve">California </w:t>
      </w:r>
      <w:r w:rsidR="00453939">
        <w:t>Constitution</w:t>
      </w:r>
      <w:r w:rsidRPr="00514C40" w:rsidR="00933639">
        <w:t xml:space="preserve"> (see </w:t>
      </w:r>
      <w:r w:rsidRPr="00514C40" w:rsidR="00527A04">
        <w:t>Code Civ. Pro</w:t>
      </w:r>
      <w:r w:rsidRPr="00514C40" w:rsidR="0097510C">
        <w:t>c</w:t>
      </w:r>
      <w:r w:rsidRPr="00514C40" w:rsidR="00527A04">
        <w:t xml:space="preserve">., </w:t>
      </w:r>
      <w:r w:rsidRPr="00514C40" w:rsidR="00A714BC">
        <w:t xml:space="preserve">§ 631; </w:t>
      </w:r>
      <w:r w:rsidRPr="00514C40" w:rsidR="00DA16AB">
        <w:rPr>
          <w:i/>
          <w:iCs/>
        </w:rPr>
        <w:t>Grafton Partners v. Superior Court</w:t>
      </w:r>
      <w:r w:rsidRPr="00514C40" w:rsidR="00DA16AB">
        <w:t xml:space="preserve"> (2005) 36 Cal.4th 944</w:t>
      </w:r>
      <w:r w:rsidRPr="00514C40" w:rsidR="000B128F">
        <w:t>)</w:t>
      </w:r>
      <w:r w:rsidRPr="00514C40" w:rsidR="00230A40">
        <w:t xml:space="preserve">, </w:t>
      </w:r>
      <w:r w:rsidRPr="00514C40" w:rsidR="00FD7473">
        <w:t>the fact that Olson’s broad construction of the nondisparagement clause</w:t>
      </w:r>
      <w:r w:rsidRPr="00514C40" w:rsidR="0018145D">
        <w:t xml:space="preserve"> in the mediation agreement would</w:t>
      </w:r>
      <w:r w:rsidRPr="00514C40" w:rsidR="004B52EE">
        <w:t xml:space="preserve"> </w:t>
      </w:r>
      <w:r w:rsidRPr="00514C40" w:rsidR="000245EC">
        <w:t>impair</w:t>
      </w:r>
      <w:r w:rsidRPr="00514C40" w:rsidR="004B52EE">
        <w:t xml:space="preserve"> Doe’s </w:t>
      </w:r>
      <w:r w:rsidRPr="00514C40" w:rsidR="000245EC">
        <w:t xml:space="preserve">exercise of </w:t>
      </w:r>
      <w:r w:rsidRPr="00514C40" w:rsidR="004B52EE">
        <w:t xml:space="preserve">constitutional rights </w:t>
      </w:r>
      <w:r w:rsidRPr="00514C40" w:rsidR="000245EC">
        <w:t>remains</w:t>
      </w:r>
      <w:r w:rsidRPr="00514C40" w:rsidR="00647BD3">
        <w:t xml:space="preserve"> an important consideration</w:t>
      </w:r>
      <w:r w:rsidRPr="00514C40" w:rsidR="00A91E8D">
        <w:t xml:space="preserve">. </w:t>
      </w:r>
      <w:r w:rsidRPr="00514C40" w:rsidR="00526351">
        <w:t xml:space="preserve"> </w:t>
      </w:r>
      <w:r w:rsidRPr="00514C40" w:rsidR="00C53DD7">
        <w:t>(</w:t>
      </w:r>
      <w:r w:rsidRPr="00514C40" w:rsidR="00C53DD7">
        <w:rPr>
          <w:i/>
          <w:iCs/>
        </w:rPr>
        <w:t xml:space="preserve">Janus v. American Federation of State, County </w:t>
      </w:r>
      <w:r w:rsidRPr="00514C40" w:rsidR="002B10F0">
        <w:rPr>
          <w:i/>
          <w:iCs/>
        </w:rPr>
        <w:t>&amp;</w:t>
      </w:r>
      <w:r w:rsidRPr="00514C40" w:rsidR="00C53DD7">
        <w:rPr>
          <w:i/>
          <w:iCs/>
        </w:rPr>
        <w:t xml:space="preserve"> Mun. Employees, Council 31</w:t>
      </w:r>
      <w:r w:rsidRPr="00514C40" w:rsidR="00C53DD7">
        <w:t xml:space="preserve"> (2018) </w:t>
      </w:r>
      <w:r w:rsidRPr="00514C40" w:rsidR="002F116B">
        <w:t>585</w:t>
      </w:r>
      <w:r w:rsidRPr="00514C40" w:rsidR="00C53DD7">
        <w:t xml:space="preserve"> U.S. __, __ [138 S.Ct. 2448, 2486]</w:t>
      </w:r>
      <w:r w:rsidR="001B4435">
        <w:t xml:space="preserve"> [</w:t>
      </w:r>
      <w:r w:rsidRPr="00514C40" w:rsidR="001B4435">
        <w:t xml:space="preserve">waiver of </w:t>
      </w:r>
      <w:r w:rsidR="00453939">
        <w:t xml:space="preserve">1st </w:t>
      </w:r>
      <w:r w:rsidRPr="00514C40" w:rsidR="00453939">
        <w:t>Amend</w:t>
      </w:r>
      <w:r w:rsidR="00453939">
        <w:t>.</w:t>
      </w:r>
      <w:r w:rsidRPr="00514C40" w:rsidR="00453939">
        <w:t xml:space="preserve"> </w:t>
      </w:r>
      <w:r w:rsidRPr="00514C40" w:rsidR="001B4435">
        <w:t>rights “cannot be presumed” and, “to be effective, . . . must be freely given and shown by ‘clear and compelling’ evidence”</w:t>
      </w:r>
      <w:r w:rsidR="001B4435">
        <w:t>]</w:t>
      </w:r>
      <w:r w:rsidRPr="00514C40" w:rsidR="00C53DD7">
        <w:t>.)</w:t>
      </w:r>
    </w:p>
    <w:p w:rsidR="00E73376" w:rsidRPr="00514C40" w:rsidP="00514C40">
      <w:pPr>
        <w:tabs>
          <w:tab w:val="left" w:pos="1440"/>
        </w:tabs>
        <w:ind w:firstLine="720"/>
      </w:pPr>
      <w:r w:rsidRPr="00514C40">
        <w:t>In sum,</w:t>
      </w:r>
      <w:r w:rsidRPr="00514C40" w:rsidR="00D06845">
        <w:t xml:space="preserve"> the mediation agreement as a whole, the statutory context in which it was negotiated, and the fact that</w:t>
      </w:r>
      <w:r w:rsidRPr="00514C40" w:rsidR="00800C05">
        <w:t xml:space="preserve"> it implicates constitutionally protected petitioning activity </w:t>
      </w:r>
      <w:r w:rsidRPr="00514C40" w:rsidR="00B328D1">
        <w:t xml:space="preserve">lead </w:t>
      </w:r>
      <w:r w:rsidRPr="00514C40" w:rsidR="00233927">
        <w:t xml:space="preserve">us </w:t>
      </w:r>
      <w:r w:rsidRPr="00514C40" w:rsidR="00B328D1">
        <w:t>to conclude</w:t>
      </w:r>
      <w:r w:rsidRPr="00514C40" w:rsidR="000D6A5A">
        <w:t xml:space="preserve"> that the nondisparagement clause </w:t>
      </w:r>
      <w:r w:rsidRPr="00514C40" w:rsidR="00233927">
        <w:t>does not</w:t>
      </w:r>
      <w:r w:rsidRPr="00514C40" w:rsidR="000D6A5A">
        <w:t xml:space="preserve"> apply to the circumstances here.  </w:t>
      </w:r>
      <w:r w:rsidRPr="00514C40" w:rsidR="00233927">
        <w:t>Under the</w:t>
      </w:r>
      <w:r w:rsidRPr="00514C40" w:rsidR="00F320F3">
        <w:t xml:space="preserve"> </w:t>
      </w:r>
      <w:r w:rsidRPr="00514C40" w:rsidR="00865F96">
        <w:t xml:space="preserve">reading </w:t>
      </w:r>
      <w:r w:rsidRPr="00514C40" w:rsidR="00233927">
        <w:t xml:space="preserve">Olson urges, </w:t>
      </w:r>
      <w:r w:rsidRPr="00514C40" w:rsidR="00B26169">
        <w:t>the clause</w:t>
      </w:r>
      <w:r w:rsidRPr="00514C40" w:rsidR="00A456A8">
        <w:t xml:space="preserve"> </w:t>
      </w:r>
      <w:r w:rsidRPr="00514C40" w:rsidR="00057165">
        <w:t>w</w:t>
      </w:r>
      <w:r w:rsidRPr="00514C40" w:rsidR="00A456A8">
        <w:t xml:space="preserve">ould </w:t>
      </w:r>
      <w:r w:rsidRPr="00514C40" w:rsidR="00233927">
        <w:t xml:space="preserve">seem to </w:t>
      </w:r>
      <w:r w:rsidRPr="00514C40" w:rsidR="00A456A8">
        <w:t xml:space="preserve">constrain Doe’s ability to </w:t>
      </w:r>
      <w:r w:rsidRPr="00514C40" w:rsidR="00BB35B1">
        <w:t xml:space="preserve">further avail herself of the </w:t>
      </w:r>
      <w:r w:rsidRPr="00514C40" w:rsidR="00833FFE">
        <w:t xml:space="preserve">very </w:t>
      </w:r>
      <w:r w:rsidRPr="00514C40" w:rsidR="00BB35B1">
        <w:t xml:space="preserve">protections </w:t>
      </w:r>
      <w:r w:rsidRPr="00514C40" w:rsidR="00811E66">
        <w:t xml:space="preserve">provided by </w:t>
      </w:r>
      <w:r w:rsidRPr="00514C40" w:rsidR="00BB35B1">
        <w:t>section 527.6</w:t>
      </w:r>
      <w:r w:rsidRPr="00514C40" w:rsidR="00233927">
        <w:t xml:space="preserve">, including </w:t>
      </w:r>
      <w:r w:rsidRPr="00514C40" w:rsidR="00C46AB7">
        <w:t xml:space="preserve">filing </w:t>
      </w:r>
      <w:r w:rsidRPr="00514C40" w:rsidR="004A1084">
        <w:t xml:space="preserve">another </w:t>
      </w:r>
      <w:r w:rsidRPr="00514C40" w:rsidR="00C46AB7">
        <w:t>petition</w:t>
      </w:r>
      <w:r w:rsidR="0006259D">
        <w:t xml:space="preserve"> or </w:t>
      </w:r>
      <w:r w:rsidRPr="00514C40" w:rsidR="00ED528B">
        <w:t>utiliz</w:t>
      </w:r>
      <w:r w:rsidR="00656777">
        <w:t>ing</w:t>
      </w:r>
      <w:r w:rsidRPr="00514C40" w:rsidR="00ED528B">
        <w:t xml:space="preserve"> </w:t>
      </w:r>
      <w:r w:rsidRPr="00514C40" w:rsidR="000F0087">
        <w:t xml:space="preserve">the </w:t>
      </w:r>
      <w:r w:rsidRPr="00514C40" w:rsidR="00117771">
        <w:t xml:space="preserve">“other existing civil remedies” </w:t>
      </w:r>
      <w:r w:rsidRPr="00514C40" w:rsidR="000F0087">
        <w:t>that</w:t>
      </w:r>
      <w:r w:rsidRPr="00514C40" w:rsidR="00ED528B">
        <w:t xml:space="preserve"> the statute </w:t>
      </w:r>
      <w:r w:rsidRPr="00514C40" w:rsidR="000F0087">
        <w:t xml:space="preserve">expressly </w:t>
      </w:r>
      <w:r w:rsidRPr="00514C40" w:rsidR="00ED528B">
        <w:t>preserve</w:t>
      </w:r>
      <w:r w:rsidRPr="00514C40" w:rsidR="000F0087">
        <w:t>s</w:t>
      </w:r>
      <w:r w:rsidRPr="00514C40" w:rsidR="00ED528B">
        <w:t>.</w:t>
      </w:r>
      <w:r w:rsidRPr="00514C40" w:rsidR="006A5C48">
        <w:t xml:space="preserve">  (§ 527.6, subd. (w).)</w:t>
      </w:r>
      <w:r w:rsidRPr="00514C40" w:rsidR="00C904EC">
        <w:t xml:space="preserve">  </w:t>
      </w:r>
      <w:r w:rsidR="00D51496">
        <w:t xml:space="preserve">Under Olson’s interpretation of the agreement, the nondisparagement clause would even apply </w:t>
      </w:r>
      <w:r w:rsidRPr="00596135" w:rsidR="00D51496">
        <w:t>to statements the parties make in litigation involving third parties or about conduct occurring after Doe and Olson entered into the agreement.</w:t>
      </w:r>
      <w:r w:rsidR="00D51496">
        <w:t xml:space="preserve">  </w:t>
      </w:r>
      <w:r w:rsidR="001B4435">
        <w:t>We see</w:t>
      </w:r>
      <w:r w:rsidRPr="00514C40" w:rsidR="00C036BF">
        <w:t xml:space="preserve"> no indication that the parties understood the nondisparagement clause to sweep so broadly</w:t>
      </w:r>
      <w:r w:rsidRPr="00514C40" w:rsidR="00CC7AD1">
        <w:t xml:space="preserve">.  </w:t>
      </w:r>
      <w:r w:rsidR="001B4435">
        <w:t>Olson’s</w:t>
      </w:r>
      <w:r w:rsidRPr="00514C40" w:rsidR="00B20CCB">
        <w:t xml:space="preserve"> reliance on the bare text of the clause</w:t>
      </w:r>
      <w:r w:rsidRPr="00514C40" w:rsidR="00233927">
        <w:t>,</w:t>
      </w:r>
      <w:r w:rsidRPr="00514C40" w:rsidR="00B20CCB">
        <w:t xml:space="preserve"> devoid of contex</w:t>
      </w:r>
      <w:r w:rsidRPr="00514C40">
        <w:t>t</w:t>
      </w:r>
      <w:r w:rsidRPr="00514C40" w:rsidR="00233927">
        <w:t xml:space="preserve"> and</w:t>
      </w:r>
      <w:r w:rsidRPr="00514C40" w:rsidR="00815001">
        <w:t xml:space="preserve"> without more, </w:t>
      </w:r>
      <w:r w:rsidRPr="00514C40">
        <w:t>is insufficient to</w:t>
      </w:r>
      <w:r w:rsidRPr="00514C40" w:rsidR="000B23B4">
        <w:t xml:space="preserve"> proceed on </w:t>
      </w:r>
      <w:r w:rsidRPr="00514C40" w:rsidR="00311CF8">
        <w:t>a breach of contract</w:t>
      </w:r>
      <w:r w:rsidRPr="00514C40" w:rsidR="000B23B4">
        <w:t xml:space="preserve"> claim</w:t>
      </w:r>
      <w:r w:rsidRPr="00514C40" w:rsidR="00BE1BCE">
        <w:t xml:space="preserve"> in the face of an anti-SLAPP motion</w:t>
      </w:r>
      <w:r w:rsidRPr="00514C40" w:rsidR="000B23B4">
        <w:t>.</w:t>
      </w:r>
    </w:p>
    <w:p w:rsidR="009F6695" w:rsidRPr="00514C40" w:rsidP="00514C40">
      <w:pPr>
        <w:tabs>
          <w:tab w:val="left" w:pos="1440"/>
        </w:tabs>
        <w:ind w:firstLine="720"/>
      </w:pPr>
      <w:r w:rsidRPr="00514C40">
        <w:t>W</w:t>
      </w:r>
      <w:r w:rsidRPr="00514C40" w:rsidR="00687466">
        <w:t>e are not confronted</w:t>
      </w:r>
      <w:r w:rsidRPr="00514C40" w:rsidR="00781C78">
        <w:t xml:space="preserve"> </w:t>
      </w:r>
      <w:r w:rsidRPr="00514C40" w:rsidR="00402C71">
        <w:t xml:space="preserve">with </w:t>
      </w:r>
      <w:r w:rsidRPr="00514C40" w:rsidR="0052653D">
        <w:t xml:space="preserve">factual </w:t>
      </w:r>
      <w:r w:rsidRPr="00514C40" w:rsidR="00402C71">
        <w:t xml:space="preserve">circumstances </w:t>
      </w:r>
      <w:r w:rsidRPr="00514C40" w:rsidR="00A50A7A">
        <w:t>that might make th</w:t>
      </w:r>
      <w:r w:rsidRPr="00514C40">
        <w:t>e</w:t>
      </w:r>
      <w:r w:rsidRPr="00514C40" w:rsidR="005E3055">
        <w:t xml:space="preserve"> </w:t>
      </w:r>
      <w:r w:rsidRPr="00514C40">
        <w:t xml:space="preserve">anti-SLAPP </w:t>
      </w:r>
      <w:r w:rsidRPr="00514C40" w:rsidR="005E3055">
        <w:t>question</w:t>
      </w:r>
      <w:r w:rsidRPr="00514C40" w:rsidR="00BA5F7A">
        <w:t xml:space="preserve"> </w:t>
      </w:r>
      <w:r w:rsidRPr="00514C40">
        <w:t xml:space="preserve">more difficult, such as conduct </w:t>
      </w:r>
      <w:r w:rsidRPr="00514C40" w:rsidR="004E798E">
        <w:t xml:space="preserve">that falls somewhere </w:t>
      </w:r>
      <w:r w:rsidRPr="00514C40" w:rsidR="00402C71">
        <w:t>between</w:t>
      </w:r>
      <w:r w:rsidRPr="00514C40" w:rsidR="004E798E">
        <w:t xml:space="preserve"> </w:t>
      </w:r>
      <w:r w:rsidRPr="00514C40" w:rsidR="00E57B23">
        <w:t>direct communication between the parties</w:t>
      </w:r>
      <w:r w:rsidRPr="00514C40" w:rsidR="00EC5353">
        <w:t xml:space="preserve"> </w:t>
      </w:r>
      <w:r w:rsidRPr="00514C40" w:rsidR="004E798E">
        <w:t>as contemplated by the</w:t>
      </w:r>
      <w:r w:rsidRPr="00514C40" w:rsidR="00C2351A">
        <w:t xml:space="preserve"> mediation agreement </w:t>
      </w:r>
      <w:r w:rsidRPr="00514C40" w:rsidR="00EC5353">
        <w:t xml:space="preserve">and subsequent </w:t>
      </w:r>
      <w:r w:rsidRPr="00514C40" w:rsidR="002F198B">
        <w:t>litigation</w:t>
      </w:r>
      <w:r w:rsidRPr="00514C40" w:rsidR="00402C71">
        <w:t>.</w:t>
      </w:r>
      <w:r w:rsidRPr="00514C40" w:rsidR="00824F4E">
        <w:t xml:space="preserve"> </w:t>
      </w:r>
      <w:r w:rsidRPr="00514C40" w:rsidR="0081276F">
        <w:t xml:space="preserve"> </w:t>
      </w:r>
      <w:r w:rsidRPr="00514C40" w:rsidR="00584EDB">
        <w:t xml:space="preserve">For example, </w:t>
      </w:r>
      <w:r w:rsidRPr="00514C40" w:rsidR="008922C5">
        <w:t xml:space="preserve">this case does not concern </w:t>
      </w:r>
      <w:r w:rsidRPr="00514C40" w:rsidR="0081276F">
        <w:t xml:space="preserve">whether the nondisparagement </w:t>
      </w:r>
      <w:r w:rsidRPr="00514C40" w:rsidR="00016EF6">
        <w:t xml:space="preserve">clause </w:t>
      </w:r>
      <w:r w:rsidRPr="00514C40" w:rsidR="001F4465">
        <w:t xml:space="preserve">might </w:t>
      </w:r>
      <w:r w:rsidRPr="00514C40" w:rsidR="00B84313">
        <w:t xml:space="preserve">apply </w:t>
      </w:r>
      <w:r w:rsidRPr="00514C40">
        <w:t>to</w:t>
      </w:r>
      <w:r w:rsidRPr="00514C40" w:rsidR="00B84313">
        <w:t xml:space="preserve"> </w:t>
      </w:r>
      <w:r w:rsidRPr="00514C40" w:rsidR="00F647FF">
        <w:t xml:space="preserve">a </w:t>
      </w:r>
      <w:r w:rsidRPr="00514C40" w:rsidR="00B84313">
        <w:t>concerted</w:t>
      </w:r>
      <w:r w:rsidRPr="00514C40" w:rsidR="004A5093">
        <w:t xml:space="preserve">, hostile </w:t>
      </w:r>
      <w:r w:rsidRPr="00514C40" w:rsidR="00B84313">
        <w:t>media campaign</w:t>
      </w:r>
      <w:r w:rsidRPr="00514C40" w:rsidR="00284158">
        <w:t xml:space="preserve"> by </w:t>
      </w:r>
      <w:r w:rsidRPr="00514C40" w:rsidR="00F647FF">
        <w:t xml:space="preserve">one party against </w:t>
      </w:r>
      <w:r w:rsidRPr="00514C40" w:rsidR="00690CA2">
        <w:t xml:space="preserve">the </w:t>
      </w:r>
      <w:r w:rsidRPr="00514C40" w:rsidR="00F647FF">
        <w:t>other</w:t>
      </w:r>
      <w:r w:rsidRPr="00514C40" w:rsidR="00284158">
        <w:t>.</w:t>
      </w:r>
      <w:r w:rsidRPr="00514C40" w:rsidR="00442C99">
        <w:t xml:space="preserve">  </w:t>
      </w:r>
      <w:r w:rsidRPr="00514C40">
        <w:t>W</w:t>
      </w:r>
      <w:r w:rsidRPr="00514C40" w:rsidR="00FC3195">
        <w:t xml:space="preserve">e </w:t>
      </w:r>
      <w:r w:rsidRPr="00514C40">
        <w:t>have no occasion here to address</w:t>
      </w:r>
      <w:r w:rsidRPr="00514C40" w:rsidR="00021905">
        <w:t xml:space="preserve"> </w:t>
      </w:r>
      <w:r w:rsidRPr="00514C40" w:rsidR="00FE3101">
        <w:t>such a scenario</w:t>
      </w:r>
      <w:r w:rsidRPr="00514C40">
        <w:t xml:space="preserve">.  </w:t>
      </w:r>
      <w:r w:rsidRPr="00514C40" w:rsidR="00A534E5">
        <w:t>Olson has failed to</w:t>
      </w:r>
      <w:r w:rsidRPr="00514C40">
        <w:t xml:space="preserve"> show</w:t>
      </w:r>
      <w:r w:rsidRPr="00514C40" w:rsidR="00690CA2">
        <w:t xml:space="preserve"> </w:t>
      </w:r>
      <w:r w:rsidRPr="00514C40">
        <w:t>“the requisite minimal merit</w:t>
      </w:r>
      <w:r w:rsidRPr="00514C40" w:rsidR="00690CA2">
        <w:t>” to “</w:t>
      </w:r>
      <w:r w:rsidRPr="00514C40">
        <w:t>proceed”</w:t>
      </w:r>
      <w:r w:rsidRPr="00514C40" w:rsidR="00235C86">
        <w:t xml:space="preserve"> on </w:t>
      </w:r>
      <w:r w:rsidRPr="00514C40" w:rsidR="00A534E5">
        <w:t>his</w:t>
      </w:r>
      <w:r w:rsidRPr="00514C40" w:rsidR="00235C86">
        <w:t xml:space="preserve"> breach of contract claim</w:t>
      </w:r>
      <w:r w:rsidRPr="00514C40" w:rsidR="00947E67">
        <w:t xml:space="preserve">.  </w:t>
      </w:r>
      <w:r w:rsidRPr="00514C40">
        <w:t>(</w:t>
      </w:r>
      <w:r w:rsidRPr="00514C40">
        <w:rPr>
          <w:i/>
          <w:iCs/>
        </w:rPr>
        <w:t>Navellier</w:t>
      </w:r>
      <w:r w:rsidRPr="00514C40" w:rsidR="00690CA2">
        <w:t>,</w:t>
      </w:r>
      <w:r w:rsidRPr="00514C40">
        <w:t xml:space="preserve"> </w:t>
      </w:r>
      <w:r w:rsidRPr="00514C40" w:rsidR="00690CA2">
        <w:rPr>
          <w:i/>
          <w:iCs/>
        </w:rPr>
        <w:t>supra</w:t>
      </w:r>
      <w:r w:rsidRPr="00514C40" w:rsidR="00690CA2">
        <w:t xml:space="preserve">, </w:t>
      </w:r>
      <w:r w:rsidRPr="00514C40">
        <w:t xml:space="preserve">29 Cal.4th </w:t>
      </w:r>
      <w:r w:rsidRPr="00514C40" w:rsidR="00690CA2">
        <w:t>at p. </w:t>
      </w:r>
      <w:r w:rsidRPr="00514C40">
        <w:t>94.)</w:t>
      </w:r>
    </w:p>
    <w:p w:rsidR="00CE133C" w:rsidRPr="00514C40" w:rsidP="00383443">
      <w:pPr>
        <w:pStyle w:val="Heading2"/>
        <w:ind w:left="0" w:firstLine="0"/>
        <w:jc w:val="center"/>
      </w:pPr>
      <w:r w:rsidRPr="00514C40">
        <w:t>B.</w:t>
      </w:r>
    </w:p>
    <w:p w:rsidR="00BD18C8" w:rsidRPr="00514C40" w:rsidP="00514C40">
      <w:pPr>
        <w:tabs>
          <w:tab w:val="left" w:pos="1440"/>
        </w:tabs>
        <w:ind w:firstLine="720"/>
      </w:pPr>
      <w:r w:rsidRPr="00514C40">
        <w:t>Olson</w:t>
      </w:r>
      <w:r w:rsidRPr="00514C40" w:rsidR="007A11DC">
        <w:t xml:space="preserve"> argues that</w:t>
      </w:r>
      <w:r w:rsidRPr="00514C40" w:rsidR="004A5BC7">
        <w:t xml:space="preserve"> </w:t>
      </w:r>
      <w:r w:rsidRPr="00514C40" w:rsidR="00A14663">
        <w:t>Doe may “try to prove her tort causes of action” but</w:t>
      </w:r>
      <w:r w:rsidRPr="00514C40">
        <w:t xml:space="preserve"> “cannot sho</w:t>
      </w:r>
      <w:r w:rsidRPr="00514C40" w:rsidR="00BE257D">
        <w:t>o</w:t>
      </w:r>
      <w:r w:rsidRPr="00514C40">
        <w:t>t and miss without facing the penalty of contract damages</w:t>
      </w:r>
      <w:r w:rsidRPr="00514C40" w:rsidR="003C5476">
        <w:t>.</w:t>
      </w:r>
      <w:r w:rsidRPr="00514C40">
        <w:t>”</w:t>
      </w:r>
      <w:r w:rsidRPr="00514C40" w:rsidR="00A14663">
        <w:t xml:space="preserve">  </w:t>
      </w:r>
      <w:r w:rsidRPr="00514C40" w:rsidR="008D5E4B">
        <w:t xml:space="preserve">First, </w:t>
      </w:r>
      <w:r w:rsidRPr="00514C40" w:rsidR="00F943EB">
        <w:t>Olson</w:t>
      </w:r>
      <w:r w:rsidRPr="00514C40" w:rsidR="002E7FC1">
        <w:t xml:space="preserve"> </w:t>
      </w:r>
      <w:r w:rsidRPr="00514C40" w:rsidR="00BE257D">
        <w:t xml:space="preserve">analogizes </w:t>
      </w:r>
      <w:r w:rsidRPr="00514C40" w:rsidR="008D6EEA">
        <w:t xml:space="preserve">the </w:t>
      </w:r>
      <w:r w:rsidRPr="00514C40" w:rsidR="008974FC">
        <w:t xml:space="preserve">Court of Appeal’s </w:t>
      </w:r>
      <w:r w:rsidRPr="00514C40" w:rsidR="008D6EEA">
        <w:t xml:space="preserve">holding </w:t>
      </w:r>
      <w:r w:rsidRPr="00514C40" w:rsidR="00BE257D">
        <w:t xml:space="preserve">to </w:t>
      </w:r>
      <w:r w:rsidRPr="00514C40" w:rsidR="002B2772">
        <w:t>the statutory provisions governing</w:t>
      </w:r>
      <w:r w:rsidRPr="00514C40" w:rsidR="005D2609">
        <w:t xml:space="preserve"> family law proceedings and custody determinations in the face of </w:t>
      </w:r>
      <w:r w:rsidRPr="00514C40" w:rsidR="00A627DC">
        <w:t xml:space="preserve">one parent’s </w:t>
      </w:r>
      <w:r w:rsidRPr="00514C40" w:rsidR="002A6429">
        <w:t xml:space="preserve">potentially false </w:t>
      </w:r>
      <w:r w:rsidRPr="00514C40" w:rsidR="005D2609">
        <w:t xml:space="preserve">accusations of </w:t>
      </w:r>
      <w:r w:rsidRPr="00514C40" w:rsidR="00A627DC">
        <w:t>sexual abuse by the other.</w:t>
      </w:r>
      <w:r w:rsidRPr="00514C40" w:rsidR="00BE257D">
        <w:t xml:space="preserve">  </w:t>
      </w:r>
      <w:r w:rsidRPr="00514C40" w:rsidR="005D0E0B">
        <w:t xml:space="preserve">According to Olson, </w:t>
      </w:r>
      <w:r w:rsidRPr="00514C40" w:rsidR="00F9467A">
        <w:t xml:space="preserve">such </w:t>
      </w:r>
      <w:r w:rsidRPr="00514C40" w:rsidR="005D0E0B">
        <w:t xml:space="preserve">family law </w:t>
      </w:r>
      <w:r w:rsidRPr="00514C40" w:rsidR="00F9467A">
        <w:t>provisions</w:t>
      </w:r>
      <w:r w:rsidRPr="00514C40" w:rsidR="005D0E0B">
        <w:t xml:space="preserve"> </w:t>
      </w:r>
      <w:r w:rsidRPr="00514C40" w:rsidR="000635E6">
        <w:t xml:space="preserve">demonstrate “another context where the Legislature has recognized the incentive to make false accusations can be so great as to overwhelm the motivation for veracity.”  </w:t>
      </w:r>
      <w:r w:rsidRPr="00514C40" w:rsidR="004A1CA9">
        <w:t xml:space="preserve">But </w:t>
      </w:r>
      <w:r w:rsidRPr="00514C40" w:rsidR="00F943EB">
        <w:t>the</w:t>
      </w:r>
      <w:r w:rsidRPr="00514C40" w:rsidR="004A1CA9">
        <w:t xml:space="preserve"> analogy does not hold.  We are not confronted with </w:t>
      </w:r>
      <w:r w:rsidRPr="00514C40" w:rsidR="006E376D">
        <w:t>how to apply</w:t>
      </w:r>
      <w:r w:rsidRPr="00514C40" w:rsidR="004B23BD">
        <w:t xml:space="preserve"> a </w:t>
      </w:r>
      <w:r w:rsidRPr="00514C40" w:rsidR="006B1F9A">
        <w:t xml:space="preserve">highly reticulated statutory scheme reflecting the Legislature’s </w:t>
      </w:r>
      <w:r w:rsidRPr="00514C40" w:rsidR="004B23BD">
        <w:t xml:space="preserve">sensitive </w:t>
      </w:r>
      <w:r w:rsidRPr="00514C40" w:rsidR="006B1F9A">
        <w:t>policy</w:t>
      </w:r>
      <w:r w:rsidRPr="00514C40" w:rsidR="008727D6">
        <w:t xml:space="preserve"> judgment</w:t>
      </w:r>
      <w:r w:rsidRPr="00514C40" w:rsidR="00A027E3">
        <w:t>s</w:t>
      </w:r>
      <w:r w:rsidRPr="00514C40" w:rsidR="00495156">
        <w:t xml:space="preserve">.  </w:t>
      </w:r>
      <w:r w:rsidRPr="00514C40" w:rsidR="00E514C5">
        <w:t>T</w:t>
      </w:r>
      <w:r w:rsidRPr="00514C40" w:rsidR="00495156">
        <w:t xml:space="preserve">his case </w:t>
      </w:r>
      <w:r w:rsidRPr="00514C40" w:rsidR="00470921">
        <w:t>turn</w:t>
      </w:r>
      <w:r w:rsidRPr="00514C40" w:rsidR="00666E25">
        <w:t>s</w:t>
      </w:r>
      <w:r w:rsidRPr="00514C40" w:rsidR="00470921">
        <w:t xml:space="preserve"> on a</w:t>
      </w:r>
      <w:r w:rsidR="001B4435">
        <w:t>n ordinary</w:t>
      </w:r>
      <w:r w:rsidRPr="00514C40" w:rsidR="00495156">
        <w:t xml:space="preserve"> question of contract </w:t>
      </w:r>
      <w:r w:rsidRPr="00514C40" w:rsidR="00CD2D2B">
        <w:t>interpretation</w:t>
      </w:r>
      <w:r w:rsidRPr="00514C40" w:rsidR="00E514C5">
        <w:t xml:space="preserve"> that </w:t>
      </w:r>
      <w:r w:rsidRPr="00514C40" w:rsidR="00495156">
        <w:t xml:space="preserve">the Legislature </w:t>
      </w:r>
      <w:r w:rsidRPr="00514C40" w:rsidR="00E514C5">
        <w:t xml:space="preserve">likely did not </w:t>
      </w:r>
      <w:r w:rsidRPr="00514C40" w:rsidR="0019227B">
        <w:t>contemplate</w:t>
      </w:r>
      <w:r w:rsidRPr="00514C40" w:rsidR="00362DAE">
        <w:t xml:space="preserve"> when enacting section </w:t>
      </w:r>
      <w:r w:rsidRPr="00514C40" w:rsidR="00513B29">
        <w:t>527.6 or the anti</w:t>
      </w:r>
      <w:r w:rsidRPr="00514C40" w:rsidR="001E11EC">
        <w:noBreakHyphen/>
      </w:r>
      <w:r w:rsidRPr="00514C40" w:rsidR="00513B29">
        <w:t>SLAPP statute</w:t>
      </w:r>
      <w:r w:rsidRPr="00514C40" w:rsidR="00F73337">
        <w:t>.</w:t>
      </w:r>
    </w:p>
    <w:p w:rsidR="009D1B86" w:rsidP="00514C40">
      <w:pPr>
        <w:tabs>
          <w:tab w:val="left" w:pos="1440"/>
        </w:tabs>
        <w:ind w:firstLine="720"/>
      </w:pPr>
      <w:r w:rsidRPr="00514C40">
        <w:t xml:space="preserve">Next, </w:t>
      </w:r>
      <w:r w:rsidRPr="00514C40" w:rsidR="007A11DC">
        <w:t xml:space="preserve">Olson </w:t>
      </w:r>
      <w:r w:rsidRPr="00514C40" w:rsidR="00B64894">
        <w:t>contends</w:t>
      </w:r>
      <w:r w:rsidRPr="00514C40" w:rsidR="007A11DC">
        <w:t xml:space="preserve"> that the answer to the question before us is “simple because the Court of Appeal’s holding does not bar Doe’s claims but allows Olson to plead and prove his.”  </w:t>
      </w:r>
      <w:r w:rsidRPr="00514C40" w:rsidR="00F73337">
        <w:t xml:space="preserve">Olson’s argument </w:t>
      </w:r>
      <w:r w:rsidRPr="00514C40" w:rsidR="005E6A68">
        <w:t xml:space="preserve">is </w:t>
      </w:r>
      <w:r w:rsidRPr="00514C40" w:rsidR="00F73337">
        <w:t>that</w:t>
      </w:r>
      <w:r w:rsidRPr="00514C40" w:rsidR="00E30C83">
        <w:t xml:space="preserve"> </w:t>
      </w:r>
      <w:r w:rsidRPr="00514C40" w:rsidR="004C7490">
        <w:t>“the non</w:t>
      </w:r>
      <w:r w:rsidRPr="00514C40" w:rsidR="001C61A3">
        <w:noBreakHyphen/>
      </w:r>
      <w:r w:rsidRPr="00514C40" w:rsidR="004C7490">
        <w:t>disparagement clause in the mediated agreement does not operate to ‘bar’ Doe’s ‘unlimited civil lawsuit’ ”</w:t>
      </w:r>
      <w:r w:rsidRPr="00514C40" w:rsidR="003F480E">
        <w:t xml:space="preserve"> because Doe can still proceed with her claims, just with the specter of breach of contract </w:t>
      </w:r>
      <w:r w:rsidRPr="00514C40" w:rsidR="00FD0FAC">
        <w:t xml:space="preserve">liability </w:t>
      </w:r>
      <w:r w:rsidRPr="00514C40" w:rsidR="003F480E">
        <w:t>hanging over her</w:t>
      </w:r>
      <w:r w:rsidRPr="00514C40" w:rsidR="004A6F33">
        <w:t xml:space="preserve"> head</w:t>
      </w:r>
      <w:r w:rsidRPr="00514C40" w:rsidR="00614269">
        <w:t>.</w:t>
      </w:r>
      <w:r w:rsidRPr="00514C40" w:rsidR="00A0757A">
        <w:t xml:space="preserve">  </w:t>
      </w:r>
      <w:r w:rsidRPr="00514C40" w:rsidR="00015E4A">
        <w:t xml:space="preserve">This </w:t>
      </w:r>
      <w:r w:rsidRPr="00514C40" w:rsidR="005E6A68">
        <w:t>fails to respond to the substance of the question at hand</w:t>
      </w:r>
      <w:r w:rsidRPr="00514C40" w:rsidR="00015E4A">
        <w:t xml:space="preserve">.  </w:t>
      </w:r>
      <w:r w:rsidRPr="00514C40" w:rsidR="00CE1A1E">
        <w:t>Whether</w:t>
      </w:r>
      <w:r w:rsidRPr="00514C40" w:rsidR="00796B1D">
        <w:t xml:space="preserve"> the </w:t>
      </w:r>
      <w:r w:rsidR="001B4435">
        <w:t>claim</w:t>
      </w:r>
      <w:r w:rsidRPr="00514C40" w:rsidR="00796B1D">
        <w:t xml:space="preserve"> is that</w:t>
      </w:r>
      <w:r w:rsidRPr="00514C40" w:rsidR="00CE1A1E">
        <w:t xml:space="preserve"> Doe cannot file suit</w:t>
      </w:r>
      <w:r w:rsidRPr="00514C40" w:rsidR="00796B1D">
        <w:t xml:space="preserve"> or </w:t>
      </w:r>
      <w:r w:rsidRPr="00514C40" w:rsidR="00132629">
        <w:t xml:space="preserve">that she may be subject to damages liability for doing so is </w:t>
      </w:r>
      <w:r w:rsidR="0092198C">
        <w:t xml:space="preserve">materially </w:t>
      </w:r>
      <w:r w:rsidR="00A80CF4">
        <w:t xml:space="preserve">the same </w:t>
      </w:r>
      <w:r w:rsidRPr="00514C40" w:rsidR="00BF5D6F">
        <w:t xml:space="preserve">for purposes of assessing whether the nondisparagement clause applies to </w:t>
      </w:r>
      <w:r w:rsidRPr="00514C40" w:rsidR="00477E23">
        <w:t>statements made in connection with subsequent litigation</w:t>
      </w:r>
      <w:r w:rsidRPr="00514C40" w:rsidR="00132629">
        <w:t xml:space="preserve">.  </w:t>
      </w:r>
    </w:p>
    <w:p w:rsidR="0001696A" w:rsidRPr="00514C40" w:rsidP="00514C40">
      <w:pPr>
        <w:tabs>
          <w:tab w:val="left" w:pos="1440"/>
        </w:tabs>
        <w:ind w:firstLine="720"/>
      </w:pPr>
      <w:r>
        <w:t xml:space="preserve">In </w:t>
      </w:r>
      <w:r w:rsidRPr="00514C40">
        <w:t>Olson</w:t>
      </w:r>
      <w:r>
        <w:t>’s view,</w:t>
      </w:r>
      <w:r w:rsidRPr="00514C40">
        <w:t xml:space="preserve"> even if Doe prevailed on her</w:t>
      </w:r>
      <w:r>
        <w:t xml:space="preserve"> sexual battery claim</w:t>
      </w:r>
      <w:r w:rsidRPr="00514C40">
        <w:t xml:space="preserve">, he could also prevail on his breach of contract claim and seek damages for economic injury based on reputational harm to offset </w:t>
      </w:r>
      <w:r>
        <w:t xml:space="preserve">any damages </w:t>
      </w:r>
      <w:r w:rsidRPr="00514C40">
        <w:t xml:space="preserve">he owed her.  </w:t>
      </w:r>
      <w:r w:rsidR="00261D3D">
        <w:t>S</w:t>
      </w:r>
      <w:r w:rsidRPr="00514C40">
        <w:t xml:space="preserve">uch an interpretation could require Doe to pay Olson after having successfully proven her </w:t>
      </w:r>
      <w:r>
        <w:t xml:space="preserve">case </w:t>
      </w:r>
      <w:r w:rsidRPr="00514C40">
        <w:t xml:space="preserve">if his damages exceed those awarded to her.  There </w:t>
      </w:r>
      <w:r>
        <w:t>are</w:t>
      </w:r>
      <w:r w:rsidRPr="00514C40">
        <w:t xml:space="preserve"> strong public policy reasons to refrain from such an interpretation.  Not long after the mediation agreement in this case was signed, the Legislature clarified that a provision within a settlement agreement that prevents the disclosure of factual information related to sexual assault or harassment is prohibited.  (Code Civ. Proc. § 1001, subd. (a)(1), (2); see Assem. Com. on Judiciary, Analysis of Sen. Bill No. 820 (2017–2018 Reg. Sess.) as amended June 20, 2018, pp. 3–4</w:t>
      </w:r>
      <w:r>
        <w:t xml:space="preserve"> </w:t>
      </w:r>
      <w:r w:rsidRPr="00514C40">
        <w:t xml:space="preserve">[expressing concerns with confidentiality provisions in settlement agreements in cases involving sexual harassment and assault].)  </w:t>
      </w:r>
      <w:r>
        <w:t>While Olson’s interpretation of the clause would not prohibit Doe from revealing factual information, the specter of liability would clearly disincentivize it.</w:t>
      </w:r>
    </w:p>
    <w:p w:rsidR="003E46B8" w:rsidRPr="00514C40" w:rsidP="00514C40">
      <w:pPr>
        <w:tabs>
          <w:tab w:val="left" w:pos="1440"/>
        </w:tabs>
        <w:ind w:firstLine="720"/>
      </w:pPr>
      <w:r w:rsidRPr="00514C40">
        <w:t xml:space="preserve">Olson is correct, of course, that </w:t>
      </w:r>
      <w:r w:rsidRPr="00514C40" w:rsidR="00047AED">
        <w:t>generally speaking</w:t>
      </w:r>
      <w:r w:rsidRPr="00514C40" w:rsidR="00754E93">
        <w:t xml:space="preserve"> </w:t>
      </w:r>
      <w:r w:rsidRPr="00514C40">
        <w:t xml:space="preserve">a party can </w:t>
      </w:r>
      <w:r w:rsidRPr="00514C40" w:rsidR="0074398A">
        <w:t>“</w:t>
      </w:r>
      <w:r w:rsidRPr="00514C40" w:rsidR="0016065E">
        <w:t>validly contract</w:t>
      </w:r>
      <w:r w:rsidRPr="00514C40" w:rsidR="0074398A">
        <w:t>[]</w:t>
      </w:r>
      <w:r w:rsidRPr="00514C40" w:rsidR="0016065E">
        <w:t> not to speak or petition</w:t>
      </w:r>
      <w:r w:rsidRPr="00514C40" w:rsidR="0074398A">
        <w:t xml:space="preserve">” and thereby </w:t>
      </w:r>
      <w:r w:rsidRPr="00514C40" w:rsidR="00606AA9">
        <w:t>“ </w:t>
      </w:r>
      <w:r w:rsidRPr="00514C40" w:rsidR="0016065E">
        <w:t>‘waive</w:t>
      </w:r>
      <w:r w:rsidRPr="00514C40" w:rsidR="00606AA9">
        <w:t>[]</w:t>
      </w:r>
      <w:r w:rsidRPr="00514C40" w:rsidR="0016065E">
        <w:t>’ the right to the anti-SLAPP</w:t>
      </w:r>
      <w:r w:rsidRPr="00514C40">
        <w:t xml:space="preserve"> </w:t>
      </w:r>
      <w:r w:rsidRPr="00514C40" w:rsidR="0016065E">
        <w:t>statute’s</w:t>
      </w:r>
      <w:r w:rsidRPr="00514C40">
        <w:t xml:space="preserve"> </w:t>
      </w:r>
      <w:r w:rsidRPr="00514C40" w:rsidR="0016065E">
        <w:t>protection</w:t>
      </w:r>
      <w:r w:rsidRPr="00514C40">
        <w:t xml:space="preserve"> </w:t>
      </w:r>
      <w:r w:rsidRPr="00514C40" w:rsidR="0016065E">
        <w:t>in</w:t>
      </w:r>
      <w:r w:rsidRPr="00514C40">
        <w:t xml:space="preserve"> </w:t>
      </w:r>
      <w:r w:rsidRPr="00514C40" w:rsidR="0016065E">
        <w:t>the event he or she later breaches that contract.”  (</w:t>
      </w:r>
      <w:r w:rsidRPr="00514C40" w:rsidR="0016065E">
        <w:rPr>
          <w:i/>
          <w:iCs/>
        </w:rPr>
        <w:t>Navellier</w:t>
      </w:r>
      <w:r w:rsidRPr="00514C40" w:rsidR="0016065E">
        <w:t xml:space="preserve">, </w:t>
      </w:r>
      <w:r w:rsidRPr="00514C40" w:rsidR="0016065E">
        <w:rPr>
          <w:i/>
          <w:iCs/>
        </w:rPr>
        <w:t>supra</w:t>
      </w:r>
      <w:r w:rsidRPr="00514C40" w:rsidR="0016065E">
        <w:t>, 29 Cal.4th at p. 94.)</w:t>
      </w:r>
      <w:r w:rsidRPr="00514C40">
        <w:t xml:space="preserve">  </w:t>
      </w:r>
      <w:r w:rsidRPr="00514C40" w:rsidR="008C758A">
        <w:t xml:space="preserve">But </w:t>
      </w:r>
      <w:r w:rsidRPr="00514C40" w:rsidR="000D5596">
        <w:t xml:space="preserve">the circumstances </w:t>
      </w:r>
      <w:r w:rsidRPr="00514C40" w:rsidR="008C758A">
        <w:t xml:space="preserve">here </w:t>
      </w:r>
      <w:r w:rsidRPr="00514C40" w:rsidR="001A3364">
        <w:t xml:space="preserve">are meaningfully different from what we </w:t>
      </w:r>
      <w:r w:rsidRPr="00514C40" w:rsidR="00CA3ACF">
        <w:t xml:space="preserve">have </w:t>
      </w:r>
      <w:r w:rsidRPr="00514C40" w:rsidR="001A3364">
        <w:t xml:space="preserve">confronted </w:t>
      </w:r>
      <w:r w:rsidRPr="00514C40" w:rsidR="00CA3ACF">
        <w:t>in other cases.</w:t>
      </w:r>
    </w:p>
    <w:p w:rsidR="00EA7F98" w:rsidRPr="00514C40" w:rsidP="00514C40">
      <w:pPr>
        <w:tabs>
          <w:tab w:val="left" w:pos="1440"/>
        </w:tabs>
        <w:ind w:firstLine="720"/>
      </w:pPr>
      <w:r w:rsidRPr="00514C40">
        <w:t xml:space="preserve">In </w:t>
      </w:r>
      <w:r w:rsidRPr="00514C40" w:rsidR="000D5596">
        <w:rPr>
          <w:i/>
          <w:iCs/>
        </w:rPr>
        <w:t>Monster Energy Co. v. Schechter</w:t>
      </w:r>
      <w:r w:rsidRPr="00514C40" w:rsidR="000D5596">
        <w:t xml:space="preserve"> (2019) 7 Cal.5th 781</w:t>
      </w:r>
      <w:r w:rsidRPr="00514C40">
        <w:t xml:space="preserve">, </w:t>
      </w:r>
      <w:r w:rsidRPr="00514C40" w:rsidR="00204302">
        <w:t>a tort settlement “</w:t>
      </w:r>
      <w:r w:rsidRPr="00514C40" w:rsidR="00277DC6">
        <w:t>included several provisions purporting to impose confidentiality obligations on the parties and their counsel</w:t>
      </w:r>
      <w:r w:rsidRPr="00514C40" w:rsidR="008C758A">
        <w:t>,</w:t>
      </w:r>
      <w:r w:rsidRPr="00514C40" w:rsidR="00B11D20">
        <w:t>”</w:t>
      </w:r>
      <w:r w:rsidRPr="00514C40" w:rsidR="002D71CE">
        <w:t xml:space="preserve"> and</w:t>
      </w:r>
      <w:r w:rsidRPr="00514C40" w:rsidR="00B11D20">
        <w:t xml:space="preserve"> counsel </w:t>
      </w:r>
      <w:r w:rsidRPr="00514C40" w:rsidR="00277DC6">
        <w:t xml:space="preserve">signed </w:t>
      </w:r>
      <w:r w:rsidRPr="00514C40" w:rsidR="00B11D20">
        <w:t>the agreement “</w:t>
      </w:r>
      <w:r w:rsidRPr="00514C40" w:rsidR="00277DC6">
        <w:t>under a notation that they approved</w:t>
      </w:r>
      <w:r w:rsidRPr="00514C40" w:rsidR="00B84372">
        <w:t xml:space="preserve"> </w:t>
      </w:r>
      <w:r w:rsidRPr="00514C40" w:rsidR="00D518AD">
        <w:t>[it]</w:t>
      </w:r>
      <w:r w:rsidRPr="00514C40" w:rsidR="00277DC6">
        <w:t xml:space="preserve"> as to form and content</w:t>
      </w:r>
      <w:r w:rsidRPr="00514C40" w:rsidR="002D71CE">
        <w:t>.</w:t>
      </w:r>
      <w:r w:rsidRPr="00514C40" w:rsidR="00D518AD">
        <w:t>”</w:t>
      </w:r>
      <w:r w:rsidRPr="00514C40" w:rsidR="002D71CE">
        <w:t xml:space="preserve">  (</w:t>
      </w:r>
      <w:r w:rsidRPr="00514C40" w:rsidR="002D71CE">
        <w:rPr>
          <w:i/>
          <w:iCs/>
        </w:rPr>
        <w:t>Id.</w:t>
      </w:r>
      <w:r w:rsidRPr="00514C40" w:rsidR="002D71CE">
        <w:t xml:space="preserve"> at p. 785.) </w:t>
      </w:r>
      <w:r w:rsidRPr="00514C40" w:rsidR="00D518AD">
        <w:t xml:space="preserve"> </w:t>
      </w:r>
      <w:r w:rsidRPr="00514C40" w:rsidR="00497F38">
        <w:t>Monster Energy subsequently sued counsel</w:t>
      </w:r>
      <w:r w:rsidRPr="00514C40" w:rsidR="008C758A">
        <w:t>,</w:t>
      </w:r>
      <w:r w:rsidRPr="00514C40" w:rsidR="00497F38">
        <w:t xml:space="preserve"> alleging </w:t>
      </w:r>
      <w:r w:rsidRPr="00514C40" w:rsidR="0076435B">
        <w:t xml:space="preserve">that public statements about the settlement constituted breach of </w:t>
      </w:r>
      <w:r w:rsidRPr="00514C40" w:rsidR="001622D8">
        <w:t>the agreement</w:t>
      </w:r>
      <w:r w:rsidRPr="00514C40" w:rsidR="0076435B">
        <w:t>.</w:t>
      </w:r>
      <w:r w:rsidRPr="00514C40" w:rsidR="00472642">
        <w:t xml:space="preserve"> </w:t>
      </w:r>
      <w:r w:rsidRPr="00514C40" w:rsidR="00D80639">
        <w:t xml:space="preserve"> We held that Monster Energy had </w:t>
      </w:r>
      <w:r w:rsidRPr="00514C40" w:rsidR="00013084">
        <w:t>met its burden of showing the “minimal merit” needed to proceed on the breach of contract claim</w:t>
      </w:r>
      <w:r w:rsidRPr="00514C40" w:rsidR="00F13225">
        <w:t xml:space="preserve"> “[i]n light of the nature and extent of provisions in the agreement here purporting to bind counsel, and the other properly submitted evidence.”</w:t>
      </w:r>
      <w:r w:rsidRPr="00514C40" w:rsidR="00013084">
        <w:t xml:space="preserve"> </w:t>
      </w:r>
      <w:r w:rsidRPr="00514C40" w:rsidR="00A07A84">
        <w:t xml:space="preserve"> (</w:t>
      </w:r>
      <w:r w:rsidRPr="00514C40" w:rsidR="00A07A84">
        <w:rPr>
          <w:i/>
          <w:iCs/>
        </w:rPr>
        <w:t>Id.</w:t>
      </w:r>
      <w:r w:rsidRPr="00514C40" w:rsidR="00A07A84">
        <w:t xml:space="preserve"> at p. 796.)  </w:t>
      </w:r>
      <w:r w:rsidRPr="00514C40" w:rsidR="00F13225">
        <w:t>W</w:t>
      </w:r>
      <w:r w:rsidRPr="00514C40" w:rsidR="00A07A84">
        <w:t xml:space="preserve">e </w:t>
      </w:r>
      <w:r w:rsidRPr="00514C40" w:rsidR="00F13225">
        <w:t xml:space="preserve">specifically </w:t>
      </w:r>
      <w:r w:rsidRPr="00514C40" w:rsidR="00A07A84">
        <w:t>looked to the agreement’s</w:t>
      </w:r>
      <w:r w:rsidRPr="00514C40" w:rsidR="00ED2D91">
        <w:t xml:space="preserve"> </w:t>
      </w:r>
      <w:r w:rsidRPr="00514C40" w:rsidR="00A07A84">
        <w:t>“</w:t>
      </w:r>
      <w:r w:rsidRPr="00514C40" w:rsidR="00ED2D91">
        <w:t>numerous references to counsel as one whose keeping of confidentiality is assured</w:t>
      </w:r>
      <w:r w:rsidRPr="00514C40" w:rsidR="002735E8">
        <w:t>,” which “</w:t>
      </w:r>
      <w:r w:rsidRPr="00514C40" w:rsidR="00ED2D91">
        <w:t>reflect</w:t>
      </w:r>
      <w:r w:rsidRPr="00514C40" w:rsidR="002735E8">
        <w:t>[ed]</w:t>
      </w:r>
      <w:r w:rsidRPr="00514C40" w:rsidR="00ED2D91">
        <w:t xml:space="preserve"> an expectation that the confidentiality provisions would apply to counsel as well.</w:t>
      </w:r>
      <w:r w:rsidRPr="00514C40" w:rsidR="008C6609">
        <w:t>”  (</w:t>
      </w:r>
      <w:r w:rsidRPr="00514C40" w:rsidR="008C6609">
        <w:rPr>
          <w:i/>
          <w:iCs/>
        </w:rPr>
        <w:t>Ibid.</w:t>
      </w:r>
      <w:r w:rsidRPr="00514C40" w:rsidR="008C6609">
        <w:t>)</w:t>
      </w:r>
      <w:r w:rsidRPr="00514C40" w:rsidR="00ED2D91">
        <w:t xml:space="preserve"> </w:t>
      </w:r>
      <w:r w:rsidRPr="00514C40" w:rsidR="008C6609">
        <w:t xml:space="preserve"> Thus</w:t>
      </w:r>
      <w:r w:rsidRPr="00514C40" w:rsidR="004E5A96">
        <w:t>, we found</w:t>
      </w:r>
      <w:r w:rsidRPr="00514C40">
        <w:t xml:space="preserve"> it “</w:t>
      </w:r>
      <w:r w:rsidRPr="00514C40" w:rsidR="00ED2D91">
        <w:t>reasonable to argue that counsel</w:t>
      </w:r>
      <w:r w:rsidRPr="00514C40">
        <w:t>’</w:t>
      </w:r>
      <w:r w:rsidRPr="00514C40" w:rsidR="00ED2D91">
        <w:t>s signature on the document evinced an understanding of the agreement</w:t>
      </w:r>
      <w:r w:rsidRPr="00514C40">
        <w:t>’</w:t>
      </w:r>
      <w:r w:rsidRPr="00514C40" w:rsidR="00ED2D91">
        <w:t>s terms and a willingness to be bound by the terms that explicitly referred to him</w:t>
      </w:r>
      <w:r w:rsidRPr="00514C40">
        <w:t>.”</w:t>
      </w:r>
      <w:r w:rsidRPr="00514C40" w:rsidR="0039030A">
        <w:t xml:space="preserve">  (</w:t>
      </w:r>
      <w:r w:rsidRPr="00514C40" w:rsidR="0039030A">
        <w:rPr>
          <w:i/>
          <w:iCs/>
        </w:rPr>
        <w:t>Ibid.</w:t>
      </w:r>
      <w:r w:rsidRPr="00514C40" w:rsidR="0039030A">
        <w:t>)</w:t>
      </w:r>
    </w:p>
    <w:p w:rsidR="00150703" w:rsidRPr="00514C40" w:rsidP="00514C40">
      <w:pPr>
        <w:tabs>
          <w:tab w:val="left" w:pos="1440"/>
        </w:tabs>
        <w:ind w:firstLine="720"/>
      </w:pPr>
      <w:r w:rsidRPr="00514C40">
        <w:t>Whereas the</w:t>
      </w:r>
      <w:r w:rsidRPr="00514C40" w:rsidR="00BF0750">
        <w:t xml:space="preserve"> agreement as a whole</w:t>
      </w:r>
      <w:r w:rsidRPr="00514C40" w:rsidR="007B6764">
        <w:t>,</w:t>
      </w:r>
      <w:r w:rsidRPr="00514C40" w:rsidR="00BF0750">
        <w:t xml:space="preserve"> together with extrinsic evidence</w:t>
      </w:r>
      <w:r w:rsidRPr="00514C40" w:rsidR="007B6764">
        <w:t>,</w:t>
      </w:r>
      <w:r w:rsidRPr="00514C40" w:rsidR="00BF0750">
        <w:t xml:space="preserve"> supported the breach of contract claim in </w:t>
      </w:r>
      <w:r w:rsidRPr="00514C40" w:rsidR="00BF0750">
        <w:rPr>
          <w:i/>
          <w:iCs/>
        </w:rPr>
        <w:t>Monster Energy</w:t>
      </w:r>
      <w:r w:rsidRPr="00514C40" w:rsidR="00BF0750">
        <w:t>,</w:t>
      </w:r>
      <w:r w:rsidRPr="00514C40" w:rsidR="007B6764">
        <w:t xml:space="preserve"> </w:t>
      </w:r>
      <w:r w:rsidRPr="00514C40" w:rsidR="00C85B6F">
        <w:t xml:space="preserve">Olson </w:t>
      </w:r>
      <w:r w:rsidRPr="00514C40" w:rsidR="005D4266">
        <w:t>relies solely on</w:t>
      </w:r>
      <w:r w:rsidRPr="00514C40" w:rsidR="00C85B6F">
        <w:t xml:space="preserve"> the </w:t>
      </w:r>
      <w:r w:rsidRPr="00514C40" w:rsidR="0063790A">
        <w:t>text</w:t>
      </w:r>
      <w:r w:rsidRPr="00514C40" w:rsidR="00C85B6F">
        <w:t xml:space="preserve"> of the nondisparagement clause. </w:t>
      </w:r>
      <w:r w:rsidRPr="00514C40" w:rsidR="00A62100">
        <w:t xml:space="preserve"> </w:t>
      </w:r>
      <w:r w:rsidRPr="00514C40" w:rsidR="00B41FA8">
        <w:t>Going</w:t>
      </w:r>
      <w:r w:rsidRPr="00514C40" w:rsidR="00D754AD">
        <w:t xml:space="preserve"> beyond that isolated language</w:t>
      </w:r>
      <w:r w:rsidRPr="00514C40" w:rsidR="00DA7FFA">
        <w:t>, as we must, to consider</w:t>
      </w:r>
      <w:r w:rsidRPr="00514C40" w:rsidR="00A67DC9">
        <w:t xml:space="preserve"> </w:t>
      </w:r>
      <w:r w:rsidRPr="00514C40" w:rsidR="00230E8E">
        <w:t>the mediation agreement as a whole and the context in which it was negotiated</w:t>
      </w:r>
      <w:r w:rsidRPr="00514C40" w:rsidR="00DB0204">
        <w:t xml:space="preserve"> </w:t>
      </w:r>
      <w:r w:rsidRPr="00514C40" w:rsidR="00230E8E">
        <w:t>undermines</w:t>
      </w:r>
      <w:r w:rsidRPr="00514C40" w:rsidR="007D7A53">
        <w:t xml:space="preserve"> Olson’s </w:t>
      </w:r>
      <w:r w:rsidRPr="00514C40">
        <w:t>showing on a critical element of his claim</w:t>
      </w:r>
      <w:r w:rsidRPr="00514C40" w:rsidR="005D4266">
        <w:t xml:space="preserve">: </w:t>
      </w:r>
      <w:r w:rsidRPr="00514C40" w:rsidR="00DB0204">
        <w:t xml:space="preserve"> </w:t>
      </w:r>
      <w:r w:rsidRPr="00514C40" w:rsidR="00EE64C4">
        <w:t>Doe</w:t>
      </w:r>
      <w:r w:rsidR="00086C32">
        <w:t xml:space="preserve"> had no</w:t>
      </w:r>
      <w:r w:rsidRPr="00514C40" w:rsidR="00EE64C4">
        <w:t xml:space="preserve"> </w:t>
      </w:r>
      <w:r w:rsidRPr="00514C40" w:rsidR="002521F8">
        <w:t>obligation under the contract to refrain from making disparaging statements in litigation</w:t>
      </w:r>
      <w:r w:rsidRPr="00514C40" w:rsidR="00EE64C4">
        <w:t>.</w:t>
      </w:r>
      <w:r w:rsidRPr="00514C40" w:rsidR="0081738D">
        <w:t xml:space="preserve">  </w:t>
      </w:r>
      <w:r w:rsidRPr="00514C40" w:rsidR="00A32563">
        <w:t xml:space="preserve">Olson </w:t>
      </w:r>
      <w:r w:rsidR="00086C32">
        <w:t xml:space="preserve">thus </w:t>
      </w:r>
      <w:r w:rsidRPr="00514C40" w:rsidR="00A32563">
        <w:t xml:space="preserve">cannot </w:t>
      </w:r>
      <w:r w:rsidRPr="00514C40" w:rsidR="008F3BD9">
        <w:t>defeat Doe’s anti-SLAPP motion.</w:t>
      </w:r>
      <w:r w:rsidRPr="00514C40" w:rsidR="00A32563">
        <w:t xml:space="preserve"> </w:t>
      </w:r>
    </w:p>
    <w:p w:rsidR="00CE6E3C" w:rsidRPr="00514C40" w:rsidP="00383443">
      <w:pPr>
        <w:pStyle w:val="Heading2"/>
        <w:ind w:left="0" w:firstLine="0"/>
        <w:jc w:val="center"/>
      </w:pPr>
      <w:r w:rsidRPr="00514C40">
        <w:t>C.</w:t>
      </w:r>
    </w:p>
    <w:p w:rsidR="00F60BBD" w:rsidRPr="00514C40" w:rsidP="00514C40">
      <w:pPr>
        <w:tabs>
          <w:tab w:val="left" w:pos="1440"/>
        </w:tabs>
        <w:ind w:firstLine="720"/>
      </w:pPr>
      <w:r w:rsidRPr="00514C40">
        <w:t xml:space="preserve">We </w:t>
      </w:r>
      <w:r w:rsidRPr="00514C40" w:rsidR="008B4407">
        <w:t xml:space="preserve">also </w:t>
      </w:r>
      <w:r w:rsidRPr="00514C40">
        <w:t>granted review to decide under what circumstances the litigation privilege of Civil Code section 47, subdivision (b) applies to contract claims.</w:t>
      </w:r>
      <w:r w:rsidRPr="00514C40" w:rsidR="00B81897">
        <w:t xml:space="preserve">  Because </w:t>
      </w:r>
      <w:r w:rsidRPr="00514C40" w:rsidR="00441491">
        <w:t>we</w:t>
      </w:r>
      <w:r w:rsidRPr="00514C40" w:rsidR="00B81897">
        <w:t xml:space="preserve"> conclude that Olson has not demonstrated </w:t>
      </w:r>
      <w:r w:rsidRPr="00514C40" w:rsidR="004558AB">
        <w:t xml:space="preserve">a probability of success </w:t>
      </w:r>
      <w:r w:rsidRPr="00514C40" w:rsidR="00945B3F">
        <w:t xml:space="preserve">necessary </w:t>
      </w:r>
      <w:r w:rsidRPr="00514C40" w:rsidR="00C90A41">
        <w:t>to overcome Doe’s anti</w:t>
      </w:r>
      <w:r w:rsidRPr="00514C40" w:rsidR="00F44B3B">
        <w:noBreakHyphen/>
      </w:r>
      <w:r w:rsidRPr="00514C40" w:rsidR="00C90A41">
        <w:t xml:space="preserve">SLAPP motion, we need </w:t>
      </w:r>
      <w:r w:rsidRPr="00514C40" w:rsidR="001A1C27">
        <w:t xml:space="preserve">not </w:t>
      </w:r>
      <w:r w:rsidRPr="00514C40" w:rsidR="00441491">
        <w:t xml:space="preserve">and do not </w:t>
      </w:r>
      <w:r w:rsidRPr="00514C40" w:rsidR="00C90A41">
        <w:t>reach the question</w:t>
      </w:r>
      <w:r w:rsidRPr="00514C40" w:rsidR="007A75D4">
        <w:t xml:space="preserve"> whether the litigation privilege also poses a barrier to Olson’s claims.  (See </w:t>
      </w:r>
      <w:r w:rsidRPr="00514C40" w:rsidR="007A75D4">
        <w:rPr>
          <w:i/>
          <w:iCs/>
        </w:rPr>
        <w:t xml:space="preserve">Flatley v. Mauro </w:t>
      </w:r>
      <w:r w:rsidRPr="00514C40" w:rsidR="007A75D4">
        <w:t>(2006) 39</w:t>
      </w:r>
      <w:r w:rsidRPr="00514C40" w:rsidR="00064972">
        <w:t> </w:t>
      </w:r>
      <w:r w:rsidRPr="00514C40" w:rsidR="007A75D4">
        <w:t>Cal.4th 299, 323</w:t>
      </w:r>
      <w:r w:rsidRPr="00514C40" w:rsidR="0084519B">
        <w:t xml:space="preserve"> [“The litigation privilege is also relevant to the second step in the anti-SLAPP analysis in that it may present a substantive defense a plaintiff must overcome to demonstrate a probability of prevailing.”].)</w:t>
      </w:r>
      <w:r w:rsidRPr="00514C40" w:rsidR="00F86DD6">
        <w:t xml:space="preserve">  </w:t>
      </w:r>
      <w:r w:rsidR="00086C32">
        <w:t>W</w:t>
      </w:r>
      <w:r w:rsidRPr="00514C40" w:rsidR="00882736">
        <w:t xml:space="preserve">e note </w:t>
      </w:r>
      <w:r w:rsidR="00086C32">
        <w:t xml:space="preserve">only </w:t>
      </w:r>
      <w:r w:rsidRPr="00514C40" w:rsidR="00882736">
        <w:t xml:space="preserve">that </w:t>
      </w:r>
      <w:r w:rsidRPr="00514C40" w:rsidR="00F86DD6">
        <w:t xml:space="preserve">the </w:t>
      </w:r>
      <w:r w:rsidRPr="00514C40" w:rsidR="00882736">
        <w:t>approach we have taken here</w:t>
      </w:r>
      <w:r w:rsidR="00ED4D10">
        <w:t> </w:t>
      </w:r>
      <w:r w:rsidRPr="00514C40" w:rsidR="00882736">
        <w:t>— carefully constru</w:t>
      </w:r>
      <w:r w:rsidR="00086C32">
        <w:t>ing</w:t>
      </w:r>
      <w:r w:rsidRPr="00514C40" w:rsidR="00882736">
        <w:t xml:space="preserve"> a clause that would effectively waive claims</w:t>
      </w:r>
      <w:r w:rsidR="00ED4D10">
        <w:t> </w:t>
      </w:r>
      <w:r w:rsidRPr="00514C40" w:rsidR="00882736">
        <w:t>— is similar to th</w:t>
      </w:r>
      <w:r w:rsidR="00086C32">
        <w:t>e approach</w:t>
      </w:r>
      <w:r w:rsidRPr="00514C40" w:rsidR="00882736">
        <w:t xml:space="preserve"> of courts that have assessed the application of the </w:t>
      </w:r>
      <w:r w:rsidRPr="00514C40" w:rsidR="00D834CB">
        <w:t>privilege</w:t>
      </w:r>
      <w:r w:rsidRPr="00514C40" w:rsidR="00882736">
        <w:t xml:space="preserve"> in the context of a contract said to </w:t>
      </w:r>
      <w:r w:rsidR="00086C32">
        <w:t xml:space="preserve">have </w:t>
      </w:r>
      <w:r w:rsidRPr="00514C40" w:rsidR="00882736">
        <w:t>waive</w:t>
      </w:r>
      <w:r w:rsidR="00086C32">
        <w:t>d</w:t>
      </w:r>
      <w:r w:rsidRPr="00514C40" w:rsidR="00882736">
        <w:t xml:space="preserve"> it.  </w:t>
      </w:r>
      <w:r w:rsidRPr="00514C40" w:rsidR="00D834CB">
        <w:t xml:space="preserve">(See </w:t>
      </w:r>
      <w:r w:rsidRPr="00514C40" w:rsidR="00D834CB">
        <w:rPr>
          <w:i/>
          <w:iCs/>
          <w:szCs w:val="26"/>
        </w:rPr>
        <w:t>O’Brien &amp; Gere Eng’rs. v. City of Salisbury</w:t>
      </w:r>
      <w:r w:rsidRPr="00514C40" w:rsidR="00D834CB">
        <w:rPr>
          <w:szCs w:val="26"/>
        </w:rPr>
        <w:t xml:space="preserve"> (Md. 2016) 135 A.3d 473, 489–491.)</w:t>
      </w:r>
      <w:r w:rsidR="00213615">
        <w:rPr>
          <w:szCs w:val="26"/>
        </w:rPr>
        <w:t xml:space="preserve"> </w:t>
      </w:r>
    </w:p>
    <w:p w:rsidR="00C81BBA" w:rsidRPr="00514C40" w:rsidP="00514C40">
      <w:pPr>
        <w:pStyle w:val="Heading1"/>
      </w:pPr>
      <w:r w:rsidRPr="00514C40">
        <w:t>CONCLUSION</w:t>
      </w:r>
    </w:p>
    <w:p w:rsidR="00FA590B" w:rsidRPr="00514C40" w:rsidP="00514C40">
      <w:pPr>
        <w:ind w:firstLine="720"/>
        <w:rPr>
          <w:rFonts w:cstheme="minorHAnsi"/>
        </w:rPr>
      </w:pPr>
      <w:r w:rsidRPr="00514C40">
        <w:rPr>
          <w:rFonts w:cstheme="minorHAnsi"/>
          <w:szCs w:val="26"/>
          <w:shd w:val="clear" w:color="auto" w:fill="FFFFFF"/>
        </w:rPr>
        <w:t>W</w:t>
      </w:r>
      <w:r w:rsidRPr="00514C40" w:rsidR="005D4266">
        <w:rPr>
          <w:rFonts w:cstheme="minorHAnsi"/>
          <w:szCs w:val="26"/>
          <w:shd w:val="clear" w:color="auto" w:fill="FFFFFF"/>
        </w:rPr>
        <w:t xml:space="preserve">e </w:t>
      </w:r>
      <w:r w:rsidRPr="00514C40">
        <w:rPr>
          <w:rFonts w:cstheme="minorHAnsi"/>
          <w:szCs w:val="26"/>
          <w:shd w:val="clear" w:color="auto" w:fill="FFFFFF"/>
        </w:rPr>
        <w:t xml:space="preserve">reverse the </w:t>
      </w:r>
      <w:r w:rsidRPr="00514C40">
        <w:rPr>
          <w:rFonts w:cstheme="minorHAnsi"/>
        </w:rPr>
        <w:t xml:space="preserve">judgment of the Court of Appeal </w:t>
      </w:r>
      <w:r w:rsidRPr="00514C40" w:rsidR="00C659FF">
        <w:rPr>
          <w:rFonts w:cstheme="minorHAnsi"/>
        </w:rPr>
        <w:t xml:space="preserve">insofar as it </w:t>
      </w:r>
      <w:r w:rsidRPr="00514C40" w:rsidR="004E206D">
        <w:rPr>
          <w:rFonts w:cstheme="minorHAnsi"/>
        </w:rPr>
        <w:t xml:space="preserve">reversed the trial court’s order granting Doe’s special motion to strike the </w:t>
      </w:r>
      <w:r w:rsidRPr="00514C40" w:rsidR="00A07BFF">
        <w:rPr>
          <w:rFonts w:cstheme="minorHAnsi"/>
        </w:rPr>
        <w:t xml:space="preserve">breach of contract </w:t>
      </w:r>
      <w:r w:rsidRPr="00514C40" w:rsidR="004E206D">
        <w:rPr>
          <w:rFonts w:cstheme="minorHAnsi"/>
        </w:rPr>
        <w:t>cause of action with respect to statements in Doe’s civil complaint</w:t>
      </w:r>
      <w:r w:rsidRPr="00514C40" w:rsidR="007603BF">
        <w:rPr>
          <w:rFonts w:cstheme="minorHAnsi"/>
        </w:rPr>
        <w:t xml:space="preserve">.  </w:t>
      </w:r>
      <w:r w:rsidRPr="00514C40" w:rsidR="00CC456D">
        <w:rPr>
          <w:rFonts w:cstheme="minorHAnsi"/>
        </w:rPr>
        <w:t>W</w:t>
      </w:r>
      <w:r w:rsidRPr="00514C40" w:rsidR="005D4266">
        <w:rPr>
          <w:rFonts w:cstheme="minorHAnsi"/>
        </w:rPr>
        <w:t xml:space="preserve">e </w:t>
      </w:r>
      <w:r w:rsidRPr="00514C40">
        <w:rPr>
          <w:rFonts w:cstheme="minorHAnsi"/>
        </w:rPr>
        <w:t>remand the matter for further proceedings consistent with this opinion.</w:t>
      </w:r>
    </w:p>
    <w:p w:rsidR="000B21FE" w:rsidP="00514C40">
      <w:pPr>
        <w:ind w:left="4320" w:firstLine="720"/>
        <w:rPr>
          <w:rStyle w:val="cohl"/>
          <w:b/>
        </w:rPr>
      </w:pPr>
    </w:p>
    <w:p w:rsidR="001C47F5" w:rsidRPr="00514C40" w:rsidP="00514C40">
      <w:pPr>
        <w:ind w:left="4320" w:firstLine="720"/>
        <w:rPr>
          <w:rStyle w:val="cohl"/>
        </w:rPr>
      </w:pPr>
      <w:r w:rsidRPr="00514C40">
        <w:rPr>
          <w:rStyle w:val="cohl"/>
          <w:b/>
        </w:rPr>
        <w:t>LIU, J.</w:t>
      </w:r>
    </w:p>
    <w:p w:rsidR="007C0EDC" w:rsidP="00514C40">
      <w:pPr>
        <w:rPr>
          <w:rStyle w:val="cohl"/>
        </w:rPr>
      </w:pPr>
    </w:p>
    <w:p w:rsidR="004B4CDA" w:rsidRPr="004B4CDA" w:rsidP="004B4CDA">
      <w:pPr>
        <w:rPr>
          <w:b/>
        </w:rPr>
      </w:pPr>
      <w:r w:rsidRPr="004B4CDA">
        <w:rPr>
          <w:b/>
        </w:rPr>
        <w:t xml:space="preserve">We Concur: </w:t>
      </w:r>
    </w:p>
    <w:p w:rsidR="004B4CDA" w:rsidRPr="004B4CDA" w:rsidP="004B4CDA">
      <w:pPr>
        <w:spacing w:after="0" w:line="240" w:lineRule="auto"/>
        <w:rPr>
          <w:b/>
        </w:rPr>
      </w:pPr>
      <w:r w:rsidRPr="004B4CDA">
        <w:rPr>
          <w:b/>
        </w:rPr>
        <w:t>CANTIL-SAKAUYE, C.</w:t>
      </w:r>
      <w:r w:rsidR="002D1B07">
        <w:rPr>
          <w:b/>
        </w:rPr>
        <w:t> </w:t>
      </w:r>
      <w:r w:rsidRPr="004B4CDA">
        <w:rPr>
          <w:b/>
        </w:rPr>
        <w:t>J.</w:t>
      </w:r>
    </w:p>
    <w:p w:rsidR="004B4CDA" w:rsidRPr="004B4CDA" w:rsidP="004B4CDA">
      <w:pPr>
        <w:spacing w:after="0" w:line="240" w:lineRule="auto"/>
        <w:rPr>
          <w:b/>
        </w:rPr>
      </w:pPr>
      <w:r w:rsidRPr="004B4CDA">
        <w:rPr>
          <w:b/>
        </w:rPr>
        <w:t>CORRIGAN, J.</w:t>
      </w:r>
    </w:p>
    <w:p w:rsidR="004B4CDA" w:rsidP="004B4CDA">
      <w:pPr>
        <w:spacing w:after="0" w:line="240" w:lineRule="auto"/>
        <w:rPr>
          <w:b/>
        </w:rPr>
      </w:pPr>
      <w:r w:rsidRPr="004B4CDA">
        <w:rPr>
          <w:b/>
        </w:rPr>
        <w:t>KRUGER, J.</w:t>
      </w:r>
    </w:p>
    <w:p w:rsidR="004B4CDA" w:rsidP="004B4CDA">
      <w:pPr>
        <w:spacing w:after="0" w:line="240" w:lineRule="auto"/>
        <w:rPr>
          <w:b/>
        </w:rPr>
      </w:pPr>
      <w:r>
        <w:rPr>
          <w:b/>
        </w:rPr>
        <w:t>GROBAN, J.</w:t>
      </w:r>
    </w:p>
    <w:p w:rsidR="004B4CDA" w:rsidRPr="004B4CDA" w:rsidP="004B4CDA">
      <w:pPr>
        <w:spacing w:after="0" w:line="240" w:lineRule="auto"/>
        <w:rPr>
          <w:b/>
        </w:rPr>
      </w:pPr>
      <w:r>
        <w:rPr>
          <w:b/>
        </w:rPr>
        <w:t>JENKINS, J.</w:t>
      </w:r>
    </w:p>
    <w:p w:rsidR="00AE5C86" w:rsidP="004B4CDA">
      <w:pPr>
        <w:spacing w:after="0" w:line="240" w:lineRule="auto"/>
        <w:rPr>
          <w:position w:val="4"/>
          <w:vertAlign w:val="superscript"/>
        </w:rPr>
        <w:sectPr w:rsidSect="000B21FE">
          <w:headerReference w:type="default" r:id="rId11"/>
          <w:footerReference w:type="first" r:id="rId12"/>
          <w:pgSz w:w="12240" w:h="15840"/>
          <w:pgMar w:top="1800" w:right="2160" w:bottom="1440" w:left="2160" w:header="720" w:footer="720" w:gutter="0"/>
          <w:pgNumType w:start="1"/>
          <w:cols w:space="720"/>
          <w:titlePg/>
          <w:docGrid w:linePitch="367"/>
        </w:sectPr>
      </w:pPr>
      <w:r>
        <w:rPr>
          <w:b/>
        </w:rPr>
        <w:t>MOOR</w:t>
      </w:r>
      <w:r w:rsidRPr="004B4CDA">
        <w:rPr>
          <w:b/>
        </w:rPr>
        <w:t>, J.</w:t>
      </w:r>
      <w:r>
        <w:rPr>
          <w:position w:val="4"/>
          <w:vertAlign w:val="superscript"/>
        </w:rPr>
        <w:footnoteReference w:customMarkFollows="1" w:id="4"/>
        <w:t xml:space="preserve">*</w:t>
      </w:r>
    </w:p>
    <w:p w:rsidR="00AE5C86" w:rsidRPr="00AE5C86" w:rsidP="00AE5C86">
      <w:pPr>
        <w:spacing w:after="0" w:line="240" w:lineRule="auto"/>
        <w:jc w:val="left"/>
        <w:rPr>
          <w:i/>
          <w:sz w:val="24"/>
          <w:szCs w:val="24"/>
        </w:rPr>
      </w:pPr>
      <w:bookmarkStart w:id="3" w:name="_Hlk92876391"/>
      <w:r w:rsidRPr="00AE5C86">
        <w:rPr>
          <w:i/>
          <w:sz w:val="24"/>
          <w:szCs w:val="24"/>
        </w:rPr>
        <w:t>See next page for addresses and telephone numbers for counsel who argued in Supreme Court.</w:t>
      </w:r>
    </w:p>
    <w:p w:rsidR="00AE5C86" w:rsidRPr="00AE5C86" w:rsidP="00AE5C86">
      <w:pPr>
        <w:spacing w:after="0" w:line="240" w:lineRule="auto"/>
        <w:jc w:val="left"/>
        <w:rPr>
          <w:i/>
          <w:sz w:val="24"/>
          <w:szCs w:val="24"/>
        </w:rPr>
      </w:pPr>
    </w:p>
    <w:p w:rsidR="00AE5C86" w:rsidRPr="00AE5C86" w:rsidP="00AE5C86">
      <w:pPr>
        <w:spacing w:after="0" w:line="240" w:lineRule="auto"/>
        <w:jc w:val="left"/>
        <w:rPr>
          <w:bCs/>
          <w:sz w:val="24"/>
          <w:szCs w:val="24"/>
        </w:rPr>
      </w:pPr>
      <w:r w:rsidRPr="00AE5C86">
        <w:rPr>
          <w:b/>
          <w:sz w:val="24"/>
          <w:szCs w:val="24"/>
        </w:rPr>
        <w:t xml:space="preserve">Name of Opinion </w:t>
      </w:r>
      <w:r w:rsidRPr="00AE5C86">
        <w:rPr>
          <w:bCs/>
          <w:sz w:val="24"/>
          <w:szCs w:val="24"/>
        </w:rPr>
        <w:t xml:space="preserve"> Olson v. Doe</w:t>
      </w:r>
    </w:p>
    <w:p w:rsidR="00AE5C86" w:rsidRPr="00AE5C86" w:rsidP="00AE5C86">
      <w:pPr>
        <w:spacing w:after="0" w:line="240" w:lineRule="auto"/>
        <w:jc w:val="left"/>
        <w:rPr>
          <w:b/>
          <w:sz w:val="24"/>
          <w:szCs w:val="24"/>
        </w:rPr>
      </w:pPr>
      <w:r w:rsidRPr="00AE5C86">
        <w:rPr>
          <w:b/>
          <w:sz w:val="24"/>
          <w:szCs w:val="24"/>
        </w:rPr>
        <w:t xml:space="preserve">__________________________________________________________ </w:t>
      </w:r>
    </w:p>
    <w:p w:rsidR="00AE5C86" w:rsidRPr="00AE5C86" w:rsidP="00AE5C86">
      <w:pPr>
        <w:spacing w:after="0" w:line="240" w:lineRule="auto"/>
        <w:jc w:val="left"/>
        <w:rPr>
          <w:b/>
          <w:sz w:val="24"/>
          <w:szCs w:val="24"/>
        </w:rPr>
      </w:pPr>
    </w:p>
    <w:p w:rsidR="00AE5C86" w:rsidRPr="00AE5C86" w:rsidP="00AE5C86">
      <w:pPr>
        <w:spacing w:after="0" w:line="240" w:lineRule="auto"/>
        <w:jc w:val="left"/>
        <w:rPr>
          <w:sz w:val="24"/>
          <w:szCs w:val="24"/>
        </w:rPr>
      </w:pPr>
      <w:r w:rsidRPr="00AE5C86">
        <w:rPr>
          <w:b/>
          <w:bCs/>
          <w:sz w:val="24"/>
          <w:szCs w:val="24"/>
          <w:u w:val="single"/>
        </w:rPr>
        <w:t>Procedural Posture</w:t>
      </w:r>
      <w:r w:rsidRPr="00AE5C86">
        <w:rPr>
          <w:b/>
          <w:bCs/>
          <w:sz w:val="24"/>
          <w:szCs w:val="24"/>
        </w:rPr>
        <w:t xml:space="preserve"> </w:t>
      </w:r>
      <w:r w:rsidRPr="00AE5C86">
        <w:rPr>
          <w:sz w:val="24"/>
          <w:szCs w:val="24"/>
        </w:rPr>
        <w:t>(see XX below)</w:t>
      </w:r>
    </w:p>
    <w:p w:rsidR="00AE5C86" w:rsidRPr="00AE5C86" w:rsidP="00AE5C86">
      <w:pPr>
        <w:spacing w:after="0" w:line="240" w:lineRule="auto"/>
        <w:jc w:val="left"/>
        <w:rPr>
          <w:sz w:val="24"/>
          <w:szCs w:val="24"/>
        </w:rPr>
      </w:pPr>
      <w:r w:rsidRPr="00AE5C86">
        <w:rPr>
          <w:b/>
          <w:bCs/>
          <w:sz w:val="24"/>
          <w:szCs w:val="24"/>
        </w:rPr>
        <w:t>Original Appeal</w:t>
      </w:r>
      <w:r w:rsidRPr="00AE5C86">
        <w:rPr>
          <w:sz w:val="24"/>
          <w:szCs w:val="24"/>
        </w:rPr>
        <w:t xml:space="preserve"> </w:t>
      </w:r>
    </w:p>
    <w:p w:rsidR="00AE5C86" w:rsidRPr="00AE5C86" w:rsidP="00AE5C86">
      <w:pPr>
        <w:spacing w:after="0" w:line="240" w:lineRule="auto"/>
        <w:jc w:val="left"/>
        <w:rPr>
          <w:b/>
          <w:bCs/>
          <w:sz w:val="24"/>
          <w:szCs w:val="24"/>
        </w:rPr>
      </w:pPr>
      <w:r w:rsidRPr="00AE5C86">
        <w:rPr>
          <w:b/>
          <w:bCs/>
          <w:sz w:val="24"/>
          <w:szCs w:val="24"/>
        </w:rPr>
        <w:t>Original Proceeding</w:t>
      </w:r>
    </w:p>
    <w:p w:rsidR="00AE5C86" w:rsidRPr="00AE5C86" w:rsidP="00AE5C86">
      <w:pPr>
        <w:spacing w:after="0" w:line="240" w:lineRule="auto"/>
        <w:jc w:val="left"/>
        <w:rPr>
          <w:sz w:val="24"/>
          <w:szCs w:val="24"/>
        </w:rPr>
      </w:pPr>
      <w:r w:rsidRPr="00AE5C86">
        <w:rPr>
          <w:b/>
          <w:bCs/>
          <w:sz w:val="24"/>
          <w:szCs w:val="24"/>
        </w:rPr>
        <w:t>Review Granted</w:t>
      </w:r>
      <w:r w:rsidRPr="00AE5C86">
        <w:rPr>
          <w:sz w:val="24"/>
          <w:szCs w:val="24"/>
        </w:rPr>
        <w:t xml:space="preserve"> </w:t>
      </w:r>
      <w:r w:rsidRPr="00AE5C86">
        <w:rPr>
          <w:b/>
          <w:bCs/>
          <w:sz w:val="24"/>
          <w:szCs w:val="24"/>
        </w:rPr>
        <w:t xml:space="preserve">(published) </w:t>
      </w:r>
    </w:p>
    <w:p w:rsidR="00AE5C86" w:rsidRPr="00AE5C86" w:rsidP="00AE5C86">
      <w:pPr>
        <w:spacing w:after="0" w:line="240" w:lineRule="auto"/>
        <w:jc w:val="left"/>
        <w:rPr>
          <w:sz w:val="24"/>
          <w:szCs w:val="24"/>
        </w:rPr>
      </w:pPr>
      <w:r w:rsidRPr="00AE5C86">
        <w:rPr>
          <w:b/>
          <w:bCs/>
          <w:sz w:val="24"/>
          <w:szCs w:val="24"/>
        </w:rPr>
        <w:t xml:space="preserve">Review Granted (unpublished) </w:t>
      </w:r>
      <w:r w:rsidRPr="00AE5C86">
        <w:rPr>
          <w:sz w:val="24"/>
          <w:szCs w:val="24"/>
        </w:rPr>
        <w:t>XX NP opn. filed 8/30/19 – 2d Dist., Div. 8</w:t>
      </w:r>
    </w:p>
    <w:p w:rsidR="00AE5C86" w:rsidRPr="00AE5C86" w:rsidP="00AE5C86">
      <w:pPr>
        <w:spacing w:after="0" w:line="240" w:lineRule="auto"/>
        <w:jc w:val="left"/>
        <w:rPr>
          <w:b/>
          <w:bCs/>
          <w:sz w:val="24"/>
          <w:szCs w:val="24"/>
        </w:rPr>
      </w:pPr>
      <w:r w:rsidRPr="00AE5C86">
        <w:rPr>
          <w:b/>
          <w:bCs/>
          <w:sz w:val="24"/>
          <w:szCs w:val="24"/>
        </w:rPr>
        <w:t>Rehearing Granted</w:t>
      </w:r>
    </w:p>
    <w:p w:rsidR="00AE5C86" w:rsidRPr="00AE5C86" w:rsidP="00AE5C86">
      <w:pPr>
        <w:spacing w:after="0" w:line="240" w:lineRule="auto"/>
        <w:jc w:val="left"/>
        <w:rPr>
          <w:b/>
          <w:sz w:val="24"/>
          <w:szCs w:val="24"/>
        </w:rPr>
      </w:pPr>
      <w:r w:rsidRPr="00AE5C86">
        <w:rPr>
          <w:b/>
          <w:sz w:val="24"/>
          <w:szCs w:val="24"/>
        </w:rPr>
        <w:t xml:space="preserve">__________________________________________________________ </w:t>
      </w:r>
    </w:p>
    <w:p w:rsidR="00AE5C86" w:rsidRPr="00AE5C86" w:rsidP="00AE5C86">
      <w:pPr>
        <w:spacing w:after="0" w:line="240" w:lineRule="auto"/>
        <w:jc w:val="left"/>
        <w:rPr>
          <w:b/>
          <w:sz w:val="24"/>
          <w:szCs w:val="24"/>
        </w:rPr>
      </w:pPr>
    </w:p>
    <w:p w:rsidR="00AE5C86" w:rsidRPr="00AE5C86" w:rsidP="00AE5C86">
      <w:pPr>
        <w:spacing w:after="0" w:line="240" w:lineRule="auto"/>
        <w:jc w:val="left"/>
        <w:rPr>
          <w:bCs/>
          <w:sz w:val="24"/>
          <w:szCs w:val="24"/>
        </w:rPr>
      </w:pPr>
      <w:r w:rsidRPr="00AE5C86">
        <w:rPr>
          <w:b/>
          <w:sz w:val="24"/>
          <w:szCs w:val="24"/>
        </w:rPr>
        <w:t>Opinion No.</w:t>
      </w:r>
      <w:r w:rsidRPr="00AE5C86">
        <w:rPr>
          <w:sz w:val="24"/>
          <w:szCs w:val="24"/>
        </w:rPr>
        <w:t xml:space="preserve"> S258498</w:t>
      </w:r>
    </w:p>
    <w:p w:rsidR="00AE5C86" w:rsidRPr="00AE5C86" w:rsidP="00AE5C86">
      <w:pPr>
        <w:spacing w:after="0" w:line="240" w:lineRule="auto"/>
        <w:jc w:val="left"/>
        <w:rPr>
          <w:bCs/>
          <w:sz w:val="24"/>
          <w:szCs w:val="24"/>
        </w:rPr>
      </w:pPr>
      <w:r w:rsidRPr="00AE5C86">
        <w:rPr>
          <w:b/>
          <w:sz w:val="24"/>
          <w:szCs w:val="24"/>
        </w:rPr>
        <w:t>Date Filed:</w:t>
      </w:r>
      <w:r w:rsidRPr="00AE5C86">
        <w:rPr>
          <w:sz w:val="24"/>
          <w:szCs w:val="24"/>
        </w:rPr>
        <w:t xml:space="preserve">  January 13, 2022</w:t>
      </w:r>
    </w:p>
    <w:p w:rsidR="00AE5C86" w:rsidRPr="00AE5C86" w:rsidP="00AE5C86">
      <w:pPr>
        <w:spacing w:after="0" w:line="240" w:lineRule="auto"/>
        <w:jc w:val="left"/>
        <w:rPr>
          <w:b/>
          <w:sz w:val="24"/>
          <w:szCs w:val="24"/>
        </w:rPr>
      </w:pPr>
      <w:r w:rsidRPr="00AE5C86">
        <w:rPr>
          <w:b/>
          <w:sz w:val="24"/>
          <w:szCs w:val="24"/>
        </w:rPr>
        <w:t xml:space="preserve">__________________________________________________________ </w:t>
      </w:r>
    </w:p>
    <w:p w:rsidR="00AE5C86" w:rsidRPr="00AE5C86" w:rsidP="00AE5C86">
      <w:pPr>
        <w:spacing w:after="0" w:line="240" w:lineRule="auto"/>
        <w:jc w:val="left"/>
        <w:rPr>
          <w:b/>
          <w:sz w:val="24"/>
          <w:szCs w:val="24"/>
        </w:rPr>
      </w:pPr>
    </w:p>
    <w:p w:rsidR="00AE5C86" w:rsidRPr="00AE5C86" w:rsidP="00AE5C86">
      <w:pPr>
        <w:spacing w:after="0" w:line="240" w:lineRule="auto"/>
        <w:jc w:val="left"/>
        <w:rPr>
          <w:bCs/>
          <w:sz w:val="24"/>
          <w:szCs w:val="24"/>
        </w:rPr>
      </w:pPr>
      <w:r w:rsidRPr="00AE5C86">
        <w:rPr>
          <w:b/>
          <w:sz w:val="24"/>
          <w:szCs w:val="24"/>
        </w:rPr>
        <w:t xml:space="preserve">Court:  </w:t>
      </w:r>
      <w:r w:rsidRPr="00AE5C86">
        <w:rPr>
          <w:bCs/>
          <w:sz w:val="24"/>
          <w:szCs w:val="24"/>
        </w:rPr>
        <w:t>Superior</w:t>
      </w:r>
      <w:r w:rsidRPr="00AE5C86">
        <w:rPr>
          <w:b/>
          <w:sz w:val="24"/>
          <w:szCs w:val="24"/>
        </w:rPr>
        <w:t xml:space="preserve"> </w:t>
      </w:r>
    </w:p>
    <w:p w:rsidR="00AE5C86" w:rsidRPr="00AE5C86" w:rsidP="00AE5C86">
      <w:pPr>
        <w:spacing w:after="0" w:line="240" w:lineRule="auto"/>
        <w:jc w:val="left"/>
        <w:rPr>
          <w:bCs/>
          <w:sz w:val="24"/>
          <w:szCs w:val="24"/>
        </w:rPr>
      </w:pPr>
      <w:r w:rsidRPr="00AE5C86">
        <w:rPr>
          <w:b/>
          <w:sz w:val="24"/>
          <w:szCs w:val="24"/>
        </w:rPr>
        <w:t xml:space="preserve">County:  </w:t>
      </w:r>
      <w:r w:rsidRPr="00AE5C86">
        <w:rPr>
          <w:bCs/>
          <w:sz w:val="24"/>
          <w:szCs w:val="24"/>
        </w:rPr>
        <w:t>Los Angeles</w:t>
      </w:r>
    </w:p>
    <w:p w:rsidR="00AE5C86" w:rsidRPr="00AE5C86" w:rsidP="00AE5C86">
      <w:pPr>
        <w:spacing w:after="0" w:line="240" w:lineRule="auto"/>
        <w:ind w:left="720" w:hanging="720"/>
        <w:jc w:val="left"/>
        <w:rPr>
          <w:bCs/>
          <w:sz w:val="24"/>
          <w:szCs w:val="24"/>
        </w:rPr>
      </w:pPr>
      <w:r w:rsidRPr="00AE5C86">
        <w:rPr>
          <w:b/>
          <w:sz w:val="24"/>
          <w:szCs w:val="24"/>
        </w:rPr>
        <w:t xml:space="preserve">Judge:  </w:t>
      </w:r>
      <w:r w:rsidRPr="00AE5C86">
        <w:rPr>
          <w:bCs/>
          <w:sz w:val="24"/>
          <w:szCs w:val="24"/>
        </w:rPr>
        <w:t>Craig D. Karlan</w:t>
      </w:r>
    </w:p>
    <w:p w:rsidR="00AE5C86" w:rsidRPr="00AE5C86" w:rsidP="00AE5C86">
      <w:pPr>
        <w:spacing w:after="0" w:line="240" w:lineRule="auto"/>
        <w:jc w:val="left"/>
        <w:rPr>
          <w:b/>
          <w:sz w:val="24"/>
          <w:szCs w:val="24"/>
        </w:rPr>
      </w:pPr>
      <w:r w:rsidRPr="00AE5C86">
        <w:rPr>
          <w:b/>
          <w:sz w:val="24"/>
          <w:szCs w:val="24"/>
        </w:rPr>
        <w:t xml:space="preserve">__________________________________________________________  </w:t>
      </w:r>
    </w:p>
    <w:p w:rsidR="00AE5C86" w:rsidRPr="00AE5C86" w:rsidP="00AE5C86">
      <w:pPr>
        <w:spacing w:after="0" w:line="240" w:lineRule="auto"/>
        <w:jc w:val="left"/>
        <w:rPr>
          <w:b/>
          <w:sz w:val="24"/>
          <w:szCs w:val="24"/>
        </w:rPr>
      </w:pPr>
    </w:p>
    <w:p w:rsidR="00AE5C86" w:rsidRPr="00AE5C86" w:rsidP="00AE5C86">
      <w:pPr>
        <w:spacing w:after="0" w:line="240" w:lineRule="auto"/>
        <w:jc w:val="left"/>
        <w:rPr>
          <w:b/>
          <w:sz w:val="24"/>
          <w:szCs w:val="24"/>
        </w:rPr>
      </w:pPr>
      <w:r w:rsidRPr="00AE5C86">
        <w:rPr>
          <w:b/>
          <w:sz w:val="24"/>
          <w:szCs w:val="24"/>
        </w:rPr>
        <w:t>Counsel:</w:t>
      </w:r>
    </w:p>
    <w:p w:rsidR="00AE5C86" w:rsidRPr="00AE5C86" w:rsidP="00AE5C86">
      <w:pPr>
        <w:spacing w:after="0" w:line="240" w:lineRule="auto"/>
        <w:jc w:val="left"/>
        <w:rPr>
          <w:b/>
          <w:sz w:val="24"/>
          <w:szCs w:val="24"/>
        </w:rPr>
      </w:pPr>
    </w:p>
    <w:p w:rsidR="00AE5C86" w:rsidRPr="00AE5C86" w:rsidP="00AE5C86">
      <w:pPr>
        <w:spacing w:after="0" w:line="240" w:lineRule="auto"/>
        <w:jc w:val="left"/>
        <w:rPr>
          <w:bCs/>
          <w:sz w:val="24"/>
          <w:szCs w:val="24"/>
        </w:rPr>
      </w:pPr>
      <w:r w:rsidRPr="00AE5C86">
        <w:rPr>
          <w:bCs/>
          <w:sz w:val="24"/>
          <w:szCs w:val="24"/>
        </w:rPr>
        <w:t>Buchalter, Robert M. Dato, Eric Michael Kennedy, Robert Collings Little and Paul Augusto Alarcón for Cross-complainant and Appellant.</w:t>
      </w:r>
    </w:p>
    <w:p w:rsidR="00AE5C86" w:rsidRPr="00AE5C86" w:rsidP="00AE5C86">
      <w:pPr>
        <w:spacing w:after="0" w:line="240" w:lineRule="auto"/>
        <w:jc w:val="left"/>
        <w:rPr>
          <w:bCs/>
          <w:sz w:val="24"/>
          <w:szCs w:val="24"/>
        </w:rPr>
      </w:pPr>
    </w:p>
    <w:p w:rsidR="00AE5C86" w:rsidRPr="00AE5C86" w:rsidP="00AE5C86">
      <w:pPr>
        <w:spacing w:after="0" w:line="240" w:lineRule="auto"/>
        <w:jc w:val="left"/>
        <w:rPr>
          <w:bCs/>
          <w:sz w:val="24"/>
          <w:szCs w:val="24"/>
        </w:rPr>
      </w:pPr>
      <w:r w:rsidRPr="00AE5C86">
        <w:rPr>
          <w:bCs/>
          <w:sz w:val="24"/>
          <w:szCs w:val="24"/>
        </w:rPr>
        <w:t>Martinez Business &amp; Immigration Law Group, Gloria P. Martinez-Senftner; Keiter Appellate Law, Mitchell Keiter; Sidley Austin, David R. Carpenter, Collin P. Wedel, Andrew B. Talai, Joel L. Richert, Paula C. Salazar; Bryan Cave Leighton Paisner, Jean-Claude André, Anne Redcross Beehler and Kristy Anne Murphy for Cross-defendant and Respondent.</w:t>
      </w:r>
    </w:p>
    <w:p w:rsidR="00AE5C86" w:rsidRPr="00AE5C86" w:rsidP="00AE5C86">
      <w:pPr>
        <w:spacing w:after="0" w:line="240" w:lineRule="auto"/>
        <w:jc w:val="left"/>
        <w:rPr>
          <w:bCs/>
          <w:sz w:val="24"/>
          <w:szCs w:val="24"/>
        </w:rPr>
      </w:pPr>
    </w:p>
    <w:p w:rsidR="00AE5C86" w:rsidRPr="00AE5C86" w:rsidP="00AE5C86">
      <w:pPr>
        <w:spacing w:after="0" w:line="240" w:lineRule="auto"/>
        <w:jc w:val="left"/>
        <w:rPr>
          <w:bCs/>
          <w:sz w:val="24"/>
          <w:szCs w:val="24"/>
        </w:rPr>
      </w:pPr>
      <w:r w:rsidRPr="00AE5C86">
        <w:rPr>
          <w:bCs/>
          <w:sz w:val="24"/>
          <w:szCs w:val="24"/>
        </w:rPr>
        <w:t>Goodwin Procter, Neel Chatterjee, Alexis S. Coll-Very, Stella Padilla, Megan D. Bettles; Arati Vasan, Janani Ramachandran, Jennafer Dorfman Wagner, Erin C. Smith; and Amy C. Poyer for Family Violence Appellate Project and California Women’s Law Center as Amici Curiae on behalf of Cross-defendant and Respondent.</w:t>
      </w:r>
    </w:p>
    <w:p w:rsidR="00AE5C86" w:rsidRPr="00AE5C86" w:rsidP="00AE5C86">
      <w:pPr>
        <w:spacing w:after="0" w:line="240" w:lineRule="auto"/>
        <w:jc w:val="left"/>
        <w:rPr>
          <w:bCs/>
          <w:sz w:val="24"/>
          <w:szCs w:val="24"/>
        </w:rPr>
      </w:pPr>
    </w:p>
    <w:p w:rsidR="00AE5C86" w:rsidRPr="00AE5C86" w:rsidP="00AE5C86">
      <w:pPr>
        <w:spacing w:after="0" w:line="240" w:lineRule="auto"/>
        <w:jc w:val="left"/>
        <w:rPr>
          <w:bCs/>
          <w:sz w:val="24"/>
          <w:szCs w:val="24"/>
        </w:rPr>
      </w:pPr>
      <w:r w:rsidRPr="00AE5C86">
        <w:rPr>
          <w:bCs/>
          <w:sz w:val="24"/>
          <w:szCs w:val="24"/>
        </w:rPr>
        <w:t>Law Offices of Aimee J. Zeltzer and Aimee Zeltzer for John K. Mitchell</w:t>
      </w:r>
      <w:r w:rsidRPr="00AE5C86">
        <w:rPr>
          <w:bCs/>
          <w:strike/>
          <w:sz w:val="24"/>
          <w:szCs w:val="24"/>
        </w:rPr>
        <w:t xml:space="preserve"> </w:t>
      </w:r>
      <w:r w:rsidRPr="00AE5C86">
        <w:rPr>
          <w:bCs/>
          <w:sz w:val="24"/>
          <w:szCs w:val="24"/>
        </w:rPr>
        <w:t>and Dr. Jack R. Goetz</w:t>
      </w:r>
      <w:r w:rsidRPr="00AE5C86">
        <w:rPr>
          <w:bCs/>
          <w:strike/>
          <w:sz w:val="24"/>
          <w:szCs w:val="24"/>
        </w:rPr>
        <w:t xml:space="preserve"> </w:t>
      </w:r>
      <w:r w:rsidRPr="00AE5C86">
        <w:rPr>
          <w:bCs/>
          <w:sz w:val="24"/>
          <w:szCs w:val="24"/>
        </w:rPr>
        <w:t>as Amici Curiae on behalf of Cross-defendant and Respondent.</w:t>
      </w:r>
    </w:p>
    <w:p w:rsidR="00AE5C86" w:rsidRPr="00AE5C86" w:rsidP="00AE5C86">
      <w:pPr>
        <w:spacing w:after="0" w:line="240" w:lineRule="auto"/>
        <w:jc w:val="left"/>
        <w:rPr>
          <w:bCs/>
          <w:sz w:val="24"/>
          <w:szCs w:val="24"/>
        </w:rPr>
      </w:pPr>
    </w:p>
    <w:p w:rsidR="00AE5C86" w:rsidRPr="00AE5C86" w:rsidP="00AE5C86">
      <w:pPr>
        <w:spacing w:after="0" w:line="240" w:lineRule="auto"/>
        <w:jc w:val="left"/>
        <w:rPr>
          <w:b/>
          <w:sz w:val="24"/>
          <w:szCs w:val="24"/>
        </w:rPr>
      </w:pPr>
      <w:r w:rsidRPr="00AE5C86">
        <w:rPr>
          <w:bCs/>
          <w:color w:val="212121"/>
          <w:sz w:val="24"/>
          <w:szCs w:val="24"/>
          <w:shd w:val="clear" w:color="auto" w:fill="FFFFFF"/>
        </w:rPr>
        <w:br w:type="page"/>
      </w:r>
      <w:r w:rsidRPr="00AE5C86">
        <w:rPr>
          <w:b/>
          <w:sz w:val="24"/>
          <w:szCs w:val="24"/>
        </w:rPr>
        <w:t>Counsel who argued in Supreme Court (not intended for publication with opinion):</w:t>
      </w:r>
    </w:p>
    <w:p w:rsidR="00AE5C86" w:rsidRPr="00AE5C86" w:rsidP="00AE5C86">
      <w:pPr>
        <w:spacing w:after="0" w:line="240" w:lineRule="auto"/>
        <w:jc w:val="left"/>
        <w:rPr>
          <w:b/>
          <w:sz w:val="24"/>
          <w:szCs w:val="24"/>
        </w:rPr>
      </w:pPr>
    </w:p>
    <w:p w:rsidR="00AE5C86" w:rsidRPr="00AE5C86" w:rsidP="00AE5C86">
      <w:pPr>
        <w:spacing w:after="0" w:line="240" w:lineRule="auto"/>
        <w:jc w:val="left"/>
        <w:rPr>
          <w:bCs/>
          <w:sz w:val="24"/>
          <w:szCs w:val="24"/>
        </w:rPr>
      </w:pPr>
      <w:r w:rsidRPr="00AE5C86">
        <w:rPr>
          <w:bCs/>
          <w:sz w:val="24"/>
          <w:szCs w:val="24"/>
        </w:rPr>
        <w:t>Eric Michael Kennedy</w:t>
      </w:r>
    </w:p>
    <w:p w:rsidR="00AE5C86" w:rsidRPr="00AE5C86" w:rsidP="00AE5C86">
      <w:pPr>
        <w:spacing w:after="0" w:line="240" w:lineRule="auto"/>
        <w:jc w:val="left"/>
        <w:rPr>
          <w:bCs/>
          <w:sz w:val="24"/>
          <w:szCs w:val="24"/>
        </w:rPr>
      </w:pPr>
      <w:r w:rsidRPr="00AE5C86">
        <w:rPr>
          <w:bCs/>
          <w:sz w:val="24"/>
          <w:szCs w:val="24"/>
        </w:rPr>
        <w:t>Buchalter</w:t>
      </w:r>
    </w:p>
    <w:p w:rsidR="00AE5C86" w:rsidRPr="00AE5C86" w:rsidP="00AE5C86">
      <w:pPr>
        <w:spacing w:after="0" w:line="240" w:lineRule="auto"/>
        <w:jc w:val="left"/>
        <w:rPr>
          <w:bCs/>
          <w:sz w:val="24"/>
          <w:szCs w:val="24"/>
        </w:rPr>
      </w:pPr>
      <w:r w:rsidRPr="00AE5C86">
        <w:rPr>
          <w:bCs/>
          <w:sz w:val="24"/>
          <w:szCs w:val="24"/>
        </w:rPr>
        <w:t>1000 Wilshire Boulevard, Suite 1500</w:t>
      </w:r>
    </w:p>
    <w:p w:rsidR="00AE5C86" w:rsidRPr="00AE5C86" w:rsidP="00AE5C86">
      <w:pPr>
        <w:spacing w:after="0" w:line="240" w:lineRule="auto"/>
        <w:jc w:val="left"/>
        <w:rPr>
          <w:bCs/>
          <w:sz w:val="24"/>
          <w:szCs w:val="24"/>
        </w:rPr>
      </w:pPr>
      <w:r w:rsidRPr="00AE5C86">
        <w:rPr>
          <w:bCs/>
          <w:sz w:val="24"/>
          <w:szCs w:val="24"/>
        </w:rPr>
        <w:t>Los Angeles, CA 90017</w:t>
      </w:r>
    </w:p>
    <w:p w:rsidR="00AE5C86" w:rsidRPr="00AE5C86" w:rsidP="00AE5C86">
      <w:pPr>
        <w:spacing w:after="0" w:line="240" w:lineRule="auto"/>
        <w:jc w:val="left"/>
        <w:rPr>
          <w:bCs/>
          <w:sz w:val="24"/>
          <w:szCs w:val="24"/>
        </w:rPr>
      </w:pPr>
      <w:r w:rsidRPr="00AE5C86">
        <w:rPr>
          <w:bCs/>
          <w:sz w:val="24"/>
          <w:szCs w:val="24"/>
        </w:rPr>
        <w:t>(213) 891-5051</w:t>
      </w:r>
    </w:p>
    <w:p w:rsidR="00AE5C86" w:rsidRPr="00AE5C86" w:rsidP="00AE5C86">
      <w:pPr>
        <w:spacing w:after="0" w:line="240" w:lineRule="auto"/>
        <w:jc w:val="left"/>
        <w:rPr>
          <w:b/>
          <w:sz w:val="24"/>
          <w:szCs w:val="24"/>
        </w:rPr>
      </w:pPr>
    </w:p>
    <w:p w:rsidR="00AE5C86" w:rsidRPr="00AE5C86" w:rsidP="00AE5C86">
      <w:pPr>
        <w:spacing w:after="0" w:line="240" w:lineRule="auto"/>
        <w:jc w:val="left"/>
        <w:rPr>
          <w:bCs/>
          <w:sz w:val="24"/>
          <w:szCs w:val="24"/>
        </w:rPr>
      </w:pPr>
      <w:r w:rsidRPr="00AE5C86">
        <w:rPr>
          <w:bCs/>
          <w:sz w:val="24"/>
          <w:szCs w:val="24"/>
        </w:rPr>
        <w:t>Jean-Claude André</w:t>
      </w:r>
    </w:p>
    <w:p w:rsidR="00AE5C86" w:rsidRPr="00AE5C86" w:rsidP="00AE5C86">
      <w:pPr>
        <w:spacing w:after="0" w:line="240" w:lineRule="auto"/>
        <w:jc w:val="left"/>
        <w:rPr>
          <w:bCs/>
          <w:sz w:val="24"/>
          <w:szCs w:val="24"/>
        </w:rPr>
      </w:pPr>
      <w:r w:rsidRPr="00AE5C86">
        <w:rPr>
          <w:bCs/>
          <w:sz w:val="24"/>
          <w:szCs w:val="24"/>
        </w:rPr>
        <w:t>Bryan Cave Leighton Paisner LLP</w:t>
      </w:r>
    </w:p>
    <w:p w:rsidR="00AE5C86" w:rsidRPr="00AE5C86" w:rsidP="00AE5C86">
      <w:pPr>
        <w:spacing w:after="0" w:line="240" w:lineRule="auto"/>
        <w:jc w:val="left"/>
        <w:rPr>
          <w:bCs/>
          <w:sz w:val="24"/>
          <w:szCs w:val="24"/>
        </w:rPr>
      </w:pPr>
      <w:r w:rsidRPr="00AE5C86">
        <w:rPr>
          <w:bCs/>
          <w:sz w:val="24"/>
          <w:szCs w:val="24"/>
        </w:rPr>
        <w:t>120 Broadway, Suite 300</w:t>
      </w:r>
    </w:p>
    <w:p w:rsidR="00AE5C86" w:rsidRPr="00AE5C86" w:rsidP="00AE5C86">
      <w:pPr>
        <w:spacing w:after="0" w:line="240" w:lineRule="auto"/>
        <w:jc w:val="left"/>
        <w:rPr>
          <w:bCs/>
          <w:sz w:val="24"/>
          <w:szCs w:val="24"/>
        </w:rPr>
      </w:pPr>
      <w:r w:rsidRPr="00AE5C86">
        <w:rPr>
          <w:bCs/>
          <w:sz w:val="24"/>
          <w:szCs w:val="24"/>
        </w:rPr>
        <w:t>Santa Monica, CA 90401-2386</w:t>
      </w:r>
    </w:p>
    <w:p w:rsidR="00AE5C86" w:rsidRPr="00AE5C86" w:rsidP="00AE5C86">
      <w:pPr>
        <w:spacing w:after="0" w:line="240" w:lineRule="auto"/>
        <w:jc w:val="left"/>
        <w:rPr>
          <w:bCs/>
          <w:sz w:val="24"/>
          <w:szCs w:val="24"/>
        </w:rPr>
      </w:pPr>
      <w:r w:rsidRPr="00AE5C86">
        <w:rPr>
          <w:bCs/>
          <w:sz w:val="24"/>
          <w:szCs w:val="24"/>
        </w:rPr>
        <w:t>(310) 576-2148</w:t>
      </w:r>
    </w:p>
    <w:p w:rsidR="00AE5C86" w:rsidRPr="00AE5C86" w:rsidP="00AE5C86">
      <w:pPr>
        <w:spacing w:after="0" w:line="240" w:lineRule="auto"/>
        <w:jc w:val="left"/>
        <w:rPr>
          <w:sz w:val="24"/>
          <w:szCs w:val="24"/>
        </w:rPr>
      </w:pPr>
      <w:bookmarkEnd w:id="3"/>
    </w:p>
    <w:p w:rsidR="00AE5C86" w:rsidRPr="00AE5C86" w:rsidP="00AE5C86">
      <w:pPr>
        <w:spacing w:after="0" w:line="240" w:lineRule="auto"/>
        <w:jc w:val="left"/>
        <w:rPr>
          <w:sz w:val="24"/>
          <w:szCs w:val="24"/>
        </w:rPr>
      </w:pPr>
    </w:p>
    <w:p w:rsidR="00AE5C86" w:rsidRPr="00AE5C86" w:rsidP="00AE5C86">
      <w:pPr>
        <w:spacing w:after="0" w:line="240" w:lineRule="auto"/>
        <w:jc w:val="left"/>
        <w:rPr>
          <w:sz w:val="24"/>
          <w:szCs w:val="24"/>
        </w:rPr>
      </w:pPr>
      <w:r w:rsidRPr="00AE5C86">
        <w:rPr>
          <w:sz w:val="24"/>
          <w:szCs w:val="24"/>
        </w:rPr>
        <w:t xml:space="preserve"> </w:t>
      </w:r>
    </w:p>
    <w:p w:rsidR="004B4CDA" w:rsidRPr="004B4CDA" w:rsidP="004B4CDA">
      <w:pPr>
        <w:spacing w:after="0" w:line="240" w:lineRule="auto"/>
        <w:rPr>
          <w:b/>
        </w:rPr>
      </w:pPr>
    </w:p>
    <w:sectPr w:rsidSect="000B21FE">
      <w:headerReference w:type="default" r:id="rId13"/>
      <w:footerReference w:type="default" r:id="rId14"/>
      <w:footerReference w:type="first" r:id="rId15"/>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D1B">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C40">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E91" w:rsidRPr="005F0E91" w:rsidP="005F0E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3A9" w:rsidRPr="002E23A9" w:rsidP="002E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74DB">
      <w:r>
        <w:separator/>
      </w:r>
    </w:p>
  </w:footnote>
  <w:footnote w:type="continuationSeparator" w:id="1">
    <w:p w:rsidR="00A874DB">
      <w:pPr>
        <w:rPr>
          <w:sz w:val="22"/>
        </w:rPr>
      </w:pPr>
      <w:r>
        <w:rPr>
          <w:sz w:val="22"/>
        </w:rPr>
        <w:continuationSeparator/>
      </w:r>
    </w:p>
    <w:p w:rsidR="00A874DB">
      <w:pPr>
        <w:rPr>
          <w:sz w:val="22"/>
        </w:rPr>
      </w:pPr>
    </w:p>
    <w:p w:rsidR="00A874DB">
      <w:pPr>
        <w:rPr>
          <w:i/>
          <w:sz w:val="20"/>
        </w:rPr>
      </w:pPr>
      <w:r>
        <w:rPr>
          <w:i/>
          <w:sz w:val="20"/>
        </w:rPr>
        <w:t>(footnote continued from previous page)</w:t>
      </w:r>
    </w:p>
    <w:p w:rsidR="00A874DB">
      <w:pPr>
        <w:rPr>
          <w:sz w:val="22"/>
        </w:rPr>
      </w:pPr>
    </w:p>
  </w:footnote>
  <w:footnote w:type="continuationNotice" w:id="2">
    <w:p w:rsidR="00A874DB" w:rsidRPr="00FE1E0E" w:rsidP="00FE1E0E">
      <w:pPr>
        <w:pStyle w:val="Footer"/>
      </w:pPr>
    </w:p>
  </w:footnote>
  <w:footnote w:id="3">
    <w:p w:rsidR="004B4CDA" w:rsidP="004B4CDA">
      <w:pPr>
        <w:pStyle w:val="FootnoteText"/>
      </w:pPr>
      <w:r>
        <w:rPr>
          <w:rStyle w:val="FootnoteReference"/>
        </w:rPr>
        <w:t>*</w:t>
      </w:r>
      <w:r>
        <w:tab/>
      </w:r>
      <w:r w:rsidRPr="007B5E25" w:rsidR="007B5E25">
        <w:rPr>
          <w:szCs w:val="27"/>
          <w:lang w:bidi="en-US"/>
        </w:rPr>
        <w:t>Associate Justice of the Court of Appeal, Second Appellate District, Division Five, assigned by the Chief Justice pursuant to article VI, section 6 of the California Constitution.</w:t>
      </w:r>
    </w:p>
  </w:footnote>
  <w:footnote w:id="4">
    <w:p w:rsidR="004B4CDA" w:rsidP="004B4CDA">
      <w:pPr>
        <w:pStyle w:val="FootnoteText"/>
      </w:pPr>
      <w:r>
        <w:rPr>
          <w:rStyle w:val="FootnoteReference"/>
        </w:rPr>
        <w:t>*</w:t>
      </w:r>
      <w:r>
        <w:t xml:space="preserve"> </w:t>
      </w:r>
      <w:r>
        <w:tab/>
      </w:r>
      <w:r w:rsidRPr="000C4C30" w:rsidR="000C4C30">
        <w:rPr>
          <w:szCs w:val="27"/>
          <w:lang w:bidi="en-US"/>
        </w:rPr>
        <w:t>Associate Justice of the Court of Appeal, Second Appellate District, Division Five,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C40">
    <w:pPr>
      <w:pStyle w:val="Header"/>
    </w:pPr>
    <w:r>
      <w:t>Jane Doe v. Curtis Olson</w:t>
    </w:r>
  </w:p>
  <w:p w:rsidR="00514C40">
    <w:pPr>
      <w:pStyle w:val="Header"/>
    </w:pPr>
    <w:r>
      <w:t>Opinion of the Court by L</w:t>
    </w:r>
    <w:r w:rsidR="006C7889">
      <w:t>iu</w:t>
    </w:r>
    <w:r>
      <w:t>, J.</w:t>
    </w:r>
  </w:p>
  <w:p w:rsidR="00514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6CF5">
    <w:pPr>
      <w:pStyle w:val="Header"/>
    </w:pPr>
    <w:r>
      <w:t>OLSON v. DOE</w:t>
    </w:r>
  </w:p>
  <w:p w:rsidR="00F26CF5">
    <w:pPr>
      <w:pStyle w:val="Header"/>
    </w:pPr>
    <w:r>
      <w:t>Opinion of the Court by Liu, J.</w:t>
    </w:r>
  </w:p>
  <w:p w:rsidR="00F26C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3A9" w:rsidRPr="005F0E91" w:rsidP="005F0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947C0"/>
    <w:multiLevelType w:val="hybridMultilevel"/>
    <w:tmpl w:val="CA18B7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421A1"/>
    <w:multiLevelType w:val="hybridMultilevel"/>
    <w:tmpl w:val="D2442D98"/>
    <w:lvl w:ilvl="0">
      <w:start w:val="1"/>
      <w:numFmt w:val="upperLetter"/>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152CEB"/>
    <w:multiLevelType w:val="hybridMultilevel"/>
    <w:tmpl w:val="C2302F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2022A3C"/>
    <w:multiLevelType w:val="hybridMultilevel"/>
    <w:tmpl w:val="CA18B7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C40"/>
    <w:pPr>
      <w:spacing w:after="100" w:line="400" w:lineRule="exact"/>
      <w:jc w:val="both"/>
    </w:pPr>
    <w:rPr>
      <w:rFonts w:ascii="Century Schoolbook" w:hAnsi="Century Schoolbook"/>
      <w:sz w:val="27"/>
    </w:rPr>
  </w:style>
  <w:style w:type="paragraph" w:styleId="Heading1">
    <w:name w:val="heading 1"/>
    <w:basedOn w:val="Normal"/>
    <w:next w:val="Normal"/>
    <w:qFormat/>
    <w:rsid w:val="00514C40"/>
    <w:pPr>
      <w:keepNext/>
      <w:spacing w:before="140" w:line="240" w:lineRule="atLeast"/>
      <w:jc w:val="center"/>
      <w:outlineLvl w:val="0"/>
    </w:pPr>
    <w:rPr>
      <w:b/>
      <w:smallCaps/>
    </w:rPr>
  </w:style>
  <w:style w:type="paragraph" w:styleId="Heading2">
    <w:name w:val="heading 2"/>
    <w:basedOn w:val="Normal"/>
    <w:next w:val="Normal"/>
    <w:qFormat/>
    <w:rsid w:val="00514C4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14C40"/>
    <w:pPr>
      <w:keepNext/>
      <w:tabs>
        <w:tab w:val="left" w:pos="1584"/>
      </w:tabs>
      <w:spacing w:before="140" w:line="240" w:lineRule="atLeast"/>
      <w:ind w:left="1584" w:hanging="432"/>
      <w:jc w:val="left"/>
      <w:outlineLvl w:val="2"/>
    </w:pPr>
    <w:rPr>
      <w:i/>
    </w:rPr>
  </w:style>
  <w:style w:type="paragraph" w:styleId="Heading4">
    <w:name w:val="heading 4"/>
    <w:basedOn w:val="Normal"/>
    <w:rsid w:val="00514C40"/>
    <w:pPr>
      <w:keepNext/>
      <w:tabs>
        <w:tab w:val="left" w:pos="2016"/>
      </w:tabs>
      <w:spacing w:before="140" w:line="240" w:lineRule="atLeast"/>
      <w:ind w:left="2016" w:hanging="432"/>
      <w:jc w:val="left"/>
      <w:outlineLvl w:val="3"/>
    </w:pPr>
    <w:rPr>
      <w:i/>
    </w:rPr>
  </w:style>
  <w:style w:type="paragraph" w:styleId="Heading5">
    <w:name w:val="heading 5"/>
    <w:basedOn w:val="Normal"/>
    <w:rsid w:val="00514C4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14C40"/>
    <w:pPr>
      <w:ind w:left="720"/>
    </w:pPr>
  </w:style>
  <w:style w:type="paragraph" w:styleId="Footer">
    <w:name w:val="footer"/>
    <w:basedOn w:val="Normal"/>
    <w:qFormat/>
    <w:rsid w:val="00514C40"/>
    <w:pPr>
      <w:tabs>
        <w:tab w:val="center" w:pos="3960"/>
        <w:tab w:val="right" w:pos="10080"/>
      </w:tabs>
      <w:spacing w:after="0" w:line="240" w:lineRule="auto"/>
      <w:jc w:val="center"/>
    </w:pPr>
    <w:rPr>
      <w:sz w:val="22"/>
    </w:rPr>
  </w:style>
  <w:style w:type="paragraph" w:styleId="Header">
    <w:name w:val="header"/>
    <w:basedOn w:val="Normal"/>
    <w:qFormat/>
    <w:rsid w:val="00514C4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14C40"/>
    <w:rPr>
      <w:rFonts w:ascii="Century Schoolbook" w:hAnsi="Century Schoolbook"/>
      <w:b/>
      <w:i w:val="0"/>
      <w:position w:val="4"/>
      <w:sz w:val="27"/>
      <w:vertAlign w:val="superscript"/>
    </w:rPr>
  </w:style>
  <w:style w:type="paragraph" w:styleId="FootnoteText">
    <w:name w:val="footnote text"/>
    <w:basedOn w:val="Normal"/>
    <w:link w:val="FootnoteTextChar"/>
    <w:rsid w:val="00514C40"/>
    <w:pPr>
      <w:spacing w:line="300" w:lineRule="exact"/>
    </w:pPr>
  </w:style>
  <w:style w:type="paragraph" w:customStyle="1" w:styleId="Title1">
    <w:name w:val="Title1"/>
    <w:basedOn w:val="Normal"/>
    <w:rsid w:val="00514C40"/>
    <w:pPr>
      <w:tabs>
        <w:tab w:val="left" w:pos="5760"/>
        <w:tab w:val="left" w:pos="6480"/>
      </w:tabs>
      <w:spacing w:line="240" w:lineRule="atLeast"/>
    </w:pPr>
  </w:style>
  <w:style w:type="paragraph" w:customStyle="1" w:styleId="Recommend">
    <w:name w:val="Recommend"/>
    <w:basedOn w:val="Normal"/>
    <w:rsid w:val="00514C40"/>
  </w:style>
  <w:style w:type="paragraph" w:customStyle="1" w:styleId="Summary">
    <w:name w:val="Summary"/>
    <w:basedOn w:val="Normal"/>
    <w:rsid w:val="00514C40"/>
    <w:pPr>
      <w:ind w:left="2160" w:hanging="2160"/>
    </w:pPr>
  </w:style>
  <w:style w:type="paragraph" w:customStyle="1" w:styleId="Text">
    <w:name w:val="Text"/>
    <w:basedOn w:val="Normal"/>
    <w:rsid w:val="00514C40"/>
    <w:pPr>
      <w:tabs>
        <w:tab w:val="left" w:pos="720"/>
        <w:tab w:val="left" w:pos="1440"/>
        <w:tab w:val="left" w:pos="2160"/>
        <w:tab w:val="center" w:pos="4320"/>
      </w:tabs>
      <w:spacing w:line="480" w:lineRule="atLeast"/>
      <w:ind w:firstLine="540"/>
    </w:pPr>
  </w:style>
  <w:style w:type="paragraph" w:styleId="Date">
    <w:name w:val="Date"/>
    <w:basedOn w:val="Normal"/>
    <w:semiHidden/>
    <w:rsid w:val="00514C40"/>
    <w:pPr>
      <w:jc w:val="right"/>
    </w:pPr>
  </w:style>
  <w:style w:type="character" w:styleId="PageNumber">
    <w:name w:val="page number"/>
    <w:basedOn w:val="DefaultParagraphFont"/>
    <w:rsid w:val="00514C40"/>
  </w:style>
  <w:style w:type="paragraph" w:customStyle="1" w:styleId="subject">
    <w:name w:val="subject"/>
    <w:basedOn w:val="Normal"/>
    <w:rsid w:val="00514C40"/>
    <w:pPr>
      <w:tabs>
        <w:tab w:val="left" w:pos="1008"/>
      </w:tabs>
      <w:ind w:left="990" w:hanging="990"/>
    </w:pPr>
    <w:rPr>
      <w:b/>
    </w:rPr>
  </w:style>
  <w:style w:type="paragraph" w:customStyle="1" w:styleId="Titles">
    <w:name w:val="Titles"/>
    <w:basedOn w:val="Normal"/>
    <w:rsid w:val="00514C40"/>
    <w:pPr>
      <w:tabs>
        <w:tab w:val="left" w:pos="2160"/>
      </w:tabs>
      <w:ind w:left="2160" w:hanging="2160"/>
    </w:pPr>
    <w:rPr>
      <w:b/>
    </w:rPr>
  </w:style>
  <w:style w:type="paragraph" w:styleId="TOAHeading">
    <w:name w:val="toa heading"/>
    <w:basedOn w:val="Normal"/>
    <w:next w:val="Normal"/>
    <w:semiHidden/>
    <w:rsid w:val="00514C40"/>
    <w:pPr>
      <w:spacing w:before="120"/>
    </w:pPr>
    <w:rPr>
      <w:b/>
    </w:rPr>
  </w:style>
  <w:style w:type="paragraph" w:styleId="TOC1">
    <w:name w:val="toc 1"/>
    <w:basedOn w:val="Normal"/>
    <w:next w:val="Normal"/>
    <w:autoRedefine/>
    <w:semiHidden/>
    <w:rsid w:val="00514C40"/>
  </w:style>
  <w:style w:type="paragraph" w:styleId="TOC2">
    <w:name w:val="toc 2"/>
    <w:basedOn w:val="Normal"/>
    <w:next w:val="Normal"/>
    <w:autoRedefine/>
    <w:semiHidden/>
    <w:rsid w:val="00514C40"/>
    <w:pPr>
      <w:ind w:left="259"/>
    </w:pPr>
  </w:style>
  <w:style w:type="paragraph" w:styleId="TOC3">
    <w:name w:val="toc 3"/>
    <w:basedOn w:val="Normal"/>
    <w:next w:val="Normal"/>
    <w:autoRedefine/>
    <w:semiHidden/>
    <w:rsid w:val="00514C40"/>
    <w:pPr>
      <w:ind w:left="520"/>
    </w:pPr>
  </w:style>
  <w:style w:type="paragraph" w:styleId="TOC4">
    <w:name w:val="toc 4"/>
    <w:basedOn w:val="Normal"/>
    <w:next w:val="Normal"/>
    <w:autoRedefine/>
    <w:semiHidden/>
    <w:rsid w:val="00514C40"/>
    <w:pPr>
      <w:ind w:left="780"/>
    </w:pPr>
  </w:style>
  <w:style w:type="paragraph" w:styleId="TOC5">
    <w:name w:val="toc 5"/>
    <w:basedOn w:val="Normal"/>
    <w:next w:val="Normal"/>
    <w:autoRedefine/>
    <w:semiHidden/>
    <w:rsid w:val="00514C40"/>
    <w:pPr>
      <w:ind w:left="1040"/>
    </w:pPr>
  </w:style>
  <w:style w:type="paragraph" w:styleId="TOC6">
    <w:name w:val="toc 6"/>
    <w:basedOn w:val="Normal"/>
    <w:next w:val="Normal"/>
    <w:autoRedefine/>
    <w:semiHidden/>
    <w:rsid w:val="00514C40"/>
    <w:pPr>
      <w:ind w:left="1300"/>
    </w:pPr>
  </w:style>
  <w:style w:type="paragraph" w:styleId="TOC7">
    <w:name w:val="toc 7"/>
    <w:basedOn w:val="Normal"/>
    <w:next w:val="Normal"/>
    <w:autoRedefine/>
    <w:semiHidden/>
    <w:rsid w:val="00514C40"/>
    <w:pPr>
      <w:ind w:left="1560"/>
    </w:pPr>
  </w:style>
  <w:style w:type="paragraph" w:styleId="TOC8">
    <w:name w:val="toc 8"/>
    <w:basedOn w:val="Normal"/>
    <w:next w:val="Normal"/>
    <w:autoRedefine/>
    <w:semiHidden/>
    <w:rsid w:val="00514C40"/>
    <w:pPr>
      <w:ind w:left="1820"/>
    </w:pPr>
  </w:style>
  <w:style w:type="paragraph" w:styleId="TOC9">
    <w:name w:val="toc 9"/>
    <w:basedOn w:val="Normal"/>
    <w:next w:val="Normal"/>
    <w:autoRedefine/>
    <w:semiHidden/>
    <w:rsid w:val="00514C40"/>
    <w:pPr>
      <w:ind w:left="2080"/>
    </w:pPr>
  </w:style>
  <w:style w:type="paragraph" w:customStyle="1" w:styleId="Contents">
    <w:name w:val="Contents"/>
    <w:basedOn w:val="Normal"/>
    <w:rsid w:val="00514C40"/>
    <w:pPr>
      <w:jc w:val="center"/>
    </w:pPr>
    <w:rPr>
      <w:b/>
      <w:spacing w:val="100"/>
    </w:rPr>
  </w:style>
  <w:style w:type="paragraph" w:styleId="BalloonText">
    <w:name w:val="Balloon Text"/>
    <w:basedOn w:val="Normal"/>
    <w:link w:val="BalloonTextChar"/>
    <w:uiPriority w:val="99"/>
    <w:semiHidden/>
    <w:unhideWhenUsed/>
    <w:rsid w:val="0066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3E"/>
    <w:rPr>
      <w:rFonts w:ascii="Segoe UI" w:hAnsi="Segoe UI" w:cs="Segoe UI"/>
      <w:sz w:val="18"/>
      <w:szCs w:val="18"/>
    </w:rPr>
  </w:style>
  <w:style w:type="paragraph" w:styleId="ListParagraph">
    <w:name w:val="List Paragraph"/>
    <w:basedOn w:val="Normal"/>
    <w:uiPriority w:val="34"/>
    <w:qFormat/>
    <w:rsid w:val="00604461"/>
    <w:pPr>
      <w:ind w:left="720"/>
      <w:contextualSpacing/>
    </w:pPr>
  </w:style>
  <w:style w:type="character" w:styleId="Hyperlink">
    <w:name w:val="Hyperlink"/>
    <w:basedOn w:val="DefaultParagraphFont"/>
    <w:uiPriority w:val="99"/>
    <w:unhideWhenUsed/>
    <w:rsid w:val="00CC4DF4"/>
    <w:rPr>
      <w:color w:val="0000FF" w:themeColor="hyperlink"/>
      <w:u w:val="single"/>
    </w:rPr>
  </w:style>
  <w:style w:type="character" w:customStyle="1" w:styleId="UnresolvedMention">
    <w:name w:val="Unresolved Mention"/>
    <w:basedOn w:val="DefaultParagraphFont"/>
    <w:uiPriority w:val="99"/>
    <w:semiHidden/>
    <w:unhideWhenUsed/>
    <w:rsid w:val="00CC4DF4"/>
    <w:rPr>
      <w:color w:val="605E5C"/>
      <w:shd w:val="clear" w:color="auto" w:fill="E1DFDD"/>
    </w:rPr>
  </w:style>
  <w:style w:type="character" w:customStyle="1" w:styleId="cohl">
    <w:name w:val="co_hl"/>
    <w:basedOn w:val="DefaultParagraphFont"/>
    <w:rsid w:val="001C47F5"/>
  </w:style>
  <w:style w:type="character" w:styleId="CommentReference">
    <w:name w:val="annotation reference"/>
    <w:basedOn w:val="DefaultParagraphFont"/>
    <w:uiPriority w:val="99"/>
    <w:semiHidden/>
    <w:unhideWhenUsed/>
    <w:rsid w:val="00DB5308"/>
    <w:rPr>
      <w:sz w:val="16"/>
      <w:szCs w:val="16"/>
    </w:rPr>
  </w:style>
  <w:style w:type="paragraph" w:styleId="CommentText">
    <w:name w:val="annotation text"/>
    <w:basedOn w:val="Normal"/>
    <w:link w:val="CommentTextChar"/>
    <w:uiPriority w:val="99"/>
    <w:unhideWhenUsed/>
    <w:rsid w:val="00DB5308"/>
    <w:rPr>
      <w:sz w:val="20"/>
    </w:rPr>
  </w:style>
  <w:style w:type="character" w:customStyle="1" w:styleId="CommentTextChar">
    <w:name w:val="Comment Text Char"/>
    <w:basedOn w:val="DefaultParagraphFont"/>
    <w:link w:val="CommentText"/>
    <w:uiPriority w:val="99"/>
    <w:rsid w:val="00DB5308"/>
  </w:style>
  <w:style w:type="paragraph" w:styleId="CommentSubject">
    <w:name w:val="annotation subject"/>
    <w:basedOn w:val="CommentText"/>
    <w:next w:val="CommentText"/>
    <w:link w:val="CommentSubjectChar"/>
    <w:uiPriority w:val="99"/>
    <w:semiHidden/>
    <w:unhideWhenUsed/>
    <w:rsid w:val="00DB5308"/>
    <w:rPr>
      <w:b/>
      <w:bCs/>
    </w:rPr>
  </w:style>
  <w:style w:type="character" w:customStyle="1" w:styleId="CommentSubjectChar">
    <w:name w:val="Comment Subject Char"/>
    <w:basedOn w:val="CommentTextChar"/>
    <w:link w:val="CommentSubject"/>
    <w:uiPriority w:val="99"/>
    <w:semiHidden/>
    <w:rsid w:val="00DB5308"/>
    <w:rPr>
      <w:b/>
      <w:bCs/>
    </w:rPr>
  </w:style>
  <w:style w:type="paragraph" w:styleId="Revision">
    <w:name w:val="Revision"/>
    <w:hidden/>
    <w:uiPriority w:val="99"/>
    <w:semiHidden/>
    <w:rsid w:val="00562590"/>
    <w:rPr>
      <w:sz w:val="26"/>
    </w:rPr>
  </w:style>
  <w:style w:type="paragraph" w:styleId="BodyText">
    <w:name w:val="Body Text"/>
    <w:basedOn w:val="Normal"/>
    <w:link w:val="BodyTextChar"/>
    <w:qFormat/>
    <w:rsid w:val="00514C40"/>
  </w:style>
  <w:style w:type="character" w:customStyle="1" w:styleId="BodyTextChar">
    <w:name w:val="Body Text Char"/>
    <w:basedOn w:val="DefaultParagraphFont"/>
    <w:link w:val="BodyText"/>
    <w:rsid w:val="00514C40"/>
    <w:rPr>
      <w:rFonts w:ascii="Century Schoolbook" w:hAnsi="Century Schoolbook"/>
      <w:sz w:val="27"/>
    </w:rPr>
  </w:style>
  <w:style w:type="character" w:customStyle="1" w:styleId="FootnoteTextChar">
    <w:name w:val="Footnote Text Char"/>
    <w:link w:val="FootnoteText"/>
    <w:rsid w:val="004B4CD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6334</Words>
  <Characters>36108</Characters>
  <Application>Microsoft Office Word</Application>
  <DocSecurity>0</DocSecurity>
  <Lines>300</Lines>
  <Paragraphs>84</Paragraphs>
  <ScaleCrop>false</ScaleCrop>
  <Company/>
  <LinksUpToDate>false</LinksUpToDate>
  <CharactersWithSpaces>42358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2022-01-13T17:42:36Z</dcterms:created>
  <dcterms:modified xsi:type="dcterms:W3CDTF">2022-01-13T17:42:36Z</dcterms:modified>
</cp:coreProperties>
</file>