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05F1" w14:textId="4C5A656D" w:rsidR="00E824F0" w:rsidRDefault="00E824F0" w:rsidP="008E3B29">
      <w:pPr>
        <w:tabs>
          <w:tab w:val="left" w:leader="underscore" w:pos="4680"/>
        </w:tabs>
        <w:spacing w:after="0"/>
        <w:jc w:val="center"/>
        <w:rPr>
          <w:sz w:val="36"/>
        </w:rPr>
      </w:pPr>
      <w:bookmarkStart w:id="0" w:name="MarkDocLoc"/>
      <w:bookmarkEnd w:id="0"/>
      <w:r>
        <w:rPr>
          <w:b/>
          <w:sz w:val="36"/>
        </w:rPr>
        <w:t>IN THE SUPREME COURT OF CALIFORNIA</w:t>
      </w:r>
    </w:p>
    <w:p w14:paraId="09DBCE8F" w14:textId="50900C8E" w:rsidR="00E824F0" w:rsidRDefault="00E824F0" w:rsidP="008E3B29">
      <w:pPr>
        <w:tabs>
          <w:tab w:val="left" w:leader="underscore" w:pos="4680"/>
        </w:tabs>
        <w:spacing w:after="0"/>
        <w:jc w:val="center"/>
        <w:rPr>
          <w:u w:val="single"/>
        </w:rPr>
      </w:pPr>
    </w:p>
    <w:p w14:paraId="413E7DCD" w14:textId="4E8CFCFD" w:rsidR="00E824F0" w:rsidRPr="006C6097" w:rsidRDefault="00E824F0" w:rsidP="008E3B29">
      <w:pPr>
        <w:tabs>
          <w:tab w:val="left" w:leader="underscore" w:pos="4680"/>
        </w:tabs>
        <w:spacing w:after="0"/>
        <w:jc w:val="center"/>
      </w:pPr>
      <w:r w:rsidRPr="006C6097">
        <w:t>O.G., a Minor</w:t>
      </w:r>
      <w:r w:rsidR="003648F5">
        <w:t>, etc.,</w:t>
      </w:r>
    </w:p>
    <w:p w14:paraId="622F3ED8" w14:textId="6FA15081" w:rsidR="00B839B7" w:rsidRPr="006C6097" w:rsidRDefault="00E824F0" w:rsidP="00B34294">
      <w:pPr>
        <w:tabs>
          <w:tab w:val="left" w:leader="underscore" w:pos="4680"/>
        </w:tabs>
        <w:spacing w:after="0"/>
        <w:jc w:val="center"/>
      </w:pPr>
      <w:r w:rsidRPr="006C6097">
        <w:t>Petitioner</w:t>
      </w:r>
      <w:r w:rsidR="00B839B7" w:rsidRPr="006C6097">
        <w:t>,</w:t>
      </w:r>
    </w:p>
    <w:p w14:paraId="74736AC0" w14:textId="1A9A6059" w:rsidR="00B839B7" w:rsidRPr="006C6097" w:rsidRDefault="00E824F0" w:rsidP="008E3B29">
      <w:pPr>
        <w:tabs>
          <w:tab w:val="left" w:leader="underscore" w:pos="4680"/>
        </w:tabs>
        <w:spacing w:after="0"/>
        <w:jc w:val="center"/>
      </w:pPr>
      <w:r w:rsidRPr="006C6097">
        <w:t>v.</w:t>
      </w:r>
    </w:p>
    <w:p w14:paraId="6E611D0E" w14:textId="68A8AF2E" w:rsidR="00E824F0" w:rsidRPr="006C6097" w:rsidRDefault="003648F5" w:rsidP="008E3B29">
      <w:pPr>
        <w:tabs>
          <w:tab w:val="left" w:leader="underscore" w:pos="4680"/>
        </w:tabs>
        <w:spacing w:after="0"/>
        <w:jc w:val="center"/>
      </w:pPr>
      <w:r>
        <w:t xml:space="preserve">THE </w:t>
      </w:r>
      <w:r w:rsidR="00E824F0" w:rsidRPr="006C6097">
        <w:t>SUPERIOR COURT OF VENTURA</w:t>
      </w:r>
      <w:r w:rsidR="00B839B7" w:rsidRPr="006C6097">
        <w:t xml:space="preserve"> COUNTY,</w:t>
      </w:r>
    </w:p>
    <w:p w14:paraId="7D570FB1" w14:textId="16646DB4" w:rsidR="00B839B7" w:rsidRPr="006C6097" w:rsidRDefault="00E824F0">
      <w:pPr>
        <w:tabs>
          <w:tab w:val="left" w:leader="underscore" w:pos="4680"/>
        </w:tabs>
        <w:spacing w:after="0"/>
        <w:jc w:val="center"/>
      </w:pPr>
      <w:r w:rsidRPr="006C6097">
        <w:t>Respondent</w:t>
      </w:r>
      <w:r w:rsidR="003648F5">
        <w:t>;</w:t>
      </w:r>
    </w:p>
    <w:p w14:paraId="074B236B" w14:textId="3E141A1D" w:rsidR="00B839B7" w:rsidRPr="006C6097" w:rsidRDefault="00B839B7" w:rsidP="00B839B7">
      <w:pPr>
        <w:tabs>
          <w:tab w:val="left" w:pos="1440"/>
          <w:tab w:val="left" w:pos="4680"/>
          <w:tab w:val="center" w:pos="7200"/>
        </w:tabs>
        <w:spacing w:after="0"/>
        <w:jc w:val="center"/>
        <w:rPr>
          <w:szCs w:val="26"/>
        </w:rPr>
      </w:pPr>
      <w:r w:rsidRPr="006C6097">
        <w:rPr>
          <w:szCs w:val="26"/>
        </w:rPr>
        <w:t>THE PEOPLE</w:t>
      </w:r>
      <w:r w:rsidR="003648F5">
        <w:rPr>
          <w:szCs w:val="26"/>
        </w:rPr>
        <w:t>,</w:t>
      </w:r>
    </w:p>
    <w:p w14:paraId="689A8447" w14:textId="5A3C54F9" w:rsidR="00B839B7" w:rsidRPr="006C6097" w:rsidRDefault="00B839B7" w:rsidP="00B839B7">
      <w:pPr>
        <w:tabs>
          <w:tab w:val="left" w:pos="1440"/>
          <w:tab w:val="left" w:pos="4680"/>
          <w:tab w:val="center" w:pos="7200"/>
        </w:tabs>
        <w:spacing w:after="0"/>
        <w:jc w:val="center"/>
        <w:rPr>
          <w:szCs w:val="26"/>
        </w:rPr>
      </w:pPr>
      <w:r w:rsidRPr="006C6097">
        <w:rPr>
          <w:szCs w:val="26"/>
        </w:rPr>
        <w:t>Real Party in Interest.</w:t>
      </w:r>
    </w:p>
    <w:p w14:paraId="36014667" w14:textId="69F6A0DA" w:rsidR="00E824F0" w:rsidRPr="006C6097" w:rsidRDefault="00E824F0" w:rsidP="008E3B29">
      <w:pPr>
        <w:tabs>
          <w:tab w:val="left" w:leader="underscore" w:pos="4680"/>
        </w:tabs>
        <w:spacing w:after="0"/>
        <w:jc w:val="center"/>
      </w:pPr>
    </w:p>
    <w:p w14:paraId="3585B751" w14:textId="706EB342" w:rsidR="00E824F0" w:rsidRPr="006C6097" w:rsidRDefault="00E824F0" w:rsidP="008E3B29">
      <w:pPr>
        <w:tabs>
          <w:tab w:val="left" w:leader="underscore" w:pos="4680"/>
        </w:tabs>
        <w:spacing w:after="0"/>
        <w:jc w:val="center"/>
      </w:pPr>
      <w:r w:rsidRPr="006C6097">
        <w:t>S259011</w:t>
      </w:r>
    </w:p>
    <w:p w14:paraId="61DFEE40" w14:textId="66C3F014" w:rsidR="00E824F0" w:rsidRPr="006C6097" w:rsidRDefault="00E824F0" w:rsidP="008E3B29">
      <w:pPr>
        <w:tabs>
          <w:tab w:val="left" w:leader="underscore" w:pos="4680"/>
        </w:tabs>
        <w:spacing w:after="0"/>
        <w:jc w:val="center"/>
      </w:pPr>
    </w:p>
    <w:p w14:paraId="05DE1F83" w14:textId="7C454F61" w:rsidR="00E824F0" w:rsidRPr="006C6097" w:rsidRDefault="00E824F0" w:rsidP="008E3B29">
      <w:pPr>
        <w:tabs>
          <w:tab w:val="left" w:leader="underscore" w:pos="4680"/>
        </w:tabs>
        <w:spacing w:after="0"/>
        <w:jc w:val="center"/>
      </w:pPr>
      <w:r w:rsidRPr="006C6097">
        <w:t>Second Appellate District, Division Six</w:t>
      </w:r>
    </w:p>
    <w:p w14:paraId="0A032DC2" w14:textId="75673BE5" w:rsidR="00E824F0" w:rsidRPr="006C6097" w:rsidRDefault="00E824F0" w:rsidP="008E3B29">
      <w:pPr>
        <w:tabs>
          <w:tab w:val="left" w:leader="underscore" w:pos="4680"/>
        </w:tabs>
        <w:spacing w:after="0"/>
        <w:jc w:val="center"/>
      </w:pPr>
      <w:r w:rsidRPr="006C6097">
        <w:t>B295555</w:t>
      </w:r>
    </w:p>
    <w:p w14:paraId="1471B3F5" w14:textId="691189E7" w:rsidR="00E824F0" w:rsidRPr="006C6097" w:rsidRDefault="00E824F0" w:rsidP="008E3B29">
      <w:pPr>
        <w:tabs>
          <w:tab w:val="left" w:leader="underscore" w:pos="4680"/>
        </w:tabs>
        <w:spacing w:after="0"/>
        <w:jc w:val="center"/>
      </w:pPr>
    </w:p>
    <w:p w14:paraId="60E46332" w14:textId="3119CE11" w:rsidR="00E824F0" w:rsidRPr="006C6097" w:rsidRDefault="00E824F0" w:rsidP="008E3B29">
      <w:pPr>
        <w:tabs>
          <w:tab w:val="left" w:leader="underscore" w:pos="4680"/>
        </w:tabs>
        <w:spacing w:after="0"/>
        <w:jc w:val="center"/>
      </w:pPr>
      <w:r w:rsidRPr="006C6097">
        <w:t>Ventura County</w:t>
      </w:r>
      <w:r w:rsidR="00B839B7" w:rsidRPr="006C6097">
        <w:t xml:space="preserve"> </w:t>
      </w:r>
      <w:r w:rsidR="006C6097">
        <w:t>Superior Court</w:t>
      </w:r>
    </w:p>
    <w:p w14:paraId="51ECB368" w14:textId="500EBF9C" w:rsidR="00E824F0" w:rsidRPr="006C6097" w:rsidRDefault="00E824F0" w:rsidP="008E3B29">
      <w:pPr>
        <w:tabs>
          <w:tab w:val="left" w:leader="underscore" w:pos="4680"/>
        </w:tabs>
        <w:spacing w:after="0"/>
        <w:jc w:val="center"/>
      </w:pPr>
      <w:r w:rsidRPr="006C6097">
        <w:t>2018017144</w:t>
      </w:r>
    </w:p>
    <w:p w14:paraId="60D9A66D" w14:textId="18D29857" w:rsidR="00E824F0" w:rsidRDefault="00E824F0" w:rsidP="008E3B29">
      <w:pPr>
        <w:pBdr>
          <w:bottom w:val="single" w:sz="4" w:space="1" w:color="auto"/>
        </w:pBdr>
        <w:tabs>
          <w:tab w:val="left" w:leader="underscore" w:pos="4680"/>
        </w:tabs>
        <w:spacing w:after="0"/>
        <w:jc w:val="center"/>
        <w:rPr>
          <w:u w:val="single"/>
        </w:rPr>
      </w:pPr>
    </w:p>
    <w:p w14:paraId="622AF4EE" w14:textId="25033890" w:rsidR="00E824F0" w:rsidRDefault="00E824F0" w:rsidP="008E3B29">
      <w:pPr>
        <w:tabs>
          <w:tab w:val="left" w:leader="underscore" w:pos="4680"/>
        </w:tabs>
        <w:spacing w:after="0"/>
        <w:jc w:val="center"/>
        <w:rPr>
          <w:u w:val="single"/>
        </w:rPr>
      </w:pPr>
    </w:p>
    <w:p w14:paraId="02CA1464" w14:textId="0B56CE98" w:rsidR="006C6097" w:rsidRDefault="00B12A0A" w:rsidP="006C6097">
      <w:pPr>
        <w:spacing w:after="0"/>
        <w:jc w:val="center"/>
        <w:rPr>
          <w:szCs w:val="27"/>
        </w:rPr>
      </w:pPr>
      <w:r>
        <w:rPr>
          <w:szCs w:val="27"/>
        </w:rPr>
        <w:t>February 25,</w:t>
      </w:r>
      <w:r w:rsidR="006C6097">
        <w:rPr>
          <w:szCs w:val="27"/>
        </w:rPr>
        <w:t xml:space="preserve"> 2021</w:t>
      </w:r>
    </w:p>
    <w:p w14:paraId="2395BFA3" w14:textId="42E586FD" w:rsidR="00E824F0" w:rsidRDefault="00E824F0" w:rsidP="008E3B29">
      <w:pPr>
        <w:tabs>
          <w:tab w:val="left" w:leader="underscore" w:pos="4680"/>
        </w:tabs>
        <w:spacing w:after="0"/>
        <w:jc w:val="center"/>
        <w:rPr>
          <w:u w:val="single"/>
        </w:rPr>
      </w:pPr>
    </w:p>
    <w:p w14:paraId="1FF8ED63" w14:textId="09D247FF" w:rsidR="00E824F0" w:rsidRPr="00B12A0A" w:rsidRDefault="00B839B7" w:rsidP="00B12A0A">
      <w:pPr>
        <w:tabs>
          <w:tab w:val="left" w:pos="1440"/>
          <w:tab w:val="left" w:pos="4680"/>
          <w:tab w:val="center" w:pos="7200"/>
        </w:tabs>
        <w:spacing w:after="0"/>
        <w:jc w:val="left"/>
        <w:rPr>
          <w:szCs w:val="26"/>
        </w:rPr>
      </w:pPr>
      <w:r>
        <w:rPr>
          <w:szCs w:val="26"/>
        </w:rPr>
        <w:t xml:space="preserve">Justice Groban authored the opinion of the </w:t>
      </w:r>
      <w:r w:rsidR="00D63DBB">
        <w:rPr>
          <w:szCs w:val="26"/>
        </w:rPr>
        <w:t>C</w:t>
      </w:r>
      <w:r>
        <w:rPr>
          <w:szCs w:val="26"/>
        </w:rPr>
        <w:t xml:space="preserve">ourt, in which </w:t>
      </w:r>
      <w:r w:rsidR="00B12A0A">
        <w:rPr>
          <w:szCs w:val="26"/>
        </w:rPr>
        <w:t>Chief Justice Cantil-Sakauye and Justices Corrigan, Liu, Cuéllar, Kruger and Kline</w:t>
      </w:r>
      <w:r w:rsidR="00B12A0A" w:rsidRPr="00B620A6">
        <w:rPr>
          <w:szCs w:val="26"/>
          <w:vertAlign w:val="superscript"/>
        </w:rPr>
        <w:t>*</w:t>
      </w:r>
      <w:r w:rsidR="00B12A0A">
        <w:rPr>
          <w:szCs w:val="26"/>
        </w:rPr>
        <w:t xml:space="preserve"> concurred.</w:t>
      </w:r>
    </w:p>
    <w:p w14:paraId="3F55756C" w14:textId="77777777" w:rsidR="00E824F0" w:rsidRPr="00E824F0" w:rsidRDefault="00E824F0" w:rsidP="008E3B29">
      <w:pPr>
        <w:pBdr>
          <w:bottom w:val="single" w:sz="4" w:space="1" w:color="auto"/>
        </w:pBdr>
        <w:tabs>
          <w:tab w:val="left" w:leader="underscore" w:pos="4680"/>
        </w:tabs>
        <w:spacing w:line="240" w:lineRule="atLeast"/>
        <w:jc w:val="left"/>
        <w:rPr>
          <w:u w:val="single"/>
        </w:rPr>
      </w:pPr>
    </w:p>
    <w:p w14:paraId="76920512" w14:textId="085455BF" w:rsidR="00B12A0A" w:rsidRDefault="00B12A0A" w:rsidP="00B12A0A">
      <w:pPr>
        <w:pStyle w:val="FootnoteText"/>
      </w:pPr>
    </w:p>
    <w:p w14:paraId="199E4A52" w14:textId="77777777" w:rsidR="00B12A0A" w:rsidRDefault="00B12A0A" w:rsidP="00B12A0A">
      <w:pPr>
        <w:pStyle w:val="FootnoteText"/>
      </w:pPr>
    </w:p>
    <w:p w14:paraId="33E2AE47" w14:textId="5AD96F82" w:rsidR="00B12A0A" w:rsidRDefault="00B12A0A" w:rsidP="00B12A0A">
      <w:pPr>
        <w:pStyle w:val="FootnoteText"/>
        <w:spacing w:after="0"/>
      </w:pPr>
      <w:r>
        <w:t>________________________</w:t>
      </w:r>
    </w:p>
    <w:p w14:paraId="47A9D401" w14:textId="75A08C6E" w:rsidR="00B12A0A" w:rsidRPr="008770E8" w:rsidRDefault="00B12A0A" w:rsidP="00B12A0A">
      <w:pPr>
        <w:spacing w:after="0" w:line="240" w:lineRule="auto"/>
        <w:rPr>
          <w:rFonts w:ascii="Calibri" w:hAnsi="Calibri"/>
          <w:szCs w:val="27"/>
        </w:rPr>
      </w:pPr>
      <w:r w:rsidRPr="008770E8">
        <w:rPr>
          <w:rStyle w:val="FootnoteReference"/>
          <w:b w:val="0"/>
          <w:bCs/>
          <w:szCs w:val="27"/>
        </w:rPr>
        <w:t>*</w:t>
      </w:r>
      <w:r w:rsidRPr="008770E8">
        <w:rPr>
          <w:b/>
          <w:bCs/>
          <w:szCs w:val="27"/>
        </w:rPr>
        <w:t xml:space="preserve"> </w:t>
      </w:r>
      <w:r w:rsidRPr="008770E8">
        <w:rPr>
          <w:szCs w:val="27"/>
        </w:rPr>
        <w:tab/>
        <w:t>Presiding Justice of the Court of Appeal, First Appellate District, Division Two, assigned by the Chief Justice pursuant to article VI, section 6 of the California Constitution.</w:t>
      </w:r>
    </w:p>
    <w:p w14:paraId="60978BDD" w14:textId="593717AF" w:rsidR="00E824F0" w:rsidRDefault="00E824F0" w:rsidP="00B12A0A">
      <w:pPr>
        <w:pStyle w:val="FootnoteText"/>
        <w:tabs>
          <w:tab w:val="left" w:pos="360"/>
        </w:tabs>
        <w:rPr>
          <w:u w:val="single"/>
        </w:rPr>
        <w:sectPr w:rsidR="00E824F0" w:rsidSect="008E3B29">
          <w:headerReference w:type="default" r:id="rId8"/>
          <w:footerReference w:type="default" r:id="rId9"/>
          <w:pgSz w:w="12240" w:h="15840"/>
          <w:pgMar w:top="1800" w:right="2160" w:bottom="1440" w:left="2160" w:header="720" w:footer="720" w:gutter="0"/>
          <w:cols w:space="720"/>
          <w:titlePg/>
          <w:docGrid w:linePitch="367"/>
        </w:sectPr>
      </w:pPr>
    </w:p>
    <w:p w14:paraId="6DEEC2FE" w14:textId="6CA0CE01" w:rsidR="00E824F0" w:rsidRPr="006B749B" w:rsidRDefault="00E824F0" w:rsidP="00B34294">
      <w:pPr>
        <w:tabs>
          <w:tab w:val="left" w:leader="underscore" w:pos="4680"/>
        </w:tabs>
        <w:jc w:val="center"/>
      </w:pPr>
      <w:r w:rsidRPr="006B749B">
        <w:lastRenderedPageBreak/>
        <w:t>O.G. v. SUPERIOR COURT</w:t>
      </w:r>
    </w:p>
    <w:p w14:paraId="4BC57B9D" w14:textId="6CC11333" w:rsidR="00E824F0" w:rsidRPr="006B749B" w:rsidRDefault="00E824F0" w:rsidP="00B34294">
      <w:pPr>
        <w:tabs>
          <w:tab w:val="left" w:leader="underscore" w:pos="4680"/>
        </w:tabs>
        <w:jc w:val="center"/>
      </w:pPr>
      <w:r w:rsidRPr="006B749B">
        <w:t>S259011</w:t>
      </w:r>
    </w:p>
    <w:p w14:paraId="460A7D58" w14:textId="1B776F83" w:rsidR="00E824F0" w:rsidRPr="006B749B" w:rsidRDefault="00E824F0" w:rsidP="00B34294">
      <w:pPr>
        <w:tabs>
          <w:tab w:val="left" w:leader="underscore" w:pos="4680"/>
        </w:tabs>
        <w:jc w:val="center"/>
      </w:pPr>
    </w:p>
    <w:p w14:paraId="4FFDC690" w14:textId="74B368B8" w:rsidR="00E824F0" w:rsidRPr="006B749B" w:rsidRDefault="00E824F0" w:rsidP="00B34294">
      <w:pPr>
        <w:tabs>
          <w:tab w:val="left" w:leader="underscore" w:pos="4680"/>
        </w:tabs>
        <w:jc w:val="center"/>
      </w:pPr>
      <w:r w:rsidRPr="006B749B">
        <w:t>Opinion of the Court by Groban, J.</w:t>
      </w:r>
    </w:p>
    <w:p w14:paraId="21C54E76" w14:textId="77777777" w:rsidR="00E824F0" w:rsidRPr="00E824F0" w:rsidRDefault="00E824F0" w:rsidP="008E3B29">
      <w:pPr>
        <w:tabs>
          <w:tab w:val="left" w:leader="underscore" w:pos="4680"/>
        </w:tabs>
        <w:jc w:val="center"/>
        <w:rPr>
          <w:u w:val="single"/>
        </w:rPr>
      </w:pPr>
    </w:p>
    <w:p w14:paraId="301ACB63" w14:textId="038FF357" w:rsidR="00085A02" w:rsidRPr="00B34294" w:rsidRDefault="00085A02" w:rsidP="008E3B29">
      <w:pPr>
        <w:pStyle w:val="Text"/>
        <w:spacing w:line="400" w:lineRule="exact"/>
        <w:ind w:firstLine="0"/>
      </w:pPr>
      <w:bookmarkStart w:id="1" w:name="justice"/>
      <w:bookmarkEnd w:id="1"/>
      <w:r w:rsidRPr="00B839B7">
        <w:tab/>
      </w:r>
      <w:r w:rsidR="00F1644A" w:rsidRPr="00B839B7">
        <w:t>Proposition 57</w:t>
      </w:r>
      <w:r w:rsidR="00AD2DC7" w:rsidRPr="00B839B7">
        <w:t xml:space="preserve">, passed in </w:t>
      </w:r>
      <w:r w:rsidR="00EE7B35">
        <w:t xml:space="preserve">the November </w:t>
      </w:r>
      <w:r w:rsidR="00AD2DC7" w:rsidRPr="00B839B7">
        <w:t>2016</w:t>
      </w:r>
      <w:r w:rsidR="00EE7B35">
        <w:t xml:space="preserve"> general election (Proposition 57)</w:t>
      </w:r>
      <w:r w:rsidR="00AD2DC7" w:rsidRPr="00B839B7">
        <w:t>,</w:t>
      </w:r>
      <w:r w:rsidR="00F1644A" w:rsidRPr="00B839B7">
        <w:t xml:space="preserve"> </w:t>
      </w:r>
      <w:r w:rsidR="00607946" w:rsidRPr="00B839B7">
        <w:t xml:space="preserve">requires </w:t>
      </w:r>
      <w:r w:rsidR="00A7276F" w:rsidRPr="00B839B7">
        <w:t>prosecutor</w:t>
      </w:r>
      <w:r w:rsidR="00AD2DC7" w:rsidRPr="00B839B7">
        <w:t>s</w:t>
      </w:r>
      <w:r w:rsidR="00607946" w:rsidRPr="00B839B7">
        <w:t xml:space="preserve"> to</w:t>
      </w:r>
      <w:r w:rsidR="00AD2DC7" w:rsidRPr="00B839B7">
        <w:t xml:space="preserve"> </w:t>
      </w:r>
      <w:r w:rsidR="00301DDF" w:rsidRPr="00B839B7">
        <w:t xml:space="preserve">commence </w:t>
      </w:r>
      <w:r w:rsidR="00AD2DC7" w:rsidRPr="00B34294">
        <w:t xml:space="preserve">all </w:t>
      </w:r>
      <w:r w:rsidR="00A7276F" w:rsidRPr="00B34294">
        <w:t>case</w:t>
      </w:r>
      <w:r w:rsidR="00AD2DC7" w:rsidRPr="00B34294">
        <w:t>s</w:t>
      </w:r>
      <w:r w:rsidR="00A7276F" w:rsidRPr="00B34294">
        <w:t xml:space="preserve"> </w:t>
      </w:r>
      <w:r w:rsidR="00A00E93" w:rsidRPr="00B34294">
        <w:t>involving a minor</w:t>
      </w:r>
      <w:r w:rsidR="00A7276F" w:rsidRPr="00B34294">
        <w:t xml:space="preserve"> </w:t>
      </w:r>
      <w:r w:rsidR="00301DDF" w:rsidRPr="00B34294">
        <w:t>in juvenile court</w:t>
      </w:r>
      <w:r w:rsidR="00706317" w:rsidRPr="00B34294">
        <w:t>.</w:t>
      </w:r>
      <w:r w:rsidR="002A7C93" w:rsidRPr="00B34294">
        <w:t xml:space="preserve">  </w:t>
      </w:r>
      <w:r w:rsidR="005E4B69" w:rsidRPr="00B34294">
        <w:t>“Proposition 57 is an ‘ameliorative change[] to the criminal law’</w:t>
      </w:r>
      <w:r w:rsidR="005510D1" w:rsidRPr="00B34294">
        <w:t> </w:t>
      </w:r>
      <w:r w:rsidR="005E4B69" w:rsidRPr="00B34294">
        <w:t xml:space="preserve">” </w:t>
      </w:r>
      <w:r w:rsidR="00C51012" w:rsidRPr="00B34294">
        <w:t xml:space="preserve">that “the legislative body intended ‘to extend as broadly as possible.’ ”  </w:t>
      </w:r>
      <w:r w:rsidR="005E4B69" w:rsidRPr="00B34294">
        <w:t>(</w:t>
      </w:r>
      <w:r w:rsidR="00C51012" w:rsidRPr="00B34294">
        <w:rPr>
          <w:i/>
          <w:iCs/>
        </w:rPr>
        <w:t>People v. Superior Court (Lara)</w:t>
      </w:r>
      <w:r w:rsidR="00C51012" w:rsidRPr="00B34294">
        <w:t xml:space="preserve"> (2018) 4 Cal. 5th 299, 309 (</w:t>
      </w:r>
      <w:r w:rsidR="00C51012" w:rsidRPr="00B34294">
        <w:rPr>
          <w:i/>
          <w:iCs/>
        </w:rPr>
        <w:t>Lara</w:t>
      </w:r>
      <w:r w:rsidR="00C51012" w:rsidRPr="00B34294">
        <w:t>)</w:t>
      </w:r>
      <w:r w:rsidR="005E4B69" w:rsidRPr="00B34294">
        <w:t>.)</w:t>
      </w:r>
      <w:r w:rsidR="005E3926" w:rsidRPr="00B34294">
        <w:t xml:space="preserve"> </w:t>
      </w:r>
      <w:r w:rsidR="006D5DCE" w:rsidRPr="00B34294">
        <w:t xml:space="preserve"> </w:t>
      </w:r>
      <w:r w:rsidR="005E3926" w:rsidRPr="00B34294">
        <w:t xml:space="preserve">Proposition 57 expressly allowed for amendments that </w:t>
      </w:r>
      <w:r w:rsidR="00380349">
        <w:t>“</w:t>
      </w:r>
      <w:r w:rsidR="005E3926" w:rsidRPr="00B34294">
        <w:t xml:space="preserve">are consistent with and further </w:t>
      </w:r>
      <w:r w:rsidR="00380349" w:rsidRPr="00380349">
        <w:t>the intent of this act</w:t>
      </w:r>
      <w:r w:rsidR="00380349">
        <w:t> </w:t>
      </w:r>
      <w:r w:rsidR="00380349" w:rsidRPr="00380349">
        <w:t>.</w:t>
      </w:r>
      <w:r w:rsidR="00380349">
        <w:t> </w:t>
      </w:r>
      <w:r w:rsidR="00380349" w:rsidRPr="00380349">
        <w:t>.</w:t>
      </w:r>
      <w:r w:rsidR="00380349">
        <w:t> </w:t>
      </w:r>
      <w:r w:rsidR="00380349" w:rsidRPr="00380349">
        <w:t>.</w:t>
      </w:r>
      <w:r w:rsidR="00380349">
        <w:t> </w:t>
      </w:r>
      <w:r w:rsidR="00380349" w:rsidRPr="00380349">
        <w:t>.</w:t>
      </w:r>
      <w:r w:rsidR="00380349">
        <w:t>”</w:t>
      </w:r>
      <w:r w:rsidR="00380349" w:rsidRPr="00380349">
        <w:t xml:space="preserve">  (Voter Information Guide, Gen. Elec. (Nov. 8, 2016) text of Prop. 57, § 5, p. 145 (2016 Voter Guide).)  </w:t>
      </w:r>
      <w:r w:rsidR="00C57506" w:rsidRPr="00B34294">
        <w:t xml:space="preserve">As originally enacted, Proposition 57 allowed prosecutors to </w:t>
      </w:r>
      <w:r w:rsidR="00A00E93" w:rsidRPr="00B34294">
        <w:t xml:space="preserve">move to transfer </w:t>
      </w:r>
      <w:r w:rsidR="00607946" w:rsidRPr="00B34294">
        <w:t xml:space="preserve">some </w:t>
      </w:r>
      <w:r w:rsidR="00A00E93" w:rsidRPr="00B34294">
        <w:t>minors as young as 14</w:t>
      </w:r>
      <w:r w:rsidR="00B16CF7" w:rsidRPr="00B34294">
        <w:t xml:space="preserve"> from juvenile court </w:t>
      </w:r>
      <w:r w:rsidR="00C57506" w:rsidRPr="00B34294">
        <w:t xml:space="preserve">to adult criminal court.  </w:t>
      </w:r>
      <w:r w:rsidR="007C596C" w:rsidRPr="00B34294">
        <w:t xml:space="preserve">Senate Bill No. 1391 </w:t>
      </w:r>
      <w:r w:rsidR="00EE7B35">
        <w:t>(2017</w:t>
      </w:r>
      <w:r w:rsidR="00EE7B35" w:rsidRPr="00B34294">
        <w:t>–</w:t>
      </w:r>
      <w:r w:rsidR="00EE7B35">
        <w:t xml:space="preserve">2018 Reg. Sess.) </w:t>
      </w:r>
      <w:r w:rsidR="00EB7E9A" w:rsidRPr="00B34294">
        <w:t>(S</w:t>
      </w:r>
      <w:r w:rsidR="00EE7B35">
        <w:t>enate Bill</w:t>
      </w:r>
      <w:r w:rsidR="00EB7E9A" w:rsidRPr="00B34294">
        <w:t xml:space="preserve"> 1391)</w:t>
      </w:r>
      <w:r w:rsidR="002B2646" w:rsidRPr="00B34294">
        <w:t>, enacted in 2018,</w:t>
      </w:r>
      <w:r w:rsidR="00EB7E9A" w:rsidRPr="00B34294">
        <w:t xml:space="preserve"> </w:t>
      </w:r>
      <w:r w:rsidR="00706317" w:rsidRPr="00B34294">
        <w:t>amended Proposition 57 to prohibit</w:t>
      </w:r>
      <w:r w:rsidR="00607946" w:rsidRPr="00B34294">
        <w:t xml:space="preserve"> minors under the age of 16 from being transferred </w:t>
      </w:r>
      <w:r w:rsidR="00706317" w:rsidRPr="00B34294">
        <w:t>to adult criminal court</w:t>
      </w:r>
      <w:r w:rsidR="00607946" w:rsidRPr="00B34294">
        <w:t>.</w:t>
      </w:r>
      <w:r w:rsidR="00C64C92" w:rsidRPr="00B34294">
        <w:t xml:space="preserve">  </w:t>
      </w:r>
      <w:r w:rsidR="00EE7B35" w:rsidRPr="00B34294">
        <w:t>(See Welf. &amp; Inst. Code, § 707, subd. (a)(1)</w:t>
      </w:r>
      <w:r w:rsidR="00EE7B35" w:rsidRPr="00171ACF">
        <w:rPr>
          <w:rFonts w:cstheme="minorHAnsi"/>
          <w:color w:val="454545"/>
          <w:sz w:val="24"/>
        </w:rPr>
        <w:t>–</w:t>
      </w:r>
      <w:r w:rsidR="00EE7B35" w:rsidRPr="00B34294">
        <w:t>(2)</w:t>
      </w:r>
      <w:r w:rsidR="00EE7B35">
        <w:t xml:space="preserve">, as amended by </w:t>
      </w:r>
      <w:r w:rsidR="00EE7B35" w:rsidRPr="00B34294">
        <w:rPr>
          <w:szCs w:val="26"/>
        </w:rPr>
        <w:t>Stats. 2018</w:t>
      </w:r>
      <w:r w:rsidR="00EE7B35">
        <w:rPr>
          <w:szCs w:val="26"/>
        </w:rPr>
        <w:t xml:space="preserve">, ch. 1012, </w:t>
      </w:r>
      <w:r w:rsidR="00EE7B35" w:rsidRPr="00B34294">
        <w:t>§</w:t>
      </w:r>
      <w:r w:rsidR="00EE7B35">
        <w:t xml:space="preserve"> 1</w:t>
      </w:r>
      <w:r w:rsidR="00EE7B35" w:rsidRPr="00B34294">
        <w:t>.)</w:t>
      </w:r>
    </w:p>
    <w:p w14:paraId="70A47F5A" w14:textId="79EFA12D" w:rsidR="00163FF0" w:rsidRPr="00B34294" w:rsidRDefault="00085A02" w:rsidP="008E3B29">
      <w:pPr>
        <w:pStyle w:val="Text"/>
        <w:spacing w:line="400" w:lineRule="exact"/>
        <w:ind w:firstLine="0"/>
      </w:pPr>
      <w:r w:rsidRPr="00B34294">
        <w:tab/>
      </w:r>
      <w:r w:rsidR="00C64C92" w:rsidRPr="00B34294">
        <w:t xml:space="preserve">In this case, </w:t>
      </w:r>
      <w:r w:rsidR="00F1644A" w:rsidRPr="00B34294">
        <w:t xml:space="preserve">the </w:t>
      </w:r>
      <w:r w:rsidR="00301DDF" w:rsidRPr="00B34294">
        <w:t>Court of Appeal</w:t>
      </w:r>
      <w:r w:rsidR="005E6589" w:rsidRPr="00B34294">
        <w:t xml:space="preserve"> </w:t>
      </w:r>
      <w:r w:rsidR="00301DDF" w:rsidRPr="00B34294">
        <w:t xml:space="preserve">held that </w:t>
      </w:r>
      <w:r w:rsidR="00EB7E9A" w:rsidRPr="00B34294">
        <w:t>S</w:t>
      </w:r>
      <w:r w:rsidR="00C4444D">
        <w:t xml:space="preserve">enate </w:t>
      </w:r>
      <w:r w:rsidR="00EB7E9A" w:rsidRPr="00B34294">
        <w:t>B</w:t>
      </w:r>
      <w:r w:rsidR="00C4444D">
        <w:t>ill</w:t>
      </w:r>
      <w:r w:rsidR="00654F96" w:rsidRPr="00B34294">
        <w:t xml:space="preserve"> 1391</w:t>
      </w:r>
      <w:r w:rsidR="00163FF0" w:rsidRPr="00B34294">
        <w:t xml:space="preserve"> </w:t>
      </w:r>
      <w:r w:rsidRPr="00B34294">
        <w:t>is inconsistent</w:t>
      </w:r>
      <w:r w:rsidR="002C0EF9" w:rsidRPr="00B34294">
        <w:t xml:space="preserve"> </w:t>
      </w:r>
      <w:r w:rsidRPr="00B34294">
        <w:t>with Proposition 57 and thus invalid</w:t>
      </w:r>
      <w:r w:rsidR="00C4444D">
        <w:t xml:space="preserve"> </w:t>
      </w:r>
      <w:r w:rsidR="00C4444D" w:rsidRPr="00B34294">
        <w:t>(</w:t>
      </w:r>
      <w:r w:rsidR="00C4444D" w:rsidRPr="00B34294">
        <w:rPr>
          <w:i/>
        </w:rPr>
        <w:t>O.G. v. Superior Court</w:t>
      </w:r>
      <w:r w:rsidR="00C4444D" w:rsidRPr="00B34294">
        <w:t xml:space="preserve"> (2019) 40 Cal.App.5th 626,</w:t>
      </w:r>
      <w:r w:rsidR="000D0E0A">
        <w:t xml:space="preserve"> 629</w:t>
      </w:r>
      <w:r w:rsidR="00C4444D" w:rsidRPr="00B34294">
        <w:t>)</w:t>
      </w:r>
      <w:r w:rsidR="00DF0757" w:rsidRPr="00B34294">
        <w:t>, a holding at odds with every other</w:t>
      </w:r>
      <w:r w:rsidR="00F1292E" w:rsidRPr="00B34294">
        <w:t xml:space="preserve"> </w:t>
      </w:r>
      <w:r w:rsidR="00DF0757" w:rsidRPr="00B34294">
        <w:t>Court of Appeal opinion to have addressed the issue</w:t>
      </w:r>
      <w:r w:rsidR="00654F96" w:rsidRPr="00B34294">
        <w:t xml:space="preserve">.  </w:t>
      </w:r>
      <w:r w:rsidR="00C117E4" w:rsidRPr="00B34294">
        <w:t>We</w:t>
      </w:r>
      <w:r w:rsidR="00163FF0" w:rsidRPr="00B34294">
        <w:t xml:space="preserve"> </w:t>
      </w:r>
      <w:r w:rsidR="000A541A" w:rsidRPr="00B34294">
        <w:t>agree with th</w:t>
      </w:r>
      <w:r w:rsidR="00BC036B" w:rsidRPr="00B34294">
        <w:t>e</w:t>
      </w:r>
      <w:r w:rsidR="000A541A" w:rsidRPr="00B34294">
        <w:t xml:space="preserve"> majority view </w:t>
      </w:r>
      <w:r w:rsidR="00706317" w:rsidRPr="00B34294">
        <w:t>that S</w:t>
      </w:r>
      <w:r w:rsidR="00C4444D">
        <w:t xml:space="preserve">enate </w:t>
      </w:r>
      <w:r w:rsidR="00706317" w:rsidRPr="00B34294">
        <w:t>B</w:t>
      </w:r>
      <w:r w:rsidR="00C4444D">
        <w:t>ill</w:t>
      </w:r>
      <w:r w:rsidR="00706317" w:rsidRPr="00B34294">
        <w:t xml:space="preserve"> 1391 was a permissible amendment to Proposition 57 </w:t>
      </w:r>
      <w:r w:rsidR="00F1644A" w:rsidRPr="00B34294">
        <w:t>and</w:t>
      </w:r>
      <w:r w:rsidR="00163FF0" w:rsidRPr="00B34294">
        <w:t xml:space="preserve"> </w:t>
      </w:r>
      <w:r w:rsidR="00F1644A" w:rsidRPr="00B34294">
        <w:t xml:space="preserve">we </w:t>
      </w:r>
      <w:r w:rsidR="00163FF0" w:rsidRPr="00B34294">
        <w:t xml:space="preserve">reverse the judgment </w:t>
      </w:r>
      <w:r w:rsidR="008D7735" w:rsidRPr="00B34294">
        <w:t>in this case</w:t>
      </w:r>
      <w:r w:rsidR="00654F96" w:rsidRPr="00B34294">
        <w:t>.</w:t>
      </w:r>
      <w:r w:rsidR="00840486" w:rsidRPr="00B34294">
        <w:t xml:space="preserve">  </w:t>
      </w:r>
      <w:r w:rsidRPr="00B34294">
        <w:t xml:space="preserve">Because </w:t>
      </w:r>
      <w:r w:rsidR="002728F3" w:rsidRPr="00B34294">
        <w:t>Proposition 57</w:t>
      </w:r>
      <w:r w:rsidR="00F05E90" w:rsidRPr="00B34294">
        <w:t xml:space="preserve"> expressly </w:t>
      </w:r>
      <w:r w:rsidRPr="00B34294">
        <w:t>permits legislative amendments, we</w:t>
      </w:r>
      <w:r w:rsidR="00F05E90" w:rsidRPr="00B34294">
        <w:t xml:space="preserve"> </w:t>
      </w:r>
      <w:r w:rsidR="00DF0757" w:rsidRPr="00B34294">
        <w:t xml:space="preserve">must </w:t>
      </w:r>
      <w:r w:rsidRPr="00B34294">
        <w:t xml:space="preserve">presume </w:t>
      </w:r>
      <w:r w:rsidR="00840486" w:rsidRPr="00B34294">
        <w:t xml:space="preserve">the </w:t>
      </w:r>
      <w:r w:rsidR="00840486" w:rsidRPr="00B34294">
        <w:lastRenderedPageBreak/>
        <w:t xml:space="preserve">Legislature acted within its authority and </w:t>
      </w:r>
      <w:r w:rsidRPr="00B34294">
        <w:t xml:space="preserve">uphold </w:t>
      </w:r>
      <w:r w:rsidR="00F05E90" w:rsidRPr="00B34294">
        <w:t>S</w:t>
      </w:r>
      <w:r w:rsidR="00C4444D">
        <w:t xml:space="preserve">enate </w:t>
      </w:r>
      <w:r w:rsidR="00F05E90" w:rsidRPr="00B34294">
        <w:t>B</w:t>
      </w:r>
      <w:r w:rsidR="00C4444D">
        <w:t>ill</w:t>
      </w:r>
      <w:r w:rsidR="00F05E90" w:rsidRPr="00B34294">
        <w:t xml:space="preserve"> 1391</w:t>
      </w:r>
      <w:r w:rsidR="00840486" w:rsidRPr="00B34294">
        <w:t xml:space="preserve"> </w:t>
      </w:r>
      <w:r w:rsidR="004F656D" w:rsidRPr="00B34294">
        <w:t>“if, by any reasonable construction, it can be said that the statute</w:t>
      </w:r>
      <w:r w:rsidR="00D95F59">
        <w:t>” is consistent with and</w:t>
      </w:r>
      <w:r w:rsidR="004F656D" w:rsidRPr="00B34294">
        <w:t xml:space="preserve"> furthers the </w:t>
      </w:r>
      <w:r w:rsidR="00D95F59">
        <w:t>intent</w:t>
      </w:r>
      <w:r w:rsidR="00D95F59" w:rsidRPr="00B34294">
        <w:t xml:space="preserve"> </w:t>
      </w:r>
      <w:r w:rsidR="004F656D" w:rsidRPr="00B34294">
        <w:t>of Proposition</w:t>
      </w:r>
      <w:r w:rsidR="00B34294">
        <w:t> </w:t>
      </w:r>
      <w:r w:rsidR="00D95F59">
        <w:t>57.</w:t>
      </w:r>
      <w:r w:rsidR="004F656D" w:rsidRPr="00B34294">
        <w:t xml:space="preserve">  (</w:t>
      </w:r>
      <w:r w:rsidR="004F656D" w:rsidRPr="00B34294">
        <w:rPr>
          <w:i/>
        </w:rPr>
        <w:t>Amwest Surety Ins. Co. v. Wilson</w:t>
      </w:r>
      <w:r w:rsidR="004F656D" w:rsidRPr="00B34294">
        <w:t xml:space="preserve"> (1995) 11 Cal.4th 1243, 1256 (</w:t>
      </w:r>
      <w:r w:rsidR="004F656D" w:rsidRPr="00B34294">
        <w:rPr>
          <w:i/>
          <w:iCs/>
        </w:rPr>
        <w:t>Amwest</w:t>
      </w:r>
      <w:r w:rsidR="004F656D" w:rsidRPr="00B34294">
        <w:t xml:space="preserve">).)  </w:t>
      </w:r>
      <w:r w:rsidR="0027011A" w:rsidRPr="00B34294">
        <w:t>While barring the transfer of 14 and 15 year</w:t>
      </w:r>
      <w:r w:rsidR="005C216A" w:rsidRPr="00B34294">
        <w:t xml:space="preserve"> </w:t>
      </w:r>
      <w:r w:rsidR="0027011A" w:rsidRPr="00B34294">
        <w:t>olds to adult court is a change from Proposition 57’s statutory provisions, that change is what makes S</w:t>
      </w:r>
      <w:r w:rsidR="000D0E0A">
        <w:t xml:space="preserve">enate </w:t>
      </w:r>
      <w:r w:rsidR="0027011A" w:rsidRPr="00B34294">
        <w:t>B</w:t>
      </w:r>
      <w:r w:rsidR="000D0E0A">
        <w:t>ill</w:t>
      </w:r>
      <w:r w:rsidR="0027011A" w:rsidRPr="00B34294">
        <w:t xml:space="preserve"> 1391 an amendment to Proposition 57.  </w:t>
      </w:r>
      <w:r w:rsidR="00A16235" w:rsidRPr="00B34294">
        <w:t>The</w:t>
      </w:r>
      <w:r w:rsidR="0027011A" w:rsidRPr="00B34294">
        <w:t xml:space="preserve"> amendment is fully consistent with </w:t>
      </w:r>
      <w:r w:rsidR="00C117E4" w:rsidRPr="00B34294">
        <w:t xml:space="preserve">and furthers </w:t>
      </w:r>
      <w:r w:rsidR="0027011A" w:rsidRPr="00B34294">
        <w:t xml:space="preserve">Proposition 57’s </w:t>
      </w:r>
      <w:r w:rsidR="00F641C0" w:rsidRPr="00B34294">
        <w:t>fundamental</w:t>
      </w:r>
      <w:r w:rsidR="0027011A" w:rsidRPr="00B34294">
        <w:t xml:space="preserve"> purposes of promoting rehabilitation of youthful offenders and reducing the prison population. </w:t>
      </w:r>
      <w:r w:rsidR="00E31FDE" w:rsidRPr="00B34294">
        <w:t xml:space="preserve"> </w:t>
      </w:r>
      <w:r w:rsidR="00C117E4" w:rsidRPr="00B34294">
        <w:t xml:space="preserve">We therefore </w:t>
      </w:r>
      <w:r w:rsidR="007F61FE" w:rsidRPr="00B34294">
        <w:t xml:space="preserve">uphold </w:t>
      </w:r>
      <w:r w:rsidR="00C117E4" w:rsidRPr="00B34294">
        <w:t>S</w:t>
      </w:r>
      <w:r w:rsidR="000D0E0A">
        <w:t xml:space="preserve">enate </w:t>
      </w:r>
      <w:r w:rsidR="00C117E4" w:rsidRPr="00B34294">
        <w:t>B</w:t>
      </w:r>
      <w:r w:rsidR="000D0E0A">
        <w:t>ill</w:t>
      </w:r>
      <w:r w:rsidR="00C117E4" w:rsidRPr="00B34294">
        <w:t xml:space="preserve"> 1391 as a permissible amendment to Proposition 57.</w:t>
      </w:r>
    </w:p>
    <w:p w14:paraId="71B682D3" w14:textId="77777777" w:rsidR="007032A4" w:rsidRPr="00B34294" w:rsidRDefault="00163FF0" w:rsidP="008E3B29">
      <w:pPr>
        <w:tabs>
          <w:tab w:val="left" w:pos="1440"/>
        </w:tabs>
        <w:jc w:val="center"/>
        <w:rPr>
          <w:b/>
          <w:bCs/>
          <w:smallCaps/>
        </w:rPr>
      </w:pPr>
      <w:r w:rsidRPr="00B34294">
        <w:rPr>
          <w:b/>
          <w:bCs/>
          <w:smallCaps/>
        </w:rPr>
        <w:t>I.  B</w:t>
      </w:r>
      <w:r w:rsidR="0018061E" w:rsidRPr="00B34294">
        <w:rPr>
          <w:b/>
          <w:bCs/>
          <w:smallCaps/>
        </w:rPr>
        <w:t>ackground</w:t>
      </w:r>
    </w:p>
    <w:p w14:paraId="73D0594E" w14:textId="6805F752" w:rsidR="00DA554C" w:rsidRPr="00B34294" w:rsidRDefault="005307CA" w:rsidP="008E3B29">
      <w:pPr>
        <w:tabs>
          <w:tab w:val="left" w:pos="1440"/>
        </w:tabs>
        <w:ind w:firstLine="720"/>
      </w:pPr>
      <w:r w:rsidRPr="00B34294">
        <w:t>“</w:t>
      </w:r>
      <w:r w:rsidR="000D0E0A">
        <w:t> </w:t>
      </w:r>
      <w:r w:rsidRPr="00B34294">
        <w:t>‘Historically, a child could be tried in criminal court only after a judicial determination, before jeopardy attached, that he or she was unfit to be dealt with under juvenile court law.’</w:t>
      </w:r>
      <w:r w:rsidR="000D0E0A">
        <w:t> </w:t>
      </w:r>
      <w:r w:rsidRPr="00B34294">
        <w:t xml:space="preserve">” </w:t>
      </w:r>
      <w:r w:rsidR="00071D65" w:rsidRPr="00B34294">
        <w:t xml:space="preserve"> </w:t>
      </w:r>
      <w:r w:rsidR="00762404" w:rsidRPr="00B34294">
        <w:t>(</w:t>
      </w:r>
      <w:r w:rsidR="002D3303" w:rsidRPr="00B34294">
        <w:rPr>
          <w:i/>
          <w:iCs/>
        </w:rPr>
        <w:t>Lara</w:t>
      </w:r>
      <w:r w:rsidR="002D3303" w:rsidRPr="00B34294">
        <w:t xml:space="preserve">, </w:t>
      </w:r>
      <w:r w:rsidR="002D3303" w:rsidRPr="00B34294">
        <w:rPr>
          <w:i/>
          <w:iCs/>
        </w:rPr>
        <w:t>supra</w:t>
      </w:r>
      <w:r w:rsidR="002D3303" w:rsidRPr="00B34294">
        <w:t xml:space="preserve">, </w:t>
      </w:r>
      <w:r w:rsidR="00762404" w:rsidRPr="00B34294">
        <w:t xml:space="preserve">4 Cal. 5th </w:t>
      </w:r>
      <w:r w:rsidR="002D3303" w:rsidRPr="00B34294">
        <w:t>at p.</w:t>
      </w:r>
      <w:r w:rsidR="00762404" w:rsidRPr="00B34294">
        <w:t xml:space="preserve"> 305.)  </w:t>
      </w:r>
      <w:r w:rsidR="004352B0" w:rsidRPr="00B34294">
        <w:t>In</w:t>
      </w:r>
      <w:r w:rsidR="0088556F" w:rsidRPr="00B34294">
        <w:t xml:space="preserve"> 1961,</w:t>
      </w:r>
      <w:r w:rsidR="000A6764" w:rsidRPr="00B34294">
        <w:t xml:space="preserve"> </w:t>
      </w:r>
      <w:r w:rsidR="00A72983" w:rsidRPr="00B34294">
        <w:t xml:space="preserve">the Legislature set </w:t>
      </w:r>
      <w:r w:rsidR="002F1A7E" w:rsidRPr="00B34294">
        <w:t>16</w:t>
      </w:r>
      <w:r w:rsidR="00E86307" w:rsidRPr="00B34294">
        <w:t xml:space="preserve"> </w:t>
      </w:r>
      <w:r w:rsidR="00C13382" w:rsidRPr="00B34294">
        <w:t>years</w:t>
      </w:r>
      <w:r w:rsidR="00E86307" w:rsidRPr="00B34294">
        <w:t xml:space="preserve"> </w:t>
      </w:r>
      <w:r w:rsidR="00C13382" w:rsidRPr="00B34294">
        <w:t xml:space="preserve">old </w:t>
      </w:r>
      <w:r w:rsidR="004352B0" w:rsidRPr="00B34294">
        <w:t xml:space="preserve">as </w:t>
      </w:r>
      <w:r w:rsidR="00C13382" w:rsidRPr="00B34294">
        <w:t xml:space="preserve">the minimum age </w:t>
      </w:r>
      <w:r w:rsidR="004352B0" w:rsidRPr="00B34294">
        <w:t>that</w:t>
      </w:r>
      <w:r w:rsidR="00C13382" w:rsidRPr="00B34294">
        <w:t xml:space="preserve"> a minor could be transferred to criminal court.  </w:t>
      </w:r>
      <w:r w:rsidR="000C3E8E" w:rsidRPr="00B34294">
        <w:t>(</w:t>
      </w:r>
      <w:r w:rsidR="00C13382" w:rsidRPr="00B34294">
        <w:t xml:space="preserve">See Welf. &amp; Inst. Code, </w:t>
      </w:r>
      <w:r w:rsidR="00AF6FA5" w:rsidRPr="00B34294">
        <w:t xml:space="preserve">former </w:t>
      </w:r>
      <w:r w:rsidR="00C13382" w:rsidRPr="00B34294">
        <w:t>§§</w:t>
      </w:r>
      <w:r w:rsidR="0088556F" w:rsidRPr="00B34294">
        <w:t> </w:t>
      </w:r>
      <w:r w:rsidR="00C13382" w:rsidRPr="00B34294">
        <w:t>510, 603, 707</w:t>
      </w:r>
      <w:r w:rsidR="00AF6FA5" w:rsidRPr="00B34294">
        <w:t>, as amend</w:t>
      </w:r>
      <w:r w:rsidR="000D0E0A">
        <w:t>ed</w:t>
      </w:r>
      <w:r w:rsidR="00AF6FA5" w:rsidRPr="00B34294">
        <w:t xml:space="preserve"> by Stat</w:t>
      </w:r>
      <w:r w:rsidR="000D0E0A">
        <w:t>s</w:t>
      </w:r>
      <w:r w:rsidR="00AF6FA5" w:rsidRPr="00B34294">
        <w:t>.</w:t>
      </w:r>
      <w:r w:rsidR="00F74AF9" w:rsidRPr="00B34294">
        <w:t xml:space="preserve"> 1961</w:t>
      </w:r>
      <w:r w:rsidR="00AF6FA5" w:rsidRPr="00B34294">
        <w:t>, ch. 1616, pp. 3462, 3472, 3485</w:t>
      </w:r>
      <w:r w:rsidR="00C13382" w:rsidRPr="00B34294">
        <w:t>.</w:t>
      </w:r>
      <w:r w:rsidR="000C3E8E" w:rsidRPr="00B34294">
        <w:t>)</w:t>
      </w:r>
      <w:r w:rsidR="00C13382" w:rsidRPr="00B34294">
        <w:t xml:space="preserve">  </w:t>
      </w:r>
      <w:r w:rsidR="00DA554C" w:rsidRPr="00B34294">
        <w:t xml:space="preserve">The age limit preventing prosecution of those younger than 16 in criminal court remained in place for </w:t>
      </w:r>
      <w:r w:rsidR="007B45DC" w:rsidRPr="00B34294">
        <w:t xml:space="preserve">close to </w:t>
      </w:r>
      <w:r w:rsidR="00DA554C" w:rsidRPr="00B34294">
        <w:t>3</w:t>
      </w:r>
      <w:r w:rsidR="00B23450" w:rsidRPr="00B34294">
        <w:t>4</w:t>
      </w:r>
      <w:r w:rsidR="00DA554C" w:rsidRPr="00B34294">
        <w:t xml:space="preserve"> years.  </w:t>
      </w:r>
    </w:p>
    <w:p w14:paraId="77AFCA55" w14:textId="1DF9B69A" w:rsidR="00724C6A" w:rsidRPr="00B34294" w:rsidRDefault="007108CD" w:rsidP="008E3B29">
      <w:pPr>
        <w:tabs>
          <w:tab w:val="left" w:pos="1440"/>
        </w:tabs>
        <w:ind w:firstLine="720"/>
      </w:pPr>
      <w:r w:rsidRPr="00B34294">
        <w:t>In</w:t>
      </w:r>
      <w:r w:rsidR="00B23450" w:rsidRPr="00B34294">
        <w:t xml:space="preserve"> 199</w:t>
      </w:r>
      <w:r w:rsidR="002424A5" w:rsidRPr="00B34294">
        <w:t>5</w:t>
      </w:r>
      <w:r w:rsidR="009D09AB" w:rsidRPr="00B34294">
        <w:t xml:space="preserve">, </w:t>
      </w:r>
      <w:r w:rsidR="00AF368B" w:rsidRPr="00B34294">
        <w:t>California began to move away from th</w:t>
      </w:r>
      <w:r w:rsidR="00752EFA" w:rsidRPr="00B34294">
        <w:t>e</w:t>
      </w:r>
      <w:r w:rsidR="00AF368B" w:rsidRPr="00B34294">
        <w:t xml:space="preserve"> historical rule</w:t>
      </w:r>
      <w:r w:rsidR="009D09AB" w:rsidRPr="00B34294">
        <w:t xml:space="preserve"> </w:t>
      </w:r>
      <w:r w:rsidR="00AF368B" w:rsidRPr="00B34294">
        <w:t xml:space="preserve">when </w:t>
      </w:r>
      <w:r w:rsidR="000A541A" w:rsidRPr="00B34294">
        <w:t xml:space="preserve">the Legislature permitted </w:t>
      </w:r>
      <w:r w:rsidR="00C57506" w:rsidRPr="00B34294">
        <w:t>some</w:t>
      </w:r>
      <w:r w:rsidR="000A541A" w:rsidRPr="00B34294">
        <w:t xml:space="preserve"> 14 and 15 </w:t>
      </w:r>
      <w:r w:rsidR="00C57506" w:rsidRPr="00B34294">
        <w:t>year</w:t>
      </w:r>
      <w:r w:rsidR="00DF0757" w:rsidRPr="00B34294">
        <w:t xml:space="preserve"> </w:t>
      </w:r>
      <w:r w:rsidR="00C57506" w:rsidRPr="00B34294">
        <w:t xml:space="preserve">olds </w:t>
      </w:r>
      <w:r w:rsidR="000A541A" w:rsidRPr="00B34294">
        <w:t xml:space="preserve">to be </w:t>
      </w:r>
      <w:r w:rsidR="00AF368B" w:rsidRPr="00B34294">
        <w:t>transferred to criminal court</w:t>
      </w:r>
      <w:r w:rsidR="000A541A" w:rsidRPr="00B34294">
        <w:t xml:space="preserve">.  (See, e.g., Welf. &amp; Inst. Code, § 707, </w:t>
      </w:r>
      <w:r w:rsidR="000D0E0A">
        <w:t xml:space="preserve">former </w:t>
      </w:r>
      <w:r w:rsidR="000A541A" w:rsidRPr="00B34294">
        <w:t>subds. (d), (e), as amend</w:t>
      </w:r>
      <w:r w:rsidR="000D0E0A">
        <w:t>ed</w:t>
      </w:r>
      <w:r w:rsidR="000A541A" w:rsidRPr="00B34294">
        <w:t xml:space="preserve"> by Stats. 1994, ch. 453, </w:t>
      </w:r>
      <w:r w:rsidR="000A541A" w:rsidRPr="006B749B">
        <w:t xml:space="preserve">§ 9.5.)  </w:t>
      </w:r>
      <w:r w:rsidR="000A541A" w:rsidRPr="00B34294">
        <w:t>Th</w:t>
      </w:r>
      <w:r w:rsidR="00AF368B" w:rsidRPr="00B34294">
        <w:t xml:space="preserve">is </w:t>
      </w:r>
      <w:r w:rsidR="00652992" w:rsidRPr="00B34294">
        <w:t>trend</w:t>
      </w:r>
      <w:r w:rsidR="00752EFA" w:rsidRPr="00B34294">
        <w:t xml:space="preserve"> </w:t>
      </w:r>
      <w:r w:rsidR="00652992" w:rsidRPr="00B34294">
        <w:t>continued</w:t>
      </w:r>
      <w:r w:rsidR="009D5490" w:rsidRPr="00B34294">
        <w:t xml:space="preserve"> over the next </w:t>
      </w:r>
      <w:r w:rsidR="002424A5" w:rsidRPr="00B34294">
        <w:t>five</w:t>
      </w:r>
      <w:r w:rsidR="009D5490" w:rsidRPr="00B34294">
        <w:t xml:space="preserve"> years and culminated</w:t>
      </w:r>
      <w:r w:rsidR="00762404" w:rsidRPr="00B34294">
        <w:t xml:space="preserve"> </w:t>
      </w:r>
      <w:r w:rsidR="000A541A" w:rsidRPr="00B34294">
        <w:t>with Proposition 21</w:t>
      </w:r>
      <w:r w:rsidR="009D09AB" w:rsidRPr="00B34294">
        <w:t xml:space="preserve"> in 2000</w:t>
      </w:r>
      <w:r w:rsidR="00F74AF9" w:rsidRPr="00B34294">
        <w:t>.</w:t>
      </w:r>
      <w:r w:rsidR="002D3303" w:rsidRPr="00B34294">
        <w:t xml:space="preserve"> </w:t>
      </w:r>
      <w:r w:rsidR="00F74AF9" w:rsidRPr="00B34294">
        <w:t xml:space="preserve"> </w:t>
      </w:r>
      <w:r w:rsidR="002D3303" w:rsidRPr="00B34294">
        <w:t xml:space="preserve">For specified murders and sex crimes, Proposition 21 required prosecutors to charge </w:t>
      </w:r>
      <w:r w:rsidR="002D3303" w:rsidRPr="00B34294">
        <w:lastRenderedPageBreak/>
        <w:t xml:space="preserve">minors 14 years old or older directly in criminal court.  (Welf. &amp; Inst. Code, § 602, </w:t>
      </w:r>
      <w:r w:rsidR="007B2315">
        <w:t xml:space="preserve">former </w:t>
      </w:r>
      <w:r w:rsidR="002D3303" w:rsidRPr="00B34294">
        <w:t>subd. (b), repealed by Prop</w:t>
      </w:r>
      <w:r w:rsidR="00752EFA" w:rsidRPr="00B34294">
        <w:t>.</w:t>
      </w:r>
      <w:r w:rsidR="002D3303" w:rsidRPr="00B34294">
        <w:t xml:space="preserve"> 57, § 4.1.) </w:t>
      </w:r>
      <w:r w:rsidR="009D09AB" w:rsidRPr="00B34294">
        <w:t xml:space="preserve"> </w:t>
      </w:r>
      <w:r w:rsidR="002D3303" w:rsidRPr="00B34294">
        <w:t xml:space="preserve">For other specified serious offenses, Proposition 21 provided prosecutors with discretion to charge minors 14 or older directly in criminal court instead of juvenile court. </w:t>
      </w:r>
      <w:r w:rsidR="00162A5F" w:rsidRPr="00B34294">
        <w:t xml:space="preserve"> </w:t>
      </w:r>
      <w:r w:rsidR="002D3303" w:rsidRPr="00B34294">
        <w:t>(Welf. &amp; Inst. Code, §</w:t>
      </w:r>
      <w:r w:rsidR="00E06CD1" w:rsidRPr="00B34294">
        <w:t> </w:t>
      </w:r>
      <w:r w:rsidR="002D3303" w:rsidRPr="00B34294">
        <w:t xml:space="preserve">707, </w:t>
      </w:r>
      <w:r w:rsidR="00E003AC">
        <w:t xml:space="preserve">former </w:t>
      </w:r>
      <w:r w:rsidR="002D3303" w:rsidRPr="00B34294">
        <w:t>subd. (d), repealed by</w:t>
      </w:r>
      <w:r w:rsidR="00E06CD1" w:rsidRPr="00B34294">
        <w:t xml:space="preserve"> </w:t>
      </w:r>
      <w:r w:rsidR="002D3303" w:rsidRPr="00B34294">
        <w:t>Prop</w:t>
      </w:r>
      <w:r w:rsidR="00752EFA" w:rsidRPr="00B34294">
        <w:t>.</w:t>
      </w:r>
      <w:r w:rsidR="002D3303" w:rsidRPr="00B34294">
        <w:t xml:space="preserve"> 57,</w:t>
      </w:r>
      <w:r w:rsidR="00E06CD1" w:rsidRPr="00B34294">
        <w:t xml:space="preserve"> </w:t>
      </w:r>
      <w:r w:rsidR="002D3303" w:rsidRPr="00B34294">
        <w:t>§ 4.2</w:t>
      </w:r>
      <w:r w:rsidR="00E06CD1" w:rsidRPr="00B34294">
        <w:t>.)</w:t>
      </w:r>
    </w:p>
    <w:p w14:paraId="3EDA603C" w14:textId="628BEEAB" w:rsidR="00724C6A" w:rsidRPr="00B34294" w:rsidRDefault="00724C6A" w:rsidP="008E3B29">
      <w:pPr>
        <w:tabs>
          <w:tab w:val="left" w:pos="1440"/>
        </w:tabs>
        <w:ind w:firstLine="720"/>
      </w:pPr>
      <w:r w:rsidRPr="00B34294">
        <w:t>In the years after the passage of Proposition 21, there was “a sea change in penology regarding the relative culpability and rehabilitation possibilities for juvenile offenders, as reflected in several judicial opinions.”  (</w:t>
      </w:r>
      <w:r w:rsidRPr="00B34294">
        <w:rPr>
          <w:i/>
          <w:iCs/>
        </w:rPr>
        <w:t>People v. Vela</w:t>
      </w:r>
      <w:r w:rsidRPr="00B34294">
        <w:t xml:space="preserve"> (2018) 21 Cal.App.5th 1099, 1106.)  The</w:t>
      </w:r>
      <w:r w:rsidR="00971EA6" w:rsidRPr="00B34294">
        <w:t xml:space="preserve">se changes were based upon </w:t>
      </w:r>
      <w:r w:rsidRPr="00B34294">
        <w:t xml:space="preserve">developments </w:t>
      </w:r>
      <w:r w:rsidR="00971EA6" w:rsidRPr="00B34294">
        <w:t xml:space="preserve">in </w:t>
      </w:r>
      <w:r w:rsidRPr="00B34294">
        <w:t xml:space="preserve">scientific research </w:t>
      </w:r>
      <w:r w:rsidR="00971EA6" w:rsidRPr="00B34294">
        <w:t xml:space="preserve">on </w:t>
      </w:r>
      <w:r w:rsidRPr="00B34294">
        <w:t xml:space="preserve">adolescent brain development </w:t>
      </w:r>
      <w:r w:rsidR="00971EA6" w:rsidRPr="00B34294">
        <w:t>confirming that children are different from adults in ways that are critical to identifying age-appropriate sentences.  (See</w:t>
      </w:r>
      <w:r w:rsidR="003A5614" w:rsidRPr="00B34294">
        <w:t xml:space="preserve">, e.g., </w:t>
      </w:r>
      <w:r w:rsidR="00971EA6" w:rsidRPr="00B34294">
        <w:rPr>
          <w:i/>
          <w:iCs/>
        </w:rPr>
        <w:t>Roper v. Simmons</w:t>
      </w:r>
      <w:r w:rsidR="00971EA6" w:rsidRPr="00B34294">
        <w:t xml:space="preserve"> (2005) 543 U.S. 551, 569–571; </w:t>
      </w:r>
      <w:r w:rsidRPr="00B34294">
        <w:rPr>
          <w:i/>
          <w:iCs/>
        </w:rPr>
        <w:t>Graham v. Florida</w:t>
      </w:r>
      <w:r w:rsidRPr="00B34294">
        <w:t xml:space="preserve"> (2010) 560 U.S. 48, 6</w:t>
      </w:r>
      <w:r w:rsidR="00971EA6" w:rsidRPr="00B34294">
        <w:t>8–75</w:t>
      </w:r>
      <w:r w:rsidR="00577ACE" w:rsidRPr="00B34294">
        <w:t xml:space="preserve"> (</w:t>
      </w:r>
      <w:r w:rsidR="00577ACE" w:rsidRPr="00B34294">
        <w:rPr>
          <w:i/>
          <w:iCs/>
        </w:rPr>
        <w:t>Graham</w:t>
      </w:r>
      <w:r w:rsidR="00577ACE" w:rsidRPr="00B34294">
        <w:t>)</w:t>
      </w:r>
      <w:r w:rsidRPr="00B34294">
        <w:t xml:space="preserve">; </w:t>
      </w:r>
      <w:r w:rsidRPr="00B34294">
        <w:rPr>
          <w:i/>
          <w:iCs/>
          <w:szCs w:val="27"/>
        </w:rPr>
        <w:t xml:space="preserve">Miller v. Alabama </w:t>
      </w:r>
      <w:r w:rsidRPr="00B34294">
        <w:rPr>
          <w:szCs w:val="26"/>
        </w:rPr>
        <w:t>(2012) 567 U.S. 460, 469</w:t>
      </w:r>
      <w:r w:rsidRPr="00B34294">
        <w:t>–</w:t>
      </w:r>
      <w:r w:rsidRPr="00B34294">
        <w:rPr>
          <w:szCs w:val="26"/>
        </w:rPr>
        <w:t>470</w:t>
      </w:r>
      <w:r w:rsidR="00971EA6" w:rsidRPr="00B34294">
        <w:rPr>
          <w:szCs w:val="26"/>
        </w:rPr>
        <w:t xml:space="preserve">; </w:t>
      </w:r>
      <w:r w:rsidR="00971EA6" w:rsidRPr="00B34294">
        <w:rPr>
          <w:i/>
          <w:iCs/>
          <w:szCs w:val="26"/>
        </w:rPr>
        <w:t>People v. Gutierrez</w:t>
      </w:r>
      <w:r w:rsidR="00971EA6" w:rsidRPr="00B34294">
        <w:rPr>
          <w:szCs w:val="26"/>
        </w:rPr>
        <w:t xml:space="preserve"> (2014) 58 Cal.4th 1353, 1375</w:t>
      </w:r>
      <w:r w:rsidR="00971EA6" w:rsidRPr="00B34294">
        <w:t>–</w:t>
      </w:r>
      <w:r w:rsidR="00971EA6" w:rsidRPr="00B34294">
        <w:rPr>
          <w:szCs w:val="26"/>
        </w:rPr>
        <w:t xml:space="preserve">1376; </w:t>
      </w:r>
      <w:r w:rsidR="00971EA6" w:rsidRPr="00B34294">
        <w:rPr>
          <w:i/>
          <w:iCs/>
          <w:szCs w:val="26"/>
        </w:rPr>
        <w:t>People v. Caballero</w:t>
      </w:r>
      <w:r w:rsidR="00971EA6" w:rsidRPr="00B34294">
        <w:rPr>
          <w:szCs w:val="26"/>
        </w:rPr>
        <w:t xml:space="preserve"> (2012) 55 Cal.4th 262, 267.)  In the same period, the California Legislature </w:t>
      </w:r>
      <w:r w:rsidR="003A5614" w:rsidRPr="00B34294">
        <w:rPr>
          <w:szCs w:val="26"/>
        </w:rPr>
        <w:t>enacted</w:t>
      </w:r>
      <w:r w:rsidR="00971EA6" w:rsidRPr="00B34294">
        <w:rPr>
          <w:szCs w:val="26"/>
        </w:rPr>
        <w:t xml:space="preserve"> numerous reforms reflecting a rethinking of punishment for minors.  (See</w:t>
      </w:r>
      <w:r w:rsidR="003A5614" w:rsidRPr="00B34294">
        <w:rPr>
          <w:szCs w:val="26"/>
        </w:rPr>
        <w:t>, e.g.,</w:t>
      </w:r>
      <w:r w:rsidR="00971EA6" w:rsidRPr="00B34294">
        <w:rPr>
          <w:szCs w:val="26"/>
        </w:rPr>
        <w:t xml:space="preserve"> </w:t>
      </w:r>
      <w:r w:rsidR="00E003AC">
        <w:rPr>
          <w:szCs w:val="26"/>
        </w:rPr>
        <w:t xml:space="preserve">Stats. </w:t>
      </w:r>
      <w:r w:rsidR="00971EA6" w:rsidRPr="00B34294">
        <w:rPr>
          <w:szCs w:val="26"/>
        </w:rPr>
        <w:t xml:space="preserve">2012, </w:t>
      </w:r>
      <w:r w:rsidR="00E003AC">
        <w:rPr>
          <w:szCs w:val="26"/>
        </w:rPr>
        <w:t>c</w:t>
      </w:r>
      <w:r w:rsidR="00E003AC" w:rsidRPr="00B34294">
        <w:rPr>
          <w:szCs w:val="26"/>
        </w:rPr>
        <w:t>h</w:t>
      </w:r>
      <w:r w:rsidR="00971EA6" w:rsidRPr="00B34294">
        <w:rPr>
          <w:szCs w:val="26"/>
        </w:rPr>
        <w:t xml:space="preserve">. 828, § 1; </w:t>
      </w:r>
      <w:r w:rsidR="00E003AC">
        <w:rPr>
          <w:szCs w:val="26"/>
        </w:rPr>
        <w:t xml:space="preserve">Stats. </w:t>
      </w:r>
      <w:r w:rsidR="00971EA6" w:rsidRPr="00B34294">
        <w:rPr>
          <w:szCs w:val="26"/>
        </w:rPr>
        <w:t xml:space="preserve">2013, </w:t>
      </w:r>
      <w:r w:rsidR="00E003AC">
        <w:rPr>
          <w:szCs w:val="26"/>
        </w:rPr>
        <w:t>c</w:t>
      </w:r>
      <w:r w:rsidR="00E003AC" w:rsidRPr="00B34294">
        <w:rPr>
          <w:szCs w:val="26"/>
        </w:rPr>
        <w:t>h</w:t>
      </w:r>
      <w:r w:rsidR="00971EA6" w:rsidRPr="00B34294">
        <w:rPr>
          <w:szCs w:val="26"/>
        </w:rPr>
        <w:t xml:space="preserve">. 312, § 4; </w:t>
      </w:r>
      <w:r w:rsidR="00E003AC">
        <w:rPr>
          <w:szCs w:val="26"/>
        </w:rPr>
        <w:t>Stats.</w:t>
      </w:r>
      <w:r w:rsidR="003A5614" w:rsidRPr="00B34294">
        <w:rPr>
          <w:szCs w:val="26"/>
        </w:rPr>
        <w:t xml:space="preserve"> 2015, </w:t>
      </w:r>
      <w:r w:rsidR="00E003AC">
        <w:rPr>
          <w:szCs w:val="26"/>
        </w:rPr>
        <w:t>c</w:t>
      </w:r>
      <w:r w:rsidR="00E003AC" w:rsidRPr="00B34294">
        <w:rPr>
          <w:szCs w:val="26"/>
        </w:rPr>
        <w:t>h</w:t>
      </w:r>
      <w:r w:rsidR="003A5614" w:rsidRPr="00B34294">
        <w:rPr>
          <w:szCs w:val="26"/>
        </w:rPr>
        <w:t xml:space="preserve">. 471, § 1; </w:t>
      </w:r>
      <w:r w:rsidR="00E003AC">
        <w:t xml:space="preserve">Stats. </w:t>
      </w:r>
      <w:r w:rsidR="003A5614" w:rsidRPr="00B34294">
        <w:rPr>
          <w:szCs w:val="26"/>
        </w:rPr>
        <w:t xml:space="preserve">2015, </w:t>
      </w:r>
      <w:r w:rsidR="00E003AC">
        <w:rPr>
          <w:szCs w:val="26"/>
        </w:rPr>
        <w:t>c</w:t>
      </w:r>
      <w:r w:rsidR="00E003AC" w:rsidRPr="00B34294">
        <w:rPr>
          <w:szCs w:val="26"/>
        </w:rPr>
        <w:t>h</w:t>
      </w:r>
      <w:r w:rsidR="003A5614" w:rsidRPr="00B34294">
        <w:rPr>
          <w:szCs w:val="26"/>
        </w:rPr>
        <w:t>. 234, § 1.)</w:t>
      </w:r>
      <w:r w:rsidR="00971EA6" w:rsidRPr="00B34294">
        <w:rPr>
          <w:szCs w:val="26"/>
        </w:rPr>
        <w:t xml:space="preserve"> </w:t>
      </w:r>
    </w:p>
    <w:p w14:paraId="1A2948D5" w14:textId="6F2E3C9B" w:rsidR="00762404" w:rsidRPr="00B34294" w:rsidRDefault="002902D2" w:rsidP="008E3B29">
      <w:pPr>
        <w:tabs>
          <w:tab w:val="left" w:pos="1440"/>
        </w:tabs>
        <w:ind w:firstLine="720"/>
      </w:pPr>
      <w:r w:rsidRPr="00B34294">
        <w:t xml:space="preserve">Consistent with these changes, </w:t>
      </w:r>
      <w:r w:rsidR="00640D95" w:rsidRPr="00B34294">
        <w:t>i</w:t>
      </w:r>
      <w:r w:rsidR="00762404" w:rsidRPr="00B34294">
        <w:t xml:space="preserve">n November 2016, </w:t>
      </w:r>
      <w:r w:rsidR="00971EA6" w:rsidRPr="00B34294">
        <w:t xml:space="preserve">the public </w:t>
      </w:r>
      <w:r w:rsidRPr="00B34294">
        <w:t>implemented</w:t>
      </w:r>
      <w:r w:rsidR="00762404" w:rsidRPr="00B34294">
        <w:t xml:space="preserve"> a series of criminal justice reforms</w:t>
      </w:r>
      <w:r w:rsidR="00971EA6" w:rsidRPr="00B34294">
        <w:t xml:space="preserve"> </w:t>
      </w:r>
      <w:r w:rsidR="00A72983" w:rsidRPr="00B34294">
        <w:t>through</w:t>
      </w:r>
      <w:r w:rsidR="00971EA6" w:rsidRPr="00B34294">
        <w:t xml:space="preserve"> the passage of Proposition 57</w:t>
      </w:r>
      <w:r w:rsidR="00762404" w:rsidRPr="00B34294">
        <w:t>.  For juvenile defendants, Proposition 57 “largely returned California to the historical rule</w:t>
      </w:r>
      <w:r w:rsidR="006B161D" w:rsidRPr="00B34294">
        <w:t>.</w:t>
      </w:r>
      <w:r w:rsidR="00762404" w:rsidRPr="00B34294">
        <w:t>”  (</w:t>
      </w:r>
      <w:r w:rsidR="00762404" w:rsidRPr="00B34294">
        <w:rPr>
          <w:rStyle w:val="Emphasis"/>
        </w:rPr>
        <w:t>Lara</w:t>
      </w:r>
      <w:r w:rsidR="00762404" w:rsidRPr="00B34294">
        <w:t xml:space="preserve">, </w:t>
      </w:r>
      <w:r w:rsidR="006B161D" w:rsidRPr="00B34294">
        <w:rPr>
          <w:i/>
          <w:iCs/>
        </w:rPr>
        <w:t>supra</w:t>
      </w:r>
      <w:r w:rsidR="006B161D" w:rsidRPr="00B34294">
        <w:t xml:space="preserve">, </w:t>
      </w:r>
      <w:r w:rsidR="00762404" w:rsidRPr="00B34294">
        <w:t xml:space="preserve">4 Cal. 5th at </w:t>
      </w:r>
      <w:r w:rsidR="00E24133" w:rsidRPr="00B34294">
        <w:t xml:space="preserve">p. </w:t>
      </w:r>
      <w:r w:rsidR="00762404" w:rsidRPr="00B34294">
        <w:t>305.)  “</w:t>
      </w:r>
      <w:r w:rsidR="006B161D" w:rsidRPr="00B34294">
        <w:t> </w:t>
      </w:r>
      <w:r w:rsidR="00762404" w:rsidRPr="00B34294">
        <w:t>‘</w:t>
      </w:r>
      <w:r w:rsidR="006B161D" w:rsidRPr="00B34294">
        <w:t>Among other provisions, Proposition 57 amended the Welfare and Institutions Code so as to eliminate direct filing by prosecutors.  C</w:t>
      </w:r>
      <w:r w:rsidR="00762404" w:rsidRPr="00B34294">
        <w:t>ertain categories of minors</w:t>
      </w:r>
      <w:r w:rsidR="00B34294">
        <w:t> </w:t>
      </w:r>
      <w:r w:rsidR="00762404" w:rsidRPr="00B34294">
        <w:t>.</w:t>
      </w:r>
      <w:r w:rsidR="00B34294">
        <w:t> </w:t>
      </w:r>
      <w:r w:rsidR="00762404" w:rsidRPr="00B34294">
        <w:t>.</w:t>
      </w:r>
      <w:r w:rsidR="00B34294">
        <w:t> </w:t>
      </w:r>
      <w:r w:rsidR="00762404" w:rsidRPr="00B34294">
        <w:t>.</w:t>
      </w:r>
      <w:r w:rsidR="00B34294">
        <w:t> </w:t>
      </w:r>
      <w:r w:rsidR="00762404" w:rsidRPr="00B34294">
        <w:t xml:space="preserve">can still be tried in criminal court, but only after a juvenile court judge conducts a transfer </w:t>
      </w:r>
      <w:r w:rsidR="00762404" w:rsidRPr="00B34294">
        <w:lastRenderedPageBreak/>
        <w:t xml:space="preserve">hearing to consider various factors </w:t>
      </w:r>
      <w:r w:rsidR="00762404" w:rsidRPr="004620F6">
        <w:t>such as the minor’s maturity, degree of criminal sophistication, prior delinquent history, and whether the minor can be rehabilitated.’</w:t>
      </w:r>
      <w:r w:rsidR="006B161D" w:rsidRPr="004620F6">
        <w:t> </w:t>
      </w:r>
      <w:r w:rsidR="00762404" w:rsidRPr="00B34294">
        <w:t>”  (</w:t>
      </w:r>
      <w:r w:rsidR="00762404" w:rsidRPr="00B34294">
        <w:rPr>
          <w:i/>
          <w:iCs/>
        </w:rPr>
        <w:t>Ibid</w:t>
      </w:r>
      <w:r w:rsidR="00762404" w:rsidRPr="00B34294">
        <w:t xml:space="preserve">.)  For minors </w:t>
      </w:r>
      <w:r w:rsidR="00204D6B" w:rsidRPr="00B34294">
        <w:t>16</w:t>
      </w:r>
      <w:r w:rsidR="00762404" w:rsidRPr="00B34294">
        <w:t xml:space="preserve"> or older, prosecutors can seek transfer to criminal court for any felony offense.</w:t>
      </w:r>
      <w:r w:rsidR="00D67B51" w:rsidRPr="00B34294">
        <w:t xml:space="preserve">  (Wel</w:t>
      </w:r>
      <w:r w:rsidR="006B161D" w:rsidRPr="00B34294">
        <w:t>f</w:t>
      </w:r>
      <w:r w:rsidR="00D67B51" w:rsidRPr="00B34294">
        <w:t>. &amp; Inst. Code</w:t>
      </w:r>
      <w:r w:rsidR="004C65D2" w:rsidRPr="00B34294">
        <w:t>,</w:t>
      </w:r>
      <w:r w:rsidR="00D67B51" w:rsidRPr="00B34294">
        <w:t xml:space="preserve"> § 707</w:t>
      </w:r>
      <w:r w:rsidR="007419F2" w:rsidRPr="00B34294">
        <w:t xml:space="preserve">, subd. </w:t>
      </w:r>
      <w:r w:rsidR="00D67B51" w:rsidRPr="00B34294">
        <w:t>(a)(1)</w:t>
      </w:r>
      <w:r w:rsidR="003E55F6" w:rsidRPr="00B34294">
        <w:t>.)</w:t>
      </w:r>
      <w:r w:rsidR="00D67B51" w:rsidRPr="00B34294">
        <w:t xml:space="preserve">  </w:t>
      </w:r>
      <w:r w:rsidR="00762404" w:rsidRPr="00B34294">
        <w:t xml:space="preserve">For </w:t>
      </w:r>
      <w:r w:rsidR="00204D6B" w:rsidRPr="00B34294">
        <w:t>14</w:t>
      </w:r>
      <w:r w:rsidR="00762404" w:rsidRPr="00B34294">
        <w:t xml:space="preserve"> and </w:t>
      </w:r>
      <w:r w:rsidR="00204D6B" w:rsidRPr="00B34294">
        <w:t>15</w:t>
      </w:r>
      <w:r w:rsidR="00E86307" w:rsidRPr="00B34294">
        <w:t xml:space="preserve"> </w:t>
      </w:r>
      <w:r w:rsidR="00762404" w:rsidRPr="00B34294">
        <w:t>year</w:t>
      </w:r>
      <w:r w:rsidR="00E86307" w:rsidRPr="00B34294">
        <w:t xml:space="preserve"> </w:t>
      </w:r>
      <w:r w:rsidR="00762404" w:rsidRPr="00B34294">
        <w:t>olds, prosecutors could seek transfer to criminal court only for specified serious or violent offenses.</w:t>
      </w:r>
      <w:r w:rsidR="007419F2" w:rsidRPr="00B34294">
        <w:t xml:space="preserve">  (</w:t>
      </w:r>
      <w:r w:rsidR="00AF6FA5" w:rsidRPr="00B34294">
        <w:rPr>
          <w:i/>
          <w:iCs/>
        </w:rPr>
        <w:t>Id</w:t>
      </w:r>
      <w:r w:rsidR="00AF6FA5" w:rsidRPr="00B34294">
        <w:t xml:space="preserve">., </w:t>
      </w:r>
      <w:r w:rsidR="007419F2" w:rsidRPr="00B34294">
        <w:t xml:space="preserve">§ 707, </w:t>
      </w:r>
      <w:r w:rsidR="00AF6FA5" w:rsidRPr="00B34294">
        <w:t xml:space="preserve">former </w:t>
      </w:r>
      <w:r w:rsidR="007419F2" w:rsidRPr="00B34294">
        <w:t>subd. (a)(1)</w:t>
      </w:r>
      <w:r w:rsidR="00C05599" w:rsidRPr="00B34294">
        <w:t>, as amend</w:t>
      </w:r>
      <w:r w:rsidR="00E003AC">
        <w:t>ed</w:t>
      </w:r>
      <w:r w:rsidR="00C05599" w:rsidRPr="00B34294">
        <w:t xml:space="preserve"> by Prop. 57, § 4.2</w:t>
      </w:r>
      <w:r w:rsidR="007419F2" w:rsidRPr="00B34294">
        <w:t>.)</w:t>
      </w:r>
      <w:r w:rsidR="00E87084" w:rsidRPr="00B34294">
        <w:t xml:space="preserve">  </w:t>
      </w:r>
      <w:r w:rsidR="009D5490" w:rsidRPr="00B34294">
        <w:t>“All remnants of Proposition 21 were deleted by passage of Proposition 57.”  (</w:t>
      </w:r>
      <w:r w:rsidR="009D5490" w:rsidRPr="00B34294">
        <w:rPr>
          <w:i/>
        </w:rPr>
        <w:t xml:space="preserve">People v. Superior Court </w:t>
      </w:r>
      <w:r w:rsidR="009D5490" w:rsidRPr="006B749B">
        <w:rPr>
          <w:iCs/>
        </w:rPr>
        <w:t>(</w:t>
      </w:r>
      <w:r w:rsidR="009D5490" w:rsidRPr="00B34294">
        <w:rPr>
          <w:i/>
        </w:rPr>
        <w:t>K.L.</w:t>
      </w:r>
      <w:r w:rsidR="009D5490" w:rsidRPr="006B749B">
        <w:rPr>
          <w:iCs/>
        </w:rPr>
        <w:t>)</w:t>
      </w:r>
      <w:r w:rsidR="009D5490" w:rsidRPr="00B34294">
        <w:t xml:space="preserve"> (2019) 36 Cal.App.5th 529, 534</w:t>
      </w:r>
      <w:r w:rsidR="00E74700" w:rsidRPr="00B34294">
        <w:t>,</w:t>
      </w:r>
      <w:r w:rsidR="009D5490" w:rsidRPr="00B34294">
        <w:t xml:space="preserve"> fn. 3 (</w:t>
      </w:r>
      <w:r w:rsidR="009D5490" w:rsidRPr="00B34294">
        <w:rPr>
          <w:i/>
          <w:iCs/>
        </w:rPr>
        <w:t>K.L.</w:t>
      </w:r>
      <w:r w:rsidR="009D5490" w:rsidRPr="00B34294">
        <w:t xml:space="preserve">).)  </w:t>
      </w:r>
    </w:p>
    <w:p w14:paraId="3CDBC62F" w14:textId="62D727B5" w:rsidR="00586730" w:rsidRPr="00B34294" w:rsidRDefault="002728F3" w:rsidP="008E3B29">
      <w:pPr>
        <w:tabs>
          <w:tab w:val="left" w:pos="1440"/>
        </w:tabs>
        <w:ind w:firstLine="720"/>
      </w:pPr>
      <w:r w:rsidRPr="00B34294">
        <w:t>S</w:t>
      </w:r>
      <w:r w:rsidR="00E003AC">
        <w:t xml:space="preserve">enate </w:t>
      </w:r>
      <w:r w:rsidRPr="00B34294">
        <w:t>B</w:t>
      </w:r>
      <w:r w:rsidR="00E003AC">
        <w:t>ill</w:t>
      </w:r>
      <w:r w:rsidR="00FF232F" w:rsidRPr="00B34294">
        <w:t xml:space="preserve"> 1391 </w:t>
      </w:r>
      <w:r w:rsidR="002C0EF9" w:rsidRPr="00B34294">
        <w:t>(</w:t>
      </w:r>
      <w:r w:rsidR="002C0EF9" w:rsidRPr="00B34294">
        <w:rPr>
          <w:szCs w:val="26"/>
        </w:rPr>
        <w:t xml:space="preserve">Stats. 2018, ch. 1012, </w:t>
      </w:r>
      <w:r w:rsidR="002C0EF9" w:rsidRPr="00B34294">
        <w:t xml:space="preserve">§ 1) </w:t>
      </w:r>
      <w:r w:rsidR="002424A5" w:rsidRPr="00B34294">
        <w:t>continued California’s</w:t>
      </w:r>
      <w:r w:rsidR="00652992" w:rsidRPr="00B34294">
        <w:t xml:space="preserve"> return to the historical rule</w:t>
      </w:r>
      <w:r w:rsidR="00B80EB4" w:rsidRPr="00B34294">
        <w:t>.</w:t>
      </w:r>
      <w:r w:rsidR="00652992" w:rsidRPr="00B34294">
        <w:t xml:space="preserve"> </w:t>
      </w:r>
      <w:r w:rsidR="00B80EB4" w:rsidRPr="00B34294">
        <w:t xml:space="preserve"> Effective January 1, 2019, S</w:t>
      </w:r>
      <w:r w:rsidR="00E003AC">
        <w:t xml:space="preserve">enate </w:t>
      </w:r>
      <w:r w:rsidR="00B80EB4" w:rsidRPr="00B34294">
        <w:t>B</w:t>
      </w:r>
      <w:r w:rsidR="00E003AC">
        <w:t>ill</w:t>
      </w:r>
      <w:r w:rsidR="00B80EB4" w:rsidRPr="00B34294">
        <w:t xml:space="preserve"> 1391 </w:t>
      </w:r>
      <w:r w:rsidR="00762404" w:rsidRPr="00B34294">
        <w:t xml:space="preserve">amended Proposition 57 </w:t>
      </w:r>
      <w:r w:rsidR="00652992" w:rsidRPr="00B34294">
        <w:t xml:space="preserve">by </w:t>
      </w:r>
      <w:r w:rsidR="000114D4" w:rsidRPr="00B34294">
        <w:t>eliminat</w:t>
      </w:r>
      <w:r w:rsidR="00652992" w:rsidRPr="00B34294">
        <w:t>ing</w:t>
      </w:r>
      <w:r w:rsidR="00762404" w:rsidRPr="00B34294">
        <w:t xml:space="preserve"> the transfer of juveniles accused of committing crimes when they </w:t>
      </w:r>
      <w:r w:rsidR="00B80EB4" w:rsidRPr="00B34294">
        <w:t>a</w:t>
      </w:r>
      <w:r w:rsidR="00762404" w:rsidRPr="00B34294">
        <w:t>re 14 or 15</w:t>
      </w:r>
      <w:r w:rsidR="00DF0757" w:rsidRPr="00B34294">
        <w:t xml:space="preserve"> </w:t>
      </w:r>
      <w:r w:rsidR="00762404" w:rsidRPr="00B34294">
        <w:t>years</w:t>
      </w:r>
      <w:r w:rsidR="00DF0757" w:rsidRPr="00B34294">
        <w:t xml:space="preserve"> </w:t>
      </w:r>
      <w:r w:rsidR="00762404" w:rsidRPr="00B34294">
        <w:t xml:space="preserve">old, unless </w:t>
      </w:r>
      <w:r w:rsidR="00B80EB4" w:rsidRPr="00B34294">
        <w:t>they are first</w:t>
      </w:r>
      <w:r w:rsidR="00762404" w:rsidRPr="00B34294">
        <w:t xml:space="preserve"> apprehended </w:t>
      </w:r>
      <w:r w:rsidR="00B80EB4" w:rsidRPr="00B34294">
        <w:t>after</w:t>
      </w:r>
      <w:r w:rsidR="00762404" w:rsidRPr="00B34294">
        <w:t xml:space="preserve"> the end of juvenile court jurisdiction.  </w:t>
      </w:r>
      <w:r w:rsidR="002C0EF9" w:rsidRPr="00B34294">
        <w:t>(</w:t>
      </w:r>
      <w:r w:rsidR="002F48C7" w:rsidRPr="00B34294">
        <w:t>See Welf. &amp; Inst. Code</w:t>
      </w:r>
      <w:r w:rsidR="004C65D2" w:rsidRPr="00B34294">
        <w:t>,</w:t>
      </w:r>
      <w:r w:rsidR="002F48C7" w:rsidRPr="00B34294">
        <w:t xml:space="preserve"> § 707, subd. (a)</w:t>
      </w:r>
      <w:r w:rsidR="00AF6FA5" w:rsidRPr="00B34294">
        <w:t>(1)</w:t>
      </w:r>
      <w:r w:rsidR="00AF6FA5" w:rsidRPr="00B34294">
        <w:softHyphen/>
      </w:r>
      <w:r w:rsidR="004B27E2" w:rsidRPr="00171ACF">
        <w:rPr>
          <w:rFonts w:cstheme="minorHAnsi"/>
          <w:color w:val="454545"/>
          <w:sz w:val="24"/>
        </w:rPr>
        <w:t>–</w:t>
      </w:r>
      <w:r w:rsidR="00F74AF9" w:rsidRPr="00B34294">
        <w:t>(2)</w:t>
      </w:r>
      <w:r w:rsidR="00E003AC">
        <w:t xml:space="preserve">, as amended by </w:t>
      </w:r>
      <w:r w:rsidR="00E003AC" w:rsidRPr="00B34294">
        <w:rPr>
          <w:szCs w:val="26"/>
        </w:rPr>
        <w:t>Stats. 2018</w:t>
      </w:r>
      <w:r w:rsidR="00E003AC">
        <w:rPr>
          <w:szCs w:val="26"/>
        </w:rPr>
        <w:t xml:space="preserve">, ch. 1012, </w:t>
      </w:r>
      <w:r w:rsidR="00E003AC" w:rsidRPr="00B34294">
        <w:t>§</w:t>
      </w:r>
      <w:r w:rsidR="00E003AC">
        <w:t xml:space="preserve"> 1</w:t>
      </w:r>
      <w:r w:rsidR="002F48C7" w:rsidRPr="00B34294">
        <w:t xml:space="preserve">.) </w:t>
      </w:r>
      <w:r w:rsidR="00073B6C" w:rsidRPr="00B34294">
        <w:t xml:space="preserve"> In this way, S</w:t>
      </w:r>
      <w:r w:rsidR="00E003AC">
        <w:t xml:space="preserve">enate </w:t>
      </w:r>
      <w:r w:rsidR="00073B6C" w:rsidRPr="00B34294">
        <w:t>B</w:t>
      </w:r>
      <w:r w:rsidR="00E003AC">
        <w:t>ill</w:t>
      </w:r>
      <w:r w:rsidR="00073B6C" w:rsidRPr="00B34294">
        <w:t xml:space="preserve"> 1391 marked a return to the rule in place </w:t>
      </w:r>
      <w:r w:rsidR="00B80EB4" w:rsidRPr="00B34294">
        <w:t xml:space="preserve">beginning in </w:t>
      </w:r>
      <w:r w:rsidR="00073B6C" w:rsidRPr="00B34294">
        <w:t xml:space="preserve">1961 and </w:t>
      </w:r>
      <w:r w:rsidR="00B80EB4" w:rsidRPr="00B34294">
        <w:t xml:space="preserve">for </w:t>
      </w:r>
      <w:r w:rsidR="007B45DC" w:rsidRPr="00B34294">
        <w:t xml:space="preserve">close to </w:t>
      </w:r>
      <w:r w:rsidR="00073B6C" w:rsidRPr="00B34294">
        <w:t>34 years thereafter</w:t>
      </w:r>
      <w:r w:rsidR="007B45DC" w:rsidRPr="00B34294">
        <w:t xml:space="preserve"> </w:t>
      </w:r>
      <w:r w:rsidR="00DF0757" w:rsidRPr="00B34294">
        <w:t>—</w:t>
      </w:r>
      <w:r w:rsidR="007B45DC" w:rsidRPr="00B34294">
        <w:t xml:space="preserve"> </w:t>
      </w:r>
      <w:r w:rsidR="00073B6C" w:rsidRPr="00B34294">
        <w:t>16</w:t>
      </w:r>
      <w:r w:rsidR="00640D95" w:rsidRPr="00B34294">
        <w:t xml:space="preserve"> </w:t>
      </w:r>
      <w:r w:rsidR="00DF0757" w:rsidRPr="00B34294">
        <w:t>again</w:t>
      </w:r>
      <w:r w:rsidR="00073B6C" w:rsidRPr="00B34294">
        <w:t xml:space="preserve"> became the minimum age </w:t>
      </w:r>
      <w:r w:rsidR="00640D95" w:rsidRPr="00B34294">
        <w:t>for transferring a minor</w:t>
      </w:r>
      <w:r w:rsidR="00073B6C" w:rsidRPr="00B34294">
        <w:t xml:space="preserve"> to criminal court.  (See Welf. &amp; Inst. Code, former §§ 510, 603, 707, as amend</w:t>
      </w:r>
      <w:r w:rsidR="004B27E2">
        <w:t>ed</w:t>
      </w:r>
      <w:r w:rsidR="00073B6C" w:rsidRPr="00B34294">
        <w:t xml:space="preserve"> by Stat</w:t>
      </w:r>
      <w:r w:rsidR="004B27E2">
        <w:t>s</w:t>
      </w:r>
      <w:r w:rsidR="00073B6C" w:rsidRPr="00B34294">
        <w:t xml:space="preserve">. 1961, ch. 1616, pp. 3462, 3472, 3485.)  </w:t>
      </w:r>
    </w:p>
    <w:p w14:paraId="564EC965" w14:textId="74BEFCB9" w:rsidR="0089074D" w:rsidRPr="00B34294" w:rsidRDefault="00FF232F" w:rsidP="008E3B29">
      <w:pPr>
        <w:tabs>
          <w:tab w:val="left" w:pos="1440"/>
        </w:tabs>
        <w:ind w:firstLine="720"/>
      </w:pPr>
      <w:r w:rsidRPr="00B34294">
        <w:t xml:space="preserve">Two days </w:t>
      </w:r>
      <w:r w:rsidR="00640D95" w:rsidRPr="00B34294">
        <w:t>after the passage of S</w:t>
      </w:r>
      <w:r w:rsidR="004B27E2">
        <w:t xml:space="preserve">enate </w:t>
      </w:r>
      <w:r w:rsidR="00640D95" w:rsidRPr="00B34294">
        <w:t>B</w:t>
      </w:r>
      <w:r w:rsidR="004B27E2">
        <w:t>ill</w:t>
      </w:r>
      <w:r w:rsidR="00640D95" w:rsidRPr="00B34294">
        <w:t xml:space="preserve"> 1391</w:t>
      </w:r>
      <w:r w:rsidR="003C10A7" w:rsidRPr="00B34294">
        <w:t xml:space="preserve">, </w:t>
      </w:r>
      <w:r w:rsidR="005A2EAD" w:rsidRPr="00B34294">
        <w:t>the</w:t>
      </w:r>
      <w:r w:rsidR="003C10A7" w:rsidRPr="00B34294">
        <w:t xml:space="preserve"> Ventura County District Attorney</w:t>
      </w:r>
      <w:r w:rsidR="00123B12" w:rsidRPr="00B34294">
        <w:t>’s Office</w:t>
      </w:r>
      <w:r w:rsidR="003C10A7" w:rsidRPr="00B34294">
        <w:t xml:space="preserve"> </w:t>
      </w:r>
      <w:r w:rsidRPr="00B34294">
        <w:t xml:space="preserve">(the District Attorney’s Office) </w:t>
      </w:r>
      <w:r w:rsidR="003C10A7" w:rsidRPr="00B34294">
        <w:t xml:space="preserve">filed a </w:t>
      </w:r>
      <w:r w:rsidR="00F41A18" w:rsidRPr="00B34294">
        <w:t xml:space="preserve">petition </w:t>
      </w:r>
      <w:r w:rsidR="00C47FAF" w:rsidRPr="00B34294">
        <w:t>in juvenile court</w:t>
      </w:r>
      <w:r w:rsidR="003C10A7" w:rsidRPr="00B34294">
        <w:t xml:space="preserve"> alleging that </w:t>
      </w:r>
      <w:r w:rsidR="00835744" w:rsidRPr="00B34294">
        <w:t xml:space="preserve">when </w:t>
      </w:r>
      <w:r w:rsidR="003C10A7" w:rsidRPr="00B34294">
        <w:t xml:space="preserve">minor O.G. </w:t>
      </w:r>
      <w:r w:rsidR="00835744" w:rsidRPr="00B34294">
        <w:t>was 15 years old</w:t>
      </w:r>
      <w:r w:rsidR="004B27E2">
        <w:t>,</w:t>
      </w:r>
      <w:r w:rsidR="00835744" w:rsidRPr="00B34294">
        <w:t xml:space="preserve"> he </w:t>
      </w:r>
      <w:r w:rsidR="003C10A7" w:rsidRPr="00B34294">
        <w:t>committed two counts of murder (Pen. Code, § 18</w:t>
      </w:r>
      <w:r w:rsidR="005F2929" w:rsidRPr="00B34294">
        <w:t>7, subd. (a)</w:t>
      </w:r>
      <w:r w:rsidR="003C10A7" w:rsidRPr="00B34294">
        <w:t>)</w:t>
      </w:r>
      <w:r w:rsidR="00835744" w:rsidRPr="00B34294">
        <w:t xml:space="preserve"> and</w:t>
      </w:r>
      <w:r w:rsidR="003C10A7" w:rsidRPr="00B34294">
        <w:t xml:space="preserve"> one count of </w:t>
      </w:r>
      <w:r w:rsidR="005F2929" w:rsidRPr="00B34294">
        <w:t xml:space="preserve">second degree </w:t>
      </w:r>
      <w:r w:rsidR="003C10A7" w:rsidRPr="00B34294">
        <w:t>robbery</w:t>
      </w:r>
      <w:r w:rsidR="00CB68A4" w:rsidRPr="00B34294">
        <w:t xml:space="preserve"> (</w:t>
      </w:r>
      <w:r w:rsidR="00CB68A4" w:rsidRPr="00B34294">
        <w:rPr>
          <w:i/>
        </w:rPr>
        <w:t>id</w:t>
      </w:r>
      <w:r w:rsidR="00CB68A4" w:rsidRPr="00B34294">
        <w:t>.</w:t>
      </w:r>
      <w:r w:rsidR="005F2929" w:rsidRPr="00B34294">
        <w:t>,</w:t>
      </w:r>
      <w:r w:rsidR="00CB68A4" w:rsidRPr="00B34294">
        <w:t xml:space="preserve"> </w:t>
      </w:r>
      <w:r w:rsidR="005F2929" w:rsidRPr="00B34294">
        <w:t>§ 211)</w:t>
      </w:r>
      <w:r w:rsidR="003C10A7" w:rsidRPr="00B34294">
        <w:t xml:space="preserve">, with gang </w:t>
      </w:r>
      <w:r w:rsidR="005F2929" w:rsidRPr="00B34294">
        <w:t>(</w:t>
      </w:r>
      <w:r w:rsidR="005F2929" w:rsidRPr="00B34294">
        <w:rPr>
          <w:i/>
        </w:rPr>
        <w:t>id</w:t>
      </w:r>
      <w:r w:rsidR="005F2929" w:rsidRPr="00B34294">
        <w:t xml:space="preserve">., § 186.22, subd. (b)(1)) </w:t>
      </w:r>
      <w:r w:rsidR="003C10A7" w:rsidRPr="00B34294">
        <w:t xml:space="preserve">and firearm </w:t>
      </w:r>
      <w:r w:rsidR="005F2929" w:rsidRPr="00B34294">
        <w:t>(</w:t>
      </w:r>
      <w:r w:rsidR="005F2929" w:rsidRPr="00B34294">
        <w:rPr>
          <w:i/>
        </w:rPr>
        <w:t>id</w:t>
      </w:r>
      <w:r w:rsidR="005F2929" w:rsidRPr="00B34294">
        <w:t>., §</w:t>
      </w:r>
      <w:r w:rsidR="007D6638" w:rsidRPr="00B34294">
        <w:t xml:space="preserve"> </w:t>
      </w:r>
      <w:r w:rsidR="005F2929" w:rsidRPr="00B34294">
        <w:t xml:space="preserve">12022.53, subds. (b), (d), &amp; (e)(1)) </w:t>
      </w:r>
      <w:r w:rsidR="003C10A7" w:rsidRPr="00B34294">
        <w:lastRenderedPageBreak/>
        <w:t>enhancements</w:t>
      </w:r>
      <w:r w:rsidR="00835744" w:rsidRPr="00B34294">
        <w:t>.</w:t>
      </w:r>
      <w:r w:rsidR="005F2929" w:rsidRPr="00B34294">
        <w:t xml:space="preserve">  </w:t>
      </w:r>
      <w:r w:rsidR="0018061E" w:rsidRPr="00B34294">
        <w:t>The</w:t>
      </w:r>
      <w:r w:rsidR="00663D58" w:rsidRPr="00B34294">
        <w:t xml:space="preserve"> </w:t>
      </w:r>
      <w:r w:rsidR="00415E64" w:rsidRPr="00B34294">
        <w:t xml:space="preserve">District Attorney’s Office </w:t>
      </w:r>
      <w:r w:rsidR="008D64B8" w:rsidRPr="00B34294">
        <w:t xml:space="preserve">contemporaneously </w:t>
      </w:r>
      <w:r w:rsidR="00123B12" w:rsidRPr="00B34294">
        <w:t xml:space="preserve">filed a motion to transfer </w:t>
      </w:r>
      <w:r w:rsidR="00C47FAF" w:rsidRPr="00B34294">
        <w:t>O.G.</w:t>
      </w:r>
      <w:r w:rsidR="00123B12" w:rsidRPr="00B34294">
        <w:t xml:space="preserve"> to criminal court</w:t>
      </w:r>
      <w:r w:rsidR="00663D58" w:rsidRPr="00B34294">
        <w:t>.  The</w:t>
      </w:r>
      <w:r w:rsidR="00415E64" w:rsidRPr="00B34294">
        <w:t xml:space="preserve"> District Attorney’s Office </w:t>
      </w:r>
      <w:r w:rsidR="00663D58" w:rsidRPr="00B34294">
        <w:t xml:space="preserve">argued that </w:t>
      </w:r>
      <w:r w:rsidR="002728F3" w:rsidRPr="00B34294">
        <w:t>S</w:t>
      </w:r>
      <w:r w:rsidR="004B27E2">
        <w:t xml:space="preserve">enate </w:t>
      </w:r>
      <w:r w:rsidR="002728F3" w:rsidRPr="00B34294">
        <w:t>B</w:t>
      </w:r>
      <w:r w:rsidR="004B27E2">
        <w:t>ill</w:t>
      </w:r>
      <w:r w:rsidR="00663D58" w:rsidRPr="00B34294">
        <w:t xml:space="preserve"> 1391 is an </w:t>
      </w:r>
      <w:r w:rsidR="00EB48A2" w:rsidRPr="00B34294">
        <w:t>unconstitutional</w:t>
      </w:r>
      <w:r w:rsidR="00663D58" w:rsidRPr="00B34294">
        <w:t xml:space="preserve"> amendment to Proposition 57</w:t>
      </w:r>
      <w:r w:rsidR="00B94E0A" w:rsidRPr="00B34294">
        <w:t xml:space="preserve"> and </w:t>
      </w:r>
      <w:r w:rsidR="009B1A32" w:rsidRPr="00B34294">
        <w:t xml:space="preserve">the juvenile court </w:t>
      </w:r>
      <w:r w:rsidR="00B94E0A" w:rsidRPr="00B34294">
        <w:t xml:space="preserve">therefore </w:t>
      </w:r>
      <w:r w:rsidR="009B1A32" w:rsidRPr="00B34294">
        <w:t>retained its authority to</w:t>
      </w:r>
      <w:r w:rsidR="00B94E0A" w:rsidRPr="00B34294">
        <w:t xml:space="preserve"> conduct a hearing</w:t>
      </w:r>
      <w:r w:rsidR="005C21BE" w:rsidRPr="00B34294">
        <w:t xml:space="preserve"> </w:t>
      </w:r>
      <w:r w:rsidR="00415E64" w:rsidRPr="00B34294">
        <w:t>to determine O.G.’s suitability for</w:t>
      </w:r>
      <w:r w:rsidR="005C21BE" w:rsidRPr="00B34294">
        <w:t xml:space="preserve"> transfer</w:t>
      </w:r>
      <w:r w:rsidR="0018061E" w:rsidRPr="00B34294">
        <w:t xml:space="preserve"> to criminal court</w:t>
      </w:r>
      <w:r w:rsidR="00507018" w:rsidRPr="00B34294">
        <w:t>.</w:t>
      </w:r>
    </w:p>
    <w:p w14:paraId="349688F8" w14:textId="23941A6F" w:rsidR="004B3A23" w:rsidRDefault="0018061E" w:rsidP="008E3B29">
      <w:pPr>
        <w:tabs>
          <w:tab w:val="left" w:pos="1440"/>
        </w:tabs>
        <w:ind w:firstLine="720"/>
      </w:pPr>
      <w:r w:rsidRPr="00B34294">
        <w:t>T</w:t>
      </w:r>
      <w:r w:rsidR="00663D58" w:rsidRPr="00B34294">
        <w:t xml:space="preserve">he juvenile court found that </w:t>
      </w:r>
      <w:r w:rsidR="002728F3" w:rsidRPr="00B34294">
        <w:t>S</w:t>
      </w:r>
      <w:r w:rsidR="004B27E2">
        <w:t xml:space="preserve">enate </w:t>
      </w:r>
      <w:r w:rsidR="002728F3" w:rsidRPr="00B34294">
        <w:t>B</w:t>
      </w:r>
      <w:r w:rsidR="004B27E2">
        <w:t>ill</w:t>
      </w:r>
      <w:r w:rsidR="00663D58" w:rsidRPr="00B34294">
        <w:t xml:space="preserve"> 1391 is unconstitutional</w:t>
      </w:r>
      <w:r w:rsidR="00507018" w:rsidRPr="00B34294">
        <w:t xml:space="preserve"> </w:t>
      </w:r>
      <w:r w:rsidR="00102491" w:rsidRPr="00B34294">
        <w:t xml:space="preserve">because </w:t>
      </w:r>
      <w:r w:rsidR="000E5E5E" w:rsidRPr="00B34294">
        <w:t xml:space="preserve">it </w:t>
      </w:r>
      <w:r w:rsidR="00102491" w:rsidRPr="00B34294">
        <w:t>prohibit</w:t>
      </w:r>
      <w:r w:rsidR="00275BEA" w:rsidRPr="00B34294">
        <w:t>s what Proposition 57 “</w:t>
      </w:r>
      <w:r w:rsidR="00102491" w:rsidRPr="00B34294">
        <w:t>expressly permit</w:t>
      </w:r>
      <w:r w:rsidR="00275BEA" w:rsidRPr="00B34294">
        <w:t>[s]</w:t>
      </w:r>
      <w:r w:rsidR="00102491" w:rsidRPr="00B34294">
        <w:t>: adult court handling of 14 and 15 year old minors accused of murder</w:t>
      </w:r>
      <w:r w:rsidR="00663D58" w:rsidRPr="00B34294">
        <w:t>.</w:t>
      </w:r>
      <w:r w:rsidR="00275BEA" w:rsidRPr="00B34294">
        <w:t xml:space="preserve">” </w:t>
      </w:r>
      <w:r w:rsidR="00277E5B" w:rsidRPr="00B34294">
        <w:t xml:space="preserve"> </w:t>
      </w:r>
      <w:r w:rsidR="000576D0" w:rsidRPr="00B34294">
        <w:t xml:space="preserve">O.G. filed a petition for writ of mandate challenging the </w:t>
      </w:r>
      <w:r w:rsidRPr="00B34294">
        <w:t>juvenile</w:t>
      </w:r>
      <w:r w:rsidR="000576D0" w:rsidRPr="00B34294">
        <w:t xml:space="preserve"> court’s ruling.  </w:t>
      </w:r>
      <w:r w:rsidR="00A25124" w:rsidRPr="00B34294">
        <w:t xml:space="preserve">The Court of Appeal </w:t>
      </w:r>
      <w:r w:rsidR="00057E56" w:rsidRPr="00B34294">
        <w:t xml:space="preserve">denied writ relief </w:t>
      </w:r>
      <w:r w:rsidR="00A25124" w:rsidRPr="00B34294">
        <w:t xml:space="preserve">and </w:t>
      </w:r>
      <w:r w:rsidR="00B80EB4" w:rsidRPr="00B34294">
        <w:t xml:space="preserve">held </w:t>
      </w:r>
      <w:r w:rsidR="000576D0" w:rsidRPr="00B34294">
        <w:t xml:space="preserve">that </w:t>
      </w:r>
      <w:r w:rsidR="002728F3" w:rsidRPr="00B34294">
        <w:t>S</w:t>
      </w:r>
      <w:r w:rsidR="004B27E2">
        <w:t xml:space="preserve">enate </w:t>
      </w:r>
      <w:r w:rsidR="002728F3" w:rsidRPr="00B34294">
        <w:t>B</w:t>
      </w:r>
      <w:r w:rsidR="004B27E2">
        <w:t>ill</w:t>
      </w:r>
      <w:r w:rsidR="000576D0" w:rsidRPr="00B34294">
        <w:t xml:space="preserve"> 1391 is unconstitutional</w:t>
      </w:r>
      <w:r w:rsidR="00275BEA" w:rsidRPr="00B34294">
        <w:t xml:space="preserve"> because the language of Proposition 57 permits adult prosecution for 14 and 15</w:t>
      </w:r>
      <w:r w:rsidR="007B45DC" w:rsidRPr="00B34294">
        <w:t xml:space="preserve"> </w:t>
      </w:r>
      <w:r w:rsidR="00275BEA" w:rsidRPr="00B34294">
        <w:t>year</w:t>
      </w:r>
      <w:r w:rsidR="007B45DC" w:rsidRPr="00B34294">
        <w:t xml:space="preserve"> </w:t>
      </w:r>
      <w:r w:rsidR="00275BEA" w:rsidRPr="00B34294">
        <w:t xml:space="preserve">olds, but </w:t>
      </w:r>
      <w:r w:rsidR="002728F3" w:rsidRPr="00B34294">
        <w:t>S</w:t>
      </w:r>
      <w:r w:rsidR="004B27E2">
        <w:t xml:space="preserve">enate </w:t>
      </w:r>
      <w:r w:rsidR="002728F3" w:rsidRPr="00B34294">
        <w:t>B</w:t>
      </w:r>
      <w:r w:rsidR="004B27E2">
        <w:t>ill</w:t>
      </w:r>
      <w:r w:rsidR="00275BEA" w:rsidRPr="00B34294">
        <w:t xml:space="preserve"> 1391 precludes such prosecution</w:t>
      </w:r>
      <w:r w:rsidR="000E5E5E" w:rsidRPr="00B34294">
        <w:t xml:space="preserve">.  </w:t>
      </w:r>
      <w:r w:rsidR="000576D0" w:rsidRPr="00B34294">
        <w:t>(</w:t>
      </w:r>
      <w:r w:rsidR="000576D0" w:rsidRPr="00B34294">
        <w:rPr>
          <w:i/>
        </w:rPr>
        <w:t>O.G. v. Superior Court</w:t>
      </w:r>
      <w:r w:rsidR="004B27E2">
        <w:t xml:space="preserve">, </w:t>
      </w:r>
      <w:r w:rsidR="004B27E2" w:rsidRPr="006B749B">
        <w:rPr>
          <w:i/>
          <w:iCs/>
        </w:rPr>
        <w:t>supra</w:t>
      </w:r>
      <w:r w:rsidR="004B27E2">
        <w:t>,</w:t>
      </w:r>
      <w:r w:rsidR="000576D0" w:rsidRPr="00B34294">
        <w:t xml:space="preserve"> 40 Cal.App.5th 626</w:t>
      </w:r>
      <w:r w:rsidR="00275BEA" w:rsidRPr="00B34294">
        <w:t xml:space="preserve">, </w:t>
      </w:r>
      <w:r w:rsidR="00A25124" w:rsidRPr="00B34294">
        <w:t>628–</w:t>
      </w:r>
      <w:r w:rsidR="00275BEA" w:rsidRPr="00B34294">
        <w:t>629</w:t>
      </w:r>
      <w:r w:rsidR="00057E56" w:rsidRPr="00B34294">
        <w:t xml:space="preserve">.)  </w:t>
      </w:r>
      <w:bookmarkStart w:id="2" w:name="_Hlk47341717"/>
      <w:r w:rsidR="00057E56" w:rsidRPr="00B34294">
        <w:t xml:space="preserve">The Court of Appeal disagreed with </w:t>
      </w:r>
      <w:r w:rsidR="00640D95" w:rsidRPr="00B34294">
        <w:t xml:space="preserve">what was at the time </w:t>
      </w:r>
      <w:r w:rsidR="00057E56" w:rsidRPr="00B34294">
        <w:t xml:space="preserve">five </w:t>
      </w:r>
      <w:r w:rsidR="00640D95" w:rsidRPr="00B34294">
        <w:t xml:space="preserve">and </w:t>
      </w:r>
      <w:r w:rsidR="00B80EB4" w:rsidRPr="00B34294">
        <w:t xml:space="preserve">is </w:t>
      </w:r>
      <w:r w:rsidR="00640D95" w:rsidRPr="00B34294">
        <w:t xml:space="preserve">now seven </w:t>
      </w:r>
      <w:r w:rsidR="007F0721" w:rsidRPr="00B34294">
        <w:t xml:space="preserve">other </w:t>
      </w:r>
      <w:r w:rsidR="00057E56" w:rsidRPr="00B34294">
        <w:t>Court of Appeal</w:t>
      </w:r>
      <w:r w:rsidR="00422AC7" w:rsidRPr="00B34294">
        <w:t xml:space="preserve"> </w:t>
      </w:r>
      <w:r w:rsidR="00F1292E" w:rsidRPr="00B34294">
        <w:t xml:space="preserve">panels </w:t>
      </w:r>
      <w:r w:rsidR="00632A00" w:rsidRPr="00B34294">
        <w:t>to have</w:t>
      </w:r>
      <w:r w:rsidR="00A174B1" w:rsidRPr="00B34294">
        <w:t xml:space="preserve"> </w:t>
      </w:r>
      <w:r w:rsidR="00422AC7" w:rsidRPr="00B34294">
        <w:t>addressed the issue</w:t>
      </w:r>
      <w:r w:rsidR="00057E56" w:rsidRPr="00B34294">
        <w:t xml:space="preserve">.  (See </w:t>
      </w:r>
      <w:r w:rsidR="004B3A23" w:rsidRPr="00B34294">
        <w:rPr>
          <w:i/>
        </w:rPr>
        <w:t xml:space="preserve">People v. Superior Court </w:t>
      </w:r>
      <w:r w:rsidR="004B3A23" w:rsidRPr="006B749B">
        <w:rPr>
          <w:iCs/>
        </w:rPr>
        <w:t>(</w:t>
      </w:r>
      <w:r w:rsidR="004B3A23" w:rsidRPr="00B34294">
        <w:rPr>
          <w:i/>
        </w:rPr>
        <w:t>Alexander C.</w:t>
      </w:r>
      <w:r w:rsidR="004B3A23" w:rsidRPr="006B749B">
        <w:rPr>
          <w:iCs/>
        </w:rPr>
        <w:t>)</w:t>
      </w:r>
      <w:r w:rsidR="004B3A23" w:rsidRPr="00B34294">
        <w:t xml:space="preserve"> (2019) 34 Cal.App.5th 994</w:t>
      </w:r>
      <w:r w:rsidR="00B86A42" w:rsidRPr="00B34294">
        <w:t xml:space="preserve"> (</w:t>
      </w:r>
      <w:r w:rsidR="00B86A42" w:rsidRPr="00B34294">
        <w:rPr>
          <w:i/>
          <w:iCs/>
        </w:rPr>
        <w:t>Alexander C.</w:t>
      </w:r>
      <w:r w:rsidR="00B86A42" w:rsidRPr="00B34294">
        <w:t>)</w:t>
      </w:r>
      <w:r w:rsidR="004B3A23" w:rsidRPr="00B34294">
        <w:t xml:space="preserve">; </w:t>
      </w:r>
      <w:r w:rsidR="004B3A23" w:rsidRPr="00B34294">
        <w:rPr>
          <w:i/>
        </w:rPr>
        <w:t>K.L.</w:t>
      </w:r>
      <w:r w:rsidR="009D5490" w:rsidRPr="00B34294">
        <w:t xml:space="preserve">, </w:t>
      </w:r>
      <w:r w:rsidR="009D5490" w:rsidRPr="00B34294">
        <w:rPr>
          <w:i/>
          <w:iCs/>
        </w:rPr>
        <w:t>supra</w:t>
      </w:r>
      <w:r w:rsidR="009D5490" w:rsidRPr="00B34294">
        <w:t xml:space="preserve">, </w:t>
      </w:r>
      <w:r w:rsidR="004B3A23" w:rsidRPr="00B34294">
        <w:t xml:space="preserve">36 Cal.App.5th </w:t>
      </w:r>
      <w:r w:rsidR="009D5490" w:rsidRPr="00B34294">
        <w:t xml:space="preserve">at p. </w:t>
      </w:r>
      <w:r w:rsidR="004B3A23" w:rsidRPr="00B34294">
        <w:t xml:space="preserve">529; </w:t>
      </w:r>
      <w:r w:rsidR="004B3A23" w:rsidRPr="00B34294">
        <w:rPr>
          <w:i/>
        </w:rPr>
        <w:t xml:space="preserve">People v. Superior Court </w:t>
      </w:r>
      <w:r w:rsidR="004B3A23" w:rsidRPr="006B749B">
        <w:rPr>
          <w:iCs/>
        </w:rPr>
        <w:t>(</w:t>
      </w:r>
      <w:r w:rsidR="004B3A23" w:rsidRPr="00B34294">
        <w:rPr>
          <w:i/>
        </w:rPr>
        <w:t>T.D.</w:t>
      </w:r>
      <w:r w:rsidR="004B3A23" w:rsidRPr="006B749B">
        <w:rPr>
          <w:iCs/>
        </w:rPr>
        <w:t>)</w:t>
      </w:r>
      <w:r w:rsidR="004B3A23" w:rsidRPr="00B34294">
        <w:t xml:space="preserve"> (2019) 38 Cal.App.5th 360, review granted Nov. 26, 2019, S257980</w:t>
      </w:r>
      <w:r w:rsidR="00554992">
        <w:t xml:space="preserve"> </w:t>
      </w:r>
      <w:r w:rsidR="00554992" w:rsidRPr="00B34294">
        <w:t>(</w:t>
      </w:r>
      <w:r w:rsidR="00554992" w:rsidRPr="00B34294">
        <w:rPr>
          <w:i/>
          <w:iCs/>
        </w:rPr>
        <w:t>T.D.</w:t>
      </w:r>
      <w:r w:rsidR="00554992" w:rsidRPr="00B34294">
        <w:t>)</w:t>
      </w:r>
      <w:r w:rsidR="004B3A23" w:rsidRPr="00B34294">
        <w:t xml:space="preserve">; </w:t>
      </w:r>
      <w:r w:rsidR="004B3A23" w:rsidRPr="00B34294">
        <w:rPr>
          <w:i/>
        </w:rPr>
        <w:t xml:space="preserve">People v. Superior Court </w:t>
      </w:r>
      <w:r w:rsidR="004B3A23" w:rsidRPr="006B749B">
        <w:rPr>
          <w:iCs/>
        </w:rPr>
        <w:t>(</w:t>
      </w:r>
      <w:r w:rsidR="004B3A23" w:rsidRPr="004B27E2">
        <w:rPr>
          <w:i/>
        </w:rPr>
        <w:t>I</w:t>
      </w:r>
      <w:r w:rsidR="004B3A23" w:rsidRPr="00B34294">
        <w:rPr>
          <w:i/>
        </w:rPr>
        <w:t>.R.</w:t>
      </w:r>
      <w:r w:rsidR="004B3A23" w:rsidRPr="006B749B">
        <w:rPr>
          <w:iCs/>
        </w:rPr>
        <w:t>)</w:t>
      </w:r>
      <w:r w:rsidR="004B3A23" w:rsidRPr="00B34294">
        <w:t xml:space="preserve"> (2019) 38 Cal.App.5th 383, review granted Nov. 26, 2019, S257773; </w:t>
      </w:r>
      <w:r w:rsidR="004B3A23" w:rsidRPr="00B34294">
        <w:rPr>
          <w:i/>
        </w:rPr>
        <w:t xml:space="preserve">People v. Superior Court </w:t>
      </w:r>
      <w:r w:rsidR="004B3A23" w:rsidRPr="006B749B">
        <w:rPr>
          <w:iCs/>
        </w:rPr>
        <w:t>(</w:t>
      </w:r>
      <w:r w:rsidR="004B3A23" w:rsidRPr="00B34294">
        <w:rPr>
          <w:i/>
        </w:rPr>
        <w:t>S.L.</w:t>
      </w:r>
      <w:r w:rsidR="004B3A23" w:rsidRPr="006B749B">
        <w:rPr>
          <w:iCs/>
        </w:rPr>
        <w:t>)</w:t>
      </w:r>
      <w:r w:rsidR="004B3A23" w:rsidRPr="00B34294">
        <w:t xml:space="preserve"> (2019) 40 Cal.App.5th 114, review granted Nov. 26, 2019, S258432</w:t>
      </w:r>
      <w:r w:rsidR="001F5C3B" w:rsidRPr="00B34294">
        <w:t xml:space="preserve">; </w:t>
      </w:r>
      <w:r w:rsidR="001F5C3B" w:rsidRPr="00B34294">
        <w:rPr>
          <w:i/>
        </w:rPr>
        <w:t>B.M. v. Superior Court</w:t>
      </w:r>
      <w:r w:rsidR="001F5C3B" w:rsidRPr="00B34294">
        <w:t xml:space="preserve"> (2019) 40 Cal.App.5th 742, review granted Jan. 2, 2020, S259030</w:t>
      </w:r>
      <w:r w:rsidR="00554992">
        <w:t xml:space="preserve"> </w:t>
      </w:r>
      <w:r w:rsidR="00554992" w:rsidRPr="00B34294">
        <w:t>(</w:t>
      </w:r>
      <w:r w:rsidR="00554992" w:rsidRPr="00B34294">
        <w:rPr>
          <w:i/>
          <w:iCs/>
        </w:rPr>
        <w:t>B.M.</w:t>
      </w:r>
      <w:r w:rsidR="00554992" w:rsidRPr="00B34294">
        <w:t>)</w:t>
      </w:r>
      <w:r w:rsidR="001F5C3B" w:rsidRPr="00B34294">
        <w:t xml:space="preserve">; </w:t>
      </w:r>
      <w:r w:rsidR="001F5C3B" w:rsidRPr="00B34294">
        <w:rPr>
          <w:i/>
        </w:rPr>
        <w:t>Narith S. v. Superior Court</w:t>
      </w:r>
      <w:r w:rsidR="001F5C3B" w:rsidRPr="00B34294">
        <w:t xml:space="preserve"> (2019) 42 Cal.App.5th 1131, review granted Feb. 19, 2020, S260090</w:t>
      </w:r>
      <w:r w:rsidR="000576D0" w:rsidRPr="00B34294">
        <w:t>.)</w:t>
      </w:r>
      <w:bookmarkEnd w:id="2"/>
      <w:r w:rsidR="000576D0" w:rsidRPr="00B34294">
        <w:t xml:space="preserve"> </w:t>
      </w:r>
      <w:r w:rsidR="00275BEA" w:rsidRPr="00B34294">
        <w:t xml:space="preserve"> </w:t>
      </w:r>
      <w:r w:rsidR="000E5E5E" w:rsidRPr="00B34294">
        <w:t>We granted review.</w:t>
      </w:r>
    </w:p>
    <w:p w14:paraId="3E5F6124" w14:textId="77777777" w:rsidR="00380349" w:rsidRPr="00B34294" w:rsidRDefault="00380349" w:rsidP="008E3B29">
      <w:pPr>
        <w:tabs>
          <w:tab w:val="left" w:pos="1440"/>
        </w:tabs>
        <w:ind w:firstLine="720"/>
      </w:pPr>
    </w:p>
    <w:p w14:paraId="161DACA3" w14:textId="3ED0D321" w:rsidR="00B077DB" w:rsidRPr="00B34294" w:rsidRDefault="0018061E" w:rsidP="008E3B29">
      <w:pPr>
        <w:tabs>
          <w:tab w:val="left" w:pos="1440"/>
        </w:tabs>
        <w:jc w:val="center"/>
        <w:rPr>
          <w:b/>
          <w:bCs/>
          <w:smallCaps/>
        </w:rPr>
      </w:pPr>
      <w:r w:rsidRPr="00B34294">
        <w:rPr>
          <w:b/>
          <w:bCs/>
          <w:smallCaps/>
        </w:rPr>
        <w:lastRenderedPageBreak/>
        <w:t>II. Discussion</w:t>
      </w:r>
    </w:p>
    <w:p w14:paraId="7E650293" w14:textId="5A1CDC17" w:rsidR="00785661" w:rsidRPr="00B34294" w:rsidRDefault="00FF232F" w:rsidP="008E3B29">
      <w:pPr>
        <w:tabs>
          <w:tab w:val="left" w:pos="1440"/>
        </w:tabs>
        <w:ind w:firstLine="720"/>
        <w:rPr>
          <w:vertAlign w:val="superscript"/>
        </w:rPr>
      </w:pPr>
      <w:r w:rsidRPr="00B34294">
        <w:t xml:space="preserve">The parties disagree over whether </w:t>
      </w:r>
      <w:r w:rsidR="002728F3" w:rsidRPr="00B34294">
        <w:t>S</w:t>
      </w:r>
      <w:r w:rsidR="00554992">
        <w:t xml:space="preserve">enate </w:t>
      </w:r>
      <w:r w:rsidR="002728F3" w:rsidRPr="00B34294">
        <w:t>B</w:t>
      </w:r>
      <w:r w:rsidR="00554992">
        <w:t>ill</w:t>
      </w:r>
      <w:r w:rsidRPr="00B34294">
        <w:t xml:space="preserve"> 1391 is a constitutional amendment to Proposition 57.  The District Attorney’s Office</w:t>
      </w:r>
      <w:r w:rsidR="005A2EAD" w:rsidRPr="00B34294">
        <w:t>, which is the real party in interest,</w:t>
      </w:r>
      <w:r w:rsidRPr="00B34294">
        <w:t xml:space="preserve"> argues that </w:t>
      </w:r>
      <w:r w:rsidR="002728F3" w:rsidRPr="00B34294">
        <w:t>S</w:t>
      </w:r>
      <w:r w:rsidR="00554992">
        <w:t xml:space="preserve">enate </w:t>
      </w:r>
      <w:r w:rsidR="002728F3" w:rsidRPr="00B34294">
        <w:t>B</w:t>
      </w:r>
      <w:r w:rsidR="00554992">
        <w:t>ill</w:t>
      </w:r>
      <w:r w:rsidRPr="00B34294">
        <w:t xml:space="preserve"> 1391 is an </w:t>
      </w:r>
      <w:r w:rsidR="00EB48A2" w:rsidRPr="00B34294">
        <w:t>invalid</w:t>
      </w:r>
      <w:r w:rsidRPr="00B34294">
        <w:t xml:space="preserve"> amendment.  O.G.’s position</w:t>
      </w:r>
      <w:r w:rsidR="0089074D" w:rsidRPr="00B34294">
        <w:t xml:space="preserve">, </w:t>
      </w:r>
      <w:r w:rsidR="007F0721" w:rsidRPr="00B34294">
        <w:t xml:space="preserve">with </w:t>
      </w:r>
      <w:r w:rsidR="000C3E8E" w:rsidRPr="00B34294">
        <w:t>which</w:t>
      </w:r>
      <w:r w:rsidR="0089074D" w:rsidRPr="00B34294">
        <w:t xml:space="preserve"> the Attorney General agrees,</w:t>
      </w:r>
      <w:r w:rsidRPr="00B34294">
        <w:t xml:space="preserve"> </w:t>
      </w:r>
      <w:r w:rsidR="0089074D" w:rsidRPr="00B34294">
        <w:t xml:space="preserve">is </w:t>
      </w:r>
      <w:r w:rsidRPr="00B34294">
        <w:t xml:space="preserve">that </w:t>
      </w:r>
      <w:r w:rsidR="002728F3" w:rsidRPr="00B34294">
        <w:t>S</w:t>
      </w:r>
      <w:r w:rsidR="00554992">
        <w:t xml:space="preserve">enate </w:t>
      </w:r>
      <w:r w:rsidR="002728F3" w:rsidRPr="00B34294">
        <w:t>B</w:t>
      </w:r>
      <w:r w:rsidR="00554992">
        <w:t>ill</w:t>
      </w:r>
      <w:r w:rsidRPr="00B34294">
        <w:t xml:space="preserve"> 1391 is </w:t>
      </w:r>
      <w:r w:rsidR="0089074D" w:rsidRPr="00B34294">
        <w:t xml:space="preserve">a </w:t>
      </w:r>
      <w:r w:rsidR="00DF41BD" w:rsidRPr="00B34294">
        <w:t xml:space="preserve">valid </w:t>
      </w:r>
      <w:r w:rsidR="0089074D" w:rsidRPr="00B34294">
        <w:t>amendment</w:t>
      </w:r>
      <w:r w:rsidRPr="00B34294">
        <w:t xml:space="preserve">.  </w:t>
      </w:r>
      <w:r w:rsidR="00CB1169" w:rsidRPr="00B34294">
        <w:t>W</w:t>
      </w:r>
      <w:r w:rsidRPr="00B34294">
        <w:t xml:space="preserve">e agree with O.G. </w:t>
      </w:r>
      <w:r w:rsidR="0089074D" w:rsidRPr="00B34294">
        <w:t>and the Attorney General.</w:t>
      </w:r>
      <w:r w:rsidR="004038F3" w:rsidRPr="00B34294" w:rsidDel="004038F3">
        <w:rPr>
          <w:rStyle w:val="FootnoteReference"/>
        </w:rPr>
        <w:t xml:space="preserve"> </w:t>
      </w:r>
    </w:p>
    <w:p w14:paraId="1E8F9F05" w14:textId="3017818A" w:rsidR="00785661" w:rsidRPr="00B34294" w:rsidRDefault="00785661" w:rsidP="008E3B29">
      <w:pPr>
        <w:tabs>
          <w:tab w:val="left" w:pos="1440"/>
        </w:tabs>
        <w:ind w:firstLine="720"/>
        <w:rPr>
          <w:b/>
          <w:bCs/>
        </w:rPr>
      </w:pPr>
      <w:r w:rsidRPr="00B34294">
        <w:rPr>
          <w:b/>
          <w:bCs/>
        </w:rPr>
        <w:t>A.  Legal Standard</w:t>
      </w:r>
    </w:p>
    <w:p w14:paraId="7EBA8ACB" w14:textId="29366BF8" w:rsidR="003A5614" w:rsidRPr="00B34294" w:rsidRDefault="0005693F" w:rsidP="008E3B29">
      <w:pPr>
        <w:tabs>
          <w:tab w:val="left" w:pos="1440"/>
        </w:tabs>
        <w:ind w:firstLine="720"/>
      </w:pPr>
      <w:r w:rsidRPr="00B34294">
        <w:t>“The Legislature</w:t>
      </w:r>
      <w:r w:rsidR="00D50378" w:rsidRPr="00B34294">
        <w:t xml:space="preserve"> may amend or repeal an initiative statute by another statute that becomes effective only when approved by the electors unless the initiative statute permits amendment or repeal without the electors’ approval.”  (Cal. Const., art. II, § 10, subd. (c).) </w:t>
      </w:r>
      <w:r w:rsidR="003619AE" w:rsidRPr="00B34294">
        <w:t xml:space="preserve"> </w:t>
      </w:r>
      <w:r w:rsidR="00C550F6" w:rsidRPr="00B34294">
        <w:t xml:space="preserve">In this case, </w:t>
      </w:r>
      <w:r w:rsidR="002A74AE" w:rsidRPr="00B34294">
        <w:t>in an</w:t>
      </w:r>
      <w:r w:rsidR="00A04825" w:rsidRPr="00B34294">
        <w:t xml:space="preserve"> uncodified </w:t>
      </w:r>
      <w:r w:rsidR="00840486" w:rsidRPr="00B34294">
        <w:t>amendment clause</w:t>
      </w:r>
      <w:r w:rsidR="002A74AE" w:rsidRPr="00B34294">
        <w:t xml:space="preserve">, </w:t>
      </w:r>
      <w:r w:rsidR="005E6589" w:rsidRPr="00B34294">
        <w:t xml:space="preserve">Proposition 57 </w:t>
      </w:r>
      <w:r w:rsidR="00C550F6" w:rsidRPr="00B34294">
        <w:t xml:space="preserve">provides that its provisions </w:t>
      </w:r>
      <w:r w:rsidR="00D3739D" w:rsidRPr="00B34294">
        <w:t>concerning</w:t>
      </w:r>
      <w:r w:rsidR="000B2F5C" w:rsidRPr="00B34294">
        <w:t xml:space="preserve"> the treatment of juvenile</w:t>
      </w:r>
      <w:r w:rsidR="003619AE" w:rsidRPr="00B34294">
        <w:t xml:space="preserve">s </w:t>
      </w:r>
      <w:r w:rsidR="00C550F6" w:rsidRPr="00B34294">
        <w:t>“</w:t>
      </w:r>
      <w:r w:rsidR="003619AE" w:rsidRPr="00B34294">
        <w:t xml:space="preserve">may be amended </w:t>
      </w:r>
      <w:r w:rsidR="005E6589" w:rsidRPr="00B34294">
        <w:t>so long as such amendments are consistent with and further the intent</w:t>
      </w:r>
      <w:r w:rsidR="000B2F5C" w:rsidRPr="00B34294">
        <w:t xml:space="preserve"> of this act </w:t>
      </w:r>
      <w:r w:rsidR="003619AE" w:rsidRPr="00B34294">
        <w:t>by a statu</w:t>
      </w:r>
      <w:r w:rsidR="00554992">
        <w:t>t</w:t>
      </w:r>
      <w:r w:rsidR="003619AE" w:rsidRPr="00B34294">
        <w:t>e that is passed by a majority vote of the members of each house of the Legislature and signed by the Governor.</w:t>
      </w:r>
      <w:r w:rsidR="005E6589" w:rsidRPr="00B34294">
        <w:t xml:space="preserve">”  </w:t>
      </w:r>
      <w:r w:rsidR="00AF6FA5" w:rsidRPr="00B34294">
        <w:t>(</w:t>
      </w:r>
      <w:r w:rsidR="00380349">
        <w:t xml:space="preserve">2016 </w:t>
      </w:r>
      <w:r w:rsidR="00AF6FA5" w:rsidRPr="00B34294">
        <w:t xml:space="preserve">Voter Guide, </w:t>
      </w:r>
      <w:r w:rsidR="00E55137" w:rsidRPr="009E781B">
        <w:rPr>
          <w:i/>
          <w:iCs/>
        </w:rPr>
        <w:t>supra</w:t>
      </w:r>
      <w:r w:rsidR="00E55137">
        <w:t xml:space="preserve">, </w:t>
      </w:r>
      <w:r w:rsidR="00AF6FA5" w:rsidRPr="00E55137">
        <w:t>text of Prop. 57</w:t>
      </w:r>
      <w:r w:rsidR="00AF6FA5" w:rsidRPr="00B34294">
        <w:t xml:space="preserve">, § 5, p. 145.)  </w:t>
      </w:r>
      <w:r w:rsidR="00EB48A2" w:rsidRPr="00B34294">
        <w:t xml:space="preserve">The parties agree that </w:t>
      </w:r>
      <w:r w:rsidR="002728F3" w:rsidRPr="00B34294">
        <w:t>S</w:t>
      </w:r>
      <w:r w:rsidR="00347E88">
        <w:t xml:space="preserve">enate </w:t>
      </w:r>
      <w:r w:rsidR="002728F3" w:rsidRPr="00B34294">
        <w:t>B</w:t>
      </w:r>
      <w:r w:rsidR="00347E88">
        <w:t>ill</w:t>
      </w:r>
      <w:r w:rsidR="00BC7381" w:rsidRPr="00B34294">
        <w:t xml:space="preserve"> 1391</w:t>
      </w:r>
      <w:r w:rsidR="0039575E" w:rsidRPr="00B34294">
        <w:t xml:space="preserve"> </w:t>
      </w:r>
      <w:r w:rsidR="00BC7381" w:rsidRPr="00B34294">
        <w:t>amen</w:t>
      </w:r>
      <w:r w:rsidR="00F74AF9" w:rsidRPr="00B34294">
        <w:t>ded</w:t>
      </w:r>
      <w:r w:rsidR="00BC7381" w:rsidRPr="00B34294">
        <w:t xml:space="preserve"> Proposition 57 by</w:t>
      </w:r>
      <w:r w:rsidR="007F0721" w:rsidRPr="00B34294">
        <w:t>,</w:t>
      </w:r>
      <w:r w:rsidR="00BC7381" w:rsidRPr="00B34294">
        <w:t xml:space="preserve"> </w:t>
      </w:r>
      <w:r w:rsidR="004352B0" w:rsidRPr="00B34294">
        <w:t>in almost all circumstances</w:t>
      </w:r>
      <w:r w:rsidR="007F0721" w:rsidRPr="00B34294">
        <w:t>,</w:t>
      </w:r>
      <w:r w:rsidR="004352B0" w:rsidRPr="00B34294">
        <w:t xml:space="preserve"> </w:t>
      </w:r>
      <w:r w:rsidR="00BC7381" w:rsidRPr="00B34294">
        <w:t>eliminating a juvenile court’s power to transfer cases to criminal court for more serious crimes committed by 14 and 15</w:t>
      </w:r>
      <w:r w:rsidR="00B77F79" w:rsidRPr="00B34294">
        <w:t xml:space="preserve"> </w:t>
      </w:r>
      <w:r w:rsidR="00BC7381" w:rsidRPr="00B34294">
        <w:t>year</w:t>
      </w:r>
      <w:r w:rsidR="00B77F79" w:rsidRPr="00B34294">
        <w:t xml:space="preserve"> </w:t>
      </w:r>
      <w:r w:rsidR="00BC7381" w:rsidRPr="00B34294">
        <w:t>olds</w:t>
      </w:r>
      <w:r w:rsidR="0039575E" w:rsidRPr="00B34294">
        <w:t xml:space="preserve">. </w:t>
      </w:r>
      <w:r w:rsidR="00BC7381" w:rsidRPr="00B34294">
        <w:t xml:space="preserve"> </w:t>
      </w:r>
      <w:r w:rsidR="00F74AF9" w:rsidRPr="00B34294">
        <w:t>(See Welf. &amp; Inst. Code</w:t>
      </w:r>
      <w:r w:rsidR="004C65D2" w:rsidRPr="00B34294">
        <w:t>,</w:t>
      </w:r>
      <w:r w:rsidR="00F74AF9" w:rsidRPr="00B34294">
        <w:t xml:space="preserve"> §</w:t>
      </w:r>
      <w:r w:rsidR="004352B0" w:rsidRPr="00B34294">
        <w:t> </w:t>
      </w:r>
      <w:r w:rsidR="00F74AF9" w:rsidRPr="00B34294">
        <w:t>707, subd. (a)(1)–(2)</w:t>
      </w:r>
      <w:r w:rsidR="00347E88">
        <w:t xml:space="preserve">, as amended by Stats. 2018, ch. 1012, </w:t>
      </w:r>
      <w:r w:rsidR="00347E88" w:rsidRPr="00B34294">
        <w:t>§</w:t>
      </w:r>
      <w:r w:rsidR="00347E88">
        <w:t> 1</w:t>
      </w:r>
      <w:r w:rsidR="00F74AF9" w:rsidRPr="00B34294">
        <w:t>.</w:t>
      </w:r>
      <w:r w:rsidR="00BC7381" w:rsidRPr="00B34294">
        <w:t>)</w:t>
      </w:r>
      <w:r w:rsidR="00EB48A2" w:rsidRPr="00B34294">
        <w:t xml:space="preserve"> </w:t>
      </w:r>
      <w:r w:rsidR="00096931" w:rsidRPr="00B34294">
        <w:t xml:space="preserve"> </w:t>
      </w:r>
      <w:r w:rsidR="000A2D3C" w:rsidRPr="00B34294">
        <w:t xml:space="preserve">The question </w:t>
      </w:r>
      <w:r w:rsidR="00B61A71" w:rsidRPr="00B34294">
        <w:t>in this case</w:t>
      </w:r>
      <w:r w:rsidR="00AC71EB" w:rsidRPr="00B34294">
        <w:t xml:space="preserve"> </w:t>
      </w:r>
      <w:r w:rsidR="000A2D3C" w:rsidRPr="00B34294">
        <w:t xml:space="preserve">is </w:t>
      </w:r>
      <w:r w:rsidR="009F1FE6" w:rsidRPr="00B34294">
        <w:t>whether</w:t>
      </w:r>
      <w:r w:rsidR="00BC7381" w:rsidRPr="00B34294">
        <w:t xml:space="preserve"> </w:t>
      </w:r>
      <w:r w:rsidR="001D1C22" w:rsidRPr="00B34294">
        <w:t xml:space="preserve">the amendments in </w:t>
      </w:r>
      <w:r w:rsidR="002728F3" w:rsidRPr="00B34294">
        <w:t>S</w:t>
      </w:r>
      <w:r w:rsidR="00347E88">
        <w:t xml:space="preserve">enate </w:t>
      </w:r>
      <w:r w:rsidR="002728F3" w:rsidRPr="00B34294">
        <w:t>B</w:t>
      </w:r>
      <w:r w:rsidR="00347E88">
        <w:t>ill</w:t>
      </w:r>
      <w:r w:rsidR="0039575E" w:rsidRPr="00B34294">
        <w:t xml:space="preserve"> 1391</w:t>
      </w:r>
      <w:r w:rsidR="00BC7381" w:rsidRPr="00B34294">
        <w:t xml:space="preserve"> are “consistent with and further the intent” of Proposition 57</w:t>
      </w:r>
      <w:r w:rsidR="003A5614" w:rsidRPr="00B34294">
        <w:t>.</w:t>
      </w:r>
      <w:r w:rsidR="00347E88">
        <w:t xml:space="preserve">  </w:t>
      </w:r>
      <w:r w:rsidR="00347E88" w:rsidRPr="00B34294">
        <w:t>(</w:t>
      </w:r>
      <w:r w:rsidR="00347E88">
        <w:t xml:space="preserve">2016 </w:t>
      </w:r>
      <w:r w:rsidR="00347E88" w:rsidRPr="00B34294">
        <w:t xml:space="preserve">Voter Guide, </w:t>
      </w:r>
      <w:r w:rsidR="00347E88">
        <w:rPr>
          <w:i/>
          <w:iCs/>
        </w:rPr>
        <w:t>supra</w:t>
      </w:r>
      <w:r w:rsidR="00347E88">
        <w:t>,</w:t>
      </w:r>
      <w:r w:rsidR="00347E88">
        <w:rPr>
          <w:i/>
          <w:iCs/>
        </w:rPr>
        <w:t xml:space="preserve"> </w:t>
      </w:r>
      <w:r w:rsidR="00347E88" w:rsidRPr="00B34294">
        <w:t xml:space="preserve">§ 5, </w:t>
      </w:r>
      <w:r w:rsidR="00347E88">
        <w:t xml:space="preserve">at </w:t>
      </w:r>
      <w:r w:rsidR="00347E88" w:rsidRPr="00B34294">
        <w:t>p. 145.)</w:t>
      </w:r>
    </w:p>
    <w:p w14:paraId="03AFB06C" w14:textId="44230ABF" w:rsidR="00325BB2" w:rsidRPr="00B34294" w:rsidRDefault="00D917CF" w:rsidP="008E3B29">
      <w:pPr>
        <w:tabs>
          <w:tab w:val="left" w:pos="1440"/>
        </w:tabs>
        <w:ind w:firstLine="720"/>
        <w:rPr>
          <w:szCs w:val="26"/>
        </w:rPr>
      </w:pPr>
      <w:r w:rsidRPr="00B34294">
        <w:lastRenderedPageBreak/>
        <w:t>In making this determination, we “apply the general rule that ‘a strong presumption of constitutionality supports the Legislature’s acts.’ ”  (</w:t>
      </w:r>
      <w:r w:rsidRPr="00B34294">
        <w:rPr>
          <w:i/>
        </w:rPr>
        <w:t>Amwest</w:t>
      </w:r>
      <w:r w:rsidR="00E76BA9" w:rsidRPr="00B34294">
        <w:rPr>
          <w:iCs/>
        </w:rPr>
        <w:t xml:space="preserve">, </w:t>
      </w:r>
      <w:r w:rsidR="00E76BA9" w:rsidRPr="00B34294">
        <w:rPr>
          <w:i/>
        </w:rPr>
        <w:t>supra</w:t>
      </w:r>
      <w:r w:rsidR="00E76BA9" w:rsidRPr="00B34294">
        <w:rPr>
          <w:iCs/>
        </w:rPr>
        <w:t xml:space="preserve">, </w:t>
      </w:r>
      <w:r w:rsidRPr="00B34294">
        <w:t xml:space="preserve">11 Cal.4th </w:t>
      </w:r>
      <w:r w:rsidR="00E76BA9" w:rsidRPr="00B34294">
        <w:t>at p.</w:t>
      </w:r>
      <w:r w:rsidRPr="00B34294">
        <w:t xml:space="preserve"> 1253.)  </w:t>
      </w:r>
      <w:r w:rsidR="000A2D3C" w:rsidRPr="00B34294">
        <w:t>However</w:t>
      </w:r>
      <w:r w:rsidR="00F242C4" w:rsidRPr="00B34294">
        <w:t>, an initiative</w:t>
      </w:r>
      <w:r w:rsidRPr="00B34294">
        <w:t xml:space="preserve"> </w:t>
      </w:r>
      <w:r w:rsidR="00F242C4" w:rsidRPr="00B34294">
        <w:t>“</w:t>
      </w:r>
      <w:r w:rsidRPr="00B34294">
        <w:t>must be given the effect the voters intended it to have.”  (</w:t>
      </w:r>
      <w:r w:rsidRPr="00B34294">
        <w:rPr>
          <w:i/>
        </w:rPr>
        <w:t>Id</w:t>
      </w:r>
      <w:r w:rsidRPr="00B34294">
        <w:t>. at pp. 1255–1256.)   “</w:t>
      </w:r>
      <w:r w:rsidR="00C96771" w:rsidRPr="00B34294">
        <w:t>[</w:t>
      </w:r>
      <w:r w:rsidR="00715418" w:rsidRPr="00B34294">
        <w:t>S</w:t>
      </w:r>
      <w:r w:rsidR="00C96771" w:rsidRPr="00B34294">
        <w:t>]</w:t>
      </w:r>
      <w:r w:rsidR="00E5491C" w:rsidRPr="00B34294">
        <w:t>tarting with the presumption that the Legislature acted within its authority, w</w:t>
      </w:r>
      <w:r w:rsidRPr="00B34294">
        <w:t>e shall uphold the validity of [</w:t>
      </w:r>
      <w:r w:rsidR="00FC171C" w:rsidRPr="00B34294">
        <w:t>a</w:t>
      </w:r>
      <w:r w:rsidR="00715418" w:rsidRPr="00B34294">
        <w:t xml:space="preserve"> legislative</w:t>
      </w:r>
      <w:r w:rsidR="00FC171C" w:rsidRPr="00B34294">
        <w:t xml:space="preserve"> </w:t>
      </w:r>
      <w:r w:rsidR="0038454A" w:rsidRPr="00B34294">
        <w:t>amendment</w:t>
      </w:r>
      <w:r w:rsidRPr="00B34294">
        <w:t>] if, by any reasonable construction</w:t>
      </w:r>
      <w:r w:rsidR="006673D4">
        <w:t xml:space="preserve"> [of the initiative]</w:t>
      </w:r>
      <w:r w:rsidRPr="00B34294">
        <w:t>, it can be said that the statute</w:t>
      </w:r>
      <w:r w:rsidR="006673D4">
        <w:t xml:space="preserve">” </w:t>
      </w:r>
      <w:r w:rsidR="00D4349C">
        <w:t>complies</w:t>
      </w:r>
      <w:r w:rsidR="006673D4" w:rsidRPr="006673D4">
        <w:t xml:space="preserve"> with the initiative’s conditions </w:t>
      </w:r>
      <w:r w:rsidR="00D4349C">
        <w:t>for enacting</w:t>
      </w:r>
      <w:r w:rsidR="00904EE7">
        <w:t xml:space="preserve"> </w:t>
      </w:r>
      <w:r w:rsidR="006673D4" w:rsidRPr="006673D4">
        <w:t>legislative amendments.  (</w:t>
      </w:r>
      <w:r w:rsidR="006673D4" w:rsidRPr="006673D4">
        <w:rPr>
          <w:i/>
        </w:rPr>
        <w:t>Id</w:t>
      </w:r>
      <w:r w:rsidR="006673D4" w:rsidRPr="006673D4">
        <w:t>. at p. 1256.)  Often</w:t>
      </w:r>
      <w:r w:rsidR="006673D4">
        <w:t xml:space="preserve">, as </w:t>
      </w:r>
      <w:r w:rsidR="00043F77">
        <w:t xml:space="preserve">is the case here and in </w:t>
      </w:r>
      <w:r w:rsidR="00043F77" w:rsidRPr="006B749B">
        <w:rPr>
          <w:i/>
          <w:iCs/>
        </w:rPr>
        <w:t>Amwest</w:t>
      </w:r>
      <w:r w:rsidR="006673D4">
        <w:t>,</w:t>
      </w:r>
      <w:r w:rsidR="006673D4" w:rsidRPr="006673D4">
        <w:t xml:space="preserve"> </w:t>
      </w:r>
      <w:r w:rsidR="00904EE7">
        <w:t>the</w:t>
      </w:r>
      <w:r w:rsidR="006673D4" w:rsidRPr="006673D4">
        <w:t xml:space="preserve"> </w:t>
      </w:r>
      <w:r w:rsidR="00904EE7">
        <w:t xml:space="preserve">initiative’s </w:t>
      </w:r>
      <w:r w:rsidR="006673D4" w:rsidRPr="006673D4">
        <w:t>condition</w:t>
      </w:r>
      <w:r w:rsidR="00C22DCE">
        <w:t>s</w:t>
      </w:r>
      <w:r w:rsidR="00904EE7">
        <w:t xml:space="preserve"> for making amendments</w:t>
      </w:r>
      <w:r w:rsidR="006673D4" w:rsidRPr="006673D4">
        <w:t xml:space="preserve"> involve </w:t>
      </w:r>
      <w:r w:rsidR="00043F77">
        <w:t>the</w:t>
      </w:r>
      <w:r w:rsidR="00E14064">
        <w:t xml:space="preserve"> </w:t>
      </w:r>
      <w:r w:rsidR="006673D4" w:rsidRPr="006673D4">
        <w:t>requirement that any amendment</w:t>
      </w:r>
      <w:r w:rsidRPr="00B34294">
        <w:t xml:space="preserve"> </w:t>
      </w:r>
      <w:r w:rsidR="006673D4">
        <w:t>“</w:t>
      </w:r>
      <w:r w:rsidRPr="00B34294">
        <w:t xml:space="preserve">furthers the purposes of </w:t>
      </w:r>
      <w:r w:rsidR="0038454A" w:rsidRPr="00B34294">
        <w:t xml:space="preserve">[the] </w:t>
      </w:r>
      <w:r w:rsidRPr="00B34294">
        <w:t>Proposition</w:t>
      </w:r>
      <w:r w:rsidR="00B34294">
        <w:t> </w:t>
      </w:r>
      <w:r w:rsidR="0038454A" w:rsidRPr="00B34294">
        <w:t>.</w:t>
      </w:r>
      <w:r w:rsidR="00B34294">
        <w:t> </w:t>
      </w:r>
      <w:r w:rsidR="0038454A" w:rsidRPr="00B34294">
        <w:t>.</w:t>
      </w:r>
      <w:r w:rsidR="00B34294">
        <w:t> </w:t>
      </w:r>
      <w:r w:rsidR="0038454A" w:rsidRPr="00B34294">
        <w:t>.</w:t>
      </w:r>
      <w:r w:rsidR="00B34294">
        <w:t> </w:t>
      </w:r>
      <w:r w:rsidR="0038454A" w:rsidRPr="00B34294">
        <w:t>.</w:t>
      </w:r>
      <w:r w:rsidRPr="00B34294">
        <w:t>”</w:t>
      </w:r>
      <w:r w:rsidR="00043F77">
        <w:t xml:space="preserve"> or words of similar effect</w:t>
      </w:r>
      <w:r w:rsidR="000F2890">
        <w:t>.</w:t>
      </w:r>
      <w:r w:rsidRPr="00B34294">
        <w:t xml:space="preserve">  (</w:t>
      </w:r>
      <w:r w:rsidRPr="00B34294">
        <w:rPr>
          <w:i/>
        </w:rPr>
        <w:t>I</w:t>
      </w:r>
      <w:r w:rsidR="006673D4">
        <w:rPr>
          <w:i/>
        </w:rPr>
        <w:t>bi</w:t>
      </w:r>
      <w:r w:rsidRPr="00B34294">
        <w:rPr>
          <w:i/>
        </w:rPr>
        <w:t>d</w:t>
      </w:r>
      <w:r w:rsidRPr="00B34294">
        <w:t>.</w:t>
      </w:r>
      <w:r w:rsidR="006673D4">
        <w:t xml:space="preserve">; see </w:t>
      </w:r>
      <w:r w:rsidR="006673D4">
        <w:rPr>
          <w:i/>
          <w:iCs/>
        </w:rPr>
        <w:t>id.</w:t>
      </w:r>
      <w:r w:rsidR="006673D4">
        <w:t xml:space="preserve"> at p. 1251.</w:t>
      </w:r>
      <w:r w:rsidRPr="00B34294">
        <w:t xml:space="preserve">) </w:t>
      </w:r>
      <w:r w:rsidR="000A2D3C" w:rsidRPr="00B34294">
        <w:t xml:space="preserve"> I</w:t>
      </w:r>
      <w:r w:rsidR="000A2D3C" w:rsidRPr="004620F6">
        <w:t xml:space="preserve">n discerning the purposes of </w:t>
      </w:r>
      <w:r w:rsidR="000A2D3C" w:rsidRPr="00B34294">
        <w:t xml:space="preserve">a </w:t>
      </w:r>
      <w:r w:rsidR="00A174B1" w:rsidRPr="00B34294">
        <w:t>p</w:t>
      </w:r>
      <w:r w:rsidR="000A2D3C" w:rsidRPr="00B34294">
        <w:t>roposition, “we are guided by, but are not limited to, the general statement of purpose found in the initiative.”  (</w:t>
      </w:r>
      <w:r w:rsidR="000A2D3C" w:rsidRPr="00B34294">
        <w:rPr>
          <w:i/>
          <w:iCs/>
        </w:rPr>
        <w:t>Id</w:t>
      </w:r>
      <w:r w:rsidR="000A2D3C" w:rsidRPr="00B34294">
        <w:t xml:space="preserve">. </w:t>
      </w:r>
      <w:r w:rsidR="00FA0874" w:rsidRPr="00B34294">
        <w:t xml:space="preserve">at p. </w:t>
      </w:r>
      <w:r w:rsidR="000A2D3C" w:rsidRPr="00B34294">
        <w:t xml:space="preserve">1257.)  </w:t>
      </w:r>
      <w:r w:rsidR="00BC036B" w:rsidRPr="00B34294">
        <w:t>“ ‘[E]vidence of its purpose may be drawn from many sources, including the historical context of the amendment, and the ballot arguments favoring the measure.’ ”  (</w:t>
      </w:r>
      <w:r w:rsidR="00BC036B" w:rsidRPr="00B34294">
        <w:rPr>
          <w:i/>
          <w:iCs/>
        </w:rPr>
        <w:t>Id</w:t>
      </w:r>
      <w:r w:rsidR="00BC036B" w:rsidRPr="00B34294">
        <w:t xml:space="preserve">. at p. 1256.)  </w:t>
      </w:r>
      <w:r w:rsidR="007E7792" w:rsidRPr="00B34294">
        <w:t>“ ‘[L]egislative findings, while not binding on the courts, are given great weight and will be upheld unless they are found to be unreasonable and arbitrary.’ ”  (</w:t>
      </w:r>
      <w:r w:rsidR="007E7792" w:rsidRPr="00B34294">
        <w:rPr>
          <w:i/>
          <w:iCs/>
        </w:rPr>
        <w:t>Id</w:t>
      </w:r>
      <w:r w:rsidR="007E7792" w:rsidRPr="00B34294">
        <w:t xml:space="preserve">. at p. 1252.)  </w:t>
      </w:r>
      <w:r w:rsidR="00CB1169" w:rsidRPr="00B34294">
        <w:rPr>
          <w:szCs w:val="26"/>
        </w:rPr>
        <w:t>“</w:t>
      </w:r>
      <w:r w:rsidR="00EE0C15" w:rsidRPr="00B34294">
        <w:rPr>
          <w:szCs w:val="26"/>
        </w:rPr>
        <w:t> </w:t>
      </w:r>
      <w:r w:rsidR="00CB1169" w:rsidRPr="00B34294">
        <w:rPr>
          <w:szCs w:val="26"/>
        </w:rPr>
        <w:t>‘</w:t>
      </w:r>
      <w:r w:rsidR="00EE0C15" w:rsidRPr="00B34294">
        <w:rPr>
          <w:szCs w:val="26"/>
        </w:rPr>
        <w:t> “</w:t>
      </w:r>
      <w:r w:rsidR="00CB1169" w:rsidRPr="00B34294">
        <w:rPr>
          <w:szCs w:val="26"/>
        </w:rPr>
        <w:t>[W]here limitations upon [legislative power] are imposed they are to be strictly construed, and are not to be given effect as against the general power of the legislature, unless such limitations clearly inhibit the act in question.</w:t>
      </w:r>
      <w:r w:rsidR="00EE0C15" w:rsidRPr="00B34294">
        <w:rPr>
          <w:szCs w:val="26"/>
        </w:rPr>
        <w:t>”</w:t>
      </w:r>
      <w:r w:rsidR="00EE0C15" w:rsidRPr="00B34294">
        <w:t> </w:t>
      </w:r>
      <w:r w:rsidR="00CB1169" w:rsidRPr="00B34294">
        <w:rPr>
          <w:szCs w:val="26"/>
        </w:rPr>
        <w:t xml:space="preserve">’ ” </w:t>
      </w:r>
      <w:r w:rsidR="00717CD1">
        <w:rPr>
          <w:szCs w:val="26"/>
        </w:rPr>
        <w:t xml:space="preserve"> </w:t>
      </w:r>
      <w:r w:rsidR="00CB1169" w:rsidRPr="00B34294">
        <w:rPr>
          <w:szCs w:val="26"/>
        </w:rPr>
        <w:t>(</w:t>
      </w:r>
      <w:r w:rsidR="00CB1169" w:rsidRPr="00B34294">
        <w:rPr>
          <w:i/>
          <w:iCs/>
          <w:szCs w:val="26"/>
        </w:rPr>
        <w:t>Id</w:t>
      </w:r>
      <w:r w:rsidR="00CB1169" w:rsidRPr="00B34294">
        <w:rPr>
          <w:szCs w:val="26"/>
        </w:rPr>
        <w:t xml:space="preserve">. at p. 1255, quoting </w:t>
      </w:r>
      <w:r w:rsidR="00CB1169" w:rsidRPr="00B34294">
        <w:rPr>
          <w:i/>
          <w:iCs/>
          <w:szCs w:val="26"/>
        </w:rPr>
        <w:t>Martin v. Riley</w:t>
      </w:r>
      <w:r w:rsidR="00CB1169" w:rsidRPr="00B34294">
        <w:rPr>
          <w:szCs w:val="26"/>
        </w:rPr>
        <w:t> (1942) 20 Cal.2d 28, 40.)</w:t>
      </w:r>
    </w:p>
    <w:p w14:paraId="21D11771" w14:textId="78C125EB" w:rsidR="00FE06DB" w:rsidRPr="00B34294" w:rsidRDefault="00CB5084" w:rsidP="00D625BD">
      <w:pPr>
        <w:tabs>
          <w:tab w:val="left" w:pos="1440"/>
        </w:tabs>
        <w:ind w:firstLine="720"/>
      </w:pPr>
      <w:r w:rsidRPr="00B34294">
        <w:t>Guided by</w:t>
      </w:r>
      <w:r w:rsidR="000A6764" w:rsidRPr="00B34294">
        <w:t>, but not limited to,</w:t>
      </w:r>
      <w:r w:rsidRPr="00B34294">
        <w:t xml:space="preserve"> the initiative’s statement of purpose, w</w:t>
      </w:r>
      <w:r w:rsidR="00057E56" w:rsidRPr="00B34294">
        <w:t>e</w:t>
      </w:r>
      <w:r w:rsidR="00CF768F" w:rsidRPr="00B34294">
        <w:t xml:space="preserve"> therefore</w:t>
      </w:r>
      <w:r w:rsidR="00C13382" w:rsidRPr="00B34294">
        <w:t xml:space="preserve"> </w:t>
      </w:r>
      <w:r w:rsidR="00574E9A" w:rsidRPr="00B34294">
        <w:t>are bound to afford a highly deferential standard</w:t>
      </w:r>
      <w:r w:rsidR="00785464" w:rsidRPr="00B34294">
        <w:t xml:space="preserve">: </w:t>
      </w:r>
      <w:r w:rsidR="00347E88">
        <w:t>W</w:t>
      </w:r>
      <w:r w:rsidR="00347E88" w:rsidRPr="00B34294">
        <w:t xml:space="preserve">e </w:t>
      </w:r>
      <w:r w:rsidR="00785464" w:rsidRPr="00B34294">
        <w:t xml:space="preserve">must presume the Legislature acted within its authority if </w:t>
      </w:r>
      <w:r w:rsidR="007B571B" w:rsidRPr="00B34294">
        <w:t>by</w:t>
      </w:r>
      <w:r w:rsidR="00E41A3A" w:rsidRPr="00B34294">
        <w:t xml:space="preserve"> “any reasonable construction” </w:t>
      </w:r>
      <w:r w:rsidR="00A0014A" w:rsidRPr="00B34294">
        <w:t>(</w:t>
      </w:r>
      <w:r w:rsidR="00A0014A" w:rsidRPr="00B34294">
        <w:rPr>
          <w:i/>
          <w:iCs/>
        </w:rPr>
        <w:t>Amwest</w:t>
      </w:r>
      <w:r w:rsidR="00A0014A" w:rsidRPr="00B34294">
        <w:t xml:space="preserve">, </w:t>
      </w:r>
      <w:r w:rsidR="00A0014A" w:rsidRPr="00B34294">
        <w:rPr>
          <w:i/>
          <w:iCs/>
        </w:rPr>
        <w:t>supra</w:t>
      </w:r>
      <w:r w:rsidR="00A0014A" w:rsidRPr="00B34294">
        <w:t xml:space="preserve">, 11 </w:t>
      </w:r>
      <w:r w:rsidR="00A0014A" w:rsidRPr="00B34294">
        <w:lastRenderedPageBreak/>
        <w:t>Cal.4th at p. 1256)</w:t>
      </w:r>
      <w:r w:rsidR="007B571B" w:rsidRPr="00B34294">
        <w:t xml:space="preserve"> of Proposition 57,</w:t>
      </w:r>
      <w:r w:rsidR="00A0014A" w:rsidRPr="00B34294">
        <w:t xml:space="preserve"> </w:t>
      </w:r>
      <w:r w:rsidR="002728F3" w:rsidRPr="00B34294">
        <w:t>S</w:t>
      </w:r>
      <w:r w:rsidR="00347E88">
        <w:t xml:space="preserve">enate </w:t>
      </w:r>
      <w:r w:rsidR="002728F3" w:rsidRPr="00B34294">
        <w:t>B</w:t>
      </w:r>
      <w:r w:rsidR="00347E88">
        <w:t>ill</w:t>
      </w:r>
      <w:r w:rsidR="00E41A3A" w:rsidRPr="00B34294">
        <w:t xml:space="preserve"> 1391</w:t>
      </w:r>
      <w:r w:rsidR="007B571B" w:rsidRPr="00B34294">
        <w:t>’s amendments</w:t>
      </w:r>
      <w:r w:rsidR="00E41A3A" w:rsidRPr="00B34294">
        <w:t xml:space="preserve"> </w:t>
      </w:r>
      <w:r w:rsidR="003A6709" w:rsidRPr="00B34294">
        <w:t>are</w:t>
      </w:r>
      <w:r w:rsidR="00E41A3A" w:rsidRPr="00B34294">
        <w:t xml:space="preserve"> “consistent with and further the intent” of </w:t>
      </w:r>
      <w:r w:rsidR="009D24F2" w:rsidRPr="00B34294">
        <w:t>the proposition</w:t>
      </w:r>
      <w:r w:rsidR="00E41A3A" w:rsidRPr="00B34294">
        <w:t xml:space="preserve">.  </w:t>
      </w:r>
      <w:r w:rsidR="00347E88">
        <w:t>(</w:t>
      </w:r>
      <w:r w:rsidR="00347E88" w:rsidRPr="00B34294">
        <w:t>Prop. 57, § 5</w:t>
      </w:r>
      <w:r w:rsidR="00347E88">
        <w:t xml:space="preserve">.) </w:t>
      </w:r>
      <w:r w:rsidR="00E41A3A" w:rsidRPr="00B34294">
        <w:t xml:space="preserve"> </w:t>
      </w:r>
      <w:r w:rsidR="00785464" w:rsidRPr="00B34294">
        <w:t>This means that we must uphold the constitutionality of S</w:t>
      </w:r>
      <w:r w:rsidR="00347E88">
        <w:t xml:space="preserve">enate </w:t>
      </w:r>
      <w:r w:rsidR="00785464" w:rsidRPr="00B34294">
        <w:t>B</w:t>
      </w:r>
      <w:r w:rsidR="00347E88">
        <w:t>ill</w:t>
      </w:r>
      <w:r w:rsidR="00785464" w:rsidRPr="00B34294">
        <w:t xml:space="preserve"> 1391 even if the </w:t>
      </w:r>
      <w:r w:rsidR="00204D5F" w:rsidRPr="00B34294">
        <w:t>District</w:t>
      </w:r>
      <w:r w:rsidR="00785464" w:rsidRPr="00B34294">
        <w:t xml:space="preserve"> Attorney</w:t>
      </w:r>
      <w:r w:rsidR="00E74700" w:rsidRPr="00B34294">
        <w:t>’s Office</w:t>
      </w:r>
      <w:r w:rsidR="00785464" w:rsidRPr="00B34294">
        <w:t xml:space="preserve"> is able to proffer other, plausible </w:t>
      </w:r>
      <w:r w:rsidR="00204D5F" w:rsidRPr="00B34294">
        <w:t>interpretations</w:t>
      </w:r>
      <w:r w:rsidR="00785464" w:rsidRPr="00B34294">
        <w:t xml:space="preserve"> of the purpose and intent of </w:t>
      </w:r>
      <w:r w:rsidR="00204D5F" w:rsidRPr="00B34294">
        <w:t>Proposition</w:t>
      </w:r>
      <w:r w:rsidR="00785464" w:rsidRPr="00B34294">
        <w:t xml:space="preserve"> 57.  As long as there is </w:t>
      </w:r>
      <w:r w:rsidR="002728F3" w:rsidRPr="00B34294">
        <w:t>“</w:t>
      </w:r>
      <w:r w:rsidR="00785464" w:rsidRPr="00B34294">
        <w:t xml:space="preserve">any reasonable </w:t>
      </w:r>
      <w:r w:rsidR="00566007" w:rsidRPr="00B34294">
        <w:t>construction</w:t>
      </w:r>
      <w:r w:rsidR="00785464" w:rsidRPr="00B34294">
        <w:t>”</w:t>
      </w:r>
      <w:r w:rsidR="00CB1169" w:rsidRPr="00B34294">
        <w:t xml:space="preserve"> of Proposition 57</w:t>
      </w:r>
      <w:r w:rsidR="00785464" w:rsidRPr="00B34294">
        <w:t xml:space="preserve"> </w:t>
      </w:r>
      <w:r w:rsidR="000F2890">
        <w:t xml:space="preserve">such that </w:t>
      </w:r>
      <w:r w:rsidR="00A6023A" w:rsidRPr="00B34294">
        <w:t>S</w:t>
      </w:r>
      <w:r w:rsidR="00347E88">
        <w:t xml:space="preserve">enate </w:t>
      </w:r>
      <w:r w:rsidR="00A6023A" w:rsidRPr="00B34294">
        <w:t>B</w:t>
      </w:r>
      <w:r w:rsidR="00347E88">
        <w:t>ill</w:t>
      </w:r>
      <w:r w:rsidR="00A6023A" w:rsidRPr="00B34294">
        <w:t xml:space="preserve"> 1391’s </w:t>
      </w:r>
      <w:r w:rsidR="003A6709" w:rsidRPr="00B34294">
        <w:t>amendments are</w:t>
      </w:r>
      <w:r w:rsidR="00785464" w:rsidRPr="00B34294">
        <w:t xml:space="preserve"> </w:t>
      </w:r>
      <w:r w:rsidR="003A6709" w:rsidRPr="00B34294">
        <w:t>“</w:t>
      </w:r>
      <w:r w:rsidR="00785464" w:rsidRPr="00B34294">
        <w:t xml:space="preserve">consistent with </w:t>
      </w:r>
      <w:r w:rsidR="00A0014A" w:rsidRPr="00B34294">
        <w:t>and further the intent</w:t>
      </w:r>
      <w:r w:rsidR="003A6709" w:rsidRPr="00B34294">
        <w:t>”</w:t>
      </w:r>
      <w:r w:rsidR="00A0014A" w:rsidRPr="00B34294">
        <w:t xml:space="preserve"> of </w:t>
      </w:r>
      <w:r w:rsidR="00FE2DA1" w:rsidRPr="00B34294">
        <w:t>Proposition 57</w:t>
      </w:r>
      <w:r w:rsidR="00785464" w:rsidRPr="00B34294">
        <w:t>, we must uphold S</w:t>
      </w:r>
      <w:r w:rsidR="006A5F52">
        <w:t xml:space="preserve">enate </w:t>
      </w:r>
      <w:r w:rsidR="00785464" w:rsidRPr="00B34294">
        <w:t>B</w:t>
      </w:r>
      <w:r w:rsidR="006A5F52">
        <w:t>ill</w:t>
      </w:r>
      <w:r w:rsidR="00785464" w:rsidRPr="00B34294">
        <w:t xml:space="preserve"> 1391.  In this case, </w:t>
      </w:r>
      <w:r w:rsidR="002728F3" w:rsidRPr="00B34294">
        <w:t>S</w:t>
      </w:r>
      <w:r w:rsidR="00347E88">
        <w:t xml:space="preserve">enate </w:t>
      </w:r>
      <w:r w:rsidR="002728F3" w:rsidRPr="00B34294">
        <w:t>B</w:t>
      </w:r>
      <w:r w:rsidR="00347E88">
        <w:t>ill</w:t>
      </w:r>
      <w:r w:rsidR="00785464" w:rsidRPr="00B34294">
        <w:t xml:space="preserve"> 1391 is </w:t>
      </w:r>
      <w:r w:rsidR="005D02FC">
        <w:t>fully</w:t>
      </w:r>
      <w:r w:rsidR="005D02FC" w:rsidRPr="00B34294">
        <w:t xml:space="preserve"> </w:t>
      </w:r>
      <w:r w:rsidR="00785464" w:rsidRPr="00B34294">
        <w:t xml:space="preserve">consistent with </w:t>
      </w:r>
      <w:r w:rsidR="00D03DE3" w:rsidRPr="00B34294">
        <w:t xml:space="preserve">and furthers </w:t>
      </w:r>
      <w:r w:rsidR="00AC0D51">
        <w:t>Proposition 57’s</w:t>
      </w:r>
      <w:r w:rsidR="00AC0D51" w:rsidRPr="00B34294">
        <w:t xml:space="preserve"> </w:t>
      </w:r>
      <w:r w:rsidR="00785464" w:rsidRPr="00B34294">
        <w:t>purposes.</w:t>
      </w:r>
    </w:p>
    <w:p w14:paraId="61C9F121" w14:textId="299E96B4" w:rsidR="00785464" w:rsidRPr="00B34294" w:rsidRDefault="00785661" w:rsidP="008E3B29">
      <w:pPr>
        <w:tabs>
          <w:tab w:val="left" w:pos="1440"/>
        </w:tabs>
        <w:ind w:firstLine="720"/>
        <w:rPr>
          <w:b/>
          <w:bCs/>
        </w:rPr>
      </w:pPr>
      <w:r w:rsidRPr="00B34294">
        <w:rPr>
          <w:b/>
          <w:bCs/>
        </w:rPr>
        <w:t>B.  Express Purpose and Intent of Proposition 57</w:t>
      </w:r>
    </w:p>
    <w:p w14:paraId="31DBECCB" w14:textId="53022D16" w:rsidR="00446853" w:rsidRPr="00B34294" w:rsidRDefault="00FF353F" w:rsidP="008E3B29">
      <w:pPr>
        <w:tabs>
          <w:tab w:val="left" w:pos="1440"/>
        </w:tabs>
        <w:ind w:firstLine="720"/>
      </w:pPr>
      <w:r w:rsidRPr="00B34294">
        <w:t>Proposition 57’s statement of “</w:t>
      </w:r>
      <w:r w:rsidR="00347E88">
        <w:t>P</w:t>
      </w:r>
      <w:r w:rsidR="00347E88" w:rsidRPr="00B34294">
        <w:t xml:space="preserve">urpose </w:t>
      </w:r>
      <w:r w:rsidRPr="00B34294">
        <w:t xml:space="preserve">and </w:t>
      </w:r>
      <w:r w:rsidR="00347E88">
        <w:t>I</w:t>
      </w:r>
      <w:r w:rsidRPr="00B34294">
        <w:t>ntent” provides that</w:t>
      </w:r>
      <w:r w:rsidR="002468AC" w:rsidRPr="00B34294">
        <w:t>: “[i]n enacting this act, it is the purpose and intent of the people of the State of California to: [¶]</w:t>
      </w:r>
      <w:r w:rsidR="0072242C" w:rsidRPr="00B34294">
        <w:t xml:space="preserve"> </w:t>
      </w:r>
      <w:r w:rsidR="002468AC" w:rsidRPr="00B34294">
        <w:t xml:space="preserve">1. </w:t>
      </w:r>
      <w:r w:rsidR="0072242C" w:rsidRPr="00B34294">
        <w:t xml:space="preserve"> </w:t>
      </w:r>
      <w:r w:rsidR="002468AC" w:rsidRPr="00B34294">
        <w:t xml:space="preserve">Protect and enhance public safety. </w:t>
      </w:r>
      <w:r w:rsidR="001F1EAD" w:rsidRPr="00B34294">
        <w:t xml:space="preserve"> </w:t>
      </w:r>
      <w:r w:rsidR="002468AC" w:rsidRPr="00B34294">
        <w:t>[¶]</w:t>
      </w:r>
      <w:r w:rsidR="001F1EAD" w:rsidRPr="00B34294">
        <w:t xml:space="preserve"> </w:t>
      </w:r>
      <w:r w:rsidR="002468AC" w:rsidRPr="00B34294">
        <w:t xml:space="preserve">2. </w:t>
      </w:r>
      <w:r w:rsidR="001F1EAD" w:rsidRPr="00B34294">
        <w:t xml:space="preserve"> </w:t>
      </w:r>
      <w:r w:rsidR="002468AC" w:rsidRPr="00B34294">
        <w:t xml:space="preserve">Save money by reducing wasteful spending on prisons. </w:t>
      </w:r>
      <w:r w:rsidR="001F1EAD" w:rsidRPr="00B34294">
        <w:t xml:space="preserve"> </w:t>
      </w:r>
      <w:r w:rsidR="002468AC" w:rsidRPr="00B34294">
        <w:t>[¶]</w:t>
      </w:r>
      <w:r w:rsidR="001F1EAD" w:rsidRPr="00B34294">
        <w:t xml:space="preserve"> </w:t>
      </w:r>
      <w:r w:rsidR="002468AC" w:rsidRPr="00B34294">
        <w:t xml:space="preserve">3. </w:t>
      </w:r>
      <w:r w:rsidR="001F1EAD" w:rsidRPr="00B34294">
        <w:t xml:space="preserve"> </w:t>
      </w:r>
      <w:r w:rsidR="002468AC" w:rsidRPr="00B34294">
        <w:t>Prevent federal courts from indiscriminately releasing prisoners.</w:t>
      </w:r>
      <w:r w:rsidR="001F1EAD" w:rsidRPr="00B34294">
        <w:t xml:space="preserve"> </w:t>
      </w:r>
      <w:r w:rsidR="002468AC" w:rsidRPr="00B34294">
        <w:t xml:space="preserve"> [¶]</w:t>
      </w:r>
      <w:r w:rsidR="001F1EAD" w:rsidRPr="00B34294">
        <w:t xml:space="preserve"> </w:t>
      </w:r>
      <w:r w:rsidR="002468AC" w:rsidRPr="00B34294">
        <w:t>4.</w:t>
      </w:r>
      <w:r w:rsidR="001F1EAD" w:rsidRPr="00B34294">
        <w:t xml:space="preserve"> </w:t>
      </w:r>
      <w:r w:rsidR="002468AC" w:rsidRPr="00B34294">
        <w:t xml:space="preserve"> Stop the revolving door of crime by emphasizing rehabilitation, especially for juveniles.</w:t>
      </w:r>
      <w:r w:rsidR="001F1EAD" w:rsidRPr="00B34294">
        <w:t xml:space="preserve"> </w:t>
      </w:r>
      <w:r w:rsidR="002468AC" w:rsidRPr="00B34294">
        <w:t xml:space="preserve"> [¶]</w:t>
      </w:r>
      <w:r w:rsidR="001F1EAD" w:rsidRPr="00B34294">
        <w:t xml:space="preserve"> </w:t>
      </w:r>
      <w:r w:rsidR="002468AC" w:rsidRPr="00B34294">
        <w:t>5.</w:t>
      </w:r>
      <w:r w:rsidR="001F1EAD" w:rsidRPr="00B34294">
        <w:t xml:space="preserve"> </w:t>
      </w:r>
      <w:r w:rsidR="002468AC" w:rsidRPr="00B34294">
        <w:t xml:space="preserve"> Require a judge, not a prosecutor, to decide whether juveniles should be tried in adult court.” </w:t>
      </w:r>
      <w:r w:rsidR="00AD7EA2" w:rsidRPr="00B34294">
        <w:t xml:space="preserve"> </w:t>
      </w:r>
      <w:r w:rsidR="002468AC" w:rsidRPr="00B34294">
        <w:t>(</w:t>
      </w:r>
      <w:r w:rsidR="00347E88">
        <w:t xml:space="preserve">2016 </w:t>
      </w:r>
      <w:r w:rsidR="003619AE" w:rsidRPr="00B34294">
        <w:t>Voter Guide,</w:t>
      </w:r>
      <w:r w:rsidR="002468AC" w:rsidRPr="00B34294">
        <w:t xml:space="preserve"> </w:t>
      </w:r>
      <w:r w:rsidR="002468AC" w:rsidRPr="00B34294">
        <w:rPr>
          <w:i/>
        </w:rPr>
        <w:t>supra</w:t>
      </w:r>
      <w:r w:rsidR="002468AC" w:rsidRPr="00B34294">
        <w:t xml:space="preserve">, text of Prop. 57, § 2, p. 141.) </w:t>
      </w:r>
      <w:r w:rsidR="00955E32" w:rsidRPr="00B34294">
        <w:t xml:space="preserve"> </w:t>
      </w:r>
      <w:r w:rsidR="00347E88">
        <w:t>The p</w:t>
      </w:r>
      <w:r w:rsidR="00955E32" w:rsidRPr="00B34294">
        <w:t>roposition further provide</w:t>
      </w:r>
      <w:r w:rsidR="00B946C3" w:rsidRPr="00B34294">
        <w:t>s</w:t>
      </w:r>
      <w:r w:rsidR="00955E32" w:rsidRPr="00B34294">
        <w:t xml:space="preserve"> that “[t]his act shall be broadly construed to accomplish its p</w:t>
      </w:r>
      <w:r w:rsidR="00275E72" w:rsidRPr="00B34294">
        <w:t>ur</w:t>
      </w:r>
      <w:r w:rsidR="00955E32" w:rsidRPr="00B34294">
        <w:t>poses” (</w:t>
      </w:r>
      <w:r w:rsidR="00B946C3" w:rsidRPr="00B34294">
        <w:rPr>
          <w:i/>
          <w:iCs/>
        </w:rPr>
        <w:t>i</w:t>
      </w:r>
      <w:r w:rsidR="00955E32" w:rsidRPr="00B34294">
        <w:rPr>
          <w:i/>
          <w:iCs/>
        </w:rPr>
        <w:t>d</w:t>
      </w:r>
      <w:r w:rsidR="00955E32" w:rsidRPr="00B34294">
        <w:t>., § 5, p. 145)</w:t>
      </w:r>
      <w:r w:rsidR="00B946C3" w:rsidRPr="00B34294">
        <w:t xml:space="preserve"> and that “[t]his act shall be liberally construed to effectuate its purposes</w:t>
      </w:r>
      <w:r w:rsidR="00753AEF" w:rsidRPr="00B34294">
        <w:t>” (</w:t>
      </w:r>
      <w:r w:rsidR="00753AEF" w:rsidRPr="00B34294">
        <w:rPr>
          <w:i/>
          <w:iCs/>
        </w:rPr>
        <w:t>id</w:t>
      </w:r>
      <w:r w:rsidR="00753AEF" w:rsidRPr="00B34294">
        <w:t>., § 9, p. 146).</w:t>
      </w:r>
      <w:r w:rsidR="00E531BA" w:rsidRPr="00B34294">
        <w:t xml:space="preserve"> </w:t>
      </w:r>
      <w:r w:rsidR="00785464" w:rsidRPr="00B34294">
        <w:t xml:space="preserve"> We examine each of these enumerated </w:t>
      </w:r>
      <w:r w:rsidR="00204D5F" w:rsidRPr="00B34294">
        <w:t>purposes</w:t>
      </w:r>
      <w:r w:rsidR="00785464" w:rsidRPr="00B34294">
        <w:t xml:space="preserve"> in turn.</w:t>
      </w:r>
    </w:p>
    <w:p w14:paraId="1F9BC76D" w14:textId="42C6A7B1" w:rsidR="00C664D9" w:rsidRPr="00B34294" w:rsidRDefault="00B54F10" w:rsidP="008E3B29">
      <w:pPr>
        <w:tabs>
          <w:tab w:val="left" w:pos="1440"/>
        </w:tabs>
        <w:ind w:firstLine="720"/>
      </w:pPr>
      <w:r w:rsidRPr="00B34294">
        <w:t xml:space="preserve">First, </w:t>
      </w:r>
      <w:r w:rsidR="00667AEE" w:rsidRPr="00B34294">
        <w:t>under</w:t>
      </w:r>
      <w:r w:rsidR="008F124D" w:rsidRPr="00B34294">
        <w:t xml:space="preserve"> </w:t>
      </w:r>
      <w:r w:rsidR="00A6023A" w:rsidRPr="00B34294">
        <w:t xml:space="preserve">a reasonable construction </w:t>
      </w:r>
      <w:r w:rsidR="008F124D" w:rsidRPr="00B34294">
        <w:t xml:space="preserve">of Proposition 57, </w:t>
      </w:r>
      <w:r w:rsidR="002728F3" w:rsidRPr="00B34294">
        <w:t>S</w:t>
      </w:r>
      <w:r w:rsidR="00D625BD">
        <w:t>enate Bill</w:t>
      </w:r>
      <w:r w:rsidRPr="00B34294">
        <w:t xml:space="preserve"> 1391 </w:t>
      </w:r>
      <w:r w:rsidR="00A6023A" w:rsidRPr="00B34294">
        <w:t xml:space="preserve">is </w:t>
      </w:r>
      <w:r w:rsidRPr="00B34294">
        <w:t>consistent with and further</w:t>
      </w:r>
      <w:r w:rsidR="00A6023A" w:rsidRPr="00B34294">
        <w:t>s</w:t>
      </w:r>
      <w:r w:rsidRPr="00B34294">
        <w:t xml:space="preserve"> </w:t>
      </w:r>
      <w:r w:rsidR="00DD692F" w:rsidRPr="00B34294">
        <w:t>the proposition’s</w:t>
      </w:r>
      <w:r w:rsidRPr="00B34294">
        <w:t xml:space="preserve"> public safety purpose.  (See </w:t>
      </w:r>
      <w:r w:rsidR="00D625BD">
        <w:t xml:space="preserve">2016 </w:t>
      </w:r>
      <w:r w:rsidRPr="00B34294">
        <w:t xml:space="preserve">Voter Guide, </w:t>
      </w:r>
      <w:r w:rsidRPr="00B34294">
        <w:rPr>
          <w:i/>
        </w:rPr>
        <w:t>supra</w:t>
      </w:r>
      <w:r w:rsidRPr="00B34294">
        <w:t xml:space="preserve">, text of Prop. 57, § 2, p. 141.)  Adjudicating juveniles in </w:t>
      </w:r>
      <w:r w:rsidRPr="00B34294">
        <w:lastRenderedPageBreak/>
        <w:t xml:space="preserve">juvenile court where the focus is on rehabilitation, rather than in criminal court, may </w:t>
      </w:r>
      <w:r w:rsidR="009002C8" w:rsidRPr="00B34294">
        <w:t xml:space="preserve">reasonably </w:t>
      </w:r>
      <w:r w:rsidRPr="00B34294">
        <w:t xml:space="preserve">be considered as furthering public safety by discouraging recidivism. </w:t>
      </w:r>
      <w:r w:rsidR="00C664D9" w:rsidRPr="00B34294">
        <w:t xml:space="preserve"> </w:t>
      </w:r>
      <w:r w:rsidRPr="00B34294">
        <w:t xml:space="preserve"> The voters who enacted Proposition 57 considered that “evidence shows that minors who remain under juvenile court supervision are less likely to commit new crimes.”  (</w:t>
      </w:r>
      <w:r w:rsidR="00D625BD">
        <w:t xml:space="preserve">2016 </w:t>
      </w:r>
      <w:r w:rsidRPr="00B34294">
        <w:t xml:space="preserve">Voter Guide, </w:t>
      </w:r>
      <w:r w:rsidRPr="00B34294">
        <w:rPr>
          <w:i/>
          <w:iCs/>
        </w:rPr>
        <w:t>supra</w:t>
      </w:r>
      <w:r w:rsidRPr="00B34294">
        <w:t xml:space="preserve">, </w:t>
      </w:r>
      <w:r w:rsidR="00380349">
        <w:t>a</w:t>
      </w:r>
      <w:r w:rsidRPr="00B34294">
        <w:t>rgument</w:t>
      </w:r>
      <w:r w:rsidR="00D625BD">
        <w:t xml:space="preserve"> in favor of Prop. 57</w:t>
      </w:r>
      <w:r w:rsidRPr="00B34294">
        <w:t xml:space="preserve">, p. 58.)  In passing </w:t>
      </w:r>
      <w:r w:rsidR="009A02EE" w:rsidRPr="00B34294">
        <w:t>S</w:t>
      </w:r>
      <w:r w:rsidR="00D625BD">
        <w:t xml:space="preserve">enate </w:t>
      </w:r>
      <w:r w:rsidR="009A02EE" w:rsidRPr="00B34294">
        <w:t>B</w:t>
      </w:r>
      <w:r w:rsidR="00D625BD">
        <w:t>ill</w:t>
      </w:r>
      <w:r w:rsidRPr="00B34294">
        <w:t xml:space="preserve"> 1391, the Legislature also considered that “[e]xtensive research has established that youth tried as adults are more likely to commit new crimes in the future than their peers </w:t>
      </w:r>
      <w:r w:rsidR="00D625BD">
        <w:t xml:space="preserve">treated </w:t>
      </w:r>
      <w:r w:rsidRPr="00B34294">
        <w:t>in the juvenile system</w:t>
      </w:r>
      <w:r w:rsidR="00D625BD">
        <w:t> </w:t>
      </w:r>
      <w:r w:rsidRPr="00B34294">
        <w:t>.</w:t>
      </w:r>
      <w:r w:rsidR="00D625BD">
        <w:t> . . .</w:t>
      </w:r>
      <w:r w:rsidRPr="00B34294">
        <w:t xml:space="preserve">”  (Sen. Com. on Public Safety, Analysis of </w:t>
      </w:r>
      <w:r w:rsidR="00716292" w:rsidRPr="00B34294">
        <w:t>S</w:t>
      </w:r>
      <w:r w:rsidR="00D625BD">
        <w:t xml:space="preserve">en. </w:t>
      </w:r>
      <w:r w:rsidR="00716292" w:rsidRPr="00B34294">
        <w:t>B</w:t>
      </w:r>
      <w:r w:rsidR="00D625BD">
        <w:t>ill</w:t>
      </w:r>
      <w:r w:rsidRPr="00B34294">
        <w:t xml:space="preserve"> 1391 (2017–2018 Reg. Sess.) as </w:t>
      </w:r>
      <w:r w:rsidR="00D625BD">
        <w:t>introduced Feb. 16</w:t>
      </w:r>
      <w:r w:rsidRPr="00B34294">
        <w:t>, 2018, p. 4</w:t>
      </w:r>
      <w:r w:rsidR="00D625BD">
        <w:t xml:space="preserve"> (hereafter Senate Committee Analysis)</w:t>
      </w:r>
      <w:r w:rsidRPr="00B34294">
        <w:t xml:space="preserve">.)  </w:t>
      </w:r>
      <w:r w:rsidR="00B10B83" w:rsidRPr="00B34294">
        <w:t>The Assembly Committee on Public Safety</w:t>
      </w:r>
      <w:r w:rsidRPr="00B34294">
        <w:t xml:space="preserve"> reiterated that “[y]outh who commit crimes fare much better in the juvenile system than in the adult system because they benefit from the rehabilitative services, and are also less likely to commit crimes in the future than youth in the adult system.”  (Assem. Com. on Public Safety, </w:t>
      </w:r>
      <w:r w:rsidR="00D625BD">
        <w:t>Analysis</w:t>
      </w:r>
      <w:r w:rsidRPr="00B34294">
        <w:t>. o</w:t>
      </w:r>
      <w:r w:rsidR="00D625BD">
        <w:t>f</w:t>
      </w:r>
      <w:r w:rsidRPr="00B34294">
        <w:t xml:space="preserve"> </w:t>
      </w:r>
      <w:r w:rsidR="00716292" w:rsidRPr="00B34294">
        <w:t>S</w:t>
      </w:r>
      <w:r w:rsidR="00D625BD">
        <w:t xml:space="preserve">en. </w:t>
      </w:r>
      <w:r w:rsidR="00716292" w:rsidRPr="00B34294">
        <w:t>B</w:t>
      </w:r>
      <w:r w:rsidR="00D625BD">
        <w:t>ill</w:t>
      </w:r>
      <w:r w:rsidRPr="00B34294">
        <w:t xml:space="preserve"> 1391 (2017–2018 Reg. Sess.) as amended May 25, 2018, p. 4</w:t>
      </w:r>
      <w:r w:rsidR="00D625BD">
        <w:t xml:space="preserve"> (hereafter Assembly Committee Analysis)</w:t>
      </w:r>
      <w:r w:rsidRPr="00B34294">
        <w:t>.)  The practice of trying 14 and 15</w:t>
      </w:r>
      <w:r w:rsidR="004E573D" w:rsidRPr="00B34294">
        <w:t xml:space="preserve"> </w:t>
      </w:r>
      <w:r w:rsidRPr="00B34294">
        <w:t>year</w:t>
      </w:r>
      <w:r w:rsidR="004E573D" w:rsidRPr="00B34294">
        <w:t xml:space="preserve"> </w:t>
      </w:r>
      <w:r w:rsidRPr="00B34294">
        <w:t>olds as adults “was started in the 90’s, a time in California history where the state was getting ‘tough on crime,’ but not smart on crime.  Back then, society believed that young people were fully developed at around age 14.  Now, research has debunked that myth and cognitive science has proven that children and youth who commit crimes are very capable of change.”  (</w:t>
      </w:r>
      <w:r w:rsidRPr="00B34294">
        <w:rPr>
          <w:i/>
          <w:iCs/>
        </w:rPr>
        <w:t>Id</w:t>
      </w:r>
      <w:r w:rsidRPr="00B34294">
        <w:t xml:space="preserve">. at p. 3.)  </w:t>
      </w:r>
      <w:r w:rsidR="00577ACE" w:rsidRPr="00B34294">
        <w:t xml:space="preserve">Furthermore, </w:t>
      </w:r>
      <w:r w:rsidR="00D625BD">
        <w:t>as “</w:t>
      </w:r>
      <w:r w:rsidR="00577ACE" w:rsidRPr="00B34294">
        <w:t xml:space="preserve">stated by the Supreme Court, ‘it does not follow that courts taking a case-by-case proportionality approach could with sufficient accuracy distinguish the few incorrigible juvenile offenders from the many that have the </w:t>
      </w:r>
      <w:r w:rsidR="00577ACE" w:rsidRPr="00B34294">
        <w:lastRenderedPageBreak/>
        <w:t>capacity for change.’ ”  (</w:t>
      </w:r>
      <w:r w:rsidR="00577ACE" w:rsidRPr="00B34294">
        <w:rPr>
          <w:i/>
          <w:iCs/>
        </w:rPr>
        <w:t>Id</w:t>
      </w:r>
      <w:r w:rsidR="00577ACE" w:rsidRPr="00B34294">
        <w:t xml:space="preserve">. at p. 5, quoting </w:t>
      </w:r>
      <w:r w:rsidR="00577ACE" w:rsidRPr="00B34294">
        <w:rPr>
          <w:i/>
          <w:iCs/>
        </w:rPr>
        <w:t>Graham</w:t>
      </w:r>
      <w:r w:rsidR="00577ACE" w:rsidRPr="00B34294">
        <w:t xml:space="preserve">, </w:t>
      </w:r>
      <w:r w:rsidR="00577ACE" w:rsidRPr="00B34294">
        <w:rPr>
          <w:i/>
          <w:iCs/>
        </w:rPr>
        <w:t>supra</w:t>
      </w:r>
      <w:r w:rsidR="00577ACE" w:rsidRPr="00B34294">
        <w:t xml:space="preserve">, 560 U.S. at p. 77.)  </w:t>
      </w:r>
      <w:r w:rsidR="00B10B83" w:rsidRPr="00B34294">
        <w:t xml:space="preserve">The Senate Committee on Public Safety noted that </w:t>
      </w:r>
      <w:r w:rsidR="00525A68" w:rsidRPr="00B34294">
        <w:t>“</w:t>
      </w:r>
      <w:r w:rsidR="00B10B83" w:rsidRPr="00B34294">
        <w:t>[m]</w:t>
      </w:r>
      <w:r w:rsidR="00525A68" w:rsidRPr="00B34294">
        <w:t xml:space="preserve">ost youth will eventually be released from prison and in the interest of protecting public safety, we need to ensure they get the treatment and tools they need to succeed when they return to society.”  (Sen. Com. </w:t>
      </w:r>
      <w:r w:rsidR="00422524">
        <w:t xml:space="preserve">Analysis, </w:t>
      </w:r>
      <w:r w:rsidR="00422524" w:rsidRPr="006B749B">
        <w:rPr>
          <w:i/>
          <w:iCs/>
        </w:rPr>
        <w:t>supra</w:t>
      </w:r>
      <w:r w:rsidR="00525A68" w:rsidRPr="00B34294">
        <w:t xml:space="preserve">, p. </w:t>
      </w:r>
      <w:r w:rsidR="00FD0DCD" w:rsidRPr="00B34294">
        <w:t>4</w:t>
      </w:r>
      <w:r w:rsidR="00525A68" w:rsidRPr="00B34294">
        <w:t xml:space="preserve">.)  </w:t>
      </w:r>
    </w:p>
    <w:p w14:paraId="4E2D7A3D" w14:textId="44715131" w:rsidR="00B54F10" w:rsidRDefault="00B54F10" w:rsidP="008E3B29">
      <w:pPr>
        <w:tabs>
          <w:tab w:val="left" w:pos="1440"/>
        </w:tabs>
        <w:ind w:firstLine="720"/>
      </w:pPr>
      <w:r w:rsidRPr="00B34294">
        <w:t xml:space="preserve">The District Attorney’s Office argues that </w:t>
      </w:r>
      <w:r w:rsidR="009A02EE" w:rsidRPr="00B34294">
        <w:t>S</w:t>
      </w:r>
      <w:r w:rsidR="00422524">
        <w:t xml:space="preserve">enate </w:t>
      </w:r>
      <w:r w:rsidR="009A02EE" w:rsidRPr="00B34294">
        <w:t>B</w:t>
      </w:r>
      <w:r w:rsidR="00422524">
        <w:t>ill</w:t>
      </w:r>
      <w:r w:rsidRPr="00B34294">
        <w:t xml:space="preserve"> 1391 does not protect public safety because Proposition 57 adopted a </w:t>
      </w:r>
      <w:r w:rsidR="00BB2F8C" w:rsidRPr="00B34294">
        <w:t>flexible approach that permits 14 and 15</w:t>
      </w:r>
      <w:r w:rsidR="004E573D" w:rsidRPr="00B34294">
        <w:t xml:space="preserve"> </w:t>
      </w:r>
      <w:r w:rsidR="00BB2F8C" w:rsidRPr="00B34294">
        <w:t>year</w:t>
      </w:r>
      <w:r w:rsidR="004E573D" w:rsidRPr="00B34294">
        <w:t xml:space="preserve"> </w:t>
      </w:r>
      <w:r w:rsidR="001F5C3B" w:rsidRPr="00B34294">
        <w:t>old</w:t>
      </w:r>
      <w:r w:rsidR="00BB2F8C" w:rsidRPr="00B34294">
        <w:t>s to be tried as adults when public safety warrants</w:t>
      </w:r>
      <w:r w:rsidRPr="00B34294">
        <w:t xml:space="preserve">, but </w:t>
      </w:r>
      <w:r w:rsidR="009A02EE" w:rsidRPr="00B34294">
        <w:t>S</w:t>
      </w:r>
      <w:r w:rsidR="00422524">
        <w:t xml:space="preserve">enate </w:t>
      </w:r>
      <w:r w:rsidR="009A02EE" w:rsidRPr="00B34294">
        <w:t>B</w:t>
      </w:r>
      <w:r w:rsidR="00422524">
        <w:t>ill</w:t>
      </w:r>
      <w:r w:rsidRPr="00B34294">
        <w:t xml:space="preserve"> 1391 ordinarily requires juvenile treatment for 14 and 15</w:t>
      </w:r>
      <w:r w:rsidR="004E573D" w:rsidRPr="00B34294">
        <w:t xml:space="preserve"> </w:t>
      </w:r>
      <w:r w:rsidRPr="00B34294">
        <w:t>year</w:t>
      </w:r>
      <w:r w:rsidR="004E573D" w:rsidRPr="00B34294">
        <w:t xml:space="preserve"> </w:t>
      </w:r>
      <w:r w:rsidRPr="00B34294">
        <w:t xml:space="preserve">olds even if they have committed very serious crimes and pose a danger.  </w:t>
      </w:r>
      <w:r w:rsidR="00C62629" w:rsidRPr="00B34294">
        <w:t>The</w:t>
      </w:r>
      <w:r w:rsidR="00CD7608" w:rsidRPr="00B34294">
        <w:t xml:space="preserve"> </w:t>
      </w:r>
      <w:r w:rsidR="009002C8" w:rsidRPr="00B34294">
        <w:t xml:space="preserve">District Attorney’s Office </w:t>
      </w:r>
      <w:r w:rsidR="00C62629" w:rsidRPr="00B34294">
        <w:t>argues</w:t>
      </w:r>
      <w:r w:rsidR="009002C8" w:rsidRPr="00B34294">
        <w:t xml:space="preserve"> that it believes that Proposition 57’s “evidence-based approach”</w:t>
      </w:r>
      <w:r w:rsidR="00BB2F8C" w:rsidRPr="00B34294">
        <w:t xml:space="preserve"> </w:t>
      </w:r>
      <w:r w:rsidR="009002C8" w:rsidRPr="00B34294">
        <w:t>is more protective of public safety than S</w:t>
      </w:r>
      <w:r w:rsidR="00422524">
        <w:t xml:space="preserve">enate </w:t>
      </w:r>
      <w:r w:rsidR="009002C8" w:rsidRPr="00B34294">
        <w:t>B</w:t>
      </w:r>
      <w:r w:rsidR="00422524">
        <w:t>ill</w:t>
      </w:r>
      <w:r w:rsidR="009002C8" w:rsidRPr="00B34294">
        <w:t xml:space="preserve"> 1391’s approach</w:t>
      </w:r>
      <w:r w:rsidR="00BB2F8C" w:rsidRPr="00B34294">
        <w:t xml:space="preserve"> that places even </w:t>
      </w:r>
      <w:r w:rsidR="009B143C" w:rsidRPr="00B34294">
        <w:t>greater</w:t>
      </w:r>
      <w:r w:rsidR="00BB2F8C" w:rsidRPr="00B34294">
        <w:t xml:space="preserve"> emphasis on rehabilitation</w:t>
      </w:r>
      <w:r w:rsidR="009002C8" w:rsidRPr="00B34294">
        <w:t xml:space="preserve">.  But that is not how our deferential </w:t>
      </w:r>
      <w:r w:rsidR="00C664D9" w:rsidRPr="00B34294">
        <w:t>standard</w:t>
      </w:r>
      <w:r w:rsidR="009002C8" w:rsidRPr="00B34294">
        <w:t xml:space="preserve"> works.  </w:t>
      </w:r>
      <w:r w:rsidR="0086247A" w:rsidRPr="00B34294">
        <w:t>(</w:t>
      </w:r>
      <w:r w:rsidR="0086247A" w:rsidRPr="00B34294">
        <w:rPr>
          <w:i/>
          <w:iCs/>
        </w:rPr>
        <w:t>Amwest</w:t>
      </w:r>
      <w:r w:rsidR="0086247A" w:rsidRPr="00B34294">
        <w:t xml:space="preserve">, </w:t>
      </w:r>
      <w:r w:rsidR="0086247A" w:rsidRPr="00B34294">
        <w:rPr>
          <w:i/>
          <w:iCs/>
        </w:rPr>
        <w:t>supra</w:t>
      </w:r>
      <w:r w:rsidR="0086247A" w:rsidRPr="00B34294">
        <w:t>, 11 Cal.4th at p. 1256</w:t>
      </w:r>
      <w:r w:rsidR="004E573D" w:rsidRPr="00B34294">
        <w:t>.</w:t>
      </w:r>
      <w:r w:rsidR="0086247A" w:rsidRPr="00B34294">
        <w:t>)</w:t>
      </w:r>
      <w:r w:rsidR="00F966A4" w:rsidRPr="00B34294">
        <w:t xml:space="preserve">  </w:t>
      </w:r>
      <w:r w:rsidR="009002C8" w:rsidRPr="00B34294">
        <w:t>Both Proposition 57 and S</w:t>
      </w:r>
      <w:r w:rsidR="00422524">
        <w:t xml:space="preserve">enate </w:t>
      </w:r>
      <w:r w:rsidR="009002C8" w:rsidRPr="00B34294">
        <w:t>B</w:t>
      </w:r>
      <w:r w:rsidR="00422524">
        <w:t>ill</w:t>
      </w:r>
      <w:r w:rsidR="009002C8" w:rsidRPr="00B34294">
        <w:t xml:space="preserve"> 1391 sought to </w:t>
      </w:r>
      <w:r w:rsidR="00204D5F" w:rsidRPr="00B34294">
        <w:t>protect</w:t>
      </w:r>
      <w:r w:rsidR="009002C8" w:rsidRPr="00B34294">
        <w:t xml:space="preserve"> public safety </w:t>
      </w:r>
      <w:r w:rsidR="00C664D9" w:rsidRPr="00B34294">
        <w:t xml:space="preserve">by reducing juvenile </w:t>
      </w:r>
      <w:r w:rsidR="00204D5F" w:rsidRPr="00B34294">
        <w:t>recidivism</w:t>
      </w:r>
      <w:r w:rsidR="009002C8" w:rsidRPr="00B34294">
        <w:t xml:space="preserve"> and therefore</w:t>
      </w:r>
      <w:r w:rsidR="00DD692F" w:rsidRPr="00B34294">
        <w:t xml:space="preserve">, </w:t>
      </w:r>
      <w:r w:rsidR="0085260B" w:rsidRPr="00B34294">
        <w:t>under</w:t>
      </w:r>
      <w:r w:rsidR="00DD692F" w:rsidRPr="00B34294">
        <w:t xml:space="preserve"> </w:t>
      </w:r>
      <w:r w:rsidR="009002C8" w:rsidRPr="00B34294">
        <w:t xml:space="preserve">a </w:t>
      </w:r>
      <w:r w:rsidR="00204D5F" w:rsidRPr="00B34294">
        <w:t>reasonable</w:t>
      </w:r>
      <w:r w:rsidR="009002C8" w:rsidRPr="00B34294">
        <w:t xml:space="preserve"> </w:t>
      </w:r>
      <w:r w:rsidR="00566007" w:rsidRPr="00B34294">
        <w:t>construction</w:t>
      </w:r>
      <w:r w:rsidR="00DD692F" w:rsidRPr="00B34294">
        <w:t xml:space="preserve"> of Proposition 57,</w:t>
      </w:r>
      <w:r w:rsidR="009002C8" w:rsidRPr="00B34294">
        <w:t xml:space="preserve"> S</w:t>
      </w:r>
      <w:r w:rsidR="00422524">
        <w:t xml:space="preserve">enate </w:t>
      </w:r>
      <w:r w:rsidR="009002C8" w:rsidRPr="00B34294">
        <w:t>B</w:t>
      </w:r>
      <w:r w:rsidR="00422524">
        <w:t>ill</w:t>
      </w:r>
      <w:r w:rsidR="009002C8" w:rsidRPr="00B34294">
        <w:t xml:space="preserve"> 1391</w:t>
      </w:r>
      <w:r w:rsidR="00566007" w:rsidRPr="00B34294">
        <w:t xml:space="preserve"> </w:t>
      </w:r>
      <w:r w:rsidR="009002C8" w:rsidRPr="00B34294">
        <w:t xml:space="preserve">is consistent with </w:t>
      </w:r>
      <w:r w:rsidR="00566007" w:rsidRPr="00B34294">
        <w:t xml:space="preserve">and furthers </w:t>
      </w:r>
      <w:r w:rsidR="00DD692F" w:rsidRPr="00B34294">
        <w:t>the proposition</w:t>
      </w:r>
      <w:r w:rsidR="00566007" w:rsidRPr="00B34294">
        <w:t>’s</w:t>
      </w:r>
      <w:r w:rsidR="00DD692F" w:rsidRPr="00B34294">
        <w:t xml:space="preserve"> public safety</w:t>
      </w:r>
      <w:r w:rsidR="00566007" w:rsidRPr="00B34294">
        <w:t xml:space="preserve"> purpose</w:t>
      </w:r>
      <w:r w:rsidR="009002C8" w:rsidRPr="00B34294">
        <w:t xml:space="preserve">. </w:t>
      </w:r>
      <w:r w:rsidR="0025502F" w:rsidRPr="00B34294">
        <w:t xml:space="preserve"> </w:t>
      </w:r>
      <w:r w:rsidR="009002C8" w:rsidRPr="00B34294">
        <w:t xml:space="preserve">As the Court of Appeal explained in </w:t>
      </w:r>
      <w:r w:rsidR="009002C8" w:rsidRPr="00B34294">
        <w:rPr>
          <w:i/>
          <w:iCs/>
        </w:rPr>
        <w:t>B.M.</w:t>
      </w:r>
      <w:r w:rsidR="009002C8" w:rsidRPr="00B34294">
        <w:t xml:space="preserve">, </w:t>
      </w:r>
      <w:r w:rsidR="00422524">
        <w:t>“</w:t>
      </w:r>
      <w:r w:rsidR="009A02EE" w:rsidRPr="00B34294">
        <w:t>S</w:t>
      </w:r>
      <w:r w:rsidR="00422524">
        <w:t xml:space="preserve">enate </w:t>
      </w:r>
      <w:r w:rsidR="009A02EE" w:rsidRPr="00B34294">
        <w:t>B</w:t>
      </w:r>
      <w:r w:rsidR="00422524">
        <w:t>ill</w:t>
      </w:r>
      <w:r w:rsidRPr="00B34294">
        <w:t xml:space="preserve"> 1391</w:t>
      </w:r>
      <w:r w:rsidR="00525A68" w:rsidRPr="00B34294">
        <w:t xml:space="preserve"> can easily be construed to promote public safety and reduce crime, since it increases the number of youth offenders who will remain in the juvenile justice system and avoid prison where the chance of recidivism is higher.”  (</w:t>
      </w:r>
      <w:r w:rsidR="00525A68" w:rsidRPr="00B34294">
        <w:rPr>
          <w:i/>
          <w:iCs/>
        </w:rPr>
        <w:t>B.M.</w:t>
      </w:r>
      <w:r w:rsidR="00525A68" w:rsidRPr="00B34294">
        <w:t xml:space="preserve">, </w:t>
      </w:r>
      <w:r w:rsidR="00525A68" w:rsidRPr="00B34294">
        <w:rPr>
          <w:i/>
          <w:iCs/>
        </w:rPr>
        <w:t>supra</w:t>
      </w:r>
      <w:r w:rsidR="00525A68" w:rsidRPr="00B34294">
        <w:t>, 40 Cal.App.5th at p. 756.)</w:t>
      </w:r>
    </w:p>
    <w:p w14:paraId="101A1F23" w14:textId="4A4494F9" w:rsidR="008E3B29" w:rsidRPr="00B34294" w:rsidRDefault="008E3B29" w:rsidP="008E3B29">
      <w:pPr>
        <w:tabs>
          <w:tab w:val="left" w:pos="1440"/>
        </w:tabs>
        <w:ind w:firstLine="720"/>
      </w:pPr>
      <w:r w:rsidRPr="00B34294">
        <w:rPr>
          <w:szCs w:val="26"/>
        </w:rPr>
        <w:t xml:space="preserve">It is </w:t>
      </w:r>
      <w:r>
        <w:rPr>
          <w:szCs w:val="26"/>
        </w:rPr>
        <w:t xml:space="preserve">also </w:t>
      </w:r>
      <w:r w:rsidRPr="00B34294">
        <w:rPr>
          <w:szCs w:val="26"/>
        </w:rPr>
        <w:t>worth emphasizing that S</w:t>
      </w:r>
      <w:r w:rsidR="00422524">
        <w:rPr>
          <w:szCs w:val="26"/>
        </w:rPr>
        <w:t xml:space="preserve">enate </w:t>
      </w:r>
      <w:r w:rsidRPr="00B34294">
        <w:rPr>
          <w:szCs w:val="26"/>
        </w:rPr>
        <w:t>B</w:t>
      </w:r>
      <w:r w:rsidR="00422524">
        <w:rPr>
          <w:szCs w:val="26"/>
        </w:rPr>
        <w:t>ill</w:t>
      </w:r>
      <w:r w:rsidRPr="00B34294">
        <w:rPr>
          <w:szCs w:val="26"/>
        </w:rPr>
        <w:t xml:space="preserve"> 1391 focused only on 14 and 15 year olds, leaving Proposition 57’s procedures for handling 16 and 17 year olds completely intact.  </w:t>
      </w:r>
      <w:r w:rsidR="008558D5">
        <w:rPr>
          <w:szCs w:val="26"/>
        </w:rPr>
        <w:t>N</w:t>
      </w:r>
      <w:r w:rsidRPr="00B34294">
        <w:rPr>
          <w:szCs w:val="26"/>
        </w:rPr>
        <w:t xml:space="preserve">othing in Proposition 57 appears to forbid the Legislature from making a </w:t>
      </w:r>
      <w:r w:rsidRPr="00B34294">
        <w:rPr>
          <w:szCs w:val="26"/>
        </w:rPr>
        <w:lastRenderedPageBreak/>
        <w:t xml:space="preserve">judgment that public safety can be better protected by keeping the subset of particularly young, 14- and 15-year-old offenders in the juvenile system where they are more likely to receive appropriate education and emotional and psychological treatment, and less likely to reoffend after their release.  </w:t>
      </w:r>
    </w:p>
    <w:p w14:paraId="41B74BCE" w14:textId="4949F2DC" w:rsidR="00B54F10" w:rsidRPr="00B34294" w:rsidRDefault="00B54F10" w:rsidP="008E3B29">
      <w:pPr>
        <w:tabs>
          <w:tab w:val="left" w:pos="1440"/>
        </w:tabs>
        <w:ind w:firstLine="720"/>
      </w:pPr>
      <w:r w:rsidRPr="00B34294">
        <w:t>The District Attorney’s Office cites cases where 14 and 15</w:t>
      </w:r>
      <w:r w:rsidR="004E573D" w:rsidRPr="00B34294">
        <w:t xml:space="preserve"> </w:t>
      </w:r>
      <w:r w:rsidRPr="00B34294">
        <w:t>year</w:t>
      </w:r>
      <w:r w:rsidR="004E573D" w:rsidRPr="00B34294">
        <w:t xml:space="preserve"> </w:t>
      </w:r>
      <w:r w:rsidRPr="00B34294">
        <w:t xml:space="preserve">olds committed particularly </w:t>
      </w:r>
      <w:r w:rsidR="00237E04" w:rsidRPr="00B34294">
        <w:t xml:space="preserve">serious </w:t>
      </w:r>
      <w:r w:rsidRPr="00B34294">
        <w:t xml:space="preserve">crimes and argues these individuals pose such a danger to the public that releasing them at age 25 under the juvenile system would not protect the public.  </w:t>
      </w:r>
      <w:r w:rsidR="009002C8" w:rsidRPr="00B34294">
        <w:t>Again, the fact the District Attorney’s Office does not agree with S</w:t>
      </w:r>
      <w:r w:rsidR="00422524">
        <w:t xml:space="preserve">enate </w:t>
      </w:r>
      <w:r w:rsidR="009002C8" w:rsidRPr="00B34294">
        <w:t>B</w:t>
      </w:r>
      <w:r w:rsidR="00422524">
        <w:t>ill</w:t>
      </w:r>
      <w:r w:rsidR="009002C8" w:rsidRPr="00B34294">
        <w:t xml:space="preserve"> 1391</w:t>
      </w:r>
      <w:r w:rsidR="002F118A" w:rsidRPr="00B34294">
        <w:t xml:space="preserve">’s approach to public safety does not mean that there is no reasonable </w:t>
      </w:r>
      <w:r w:rsidR="00204D5F" w:rsidRPr="00B34294">
        <w:t>interpretation</w:t>
      </w:r>
      <w:r w:rsidR="002F118A" w:rsidRPr="00B34294">
        <w:t xml:space="preserve"> that</w:t>
      </w:r>
      <w:r w:rsidR="003E4124" w:rsidRPr="00B34294">
        <w:t>, like Proposition 57,</w:t>
      </w:r>
      <w:r w:rsidR="002F118A" w:rsidRPr="00B34294">
        <w:t xml:space="preserve"> S</w:t>
      </w:r>
      <w:r w:rsidR="00422524">
        <w:t xml:space="preserve">enate </w:t>
      </w:r>
      <w:r w:rsidR="002F118A" w:rsidRPr="00B34294">
        <w:t>B</w:t>
      </w:r>
      <w:r w:rsidR="00422524">
        <w:t>ill</w:t>
      </w:r>
      <w:r w:rsidR="002F118A" w:rsidRPr="00B34294">
        <w:t xml:space="preserve"> 1391 </w:t>
      </w:r>
      <w:r w:rsidR="003E4124" w:rsidRPr="00B34294">
        <w:t xml:space="preserve">is consistent with and furthers protecting </w:t>
      </w:r>
      <w:r w:rsidR="002F118A" w:rsidRPr="00B34294">
        <w:t>public safety.  Moreover</w:t>
      </w:r>
      <w:r w:rsidRPr="00B34294">
        <w:t xml:space="preserve">, </w:t>
      </w:r>
      <w:r w:rsidR="002F118A" w:rsidRPr="00B34294">
        <w:t xml:space="preserve">in the </w:t>
      </w:r>
      <w:r w:rsidR="00204D5F" w:rsidRPr="00B34294">
        <w:t>case</w:t>
      </w:r>
      <w:r w:rsidR="002F118A" w:rsidRPr="00B34294">
        <w:t xml:space="preserve"> of the particularly heinous crimes cited by the District Attorney’s Office, </w:t>
      </w:r>
      <w:r w:rsidRPr="00B34294">
        <w:t xml:space="preserve">other avenues are available to retaining </w:t>
      </w:r>
      <w:r w:rsidR="00DA6F0A" w:rsidRPr="00B34294">
        <w:t>j</w:t>
      </w:r>
      <w:r w:rsidRPr="00B34294">
        <w:t xml:space="preserve">urisdiction over juvenile offenders that pose a danger to the public.  In signing the law the Governor “considered the fact that young people adjudicated in juvenile court can be held beyond their original sentence” under Welfare and Institutions Code section 1800.  (Governor’s message to Sen. on </w:t>
      </w:r>
      <w:r w:rsidR="00716292" w:rsidRPr="00B34294">
        <w:t>S</w:t>
      </w:r>
      <w:r w:rsidR="00422524">
        <w:t xml:space="preserve">enate </w:t>
      </w:r>
      <w:r w:rsidR="00716292" w:rsidRPr="00B34294">
        <w:t>B</w:t>
      </w:r>
      <w:r w:rsidR="00422524">
        <w:t>ill</w:t>
      </w:r>
      <w:r w:rsidRPr="00B34294">
        <w:t xml:space="preserve"> 1391 (Sept. 30, 2018) Sen. J. (2017–2018 Reg. Sess.) p. 6230.)  That section permits the prosecutor to petition for an extension of juvenile court jurisdiction, even past the age of 25, if discharging a juvenile offender “would be physically dangerous to the public because of the person’s mental or physical deficiency, disorder, or abnormality that causes the person to have serious difficulty controlling his or her dangerous behavior</w:t>
      </w:r>
      <w:r w:rsidR="00422524">
        <w:t> </w:t>
      </w:r>
      <w:r w:rsidRPr="00B34294">
        <w:t>.</w:t>
      </w:r>
      <w:r w:rsidR="00422524">
        <w:t> . . .</w:t>
      </w:r>
      <w:r w:rsidRPr="00B34294">
        <w:t>”  (Welf. &amp; Inst. Code, § 1800, subd. (a).)</w:t>
      </w:r>
    </w:p>
    <w:p w14:paraId="556B32FF" w14:textId="45411DA5" w:rsidR="00B54F10" w:rsidRPr="00B34294" w:rsidRDefault="00FA3EE3" w:rsidP="008E3B29">
      <w:pPr>
        <w:tabs>
          <w:tab w:val="left" w:pos="1440"/>
        </w:tabs>
        <w:ind w:firstLine="720"/>
      </w:pPr>
      <w:r w:rsidRPr="00B34294">
        <w:t xml:space="preserve">Second, </w:t>
      </w:r>
      <w:r w:rsidR="00667AEE" w:rsidRPr="00B34294">
        <w:t>under</w:t>
      </w:r>
      <w:r w:rsidR="002F4CFA" w:rsidRPr="00B34294">
        <w:t xml:space="preserve"> a</w:t>
      </w:r>
      <w:r w:rsidR="00022F08" w:rsidRPr="00B34294">
        <w:t xml:space="preserve"> reasonable construction</w:t>
      </w:r>
      <w:r w:rsidR="002F4CFA" w:rsidRPr="00B34294">
        <w:t xml:space="preserve"> of Proposition 57,</w:t>
      </w:r>
      <w:r w:rsidR="00022F08" w:rsidRPr="00B34294">
        <w:t xml:space="preserve"> </w:t>
      </w:r>
      <w:r w:rsidR="009A02EE" w:rsidRPr="00B34294">
        <w:t>S</w:t>
      </w:r>
      <w:r w:rsidR="00422524">
        <w:t xml:space="preserve">enate </w:t>
      </w:r>
      <w:r w:rsidR="009A02EE" w:rsidRPr="00B34294">
        <w:t>B</w:t>
      </w:r>
      <w:r w:rsidR="00422524">
        <w:t>ill</w:t>
      </w:r>
      <w:r w:rsidR="00B54F10" w:rsidRPr="00B34294">
        <w:t xml:space="preserve"> 1391 </w:t>
      </w:r>
      <w:r w:rsidR="00022F08" w:rsidRPr="00B34294">
        <w:t xml:space="preserve">is </w:t>
      </w:r>
      <w:r w:rsidR="00B54F10" w:rsidRPr="00B34294">
        <w:t>consistent with and further</w:t>
      </w:r>
      <w:r w:rsidR="00022F08" w:rsidRPr="00B34294">
        <w:t>s</w:t>
      </w:r>
      <w:r w:rsidR="00237E04" w:rsidRPr="00B34294">
        <w:t xml:space="preserve"> </w:t>
      </w:r>
      <w:r w:rsidR="00DD692F" w:rsidRPr="00B34294">
        <w:t xml:space="preserve">the </w:t>
      </w:r>
      <w:r w:rsidR="00DD692F" w:rsidRPr="00B34294">
        <w:lastRenderedPageBreak/>
        <w:t>proposition’s</w:t>
      </w:r>
      <w:r w:rsidR="00237E04" w:rsidRPr="00B34294">
        <w:t xml:space="preserve"> aim to save</w:t>
      </w:r>
      <w:r w:rsidR="00B54F10" w:rsidRPr="00B34294">
        <w:t xml:space="preserve"> “money by reducing wasteful spending on prisons</w:t>
      </w:r>
      <w:r w:rsidRPr="00B34294">
        <w:t>.</w:t>
      </w:r>
      <w:r w:rsidR="00B54F10" w:rsidRPr="00B34294">
        <w:t>”</w:t>
      </w:r>
      <w:r w:rsidRPr="00B34294">
        <w:t xml:space="preserve"> </w:t>
      </w:r>
      <w:r w:rsidR="00B54F10" w:rsidRPr="00B34294">
        <w:t xml:space="preserve"> (</w:t>
      </w:r>
      <w:r w:rsidR="00422524">
        <w:t xml:space="preserve">2016 </w:t>
      </w:r>
      <w:r w:rsidR="00B54F10" w:rsidRPr="00B34294">
        <w:t xml:space="preserve">Voter Guide, </w:t>
      </w:r>
      <w:r w:rsidR="00B54F10" w:rsidRPr="00B34294">
        <w:rPr>
          <w:i/>
        </w:rPr>
        <w:t>supra</w:t>
      </w:r>
      <w:r w:rsidR="00B54F10" w:rsidRPr="00B34294">
        <w:t xml:space="preserve">, text of Prop. 57, § 2, p. 141.)  </w:t>
      </w:r>
      <w:r w:rsidR="009A02EE" w:rsidRPr="00B34294">
        <w:t>S</w:t>
      </w:r>
      <w:r w:rsidR="00422524">
        <w:t xml:space="preserve">enate </w:t>
      </w:r>
      <w:r w:rsidR="009A02EE" w:rsidRPr="00B34294">
        <w:t>B</w:t>
      </w:r>
      <w:r w:rsidR="00422524">
        <w:t>ill</w:t>
      </w:r>
      <w:r w:rsidR="00B54F10" w:rsidRPr="00B34294">
        <w:t xml:space="preserve"> 1391 </w:t>
      </w:r>
      <w:r w:rsidR="00237E04" w:rsidRPr="00B34294">
        <w:t>sought to save</w:t>
      </w:r>
      <w:r w:rsidR="00427FED" w:rsidRPr="00B34294">
        <w:t xml:space="preserve"> money b</w:t>
      </w:r>
      <w:r w:rsidR="002350F9" w:rsidRPr="00B34294">
        <w:t>y</w:t>
      </w:r>
      <w:r w:rsidR="00427FED" w:rsidRPr="00B34294">
        <w:t xml:space="preserve"> ensuring that, </w:t>
      </w:r>
      <w:r w:rsidR="00B54F10" w:rsidRPr="00B34294">
        <w:t xml:space="preserve">under the bill, fewer minors will be transferred to adult criminal court where they </w:t>
      </w:r>
      <w:r w:rsidR="007751EC" w:rsidRPr="00B34294">
        <w:t>could be incarcerated for a longer period in</w:t>
      </w:r>
      <w:r w:rsidR="00B54F10" w:rsidRPr="00B34294">
        <w:t xml:space="preserve"> adult prison </w:t>
      </w:r>
      <w:r w:rsidR="003F5F88" w:rsidRPr="00B34294">
        <w:t>and be more likely to recidivate</w:t>
      </w:r>
      <w:r w:rsidR="00B54F10" w:rsidRPr="00B34294">
        <w:t xml:space="preserve">. </w:t>
      </w:r>
      <w:r w:rsidR="00377454" w:rsidRPr="00B34294">
        <w:t xml:space="preserve"> </w:t>
      </w:r>
      <w:r w:rsidR="007751EC" w:rsidRPr="00B34294">
        <w:t>(See</w:t>
      </w:r>
      <w:r w:rsidR="00A11100" w:rsidRPr="00B34294">
        <w:t xml:space="preserve"> Se</w:t>
      </w:r>
      <w:r w:rsidR="003F5F88" w:rsidRPr="00B34294">
        <w:t xml:space="preserve">n. Rules Com., </w:t>
      </w:r>
      <w:r w:rsidR="00893EC0">
        <w:t>Unfinished Business</w:t>
      </w:r>
      <w:r w:rsidR="00893EC0" w:rsidRPr="00B34294">
        <w:t xml:space="preserve"> </w:t>
      </w:r>
      <w:r w:rsidR="003F5F88" w:rsidRPr="00B34294">
        <w:t xml:space="preserve">Analysis </w:t>
      </w:r>
      <w:r w:rsidR="00893EC0" w:rsidRPr="00B34294">
        <w:t>o</w:t>
      </w:r>
      <w:r w:rsidR="00893EC0">
        <w:t>f</w:t>
      </w:r>
      <w:r w:rsidR="00893EC0" w:rsidRPr="00B34294">
        <w:t xml:space="preserve"> </w:t>
      </w:r>
      <w:r w:rsidR="003F5F88" w:rsidRPr="00B34294">
        <w:t>S</w:t>
      </w:r>
      <w:r w:rsidR="00893EC0">
        <w:t xml:space="preserve">enate </w:t>
      </w:r>
      <w:r w:rsidR="003F5F88" w:rsidRPr="00B34294">
        <w:t>B</w:t>
      </w:r>
      <w:r w:rsidR="00893EC0">
        <w:t>ill</w:t>
      </w:r>
      <w:r w:rsidR="003F5F88" w:rsidRPr="00B34294">
        <w:t xml:space="preserve"> 1391</w:t>
      </w:r>
      <w:r w:rsidR="00893EC0">
        <w:t xml:space="preserve"> </w:t>
      </w:r>
      <w:r w:rsidR="00893EC0" w:rsidRPr="00B34294">
        <w:t xml:space="preserve">(2017–2018 Reg. Sess.) </w:t>
      </w:r>
      <w:r w:rsidR="00893EC0">
        <w:t>as amended</w:t>
      </w:r>
      <w:r w:rsidR="003F5F88" w:rsidRPr="00B34294">
        <w:t xml:space="preserve"> Aug. 20, 2018, p. 6 [“Potential long-term savings of an unknown amount by preventing youths from receiving extremely long sentences if adjudicated as an adult.  [¶] 3)  </w:t>
      </w:r>
      <w:r w:rsidR="007751EC" w:rsidRPr="00B34294">
        <w:t>Potential savings of an unknown amount to the extent that keeping youth in juvenile court and facilities designed to rehabilitate juveniles reduces recidivism</w:t>
      </w:r>
      <w:r w:rsidR="003F5F88" w:rsidRPr="00B34294">
        <w:t xml:space="preserve">”].)  </w:t>
      </w:r>
      <w:r w:rsidR="00377454" w:rsidRPr="00B34294">
        <w:t xml:space="preserve">Proposition 57 ballot materials </w:t>
      </w:r>
      <w:r w:rsidR="00427FED" w:rsidRPr="00B34294">
        <w:t xml:space="preserve">expressed the same goal, </w:t>
      </w:r>
      <w:r w:rsidR="00377454" w:rsidRPr="00B34294">
        <w:t>inform</w:t>
      </w:r>
      <w:r w:rsidR="00427FED" w:rsidRPr="00B34294">
        <w:t>ing</w:t>
      </w:r>
      <w:r w:rsidR="00377454" w:rsidRPr="00B34294">
        <w:t xml:space="preserve"> voters that trying fewer minors as adults “would reduce state prison and parole costs as those youths would no longer spend any time in prison or be supervised by state parole agents following their release.”  (</w:t>
      </w:r>
      <w:r w:rsidR="00893EC0">
        <w:t xml:space="preserve">2016 </w:t>
      </w:r>
      <w:r w:rsidR="00377454" w:rsidRPr="00B34294">
        <w:t xml:space="preserve">Voter Guide, </w:t>
      </w:r>
      <w:r w:rsidR="00377454" w:rsidRPr="00B34294">
        <w:rPr>
          <w:i/>
          <w:iCs/>
        </w:rPr>
        <w:t>supra</w:t>
      </w:r>
      <w:r w:rsidR="00377454" w:rsidRPr="00B34294">
        <w:t xml:space="preserve">, </w:t>
      </w:r>
      <w:r w:rsidR="00893EC0">
        <w:t xml:space="preserve">analysis of Prop. 57 by </w:t>
      </w:r>
      <w:r w:rsidR="00377454" w:rsidRPr="00B34294">
        <w:t>Legis</w:t>
      </w:r>
      <w:r w:rsidR="00893EC0">
        <w:t>.</w:t>
      </w:r>
      <w:r w:rsidR="00377454" w:rsidRPr="00B34294">
        <w:t xml:space="preserve"> Analyst, p. 5</w:t>
      </w:r>
      <w:r w:rsidR="00893EC0">
        <w:t>7</w:t>
      </w:r>
      <w:r w:rsidR="00377454" w:rsidRPr="00B34294">
        <w:t xml:space="preserve">.) </w:t>
      </w:r>
      <w:r w:rsidR="00B54F10" w:rsidRPr="00B34294">
        <w:t xml:space="preserve"> The District Attorney’s Office does not dispute that </w:t>
      </w:r>
      <w:r w:rsidR="009A02EE" w:rsidRPr="00B34294">
        <w:t>S</w:t>
      </w:r>
      <w:r w:rsidR="00893EC0">
        <w:t xml:space="preserve">enate </w:t>
      </w:r>
      <w:r w:rsidR="009A02EE" w:rsidRPr="00B34294">
        <w:t>B</w:t>
      </w:r>
      <w:r w:rsidR="00893EC0">
        <w:t>ill</w:t>
      </w:r>
      <w:r w:rsidR="00B54F10" w:rsidRPr="00B34294">
        <w:t xml:space="preserve"> 1391 is consistent with and furthers this </w:t>
      </w:r>
      <w:r w:rsidR="00377454" w:rsidRPr="00B34294">
        <w:t>cost</w:t>
      </w:r>
      <w:r w:rsidR="00667AEE" w:rsidRPr="00B34294">
        <w:t>-</w:t>
      </w:r>
      <w:r w:rsidR="00377454" w:rsidRPr="00B34294">
        <w:t xml:space="preserve">saving </w:t>
      </w:r>
      <w:r w:rsidR="00B54F10" w:rsidRPr="00B34294">
        <w:t>purpose.</w:t>
      </w:r>
    </w:p>
    <w:p w14:paraId="5356FEED" w14:textId="0020BE8C" w:rsidR="00B54F10" w:rsidRPr="00B34294" w:rsidRDefault="00FA3EE3" w:rsidP="008E3B29">
      <w:pPr>
        <w:tabs>
          <w:tab w:val="left" w:pos="1440"/>
        </w:tabs>
        <w:ind w:firstLine="720"/>
      </w:pPr>
      <w:r w:rsidRPr="00B34294">
        <w:t xml:space="preserve">Third, </w:t>
      </w:r>
      <w:r w:rsidR="00667AEE" w:rsidRPr="00B34294">
        <w:t>under</w:t>
      </w:r>
      <w:r w:rsidR="002F4CFA" w:rsidRPr="00B34294">
        <w:t xml:space="preserve"> </w:t>
      </w:r>
      <w:r w:rsidR="00022F08" w:rsidRPr="00B34294">
        <w:t xml:space="preserve">a reasonable construction </w:t>
      </w:r>
      <w:r w:rsidR="002F4CFA" w:rsidRPr="00B34294">
        <w:t xml:space="preserve">of Proposition 57, </w:t>
      </w:r>
      <w:r w:rsidR="009A02EE" w:rsidRPr="00B34294">
        <w:t>S</w:t>
      </w:r>
      <w:r w:rsidR="00893EC0">
        <w:t xml:space="preserve">enate </w:t>
      </w:r>
      <w:r w:rsidR="009A02EE" w:rsidRPr="00B34294">
        <w:t>B</w:t>
      </w:r>
      <w:r w:rsidR="00893EC0">
        <w:t>ill</w:t>
      </w:r>
      <w:r w:rsidR="00B54F10" w:rsidRPr="00B34294">
        <w:t xml:space="preserve"> 1391 </w:t>
      </w:r>
      <w:r w:rsidR="00022F08" w:rsidRPr="00B34294">
        <w:t xml:space="preserve">is </w:t>
      </w:r>
      <w:r w:rsidR="00B54F10" w:rsidRPr="00B34294">
        <w:t>consistent with</w:t>
      </w:r>
      <w:r w:rsidR="00022F08" w:rsidRPr="00B34294">
        <w:t xml:space="preserve"> and furthers</w:t>
      </w:r>
      <w:r w:rsidR="00B54F10" w:rsidRPr="00B34294">
        <w:t xml:space="preserve"> </w:t>
      </w:r>
      <w:r w:rsidR="00237E04" w:rsidRPr="00B34294">
        <w:t xml:space="preserve">the goal of </w:t>
      </w:r>
      <w:r w:rsidR="00B54F10" w:rsidRPr="00B34294">
        <w:t>preventing “federal courts from indiscriminately releasing prisoners.”  (</w:t>
      </w:r>
      <w:r w:rsidR="00893EC0">
        <w:t xml:space="preserve">2016 </w:t>
      </w:r>
      <w:r w:rsidR="00B54F10" w:rsidRPr="00B34294">
        <w:t xml:space="preserve">Voter Guide, </w:t>
      </w:r>
      <w:r w:rsidR="00B54F10" w:rsidRPr="00B34294">
        <w:rPr>
          <w:i/>
        </w:rPr>
        <w:t>supra</w:t>
      </w:r>
      <w:r w:rsidR="00B54F10" w:rsidRPr="00B34294">
        <w:t xml:space="preserve">, text of Prop. 57, § 2, p. 141.) </w:t>
      </w:r>
      <w:r w:rsidR="009F352C" w:rsidRPr="00B34294">
        <w:t xml:space="preserve"> Proposition 57</w:t>
      </w:r>
      <w:r w:rsidR="00FD2F28" w:rsidRPr="00B34294">
        <w:t xml:space="preserve">’s ballot materials explained that “[o]vercrowded and unconstitutional conditions led the U.S. Supreme Court to order the state to reduce its prison population.  Now, without a common sense, long-term solution, we will continue to waste billions and risk a court-ordered release of dangerous prisoners.  This is an unacceptable outcome that puts </w:t>
      </w:r>
      <w:r w:rsidR="00FD2F28" w:rsidRPr="00B34294">
        <w:lastRenderedPageBreak/>
        <w:t>Californians in danger</w:t>
      </w:r>
      <w:r w:rsidR="00893EC0">
        <w:t xml:space="preserve"> </w:t>
      </w:r>
      <w:r w:rsidR="00FD2F28" w:rsidRPr="00B34294">
        <w:t>—</w:t>
      </w:r>
      <w:r w:rsidR="00893EC0">
        <w:t xml:space="preserve"> </w:t>
      </w:r>
      <w:r w:rsidR="00FD2F28" w:rsidRPr="00B34294">
        <w:t>and this is why we need Prop. 57.”  (</w:t>
      </w:r>
      <w:r w:rsidR="00893EC0">
        <w:t xml:space="preserve">2016 </w:t>
      </w:r>
      <w:r w:rsidR="00FD2F28" w:rsidRPr="00B34294">
        <w:t xml:space="preserve">Voter Guide, </w:t>
      </w:r>
      <w:r w:rsidR="00FD2F28" w:rsidRPr="00B34294">
        <w:rPr>
          <w:i/>
          <w:iCs/>
        </w:rPr>
        <w:t>supra</w:t>
      </w:r>
      <w:r w:rsidR="00FD2F28" w:rsidRPr="00B34294">
        <w:t xml:space="preserve">, </w:t>
      </w:r>
      <w:r w:rsidR="00893EC0">
        <w:t>a</w:t>
      </w:r>
      <w:r w:rsidR="00FD2F28" w:rsidRPr="00B34294">
        <w:t>rgument</w:t>
      </w:r>
      <w:r w:rsidR="00893EC0">
        <w:t xml:space="preserve"> in favor of Prop. 57</w:t>
      </w:r>
      <w:r w:rsidR="00FD2F28" w:rsidRPr="00B34294">
        <w:t xml:space="preserve">, p. 58.)  </w:t>
      </w:r>
      <w:r w:rsidR="00672A6C" w:rsidRPr="00B34294">
        <w:t>The federal court order required California to “reduce the prison population to 137.5% of the adult institutions’ total design capacity.” (</w:t>
      </w:r>
      <w:r w:rsidR="00672A6C" w:rsidRPr="00B34294">
        <w:rPr>
          <w:i/>
          <w:iCs/>
        </w:rPr>
        <w:t xml:space="preserve">Coleman v. Schwarzenegger </w:t>
      </w:r>
      <w:r w:rsidR="00672A6C" w:rsidRPr="00B34294">
        <w:t xml:space="preserve">(E.D.Cal. 2009) 922 F.Supp.2d 882, 962; see also </w:t>
      </w:r>
      <w:r w:rsidR="00672A6C" w:rsidRPr="00B34294">
        <w:rPr>
          <w:i/>
          <w:iCs/>
        </w:rPr>
        <w:t>Brown v. Plata</w:t>
      </w:r>
      <w:r w:rsidR="00672A6C" w:rsidRPr="00B34294">
        <w:t xml:space="preserve"> (2011) 563 U.S. 493, 501–503.)  </w:t>
      </w:r>
      <w:r w:rsidR="0001485E" w:rsidRPr="00B34294">
        <w:t>The federal court later refused to vacate its order because</w:t>
      </w:r>
      <w:r w:rsidR="00F54905" w:rsidRPr="00B34294">
        <w:t>,</w:t>
      </w:r>
      <w:r w:rsidR="0001485E" w:rsidRPr="00B34294">
        <w:t xml:space="preserve"> inter alia</w:t>
      </w:r>
      <w:r w:rsidR="00F54905" w:rsidRPr="00B34294">
        <w:t>,</w:t>
      </w:r>
      <w:r w:rsidR="0001485E" w:rsidRPr="00B34294">
        <w:t xml:space="preserve"> the state failed to produce a “</w:t>
      </w:r>
      <w:r w:rsidR="00893EC0">
        <w:t> ‘</w:t>
      </w:r>
      <w:r w:rsidR="0001485E" w:rsidRPr="00B34294">
        <w:t>durable remedy</w:t>
      </w:r>
      <w:r w:rsidR="00893EC0">
        <w:t>’ </w:t>
      </w:r>
      <w:r w:rsidR="0001485E" w:rsidRPr="00B34294">
        <w:t>” to the problem of prison overcrowding.  (</w:t>
      </w:r>
      <w:r w:rsidR="0001485E" w:rsidRPr="00B34294">
        <w:rPr>
          <w:i/>
          <w:iCs/>
        </w:rPr>
        <w:t>Coleman v. Brown</w:t>
      </w:r>
      <w:r w:rsidR="0001485E" w:rsidRPr="00B34294">
        <w:t xml:space="preserve"> (</w:t>
      </w:r>
      <w:r w:rsidR="00380349">
        <w:t>E</w:t>
      </w:r>
      <w:r w:rsidR="0001485E" w:rsidRPr="00B34294">
        <w:t>.D.Cal.2013) 922 F.Supp.2d 1004, 1043 (</w:t>
      </w:r>
      <w:r w:rsidR="0001485E" w:rsidRPr="00B34294">
        <w:rPr>
          <w:i/>
          <w:iCs/>
        </w:rPr>
        <w:t>Coleman II</w:t>
      </w:r>
      <w:r w:rsidR="0001485E" w:rsidRPr="00B34294">
        <w:t xml:space="preserve">).)  </w:t>
      </w:r>
      <w:r w:rsidR="006B109D" w:rsidRPr="00B34294">
        <w:t>The federal court warned that the state had “thus far engaged in openly contumacious conduct by repeatedly ignoring both this Court’s Order and at least three explicit admonitions to take all steps necessary to comply with that Order.”  (</w:t>
      </w:r>
      <w:r w:rsidR="006B109D" w:rsidRPr="00B34294">
        <w:rPr>
          <w:i/>
          <w:iCs/>
        </w:rPr>
        <w:t>Id</w:t>
      </w:r>
      <w:r w:rsidR="006B109D" w:rsidRPr="00B34294">
        <w:t>. at p. 1049.)  The federal court further advised “Governor Brown has a duty to exercise in good faith his full authority, including seeking any changes to or waivers of state law that may be necessary to ensure compliance with the Supreme Court’s judgment.”  (</w:t>
      </w:r>
      <w:r w:rsidR="006B109D" w:rsidRPr="00B34294">
        <w:rPr>
          <w:i/>
          <w:iCs/>
        </w:rPr>
        <w:t>Id</w:t>
      </w:r>
      <w:r w:rsidR="006B109D" w:rsidRPr="00B34294">
        <w:t xml:space="preserve">. at p. 1054.)  </w:t>
      </w:r>
      <w:r w:rsidR="00FD2F28" w:rsidRPr="00B34294">
        <w:t>Proposition 57</w:t>
      </w:r>
      <w:r w:rsidR="006B109D" w:rsidRPr="00B34294">
        <w:t xml:space="preserve"> therefore</w:t>
      </w:r>
      <w:r w:rsidR="00FD2F28" w:rsidRPr="00B34294">
        <w:t xml:space="preserve"> </w:t>
      </w:r>
      <w:r w:rsidR="009F352C" w:rsidRPr="00B34294">
        <w:t>facilitate</w:t>
      </w:r>
      <w:r w:rsidR="00A73A29" w:rsidRPr="00B34294">
        <w:t>d</w:t>
      </w:r>
      <w:r w:rsidR="009F352C" w:rsidRPr="00B34294">
        <w:t xml:space="preserve"> California’s compliance with </w:t>
      </w:r>
      <w:r w:rsidR="00672A6C" w:rsidRPr="00B34294">
        <w:t>th</w:t>
      </w:r>
      <w:r w:rsidR="006B109D" w:rsidRPr="00B34294">
        <w:t>is</w:t>
      </w:r>
      <w:r w:rsidR="00672A6C" w:rsidRPr="00B34294">
        <w:t xml:space="preserve"> </w:t>
      </w:r>
      <w:r w:rsidR="009F352C" w:rsidRPr="00B34294">
        <w:t xml:space="preserve">federal court order </w:t>
      </w:r>
      <w:r w:rsidR="00237E04" w:rsidRPr="00B34294">
        <w:t>by ensuring that fewer juveniles would be incarcerated in state prison</w:t>
      </w:r>
      <w:r w:rsidR="00EE6D48" w:rsidRPr="00B34294">
        <w:t xml:space="preserve">.  </w:t>
      </w:r>
      <w:r w:rsidR="00D720BA" w:rsidRPr="00B34294">
        <w:t>The</w:t>
      </w:r>
      <w:r w:rsidR="00294E1C" w:rsidRPr="00B34294">
        <w:t>se</w:t>
      </w:r>
      <w:r w:rsidR="00D720BA" w:rsidRPr="00B34294">
        <w:t xml:space="preserve"> changes</w:t>
      </w:r>
      <w:r w:rsidR="00294E1C" w:rsidRPr="00B34294">
        <w:t xml:space="preserve"> to juvenile transfer proceedings</w:t>
      </w:r>
      <w:r w:rsidR="00D720BA" w:rsidRPr="00B34294">
        <w:t xml:space="preserve"> were part of </w:t>
      </w:r>
      <w:r w:rsidR="003600EC" w:rsidRPr="00B34294">
        <w:t>the p</w:t>
      </w:r>
      <w:r w:rsidR="00D720BA" w:rsidRPr="00B34294">
        <w:t xml:space="preserve">roposition’s broader strategy to reduce the prison population.  </w:t>
      </w:r>
      <w:r w:rsidR="00561FFB" w:rsidRPr="00B34294">
        <w:t>In addition to these changes</w:t>
      </w:r>
      <w:r w:rsidR="00294E1C" w:rsidRPr="00B34294">
        <w:t>,</w:t>
      </w:r>
      <w:r w:rsidR="0077126E" w:rsidRPr="00B34294">
        <w:t xml:space="preserve"> </w:t>
      </w:r>
      <w:r w:rsidR="00294E1C" w:rsidRPr="00B34294">
        <w:t xml:space="preserve">Proposition 57 </w:t>
      </w:r>
      <w:r w:rsidR="00EE6D48" w:rsidRPr="00B34294">
        <w:t xml:space="preserve">also </w:t>
      </w:r>
      <w:r w:rsidR="000201C9">
        <w:t>enable</w:t>
      </w:r>
      <w:r w:rsidR="004768BB">
        <w:t>d</w:t>
      </w:r>
      <w:r w:rsidR="000201C9">
        <w:t xml:space="preserve"> inmates to</w:t>
      </w:r>
      <w:r w:rsidR="00C6440C" w:rsidRPr="00B34294">
        <w:t xml:space="preserve"> be released </w:t>
      </w:r>
      <w:r w:rsidR="000201C9">
        <w:t xml:space="preserve">earlier </w:t>
      </w:r>
      <w:r w:rsidR="00C6440C" w:rsidRPr="00B34294">
        <w:t>on</w:t>
      </w:r>
      <w:r w:rsidR="00707D47" w:rsidRPr="00B34294">
        <w:t xml:space="preserve"> parole </w:t>
      </w:r>
      <w:r w:rsidR="000201C9">
        <w:t xml:space="preserve">by: (a) making any person convicted of a nonviolent felony offense eligible for parole consideration </w:t>
      </w:r>
      <w:r w:rsidR="00C6440C" w:rsidRPr="00B34294">
        <w:t xml:space="preserve">after completing the full term </w:t>
      </w:r>
      <w:r w:rsidR="003600EC" w:rsidRPr="00B34294">
        <w:t xml:space="preserve">for </w:t>
      </w:r>
      <w:r w:rsidR="000201C9">
        <w:t>his or her</w:t>
      </w:r>
      <w:r w:rsidR="003600EC" w:rsidRPr="00B34294">
        <w:t xml:space="preserve"> </w:t>
      </w:r>
      <w:r w:rsidR="00C6440C" w:rsidRPr="00B34294">
        <w:t xml:space="preserve">primary offense </w:t>
      </w:r>
      <w:r w:rsidR="000201C9">
        <w:t>and (b) giving the Department of Corrections and Rehabilitation authority to award credits to inmates</w:t>
      </w:r>
      <w:r w:rsidR="00C6440C" w:rsidRPr="00B34294">
        <w:t xml:space="preserve"> for </w:t>
      </w:r>
      <w:r w:rsidR="00D35359" w:rsidRPr="00B34294">
        <w:t xml:space="preserve">good behavior.  </w:t>
      </w:r>
      <w:r w:rsidR="00707D47" w:rsidRPr="00B34294">
        <w:t>(</w:t>
      </w:r>
      <w:r w:rsidR="00893EC0">
        <w:t xml:space="preserve">2016 </w:t>
      </w:r>
      <w:r w:rsidR="00707D47" w:rsidRPr="00B34294">
        <w:t xml:space="preserve">Voter Guide, </w:t>
      </w:r>
      <w:r w:rsidR="00707D47" w:rsidRPr="00B34294">
        <w:rPr>
          <w:i/>
        </w:rPr>
        <w:t>supra</w:t>
      </w:r>
      <w:r w:rsidR="00707D47" w:rsidRPr="00B34294">
        <w:t>, text of Prop. 57, §§ 3–4, p. 141.)</w:t>
      </w:r>
      <w:r w:rsidR="00672A6C" w:rsidRPr="00B34294">
        <w:t xml:space="preserve">  </w:t>
      </w:r>
      <w:r w:rsidR="00D720BA" w:rsidRPr="00B34294">
        <w:t xml:space="preserve">Each of these changes provided </w:t>
      </w:r>
      <w:r w:rsidR="006F6BE1" w:rsidRPr="00B34294">
        <w:t>a “</w:t>
      </w:r>
      <w:r w:rsidR="00893EC0">
        <w:t> ‘</w:t>
      </w:r>
      <w:r w:rsidR="006F6BE1" w:rsidRPr="00B34294">
        <w:t>durable remedy</w:t>
      </w:r>
      <w:r w:rsidR="00893EC0">
        <w:t>’ </w:t>
      </w:r>
      <w:r w:rsidR="006F6BE1" w:rsidRPr="00B34294">
        <w:t>”</w:t>
      </w:r>
      <w:r w:rsidR="00EE6D48" w:rsidRPr="00B34294">
        <w:t xml:space="preserve"> </w:t>
      </w:r>
      <w:r w:rsidR="009F0691" w:rsidRPr="00B34294">
        <w:t>that would</w:t>
      </w:r>
      <w:r w:rsidR="00EC48DB" w:rsidRPr="00B34294">
        <w:t xml:space="preserve"> </w:t>
      </w:r>
      <w:r w:rsidR="00EC48DB" w:rsidRPr="00B34294">
        <w:lastRenderedPageBreak/>
        <w:t xml:space="preserve">decrease the prison population </w:t>
      </w:r>
      <w:r w:rsidR="00E92A64" w:rsidRPr="00B34294">
        <w:t>(</w:t>
      </w:r>
      <w:r w:rsidR="00E92A64" w:rsidRPr="00B34294">
        <w:rPr>
          <w:i/>
          <w:iCs/>
        </w:rPr>
        <w:t>Coleman II</w:t>
      </w:r>
      <w:r w:rsidR="00E92A64" w:rsidRPr="00B34294">
        <w:t xml:space="preserve">, at p. 1043) </w:t>
      </w:r>
      <w:r w:rsidR="00EC48DB" w:rsidRPr="00B34294">
        <w:t>and</w:t>
      </w:r>
      <w:r w:rsidR="008A54D3" w:rsidRPr="00B34294">
        <w:t xml:space="preserve"> </w:t>
      </w:r>
      <w:r w:rsidR="00237E04" w:rsidRPr="00B34294">
        <w:t xml:space="preserve">thereby diminish the likelihood that federal courts would “indiscriminately </w:t>
      </w:r>
      <w:r w:rsidR="00E06BC9">
        <w:t>release[</w:t>
      </w:r>
      <w:r w:rsidR="00237E04" w:rsidRPr="00B34294">
        <w:t>e</w:t>
      </w:r>
      <w:r w:rsidR="00E06BC9">
        <w:t>]</w:t>
      </w:r>
      <w:r w:rsidR="00237E04" w:rsidRPr="00B34294">
        <w:t xml:space="preserve"> prisoners”</w:t>
      </w:r>
      <w:r w:rsidR="00E06BC9">
        <w:t xml:space="preserve"> </w:t>
      </w:r>
      <w:r w:rsidR="00E06BC9" w:rsidRPr="00B34294">
        <w:t>(</w:t>
      </w:r>
      <w:r w:rsidR="00E06BC9">
        <w:t xml:space="preserve">2016 </w:t>
      </w:r>
      <w:r w:rsidR="00E06BC9" w:rsidRPr="00B34294">
        <w:t xml:space="preserve">Voter Guide, </w:t>
      </w:r>
      <w:r w:rsidR="00E06BC9" w:rsidRPr="00B34294">
        <w:rPr>
          <w:i/>
        </w:rPr>
        <w:t>supra</w:t>
      </w:r>
      <w:r w:rsidR="00E06BC9" w:rsidRPr="00B34294">
        <w:t>, text of Prop. 57, § 2, p. 141)</w:t>
      </w:r>
      <w:r w:rsidR="00E06BC9">
        <w:t>.</w:t>
      </w:r>
      <w:r w:rsidR="00237E04" w:rsidRPr="00B34294">
        <w:t xml:space="preserve"> </w:t>
      </w:r>
      <w:r w:rsidR="009F352C" w:rsidRPr="00B34294">
        <w:t xml:space="preserve"> </w:t>
      </w:r>
      <w:r w:rsidR="009A02EE" w:rsidRPr="00B34294">
        <w:t>S</w:t>
      </w:r>
      <w:r w:rsidR="00E06BC9">
        <w:t xml:space="preserve">enate </w:t>
      </w:r>
      <w:r w:rsidR="009A02EE" w:rsidRPr="00B34294">
        <w:t>B</w:t>
      </w:r>
      <w:r w:rsidR="00E06BC9">
        <w:t>ill</w:t>
      </w:r>
      <w:r w:rsidR="00B54F10" w:rsidRPr="00B34294">
        <w:t xml:space="preserve"> 1391 </w:t>
      </w:r>
      <w:r w:rsidR="001E5B9B" w:rsidRPr="00B34294">
        <w:t xml:space="preserve">similarly </w:t>
      </w:r>
      <w:r w:rsidR="009F352C" w:rsidRPr="00B34294">
        <w:t>mitigates aga</w:t>
      </w:r>
      <w:r w:rsidR="00533107" w:rsidRPr="00B34294">
        <w:t>inst</w:t>
      </w:r>
      <w:r w:rsidR="00B54F10" w:rsidRPr="00B34294">
        <w:t xml:space="preserve"> federal courts </w:t>
      </w:r>
      <w:r w:rsidR="001E5B9B" w:rsidRPr="00B34294">
        <w:t>“</w:t>
      </w:r>
      <w:r w:rsidR="00B54F10" w:rsidRPr="00B34294">
        <w:t xml:space="preserve">indiscriminately </w:t>
      </w:r>
      <w:r w:rsidR="001E5B9B" w:rsidRPr="00B34294">
        <w:t>releasing</w:t>
      </w:r>
      <w:r w:rsidR="00B54F10" w:rsidRPr="00B34294">
        <w:t xml:space="preserve"> prisoners</w:t>
      </w:r>
      <w:r w:rsidR="001E5B9B" w:rsidRPr="00B34294">
        <w:t>”</w:t>
      </w:r>
      <w:r w:rsidR="00672A6C" w:rsidRPr="00B34294">
        <w:t xml:space="preserve"> in order to reduce prison population</w:t>
      </w:r>
      <w:r w:rsidR="00B54F10" w:rsidRPr="00B34294">
        <w:t xml:space="preserve"> because the bill </w:t>
      </w:r>
      <w:r w:rsidR="00672A6C" w:rsidRPr="00B34294">
        <w:t xml:space="preserve">ensures </w:t>
      </w:r>
      <w:r w:rsidR="00B54F10" w:rsidRPr="00B34294">
        <w:t>that</w:t>
      </w:r>
      <w:r w:rsidR="008A54D3" w:rsidRPr="00B34294">
        <w:t xml:space="preserve"> now and in the future</w:t>
      </w:r>
      <w:r w:rsidR="00B54F10" w:rsidRPr="00B34294">
        <w:t xml:space="preserve"> fewer minors are ultimately sent to adult </w:t>
      </w:r>
      <w:r w:rsidR="00672A6C" w:rsidRPr="00B34294">
        <w:t>prison</w:t>
      </w:r>
      <w:r w:rsidR="00B54F10" w:rsidRPr="00B34294">
        <w:t xml:space="preserve">.  The District Attorney’s Office does not dispute that </w:t>
      </w:r>
      <w:r w:rsidR="009A02EE" w:rsidRPr="00B34294">
        <w:t>S</w:t>
      </w:r>
      <w:r w:rsidR="00E06BC9">
        <w:t xml:space="preserve">enate </w:t>
      </w:r>
      <w:r w:rsidR="009A02EE" w:rsidRPr="00B34294">
        <w:t>B</w:t>
      </w:r>
      <w:r w:rsidR="00E06BC9">
        <w:t>ill</w:t>
      </w:r>
      <w:r w:rsidR="009A02EE" w:rsidRPr="00B34294">
        <w:t xml:space="preserve"> </w:t>
      </w:r>
      <w:r w:rsidR="00B54F10" w:rsidRPr="00B34294">
        <w:t>1391 is consistent with and furthers this purpose.</w:t>
      </w:r>
    </w:p>
    <w:p w14:paraId="45791860" w14:textId="033ABF94" w:rsidR="004C4B50" w:rsidRPr="00B34294" w:rsidRDefault="00FA3EE3" w:rsidP="008E3B29">
      <w:pPr>
        <w:tabs>
          <w:tab w:val="left" w:pos="1440"/>
        </w:tabs>
        <w:ind w:firstLine="720"/>
      </w:pPr>
      <w:r w:rsidRPr="00B34294">
        <w:t xml:space="preserve">Fourth, </w:t>
      </w:r>
      <w:r w:rsidR="00A154AD" w:rsidRPr="00B34294">
        <w:t>under</w:t>
      </w:r>
      <w:r w:rsidR="00A322CF" w:rsidRPr="00B34294">
        <w:t xml:space="preserve"> </w:t>
      </w:r>
      <w:r w:rsidRPr="00B34294">
        <w:t xml:space="preserve">a reasonable construction </w:t>
      </w:r>
      <w:r w:rsidR="002F4CFA" w:rsidRPr="00B34294">
        <w:t xml:space="preserve">of Proposition 57, </w:t>
      </w:r>
      <w:r w:rsidR="009A02EE" w:rsidRPr="00B34294">
        <w:t>S</w:t>
      </w:r>
      <w:r w:rsidR="00E06BC9">
        <w:t xml:space="preserve">enate </w:t>
      </w:r>
      <w:r w:rsidR="009A02EE" w:rsidRPr="00B34294">
        <w:t>B</w:t>
      </w:r>
      <w:r w:rsidR="00E06BC9">
        <w:t>ill</w:t>
      </w:r>
      <w:r w:rsidR="004C4B50" w:rsidRPr="00B34294">
        <w:t xml:space="preserve"> 1391 is consistent with and furthers </w:t>
      </w:r>
      <w:r w:rsidR="001E5B9B" w:rsidRPr="00B34294">
        <w:t xml:space="preserve">the purpose of </w:t>
      </w:r>
      <w:r w:rsidR="004C4B50" w:rsidRPr="00B34294">
        <w:t>stopping “the revolving door of crime by emphasizing rehabilitation, especially for juveniles.”  (</w:t>
      </w:r>
      <w:r w:rsidR="00E06BC9">
        <w:t xml:space="preserve">2016 </w:t>
      </w:r>
      <w:r w:rsidR="004C4B50" w:rsidRPr="00B34294">
        <w:t xml:space="preserve">Voter Guide, </w:t>
      </w:r>
      <w:r w:rsidR="004C4B50" w:rsidRPr="00B34294">
        <w:rPr>
          <w:i/>
        </w:rPr>
        <w:t>supra</w:t>
      </w:r>
      <w:r w:rsidR="004C4B50" w:rsidRPr="00B34294">
        <w:t xml:space="preserve">, text of Prop. 57, § 2, p. 141.)  The District Attorney’s Office argues that </w:t>
      </w:r>
      <w:r w:rsidR="009A02EE" w:rsidRPr="00B34294">
        <w:t>S</w:t>
      </w:r>
      <w:r w:rsidR="00E06BC9">
        <w:t xml:space="preserve">enate </w:t>
      </w:r>
      <w:r w:rsidR="009A02EE" w:rsidRPr="00B34294">
        <w:t>B</w:t>
      </w:r>
      <w:r w:rsidR="00E06BC9">
        <w:t>ill</w:t>
      </w:r>
      <w:r w:rsidR="004C4B50" w:rsidRPr="00B34294">
        <w:t xml:space="preserve"> 1391 is inconsistent with this purpose because Proposition 57 already stopped “the revolving door” by implementing “a more balanced approach, which specifically includes the transfer of certain 14-or 15-year-olds to adult court.” </w:t>
      </w:r>
      <w:r w:rsidR="00022F08" w:rsidRPr="00B34294">
        <w:t xml:space="preserve"> </w:t>
      </w:r>
      <w:r w:rsidRPr="00B34294">
        <w:t xml:space="preserve">However, </w:t>
      </w:r>
      <w:r w:rsidR="000D7865" w:rsidRPr="00B34294">
        <w:t xml:space="preserve">by its terms, </w:t>
      </w:r>
      <w:r w:rsidR="000201C9">
        <w:t>Proposition 57</w:t>
      </w:r>
      <w:r w:rsidR="008F4EC5" w:rsidRPr="00B34294">
        <w:t xml:space="preserve"> s</w:t>
      </w:r>
      <w:r w:rsidR="000201C9">
        <w:t>ought</w:t>
      </w:r>
      <w:r w:rsidR="008F4EC5" w:rsidRPr="00B34294">
        <w:t xml:space="preserve"> to </w:t>
      </w:r>
      <w:r w:rsidR="000201C9">
        <w:t>broadly</w:t>
      </w:r>
      <w:r w:rsidR="008D7735" w:rsidRPr="00B34294">
        <w:t xml:space="preserve"> </w:t>
      </w:r>
      <w:r w:rsidR="008F4EC5" w:rsidRPr="00B34294">
        <w:t>emphasiz</w:t>
      </w:r>
      <w:r w:rsidR="000201C9">
        <w:t>e</w:t>
      </w:r>
      <w:r w:rsidR="008F4EC5" w:rsidRPr="00B34294">
        <w:t xml:space="preserve"> rehabilitation</w:t>
      </w:r>
      <w:r w:rsidR="000201C9">
        <w:t xml:space="preserve"> </w:t>
      </w:r>
      <w:r w:rsidR="008F4EC5" w:rsidRPr="00B34294">
        <w:t xml:space="preserve">for </w:t>
      </w:r>
      <w:r w:rsidR="000201C9">
        <w:t xml:space="preserve">all </w:t>
      </w:r>
      <w:r w:rsidR="008F4EC5" w:rsidRPr="00B34294">
        <w:t>juveniles</w:t>
      </w:r>
      <w:r w:rsidR="000201C9">
        <w:t>, including 14 and 15 year olds</w:t>
      </w:r>
      <w:r w:rsidR="008F4EC5" w:rsidRPr="00B34294">
        <w:t xml:space="preserve">.  </w:t>
      </w:r>
      <w:r w:rsidR="000D7865" w:rsidRPr="00B34294">
        <w:t>In approving Proposition 57, voters considered “[e]vidence show</w:t>
      </w:r>
      <w:r w:rsidR="00F27585" w:rsidRPr="00B34294">
        <w:t>[ing]</w:t>
      </w:r>
      <w:r w:rsidR="000D7865" w:rsidRPr="00B34294">
        <w:t xml:space="preserve"> that the more inmates are rehabilitated, the less likely they are </w:t>
      </w:r>
      <w:r w:rsidR="00827521" w:rsidRPr="00B34294">
        <w:t xml:space="preserve">to </w:t>
      </w:r>
      <w:r w:rsidR="000D7865" w:rsidRPr="00B34294">
        <w:t>re-offend</w:t>
      </w:r>
      <w:r w:rsidR="00A322CF" w:rsidRPr="00B34294">
        <w:t>.  Further evidence shows that minors who remain under juvenile court supervision are less likely to commit new crimes.</w:t>
      </w:r>
      <w:r w:rsidR="000D7865" w:rsidRPr="00B34294">
        <w:t>”</w:t>
      </w:r>
      <w:r w:rsidR="00A322CF" w:rsidRPr="00B34294">
        <w:t xml:space="preserve"> </w:t>
      </w:r>
      <w:r w:rsidR="000D7865" w:rsidRPr="00B34294">
        <w:t xml:space="preserve"> </w:t>
      </w:r>
      <w:r w:rsidR="00A322CF" w:rsidRPr="00B34294">
        <w:t>(</w:t>
      </w:r>
      <w:r w:rsidR="00E06BC9">
        <w:t xml:space="preserve">2016 </w:t>
      </w:r>
      <w:r w:rsidR="00A322CF" w:rsidRPr="00B34294">
        <w:t xml:space="preserve">Voter Guide, </w:t>
      </w:r>
      <w:r w:rsidR="00A322CF" w:rsidRPr="00B34294">
        <w:rPr>
          <w:i/>
        </w:rPr>
        <w:t>supra</w:t>
      </w:r>
      <w:r w:rsidR="00A322CF" w:rsidRPr="00B34294">
        <w:t xml:space="preserve">, </w:t>
      </w:r>
      <w:r w:rsidR="00E06BC9">
        <w:t>a</w:t>
      </w:r>
      <w:r w:rsidR="00E06BC9" w:rsidRPr="00B34294">
        <w:t>rgument</w:t>
      </w:r>
      <w:r w:rsidR="00E06BC9">
        <w:t xml:space="preserve"> in favor of Prop. 57</w:t>
      </w:r>
      <w:r w:rsidR="00A322CF" w:rsidRPr="00B34294">
        <w:t xml:space="preserve">, p. 58.)  </w:t>
      </w:r>
      <w:r w:rsidR="000D7865" w:rsidRPr="00B34294">
        <w:t>Proposition 57 “focuses our system on evidence-based rehabilitation for juveniles and adults because it is better for public safety than our current system.”</w:t>
      </w:r>
      <w:r w:rsidR="00A322CF" w:rsidRPr="00B34294">
        <w:t xml:space="preserve">  (</w:t>
      </w:r>
      <w:r w:rsidR="00A322CF" w:rsidRPr="00B34294">
        <w:rPr>
          <w:i/>
          <w:iCs/>
        </w:rPr>
        <w:t>Ibid</w:t>
      </w:r>
      <w:r w:rsidR="00A322CF" w:rsidRPr="00B34294">
        <w:t>.)</w:t>
      </w:r>
      <w:r w:rsidR="000D7865" w:rsidRPr="00B34294">
        <w:t xml:space="preserve"> </w:t>
      </w:r>
      <w:r w:rsidR="00A322CF" w:rsidRPr="00B34294">
        <w:t xml:space="preserve"> Similarly</w:t>
      </w:r>
      <w:r w:rsidR="000D7865" w:rsidRPr="00B34294">
        <w:t xml:space="preserve">, </w:t>
      </w:r>
      <w:r w:rsidRPr="00B34294">
        <w:t xml:space="preserve">in enacting </w:t>
      </w:r>
      <w:r w:rsidR="009A02EE" w:rsidRPr="00B34294">
        <w:t>S</w:t>
      </w:r>
      <w:r w:rsidR="00E06BC9">
        <w:t xml:space="preserve">enate </w:t>
      </w:r>
      <w:r w:rsidR="009A02EE" w:rsidRPr="00B34294">
        <w:t>B</w:t>
      </w:r>
      <w:r w:rsidR="00E06BC9">
        <w:t>ill</w:t>
      </w:r>
      <w:r w:rsidRPr="00B34294">
        <w:t xml:space="preserve"> 1391, the Legislature considered that</w:t>
      </w:r>
      <w:r w:rsidR="008F4EC5" w:rsidRPr="00B34294">
        <w:t xml:space="preserve"> “[t]he juvenile system is very </w:t>
      </w:r>
      <w:r w:rsidR="008F4EC5" w:rsidRPr="00B34294">
        <w:lastRenderedPageBreak/>
        <w:t xml:space="preserve">different from the adult system.  The juvenile system provides age-appropriate treatment, services, counseling, and education, and a youth’s participation in these programs </w:t>
      </w:r>
      <w:r w:rsidR="005F1DD2">
        <w:t xml:space="preserve">is </w:t>
      </w:r>
      <w:r w:rsidR="008F4EC5" w:rsidRPr="00B34294">
        <w:t>mandatory.  The adult system has no age-appropriate services, participation in rehabilitation programs is voluntary, and in many prisons, programs are oversubscribed with long waiting lists.”  (Sen. Com.</w:t>
      </w:r>
      <w:r w:rsidR="00536C9C">
        <w:t xml:space="preserve"> Analysis</w:t>
      </w:r>
      <w:r w:rsidR="008F4EC5" w:rsidRPr="00B34294">
        <w:t xml:space="preserve">, </w:t>
      </w:r>
      <w:r w:rsidR="00536C9C" w:rsidRPr="006B749B">
        <w:rPr>
          <w:i/>
          <w:iCs/>
        </w:rPr>
        <w:t>supra</w:t>
      </w:r>
      <w:r w:rsidR="00536C9C">
        <w:t xml:space="preserve">, at </w:t>
      </w:r>
      <w:r w:rsidR="008F4EC5" w:rsidRPr="00B34294">
        <w:t xml:space="preserve">p. </w:t>
      </w:r>
      <w:r w:rsidR="00BB4042" w:rsidRPr="00B34294">
        <w:t>4</w:t>
      </w:r>
      <w:r w:rsidR="008F4EC5" w:rsidRPr="00B34294">
        <w:t xml:space="preserve">.)  </w:t>
      </w:r>
      <w:r w:rsidRPr="00B34294">
        <w:t xml:space="preserve"> “</w:t>
      </w:r>
      <w:r w:rsidR="008F4EC5" w:rsidRPr="00B34294">
        <w:t>W</w:t>
      </w:r>
      <w:r w:rsidRPr="00B34294">
        <w:t xml:space="preserve">hen youth are given age-appropriate services and education that are available in the juvenile justice system, they are less likely to recidivate.”  (Assem. Com. </w:t>
      </w:r>
      <w:r w:rsidR="00536C9C">
        <w:t xml:space="preserve">Analysis, </w:t>
      </w:r>
      <w:r w:rsidR="00536C9C" w:rsidRPr="006B749B">
        <w:rPr>
          <w:i/>
          <w:iCs/>
        </w:rPr>
        <w:t>supra</w:t>
      </w:r>
      <w:r w:rsidR="00536C9C">
        <w:t xml:space="preserve">, at </w:t>
      </w:r>
      <w:r w:rsidRPr="00B34294">
        <w:t>p. 4.)  “Keeping 14 and 15 year olds in the juvenile justice system will help to ensure that youth receive treatment, counseling, and education they need to develop into healthy, law abiding adults.”  (</w:t>
      </w:r>
      <w:r w:rsidRPr="00B34294">
        <w:rPr>
          <w:i/>
          <w:iCs/>
        </w:rPr>
        <w:t>Ibid</w:t>
      </w:r>
      <w:r w:rsidRPr="00B34294">
        <w:t xml:space="preserve">.)  </w:t>
      </w:r>
      <w:r w:rsidR="009A02EE" w:rsidRPr="00B34294">
        <w:t>S</w:t>
      </w:r>
      <w:r w:rsidR="00536C9C">
        <w:t xml:space="preserve">enate </w:t>
      </w:r>
      <w:r w:rsidR="009A02EE" w:rsidRPr="00B34294">
        <w:t>B</w:t>
      </w:r>
      <w:r w:rsidR="00536C9C">
        <w:t>ill</w:t>
      </w:r>
      <w:r w:rsidR="004C4B50" w:rsidRPr="00B34294">
        <w:t xml:space="preserve"> 1391</w:t>
      </w:r>
      <w:r w:rsidR="00F27585" w:rsidRPr="00B34294">
        <w:t>, like Proposition 57,</w:t>
      </w:r>
      <w:r w:rsidR="004C4B50" w:rsidRPr="00B34294">
        <w:t xml:space="preserve"> seeks to </w:t>
      </w:r>
      <w:r w:rsidR="00F27585" w:rsidRPr="00B34294">
        <w:t xml:space="preserve">prevent </w:t>
      </w:r>
      <w:r w:rsidR="00204D5F" w:rsidRPr="00B34294">
        <w:t>recidivism</w:t>
      </w:r>
      <w:r w:rsidR="00F27585" w:rsidRPr="00B34294">
        <w:t xml:space="preserve"> by emphasizing</w:t>
      </w:r>
      <w:r w:rsidR="004C4B50" w:rsidRPr="00B34294">
        <w:t xml:space="preserve"> juvenile rehabilitation</w:t>
      </w:r>
      <w:r w:rsidR="00F27585" w:rsidRPr="00B34294">
        <w:t xml:space="preserve"> in lieu of state prison</w:t>
      </w:r>
      <w:r w:rsidR="004C4B50" w:rsidRPr="00B34294">
        <w:t xml:space="preserve">.  </w:t>
      </w:r>
      <w:r w:rsidR="00A154AD" w:rsidRPr="00B34294">
        <w:t>Under</w:t>
      </w:r>
      <w:r w:rsidR="00B43DA9" w:rsidRPr="00B34294">
        <w:t xml:space="preserve"> a reasonable construction </w:t>
      </w:r>
      <w:r w:rsidR="00684E07" w:rsidRPr="00B34294">
        <w:t>of Proposition 57,</w:t>
      </w:r>
      <w:r w:rsidRPr="00B34294">
        <w:t xml:space="preserve"> </w:t>
      </w:r>
      <w:r w:rsidR="009A02EE" w:rsidRPr="00B34294">
        <w:t>S</w:t>
      </w:r>
      <w:r w:rsidR="00536C9C">
        <w:t xml:space="preserve">enate </w:t>
      </w:r>
      <w:r w:rsidR="009A02EE" w:rsidRPr="00B34294">
        <w:t>B</w:t>
      </w:r>
      <w:r w:rsidR="00536C9C">
        <w:t>ill</w:t>
      </w:r>
      <w:r w:rsidRPr="00B34294">
        <w:t xml:space="preserve"> 1391</w:t>
      </w:r>
      <w:r w:rsidR="004C4B50" w:rsidRPr="00B34294">
        <w:t xml:space="preserve"> </w:t>
      </w:r>
      <w:r w:rsidR="00B43DA9" w:rsidRPr="00B34294">
        <w:t xml:space="preserve">is </w:t>
      </w:r>
      <w:r w:rsidR="004C4B50" w:rsidRPr="00B34294">
        <w:t>consistent with and further</w:t>
      </w:r>
      <w:r w:rsidR="00B43DA9" w:rsidRPr="00B34294">
        <w:t>s</w:t>
      </w:r>
      <w:r w:rsidR="004C4B50" w:rsidRPr="00B34294">
        <w:t xml:space="preserve"> this </w:t>
      </w:r>
      <w:r w:rsidRPr="00B34294">
        <w:t xml:space="preserve">fourth </w:t>
      </w:r>
      <w:r w:rsidR="004C4B50" w:rsidRPr="00B34294">
        <w:t>purpose.</w:t>
      </w:r>
    </w:p>
    <w:p w14:paraId="0A1FAA89" w14:textId="553E4FDB" w:rsidR="00BF68BF" w:rsidRPr="00B34294" w:rsidRDefault="00B54F10" w:rsidP="008E3B29">
      <w:pPr>
        <w:tabs>
          <w:tab w:val="left" w:pos="1440"/>
        </w:tabs>
        <w:ind w:firstLine="720"/>
      </w:pPr>
      <w:r w:rsidRPr="00B34294">
        <w:t>Finally</w:t>
      </w:r>
      <w:r w:rsidR="00057E56" w:rsidRPr="00B34294">
        <w:t xml:space="preserve">, </w:t>
      </w:r>
      <w:r w:rsidR="00A154AD" w:rsidRPr="00B34294">
        <w:t>under</w:t>
      </w:r>
      <w:r w:rsidR="002F4CFA" w:rsidRPr="00B34294">
        <w:t xml:space="preserve"> a</w:t>
      </w:r>
      <w:r w:rsidR="00A174B1" w:rsidRPr="00B34294">
        <w:t xml:space="preserve"> reasonable construction</w:t>
      </w:r>
      <w:r w:rsidR="002F4CFA" w:rsidRPr="00B34294">
        <w:t xml:space="preserve"> of Proposition 57,</w:t>
      </w:r>
      <w:r w:rsidR="00FA3EE3" w:rsidRPr="00B34294">
        <w:t xml:space="preserve"> </w:t>
      </w:r>
      <w:r w:rsidR="009A02EE" w:rsidRPr="00B34294">
        <w:t>S</w:t>
      </w:r>
      <w:r w:rsidR="00536C9C">
        <w:t xml:space="preserve">enate </w:t>
      </w:r>
      <w:r w:rsidR="009A02EE" w:rsidRPr="00B34294">
        <w:t>B</w:t>
      </w:r>
      <w:r w:rsidR="00536C9C">
        <w:t>ill</w:t>
      </w:r>
      <w:r w:rsidR="00003F61" w:rsidRPr="00B34294">
        <w:t xml:space="preserve"> 1391 </w:t>
      </w:r>
      <w:r w:rsidR="00A174B1" w:rsidRPr="00B34294">
        <w:t>is</w:t>
      </w:r>
      <w:r w:rsidR="00003F61" w:rsidRPr="00B34294">
        <w:t xml:space="preserve"> consistent with and further</w:t>
      </w:r>
      <w:r w:rsidR="00A174B1" w:rsidRPr="00B34294">
        <w:t>s</w:t>
      </w:r>
      <w:r w:rsidR="00003F61" w:rsidRPr="00B34294">
        <w:t xml:space="preserve"> </w:t>
      </w:r>
      <w:r w:rsidR="001E5B9B" w:rsidRPr="00B34294">
        <w:t xml:space="preserve">the purpose of </w:t>
      </w:r>
      <w:r w:rsidR="00057E56" w:rsidRPr="00B34294">
        <w:t>requiring</w:t>
      </w:r>
      <w:r w:rsidR="00AC71EB" w:rsidRPr="00B34294">
        <w:t xml:space="preserve"> </w:t>
      </w:r>
      <w:r w:rsidR="00057E56" w:rsidRPr="00B34294">
        <w:t>“</w:t>
      </w:r>
      <w:r w:rsidR="00AC71EB" w:rsidRPr="00B34294">
        <w:t>a judge, not a prosecutor, to decide whether juveniles should be tried in adult court.”  (</w:t>
      </w:r>
      <w:r w:rsidR="00536C9C">
        <w:t xml:space="preserve">2016 </w:t>
      </w:r>
      <w:r w:rsidR="00AC71EB" w:rsidRPr="00B34294">
        <w:t xml:space="preserve">Voter Guide, </w:t>
      </w:r>
      <w:r w:rsidR="00AC71EB" w:rsidRPr="00B34294">
        <w:rPr>
          <w:i/>
        </w:rPr>
        <w:t>supra</w:t>
      </w:r>
      <w:r w:rsidR="00AC71EB" w:rsidRPr="00B34294">
        <w:t xml:space="preserve">, text of Prop. 57, § 2, p. 141.)  Proposition 57 accomplished </w:t>
      </w:r>
      <w:r w:rsidR="00A174B1" w:rsidRPr="00B34294">
        <w:t xml:space="preserve">this purpose </w:t>
      </w:r>
      <w:r w:rsidR="00AC71EB" w:rsidRPr="00B34294">
        <w:t xml:space="preserve">by </w:t>
      </w:r>
      <w:r w:rsidR="00296A7A" w:rsidRPr="00B34294">
        <w:t xml:space="preserve">repealing </w:t>
      </w:r>
      <w:r w:rsidR="00AC71EB" w:rsidRPr="00B34294">
        <w:t xml:space="preserve">a prosecutor’s power to directly file charges against juveniles in criminal court.  </w:t>
      </w:r>
      <w:r w:rsidR="009A02EE" w:rsidRPr="00B34294">
        <w:t>S</w:t>
      </w:r>
      <w:r w:rsidR="00536C9C">
        <w:t xml:space="preserve">enate </w:t>
      </w:r>
      <w:r w:rsidR="009A02EE" w:rsidRPr="00B34294">
        <w:t>B</w:t>
      </w:r>
      <w:r w:rsidR="00536C9C">
        <w:t>ill</w:t>
      </w:r>
      <w:r w:rsidR="00AC71EB" w:rsidRPr="00B34294">
        <w:t xml:space="preserve"> 1391 does not attempt to reinstate direct filing.  Rather, </w:t>
      </w:r>
      <w:r w:rsidR="009A02EE" w:rsidRPr="00B34294">
        <w:t>S</w:t>
      </w:r>
      <w:r w:rsidR="00536C9C">
        <w:t xml:space="preserve">enate </w:t>
      </w:r>
      <w:r w:rsidR="009A02EE" w:rsidRPr="00B34294">
        <w:t>B</w:t>
      </w:r>
      <w:r w:rsidR="00536C9C">
        <w:t>ill</w:t>
      </w:r>
      <w:r w:rsidR="00AC71EB" w:rsidRPr="00B34294">
        <w:t xml:space="preserve"> 1391 “repeal[ed] the power of the prosecutor to make a motion to transfer a minor from juvenile court to adult criminal court if the minor was alleged to have committed certain serious offenses when he or she was 14 or 15 years old.”  (Sen. Com. on Public Safety</w:t>
      </w:r>
      <w:r w:rsidR="002350F9" w:rsidRPr="00B34294">
        <w:t>,</w:t>
      </w:r>
      <w:r w:rsidR="00AC71EB" w:rsidRPr="00B34294">
        <w:t xml:space="preserve"> Analysis of </w:t>
      </w:r>
      <w:r w:rsidR="00716292" w:rsidRPr="00B34294">
        <w:t>S</w:t>
      </w:r>
      <w:r w:rsidR="00536C9C">
        <w:t xml:space="preserve">en. </w:t>
      </w:r>
      <w:r w:rsidR="00716292" w:rsidRPr="00B34294">
        <w:t>B</w:t>
      </w:r>
      <w:r w:rsidR="00536C9C">
        <w:t>ill</w:t>
      </w:r>
      <w:r w:rsidR="00AC71EB" w:rsidRPr="00B34294">
        <w:t xml:space="preserve"> 1391, </w:t>
      </w:r>
      <w:r w:rsidR="00536C9C" w:rsidRPr="006B749B">
        <w:rPr>
          <w:i/>
          <w:iCs/>
        </w:rPr>
        <w:t>supra</w:t>
      </w:r>
      <w:r w:rsidR="00536C9C">
        <w:t xml:space="preserve">, </w:t>
      </w:r>
      <w:r w:rsidR="00AC71EB" w:rsidRPr="00B34294">
        <w:t xml:space="preserve">as </w:t>
      </w:r>
      <w:r w:rsidR="00536C9C">
        <w:t>introduced Feb. 16</w:t>
      </w:r>
      <w:r w:rsidR="00AC71EB" w:rsidRPr="00B34294">
        <w:t>, 2018, p. 2</w:t>
      </w:r>
      <w:r w:rsidR="00536C9C">
        <w:t>, boldface and italics omitted</w:t>
      </w:r>
      <w:r w:rsidR="00AC71EB" w:rsidRPr="00B34294">
        <w:t xml:space="preserve">.)  Proposition 57 </w:t>
      </w:r>
      <w:r w:rsidR="00AC71EB" w:rsidRPr="00B34294">
        <w:lastRenderedPageBreak/>
        <w:t xml:space="preserve">took away prosecutorial power to bypass juvenile court jurisdiction by eliminating the direct filing authority.  </w:t>
      </w:r>
      <w:r w:rsidR="009A02EE" w:rsidRPr="00B34294">
        <w:t>S</w:t>
      </w:r>
      <w:r w:rsidR="00536C9C">
        <w:t xml:space="preserve">enate </w:t>
      </w:r>
      <w:r w:rsidR="009A02EE" w:rsidRPr="00B34294">
        <w:t>B</w:t>
      </w:r>
      <w:r w:rsidR="00536C9C">
        <w:t>ill</w:t>
      </w:r>
      <w:r w:rsidR="00AC71EB" w:rsidRPr="00B34294">
        <w:t xml:space="preserve"> 1391 then narrowed that power further. </w:t>
      </w:r>
      <w:r w:rsidR="00296A7A" w:rsidRPr="00B34294">
        <w:t xml:space="preserve"> </w:t>
      </w:r>
      <w:r w:rsidR="00B40A5A" w:rsidRPr="00B34294">
        <w:t>In this way,</w:t>
      </w:r>
      <w:r w:rsidR="00296A7A" w:rsidRPr="00B34294">
        <w:t xml:space="preserve"> both </w:t>
      </w:r>
      <w:r w:rsidR="00B40A5A" w:rsidRPr="00B34294">
        <w:t>Proposition 57 and S</w:t>
      </w:r>
      <w:r w:rsidR="00536C9C">
        <w:t xml:space="preserve">enate </w:t>
      </w:r>
      <w:r w:rsidR="00B40A5A" w:rsidRPr="00B34294">
        <w:t>B</w:t>
      </w:r>
      <w:r w:rsidR="00536C9C">
        <w:t>ill</w:t>
      </w:r>
      <w:r w:rsidR="00B40A5A" w:rsidRPr="00B34294">
        <w:t xml:space="preserve"> 1391 </w:t>
      </w:r>
      <w:r w:rsidR="00296A7A" w:rsidRPr="00B34294">
        <w:t>had the same goal: to limit prosecutorial authority to prosecute juveniles as adults.</w:t>
      </w:r>
      <w:r w:rsidR="00A051FB" w:rsidRPr="00B34294">
        <w:t xml:space="preserve"> </w:t>
      </w:r>
      <w:r w:rsidR="00AC71EB" w:rsidRPr="00B34294">
        <w:t xml:space="preserve"> </w:t>
      </w:r>
    </w:p>
    <w:p w14:paraId="4A0D33DD" w14:textId="24D8ABB9" w:rsidR="00446853" w:rsidRPr="00B34294" w:rsidRDefault="00AC71EB" w:rsidP="008E3B29">
      <w:pPr>
        <w:tabs>
          <w:tab w:val="left" w:pos="1440"/>
        </w:tabs>
        <w:ind w:firstLine="720"/>
      </w:pPr>
      <w:r w:rsidRPr="00B34294">
        <w:t xml:space="preserve">Moreover, both before and after </w:t>
      </w:r>
      <w:r w:rsidR="009A02EE" w:rsidRPr="00B34294">
        <w:t>S</w:t>
      </w:r>
      <w:r w:rsidR="00536C9C">
        <w:t xml:space="preserve">enate </w:t>
      </w:r>
      <w:r w:rsidR="009A02EE" w:rsidRPr="00B34294">
        <w:t>B</w:t>
      </w:r>
      <w:r w:rsidR="00536C9C">
        <w:t>ill</w:t>
      </w:r>
      <w:r w:rsidRPr="00B34294">
        <w:t xml:space="preserve"> 1391, a judge, and not the prosecutor, still decides whether to transfer juveniles to criminal court, whenever the prosecutor has the authority to initiate the transfer process.  </w:t>
      </w:r>
      <w:r w:rsidR="00875D0E" w:rsidRPr="00B34294">
        <w:t xml:space="preserve">After </w:t>
      </w:r>
      <w:r w:rsidR="009A02EE" w:rsidRPr="00B34294">
        <w:t>S</w:t>
      </w:r>
      <w:r w:rsidR="00536C9C">
        <w:t xml:space="preserve">enate </w:t>
      </w:r>
      <w:r w:rsidR="009A02EE" w:rsidRPr="00B34294">
        <w:t>B</w:t>
      </w:r>
      <w:r w:rsidR="00536C9C">
        <w:t>ill</w:t>
      </w:r>
      <w:r w:rsidR="009A02EE" w:rsidRPr="00B34294">
        <w:t xml:space="preserve"> </w:t>
      </w:r>
      <w:r w:rsidR="00875D0E" w:rsidRPr="00B34294">
        <w:t xml:space="preserve">1391, the prosecutor continues to make a motion to transfer charged minors age 16 </w:t>
      </w:r>
      <w:r w:rsidR="004F1FCC">
        <w:t xml:space="preserve">and over </w:t>
      </w:r>
      <w:r w:rsidR="00875D0E" w:rsidRPr="00B34294">
        <w:t xml:space="preserve">and the juvenile court continues to determine whether the minor should be transferred.  </w:t>
      </w:r>
      <w:r w:rsidRPr="00B34294">
        <w:t>(Welf. &amp; Inst. Code, §</w:t>
      </w:r>
      <w:r w:rsidR="00A73A29" w:rsidRPr="00B34294">
        <w:t> </w:t>
      </w:r>
      <w:r w:rsidRPr="00B34294">
        <w:t>707, subd. (a)(1) [in certain cases involving minors “16 years of age or older</w:t>
      </w:r>
      <w:r w:rsidR="00B34294">
        <w:t> </w:t>
      </w:r>
      <w:r w:rsidRPr="00B34294">
        <w:t>. . .</w:t>
      </w:r>
      <w:r w:rsidR="00B34294">
        <w:t> </w:t>
      </w:r>
      <w:r w:rsidRPr="00B34294">
        <w:t>the district attorney</w:t>
      </w:r>
      <w:r w:rsidR="00B34294">
        <w:t> </w:t>
      </w:r>
      <w:r w:rsidRPr="00B34294">
        <w:t>. . .</w:t>
      </w:r>
      <w:r w:rsidR="00B34294">
        <w:t> </w:t>
      </w:r>
      <w:r w:rsidRPr="00B34294">
        <w:t>may make a motion to transfer the minor from juvenile court to a court of criminal jurisdiction”].)</w:t>
      </w:r>
      <w:r w:rsidR="00875D0E" w:rsidRPr="004620F6">
        <w:t xml:space="preserve">  Thus, when the</w:t>
      </w:r>
      <w:r w:rsidR="00875D0E" w:rsidRPr="00B34294">
        <w:t xml:space="preserve">re is a transfer decision to be made, a judge, and not a prosecutor, still makes that decision.  </w:t>
      </w:r>
      <w:r w:rsidR="009A02EE" w:rsidRPr="00B34294">
        <w:t>S</w:t>
      </w:r>
      <w:r w:rsidR="00536C9C">
        <w:t xml:space="preserve">enate </w:t>
      </w:r>
      <w:r w:rsidR="009A02EE" w:rsidRPr="00B34294">
        <w:t>B</w:t>
      </w:r>
      <w:r w:rsidR="00536C9C">
        <w:t>ill</w:t>
      </w:r>
      <w:r w:rsidR="00875D0E" w:rsidRPr="00B34294">
        <w:t xml:space="preserve"> 1391 has not eliminated that procedural scheme. </w:t>
      </w:r>
    </w:p>
    <w:p w14:paraId="1DE06C95" w14:textId="27409BB8" w:rsidR="000E3A7E" w:rsidRPr="00B34294" w:rsidRDefault="00AC71EB" w:rsidP="008E3B29">
      <w:pPr>
        <w:tabs>
          <w:tab w:val="left" w:pos="1440"/>
        </w:tabs>
        <w:ind w:firstLine="720"/>
        <w:rPr>
          <w:szCs w:val="26"/>
        </w:rPr>
      </w:pPr>
      <w:r w:rsidRPr="00B34294">
        <w:t xml:space="preserve">The District Attorney’s Office argues the </w:t>
      </w:r>
      <w:r w:rsidR="009A02EE" w:rsidRPr="00B34294">
        <w:t>S</w:t>
      </w:r>
      <w:r w:rsidR="00536C9C">
        <w:t xml:space="preserve">enate </w:t>
      </w:r>
      <w:r w:rsidR="009A02EE" w:rsidRPr="00B34294">
        <w:t>B</w:t>
      </w:r>
      <w:r w:rsidR="00536C9C">
        <w:t>ill</w:t>
      </w:r>
      <w:r w:rsidRPr="00B34294">
        <w:t xml:space="preserve"> 1391 is inconsistent with requiring “a judge, not a prosecutor, to decide whether juveniles should be tried in adult court” </w:t>
      </w:r>
      <w:r w:rsidR="00536C9C">
        <w:t xml:space="preserve">(2016 </w:t>
      </w:r>
      <w:r w:rsidR="00536C9C" w:rsidRPr="00B34294">
        <w:t xml:space="preserve">Voter Guide, </w:t>
      </w:r>
      <w:r w:rsidR="00536C9C" w:rsidRPr="00B34294">
        <w:rPr>
          <w:i/>
        </w:rPr>
        <w:t>supra</w:t>
      </w:r>
      <w:r w:rsidR="00536C9C" w:rsidRPr="00B34294">
        <w:t xml:space="preserve">, text of Prop. 57, § 2, p. 141) </w:t>
      </w:r>
      <w:r w:rsidRPr="00B34294">
        <w:t xml:space="preserve">because under </w:t>
      </w:r>
      <w:r w:rsidR="009A02EE" w:rsidRPr="00B34294">
        <w:t>S</w:t>
      </w:r>
      <w:r w:rsidR="00536C9C">
        <w:t xml:space="preserve">enate </w:t>
      </w:r>
      <w:r w:rsidR="009A02EE" w:rsidRPr="00B34294">
        <w:t>B</w:t>
      </w:r>
      <w:r w:rsidR="00536C9C">
        <w:t>ill</w:t>
      </w:r>
      <w:r w:rsidRPr="00B34294">
        <w:t xml:space="preserve"> 1391 a judge can no longer decide whether 14 and 15</w:t>
      </w:r>
      <w:r w:rsidR="004E573D" w:rsidRPr="00B34294">
        <w:t xml:space="preserve"> </w:t>
      </w:r>
      <w:r w:rsidRPr="00B34294">
        <w:t>year</w:t>
      </w:r>
      <w:r w:rsidR="004E573D" w:rsidRPr="00B34294">
        <w:t xml:space="preserve"> </w:t>
      </w:r>
      <w:r w:rsidRPr="00B34294">
        <w:t xml:space="preserve">olds can be transferred to criminal court.  </w:t>
      </w:r>
      <w:r w:rsidR="000A54BE" w:rsidRPr="00B34294">
        <w:t>The District Attorney’s Office argues that S</w:t>
      </w:r>
      <w:r w:rsidR="00536C9C">
        <w:t xml:space="preserve">enate </w:t>
      </w:r>
      <w:r w:rsidR="000A54BE" w:rsidRPr="00B34294">
        <w:t>B</w:t>
      </w:r>
      <w:r w:rsidR="00536C9C">
        <w:t>ill</w:t>
      </w:r>
      <w:r w:rsidR="000A54BE" w:rsidRPr="00B34294">
        <w:t xml:space="preserve"> 1391 is </w:t>
      </w:r>
      <w:r w:rsidR="00F80A92" w:rsidRPr="00B34294">
        <w:t>therefore at odds</w:t>
      </w:r>
      <w:r w:rsidR="000A54BE" w:rsidRPr="00B34294">
        <w:t xml:space="preserve"> with the specific statutory provisions of Proposition 57 that allow a prosecutor to make a motion to transfer 14 or 15 year olds to criminal court in specified cases.  (See Welf. &amp; Inst. Code</w:t>
      </w:r>
      <w:r w:rsidR="00536C9C">
        <w:t>,</w:t>
      </w:r>
      <w:r w:rsidR="000A54BE" w:rsidRPr="00B34294">
        <w:t xml:space="preserve"> § 707, former subd. (a)(1), as amend</w:t>
      </w:r>
      <w:r w:rsidR="00536C9C">
        <w:t>ed</w:t>
      </w:r>
      <w:r w:rsidR="000A54BE" w:rsidRPr="00B34294">
        <w:t xml:space="preserve"> by Prop. 57, § 4.2 [stating that a prosecutor may make a motion in any case where a 14 or </w:t>
      </w:r>
      <w:r w:rsidR="000A54BE" w:rsidRPr="00B34294">
        <w:lastRenderedPageBreak/>
        <w:t xml:space="preserve">15 year old was alleged to have committed a qualifying offense].)  </w:t>
      </w:r>
      <w:r w:rsidRPr="00B34294">
        <w:t xml:space="preserve">The District Attorney’s Office </w:t>
      </w:r>
      <w:r w:rsidR="00F80A92" w:rsidRPr="00B34294">
        <w:t xml:space="preserve">also </w:t>
      </w:r>
      <w:r w:rsidRPr="00B34294">
        <w:t xml:space="preserve">emphasizes language in Proposition 57’s ballot materials that </w:t>
      </w:r>
      <w:r w:rsidR="000D0D10" w:rsidRPr="00B34294">
        <w:t>states that juvenile court judges will decide whether minors should be prosecuted and sentence</w:t>
      </w:r>
      <w:r w:rsidR="00DE3241" w:rsidRPr="00B34294">
        <w:t>d</w:t>
      </w:r>
      <w:r w:rsidR="000D0D10" w:rsidRPr="00B34294">
        <w:t xml:space="preserve"> as adults</w:t>
      </w:r>
      <w:r w:rsidR="000A54BE" w:rsidRPr="00B34294">
        <w:t xml:space="preserve"> and that permit the transfer of juveniles age 14 and older</w:t>
      </w:r>
      <w:r w:rsidRPr="00B34294">
        <w:t>.</w:t>
      </w:r>
      <w:r w:rsidR="00014DED" w:rsidRPr="00E824F0">
        <w:rPr>
          <w:rStyle w:val="FootnoteReference"/>
        </w:rPr>
        <w:footnoteReference w:id="2"/>
      </w:r>
      <w:r w:rsidRPr="00E824F0">
        <w:t xml:space="preserve">  However,</w:t>
      </w:r>
      <w:r w:rsidR="00BC6C71" w:rsidRPr="00E824F0">
        <w:t xml:space="preserve"> the </w:t>
      </w:r>
      <w:r w:rsidRPr="00E824F0">
        <w:t xml:space="preserve">focus of requiring “a judge, not a prosecutor” </w:t>
      </w:r>
      <w:r w:rsidR="003E147F">
        <w:t xml:space="preserve">(2016 </w:t>
      </w:r>
      <w:r w:rsidR="003E147F" w:rsidRPr="00B34294">
        <w:t xml:space="preserve">Voter Guide, </w:t>
      </w:r>
      <w:r w:rsidR="003E147F" w:rsidRPr="00B34294">
        <w:rPr>
          <w:i/>
        </w:rPr>
        <w:t>supra</w:t>
      </w:r>
      <w:r w:rsidR="003E147F" w:rsidRPr="00B34294">
        <w:t xml:space="preserve">, text of Prop. 57, § 2, p. 141) </w:t>
      </w:r>
      <w:r w:rsidRPr="00E824F0">
        <w:t>to make transfer decisions was</w:t>
      </w:r>
      <w:r w:rsidR="00BF68BF" w:rsidRPr="00E824F0">
        <w:t xml:space="preserve"> neither to confer new powers on judges nor to ensure that 14 and 15 year olds would continue to be subject to adult criminal prosecution.  Instead, the focus of the provision was</w:t>
      </w:r>
      <w:r w:rsidRPr="00E824F0">
        <w:t xml:space="preserve"> on restraining prosecutorial discretion</w:t>
      </w:r>
      <w:r w:rsidR="000D0D10" w:rsidRPr="00E824F0">
        <w:t xml:space="preserve"> and upon ensuring that fewer youths would be tried in adult court</w:t>
      </w:r>
      <w:r w:rsidR="00E02F9B" w:rsidRPr="00E824F0">
        <w:t xml:space="preserve">.  </w:t>
      </w:r>
      <w:r w:rsidRPr="00E824F0">
        <w:t xml:space="preserve">Indeed, </w:t>
      </w:r>
      <w:r w:rsidRPr="00B839B7">
        <w:t xml:space="preserve">immediately after referencing </w:t>
      </w:r>
      <w:r w:rsidR="00473E94" w:rsidRPr="00B34294">
        <w:t xml:space="preserve">the </w:t>
      </w:r>
      <w:r w:rsidRPr="00B34294">
        <w:t>requirement</w:t>
      </w:r>
      <w:r w:rsidR="00473E94" w:rsidRPr="00B34294">
        <w:t xml:space="preserve"> that judges will make the juvenile transfer decision</w:t>
      </w:r>
      <w:r w:rsidRPr="004620F6">
        <w:t>, the Legislative Analyst focused on the new protections for minors and not on the authority granted to j</w:t>
      </w:r>
      <w:r w:rsidRPr="00B34294">
        <w:t xml:space="preserve">uvenile court judges.  </w:t>
      </w:r>
      <w:r w:rsidR="00793D88" w:rsidRPr="00B34294">
        <w:t xml:space="preserve">(See </w:t>
      </w:r>
      <w:r w:rsidR="00DD2B6C">
        <w:t xml:space="preserve">2016 </w:t>
      </w:r>
      <w:r w:rsidR="00793D88" w:rsidRPr="00B34294">
        <w:t xml:space="preserve">Voter Guide, </w:t>
      </w:r>
      <w:r w:rsidR="00793D88" w:rsidRPr="00B34294">
        <w:rPr>
          <w:i/>
          <w:iCs/>
        </w:rPr>
        <w:t>supra</w:t>
      </w:r>
      <w:r w:rsidR="00793D88" w:rsidRPr="00B34294">
        <w:t xml:space="preserve">, </w:t>
      </w:r>
      <w:r w:rsidR="00DD2B6C">
        <w:t xml:space="preserve">analysis of Prop. 57 by </w:t>
      </w:r>
      <w:r w:rsidR="00793D88" w:rsidRPr="00B34294">
        <w:t>Legis</w:t>
      </w:r>
      <w:r w:rsidR="00DD2B6C">
        <w:t>.</w:t>
      </w:r>
      <w:r w:rsidR="00793D88" w:rsidRPr="00B34294">
        <w:t xml:space="preserve"> Analyst, p. 56 [“As a result, the only way a youth could be tried in adult court is if the juvenile court judge in the hearing decides to transfer the youth to adult court.  Youths accused of committing certain severe crimes would no longer automatically be tried in adult court and no youth could be tried in adult court based only on the decision of a prosecutor.</w:t>
      </w:r>
      <w:r w:rsidR="00B34294">
        <w:t> </w:t>
      </w:r>
      <w:r w:rsidR="00455C7F" w:rsidRPr="00B34294">
        <w:t>.</w:t>
      </w:r>
      <w:r w:rsidR="00B34294">
        <w:t> </w:t>
      </w:r>
      <w:r w:rsidR="00455C7F" w:rsidRPr="00B34294">
        <w:t>.</w:t>
      </w:r>
      <w:r w:rsidR="00B34294">
        <w:t> </w:t>
      </w:r>
      <w:r w:rsidR="00455C7F" w:rsidRPr="00B34294">
        <w:t>.</w:t>
      </w:r>
      <w:r w:rsidR="00B34294">
        <w:t> </w:t>
      </w:r>
      <w:r w:rsidR="00455C7F" w:rsidRPr="00B34294">
        <w:t>[T]here would be fewer youths tried in adult court</w:t>
      </w:r>
      <w:r w:rsidR="00793D88" w:rsidRPr="004620F6">
        <w:t>”</w:t>
      </w:r>
      <w:r w:rsidR="00793D88" w:rsidRPr="00B34294">
        <w:t xml:space="preserve">].)  </w:t>
      </w:r>
      <w:r w:rsidR="009A02EE" w:rsidRPr="00B34294">
        <w:t>S</w:t>
      </w:r>
      <w:r w:rsidR="00DD2B6C">
        <w:t xml:space="preserve">enate </w:t>
      </w:r>
      <w:r w:rsidR="009A02EE" w:rsidRPr="00B34294">
        <w:t>B</w:t>
      </w:r>
      <w:r w:rsidR="00DD2B6C">
        <w:t>ill</w:t>
      </w:r>
      <w:r w:rsidR="00455C7F" w:rsidRPr="00B34294">
        <w:t xml:space="preserve"> 1391 “certainly narrows the class of minors who are subject to review by a juvenile court for potential transfer to criminal court</w:t>
      </w:r>
      <w:r w:rsidR="00B34294">
        <w:t> </w:t>
      </w:r>
      <w:r w:rsidR="00455C7F" w:rsidRPr="00B34294">
        <w:t>.</w:t>
      </w:r>
      <w:r w:rsidR="00B34294">
        <w:t> </w:t>
      </w:r>
      <w:r w:rsidR="00455C7F" w:rsidRPr="00B34294">
        <w:t>.</w:t>
      </w:r>
      <w:r w:rsidR="00B34294">
        <w:t> </w:t>
      </w:r>
      <w:r w:rsidR="00455C7F" w:rsidRPr="00B34294">
        <w:t>.</w:t>
      </w:r>
      <w:r w:rsidR="00B34294">
        <w:t> </w:t>
      </w:r>
      <w:r w:rsidR="00455C7F" w:rsidRPr="00B34294">
        <w:t xml:space="preserve">but it </w:t>
      </w:r>
      <w:r w:rsidR="00455C7F" w:rsidRPr="00B34294">
        <w:lastRenderedPageBreak/>
        <w:t xml:space="preserve">in no way detracts from Proposition 57’s stated intent that, where a transfer decision must be made, a judge rather than </w:t>
      </w:r>
      <w:r w:rsidR="00455C7F" w:rsidRPr="004620F6">
        <w:t>a prosecutor makes the decision.”  (</w:t>
      </w:r>
      <w:r w:rsidR="00455C7F" w:rsidRPr="00B34294">
        <w:rPr>
          <w:i/>
          <w:iCs/>
        </w:rPr>
        <w:t>Alexander C.</w:t>
      </w:r>
      <w:r w:rsidR="00455C7F" w:rsidRPr="00B34294">
        <w:t xml:space="preserve">, </w:t>
      </w:r>
      <w:r w:rsidR="00455C7F" w:rsidRPr="00B34294">
        <w:rPr>
          <w:i/>
          <w:iCs/>
        </w:rPr>
        <w:t>supra</w:t>
      </w:r>
      <w:r w:rsidR="00455C7F" w:rsidRPr="00B34294">
        <w:t xml:space="preserve">, 34 Cal.App.5th at p. </w:t>
      </w:r>
      <w:r w:rsidR="0089696F" w:rsidRPr="00B34294">
        <w:t>1001.</w:t>
      </w:r>
      <w:r w:rsidR="00455C7F" w:rsidRPr="00B34294">
        <w:t xml:space="preserve">) </w:t>
      </w:r>
      <w:r w:rsidR="0029746F" w:rsidRPr="00B34294">
        <w:rPr>
          <w:b/>
          <w:bCs/>
          <w:szCs w:val="26"/>
        </w:rPr>
        <w:t xml:space="preserve"> </w:t>
      </w:r>
      <w:r w:rsidR="00A154AD" w:rsidRPr="00B34294">
        <w:t>Under</w:t>
      </w:r>
      <w:r w:rsidR="00293A06" w:rsidRPr="00B34294">
        <w:t xml:space="preserve"> </w:t>
      </w:r>
      <w:r w:rsidR="00B43DA9" w:rsidRPr="00B34294">
        <w:t xml:space="preserve">a reasonable construction </w:t>
      </w:r>
      <w:r w:rsidR="002F4CFA" w:rsidRPr="00B34294">
        <w:t>of Proposition 57</w:t>
      </w:r>
      <w:r w:rsidR="00237264" w:rsidRPr="00B34294">
        <w:t xml:space="preserve">, </w:t>
      </w:r>
      <w:r w:rsidR="009A02EE" w:rsidRPr="00B34294">
        <w:t>S</w:t>
      </w:r>
      <w:r w:rsidR="006A5F52">
        <w:t xml:space="preserve">enate </w:t>
      </w:r>
      <w:r w:rsidR="009A02EE" w:rsidRPr="00B34294">
        <w:t>B</w:t>
      </w:r>
      <w:r w:rsidR="006A5F52">
        <w:t>ill</w:t>
      </w:r>
      <w:r w:rsidRPr="00B34294">
        <w:t xml:space="preserve"> 1391 </w:t>
      </w:r>
      <w:r w:rsidR="00B43DA9" w:rsidRPr="00B34294">
        <w:t xml:space="preserve">is </w:t>
      </w:r>
      <w:r w:rsidRPr="00B34294">
        <w:t>consistent with and further</w:t>
      </w:r>
      <w:r w:rsidR="00EF226E">
        <w:t>s</w:t>
      </w:r>
      <w:r w:rsidRPr="00B34294">
        <w:t xml:space="preserve"> </w:t>
      </w:r>
      <w:r w:rsidR="00351AB3" w:rsidRPr="00B34294">
        <w:t>this</w:t>
      </w:r>
      <w:r w:rsidRPr="00B34294">
        <w:t xml:space="preserve"> purpose because, like Proposition 57, </w:t>
      </w:r>
      <w:r w:rsidR="009A02EE" w:rsidRPr="00B34294">
        <w:t>S</w:t>
      </w:r>
      <w:r w:rsidR="003E147F">
        <w:t xml:space="preserve">enate </w:t>
      </w:r>
      <w:r w:rsidR="009A02EE" w:rsidRPr="00B34294">
        <w:t>B</w:t>
      </w:r>
      <w:r w:rsidR="003E147F">
        <w:t>ill</w:t>
      </w:r>
      <w:r w:rsidRPr="00B34294">
        <w:t xml:space="preserve"> 1391 further narrowed prosecutorial power to try 14 and 15</w:t>
      </w:r>
      <w:r w:rsidR="004E573D" w:rsidRPr="00B34294">
        <w:t xml:space="preserve"> </w:t>
      </w:r>
      <w:r w:rsidRPr="00B34294">
        <w:t>year</w:t>
      </w:r>
      <w:r w:rsidR="004E573D" w:rsidRPr="00B34294">
        <w:t xml:space="preserve"> </w:t>
      </w:r>
      <w:r w:rsidRPr="00B34294">
        <w:t xml:space="preserve">olds in criminal court and, when there is a transfer decision to be made, a judge, and not the prosecutor, still makes </w:t>
      </w:r>
      <w:r w:rsidR="00351AB3" w:rsidRPr="00B34294">
        <w:t>that decision</w:t>
      </w:r>
      <w:r w:rsidRPr="00B34294">
        <w:t xml:space="preserve"> </w:t>
      </w:r>
      <w:r w:rsidRPr="00B34294">
        <w:rPr>
          <w:szCs w:val="26"/>
        </w:rPr>
        <w:t xml:space="preserve">under </w:t>
      </w:r>
      <w:r w:rsidR="009A02EE" w:rsidRPr="00B34294">
        <w:rPr>
          <w:szCs w:val="26"/>
        </w:rPr>
        <w:t>S</w:t>
      </w:r>
      <w:r w:rsidR="003E147F">
        <w:rPr>
          <w:szCs w:val="26"/>
        </w:rPr>
        <w:t xml:space="preserve">enate </w:t>
      </w:r>
      <w:r w:rsidR="009A02EE" w:rsidRPr="00B34294">
        <w:rPr>
          <w:szCs w:val="26"/>
        </w:rPr>
        <w:t>B</w:t>
      </w:r>
      <w:r w:rsidR="003E147F">
        <w:rPr>
          <w:szCs w:val="26"/>
        </w:rPr>
        <w:t>ill</w:t>
      </w:r>
      <w:r w:rsidRPr="00B34294">
        <w:rPr>
          <w:szCs w:val="26"/>
        </w:rPr>
        <w:t xml:space="preserve"> 1391.</w:t>
      </w:r>
    </w:p>
    <w:p w14:paraId="349A5CA9" w14:textId="38B9F99F" w:rsidR="00E31587" w:rsidRPr="00B34294" w:rsidRDefault="00E31587" w:rsidP="008E3B29">
      <w:pPr>
        <w:tabs>
          <w:tab w:val="left" w:pos="1440"/>
        </w:tabs>
        <w:ind w:firstLine="720"/>
      </w:pPr>
      <w:r w:rsidRPr="00B34294">
        <w:rPr>
          <w:szCs w:val="26"/>
        </w:rPr>
        <w:t>Of course</w:t>
      </w:r>
      <w:r w:rsidR="00197334" w:rsidRPr="00B34294">
        <w:rPr>
          <w:szCs w:val="26"/>
        </w:rPr>
        <w:t>, eliminating the ability to transfer 14 and 15</w:t>
      </w:r>
      <w:r w:rsidR="004E573D" w:rsidRPr="00B34294">
        <w:rPr>
          <w:szCs w:val="26"/>
        </w:rPr>
        <w:t xml:space="preserve"> </w:t>
      </w:r>
      <w:r w:rsidR="00197334" w:rsidRPr="00B34294">
        <w:rPr>
          <w:szCs w:val="26"/>
        </w:rPr>
        <w:t>year</w:t>
      </w:r>
      <w:r w:rsidR="004E573D" w:rsidRPr="00B34294">
        <w:rPr>
          <w:szCs w:val="26"/>
        </w:rPr>
        <w:t xml:space="preserve"> </w:t>
      </w:r>
      <w:r w:rsidR="00197334" w:rsidRPr="00B34294">
        <w:rPr>
          <w:szCs w:val="26"/>
        </w:rPr>
        <w:t>olds to adult court is a change from Proposition 57’s statutory provisions and the prior practice, but that change is what makes</w:t>
      </w:r>
      <w:r w:rsidR="00197334" w:rsidRPr="00B34294">
        <w:t xml:space="preserve"> S</w:t>
      </w:r>
      <w:r w:rsidR="00DD2B6C">
        <w:t xml:space="preserve">enate </w:t>
      </w:r>
      <w:r w:rsidR="00197334" w:rsidRPr="00B34294">
        <w:t>B</w:t>
      </w:r>
      <w:r w:rsidR="00DD2B6C">
        <w:t>ill</w:t>
      </w:r>
      <w:r w:rsidR="00197334" w:rsidRPr="00B34294">
        <w:t xml:space="preserve"> 1391 an amendment to Proposition 57.  </w:t>
      </w:r>
      <w:r w:rsidR="00570909" w:rsidRPr="00B34294">
        <w:t>Proposition 57 provides that its provisions concerning the treatment of juveniles “may be amended so long as such amendments are consistent with and further the intent of this act by a statu</w:t>
      </w:r>
      <w:r w:rsidR="008558D5">
        <w:t>t</w:t>
      </w:r>
      <w:r w:rsidR="00570909" w:rsidRPr="00B34294">
        <w:t>e that is passed by a majority vote of the members of each house of the Legislature and signed by the Governor.”  (</w:t>
      </w:r>
      <w:r w:rsidR="00DD2B6C">
        <w:t xml:space="preserve">2016 </w:t>
      </w:r>
      <w:r w:rsidR="00570909" w:rsidRPr="00B34294">
        <w:t xml:space="preserve">Voter Guide, </w:t>
      </w:r>
      <w:r w:rsidR="00570909" w:rsidRPr="00B34294">
        <w:rPr>
          <w:i/>
          <w:iCs/>
        </w:rPr>
        <w:t>supra</w:t>
      </w:r>
      <w:r w:rsidR="00570909" w:rsidRPr="00B34294">
        <w:t>, text of Prop. 57, § 5, p. 145.)</w:t>
      </w:r>
    </w:p>
    <w:p w14:paraId="1557B178" w14:textId="62F82364" w:rsidR="00CF5510" w:rsidRPr="00B34294" w:rsidRDefault="00CF5510" w:rsidP="008E3B29">
      <w:pPr>
        <w:tabs>
          <w:tab w:val="left" w:pos="1440"/>
        </w:tabs>
        <w:ind w:firstLine="720"/>
      </w:pPr>
      <w:r w:rsidRPr="00B34294">
        <w:t xml:space="preserve">The District Attorney’s Office argues that Proposition 57’s amendment clause is a two-part test requiring that any amendment be both “consistent with [this act]” and “further[] the intent of this act.”  </w:t>
      </w:r>
      <w:r w:rsidR="00DD2B6C" w:rsidRPr="00B34294">
        <w:t>(</w:t>
      </w:r>
      <w:r w:rsidR="00DD2B6C">
        <w:t xml:space="preserve">2016 </w:t>
      </w:r>
      <w:r w:rsidR="00DD2B6C" w:rsidRPr="00B34294">
        <w:t xml:space="preserve">Voter Guide, </w:t>
      </w:r>
      <w:r w:rsidR="00DD2B6C" w:rsidRPr="00B34294">
        <w:rPr>
          <w:i/>
          <w:iCs/>
        </w:rPr>
        <w:t>supra</w:t>
      </w:r>
      <w:r w:rsidR="00DD2B6C" w:rsidRPr="00B34294">
        <w:t>, text of Prop. 57, § 5, p. 145</w:t>
      </w:r>
      <w:r w:rsidR="00DD2B6C">
        <w:t xml:space="preserve">.)  </w:t>
      </w:r>
      <w:r w:rsidR="0018588E" w:rsidRPr="00B34294">
        <w:t>The District Attorney</w:t>
      </w:r>
      <w:r w:rsidR="001009A5" w:rsidRPr="00B34294">
        <w:t>’s Office</w:t>
      </w:r>
      <w:r w:rsidR="0018588E" w:rsidRPr="00B34294">
        <w:t xml:space="preserve"> argues that because S</w:t>
      </w:r>
      <w:r w:rsidR="00DD2B6C">
        <w:t xml:space="preserve">enate </w:t>
      </w:r>
      <w:r w:rsidR="0018588E" w:rsidRPr="00B34294">
        <w:t>B</w:t>
      </w:r>
      <w:r w:rsidR="00DD2B6C">
        <w:t>ill</w:t>
      </w:r>
      <w:r w:rsidR="0018588E" w:rsidRPr="00B34294">
        <w:t xml:space="preserve"> 1391 is not expressly consistent with Proposition 57, S</w:t>
      </w:r>
      <w:r w:rsidR="00DD2B6C">
        <w:t xml:space="preserve">enate </w:t>
      </w:r>
      <w:r w:rsidR="0018588E" w:rsidRPr="00B34294">
        <w:t>B</w:t>
      </w:r>
      <w:r w:rsidR="00DD2B6C">
        <w:t>ill</w:t>
      </w:r>
      <w:r w:rsidR="0018588E" w:rsidRPr="00B34294">
        <w:t xml:space="preserve"> 1391 is invalid.</w:t>
      </w:r>
      <w:r w:rsidR="00E925B9" w:rsidRPr="008E3B29">
        <w:rPr>
          <w:rStyle w:val="CommentReference"/>
          <w:sz w:val="27"/>
        </w:rPr>
        <w:t xml:space="preserve"> </w:t>
      </w:r>
      <w:r w:rsidR="0018588E" w:rsidRPr="00E824F0">
        <w:t xml:space="preserve"> </w:t>
      </w:r>
      <w:bookmarkStart w:id="3" w:name="_Hlk52801730"/>
      <w:r w:rsidR="003F01ED" w:rsidRPr="00E824F0">
        <w:t xml:space="preserve">However, </w:t>
      </w:r>
      <w:r w:rsidR="00D40C65" w:rsidRPr="00E824F0">
        <w:t>O.G. argues that</w:t>
      </w:r>
      <w:r w:rsidR="006B5143" w:rsidRPr="00E824F0">
        <w:t xml:space="preserve"> </w:t>
      </w:r>
      <w:r w:rsidR="000201C9">
        <w:t>we should interpret</w:t>
      </w:r>
      <w:r w:rsidR="003F01ED" w:rsidRPr="00E824F0">
        <w:t xml:space="preserve"> Proposition 57’s amendment clause </w:t>
      </w:r>
      <w:r w:rsidR="00F93A44" w:rsidRPr="00E824F0">
        <w:t xml:space="preserve">as </w:t>
      </w:r>
      <w:r w:rsidR="003F01ED" w:rsidRPr="00E824F0">
        <w:t>authoriz</w:t>
      </w:r>
      <w:r w:rsidR="00F93A44" w:rsidRPr="00B839B7">
        <w:t>ing</w:t>
      </w:r>
      <w:r w:rsidR="003F01ED" w:rsidRPr="00B839B7">
        <w:t xml:space="preserve"> amendments that are “consistent with [the intent of the </w:t>
      </w:r>
      <w:r w:rsidR="006B5143" w:rsidRPr="00B839B7">
        <w:t>a</w:t>
      </w:r>
      <w:r w:rsidR="003F01ED" w:rsidRPr="00B839B7">
        <w:t>ct] and [that] further the intent of this act</w:t>
      </w:r>
      <w:r w:rsidR="006B5143" w:rsidRPr="004620F6">
        <w:t>.</w:t>
      </w:r>
      <w:r w:rsidR="003F01ED" w:rsidRPr="00B34294">
        <w:t xml:space="preserve">” </w:t>
      </w:r>
      <w:r w:rsidR="00D40C65" w:rsidRPr="00B34294">
        <w:t xml:space="preserve"> </w:t>
      </w:r>
      <w:r w:rsidR="006B5143" w:rsidRPr="00B34294">
        <w:t xml:space="preserve">In other words, O.G. argues that the amendment must be </w:t>
      </w:r>
      <w:r w:rsidR="006B5143" w:rsidRPr="00B34294">
        <w:lastRenderedPageBreak/>
        <w:t xml:space="preserve">consistent with and further the intent of the act, but does not need to be consistent with the express language of the act.  </w:t>
      </w:r>
      <w:r w:rsidR="004C5708" w:rsidRPr="00B34294">
        <w:t>O.G. has the better argument.</w:t>
      </w:r>
      <w:r w:rsidR="00BD1D18">
        <w:t xml:space="preserve">  </w:t>
      </w:r>
      <w:r w:rsidR="004C5708" w:rsidRPr="00B34294">
        <w:t>Limiting</w:t>
      </w:r>
      <w:r w:rsidR="00C2630A" w:rsidRPr="00B34294">
        <w:t xml:space="preserve"> authorized amendments to those consistent with the express language of the act, “would appear to preclude any amendment that deletes or repeals any portion of the Act, no matter how consistent such action might be with the purpose of the Act itself.”  (</w:t>
      </w:r>
      <w:r w:rsidR="00C2630A" w:rsidRPr="00B34294">
        <w:rPr>
          <w:i/>
          <w:iCs/>
        </w:rPr>
        <w:t>T.D.</w:t>
      </w:r>
      <w:r w:rsidR="00C2630A" w:rsidRPr="00B34294">
        <w:t xml:space="preserve">, </w:t>
      </w:r>
      <w:r w:rsidR="00C2630A" w:rsidRPr="00B34294">
        <w:rPr>
          <w:i/>
          <w:iCs/>
        </w:rPr>
        <w:t>supra</w:t>
      </w:r>
      <w:r w:rsidR="00C2630A" w:rsidRPr="00B34294">
        <w:t xml:space="preserve">, 38 Cal.App.5th at </w:t>
      </w:r>
      <w:r w:rsidR="002350F9" w:rsidRPr="00B34294">
        <w:t xml:space="preserve">p. </w:t>
      </w:r>
      <w:r w:rsidR="00C2630A" w:rsidRPr="00B34294">
        <w:t>372.)  “</w:t>
      </w:r>
      <w:r w:rsidR="00370449" w:rsidRPr="00B34294">
        <w:t>[I]</w:t>
      </w:r>
      <w:r w:rsidR="00C2630A" w:rsidRPr="00B34294">
        <w:t>f any amendment to the provisions of an initiative is considered inconsistent with an initiative’s intent or purpose, then an initiative such as Proposition 57 could never be amended.”  (</w:t>
      </w:r>
      <w:r w:rsidR="00C2630A" w:rsidRPr="00B34294">
        <w:rPr>
          <w:i/>
          <w:iCs/>
        </w:rPr>
        <w:t>Alexander C.</w:t>
      </w:r>
      <w:r w:rsidR="00C2630A" w:rsidRPr="00B34294">
        <w:t xml:space="preserve">, </w:t>
      </w:r>
      <w:r w:rsidR="00C2630A" w:rsidRPr="00B34294">
        <w:rPr>
          <w:i/>
          <w:iCs/>
        </w:rPr>
        <w:t>supra</w:t>
      </w:r>
      <w:r w:rsidR="00C2630A" w:rsidRPr="00B34294">
        <w:t xml:space="preserve">, 34 Cal.App.5th at p. 1003.)  </w:t>
      </w:r>
      <w:r w:rsidR="00570909" w:rsidRPr="00B34294">
        <w:t>The District Attorney’s Office’s interpretation here would render th</w:t>
      </w:r>
      <w:r w:rsidR="00AD4A58" w:rsidRPr="00B34294">
        <w:t>e</w:t>
      </w:r>
      <w:r w:rsidR="00570909" w:rsidRPr="00B34294">
        <w:t xml:space="preserve"> amendment clause a nullity.  (See </w:t>
      </w:r>
      <w:r w:rsidR="00570909" w:rsidRPr="00B34294">
        <w:rPr>
          <w:i/>
          <w:iCs/>
        </w:rPr>
        <w:t xml:space="preserve">Williams v. Superior Court </w:t>
      </w:r>
      <w:r w:rsidR="00570909" w:rsidRPr="00B34294">
        <w:t xml:space="preserve">(1993) 5 Cal.4th 337, 357 [“An interpretation that renders statutory language a nullity is obviously to be avoided”].)  </w:t>
      </w:r>
      <w:r w:rsidRPr="00B34294">
        <w:t xml:space="preserve"> </w:t>
      </w:r>
    </w:p>
    <w:p w14:paraId="15BC01DD" w14:textId="200FF0E1" w:rsidR="00FF3805" w:rsidRPr="00B34294" w:rsidRDefault="00570909" w:rsidP="008E3B29">
      <w:pPr>
        <w:tabs>
          <w:tab w:val="left" w:pos="1440"/>
        </w:tabs>
        <w:ind w:firstLine="720"/>
      </w:pPr>
      <w:r w:rsidRPr="00B34294">
        <w:t xml:space="preserve">The District Attorney’s Office </w:t>
      </w:r>
      <w:r w:rsidR="001009A5" w:rsidRPr="00B34294">
        <w:t xml:space="preserve">nonetheless </w:t>
      </w:r>
      <w:r w:rsidRPr="00B34294">
        <w:t xml:space="preserve">suggests this would not make the amendment clause a nullity because amendments “consistent with” Proposition 57 could still include “minor” amendments to “clarify ambiguous terms, to correct drafting errors in the original language” or adjust procedures.  </w:t>
      </w:r>
      <w:r w:rsidR="00547D2B" w:rsidRPr="00B34294">
        <w:t xml:space="preserve">There is no reason to believe that Proposition 57’s amendment clause contemplated </w:t>
      </w:r>
      <w:r w:rsidR="001702D8">
        <w:t>only</w:t>
      </w:r>
      <w:r w:rsidR="00547D2B" w:rsidRPr="00B34294">
        <w:t xml:space="preserve"> the correction of typographical</w:t>
      </w:r>
      <w:r w:rsidR="00A5680C" w:rsidRPr="00B34294">
        <w:t xml:space="preserve"> and drafting</w:t>
      </w:r>
      <w:r w:rsidR="00547D2B" w:rsidRPr="00B34294">
        <w:t xml:space="preserve"> errors.  To the contrary,</w:t>
      </w:r>
      <w:r w:rsidR="00257B37" w:rsidRPr="00B34294">
        <w:t xml:space="preserve"> </w:t>
      </w:r>
      <w:r w:rsidR="00FF3805" w:rsidRPr="00B34294">
        <w:rPr>
          <w:szCs w:val="26"/>
        </w:rPr>
        <w:t xml:space="preserve">in </w:t>
      </w:r>
      <w:r w:rsidR="00B8223D" w:rsidRPr="00B34294">
        <w:rPr>
          <w:szCs w:val="26"/>
        </w:rPr>
        <w:t>enacting an initiative, voters are presumed to be aware of existing laws.  (</w:t>
      </w:r>
      <w:r w:rsidR="00B8223D" w:rsidRPr="00B34294">
        <w:rPr>
          <w:i/>
          <w:iCs/>
          <w:szCs w:val="26"/>
        </w:rPr>
        <w:t>Professional Engineers in California Government v. Kempton</w:t>
      </w:r>
      <w:r w:rsidR="00B8223D" w:rsidRPr="00B34294">
        <w:rPr>
          <w:szCs w:val="26"/>
        </w:rPr>
        <w:t xml:space="preserve"> (2007) 40 Cal.4th 1016, 1048.) </w:t>
      </w:r>
      <w:r w:rsidR="005A5A80" w:rsidRPr="00B34294">
        <w:rPr>
          <w:szCs w:val="26"/>
        </w:rPr>
        <w:t xml:space="preserve"> Because existing case law ha</w:t>
      </w:r>
      <w:r w:rsidR="00FF3805" w:rsidRPr="00B34294">
        <w:rPr>
          <w:szCs w:val="26"/>
        </w:rPr>
        <w:t>d</w:t>
      </w:r>
      <w:r w:rsidR="005A5A80" w:rsidRPr="00B34294">
        <w:rPr>
          <w:szCs w:val="26"/>
        </w:rPr>
        <w:t xml:space="preserve"> </w:t>
      </w:r>
      <w:r w:rsidR="002224CF">
        <w:rPr>
          <w:szCs w:val="26"/>
        </w:rPr>
        <w:t xml:space="preserve">interpreted similar amendment clauses </w:t>
      </w:r>
      <w:r w:rsidR="005A5A80" w:rsidRPr="00B34294">
        <w:rPr>
          <w:szCs w:val="26"/>
        </w:rPr>
        <w:t>by the time of the passage of Proposition 57</w:t>
      </w:r>
      <w:r w:rsidR="00FF3805" w:rsidRPr="00B34294">
        <w:rPr>
          <w:szCs w:val="26"/>
        </w:rPr>
        <w:t>,</w:t>
      </w:r>
      <w:r w:rsidR="005A5A80" w:rsidRPr="00B34294">
        <w:rPr>
          <w:szCs w:val="26"/>
        </w:rPr>
        <w:t xml:space="preserve"> we presume that in </w:t>
      </w:r>
      <w:r w:rsidR="002224CF">
        <w:rPr>
          <w:szCs w:val="26"/>
        </w:rPr>
        <w:t>authorizing</w:t>
      </w:r>
      <w:r w:rsidR="005A5A80" w:rsidRPr="00B34294">
        <w:rPr>
          <w:szCs w:val="26"/>
        </w:rPr>
        <w:t xml:space="preserve"> “amendments” </w:t>
      </w:r>
      <w:r w:rsidR="002224CF">
        <w:rPr>
          <w:szCs w:val="26"/>
        </w:rPr>
        <w:t xml:space="preserve">that “are consistent with and further the intent of this act” </w:t>
      </w:r>
      <w:r w:rsidR="00DD2B6C" w:rsidRPr="00B34294">
        <w:t>(</w:t>
      </w:r>
      <w:r w:rsidR="00DD2B6C">
        <w:t xml:space="preserve">2016 </w:t>
      </w:r>
      <w:r w:rsidR="00DD2B6C" w:rsidRPr="00B34294">
        <w:t xml:space="preserve">Voter Guide, </w:t>
      </w:r>
      <w:r w:rsidR="00DD2B6C" w:rsidRPr="00B34294">
        <w:rPr>
          <w:i/>
          <w:iCs/>
        </w:rPr>
        <w:t>supra</w:t>
      </w:r>
      <w:r w:rsidR="00DD2B6C" w:rsidRPr="00B34294">
        <w:t>, text of Prop. 57, § 5, p. 145</w:t>
      </w:r>
      <w:r w:rsidR="00DD2B6C">
        <w:t xml:space="preserve">), </w:t>
      </w:r>
      <w:r w:rsidR="005A5A80" w:rsidRPr="00B34294">
        <w:rPr>
          <w:szCs w:val="26"/>
        </w:rPr>
        <w:t xml:space="preserve">the voters </w:t>
      </w:r>
      <w:r w:rsidR="005A5A80" w:rsidRPr="00B34294">
        <w:rPr>
          <w:szCs w:val="26"/>
        </w:rPr>
        <w:lastRenderedPageBreak/>
        <w:t xml:space="preserve">intended that authorization to carry </w:t>
      </w:r>
      <w:r w:rsidR="002F54F7">
        <w:rPr>
          <w:szCs w:val="26"/>
        </w:rPr>
        <w:t xml:space="preserve">the </w:t>
      </w:r>
      <w:r w:rsidR="005A5A80" w:rsidRPr="00B34294">
        <w:rPr>
          <w:szCs w:val="26"/>
        </w:rPr>
        <w:t xml:space="preserve">broad meaning defined by case law.  </w:t>
      </w:r>
      <w:r w:rsidR="00812269" w:rsidRPr="00B34294">
        <w:t>(See</w:t>
      </w:r>
      <w:r w:rsidR="00812269" w:rsidRPr="008E3B29">
        <w:rPr>
          <w:color w:val="000000"/>
          <w:szCs w:val="24"/>
          <w:shd w:val="clear" w:color="auto" w:fill="FFFFFF"/>
        </w:rPr>
        <w:t xml:space="preserve"> </w:t>
      </w:r>
      <w:r w:rsidR="00812269" w:rsidRPr="00E824F0">
        <w:rPr>
          <w:i/>
          <w:iCs/>
        </w:rPr>
        <w:t>In re J.C.</w:t>
      </w:r>
      <w:r w:rsidR="00812269" w:rsidRPr="00E824F0">
        <w:t xml:space="preserve"> (2016) 246 Cal.App.4th 1462, </w:t>
      </w:r>
      <w:r w:rsidR="00DD2B6C">
        <w:t xml:space="preserve">1483, </w:t>
      </w:r>
      <w:r w:rsidR="002F54F7">
        <w:t>1482</w:t>
      </w:r>
      <w:r w:rsidR="00812269" w:rsidRPr="00E824F0">
        <w:t xml:space="preserve"> [</w:t>
      </w:r>
      <w:r w:rsidR="002224CF">
        <w:t>even though one “plausible reading” of an initiative was inconsistent with subsequent legislation,</w:t>
      </w:r>
      <w:r w:rsidR="00B2482D" w:rsidRPr="00E824F0">
        <w:t xml:space="preserve"> </w:t>
      </w:r>
      <w:r w:rsidR="00812269" w:rsidRPr="00E824F0">
        <w:t>“</w:t>
      </w:r>
      <w:r w:rsidR="00B2482D" w:rsidRPr="00E824F0">
        <w:t>an alternat</w:t>
      </w:r>
      <w:r w:rsidR="00B6592B">
        <w:t>[</w:t>
      </w:r>
      <w:r w:rsidR="00B2482D" w:rsidRPr="00E824F0">
        <w:t>e</w:t>
      </w:r>
      <w:r w:rsidR="00B6592B">
        <w:t>]</w:t>
      </w:r>
      <w:r w:rsidR="00B2482D" w:rsidRPr="00E824F0">
        <w:t xml:space="preserve"> and equally </w:t>
      </w:r>
      <w:r w:rsidR="00812269" w:rsidRPr="00E824F0">
        <w:t xml:space="preserve">plausible reading” of the initiative </w:t>
      </w:r>
      <w:r w:rsidR="002224CF">
        <w:t>“would satisfy the proposition’s requirement that any amendment be consistent with and further its intent”</w:t>
      </w:r>
      <w:r w:rsidR="00812269" w:rsidRPr="00E824F0">
        <w:t xml:space="preserve">]; </w:t>
      </w:r>
      <w:r w:rsidR="00812269" w:rsidRPr="00E824F0">
        <w:rPr>
          <w:i/>
          <w:iCs/>
        </w:rPr>
        <w:t>Jensen v. Franchise Tax Bd.</w:t>
      </w:r>
      <w:r w:rsidR="00812269" w:rsidRPr="00E824F0">
        <w:t> (2009) 178 Cal.App.4th 426, 441</w:t>
      </w:r>
      <w:r w:rsidR="00812269" w:rsidRPr="00B839B7">
        <w:t xml:space="preserve"> [“[I]f the mental health services funding requirements</w:t>
      </w:r>
      <w:r w:rsidR="00812269" w:rsidRPr="004620F6">
        <w:t xml:space="preserve"> [of Proposition 63]</w:t>
      </w:r>
      <w:r w:rsidR="00812269" w:rsidRPr="00B34294">
        <w:t xml:space="preserve"> prove too onerous, the electorate or the Legislature may vote to diminish them in the future” without exceeding legislative authority to amend the initiative consistent with and in furtherance of its intent].)</w:t>
      </w:r>
      <w:r w:rsidR="00D91094">
        <w:t xml:space="preserve">  </w:t>
      </w:r>
      <w:r w:rsidR="00FF2D13">
        <w:t>In this specific context, it is at least a</w:t>
      </w:r>
      <w:r w:rsidR="00FF2D13" w:rsidRPr="009F68C9">
        <w:t xml:space="preserve"> </w:t>
      </w:r>
      <w:r w:rsidR="00FF2D13" w:rsidRPr="00B34294">
        <w:t>“reasonable construction” of Proposition 57 (</w:t>
      </w:r>
      <w:r w:rsidR="00FF2D13" w:rsidRPr="00B34294">
        <w:rPr>
          <w:i/>
          <w:iCs/>
        </w:rPr>
        <w:t>Amwest</w:t>
      </w:r>
      <w:r w:rsidR="00FF2D13" w:rsidRPr="00B34294">
        <w:t xml:space="preserve">, </w:t>
      </w:r>
      <w:r w:rsidR="00FF2D13" w:rsidRPr="00B34294">
        <w:rPr>
          <w:i/>
          <w:iCs/>
        </w:rPr>
        <w:t>supra</w:t>
      </w:r>
      <w:r w:rsidR="00FF2D13" w:rsidRPr="00B34294">
        <w:t>, 11 Cal.4th at p. 1256)</w:t>
      </w:r>
      <w:r w:rsidR="00FF2D13">
        <w:t xml:space="preserve"> to conclude</w:t>
      </w:r>
      <w:r w:rsidR="009F68C9" w:rsidRPr="009F68C9">
        <w:t xml:space="preserve"> </w:t>
      </w:r>
      <w:r w:rsidR="009F68C9">
        <w:t>that “</w:t>
      </w:r>
      <w:r w:rsidR="009F68C9">
        <w:rPr>
          <w:szCs w:val="26"/>
        </w:rPr>
        <w:t xml:space="preserve">consistent with and further” </w:t>
      </w:r>
      <w:r w:rsidR="009F68C9" w:rsidRPr="00B34294">
        <w:t>(</w:t>
      </w:r>
      <w:r w:rsidR="009F68C9">
        <w:t xml:space="preserve">2016 </w:t>
      </w:r>
      <w:r w:rsidR="009F68C9" w:rsidRPr="00B34294">
        <w:t xml:space="preserve">Voter Guide, </w:t>
      </w:r>
      <w:r w:rsidR="009F68C9" w:rsidRPr="00B34294">
        <w:rPr>
          <w:i/>
          <w:iCs/>
        </w:rPr>
        <w:t>supra</w:t>
      </w:r>
      <w:r w:rsidR="009F68C9" w:rsidRPr="00B34294">
        <w:t>, text of Prop. 57, § 5, p. 145</w:t>
      </w:r>
      <w:r w:rsidR="009F68C9">
        <w:t xml:space="preserve">) </w:t>
      </w:r>
      <w:r w:rsidR="009F68C9" w:rsidRPr="009F68C9">
        <w:t xml:space="preserve">is </w:t>
      </w:r>
      <w:r w:rsidR="00FF2D13">
        <w:t xml:space="preserve">simply </w:t>
      </w:r>
      <w:r w:rsidR="009F68C9" w:rsidRPr="009F68C9">
        <w:t xml:space="preserve">a means of conveying emphasis — even </w:t>
      </w:r>
      <w:r w:rsidR="009F68C9">
        <w:t>though this</w:t>
      </w:r>
      <w:r w:rsidR="009F68C9" w:rsidRPr="009F68C9">
        <w:t xml:space="preserve"> involves surplusage</w:t>
      </w:r>
      <w:r w:rsidR="009F68C9">
        <w:t>.</w:t>
      </w:r>
      <w:r w:rsidR="00D91094" w:rsidRPr="004B23CC">
        <w:t xml:space="preserve"> </w:t>
      </w:r>
    </w:p>
    <w:p w14:paraId="578488C7" w14:textId="34F91AF3" w:rsidR="00C11813" w:rsidRPr="00B34294" w:rsidRDefault="00FF3805" w:rsidP="008E3B29">
      <w:pPr>
        <w:tabs>
          <w:tab w:val="left" w:pos="1440"/>
        </w:tabs>
        <w:ind w:firstLine="720"/>
      </w:pPr>
      <w:r w:rsidRPr="00B34294">
        <w:t xml:space="preserve">Finally, the </w:t>
      </w:r>
      <w:r w:rsidR="00B13D52" w:rsidRPr="00B34294">
        <w:t>District Attorney’s</w:t>
      </w:r>
      <w:r w:rsidR="00E74700" w:rsidRPr="00B34294">
        <w:t xml:space="preserve"> Office’s</w:t>
      </w:r>
      <w:r w:rsidR="00197334" w:rsidRPr="00B34294">
        <w:t xml:space="preserve"> interpretation — which seeks to read the amendment clause in exceedingly narrow terms — </w:t>
      </w:r>
      <w:r w:rsidR="00F93A44" w:rsidRPr="00B34294">
        <w:t xml:space="preserve">also </w:t>
      </w:r>
      <w:r w:rsidR="00197334" w:rsidRPr="00B34294">
        <w:t xml:space="preserve">runs counter to the express language of Proposition 57, which provides that it “shall be broadly construed to accomplish its purposes” </w:t>
      </w:r>
      <w:r w:rsidR="00DD2B6C" w:rsidRPr="00B34294">
        <w:t>(</w:t>
      </w:r>
      <w:r w:rsidR="00DD2B6C">
        <w:t xml:space="preserve">2016 </w:t>
      </w:r>
      <w:r w:rsidR="00DD2B6C" w:rsidRPr="00B34294">
        <w:t xml:space="preserve">Voter Guide, </w:t>
      </w:r>
      <w:r w:rsidR="00DD2B6C">
        <w:rPr>
          <w:i/>
          <w:iCs/>
        </w:rPr>
        <w:t>supra</w:t>
      </w:r>
      <w:r w:rsidR="00DD2B6C">
        <w:t>,</w:t>
      </w:r>
      <w:r w:rsidR="00DD2B6C" w:rsidRPr="00B34294">
        <w:t xml:space="preserve"> text of Prop. 57, </w:t>
      </w:r>
      <w:r w:rsidR="00197334" w:rsidRPr="00B34294">
        <w:t>§ 5, p. 145) and that it “shall be liberally construed to effectuate its purposes” (</w:t>
      </w:r>
      <w:r w:rsidR="00197334" w:rsidRPr="00B34294">
        <w:rPr>
          <w:i/>
          <w:iCs/>
        </w:rPr>
        <w:t>id</w:t>
      </w:r>
      <w:r w:rsidR="00197334" w:rsidRPr="00B34294">
        <w:t xml:space="preserve">., § 9, p. 146).  </w:t>
      </w:r>
      <w:bookmarkStart w:id="4" w:name="_Hlk63331269"/>
      <w:r w:rsidR="009A3CBF" w:rsidRPr="00B34294">
        <w:rPr>
          <w:szCs w:val="26"/>
        </w:rPr>
        <w:t xml:space="preserve">Both provisions call for broadly or liberally construing Proposition 57’s provisions to serve its </w:t>
      </w:r>
      <w:r w:rsidR="002224CF">
        <w:rPr>
          <w:szCs w:val="26"/>
        </w:rPr>
        <w:t>“</w:t>
      </w:r>
      <w:r w:rsidR="009A3CBF" w:rsidRPr="00B34294">
        <w:rPr>
          <w:szCs w:val="26"/>
        </w:rPr>
        <w:t>purposes</w:t>
      </w:r>
      <w:bookmarkEnd w:id="4"/>
      <w:r w:rsidR="003648F5">
        <w:rPr>
          <w:szCs w:val="26"/>
        </w:rPr>
        <w:t>.</w:t>
      </w:r>
      <w:r w:rsidR="002224CF">
        <w:rPr>
          <w:szCs w:val="26"/>
        </w:rPr>
        <w:t>”</w:t>
      </w:r>
      <w:r w:rsidR="00F93A44" w:rsidRPr="00B34294">
        <w:rPr>
          <w:szCs w:val="26"/>
        </w:rPr>
        <w:t xml:space="preserve">  </w:t>
      </w:r>
      <w:r w:rsidRPr="00B34294">
        <w:rPr>
          <w:szCs w:val="26"/>
        </w:rPr>
        <w:t>If</w:t>
      </w:r>
      <w:r w:rsidR="008739D9" w:rsidRPr="00B34294">
        <w:t xml:space="preserve"> voters want to specifically limit amendments to clarify terms or change procedures, there are amendment clauses that do that.  (See, e.g., Voter Information Guide, Gen</w:t>
      </w:r>
      <w:r w:rsidR="00DD2B6C">
        <w:t>.</w:t>
      </w:r>
      <w:r w:rsidR="008739D9" w:rsidRPr="00B34294">
        <w:t xml:space="preserve"> Elec. (Nov. 2, 2004) text of Prop. 63, § 18, p. 108 [“The Legislature may by majority vote add provisions to clarify procedures and terms including the </w:t>
      </w:r>
      <w:r w:rsidR="008739D9" w:rsidRPr="00B34294">
        <w:lastRenderedPageBreak/>
        <w:t xml:space="preserve">procedures for the collection of the tax surcharge imposed by Section 12 of this act”].) </w:t>
      </w:r>
      <w:r w:rsidR="00F93A44" w:rsidRPr="00B34294">
        <w:t xml:space="preserve"> </w:t>
      </w:r>
      <w:r w:rsidR="002224CF">
        <w:t>T</w:t>
      </w:r>
      <w:r w:rsidR="007B3897" w:rsidRPr="00B34294">
        <w:t>he drafters of</w:t>
      </w:r>
      <w:r w:rsidR="00A67FEB" w:rsidRPr="00B34294">
        <w:t xml:space="preserve"> Proposition 57 </w:t>
      </w:r>
      <w:r w:rsidR="007B3897" w:rsidRPr="00B34294">
        <w:t xml:space="preserve">could have </w:t>
      </w:r>
      <w:r w:rsidR="00A67FEB" w:rsidRPr="00B34294">
        <w:t xml:space="preserve">explicitly </w:t>
      </w:r>
      <w:r w:rsidR="001702D8">
        <w:t>limited amendments to minor clarifications</w:t>
      </w:r>
      <w:r w:rsidR="00FA2A49">
        <w:t xml:space="preserve"> or to procedural changes not affecting transfer eligibility</w:t>
      </w:r>
      <w:r w:rsidR="007B3897" w:rsidRPr="00B34294">
        <w:t xml:space="preserve">.  </w:t>
      </w:r>
      <w:r w:rsidR="00BD1D18">
        <w:t xml:space="preserve">The drafters could have also stated more overtly </w:t>
      </w:r>
      <w:r w:rsidR="00C31B82" w:rsidRPr="00C31B82">
        <w:t xml:space="preserve">a purpose to ensure that judges retain the discretion to transfer some </w:t>
      </w:r>
      <w:r w:rsidR="00BD1D18">
        <w:t xml:space="preserve">14 and 15 year olds </w:t>
      </w:r>
      <w:r w:rsidR="00C31B82">
        <w:t>to</w:t>
      </w:r>
      <w:r w:rsidR="00BD1D18">
        <w:t xml:space="preserve"> criminal court.  </w:t>
      </w:r>
      <w:r w:rsidR="007B3897" w:rsidRPr="00B34294">
        <w:t xml:space="preserve">Noticeably, they did </w:t>
      </w:r>
      <w:r w:rsidR="00BD1D18">
        <w:t>neither</w:t>
      </w:r>
      <w:r w:rsidR="00A67FEB" w:rsidRPr="00B34294">
        <w:t>.</w:t>
      </w:r>
      <w:r w:rsidR="00AF533F" w:rsidRPr="00B34294">
        <w:t xml:space="preserve"> </w:t>
      </w:r>
      <w:bookmarkEnd w:id="3"/>
    </w:p>
    <w:p w14:paraId="40314570" w14:textId="798F215A" w:rsidR="00C11813" w:rsidRPr="00B34294" w:rsidRDefault="00C11813" w:rsidP="008E3B29">
      <w:pPr>
        <w:tabs>
          <w:tab w:val="left" w:pos="1440"/>
        </w:tabs>
        <w:ind w:firstLine="720"/>
      </w:pPr>
      <w:r w:rsidRPr="00B34294">
        <w:t xml:space="preserve">Arguing that any doubts should be resolved in favor of </w:t>
      </w:r>
      <w:r w:rsidR="00BD1D18">
        <w:t>precluding</w:t>
      </w:r>
      <w:r w:rsidR="009E6C36">
        <w:t xml:space="preserve"> changes to the</w:t>
      </w:r>
      <w:r w:rsidR="00FA2A49">
        <w:t xml:space="preserve"> </w:t>
      </w:r>
      <w:r w:rsidRPr="00B34294">
        <w:t xml:space="preserve">initiative, the District Attorney’s Office relies upon </w:t>
      </w:r>
      <w:r w:rsidRPr="00B34294">
        <w:rPr>
          <w:i/>
          <w:iCs/>
          <w:szCs w:val="26"/>
        </w:rPr>
        <w:t>People v. Kelly</w:t>
      </w:r>
      <w:r w:rsidRPr="00B34294">
        <w:rPr>
          <w:szCs w:val="26"/>
        </w:rPr>
        <w:t xml:space="preserve"> (2010) 47 Cal.4th 1008 and </w:t>
      </w:r>
      <w:r w:rsidRPr="00B34294">
        <w:rPr>
          <w:i/>
          <w:iCs/>
          <w:szCs w:val="26"/>
        </w:rPr>
        <w:t xml:space="preserve">Proposition 103 Enforcement Project v. Quackenbush </w:t>
      </w:r>
      <w:r w:rsidRPr="00B34294">
        <w:rPr>
          <w:szCs w:val="26"/>
        </w:rPr>
        <w:t xml:space="preserve">(1998) 64 Cal.App.4th 1473.  </w:t>
      </w:r>
      <w:r w:rsidRPr="00B34294">
        <w:rPr>
          <w:i/>
          <w:iCs/>
          <w:szCs w:val="26"/>
        </w:rPr>
        <w:t>Kelly</w:t>
      </w:r>
      <w:r w:rsidRPr="00B34294">
        <w:rPr>
          <w:szCs w:val="26"/>
        </w:rPr>
        <w:t>, however, involved legislative amendments to Proposition 215</w:t>
      </w:r>
      <w:r w:rsidR="00C822D7">
        <w:rPr>
          <w:szCs w:val="26"/>
        </w:rPr>
        <w:t xml:space="preserve"> (Gen. Elec. (Nov. 5, 1996))</w:t>
      </w:r>
      <w:r w:rsidRPr="00B34294">
        <w:rPr>
          <w:szCs w:val="26"/>
        </w:rPr>
        <w:t xml:space="preserve">.  </w:t>
      </w:r>
      <w:r w:rsidR="00DA2F2A" w:rsidRPr="00B34294">
        <w:rPr>
          <w:szCs w:val="26"/>
        </w:rPr>
        <w:t xml:space="preserve">As stated earlier, the </w:t>
      </w:r>
      <w:r w:rsidR="00DA2F2A" w:rsidRPr="00B34294">
        <w:t xml:space="preserve">“Legislature may amend or repeal an initiative statute by another statute that becomes effective only when approved by the electors unless the initiative statute permits amendment or repeal without the electors’ approval.”  (Cal. Const., art. II, § 10, subd. (c).)  </w:t>
      </w:r>
      <w:r w:rsidR="002224CF">
        <w:t xml:space="preserve">Unlike Proposition 57, </w:t>
      </w:r>
      <w:r w:rsidRPr="00B34294">
        <w:rPr>
          <w:szCs w:val="26"/>
        </w:rPr>
        <w:t xml:space="preserve">Proposition 215 did not contain a provision allowing for </w:t>
      </w:r>
      <w:r w:rsidR="002A7460" w:rsidRPr="00B34294">
        <w:rPr>
          <w:szCs w:val="26"/>
        </w:rPr>
        <w:t>l</w:t>
      </w:r>
      <w:r w:rsidRPr="00B34294">
        <w:rPr>
          <w:szCs w:val="26"/>
        </w:rPr>
        <w:t xml:space="preserve">egislative amendment of the initiative.  (See </w:t>
      </w:r>
      <w:r w:rsidRPr="00B34294">
        <w:rPr>
          <w:i/>
          <w:iCs/>
          <w:szCs w:val="26"/>
        </w:rPr>
        <w:t>Kelly</w:t>
      </w:r>
      <w:r w:rsidRPr="00B34294">
        <w:rPr>
          <w:szCs w:val="26"/>
        </w:rPr>
        <w:t xml:space="preserve">, at p. 1013, fn. 2.)  </w:t>
      </w:r>
      <w:r w:rsidR="0038708D" w:rsidRPr="00B34294">
        <w:rPr>
          <w:szCs w:val="26"/>
        </w:rPr>
        <w:t>The</w:t>
      </w:r>
      <w:r w:rsidRPr="00B34294">
        <w:rPr>
          <w:szCs w:val="26"/>
        </w:rPr>
        <w:t xml:space="preserve"> issue in </w:t>
      </w:r>
      <w:r w:rsidRPr="00B34294">
        <w:rPr>
          <w:i/>
          <w:iCs/>
          <w:szCs w:val="26"/>
        </w:rPr>
        <w:t>Kelly</w:t>
      </w:r>
      <w:r w:rsidRPr="00B34294">
        <w:rPr>
          <w:szCs w:val="26"/>
        </w:rPr>
        <w:t xml:space="preserve"> was </w:t>
      </w:r>
      <w:r w:rsidR="0038708D" w:rsidRPr="00B34294">
        <w:rPr>
          <w:szCs w:val="26"/>
        </w:rPr>
        <w:t xml:space="preserve">therefore </w:t>
      </w:r>
      <w:r w:rsidRPr="00B34294">
        <w:rPr>
          <w:szCs w:val="26"/>
        </w:rPr>
        <w:t xml:space="preserve">whether the </w:t>
      </w:r>
      <w:r w:rsidR="00E110BA" w:rsidRPr="00B34294">
        <w:rPr>
          <w:szCs w:val="26"/>
        </w:rPr>
        <w:t>subsequent legislation</w:t>
      </w:r>
      <w:r w:rsidRPr="00B34294">
        <w:rPr>
          <w:szCs w:val="26"/>
        </w:rPr>
        <w:t xml:space="preserve"> </w:t>
      </w:r>
      <w:r w:rsidR="00E110BA" w:rsidRPr="00B34294">
        <w:rPr>
          <w:szCs w:val="26"/>
        </w:rPr>
        <w:t>amended</w:t>
      </w:r>
      <w:r w:rsidRPr="00B34294">
        <w:rPr>
          <w:szCs w:val="26"/>
        </w:rPr>
        <w:t xml:space="preserve"> </w:t>
      </w:r>
      <w:r w:rsidR="00E110BA" w:rsidRPr="00B34294">
        <w:rPr>
          <w:szCs w:val="26"/>
        </w:rPr>
        <w:t>Proposition 215</w:t>
      </w:r>
      <w:r w:rsidR="002224CF">
        <w:rPr>
          <w:szCs w:val="26"/>
        </w:rPr>
        <w:t xml:space="preserve"> because, if so, the legislation would necessarily be impermissible under California Constitution, article II, section 10, subdivision (c)</w:t>
      </w:r>
      <w:r w:rsidRPr="00B34294">
        <w:rPr>
          <w:szCs w:val="26"/>
        </w:rPr>
        <w:t>.  (</w:t>
      </w:r>
      <w:r w:rsidR="00C822D7">
        <w:rPr>
          <w:i/>
          <w:iCs/>
          <w:szCs w:val="26"/>
        </w:rPr>
        <w:t>Kelly</w:t>
      </w:r>
      <w:r w:rsidR="00C822D7">
        <w:rPr>
          <w:szCs w:val="26"/>
        </w:rPr>
        <w:t>,</w:t>
      </w:r>
      <w:r w:rsidRPr="00B34294">
        <w:rPr>
          <w:szCs w:val="26"/>
        </w:rPr>
        <w:t xml:space="preserve"> at p. 1024.)  </w:t>
      </w:r>
      <w:r w:rsidR="002224CF">
        <w:rPr>
          <w:szCs w:val="26"/>
        </w:rPr>
        <w:t>The initiative at issue in</w:t>
      </w:r>
      <w:r w:rsidRPr="00B34294">
        <w:rPr>
          <w:szCs w:val="26"/>
        </w:rPr>
        <w:t xml:space="preserve"> </w:t>
      </w:r>
      <w:r w:rsidRPr="00B34294">
        <w:rPr>
          <w:i/>
          <w:iCs/>
        </w:rPr>
        <w:t>Quackenbush</w:t>
      </w:r>
      <w:r w:rsidRPr="00B34294">
        <w:t xml:space="preserve"> </w:t>
      </w:r>
      <w:r w:rsidR="002224CF">
        <w:t xml:space="preserve">did have an amendment clause, but the court separately analyzed two different issues: (1) </w:t>
      </w:r>
      <w:r w:rsidRPr="00B34294">
        <w:t xml:space="preserve">whether </w:t>
      </w:r>
      <w:r w:rsidR="00E27B82" w:rsidRPr="00B34294">
        <w:t xml:space="preserve">legislative changes to the </w:t>
      </w:r>
      <w:r w:rsidRPr="00B34294">
        <w:t xml:space="preserve">Insurance Code </w:t>
      </w:r>
      <w:r w:rsidR="003379B2">
        <w:t xml:space="preserve">actually </w:t>
      </w:r>
      <w:r w:rsidRPr="00B34294">
        <w:t>amended the provisions of Proposition 103</w:t>
      </w:r>
      <w:r w:rsidR="00C822D7">
        <w:t xml:space="preserve"> (Gen. Elec. (Nov. 8, 1988))</w:t>
      </w:r>
      <w:r w:rsidR="003379B2">
        <w:t xml:space="preserve"> and, if so, (2) whether these amendments furthered the purposes of Proposition 103 as its amendment clause required</w:t>
      </w:r>
      <w:r w:rsidRPr="00B34294">
        <w:t>.  (</w:t>
      </w:r>
      <w:r w:rsidRPr="00B34294">
        <w:rPr>
          <w:i/>
          <w:iCs/>
        </w:rPr>
        <w:t>Quackenbush</w:t>
      </w:r>
      <w:r w:rsidRPr="00B34294">
        <w:t>, at pp. 148</w:t>
      </w:r>
      <w:r w:rsidR="003379B2">
        <w:t>3</w:t>
      </w:r>
      <w:r w:rsidRPr="00B34294">
        <w:t>–14</w:t>
      </w:r>
      <w:r w:rsidR="003379B2">
        <w:t>94</w:t>
      </w:r>
      <w:r w:rsidRPr="00B34294">
        <w:t xml:space="preserve">.)  </w:t>
      </w:r>
      <w:r w:rsidR="003379B2">
        <w:t xml:space="preserve">Although </w:t>
      </w:r>
      <w:r w:rsidR="003379B2">
        <w:lastRenderedPageBreak/>
        <w:t xml:space="preserve">the District Attorney’s Office cites </w:t>
      </w:r>
      <w:r w:rsidR="003379B2" w:rsidRPr="002F54F7">
        <w:rPr>
          <w:i/>
          <w:iCs/>
        </w:rPr>
        <w:t>Quackenbush</w:t>
      </w:r>
      <w:r w:rsidR="003379B2">
        <w:t xml:space="preserve"> for a standard that would resolve any doubt against validity of the amendment, the cited passage (</w:t>
      </w:r>
      <w:r w:rsidR="003379B2" w:rsidRPr="002F54F7">
        <w:rPr>
          <w:i/>
          <w:iCs/>
        </w:rPr>
        <w:t>id</w:t>
      </w:r>
      <w:r w:rsidR="003379B2">
        <w:t>. at pp. 1485</w:t>
      </w:r>
      <w:r w:rsidR="003379B2" w:rsidRPr="00B34294">
        <w:t>–</w:t>
      </w:r>
      <w:r w:rsidR="003379B2">
        <w:t xml:space="preserve">1486) concerns the same question at issue in </w:t>
      </w:r>
      <w:r w:rsidR="003379B2" w:rsidRPr="002F54F7">
        <w:rPr>
          <w:i/>
          <w:iCs/>
        </w:rPr>
        <w:t>Kelly</w:t>
      </w:r>
      <w:r w:rsidR="003379B2">
        <w:t xml:space="preserve">, i.e., whether subsequent legislation constitutes an amendment to the initiative.  When the </w:t>
      </w:r>
      <w:r w:rsidR="003379B2" w:rsidRPr="002F54F7">
        <w:rPr>
          <w:i/>
          <w:iCs/>
        </w:rPr>
        <w:t>Quackenbush</w:t>
      </w:r>
      <w:r w:rsidR="003379B2">
        <w:t xml:space="preserve"> court addresses the separate question of furtherance of the initiative’s purposes (</w:t>
      </w:r>
      <w:r w:rsidR="00C822D7" w:rsidRPr="002F54F7">
        <w:rPr>
          <w:i/>
          <w:iCs/>
        </w:rPr>
        <w:t>Quackenbush</w:t>
      </w:r>
      <w:r w:rsidR="00C822D7">
        <w:t xml:space="preserve">, </w:t>
      </w:r>
      <w:r w:rsidR="003379B2">
        <w:t>at pp. 1490</w:t>
      </w:r>
      <w:r w:rsidR="003379B2" w:rsidRPr="00B34294">
        <w:t>–</w:t>
      </w:r>
      <w:r w:rsidR="003379B2">
        <w:t xml:space="preserve">1494), it cites </w:t>
      </w:r>
      <w:r w:rsidR="003379B2" w:rsidRPr="002F54F7">
        <w:rPr>
          <w:i/>
          <w:iCs/>
        </w:rPr>
        <w:t>Amwest</w:t>
      </w:r>
      <w:r w:rsidR="003379B2">
        <w:t>’s statement of the standard (</w:t>
      </w:r>
      <w:r w:rsidR="00C822D7" w:rsidRPr="002F54F7">
        <w:rPr>
          <w:i/>
          <w:iCs/>
        </w:rPr>
        <w:t>Quackenbush</w:t>
      </w:r>
      <w:r w:rsidR="00C822D7">
        <w:t>,</w:t>
      </w:r>
      <w:r w:rsidR="00C822D7" w:rsidRPr="002F54F7" w:rsidDel="00C822D7">
        <w:rPr>
          <w:i/>
          <w:iCs/>
        </w:rPr>
        <w:t xml:space="preserve"> </w:t>
      </w:r>
      <w:r w:rsidR="003379B2">
        <w:t xml:space="preserve">at p. 1490) and does not purport to resolve doubts against the amendment.  (See </w:t>
      </w:r>
      <w:r w:rsidR="003379B2" w:rsidRPr="002F54F7">
        <w:rPr>
          <w:i/>
          <w:iCs/>
        </w:rPr>
        <w:t>Amwest</w:t>
      </w:r>
      <w:r w:rsidR="003379B2">
        <w:t xml:space="preserve">, </w:t>
      </w:r>
      <w:r w:rsidR="003379B2" w:rsidRPr="002F54F7">
        <w:rPr>
          <w:i/>
          <w:iCs/>
        </w:rPr>
        <w:t>supra</w:t>
      </w:r>
      <w:r w:rsidR="003379B2">
        <w:t>, 11 Cal.4th at p. 1256 [</w:t>
      </w:r>
      <w:r w:rsidR="0074662A">
        <w:t xml:space="preserve">“[S]tarting with the presumption that the Legislature acted within its authority, we shall uphold the validity of [a legislative amendment] if, by any reasonable construction, it can be said that the statute furthers the purposes of [the] Proposition </w:t>
      </w:r>
      <w:r w:rsidR="00C822D7">
        <w:t>. </w:t>
      </w:r>
      <w:r w:rsidR="0074662A">
        <w:t>. . . ”].)</w:t>
      </w:r>
    </w:p>
    <w:p w14:paraId="0FC3ADD8" w14:textId="4C864EA9" w:rsidR="00570909" w:rsidRPr="00B34294" w:rsidRDefault="00785661" w:rsidP="008E3B29">
      <w:pPr>
        <w:tabs>
          <w:tab w:val="left" w:pos="1440"/>
        </w:tabs>
        <w:ind w:firstLine="720"/>
      </w:pPr>
      <w:r w:rsidRPr="00B34294">
        <w:rPr>
          <w:b/>
          <w:bCs/>
        </w:rPr>
        <w:t xml:space="preserve">C.  </w:t>
      </w:r>
      <w:r w:rsidR="00FC5BE4" w:rsidRPr="00B34294">
        <w:rPr>
          <w:b/>
          <w:bCs/>
        </w:rPr>
        <w:t>The Fundamental</w:t>
      </w:r>
      <w:r w:rsidRPr="00B34294">
        <w:rPr>
          <w:b/>
          <w:bCs/>
        </w:rPr>
        <w:t xml:space="preserve"> Purpose and Intent of Proposition 57</w:t>
      </w:r>
    </w:p>
    <w:p w14:paraId="0E763412" w14:textId="02FF7315" w:rsidR="004F5937" w:rsidRPr="00B34294" w:rsidRDefault="00892697" w:rsidP="008E3B29">
      <w:pPr>
        <w:tabs>
          <w:tab w:val="left" w:pos="1440"/>
        </w:tabs>
        <w:ind w:firstLine="720"/>
      </w:pPr>
      <w:r w:rsidRPr="00B34294">
        <w:t>In</w:t>
      </w:r>
      <w:r w:rsidR="00247440" w:rsidRPr="00B34294">
        <w:t xml:space="preserve"> considering a challenge to a legislative statute </w:t>
      </w:r>
      <w:r w:rsidR="00F44BB7" w:rsidRPr="00B34294">
        <w:t xml:space="preserve">that amends an initiative, </w:t>
      </w:r>
      <w:r w:rsidR="00247440" w:rsidRPr="00B34294">
        <w:t xml:space="preserve">we consider not only </w:t>
      </w:r>
      <w:r w:rsidR="00176F22">
        <w:t>the</w:t>
      </w:r>
      <w:r w:rsidR="00176F22" w:rsidRPr="00B34294">
        <w:t xml:space="preserve"> </w:t>
      </w:r>
      <w:r w:rsidR="00247440" w:rsidRPr="00B34294">
        <w:t>initiative’s statements of purpose or intent, but also the initiative “</w:t>
      </w:r>
      <w:r w:rsidR="00C822D7">
        <w:t> ‘</w:t>
      </w:r>
      <w:r w:rsidR="00247440" w:rsidRPr="00B34294">
        <w:t>as a whole.</w:t>
      </w:r>
      <w:r w:rsidR="00C822D7" w:rsidRPr="00C822D7">
        <w:t xml:space="preserve"> </w:t>
      </w:r>
      <w:r w:rsidR="00C822D7">
        <w:t>’ </w:t>
      </w:r>
      <w:r w:rsidR="00247440" w:rsidRPr="00B34294">
        <w:t xml:space="preserve">” </w:t>
      </w:r>
      <w:r w:rsidR="0015118B" w:rsidRPr="00B34294">
        <w:t xml:space="preserve"> </w:t>
      </w:r>
      <w:r w:rsidR="00247440" w:rsidRPr="00B34294">
        <w:t>(</w:t>
      </w:r>
      <w:r w:rsidR="00247440" w:rsidRPr="00B34294">
        <w:rPr>
          <w:i/>
          <w:iCs/>
        </w:rPr>
        <w:t>Amwest</w:t>
      </w:r>
      <w:r w:rsidR="00247440" w:rsidRPr="00B34294">
        <w:t xml:space="preserve">, </w:t>
      </w:r>
      <w:r w:rsidR="00247440" w:rsidRPr="00B34294">
        <w:rPr>
          <w:i/>
          <w:iCs/>
        </w:rPr>
        <w:t>supra</w:t>
      </w:r>
      <w:r w:rsidR="00247440" w:rsidRPr="00B34294">
        <w:t>, 11 Cal</w:t>
      </w:r>
      <w:r w:rsidR="00370449" w:rsidRPr="00B34294">
        <w:t>.4th</w:t>
      </w:r>
      <w:r w:rsidR="00247440" w:rsidRPr="00B34294">
        <w:t xml:space="preserve"> at p.</w:t>
      </w:r>
      <w:r w:rsidR="00314068" w:rsidRPr="00B34294">
        <w:t xml:space="preserve"> </w:t>
      </w:r>
      <w:r w:rsidR="00247440" w:rsidRPr="00B34294">
        <w:t xml:space="preserve">1257 [“we are guided by, but </w:t>
      </w:r>
      <w:r w:rsidR="00C96771" w:rsidRPr="00B34294">
        <w:t xml:space="preserve">are </w:t>
      </w:r>
      <w:r w:rsidR="00247440" w:rsidRPr="00B34294">
        <w:t>not limited to, the general statement of purpose found in the initiative”]</w:t>
      </w:r>
      <w:r w:rsidR="00314068" w:rsidRPr="00B34294">
        <w:t xml:space="preserve">; </w:t>
      </w:r>
      <w:r w:rsidR="00C822D7">
        <w:t xml:space="preserve">see </w:t>
      </w:r>
      <w:r w:rsidR="00314068" w:rsidRPr="00B34294">
        <w:rPr>
          <w:i/>
          <w:iCs/>
        </w:rPr>
        <w:t>id</w:t>
      </w:r>
      <w:r w:rsidR="00314068" w:rsidRPr="00B34294">
        <w:t>. at p. 125</w:t>
      </w:r>
      <w:r w:rsidR="00C822D7">
        <w:t>9</w:t>
      </w:r>
      <w:r w:rsidR="00314068" w:rsidRPr="00B34294">
        <w:t xml:space="preserve"> [construing the “major purposes” of Prop</w:t>
      </w:r>
      <w:r w:rsidR="00C822D7">
        <w:t>.</w:t>
      </w:r>
      <w:r w:rsidR="00314068" w:rsidRPr="00B34294">
        <w:t xml:space="preserve"> 103].)</w:t>
      </w:r>
      <w:r w:rsidR="00247440" w:rsidRPr="00B34294">
        <w:t xml:space="preserve">  </w:t>
      </w:r>
      <w:r w:rsidR="00CD7608" w:rsidRPr="00B34294">
        <w:t xml:space="preserve">In this case, just </w:t>
      </w:r>
      <w:r w:rsidR="004F5937" w:rsidRPr="00B34294">
        <w:t>as the D</w:t>
      </w:r>
      <w:r w:rsidR="00CD7608" w:rsidRPr="00B34294">
        <w:t>istrict Attorney</w:t>
      </w:r>
      <w:r w:rsidR="00E74700" w:rsidRPr="00B34294">
        <w:t>’s</w:t>
      </w:r>
      <w:r w:rsidR="00CD7608" w:rsidRPr="00B34294">
        <w:t xml:space="preserve"> Office</w:t>
      </w:r>
      <w:r w:rsidR="004F5937" w:rsidRPr="00B34294">
        <w:t xml:space="preserve">’s argument fails when </w:t>
      </w:r>
      <w:r w:rsidR="00CD7608" w:rsidRPr="00B34294">
        <w:t xml:space="preserve">reviewing each of </w:t>
      </w:r>
      <w:r w:rsidR="00CD7608" w:rsidRPr="00B34294">
        <w:lastRenderedPageBreak/>
        <w:t>Proposition 57’s</w:t>
      </w:r>
      <w:r w:rsidR="004F5937" w:rsidRPr="00B34294">
        <w:t xml:space="preserve"> enumerated purposes</w:t>
      </w:r>
      <w:r w:rsidR="00CD7608" w:rsidRPr="00B34294">
        <w:t>, the</w:t>
      </w:r>
      <w:r w:rsidR="00813012" w:rsidRPr="00B34294">
        <w:t>ir</w:t>
      </w:r>
      <w:r w:rsidR="00CD7608" w:rsidRPr="00B34294">
        <w:t xml:space="preserve"> argument</w:t>
      </w:r>
      <w:r w:rsidR="004F5937" w:rsidRPr="00B34294">
        <w:t xml:space="preserve"> also fails when </w:t>
      </w:r>
      <w:r w:rsidR="00CD7608" w:rsidRPr="00B34294">
        <w:t>reviewing the initiative’s</w:t>
      </w:r>
      <w:r w:rsidR="004F5937" w:rsidRPr="00B34294">
        <w:t xml:space="preserve"> purpose</w:t>
      </w:r>
      <w:r w:rsidR="00CD7608" w:rsidRPr="00B34294">
        <w:t xml:space="preserve"> as a whole.</w:t>
      </w:r>
      <w:r w:rsidR="00176F22" w:rsidRPr="00E824F0">
        <w:rPr>
          <w:rStyle w:val="FootnoteReference"/>
        </w:rPr>
        <w:footnoteReference w:id="3"/>
      </w:r>
    </w:p>
    <w:p w14:paraId="4567EDED" w14:textId="11782577" w:rsidR="006B393A" w:rsidRPr="00B34294" w:rsidRDefault="00B9347A" w:rsidP="008E3B29">
      <w:pPr>
        <w:tabs>
          <w:tab w:val="left" w:pos="1440"/>
        </w:tabs>
        <w:ind w:firstLine="720"/>
        <w:rPr>
          <w:highlight w:val="yellow"/>
        </w:rPr>
      </w:pPr>
      <w:r w:rsidRPr="00B34294">
        <w:t xml:space="preserve">The major and fundamental purpose of Proposition 57’s juvenile justice provisions — as evidenced by its express </w:t>
      </w:r>
      <w:r w:rsidR="00314068" w:rsidRPr="00B34294">
        <w:t>language</w:t>
      </w:r>
      <w:r w:rsidRPr="00B34294">
        <w:t xml:space="preserve"> and </w:t>
      </w:r>
      <w:r w:rsidR="00314068" w:rsidRPr="00B34294">
        <w:t xml:space="preserve">enumerated </w:t>
      </w:r>
      <w:r w:rsidRPr="00B34294">
        <w:t>purposes, the ballot materials, and its historical backdrop and the changes it made to existing law — was an</w:t>
      </w:r>
      <w:r w:rsidR="00247440" w:rsidRPr="00B34294">
        <w:t xml:space="preserve"> ameliorative change to the criminal law</w:t>
      </w:r>
      <w:r w:rsidR="00B06D65" w:rsidRPr="00B34294">
        <w:t xml:space="preserve"> </w:t>
      </w:r>
      <w:r w:rsidR="0015461B" w:rsidRPr="00B34294">
        <w:t>that emphasized</w:t>
      </w:r>
      <w:r w:rsidR="00B06D65" w:rsidRPr="00B34294">
        <w:t xml:space="preserve"> rehabilitation over punishment</w:t>
      </w:r>
      <w:r w:rsidR="006B3C9E" w:rsidRPr="00B34294">
        <w:t>.</w:t>
      </w:r>
      <w:r w:rsidR="00247440" w:rsidRPr="00B34294">
        <w:t xml:space="preserve">  </w:t>
      </w:r>
      <w:r w:rsidR="002C7F74" w:rsidRPr="00B34294">
        <w:t>The impact of this ameliorative change was decarceration that, in turn, would prevent “federal courts from indiscriminately releasing prisoners.”  (</w:t>
      </w:r>
      <w:r w:rsidR="00C822D7">
        <w:t xml:space="preserve">2016 </w:t>
      </w:r>
      <w:r w:rsidR="002C7F74" w:rsidRPr="00B34294">
        <w:t xml:space="preserve">Voter Guide, </w:t>
      </w:r>
      <w:r w:rsidR="002C7F74" w:rsidRPr="00B34294">
        <w:rPr>
          <w:i/>
        </w:rPr>
        <w:t>supra</w:t>
      </w:r>
      <w:r w:rsidR="002C7F74" w:rsidRPr="00B34294">
        <w:t>, text of Prop. 57, §</w:t>
      </w:r>
      <w:r w:rsidR="00C822D7">
        <w:t> </w:t>
      </w:r>
      <w:r w:rsidR="002C7F74" w:rsidRPr="00B34294">
        <w:t xml:space="preserve">2, p. 141.)  </w:t>
      </w:r>
      <w:r w:rsidR="0015118B" w:rsidRPr="00B34294">
        <w:t xml:space="preserve">Our court has already stated that “Proposition 57 is an ‘ameliorative change[] to the criminal law’ that we infer the legislative body intended ‘to extend as broadly as possible’ ”  and that </w:t>
      </w:r>
      <w:r w:rsidR="00247440" w:rsidRPr="00B34294">
        <w:t>“</w:t>
      </w:r>
      <w:r w:rsidR="00C822D7">
        <w:t> </w:t>
      </w:r>
      <w:r w:rsidR="006D3EE8" w:rsidRPr="00B34294">
        <w:t>‘</w:t>
      </w:r>
      <w:r w:rsidR="00247440" w:rsidRPr="00B34294">
        <w:t xml:space="preserve">we find an </w:t>
      </w:r>
      <w:r w:rsidR="006D3EE8" w:rsidRPr="00B34294">
        <w:t>“</w:t>
      </w:r>
      <w:r w:rsidR="00247440" w:rsidRPr="00B34294">
        <w:t>inevitable inference</w:t>
      </w:r>
      <w:r w:rsidR="006D3EE8" w:rsidRPr="00B34294">
        <w:t>”</w:t>
      </w:r>
      <w:r w:rsidR="00247440" w:rsidRPr="00B34294">
        <w:t xml:space="preserve"> that the electorate </w:t>
      </w:r>
      <w:r w:rsidR="006D3EE8" w:rsidRPr="00B34294">
        <w:t>“</w:t>
      </w:r>
      <w:r w:rsidR="00247440" w:rsidRPr="00B34294">
        <w:t>must have intended</w:t>
      </w:r>
      <w:r w:rsidR="006D3EE8" w:rsidRPr="00B34294">
        <w:t>”</w:t>
      </w:r>
      <w:r w:rsidR="00247440" w:rsidRPr="00B34294">
        <w:t xml:space="preserve"> that the potential </w:t>
      </w:r>
      <w:r w:rsidR="006D3EE8" w:rsidRPr="00B34294">
        <w:t>“</w:t>
      </w:r>
      <w:r w:rsidR="00247440" w:rsidRPr="00B34294">
        <w:t>ameliorating benefits</w:t>
      </w:r>
      <w:r w:rsidR="006D3EE8" w:rsidRPr="00B34294">
        <w:t>”</w:t>
      </w:r>
      <w:r w:rsidR="00247440" w:rsidRPr="00B34294">
        <w:t xml:space="preserve"> of rehabilitation (rather than punishment)</w:t>
      </w:r>
      <w:r w:rsidR="00C822D7">
        <w:t> .</w:t>
      </w:r>
      <w:r w:rsidR="00C74E7E" w:rsidRPr="00B34294">
        <w:t> . . .</w:t>
      </w:r>
      <w:r w:rsidR="006D3EE8" w:rsidRPr="00B34294">
        <w:t>’</w:t>
      </w:r>
      <w:r w:rsidR="00B34294">
        <w:t> </w:t>
      </w:r>
      <w:r w:rsidR="00247440" w:rsidRPr="00B34294">
        <w:t>”</w:t>
      </w:r>
      <w:r w:rsidR="0015118B" w:rsidRPr="00B34294">
        <w:t xml:space="preserve">  (</w:t>
      </w:r>
      <w:r w:rsidR="0015118B" w:rsidRPr="004620F6">
        <w:rPr>
          <w:i/>
          <w:iCs/>
        </w:rPr>
        <w:t>Lara</w:t>
      </w:r>
      <w:r w:rsidR="0015118B" w:rsidRPr="00B34294">
        <w:t xml:space="preserve">, </w:t>
      </w:r>
      <w:r w:rsidR="0015118B" w:rsidRPr="00B34294">
        <w:rPr>
          <w:i/>
          <w:iCs/>
        </w:rPr>
        <w:t>supra</w:t>
      </w:r>
      <w:r w:rsidR="0015118B" w:rsidRPr="00B34294">
        <w:t>, 4 Cal.</w:t>
      </w:r>
      <w:r w:rsidR="00F7116A" w:rsidRPr="00B34294">
        <w:t>5th</w:t>
      </w:r>
      <w:r w:rsidR="0015118B" w:rsidRPr="00B34294">
        <w:t xml:space="preserve"> at p. 309</w:t>
      </w:r>
      <w:r w:rsidR="0015461B" w:rsidRPr="00B34294">
        <w:t>.)</w:t>
      </w:r>
      <w:r w:rsidR="001B543A" w:rsidRPr="00B34294">
        <w:t xml:space="preserve">  </w:t>
      </w:r>
      <w:r w:rsidR="00CD7608" w:rsidRPr="00B34294">
        <w:t>“T</w:t>
      </w:r>
      <w:r w:rsidR="00314068" w:rsidRPr="00B34294">
        <w:t xml:space="preserve">he </w:t>
      </w:r>
      <w:r w:rsidR="00C822D7">
        <w:t>[a]</w:t>
      </w:r>
      <w:r w:rsidR="00314068" w:rsidRPr="00B34294">
        <w:t xml:space="preserve">ct’s overriding purpose was to </w:t>
      </w:r>
      <w:r w:rsidR="00314068" w:rsidRPr="00B34294">
        <w:lastRenderedPageBreak/>
        <w:t>channel more juvenile offenders into the juvenile justice system and to have a juvenile court judge make the transfer decision if one was to be made, not to set in stone the age parameters for such a determination.”  (</w:t>
      </w:r>
      <w:r w:rsidR="00314068" w:rsidRPr="00B34294">
        <w:rPr>
          <w:i/>
          <w:iCs/>
        </w:rPr>
        <w:t>T.D.</w:t>
      </w:r>
      <w:r w:rsidR="00314068" w:rsidRPr="00B34294">
        <w:t xml:space="preserve">, </w:t>
      </w:r>
      <w:r w:rsidR="00314068" w:rsidRPr="00B34294">
        <w:rPr>
          <w:i/>
          <w:iCs/>
        </w:rPr>
        <w:t>supra</w:t>
      </w:r>
      <w:r w:rsidR="00314068" w:rsidRPr="00B34294">
        <w:t>, 38 Cal.App.5th at p. 374.)</w:t>
      </w:r>
      <w:r w:rsidR="00ED47AA" w:rsidRPr="00B34294">
        <w:t xml:space="preserve">  </w:t>
      </w:r>
      <w:r w:rsidR="00FC76B1" w:rsidRPr="00B34294">
        <w:t>Proposition 57’s</w:t>
      </w:r>
      <w:r w:rsidR="002C7F74" w:rsidRPr="00B34294">
        <w:t xml:space="preserve"> changes to juvenile filing </w:t>
      </w:r>
      <w:r w:rsidR="00FC76B1" w:rsidRPr="00B34294">
        <w:t>were also consistent with its other provisions that advanced</w:t>
      </w:r>
      <w:r w:rsidR="002C7F74" w:rsidRPr="00B34294">
        <w:t xml:space="preserve"> the time at which adult prisoners become eligible for parole and </w:t>
      </w:r>
      <w:r w:rsidR="00FC76B1" w:rsidRPr="00B34294">
        <w:t xml:space="preserve">allowed prisoners to be released earlier on parole by earning credits for good behavior.  </w:t>
      </w:r>
      <w:r w:rsidR="002C7F74" w:rsidRPr="00B34294">
        <w:t xml:space="preserve"> </w:t>
      </w:r>
      <w:r w:rsidR="00195454" w:rsidRPr="00B34294">
        <w:t>(</w:t>
      </w:r>
      <w:r w:rsidR="00C822D7">
        <w:t xml:space="preserve">2016 </w:t>
      </w:r>
      <w:r w:rsidR="00195454" w:rsidRPr="00B34294">
        <w:t xml:space="preserve">Voter Guide, </w:t>
      </w:r>
      <w:r w:rsidR="00195454" w:rsidRPr="00B34294">
        <w:rPr>
          <w:i/>
        </w:rPr>
        <w:t>supra</w:t>
      </w:r>
      <w:r w:rsidR="00195454" w:rsidRPr="00B34294">
        <w:t xml:space="preserve">, text of Prop. 57, § 3, p. 141.)  </w:t>
      </w:r>
      <w:r w:rsidR="002C7F74" w:rsidRPr="00B34294">
        <w:t>All of these measures serve the broader purpose of decarceration</w:t>
      </w:r>
      <w:r w:rsidR="00195454" w:rsidRPr="00B34294">
        <w:t>.</w:t>
      </w:r>
    </w:p>
    <w:p w14:paraId="0B3F05B8" w14:textId="4A5CE638" w:rsidR="00474BC5" w:rsidRPr="00B34294" w:rsidRDefault="0056787A" w:rsidP="008E3B29">
      <w:pPr>
        <w:tabs>
          <w:tab w:val="left" w:pos="1440"/>
        </w:tabs>
        <w:ind w:firstLine="720"/>
      </w:pPr>
      <w:r w:rsidRPr="00B34294">
        <w:t>S</w:t>
      </w:r>
      <w:r w:rsidR="00C822D7">
        <w:t xml:space="preserve">enate </w:t>
      </w:r>
      <w:r w:rsidRPr="00B34294">
        <w:t>B</w:t>
      </w:r>
      <w:r w:rsidR="00C822D7">
        <w:t>ill</w:t>
      </w:r>
      <w:r w:rsidR="001B543A" w:rsidRPr="00B34294">
        <w:t xml:space="preserve"> 1391 is</w:t>
      </w:r>
      <w:r w:rsidR="006B3C9E" w:rsidRPr="00B34294">
        <w:t xml:space="preserve"> likewise</w:t>
      </w:r>
      <w:r w:rsidR="001B543A" w:rsidRPr="00B34294">
        <w:t xml:space="preserve"> </w:t>
      </w:r>
      <w:r w:rsidR="005F0E38" w:rsidRPr="00B34294">
        <w:t>an ameliorative change to the criminal</w:t>
      </w:r>
      <w:r w:rsidR="00274270" w:rsidRPr="00B34294">
        <w:t xml:space="preserve"> justice system</w:t>
      </w:r>
      <w:r w:rsidR="005F0E38" w:rsidRPr="00B34294">
        <w:t xml:space="preserve"> that emphasizes rehabilitation over punishment</w:t>
      </w:r>
      <w:r w:rsidR="00195454" w:rsidRPr="00B34294">
        <w:t xml:space="preserve"> and serves the broader purpose of decarceration</w:t>
      </w:r>
      <w:r w:rsidR="001B543A" w:rsidRPr="00B34294">
        <w:t xml:space="preserve">. </w:t>
      </w:r>
      <w:r w:rsidR="00314068" w:rsidRPr="00B34294">
        <w:t xml:space="preserve"> Like Proposition 57, </w:t>
      </w:r>
      <w:r w:rsidRPr="00B34294">
        <w:t>S</w:t>
      </w:r>
      <w:r w:rsidR="00C822D7">
        <w:t xml:space="preserve">enate </w:t>
      </w:r>
      <w:r w:rsidRPr="00B34294">
        <w:t>B</w:t>
      </w:r>
      <w:r w:rsidR="00C822D7">
        <w:t>ill</w:t>
      </w:r>
      <w:r w:rsidR="00314068" w:rsidRPr="00B34294">
        <w:t xml:space="preserve"> 1391</w:t>
      </w:r>
      <w:r w:rsidR="00EA3D8F" w:rsidRPr="00B34294">
        <w:t xml:space="preserve"> </w:t>
      </w:r>
      <w:r w:rsidR="00314068" w:rsidRPr="00B34294">
        <w:t>focuses on rehabilitation by increasing the number of juveniles adjudicated in juvenile court and decreasing the number</w:t>
      </w:r>
      <w:r w:rsidR="00274270" w:rsidRPr="00B34294">
        <w:t xml:space="preserve"> of</w:t>
      </w:r>
      <w:r w:rsidR="00314068" w:rsidRPr="00B34294">
        <w:t xml:space="preserve"> juveniles tried in criminal court.  </w:t>
      </w:r>
      <w:r w:rsidR="001B543A" w:rsidRPr="00B34294">
        <w:t xml:space="preserve">Like Proposition 57, </w:t>
      </w:r>
      <w:r w:rsidRPr="00B34294">
        <w:t>S</w:t>
      </w:r>
      <w:r w:rsidR="00C822D7">
        <w:t xml:space="preserve">enate </w:t>
      </w:r>
      <w:r w:rsidRPr="00B34294">
        <w:t>B</w:t>
      </w:r>
      <w:r w:rsidR="00C822D7">
        <w:t>ill</w:t>
      </w:r>
      <w:r w:rsidR="005F0E38" w:rsidRPr="00B34294">
        <w:t xml:space="preserve"> 1391 continued California’s return to the state’s historical rule on juvenile justice and undid a </w:t>
      </w:r>
      <w:r w:rsidR="001B543A" w:rsidRPr="00B34294">
        <w:t>policy enacted</w:t>
      </w:r>
      <w:r w:rsidR="005D3EE9" w:rsidRPr="00B34294">
        <w:t xml:space="preserve"> at “a time in California history where the state was getting ‘tough on crime,’ but not smart on crime.”  (Assem. Com. </w:t>
      </w:r>
      <w:r w:rsidR="00C822D7">
        <w:t xml:space="preserve">Analysis, </w:t>
      </w:r>
      <w:r w:rsidR="00C822D7" w:rsidRPr="006B749B">
        <w:rPr>
          <w:i/>
          <w:iCs/>
        </w:rPr>
        <w:t>supra</w:t>
      </w:r>
      <w:r w:rsidR="00C822D7">
        <w:t xml:space="preserve">, at </w:t>
      </w:r>
      <w:r w:rsidR="005D3EE9" w:rsidRPr="00B34294">
        <w:t>p. 3.)</w:t>
      </w:r>
      <w:r w:rsidR="006656ED" w:rsidRPr="00B34294">
        <w:t xml:space="preserve">  </w:t>
      </w:r>
      <w:r w:rsidRPr="00B34294">
        <w:t>S</w:t>
      </w:r>
      <w:r w:rsidR="00C822D7">
        <w:t xml:space="preserve">enate </w:t>
      </w:r>
      <w:r w:rsidRPr="00B34294">
        <w:t>B</w:t>
      </w:r>
      <w:r w:rsidR="00C822D7">
        <w:t>ill</w:t>
      </w:r>
      <w:r w:rsidR="006B393A" w:rsidRPr="00B34294">
        <w:t xml:space="preserve"> 1391, accordingly, moves the law in the same direction as Proposition 57 </w:t>
      </w:r>
      <w:r w:rsidR="00C822D7" w:rsidRPr="00B34294">
        <w:t>—</w:t>
      </w:r>
      <w:r w:rsidR="006B393A" w:rsidRPr="00B34294">
        <w:t xml:space="preserve"> toward the historical rule placing minors under 16 within the exclusive jurisdiction of the juvenile courts.</w:t>
      </w:r>
      <w:r w:rsidR="00EA3D8F" w:rsidRPr="00B34294">
        <w:t xml:space="preserve">  </w:t>
      </w:r>
      <w:r w:rsidR="0018588E" w:rsidRPr="00B34294">
        <w:t xml:space="preserve">(Cf. </w:t>
      </w:r>
      <w:r w:rsidR="00BA6000" w:rsidRPr="00B34294">
        <w:rPr>
          <w:i/>
          <w:iCs/>
        </w:rPr>
        <w:t>Amwest</w:t>
      </w:r>
      <w:r w:rsidR="00E97A95" w:rsidRPr="00B34294">
        <w:t xml:space="preserve">, </w:t>
      </w:r>
      <w:r w:rsidR="00E97A95" w:rsidRPr="00B34294">
        <w:rPr>
          <w:i/>
          <w:iCs/>
        </w:rPr>
        <w:t>supra</w:t>
      </w:r>
      <w:r w:rsidR="00E97A95" w:rsidRPr="00B34294">
        <w:t xml:space="preserve">, 11 Cal.4th at p. 1256 </w:t>
      </w:r>
      <w:r w:rsidR="00886B2E" w:rsidRPr="00B34294">
        <w:t>[</w:t>
      </w:r>
      <w:r w:rsidR="00E97A95" w:rsidRPr="00B34294">
        <w:t>striking down an</w:t>
      </w:r>
      <w:r w:rsidR="00BA6000" w:rsidRPr="00B34294">
        <w:t xml:space="preserve"> amendment when the Legislature attempted to </w:t>
      </w:r>
      <w:r w:rsidR="009C4CA4" w:rsidRPr="00B34294">
        <w:t>exe</w:t>
      </w:r>
      <w:r w:rsidR="00356F59" w:rsidRPr="00B34294">
        <w:t>m</w:t>
      </w:r>
      <w:r w:rsidR="009C4CA4" w:rsidRPr="00B34294">
        <w:t>pt surety companies from</w:t>
      </w:r>
      <w:r w:rsidR="00E97A95" w:rsidRPr="00B34294">
        <w:t xml:space="preserve"> </w:t>
      </w:r>
      <w:r w:rsidR="002408BB" w:rsidRPr="00B34294">
        <w:t xml:space="preserve">an </w:t>
      </w:r>
      <w:r w:rsidR="00BA6000" w:rsidRPr="00B34294">
        <w:t>initiative</w:t>
      </w:r>
      <w:r w:rsidR="009C4CA4" w:rsidRPr="00B34294">
        <w:t xml:space="preserve"> that </w:t>
      </w:r>
      <w:r w:rsidR="00EE002D" w:rsidRPr="00B34294">
        <w:t xml:space="preserve">had </w:t>
      </w:r>
      <w:r w:rsidR="009C4CA4" w:rsidRPr="00B34294">
        <w:t>imposed</w:t>
      </w:r>
      <w:r w:rsidR="00356F59" w:rsidRPr="00B34294">
        <w:t xml:space="preserve"> </w:t>
      </w:r>
      <w:r w:rsidR="009C4CA4" w:rsidRPr="00B34294">
        <w:t xml:space="preserve">rate rollback and rate approval </w:t>
      </w:r>
      <w:r w:rsidR="00EE002D" w:rsidRPr="00B34294">
        <w:t xml:space="preserve">provisions </w:t>
      </w:r>
      <w:r w:rsidR="009C4CA4" w:rsidRPr="00B34294">
        <w:t xml:space="preserve">on </w:t>
      </w:r>
      <w:r w:rsidR="007B45DC" w:rsidRPr="00B34294">
        <w:t>them a</w:t>
      </w:r>
      <w:r w:rsidR="006D5DCE" w:rsidRPr="00B34294">
        <w:t>long with</w:t>
      </w:r>
      <w:r w:rsidR="007B45DC" w:rsidRPr="00B34294">
        <w:t xml:space="preserve"> other</w:t>
      </w:r>
      <w:r w:rsidR="009C4CA4" w:rsidRPr="00B34294">
        <w:t xml:space="preserve"> types of insurance</w:t>
      </w:r>
      <w:r w:rsidR="00886B2E" w:rsidRPr="00B34294">
        <w:t>]</w:t>
      </w:r>
      <w:r w:rsidR="00BA6000" w:rsidRPr="00B34294">
        <w:t>.</w:t>
      </w:r>
      <w:r w:rsidR="00886B2E" w:rsidRPr="00B34294">
        <w:t>)</w:t>
      </w:r>
      <w:r w:rsidR="00BA6000" w:rsidRPr="00B34294">
        <w:t xml:space="preserve">  </w:t>
      </w:r>
    </w:p>
    <w:p w14:paraId="1D5F95AB" w14:textId="2B819B77" w:rsidR="006847C2" w:rsidRPr="00E824F0" w:rsidRDefault="00274270" w:rsidP="008E3B29">
      <w:pPr>
        <w:tabs>
          <w:tab w:val="left" w:pos="1440"/>
        </w:tabs>
        <w:ind w:firstLine="720"/>
      </w:pPr>
      <w:r w:rsidRPr="00B34294">
        <w:t xml:space="preserve">The District Attorney’s Office </w:t>
      </w:r>
      <w:r w:rsidR="00FD5E8E" w:rsidRPr="00B34294">
        <w:t>argue</w:t>
      </w:r>
      <w:r w:rsidR="00AB36EA" w:rsidRPr="00B34294">
        <w:t>s</w:t>
      </w:r>
      <w:r w:rsidR="00FD5E8E" w:rsidRPr="00B34294">
        <w:t xml:space="preserve"> </w:t>
      </w:r>
      <w:r w:rsidRPr="00B34294">
        <w:t xml:space="preserve">that Proposition 57 was intended to be </w:t>
      </w:r>
      <w:r w:rsidR="00FD5E8E" w:rsidRPr="00B34294">
        <w:t xml:space="preserve">ameliorative, but </w:t>
      </w:r>
      <w:r w:rsidR="00FD5E8E" w:rsidRPr="00B34294">
        <w:rPr>
          <w:i/>
          <w:iCs/>
        </w:rPr>
        <w:t>only to a point</w:t>
      </w:r>
      <w:r w:rsidR="00EC0FEC" w:rsidRPr="00644B5D">
        <w:t xml:space="preserve">. </w:t>
      </w:r>
      <w:r w:rsidR="00EC0FEC" w:rsidRPr="00B34294">
        <w:rPr>
          <w:i/>
          <w:iCs/>
        </w:rPr>
        <w:t xml:space="preserve"> </w:t>
      </w:r>
      <w:r w:rsidR="00EC0FEC" w:rsidRPr="00B34294">
        <w:t xml:space="preserve">The District </w:t>
      </w:r>
      <w:r w:rsidR="00EC0FEC" w:rsidRPr="00B34294">
        <w:lastRenderedPageBreak/>
        <w:t>Attorney’s Office contends that the aim of Proposition 57</w:t>
      </w:r>
      <w:r w:rsidR="00FD5E8E" w:rsidRPr="00B34294">
        <w:t xml:space="preserve"> </w:t>
      </w:r>
      <w:r w:rsidRPr="00B34294">
        <w:t xml:space="preserve">was </w:t>
      </w:r>
      <w:r w:rsidR="00FD5E8E" w:rsidRPr="00B34294">
        <w:t xml:space="preserve">also </w:t>
      </w:r>
      <w:r w:rsidR="00AB36EA" w:rsidRPr="00B34294">
        <w:t xml:space="preserve">somewhat punitive in nature </w:t>
      </w:r>
      <w:r w:rsidRPr="00B34294">
        <w:t xml:space="preserve">to ensure that </w:t>
      </w:r>
      <w:r w:rsidR="0062424C">
        <w:t xml:space="preserve">certain </w:t>
      </w:r>
      <w:r w:rsidRPr="00B34294">
        <w:t>14 and 15</w:t>
      </w:r>
      <w:r w:rsidR="007B45DC" w:rsidRPr="00B34294">
        <w:t xml:space="preserve"> </w:t>
      </w:r>
      <w:r w:rsidRPr="00B34294">
        <w:t>year</w:t>
      </w:r>
      <w:r w:rsidR="007B45DC" w:rsidRPr="00B34294">
        <w:t xml:space="preserve"> </w:t>
      </w:r>
      <w:r w:rsidRPr="00B34294">
        <w:t>olds could be tried as adults, and therefore S</w:t>
      </w:r>
      <w:r w:rsidR="00C822D7">
        <w:t xml:space="preserve">enate </w:t>
      </w:r>
      <w:r w:rsidRPr="00B34294">
        <w:t>B</w:t>
      </w:r>
      <w:r w:rsidR="00C822D7">
        <w:t>ill</w:t>
      </w:r>
      <w:r w:rsidRPr="00B34294">
        <w:t xml:space="preserve"> 1391, which is </w:t>
      </w:r>
      <w:r w:rsidR="00AB36EA" w:rsidRPr="00B34294">
        <w:t>even more</w:t>
      </w:r>
      <w:r w:rsidR="00FD5E8E" w:rsidRPr="00B34294">
        <w:t xml:space="preserve"> </w:t>
      </w:r>
      <w:r w:rsidRPr="00B34294">
        <w:t xml:space="preserve">ameliorative, is at odds with Proposition 57.  </w:t>
      </w:r>
      <w:r w:rsidR="00EC0FEC" w:rsidRPr="00B34294">
        <w:t xml:space="preserve">But Proposition 57 did not seek to punish juveniles.  Instead, </w:t>
      </w:r>
      <w:r w:rsidRPr="00B34294">
        <w:t xml:space="preserve">Proposition 57 was clearly aimed at providing the </w:t>
      </w:r>
      <w:r w:rsidR="00F40369" w:rsidRPr="00B34294">
        <w:t>“</w:t>
      </w:r>
      <w:r w:rsidR="00B839B7">
        <w:t> </w:t>
      </w:r>
      <w:r w:rsidRPr="00B839B7">
        <w:t>‘</w:t>
      </w:r>
      <w:r w:rsidR="00B839B7">
        <w:t> </w:t>
      </w:r>
      <w:r w:rsidR="00AA27BA" w:rsidRPr="00B34294">
        <w:t>“</w:t>
      </w:r>
      <w:r w:rsidRPr="00B34294">
        <w:t>ameliorating benefits</w:t>
      </w:r>
      <w:r w:rsidR="00AA27BA" w:rsidRPr="00B34294">
        <w:t>”</w:t>
      </w:r>
      <w:r w:rsidRPr="00B34294">
        <w:t xml:space="preserve"> of rehabilitation (rather than punishment)</w:t>
      </w:r>
      <w:r w:rsidR="001D21A4">
        <w:t> .</w:t>
      </w:r>
      <w:r w:rsidRPr="00B34294">
        <w:t> . . .</w:t>
      </w:r>
      <w:r w:rsidR="00AA27BA" w:rsidRPr="00B34294">
        <w:t>’</w:t>
      </w:r>
      <w:r w:rsidR="00B839B7">
        <w:t> </w:t>
      </w:r>
      <w:r w:rsidRPr="00B34294">
        <w:t>”  (</w:t>
      </w:r>
      <w:r w:rsidRPr="00B34294">
        <w:rPr>
          <w:i/>
          <w:iCs/>
        </w:rPr>
        <w:t>Lara</w:t>
      </w:r>
      <w:r w:rsidRPr="00B34294">
        <w:t xml:space="preserve">, </w:t>
      </w:r>
      <w:r w:rsidRPr="00B34294">
        <w:rPr>
          <w:i/>
          <w:iCs/>
        </w:rPr>
        <w:t>supra</w:t>
      </w:r>
      <w:r w:rsidRPr="00B34294">
        <w:t>, 4 Cal.5th at p. 309.)</w:t>
      </w:r>
      <w:r w:rsidR="00474BC5" w:rsidRPr="00E824F0">
        <w:t xml:space="preserve">  </w:t>
      </w:r>
    </w:p>
    <w:p w14:paraId="73F11DE7" w14:textId="1BDCF35B" w:rsidR="00AC47F7" w:rsidRDefault="006847C2" w:rsidP="008E3B29">
      <w:pPr>
        <w:tabs>
          <w:tab w:val="left" w:pos="1440"/>
        </w:tabs>
        <w:ind w:firstLine="720"/>
      </w:pPr>
      <w:r w:rsidRPr="00E824F0">
        <w:t xml:space="preserve">Viewed in its historical context, </w:t>
      </w:r>
      <w:r w:rsidR="0062424C">
        <w:t xml:space="preserve">the juvenile transfer provisions of </w:t>
      </w:r>
      <w:r w:rsidRPr="00E824F0">
        <w:t xml:space="preserve">Proposition 57 </w:t>
      </w:r>
      <w:r w:rsidR="0062424C">
        <w:t xml:space="preserve">functioned as a repeal of </w:t>
      </w:r>
      <w:r w:rsidRPr="00E824F0">
        <w:t>Proposition 21</w:t>
      </w:r>
      <w:r w:rsidR="0062424C">
        <w:t xml:space="preserve">, </w:t>
      </w:r>
      <w:r w:rsidR="00AC47F7">
        <w:t>the</w:t>
      </w:r>
      <w:r w:rsidR="005D34CD">
        <w:t xml:space="preserve"> </w:t>
      </w:r>
      <w:r w:rsidR="00A97FD7">
        <w:t xml:space="preserve">2000 </w:t>
      </w:r>
      <w:r w:rsidR="005D34CD">
        <w:t>initiative that</w:t>
      </w:r>
      <w:r w:rsidR="005D34CD" w:rsidRPr="00E824F0">
        <w:t xml:space="preserve"> </w:t>
      </w:r>
      <w:r w:rsidR="0062424C">
        <w:t xml:space="preserve">had </w:t>
      </w:r>
      <w:r w:rsidRPr="00E824F0">
        <w:t xml:space="preserve">required prosecutors to charge </w:t>
      </w:r>
      <w:r w:rsidR="00A97FD7">
        <w:t>eligible juveniles</w:t>
      </w:r>
      <w:r w:rsidRPr="00E824F0">
        <w:t xml:space="preserve"> directly in criminal court if they were accused of specified murders and sex crimes</w:t>
      </w:r>
      <w:r w:rsidRPr="00B839B7">
        <w:t>.</w:t>
      </w:r>
      <w:r w:rsidR="0062424C">
        <w:rPr>
          <w:rStyle w:val="FootnoteReference"/>
        </w:rPr>
        <w:footnoteReference w:id="4"/>
      </w:r>
      <w:r w:rsidRPr="00B839B7">
        <w:t xml:space="preserve"> </w:t>
      </w:r>
      <w:r w:rsidR="00F01CF4" w:rsidRPr="00B839B7">
        <w:t xml:space="preserve"> </w:t>
      </w:r>
      <w:r w:rsidR="00A97FD7" w:rsidRPr="00B839B7">
        <w:rPr>
          <w:szCs w:val="26"/>
        </w:rPr>
        <w:t xml:space="preserve">(See </w:t>
      </w:r>
      <w:r w:rsidR="00A97FD7" w:rsidRPr="00B839B7">
        <w:rPr>
          <w:i/>
        </w:rPr>
        <w:t>K.L.</w:t>
      </w:r>
      <w:r w:rsidR="00A97FD7" w:rsidRPr="00B34294">
        <w:rPr>
          <w:iCs/>
        </w:rPr>
        <w:t xml:space="preserve">, </w:t>
      </w:r>
      <w:r w:rsidR="00A97FD7" w:rsidRPr="00B34294">
        <w:rPr>
          <w:i/>
        </w:rPr>
        <w:t>supra</w:t>
      </w:r>
      <w:r w:rsidR="00A97FD7" w:rsidRPr="00B34294">
        <w:rPr>
          <w:iCs/>
        </w:rPr>
        <w:t>,</w:t>
      </w:r>
      <w:r w:rsidR="00A97FD7" w:rsidRPr="00B34294">
        <w:t xml:space="preserve"> 36 Cal.App.5th at p. 534, fn. 3 [“All remnants of Proposition 21 were deleted by passage of Proposition 57”];</w:t>
      </w:r>
      <w:r w:rsidR="00A97FD7" w:rsidRPr="004620F6">
        <w:t xml:space="preserve"> </w:t>
      </w:r>
      <w:r w:rsidR="00A97FD7" w:rsidRPr="00B34294">
        <w:rPr>
          <w:i/>
          <w:iCs/>
          <w:szCs w:val="26"/>
        </w:rPr>
        <w:t>J.N. v. Superior Court</w:t>
      </w:r>
      <w:r w:rsidR="00A97FD7" w:rsidRPr="00B34294">
        <w:rPr>
          <w:szCs w:val="26"/>
        </w:rPr>
        <w:t xml:space="preserve"> (2018) 23 Cal.App.5th 706, 710 [“The voters apparently rethought their votes on Proposition 21 and passed Proposition 57 at the November 8, 2016, General Election”].)</w:t>
      </w:r>
      <w:r w:rsidR="00A97FD7">
        <w:rPr>
          <w:szCs w:val="26"/>
        </w:rPr>
        <w:t xml:space="preserve">  T</w:t>
      </w:r>
      <w:r w:rsidR="00AC47F7" w:rsidRPr="00B34294">
        <w:rPr>
          <w:szCs w:val="26"/>
        </w:rPr>
        <w:t>he purpose of Proposition 57 was to have the electors und</w:t>
      </w:r>
      <w:r w:rsidR="007F3813">
        <w:rPr>
          <w:szCs w:val="26"/>
        </w:rPr>
        <w:t>o</w:t>
      </w:r>
      <w:r w:rsidR="00AC47F7" w:rsidRPr="00B34294">
        <w:rPr>
          <w:szCs w:val="26"/>
        </w:rPr>
        <w:t xml:space="preserve"> what different electors had done sixteen years prior, not to insulate earlier legislation from future legislative change.  </w:t>
      </w:r>
    </w:p>
    <w:p w14:paraId="69087BA7" w14:textId="5EF415F8" w:rsidR="00FC5BE4" w:rsidRPr="00B34294" w:rsidRDefault="00F01CF4" w:rsidP="008E3B29">
      <w:pPr>
        <w:tabs>
          <w:tab w:val="left" w:pos="1440"/>
        </w:tabs>
        <w:ind w:firstLine="720"/>
        <w:rPr>
          <w:szCs w:val="26"/>
        </w:rPr>
      </w:pPr>
      <w:r w:rsidRPr="00E824F0">
        <w:t xml:space="preserve">Nothing in the text or history of Proposition 57 suggests that by changing the relevant </w:t>
      </w:r>
      <w:r w:rsidR="00AC47F7">
        <w:t>procedural mechanism from direct filing to transfer hearings</w:t>
      </w:r>
      <w:r w:rsidRPr="00E824F0">
        <w:t xml:space="preserve">, voters intended to </w:t>
      </w:r>
      <w:r w:rsidR="007F3813">
        <w:t>ratify</w:t>
      </w:r>
      <w:r w:rsidRPr="00E824F0">
        <w:t xml:space="preserve"> the Legislature’s decision from over 20 years before to lower the minimum transfer age from 16 to 14, or to preclude the </w:t>
      </w:r>
      <w:r w:rsidRPr="00E824F0">
        <w:lastRenderedPageBreak/>
        <w:t xml:space="preserve">Legislature from revisiting that choice.  </w:t>
      </w:r>
      <w:r w:rsidR="00325D88">
        <w:t>Similarly, there is nothing to suggest that Proposition 57 sought to endorse the punitive goals of the 1994 decision to expand eligibility criteria to include certain 14 and 15 year olds</w:t>
      </w:r>
      <w:r w:rsidR="001D21A4">
        <w:t>.</w:t>
      </w:r>
      <w:r w:rsidR="00325D88">
        <w:t xml:space="preserve">  </w:t>
      </w:r>
      <w:r w:rsidR="00CC39CD" w:rsidRPr="00E824F0">
        <w:t>(</w:t>
      </w:r>
      <w:r w:rsidR="00CC39CD">
        <w:t xml:space="preserve">See </w:t>
      </w:r>
      <w:r w:rsidR="00CC39CD" w:rsidRPr="00E824F0">
        <w:t xml:space="preserve">Assem. </w:t>
      </w:r>
      <w:r w:rsidR="001D21A4">
        <w:t>3d reading</w:t>
      </w:r>
      <w:r w:rsidR="00CC39CD" w:rsidRPr="00E824F0">
        <w:t xml:space="preserve"> </w:t>
      </w:r>
      <w:r w:rsidR="001D21A4">
        <w:t>a</w:t>
      </w:r>
      <w:r w:rsidR="00CC39CD" w:rsidRPr="00E824F0">
        <w:t>nalysis of Assem. Bill No. 560 (1993–1994 Reg. Sess.) as amended Jan 27, 1994, p. 2</w:t>
      </w:r>
      <w:r w:rsidR="00CC39CD">
        <w:t xml:space="preserve"> [t</w:t>
      </w:r>
      <w:r w:rsidR="00CC39CD" w:rsidRPr="00B839B7">
        <w:t xml:space="preserve">he </w:t>
      </w:r>
      <w:r w:rsidR="00CC39CD">
        <w:t xml:space="preserve">intended purpose of the </w:t>
      </w:r>
      <w:r w:rsidR="00CC39CD" w:rsidRPr="00B839B7">
        <w:t>1994 amendment was “to deal with juveniles committing serious violent crimes who currently hide behind the protections of Juvenile Court law”</w:t>
      </w:r>
      <w:r w:rsidR="00CC39CD">
        <w:t>]</w:t>
      </w:r>
      <w:r w:rsidR="00CC39CD" w:rsidRPr="00E824F0">
        <w:t xml:space="preserve">.)  </w:t>
      </w:r>
      <w:r w:rsidR="00CC39CD">
        <w:t>Indeed, t</w:t>
      </w:r>
      <w:r w:rsidR="00E62602" w:rsidRPr="00E824F0">
        <w:t>he passage of Proposition 57 was</w:t>
      </w:r>
      <w:r w:rsidR="006847C2" w:rsidRPr="00E824F0">
        <w:t xml:space="preserve"> a </w:t>
      </w:r>
      <w:r w:rsidR="00A97FD7">
        <w:t>repudiation of</w:t>
      </w:r>
      <w:r w:rsidR="006847C2" w:rsidRPr="00E824F0">
        <w:t xml:space="preserve"> the punitive goals </w:t>
      </w:r>
      <w:r w:rsidR="00A97FD7">
        <w:t>behind</w:t>
      </w:r>
      <w:r w:rsidR="00A97FD7" w:rsidRPr="00E824F0">
        <w:t xml:space="preserve"> </w:t>
      </w:r>
      <w:r w:rsidR="006847C2" w:rsidRPr="00E824F0">
        <w:t xml:space="preserve">the 1994 amendment and Proposition 21 </w:t>
      </w:r>
      <w:r w:rsidR="006847C2" w:rsidRPr="00B839B7">
        <w:t xml:space="preserve">— </w:t>
      </w:r>
      <w:r w:rsidR="00E62602" w:rsidRPr="00B839B7">
        <w:t xml:space="preserve">not an endorsement of </w:t>
      </w:r>
      <w:r w:rsidR="006847C2" w:rsidRPr="00B839B7">
        <w:t>them</w:t>
      </w:r>
      <w:r w:rsidR="00E62602" w:rsidRPr="00B839B7">
        <w:t>.</w:t>
      </w:r>
      <w:r w:rsidR="00931989">
        <w:t xml:space="preserve">  </w:t>
      </w:r>
      <w:bookmarkStart w:id="5" w:name="_Hlk57208644"/>
      <w:r w:rsidR="00293CF6">
        <w:t>The Legislature’s decision in S</w:t>
      </w:r>
      <w:r w:rsidR="001D21A4">
        <w:t xml:space="preserve">enate </w:t>
      </w:r>
      <w:r w:rsidR="00293CF6">
        <w:t>B</w:t>
      </w:r>
      <w:r w:rsidR="001D21A4">
        <w:t>ill</w:t>
      </w:r>
      <w:r w:rsidR="00293CF6">
        <w:t xml:space="preserve"> 1391 to further the ameliorative purpose of Proposition 57 by repealing the Legislature’s punitive 1994 </w:t>
      </w:r>
      <w:r w:rsidR="00FC6407">
        <w:t>statutory framework</w:t>
      </w:r>
      <w:r w:rsidR="00293CF6">
        <w:t xml:space="preserve"> is fully consistent with Proposition 57 itself.</w:t>
      </w:r>
      <w:bookmarkEnd w:id="5"/>
    </w:p>
    <w:p w14:paraId="27F89C4C" w14:textId="6EAA1F24" w:rsidR="00197334" w:rsidRPr="00B34294" w:rsidRDefault="00FC5BE4" w:rsidP="008E3B29">
      <w:pPr>
        <w:tabs>
          <w:tab w:val="left" w:pos="1440"/>
        </w:tabs>
        <w:ind w:firstLine="720"/>
        <w:rPr>
          <w:b/>
          <w:bCs/>
          <w:szCs w:val="26"/>
        </w:rPr>
      </w:pPr>
      <w:r w:rsidRPr="00B34294">
        <w:rPr>
          <w:b/>
          <w:bCs/>
        </w:rPr>
        <w:t xml:space="preserve">D. </w:t>
      </w:r>
      <w:r w:rsidR="00370449" w:rsidRPr="00B34294">
        <w:rPr>
          <w:b/>
          <w:bCs/>
        </w:rPr>
        <w:t xml:space="preserve"> </w:t>
      </w:r>
      <w:r w:rsidRPr="00B34294">
        <w:rPr>
          <w:b/>
          <w:bCs/>
        </w:rPr>
        <w:t>Conclusion</w:t>
      </w:r>
      <w:r w:rsidR="004C1718" w:rsidRPr="00B34294">
        <w:rPr>
          <w:b/>
          <w:bCs/>
        </w:rPr>
        <w:t xml:space="preserve"> </w:t>
      </w:r>
    </w:p>
    <w:p w14:paraId="615F177C" w14:textId="10D7E1A6" w:rsidR="000576F6" w:rsidRPr="00B34294" w:rsidRDefault="00197334" w:rsidP="008E3B29">
      <w:pPr>
        <w:tabs>
          <w:tab w:val="left" w:pos="1440"/>
        </w:tabs>
        <w:ind w:firstLine="720"/>
      </w:pPr>
      <w:r w:rsidRPr="00B34294">
        <w:t xml:space="preserve">In sum, O.G. merely needs to show that </w:t>
      </w:r>
      <w:r w:rsidR="00102681" w:rsidRPr="00B34294">
        <w:t>by</w:t>
      </w:r>
      <w:r w:rsidRPr="00B34294">
        <w:t xml:space="preserve"> </w:t>
      </w:r>
      <w:r w:rsidR="008F43CB">
        <w:t>some</w:t>
      </w:r>
      <w:r w:rsidR="008F43CB" w:rsidRPr="00B34294">
        <w:t xml:space="preserve"> </w:t>
      </w:r>
      <w:r w:rsidRPr="00B34294">
        <w:t xml:space="preserve">“reasonable construction” </w:t>
      </w:r>
      <w:r w:rsidR="00102681" w:rsidRPr="00B34294">
        <w:t xml:space="preserve">of Proposition 57 </w:t>
      </w:r>
      <w:r w:rsidRPr="00B34294">
        <w:t>(</w:t>
      </w:r>
      <w:r w:rsidRPr="00B34294">
        <w:rPr>
          <w:i/>
          <w:iCs/>
        </w:rPr>
        <w:t>Amwest</w:t>
      </w:r>
      <w:r w:rsidRPr="00B34294">
        <w:t xml:space="preserve">, </w:t>
      </w:r>
      <w:r w:rsidRPr="00B34294">
        <w:rPr>
          <w:i/>
          <w:iCs/>
        </w:rPr>
        <w:t>supra</w:t>
      </w:r>
      <w:r w:rsidRPr="00B34294">
        <w:t>, 11 Cal.4th at p. 1256)</w:t>
      </w:r>
      <w:r w:rsidR="00102681" w:rsidRPr="00B34294">
        <w:t>, S</w:t>
      </w:r>
      <w:r w:rsidR="001D21A4">
        <w:t xml:space="preserve">enate </w:t>
      </w:r>
      <w:r w:rsidR="00102681" w:rsidRPr="00B34294">
        <w:t>B</w:t>
      </w:r>
      <w:r w:rsidR="001D21A4">
        <w:t>ill</w:t>
      </w:r>
      <w:r w:rsidR="00102681" w:rsidRPr="00B34294">
        <w:t xml:space="preserve"> 1391</w:t>
      </w:r>
      <w:r w:rsidRPr="00B34294">
        <w:t xml:space="preserve"> </w:t>
      </w:r>
      <w:r w:rsidR="00131F15" w:rsidRPr="00B34294">
        <w:t xml:space="preserve">is consistent with and </w:t>
      </w:r>
      <w:r w:rsidRPr="00B34294">
        <w:t>furthers the purposes of the proposition.  It does not matter if the District Attorney’s Office has a different view as to whether S</w:t>
      </w:r>
      <w:r w:rsidR="001D21A4">
        <w:t xml:space="preserve">enate </w:t>
      </w:r>
      <w:r w:rsidRPr="00B34294">
        <w:t>B</w:t>
      </w:r>
      <w:r w:rsidR="001D21A4">
        <w:t>ill</w:t>
      </w:r>
      <w:r w:rsidRPr="00B34294">
        <w:t xml:space="preserve"> 1391 advances public safety or Proposition 57’s procedural scheme.  The District Attorney’s Office seeks to turn the applicable standard on its head and argues that </w:t>
      </w:r>
      <w:r w:rsidR="001C381A" w:rsidRPr="00B34294">
        <w:t>a</w:t>
      </w:r>
      <w:r w:rsidRPr="00B34294">
        <w:t xml:space="preserve">ny doubts whether such a reasonable construction exists should be resolved in favor of </w:t>
      </w:r>
      <w:r w:rsidR="009E6C36">
        <w:t>precluding changes to the</w:t>
      </w:r>
      <w:r w:rsidR="009E6C36" w:rsidRPr="00B34294">
        <w:t xml:space="preserve"> </w:t>
      </w:r>
      <w:r w:rsidRPr="00B34294">
        <w:t xml:space="preserve">initiative.  That is not the standard.  We start with the presumption that the Legislature acted within its authority.  (See </w:t>
      </w:r>
      <w:r w:rsidR="001D21A4">
        <w:rPr>
          <w:i/>
          <w:iCs/>
        </w:rPr>
        <w:t>Amwest</w:t>
      </w:r>
      <w:r w:rsidR="001D21A4">
        <w:t>, at p. 1256</w:t>
      </w:r>
      <w:r w:rsidRPr="00B34294">
        <w:t xml:space="preserve"> [“</w:t>
      </w:r>
      <w:r w:rsidR="00274779" w:rsidRPr="00B34294">
        <w:t>[</w:t>
      </w:r>
      <w:r w:rsidRPr="00B34294">
        <w:t>S</w:t>
      </w:r>
      <w:r w:rsidR="00274779" w:rsidRPr="00B34294">
        <w:t>]</w:t>
      </w:r>
      <w:r w:rsidRPr="00B34294">
        <w:t xml:space="preserve">tarting with the presumption that the Legislature acted within its authority, we shall uphold the validity of [a legislative amendment] if, by any reasonable construction, it can be said </w:t>
      </w:r>
      <w:r w:rsidRPr="00B34294">
        <w:lastRenderedPageBreak/>
        <w:t>that the statute furthers the purposes of [the] Proposition</w:t>
      </w:r>
      <w:r w:rsidR="00B34294">
        <w:t> </w:t>
      </w:r>
      <w:r w:rsidRPr="00B34294">
        <w:t>.</w:t>
      </w:r>
      <w:r w:rsidR="00B34294">
        <w:t> </w:t>
      </w:r>
      <w:r w:rsidRPr="00B34294">
        <w:t>.</w:t>
      </w:r>
      <w:r w:rsidR="00B34294">
        <w:t> </w:t>
      </w:r>
      <w:r w:rsidRPr="00B34294">
        <w:t>.</w:t>
      </w:r>
      <w:r w:rsidR="00B34294">
        <w:t> </w:t>
      </w:r>
      <w:r w:rsidRPr="00B34294">
        <w:t xml:space="preserve">”].)  In this case, </w:t>
      </w:r>
      <w:r w:rsidR="00663BCA" w:rsidRPr="00B34294">
        <w:t>under</w:t>
      </w:r>
      <w:r w:rsidR="00102681" w:rsidRPr="00B34294">
        <w:t xml:space="preserve"> a</w:t>
      </w:r>
      <w:r w:rsidRPr="00B34294">
        <w:t xml:space="preserve"> reasonable construction </w:t>
      </w:r>
      <w:r w:rsidR="00102681" w:rsidRPr="004620F6">
        <w:t xml:space="preserve">of Proposition 57, </w:t>
      </w:r>
      <w:r w:rsidRPr="00B34294">
        <w:t>S</w:t>
      </w:r>
      <w:r w:rsidR="001D21A4">
        <w:t xml:space="preserve">enate </w:t>
      </w:r>
      <w:r w:rsidRPr="00B34294">
        <w:t>B</w:t>
      </w:r>
      <w:r w:rsidR="001D21A4">
        <w:t>ill</w:t>
      </w:r>
      <w:r w:rsidRPr="00B34294">
        <w:t xml:space="preserve"> 1391 is consistent with and furthers each of </w:t>
      </w:r>
      <w:r w:rsidR="00102681" w:rsidRPr="00B34294">
        <w:t>the proposition’s</w:t>
      </w:r>
      <w:r w:rsidRPr="00B34294">
        <w:t xml:space="preserve"> enumerated purposes.  That is all that is necessary in order for us to hold that S</w:t>
      </w:r>
      <w:r w:rsidR="001D21A4">
        <w:t xml:space="preserve">enate </w:t>
      </w:r>
      <w:r w:rsidRPr="00B34294">
        <w:t>B</w:t>
      </w:r>
      <w:r w:rsidR="001D21A4">
        <w:t>ill</w:t>
      </w:r>
      <w:r w:rsidRPr="00B34294">
        <w:t xml:space="preserve"> 1391 was lawfully enacted.</w:t>
      </w:r>
      <w:r w:rsidR="00325BB2" w:rsidRPr="00B34294">
        <w:t xml:space="preserve">  W</w:t>
      </w:r>
      <w:r w:rsidR="005A2EAD" w:rsidRPr="00B34294">
        <w:t xml:space="preserve">e </w:t>
      </w:r>
      <w:r w:rsidR="00325BB2" w:rsidRPr="00B34294">
        <w:t xml:space="preserve">therefore </w:t>
      </w:r>
      <w:r w:rsidR="001565C0" w:rsidRPr="00B34294">
        <w:t>hold</w:t>
      </w:r>
      <w:r w:rsidR="005A2EAD" w:rsidRPr="00B34294">
        <w:t xml:space="preserve"> that </w:t>
      </w:r>
      <w:r w:rsidR="0056787A" w:rsidRPr="00B34294">
        <w:t>S</w:t>
      </w:r>
      <w:r w:rsidR="001D21A4">
        <w:t xml:space="preserve">enate </w:t>
      </w:r>
      <w:r w:rsidR="0056787A" w:rsidRPr="00B34294">
        <w:t>B</w:t>
      </w:r>
      <w:r w:rsidR="001D21A4">
        <w:t>ill</w:t>
      </w:r>
      <w:r w:rsidR="005A2EAD" w:rsidRPr="00B34294">
        <w:t xml:space="preserve"> 1391 is a constitutional amendment to Proposition 57</w:t>
      </w:r>
      <w:r w:rsidR="001565C0" w:rsidRPr="00B34294">
        <w:t>.</w:t>
      </w:r>
    </w:p>
    <w:p w14:paraId="1A4E75C9" w14:textId="4F621D3F" w:rsidR="001565C0" w:rsidRPr="00B34294" w:rsidRDefault="001565C0" w:rsidP="008E3B29">
      <w:pPr>
        <w:tabs>
          <w:tab w:val="left" w:pos="1440"/>
        </w:tabs>
        <w:jc w:val="center"/>
        <w:rPr>
          <w:b/>
          <w:bCs/>
          <w:smallCaps/>
        </w:rPr>
      </w:pPr>
      <w:r w:rsidRPr="00B34294">
        <w:rPr>
          <w:b/>
          <w:bCs/>
          <w:smallCaps/>
        </w:rPr>
        <w:t>I</w:t>
      </w:r>
      <w:r w:rsidR="000E5E5E" w:rsidRPr="00B34294">
        <w:rPr>
          <w:b/>
          <w:bCs/>
          <w:smallCaps/>
        </w:rPr>
        <w:t>II</w:t>
      </w:r>
      <w:r w:rsidRPr="00B34294">
        <w:rPr>
          <w:b/>
          <w:bCs/>
          <w:smallCaps/>
        </w:rPr>
        <w:t>.  Disposition</w:t>
      </w:r>
    </w:p>
    <w:p w14:paraId="457DD05C" w14:textId="78B7296F" w:rsidR="001565C0" w:rsidRPr="00B34294" w:rsidRDefault="00325BB2" w:rsidP="008E3B29">
      <w:pPr>
        <w:tabs>
          <w:tab w:val="left" w:pos="1440"/>
        </w:tabs>
        <w:ind w:firstLine="720"/>
      </w:pPr>
      <w:r w:rsidRPr="00B34294">
        <w:t>W</w:t>
      </w:r>
      <w:r w:rsidR="001565C0" w:rsidRPr="00B34294">
        <w:t>e reverse the Court of Appeal’s judgment.</w:t>
      </w:r>
    </w:p>
    <w:p w14:paraId="36A93AEC" w14:textId="15463652" w:rsidR="00342097" w:rsidRPr="00B34294" w:rsidRDefault="00342097" w:rsidP="006B749B">
      <w:pPr>
        <w:tabs>
          <w:tab w:val="left" w:pos="1440"/>
        </w:tabs>
        <w:jc w:val="center"/>
      </w:pPr>
    </w:p>
    <w:p w14:paraId="1F5C53A9" w14:textId="55F1D777" w:rsidR="00342097" w:rsidRDefault="00342097" w:rsidP="00B34294">
      <w:pPr>
        <w:tabs>
          <w:tab w:val="left" w:pos="1440"/>
        </w:tabs>
      </w:pPr>
      <w:r w:rsidRPr="00B34294">
        <w:tab/>
      </w:r>
      <w:r w:rsidRPr="00B34294">
        <w:tab/>
      </w:r>
      <w:r w:rsidRPr="00B34294">
        <w:tab/>
      </w:r>
      <w:r w:rsidRPr="00B34294">
        <w:tab/>
      </w:r>
      <w:r w:rsidRPr="00B34294">
        <w:tab/>
      </w:r>
      <w:r w:rsidRPr="00B34294">
        <w:tab/>
      </w:r>
      <w:r w:rsidRPr="00B34294">
        <w:tab/>
      </w:r>
      <w:r w:rsidRPr="008E3B29">
        <w:rPr>
          <w:b/>
          <w:bCs/>
        </w:rPr>
        <w:t>GROBAN, J.</w:t>
      </w:r>
    </w:p>
    <w:p w14:paraId="6C1B162D" w14:textId="662EBF05" w:rsidR="004620F6" w:rsidRDefault="004620F6" w:rsidP="00B34294">
      <w:pPr>
        <w:tabs>
          <w:tab w:val="left" w:pos="1440"/>
        </w:tabs>
      </w:pPr>
    </w:p>
    <w:p w14:paraId="370156F9" w14:textId="77777777" w:rsidR="004620F6" w:rsidRDefault="004620F6" w:rsidP="004620F6">
      <w:pPr>
        <w:rPr>
          <w:b/>
          <w:szCs w:val="26"/>
        </w:rPr>
      </w:pPr>
      <w:r>
        <w:rPr>
          <w:b/>
          <w:szCs w:val="26"/>
        </w:rPr>
        <w:t>We Concur:</w:t>
      </w:r>
    </w:p>
    <w:p w14:paraId="290403D6" w14:textId="34625F54" w:rsidR="00A33369" w:rsidRDefault="00A33369" w:rsidP="00A33369">
      <w:pPr>
        <w:spacing w:after="0" w:line="240" w:lineRule="auto"/>
        <w:jc w:val="left"/>
        <w:rPr>
          <w:b/>
          <w:bCs/>
        </w:rPr>
      </w:pPr>
      <w:r>
        <w:rPr>
          <w:b/>
          <w:bCs/>
        </w:rPr>
        <w:t>CANTIL-SAK</w:t>
      </w:r>
      <w:r w:rsidR="000A30CD">
        <w:rPr>
          <w:b/>
          <w:bCs/>
        </w:rPr>
        <w:t>A</w:t>
      </w:r>
      <w:r>
        <w:rPr>
          <w:b/>
          <w:bCs/>
        </w:rPr>
        <w:t>UYE, C. J.</w:t>
      </w:r>
    </w:p>
    <w:p w14:paraId="5741D751" w14:textId="548C64CE" w:rsidR="00A33369" w:rsidRDefault="00A33369" w:rsidP="00A33369">
      <w:pPr>
        <w:spacing w:after="0" w:line="240" w:lineRule="auto"/>
        <w:jc w:val="left"/>
        <w:rPr>
          <w:b/>
          <w:bCs/>
        </w:rPr>
      </w:pPr>
      <w:r>
        <w:rPr>
          <w:b/>
          <w:bCs/>
        </w:rPr>
        <w:t>CORRIGAN, J.</w:t>
      </w:r>
      <w:r>
        <w:rPr>
          <w:b/>
          <w:bCs/>
        </w:rPr>
        <w:br/>
        <w:t>LIU, J.</w:t>
      </w:r>
    </w:p>
    <w:p w14:paraId="13EE16D8" w14:textId="2F4BF841" w:rsidR="00A33369" w:rsidRDefault="00A33369" w:rsidP="00A33369">
      <w:pPr>
        <w:spacing w:after="0" w:line="240" w:lineRule="auto"/>
        <w:jc w:val="left"/>
        <w:rPr>
          <w:b/>
          <w:bCs/>
        </w:rPr>
      </w:pPr>
      <w:r>
        <w:rPr>
          <w:b/>
          <w:bCs/>
        </w:rPr>
        <w:t>CU</w:t>
      </w:r>
      <w:r w:rsidRPr="00A33369">
        <w:rPr>
          <w:b/>
          <w:bCs/>
          <w:lang w:val="it-IT"/>
        </w:rPr>
        <w:t>É</w:t>
      </w:r>
      <w:r>
        <w:rPr>
          <w:b/>
          <w:bCs/>
        </w:rPr>
        <w:t>LLAR, J.</w:t>
      </w:r>
    </w:p>
    <w:p w14:paraId="2FEF1CD5" w14:textId="77777777" w:rsidR="00A33369" w:rsidRDefault="00A33369" w:rsidP="00A33369">
      <w:pPr>
        <w:spacing w:after="0" w:line="240" w:lineRule="auto"/>
        <w:jc w:val="left"/>
        <w:rPr>
          <w:b/>
          <w:bCs/>
        </w:rPr>
      </w:pPr>
      <w:r>
        <w:rPr>
          <w:b/>
          <w:bCs/>
        </w:rPr>
        <w:t>KRUGER, J.</w:t>
      </w:r>
    </w:p>
    <w:p w14:paraId="2E2AE114" w14:textId="2AF330ED" w:rsidR="00A33369" w:rsidRDefault="00A33369" w:rsidP="00A33369">
      <w:pPr>
        <w:spacing w:after="0" w:line="240" w:lineRule="auto"/>
        <w:jc w:val="left"/>
        <w:rPr>
          <w:b/>
          <w:bCs/>
        </w:rPr>
      </w:pPr>
      <w:r>
        <w:rPr>
          <w:b/>
          <w:bCs/>
        </w:rPr>
        <w:t>KLINE, J.</w:t>
      </w:r>
      <w:r w:rsidRPr="00B620A6">
        <w:rPr>
          <w:b/>
          <w:bCs/>
          <w:sz w:val="24"/>
          <w:szCs w:val="24"/>
          <w:vertAlign w:val="superscript"/>
        </w:rPr>
        <w:t>*</w:t>
      </w:r>
    </w:p>
    <w:p w14:paraId="6B0E3E0A" w14:textId="77777777" w:rsidR="00A33369" w:rsidRPr="004620F6" w:rsidRDefault="00A33369" w:rsidP="008E3B29">
      <w:pPr>
        <w:tabs>
          <w:tab w:val="left" w:pos="1440"/>
        </w:tabs>
      </w:pPr>
    </w:p>
    <w:p w14:paraId="5D27850C" w14:textId="77777777" w:rsidR="004454A9" w:rsidRPr="00B34294" w:rsidRDefault="004454A9" w:rsidP="004620F6"/>
    <w:p w14:paraId="1C74F29A" w14:textId="00AAA717" w:rsidR="00B12A0A" w:rsidRDefault="00B12A0A" w:rsidP="008E3B29">
      <w:pPr>
        <w:tabs>
          <w:tab w:val="left" w:pos="1440"/>
        </w:tabs>
      </w:pPr>
    </w:p>
    <w:p w14:paraId="2DD8C00C" w14:textId="77777777" w:rsidR="001331B8" w:rsidRDefault="001331B8" w:rsidP="008E3B29">
      <w:pPr>
        <w:tabs>
          <w:tab w:val="left" w:pos="1440"/>
        </w:tabs>
      </w:pPr>
    </w:p>
    <w:p w14:paraId="76CCCB4B" w14:textId="77777777" w:rsidR="00B12A0A" w:rsidRDefault="00B12A0A" w:rsidP="00B12A0A">
      <w:pPr>
        <w:pStyle w:val="FootnoteText"/>
        <w:spacing w:after="0"/>
      </w:pPr>
      <w:r>
        <w:t>________________________</w:t>
      </w:r>
    </w:p>
    <w:p w14:paraId="299FE7C5" w14:textId="77777777" w:rsidR="00B12A0A" w:rsidRPr="00B620A6" w:rsidRDefault="00B12A0A" w:rsidP="00B12A0A">
      <w:pPr>
        <w:spacing w:after="0" w:line="240" w:lineRule="auto"/>
        <w:rPr>
          <w:rFonts w:ascii="Calibri" w:hAnsi="Calibri"/>
          <w:szCs w:val="27"/>
        </w:rPr>
      </w:pPr>
      <w:r w:rsidRPr="00B620A6">
        <w:rPr>
          <w:rStyle w:val="FootnoteReference"/>
          <w:b w:val="0"/>
          <w:bCs/>
          <w:szCs w:val="27"/>
        </w:rPr>
        <w:t>*</w:t>
      </w:r>
      <w:r w:rsidRPr="00B620A6">
        <w:rPr>
          <w:b/>
          <w:bCs/>
          <w:szCs w:val="27"/>
        </w:rPr>
        <w:t xml:space="preserve"> </w:t>
      </w:r>
      <w:r w:rsidRPr="00B620A6">
        <w:rPr>
          <w:szCs w:val="27"/>
        </w:rPr>
        <w:tab/>
        <w:t>Presiding Justice of the Court of Appeal, First Appellate District, Division Two, assigned by the Chief Justice pursuant to article VI, section 6 of the California Constitution.</w:t>
      </w:r>
    </w:p>
    <w:p w14:paraId="5112B669" w14:textId="77777777" w:rsidR="00B620A6" w:rsidRDefault="00B620A6" w:rsidP="008E3B29">
      <w:pPr>
        <w:tabs>
          <w:tab w:val="left" w:pos="1440"/>
        </w:tabs>
        <w:sectPr w:rsidR="00B620A6" w:rsidSect="008E3B29">
          <w:footerReference w:type="first" r:id="rId10"/>
          <w:pgSz w:w="12240" w:h="15840"/>
          <w:pgMar w:top="1800" w:right="2160" w:bottom="1440" w:left="2160" w:header="720" w:footer="720" w:gutter="0"/>
          <w:pgNumType w:start="1"/>
          <w:cols w:space="720"/>
          <w:titlePg/>
          <w:docGrid w:linePitch="367"/>
        </w:sectPr>
      </w:pPr>
    </w:p>
    <w:p w14:paraId="3A1FE30B" w14:textId="77777777" w:rsidR="00B620A6" w:rsidRPr="00B620A6" w:rsidRDefault="00B620A6" w:rsidP="00B620A6">
      <w:pPr>
        <w:spacing w:after="0" w:line="240" w:lineRule="auto"/>
        <w:jc w:val="left"/>
        <w:rPr>
          <w:rFonts w:ascii="Times New Roman" w:hAnsi="Times New Roman"/>
          <w:i/>
          <w:sz w:val="20"/>
        </w:rPr>
      </w:pPr>
      <w:r w:rsidRPr="00B620A6">
        <w:rPr>
          <w:rFonts w:ascii="Times New Roman" w:hAnsi="Times New Roman"/>
          <w:i/>
          <w:sz w:val="20"/>
        </w:rPr>
        <w:lastRenderedPageBreak/>
        <w:t>See next page for addresses and telephone numbers for counsel who argued in Supreme Court.</w:t>
      </w:r>
    </w:p>
    <w:p w14:paraId="7455FD5A" w14:textId="77777777" w:rsidR="00B620A6" w:rsidRPr="00B620A6" w:rsidRDefault="00B620A6" w:rsidP="00B620A6">
      <w:pPr>
        <w:spacing w:after="0" w:line="240" w:lineRule="auto"/>
        <w:jc w:val="left"/>
        <w:rPr>
          <w:rFonts w:ascii="Times New Roman" w:hAnsi="Times New Roman"/>
          <w:i/>
          <w:sz w:val="20"/>
        </w:rPr>
      </w:pPr>
    </w:p>
    <w:p w14:paraId="21E5562A"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 xml:space="preserve">Name of Opinion  </w:t>
      </w:r>
      <w:r w:rsidRPr="00B620A6">
        <w:rPr>
          <w:rFonts w:ascii="Times New Roman" w:hAnsi="Times New Roman"/>
          <w:bCs/>
          <w:sz w:val="20"/>
        </w:rPr>
        <w:t>O.G. v. Superior Court</w:t>
      </w:r>
      <w:r w:rsidRPr="00B620A6">
        <w:rPr>
          <w:rFonts w:ascii="Times New Roman" w:hAnsi="Times New Roman"/>
          <w:b/>
          <w:sz w:val="20"/>
        </w:rPr>
        <w:t xml:space="preserve"> </w:t>
      </w:r>
      <w:r w:rsidRPr="00B620A6">
        <w:rPr>
          <w:rFonts w:ascii="Times New Roman" w:hAnsi="Times New Roman"/>
          <w:bCs/>
          <w:sz w:val="20"/>
        </w:rPr>
        <w:t xml:space="preserve"> </w:t>
      </w:r>
      <w:r w:rsidRPr="00B620A6">
        <w:rPr>
          <w:rFonts w:ascii="Times New Roman" w:hAnsi="Times New Roman"/>
          <w:sz w:val="20"/>
        </w:rPr>
        <w:t xml:space="preserve"> </w:t>
      </w:r>
      <w:r w:rsidRPr="00B620A6">
        <w:rPr>
          <w:rFonts w:ascii="Times New Roman" w:hAnsi="Times New Roman"/>
          <w:b/>
          <w:sz w:val="20"/>
        </w:rPr>
        <w:t>__________________________________________________________________________________</w:t>
      </w:r>
    </w:p>
    <w:p w14:paraId="76275575" w14:textId="77777777" w:rsidR="00B620A6" w:rsidRPr="00B620A6" w:rsidRDefault="00B620A6" w:rsidP="00B620A6">
      <w:pPr>
        <w:spacing w:after="0" w:line="240" w:lineRule="auto"/>
        <w:jc w:val="left"/>
        <w:rPr>
          <w:rFonts w:ascii="Times New Roman" w:hAnsi="Times New Roman"/>
          <w:b/>
          <w:sz w:val="20"/>
        </w:rPr>
      </w:pPr>
    </w:p>
    <w:p w14:paraId="5E065F4A"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Unpublished Opinion</w:t>
      </w:r>
    </w:p>
    <w:p w14:paraId="35828867"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b/>
          <w:sz w:val="20"/>
        </w:rPr>
        <w:t xml:space="preserve">Original Appeal </w:t>
      </w:r>
    </w:p>
    <w:p w14:paraId="6BB7AE2F"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 xml:space="preserve">Original Proceeding </w:t>
      </w:r>
    </w:p>
    <w:p w14:paraId="00A227F4"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 xml:space="preserve">Review Granted </w:t>
      </w:r>
      <w:r w:rsidRPr="00B620A6">
        <w:rPr>
          <w:rFonts w:ascii="Times New Roman" w:hAnsi="Times New Roman"/>
          <w:bCs/>
          <w:sz w:val="20"/>
        </w:rPr>
        <w:t xml:space="preserve">  </w:t>
      </w:r>
      <w:r w:rsidRPr="00B620A6">
        <w:rPr>
          <w:rFonts w:ascii="Times New Roman" w:hAnsi="Times New Roman"/>
          <w:sz w:val="20"/>
        </w:rPr>
        <w:t>XXX 40 Cal.App.5th 626</w:t>
      </w:r>
      <w:r w:rsidRPr="00B620A6">
        <w:rPr>
          <w:rFonts w:ascii="Times New Roman" w:hAnsi="Times New Roman"/>
          <w:bCs/>
          <w:sz w:val="20"/>
        </w:rPr>
        <w:t xml:space="preserve"> </w:t>
      </w:r>
    </w:p>
    <w:p w14:paraId="67E37E40"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Rehearing Granted</w:t>
      </w:r>
    </w:p>
    <w:p w14:paraId="1D6F4973" w14:textId="77777777" w:rsidR="00B620A6" w:rsidRPr="00B620A6" w:rsidRDefault="00B620A6" w:rsidP="00B620A6">
      <w:pPr>
        <w:spacing w:after="0" w:line="240" w:lineRule="auto"/>
        <w:jc w:val="left"/>
        <w:rPr>
          <w:rFonts w:ascii="Times New Roman" w:hAnsi="Times New Roman"/>
          <w:b/>
          <w:sz w:val="20"/>
        </w:rPr>
      </w:pPr>
    </w:p>
    <w:p w14:paraId="51618ACE"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__________________________________________________________________________________</w:t>
      </w:r>
    </w:p>
    <w:p w14:paraId="2616EC5C" w14:textId="77777777" w:rsidR="00B620A6" w:rsidRPr="00B620A6" w:rsidRDefault="00B620A6" w:rsidP="00B620A6">
      <w:pPr>
        <w:spacing w:after="0" w:line="240" w:lineRule="auto"/>
        <w:jc w:val="left"/>
        <w:rPr>
          <w:rFonts w:ascii="Times New Roman" w:hAnsi="Times New Roman"/>
          <w:b/>
          <w:sz w:val="20"/>
        </w:rPr>
      </w:pPr>
    </w:p>
    <w:p w14:paraId="587651FF"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Opinion No.</w:t>
      </w:r>
      <w:r w:rsidRPr="00B620A6">
        <w:rPr>
          <w:rFonts w:ascii="Times New Roman" w:hAnsi="Times New Roman"/>
          <w:sz w:val="20"/>
        </w:rPr>
        <w:t xml:space="preserve"> S259011</w:t>
      </w:r>
    </w:p>
    <w:p w14:paraId="4E3495E7"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Date Filed:</w:t>
      </w:r>
      <w:r w:rsidRPr="00B620A6">
        <w:rPr>
          <w:rFonts w:ascii="Times New Roman" w:hAnsi="Times New Roman"/>
          <w:sz w:val="20"/>
        </w:rPr>
        <w:t xml:space="preserve">  February 25, 2021</w:t>
      </w:r>
    </w:p>
    <w:p w14:paraId="526798D5"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__________________________________________________________________________________</w:t>
      </w:r>
    </w:p>
    <w:p w14:paraId="6B5EFC04" w14:textId="77777777" w:rsidR="00B620A6" w:rsidRPr="00B620A6" w:rsidRDefault="00B620A6" w:rsidP="00B620A6">
      <w:pPr>
        <w:spacing w:after="0" w:line="240" w:lineRule="auto"/>
        <w:jc w:val="left"/>
        <w:rPr>
          <w:rFonts w:ascii="Times New Roman" w:hAnsi="Times New Roman"/>
          <w:b/>
          <w:sz w:val="20"/>
        </w:rPr>
      </w:pPr>
    </w:p>
    <w:p w14:paraId="35F72116"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 xml:space="preserve">Court:  </w:t>
      </w:r>
      <w:r w:rsidRPr="00B620A6">
        <w:rPr>
          <w:rFonts w:ascii="Times New Roman" w:hAnsi="Times New Roman"/>
          <w:bCs/>
          <w:sz w:val="20"/>
        </w:rPr>
        <w:t>Superior</w:t>
      </w:r>
      <w:r w:rsidRPr="00B620A6">
        <w:rPr>
          <w:rFonts w:ascii="Times New Roman" w:hAnsi="Times New Roman"/>
          <w:b/>
          <w:sz w:val="20"/>
        </w:rPr>
        <w:t xml:space="preserve">   </w:t>
      </w:r>
    </w:p>
    <w:p w14:paraId="64BD17BD"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
          <w:sz w:val="20"/>
        </w:rPr>
        <w:t xml:space="preserve">County:  </w:t>
      </w:r>
      <w:r w:rsidRPr="00B620A6">
        <w:rPr>
          <w:rFonts w:ascii="Times New Roman" w:hAnsi="Times New Roman"/>
          <w:bCs/>
          <w:sz w:val="20"/>
        </w:rPr>
        <w:t>Ventura</w:t>
      </w:r>
      <w:r w:rsidRPr="00B620A6">
        <w:rPr>
          <w:rFonts w:ascii="Times New Roman" w:hAnsi="Times New Roman"/>
          <w:b/>
          <w:sz w:val="20"/>
        </w:rPr>
        <w:t xml:space="preserve">  </w:t>
      </w:r>
      <w:r w:rsidRPr="00B620A6">
        <w:rPr>
          <w:rFonts w:ascii="Times New Roman" w:hAnsi="Times New Roman"/>
          <w:bCs/>
          <w:sz w:val="20"/>
        </w:rPr>
        <w:t xml:space="preserve"> </w:t>
      </w:r>
    </w:p>
    <w:p w14:paraId="4544AA31" w14:textId="77777777" w:rsidR="00B620A6" w:rsidRPr="00B620A6" w:rsidRDefault="00B620A6" w:rsidP="00B620A6">
      <w:pPr>
        <w:spacing w:after="0" w:line="240" w:lineRule="auto"/>
        <w:ind w:left="720" w:hanging="720"/>
        <w:jc w:val="left"/>
        <w:rPr>
          <w:rFonts w:ascii="Times New Roman" w:hAnsi="Times New Roman"/>
          <w:bCs/>
          <w:sz w:val="20"/>
        </w:rPr>
      </w:pPr>
      <w:r w:rsidRPr="00B620A6">
        <w:rPr>
          <w:rFonts w:ascii="Times New Roman" w:hAnsi="Times New Roman"/>
          <w:b/>
          <w:sz w:val="20"/>
        </w:rPr>
        <w:t xml:space="preserve">Judge:  </w:t>
      </w:r>
      <w:r w:rsidRPr="00B620A6">
        <w:rPr>
          <w:rFonts w:ascii="Times New Roman" w:hAnsi="Times New Roman"/>
          <w:bCs/>
          <w:sz w:val="20"/>
        </w:rPr>
        <w:t>Kevin J. McGee</w:t>
      </w:r>
      <w:r w:rsidRPr="00B620A6">
        <w:rPr>
          <w:rFonts w:ascii="Times New Roman" w:hAnsi="Times New Roman"/>
          <w:b/>
          <w:sz w:val="20"/>
        </w:rPr>
        <w:t xml:space="preserve">  </w:t>
      </w:r>
      <w:r w:rsidRPr="00B620A6">
        <w:rPr>
          <w:rFonts w:ascii="Times New Roman" w:hAnsi="Times New Roman"/>
          <w:bCs/>
          <w:sz w:val="20"/>
        </w:rPr>
        <w:t xml:space="preserve"> </w:t>
      </w:r>
    </w:p>
    <w:p w14:paraId="7641EF4A" w14:textId="77777777" w:rsidR="00B620A6" w:rsidRPr="00B620A6" w:rsidRDefault="00B620A6" w:rsidP="00B620A6">
      <w:pPr>
        <w:spacing w:after="0" w:line="240" w:lineRule="auto"/>
        <w:jc w:val="left"/>
        <w:rPr>
          <w:rFonts w:ascii="Times New Roman" w:hAnsi="Times New Roman"/>
          <w:b/>
          <w:sz w:val="20"/>
        </w:rPr>
      </w:pPr>
    </w:p>
    <w:p w14:paraId="5A85F3C0"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__________________________________________________________________________________</w:t>
      </w:r>
    </w:p>
    <w:p w14:paraId="5FE4EEFB" w14:textId="77777777" w:rsidR="00B620A6" w:rsidRPr="00B620A6" w:rsidRDefault="00B620A6" w:rsidP="00B620A6">
      <w:pPr>
        <w:spacing w:after="0" w:line="240" w:lineRule="auto"/>
        <w:jc w:val="left"/>
        <w:rPr>
          <w:rFonts w:ascii="Times New Roman" w:hAnsi="Times New Roman"/>
          <w:b/>
          <w:sz w:val="20"/>
        </w:rPr>
      </w:pPr>
    </w:p>
    <w:p w14:paraId="6CB0F20A"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Counsel:</w:t>
      </w:r>
    </w:p>
    <w:p w14:paraId="5B42682F" w14:textId="77777777" w:rsidR="00B620A6" w:rsidRPr="00B620A6" w:rsidRDefault="00B620A6" w:rsidP="00B620A6">
      <w:pPr>
        <w:spacing w:after="0" w:line="240" w:lineRule="auto"/>
        <w:jc w:val="left"/>
        <w:rPr>
          <w:rFonts w:ascii="Times New Roman" w:hAnsi="Times New Roman"/>
          <w:b/>
          <w:sz w:val="20"/>
        </w:rPr>
      </w:pPr>
    </w:p>
    <w:p w14:paraId="1DA3CB56"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bookmarkStart w:id="6" w:name="PAGE_3103"/>
      <w:bookmarkEnd w:id="6"/>
      <w:r w:rsidRPr="00B620A6">
        <w:rPr>
          <w:rFonts w:ascii="Times New Roman" w:hAnsi="Times New Roman"/>
          <w:color w:val="373739"/>
          <w:sz w:val="20"/>
          <w:shd w:val="clear" w:color="auto" w:fill="FFFFFF"/>
        </w:rPr>
        <w:t xml:space="preserve">Jennifer Hansen and </w:t>
      </w:r>
      <w:r w:rsidRPr="00B620A6">
        <w:rPr>
          <w:rFonts w:ascii="Times New Roman" w:hAnsi="Times New Roman"/>
          <w:sz w:val="20"/>
          <w:bdr w:val="none" w:sz="0" w:space="0" w:color="auto" w:frame="1"/>
        </w:rPr>
        <w:t>Willard P. Wiksell</w:t>
      </w:r>
      <w:r w:rsidRPr="00B620A6">
        <w:rPr>
          <w:rFonts w:ascii="Times New Roman" w:hAnsi="Times New Roman"/>
          <w:color w:val="373739"/>
          <w:sz w:val="20"/>
          <w:shd w:val="clear" w:color="auto" w:fill="FFFFFF"/>
        </w:rPr>
        <w:t>, under appointments by the Supreme Court, for Petitioner.</w:t>
      </w:r>
    </w:p>
    <w:p w14:paraId="2FBC6A2D"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p>
    <w:p w14:paraId="6A420235"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t>Susan L. Burrell, L. Richard Braucher, Cyn Yamashiro and Marketa Sims for Pacific Juvenile Defender Center and Independent Juvenile Defender Program Los Angeles County Bar as Amici Curiae on behalf of Petitioner.</w:t>
      </w:r>
    </w:p>
    <w:p w14:paraId="015B9E7F" w14:textId="77777777" w:rsidR="00B620A6" w:rsidRPr="00B620A6" w:rsidRDefault="00B620A6" w:rsidP="00B620A6">
      <w:pPr>
        <w:spacing w:after="0" w:line="240" w:lineRule="auto"/>
        <w:jc w:val="left"/>
        <w:rPr>
          <w:rFonts w:ascii="Times New Roman" w:hAnsi="Times New Roman"/>
          <w:bCs/>
          <w:sz w:val="20"/>
        </w:rPr>
      </w:pPr>
    </w:p>
    <w:p w14:paraId="32DC2F8D"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t>Michael C. McMahon for California Public Defenders Association and Todd W. Howeth, Public Defender (Ventura), as Amici Curiae on behalf of Petitioner.</w:t>
      </w:r>
    </w:p>
    <w:p w14:paraId="4418FDA7" w14:textId="77777777" w:rsidR="00B620A6" w:rsidRPr="00B620A6" w:rsidRDefault="00B620A6" w:rsidP="00B620A6">
      <w:pPr>
        <w:spacing w:after="0" w:line="240" w:lineRule="auto"/>
        <w:jc w:val="left"/>
        <w:rPr>
          <w:rFonts w:ascii="Times New Roman" w:hAnsi="Times New Roman"/>
          <w:color w:val="373739"/>
          <w:sz w:val="20"/>
        </w:rPr>
      </w:pPr>
    </w:p>
    <w:p w14:paraId="0DC7D550"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r w:rsidRPr="00B620A6">
        <w:rPr>
          <w:rFonts w:ascii="Times New Roman" w:hAnsi="Times New Roman"/>
          <w:color w:val="373739"/>
          <w:sz w:val="20"/>
        </w:rPr>
        <w:t>Munger, Tolles &amp; Olson, William D. Temko and Sara A. McDermott for Human Rights Watch, Anti-Recidivism Coalition and W. Haywood Burns Institute as Amici Curiae on behalf of Petitioner.</w:t>
      </w:r>
      <w:r w:rsidRPr="00B620A6">
        <w:rPr>
          <w:rFonts w:ascii="Times New Roman" w:hAnsi="Times New Roman"/>
          <w:color w:val="373739"/>
          <w:sz w:val="20"/>
        </w:rPr>
        <w:br/>
      </w:r>
      <w:r w:rsidRPr="00B620A6">
        <w:rPr>
          <w:rFonts w:ascii="Times New Roman" w:hAnsi="Times New Roman"/>
          <w:color w:val="373739"/>
          <w:sz w:val="20"/>
        </w:rPr>
        <w:br/>
      </w:r>
      <w:r w:rsidRPr="00B620A6">
        <w:rPr>
          <w:rFonts w:ascii="Times New Roman" w:hAnsi="Times New Roman"/>
          <w:sz w:val="20"/>
          <w:bdr w:val="none" w:sz="0" w:space="0" w:color="auto" w:frame="1"/>
        </w:rPr>
        <w:t>Xavier Becerra</w:t>
      </w:r>
      <w:r w:rsidRPr="00B620A6">
        <w:rPr>
          <w:rFonts w:ascii="Times New Roman" w:hAnsi="Times New Roman"/>
          <w:color w:val="373739"/>
          <w:sz w:val="20"/>
          <w:shd w:val="clear" w:color="auto" w:fill="FFFFFF"/>
        </w:rPr>
        <w:t xml:space="preserve">, Attorney General, </w:t>
      </w:r>
      <w:r w:rsidRPr="00B620A6">
        <w:rPr>
          <w:rFonts w:ascii="Times New Roman" w:hAnsi="Times New Roman"/>
          <w:sz w:val="20"/>
          <w:bdr w:val="none" w:sz="0" w:space="0" w:color="auto" w:frame="1"/>
        </w:rPr>
        <w:t>Gerald A. Engler</w:t>
      </w:r>
      <w:r w:rsidRPr="00B620A6">
        <w:rPr>
          <w:rFonts w:ascii="Times New Roman" w:hAnsi="Times New Roman"/>
          <w:color w:val="373739"/>
          <w:sz w:val="20"/>
          <w:shd w:val="clear" w:color="auto" w:fill="FFFFFF"/>
        </w:rPr>
        <w:t xml:space="preserve">, Chief Assistant Attorney General, Thomas S. Patterson, Assistant Attorney General, Joshua A. Klein, Deputy State Solicitor General, Anthony R. Hakl, </w:t>
      </w:r>
      <w:r w:rsidRPr="00B620A6">
        <w:rPr>
          <w:rFonts w:ascii="Times New Roman" w:hAnsi="Times New Roman"/>
          <w:sz w:val="20"/>
          <w:bdr w:val="none" w:sz="0" w:space="0" w:color="auto" w:frame="1"/>
        </w:rPr>
        <w:t>Tamar Pachter</w:t>
      </w:r>
      <w:r w:rsidRPr="00B620A6">
        <w:rPr>
          <w:rFonts w:ascii="Times New Roman" w:hAnsi="Times New Roman"/>
          <w:color w:val="373739"/>
          <w:sz w:val="20"/>
          <w:shd w:val="clear" w:color="auto" w:fill="FFFFFF"/>
        </w:rPr>
        <w:t xml:space="preserve"> and </w:t>
      </w:r>
      <w:r w:rsidRPr="00B620A6">
        <w:rPr>
          <w:rFonts w:ascii="Times New Roman" w:hAnsi="Times New Roman"/>
          <w:sz w:val="20"/>
          <w:bdr w:val="none" w:sz="0" w:space="0" w:color="auto" w:frame="1"/>
        </w:rPr>
        <w:t>Nelson R. Richards</w:t>
      </w:r>
      <w:r w:rsidRPr="00B620A6">
        <w:rPr>
          <w:rFonts w:ascii="Times New Roman" w:hAnsi="Times New Roman"/>
          <w:color w:val="373739"/>
          <w:sz w:val="20"/>
          <w:shd w:val="clear" w:color="auto" w:fill="FFFFFF"/>
        </w:rPr>
        <w:t>, Deputy Attorneys General, for Attorney General as Amicus Curiae on behalf of Petitioner.</w:t>
      </w:r>
    </w:p>
    <w:p w14:paraId="464F0D91"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p>
    <w:p w14:paraId="61C853A8"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r w:rsidRPr="00B620A6">
        <w:rPr>
          <w:rFonts w:ascii="Times New Roman" w:hAnsi="Times New Roman"/>
          <w:color w:val="373739"/>
          <w:sz w:val="20"/>
          <w:shd w:val="clear" w:color="auto" w:fill="FFFFFF"/>
        </w:rPr>
        <w:t>Rebecca P. Jones; Bryan A. Stevenson and Alicia A. D’Addario for The Equal Justice Initiative as Amicus Curiae on behalf of Petitioner.</w:t>
      </w:r>
      <w:r w:rsidRPr="00B620A6">
        <w:rPr>
          <w:rFonts w:ascii="Times New Roman" w:hAnsi="Times New Roman"/>
          <w:color w:val="373739"/>
          <w:sz w:val="20"/>
        </w:rPr>
        <w:br/>
      </w:r>
      <w:r w:rsidRPr="00B620A6">
        <w:rPr>
          <w:rFonts w:ascii="Times New Roman" w:hAnsi="Times New Roman"/>
          <w:color w:val="373739"/>
          <w:sz w:val="20"/>
        </w:rPr>
        <w:br/>
      </w:r>
      <w:r w:rsidRPr="00B620A6">
        <w:rPr>
          <w:rFonts w:ascii="Times New Roman" w:hAnsi="Times New Roman"/>
          <w:color w:val="373739"/>
          <w:sz w:val="20"/>
          <w:shd w:val="clear" w:color="auto" w:fill="FFFFFF"/>
        </w:rPr>
        <w:t>No appearance for Respondent.</w:t>
      </w:r>
    </w:p>
    <w:p w14:paraId="5D3E4805" w14:textId="77777777" w:rsidR="00B620A6" w:rsidRPr="00B620A6" w:rsidRDefault="00B620A6" w:rsidP="00B620A6">
      <w:pPr>
        <w:spacing w:after="0" w:line="240" w:lineRule="auto"/>
        <w:jc w:val="left"/>
        <w:rPr>
          <w:rFonts w:ascii="Times New Roman" w:hAnsi="Times New Roman"/>
          <w:color w:val="373739"/>
          <w:sz w:val="20"/>
          <w:shd w:val="clear" w:color="auto" w:fill="FFFFFF"/>
        </w:rPr>
      </w:pPr>
    </w:p>
    <w:p w14:paraId="395DC88D"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t>Jeff Rubin, District Attorney (Santa Clara), for California District Attorneys Association as Amicus Curiae on behalf of Respondent and Real Party in Interest.</w:t>
      </w:r>
    </w:p>
    <w:p w14:paraId="5DE38FCE" w14:textId="618DAB5F" w:rsidR="00B620A6" w:rsidRDefault="00B620A6" w:rsidP="00B620A6">
      <w:pPr>
        <w:spacing w:after="0" w:line="240" w:lineRule="auto"/>
        <w:jc w:val="left"/>
        <w:rPr>
          <w:rFonts w:ascii="Times New Roman" w:hAnsi="Times New Roman"/>
          <w:bCs/>
          <w:sz w:val="20"/>
        </w:rPr>
      </w:pPr>
    </w:p>
    <w:p w14:paraId="12F4355B" w14:textId="131BE28A" w:rsidR="009F6D9C" w:rsidRDefault="009F6D9C" w:rsidP="00B620A6">
      <w:pPr>
        <w:spacing w:after="0" w:line="240" w:lineRule="auto"/>
        <w:jc w:val="left"/>
        <w:rPr>
          <w:rFonts w:ascii="Times New Roman" w:hAnsi="Times New Roman"/>
          <w:color w:val="373739"/>
          <w:sz w:val="20"/>
          <w:shd w:val="clear" w:color="auto" w:fill="FFFFFF"/>
        </w:rPr>
      </w:pPr>
      <w:r w:rsidRPr="00B620A6">
        <w:rPr>
          <w:rFonts w:ascii="Times New Roman" w:hAnsi="Times New Roman"/>
          <w:sz w:val="20"/>
          <w:bdr w:val="none" w:sz="0" w:space="0" w:color="auto" w:frame="1"/>
        </w:rPr>
        <w:t>Gregory D. Totten</w:t>
      </w:r>
      <w:r w:rsidRPr="00B620A6">
        <w:rPr>
          <w:rFonts w:ascii="Times New Roman" w:hAnsi="Times New Roman"/>
          <w:color w:val="373739"/>
          <w:sz w:val="20"/>
          <w:shd w:val="clear" w:color="auto" w:fill="FFFFFF"/>
        </w:rPr>
        <w:t xml:space="preserve">, District Attorney, Michael D. Schwartz, Chief Assistant District Attorney, Tate McCallister and </w:t>
      </w:r>
      <w:r w:rsidRPr="00B620A6">
        <w:rPr>
          <w:rFonts w:ascii="Times New Roman" w:hAnsi="Times New Roman"/>
          <w:sz w:val="20"/>
          <w:bdr w:val="none" w:sz="0" w:space="0" w:color="auto" w:frame="1"/>
        </w:rPr>
        <w:t>Michelle Contois</w:t>
      </w:r>
      <w:r w:rsidRPr="00B620A6">
        <w:rPr>
          <w:rFonts w:ascii="Times New Roman" w:hAnsi="Times New Roman"/>
          <w:color w:val="373739"/>
          <w:sz w:val="20"/>
          <w:shd w:val="clear" w:color="auto" w:fill="FFFFFF"/>
        </w:rPr>
        <w:t>, Deputy District Attorneys, for Real Party in Interest.</w:t>
      </w:r>
    </w:p>
    <w:p w14:paraId="2FCE965C" w14:textId="77777777" w:rsidR="009F6D9C" w:rsidRPr="00B620A6" w:rsidRDefault="009F6D9C" w:rsidP="00B620A6">
      <w:pPr>
        <w:spacing w:after="0" w:line="240" w:lineRule="auto"/>
        <w:jc w:val="left"/>
        <w:rPr>
          <w:rFonts w:ascii="Times New Roman" w:hAnsi="Times New Roman"/>
          <w:bCs/>
          <w:sz w:val="20"/>
        </w:rPr>
      </w:pPr>
    </w:p>
    <w:p w14:paraId="7E10AFB8"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t>Keiter Appellate Law and Mitchell Keiter for Amicus Populi as Amicus Curiae on behalf of Real Party in Interest.</w:t>
      </w:r>
    </w:p>
    <w:p w14:paraId="599766CD" w14:textId="678E84E8"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color w:val="373739"/>
          <w:sz w:val="20"/>
        </w:rPr>
        <w:lastRenderedPageBreak/>
        <w:br/>
      </w:r>
    </w:p>
    <w:p w14:paraId="204FA8EE"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t>Kent S. Scheidegger and Kymberlee C. Stapleton for Criminal Justice Legal Foundation as Amicus Curiae on behalf of Real Party in Interest.</w:t>
      </w:r>
    </w:p>
    <w:p w14:paraId="2B107FDD" w14:textId="77777777" w:rsidR="00B620A6" w:rsidRPr="00B620A6" w:rsidRDefault="00B620A6" w:rsidP="00B620A6">
      <w:pPr>
        <w:spacing w:after="0" w:line="240" w:lineRule="auto"/>
        <w:jc w:val="left"/>
        <w:rPr>
          <w:rFonts w:ascii="Times New Roman" w:hAnsi="Times New Roman"/>
          <w:bCs/>
          <w:sz w:val="20"/>
        </w:rPr>
      </w:pPr>
    </w:p>
    <w:p w14:paraId="33060D1D" w14:textId="77777777" w:rsidR="00B620A6" w:rsidRPr="00B620A6" w:rsidRDefault="00B620A6" w:rsidP="00B620A6">
      <w:pPr>
        <w:spacing w:after="0" w:line="240" w:lineRule="auto"/>
        <w:jc w:val="left"/>
        <w:rPr>
          <w:rFonts w:ascii="Times New Roman" w:hAnsi="Times New Roman"/>
          <w:bCs/>
          <w:sz w:val="20"/>
        </w:rPr>
      </w:pPr>
    </w:p>
    <w:p w14:paraId="0A31E47C" w14:textId="77777777" w:rsidR="00B620A6" w:rsidRPr="00B620A6" w:rsidRDefault="00B620A6" w:rsidP="00B620A6">
      <w:pPr>
        <w:spacing w:after="0" w:line="240" w:lineRule="auto"/>
        <w:jc w:val="left"/>
        <w:rPr>
          <w:rFonts w:ascii="Times New Roman" w:hAnsi="Times New Roman"/>
          <w:bCs/>
          <w:sz w:val="20"/>
        </w:rPr>
      </w:pPr>
      <w:r w:rsidRPr="00B620A6">
        <w:rPr>
          <w:rFonts w:ascii="Times New Roman" w:hAnsi="Times New Roman"/>
          <w:bCs/>
          <w:sz w:val="20"/>
        </w:rPr>
        <w:br w:type="page"/>
      </w:r>
    </w:p>
    <w:p w14:paraId="37171F72" w14:textId="77777777" w:rsidR="00B620A6" w:rsidRPr="00B620A6" w:rsidRDefault="00B620A6" w:rsidP="00B620A6">
      <w:pPr>
        <w:spacing w:after="0" w:line="240" w:lineRule="auto"/>
        <w:jc w:val="left"/>
        <w:rPr>
          <w:rFonts w:ascii="Times New Roman" w:hAnsi="Times New Roman"/>
          <w:b/>
          <w:sz w:val="20"/>
        </w:rPr>
      </w:pPr>
    </w:p>
    <w:p w14:paraId="0D1E2D50" w14:textId="77777777" w:rsidR="00B620A6" w:rsidRPr="00B620A6" w:rsidRDefault="00B620A6" w:rsidP="00B620A6">
      <w:pPr>
        <w:spacing w:after="0" w:line="240" w:lineRule="auto"/>
        <w:jc w:val="left"/>
        <w:rPr>
          <w:rFonts w:ascii="Times New Roman" w:hAnsi="Times New Roman"/>
          <w:b/>
          <w:sz w:val="20"/>
        </w:rPr>
      </w:pPr>
    </w:p>
    <w:p w14:paraId="59BD01D2" w14:textId="77777777" w:rsidR="00B620A6" w:rsidRPr="00B620A6" w:rsidRDefault="00B620A6" w:rsidP="00B620A6">
      <w:pPr>
        <w:spacing w:after="0" w:line="240" w:lineRule="auto"/>
        <w:jc w:val="left"/>
        <w:rPr>
          <w:rFonts w:ascii="Times New Roman" w:hAnsi="Times New Roman"/>
          <w:b/>
          <w:sz w:val="20"/>
        </w:rPr>
      </w:pPr>
    </w:p>
    <w:p w14:paraId="42FBB220" w14:textId="77777777" w:rsidR="00B620A6" w:rsidRPr="00B620A6" w:rsidRDefault="00B620A6" w:rsidP="00B620A6">
      <w:pPr>
        <w:spacing w:after="0" w:line="240" w:lineRule="auto"/>
        <w:jc w:val="left"/>
        <w:rPr>
          <w:rFonts w:ascii="Times New Roman" w:hAnsi="Times New Roman"/>
          <w:b/>
          <w:sz w:val="20"/>
        </w:rPr>
      </w:pPr>
      <w:r w:rsidRPr="00B620A6">
        <w:rPr>
          <w:rFonts w:ascii="Times New Roman" w:hAnsi="Times New Roman"/>
          <w:b/>
          <w:sz w:val="20"/>
        </w:rPr>
        <w:t>Counsel who argued in Supreme Court (not intended for publication with opinion):</w:t>
      </w:r>
    </w:p>
    <w:p w14:paraId="4CED517D" w14:textId="77777777" w:rsidR="00B620A6" w:rsidRPr="00B620A6" w:rsidRDefault="00B620A6" w:rsidP="00B620A6">
      <w:pPr>
        <w:spacing w:after="0" w:line="240" w:lineRule="auto"/>
        <w:jc w:val="left"/>
        <w:rPr>
          <w:rFonts w:ascii="Times New Roman" w:hAnsi="Times New Roman"/>
          <w:b/>
          <w:sz w:val="20"/>
        </w:rPr>
      </w:pPr>
    </w:p>
    <w:p w14:paraId="475BF669"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Jennifer Hansen</w:t>
      </w:r>
    </w:p>
    <w:p w14:paraId="2E08F75B"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California Appellate Project</w:t>
      </w:r>
    </w:p>
    <w:p w14:paraId="29063667"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520 S. Grand Ave., 4th Floor</w:t>
      </w:r>
    </w:p>
    <w:p w14:paraId="6E61C6CF"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Los Angeles, CA 90071</w:t>
      </w:r>
    </w:p>
    <w:p w14:paraId="3814F8A6"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(213) 243-0300</w:t>
      </w:r>
    </w:p>
    <w:p w14:paraId="1793BF1D" w14:textId="77777777" w:rsidR="00B620A6" w:rsidRPr="00B620A6" w:rsidRDefault="00B620A6" w:rsidP="00B620A6">
      <w:pPr>
        <w:spacing w:after="0" w:line="240" w:lineRule="auto"/>
        <w:jc w:val="left"/>
        <w:rPr>
          <w:rFonts w:ascii="Times New Roman" w:hAnsi="Times New Roman"/>
          <w:sz w:val="20"/>
        </w:rPr>
      </w:pPr>
    </w:p>
    <w:p w14:paraId="1A1787F7"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Nelson R. Richards</w:t>
      </w:r>
    </w:p>
    <w:p w14:paraId="13C7CCB3"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Deputy Attorney General</w:t>
      </w:r>
    </w:p>
    <w:p w14:paraId="7304AAD1"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1300 I Street, Suite 125</w:t>
      </w:r>
    </w:p>
    <w:p w14:paraId="151A122F"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Sacramento, CA 94244-2550</w:t>
      </w:r>
    </w:p>
    <w:p w14:paraId="24384B19"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(916) 210-7867</w:t>
      </w:r>
    </w:p>
    <w:p w14:paraId="1EA5D680" w14:textId="77777777" w:rsidR="00B620A6" w:rsidRPr="00B620A6" w:rsidRDefault="00B620A6" w:rsidP="00B620A6">
      <w:pPr>
        <w:spacing w:after="0" w:line="240" w:lineRule="auto"/>
        <w:jc w:val="left"/>
        <w:rPr>
          <w:rFonts w:ascii="Times New Roman" w:hAnsi="Times New Roman"/>
          <w:sz w:val="20"/>
        </w:rPr>
      </w:pPr>
    </w:p>
    <w:p w14:paraId="5B22ACDD"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Michelle J. Contois</w:t>
      </w:r>
    </w:p>
    <w:p w14:paraId="5C4E753F"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Deputy District Attorney</w:t>
      </w:r>
    </w:p>
    <w:p w14:paraId="48F4DF5B"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800 South Victoria Ave.</w:t>
      </w:r>
    </w:p>
    <w:p w14:paraId="75298E5B"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Ventura, CA 93009</w:t>
      </w:r>
    </w:p>
    <w:p w14:paraId="56473344" w14:textId="77777777" w:rsidR="00B620A6" w:rsidRPr="00B620A6" w:rsidRDefault="00B620A6" w:rsidP="00B620A6">
      <w:pPr>
        <w:spacing w:after="0" w:line="240" w:lineRule="auto"/>
        <w:jc w:val="left"/>
        <w:rPr>
          <w:rFonts w:ascii="Times New Roman" w:hAnsi="Times New Roman"/>
          <w:sz w:val="20"/>
        </w:rPr>
      </w:pPr>
      <w:r w:rsidRPr="00B620A6">
        <w:rPr>
          <w:rFonts w:ascii="Times New Roman" w:hAnsi="Times New Roman"/>
          <w:sz w:val="20"/>
        </w:rPr>
        <w:t>(805) 654-3078</w:t>
      </w:r>
    </w:p>
    <w:p w14:paraId="701BD524" w14:textId="03438A06" w:rsidR="00B12A0A" w:rsidRPr="00B34294" w:rsidRDefault="00B12A0A" w:rsidP="008E3B29">
      <w:pPr>
        <w:tabs>
          <w:tab w:val="left" w:pos="1440"/>
        </w:tabs>
      </w:pPr>
    </w:p>
    <w:sectPr w:rsidR="00B12A0A" w:rsidRPr="00B3429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7CEE" w14:textId="77777777" w:rsidR="00DF7249" w:rsidRDefault="00DF7249">
      <w:r>
        <w:separator/>
      </w:r>
    </w:p>
  </w:endnote>
  <w:endnote w:type="continuationSeparator" w:id="0">
    <w:p w14:paraId="55E61AC3" w14:textId="77777777" w:rsidR="00DF7249" w:rsidRDefault="00DF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33F1" w14:textId="77777777" w:rsidR="00893EC0" w:rsidRDefault="00893EC0">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035F" w14:textId="77777777" w:rsidR="00893EC0" w:rsidRDefault="00893EC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F1AE2" w14:textId="77777777" w:rsidR="00B43495" w:rsidRDefault="000A30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335" w14:textId="77777777" w:rsidR="00B43495" w:rsidRDefault="000A30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22DC" w14:textId="77777777" w:rsidR="00B43495" w:rsidRDefault="000A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C4D5" w14:textId="77777777" w:rsidR="00DF7249" w:rsidRDefault="00DF7249">
      <w:r>
        <w:separator/>
      </w:r>
    </w:p>
  </w:footnote>
  <w:footnote w:type="continuationSeparator" w:id="0">
    <w:p w14:paraId="082A4567" w14:textId="77777777" w:rsidR="00DF7249" w:rsidRDefault="00DF7249">
      <w:pPr>
        <w:rPr>
          <w:sz w:val="22"/>
        </w:rPr>
      </w:pPr>
      <w:r>
        <w:continuationSeparator/>
      </w:r>
    </w:p>
  </w:footnote>
  <w:footnote w:type="continuationNotice" w:id="1">
    <w:p w14:paraId="3A04F055" w14:textId="77777777" w:rsidR="00DF7249" w:rsidRDefault="00DF7249">
      <w:pPr>
        <w:jc w:val="right"/>
        <w:rPr>
          <w:i/>
          <w:sz w:val="20"/>
        </w:rPr>
      </w:pPr>
    </w:p>
  </w:footnote>
  <w:footnote w:id="2">
    <w:p w14:paraId="0EAFB27A" w14:textId="72F14487" w:rsidR="00893EC0" w:rsidRDefault="00893EC0" w:rsidP="00E824F0">
      <w:pPr>
        <w:pStyle w:val="FootnoteText"/>
      </w:pPr>
      <w:r>
        <w:rPr>
          <w:rStyle w:val="FootnoteReference"/>
        </w:rPr>
        <w:footnoteRef/>
      </w:r>
      <w:r>
        <w:t xml:space="preserve"> </w:t>
      </w:r>
      <w:r>
        <w:tab/>
        <w:t xml:space="preserve">For instance, </w:t>
      </w:r>
      <w:r w:rsidRPr="001C381A">
        <w:t>the “Official Title and Summary” included: “Provides juvenile court judges shall make determination, upon prosecutor motion, whether juveniles age 14 and older should be prosecuted and sentenced as adults for specified offenses.”  (</w:t>
      </w:r>
      <w:r w:rsidR="003E147F">
        <w:t xml:space="preserve">2016 </w:t>
      </w:r>
      <w:r w:rsidRPr="001C381A">
        <w:t xml:space="preserve">Voter Guide, </w:t>
      </w:r>
      <w:r w:rsidRPr="001C381A">
        <w:rPr>
          <w:i/>
          <w:iCs/>
        </w:rPr>
        <w:t>supra</w:t>
      </w:r>
      <w:r w:rsidRPr="001C381A">
        <w:t>, Official Title and Summary, p. 54</w:t>
      </w:r>
      <w:r w:rsidRPr="00F24A22">
        <w:t>.)</w:t>
      </w:r>
    </w:p>
  </w:footnote>
  <w:footnote w:id="3">
    <w:p w14:paraId="12DC734F" w14:textId="5B0A34EE" w:rsidR="00893EC0" w:rsidRDefault="00893EC0" w:rsidP="00176F22">
      <w:pPr>
        <w:pStyle w:val="FootnoteText"/>
      </w:pPr>
      <w:r>
        <w:rPr>
          <w:rStyle w:val="FootnoteReference"/>
        </w:rPr>
        <w:footnoteRef/>
      </w:r>
      <w:r>
        <w:t xml:space="preserve"> </w:t>
      </w:r>
      <w:r>
        <w:tab/>
        <w:t xml:space="preserve">The District Attorney’s Office argues that we may not ignore any of Proposition 57’s enumerated purposes by designating one or more of them as “primary” or “fundamental.”   Designating a major purpose, however, is consistent with our own statements about Proposition 57 in </w:t>
      </w:r>
      <w:r w:rsidRPr="00254F2C">
        <w:rPr>
          <w:i/>
          <w:iCs/>
        </w:rPr>
        <w:t>Lara</w:t>
      </w:r>
      <w:r>
        <w:t xml:space="preserve">.  (See </w:t>
      </w:r>
      <w:r w:rsidRPr="00E029BC">
        <w:rPr>
          <w:i/>
          <w:iCs/>
        </w:rPr>
        <w:t>Lara</w:t>
      </w:r>
      <w:r>
        <w:t xml:space="preserve">, </w:t>
      </w:r>
      <w:r w:rsidRPr="00E029BC">
        <w:rPr>
          <w:i/>
          <w:iCs/>
        </w:rPr>
        <w:t>supra</w:t>
      </w:r>
      <w:r>
        <w:t>, 4 Cal.5th at p. 309; see also</w:t>
      </w:r>
      <w:r w:rsidRPr="00254F2C">
        <w:rPr>
          <w:i/>
          <w:iCs/>
        </w:rPr>
        <w:t xml:space="preserve"> Amwest</w:t>
      </w:r>
      <w:r>
        <w:t xml:space="preserve">, </w:t>
      </w:r>
      <w:r w:rsidRPr="00254F2C">
        <w:rPr>
          <w:i/>
          <w:iCs/>
        </w:rPr>
        <w:t>supra</w:t>
      </w:r>
      <w:r>
        <w:t>, 11 Cal.4th at pp. 1257, 1259 [reviewing the available information about Prop</w:t>
      </w:r>
      <w:r w:rsidR="001D21A4">
        <w:t>.</w:t>
      </w:r>
      <w:r>
        <w:t xml:space="preserve"> 103 </w:t>
      </w:r>
      <w:r w:rsidRPr="006A4E45">
        <w:t>“</w:t>
      </w:r>
      <w:r>
        <w:t> </w:t>
      </w:r>
      <w:r w:rsidRPr="006A4E45">
        <w:t>‘as a whole’</w:t>
      </w:r>
      <w:r>
        <w:t> </w:t>
      </w:r>
      <w:r w:rsidRPr="006A4E45">
        <w:t>”</w:t>
      </w:r>
      <w:r>
        <w:t xml:space="preserve"> and its historical backdrop before construing its “two major purposes”].)  We can properly assess the major purpose or purposes of an initiative.  </w:t>
      </w:r>
      <w:r>
        <w:rPr>
          <w:szCs w:val="26"/>
        </w:rPr>
        <w:t>In any event</w:t>
      </w:r>
      <w:r w:rsidRPr="000B1430">
        <w:rPr>
          <w:szCs w:val="26"/>
        </w:rPr>
        <w:t xml:space="preserve">, </w:t>
      </w:r>
      <w:r>
        <w:rPr>
          <w:szCs w:val="26"/>
        </w:rPr>
        <w:t>under a</w:t>
      </w:r>
      <w:r w:rsidRPr="000B1430">
        <w:rPr>
          <w:szCs w:val="26"/>
        </w:rPr>
        <w:t xml:space="preserve"> reasonable construction </w:t>
      </w:r>
      <w:r>
        <w:rPr>
          <w:szCs w:val="26"/>
        </w:rPr>
        <w:t xml:space="preserve">of Proposition 57, </w:t>
      </w:r>
      <w:r w:rsidRPr="000B1430">
        <w:rPr>
          <w:szCs w:val="26"/>
        </w:rPr>
        <w:t>S</w:t>
      </w:r>
      <w:r w:rsidR="00C822D7">
        <w:rPr>
          <w:szCs w:val="26"/>
        </w:rPr>
        <w:t xml:space="preserve">enate </w:t>
      </w:r>
      <w:r w:rsidRPr="000B1430">
        <w:rPr>
          <w:szCs w:val="26"/>
        </w:rPr>
        <w:t>B</w:t>
      </w:r>
      <w:r w:rsidR="00C822D7">
        <w:rPr>
          <w:szCs w:val="26"/>
        </w:rPr>
        <w:t>ill</w:t>
      </w:r>
      <w:r w:rsidRPr="000B1430">
        <w:rPr>
          <w:szCs w:val="26"/>
        </w:rPr>
        <w:t xml:space="preserve"> 1391 is consistent with and furthers each of Proposition 57’s enumerated purposes.  </w:t>
      </w:r>
      <w:r>
        <w:rPr>
          <w:szCs w:val="26"/>
        </w:rPr>
        <w:t>Thus, whether we look to the statute’s “major” purpose or instead analyze each of its enumerated purposes, O.G. still prevails.</w:t>
      </w:r>
    </w:p>
  </w:footnote>
  <w:footnote w:id="4">
    <w:p w14:paraId="2C18CC59" w14:textId="140128DE" w:rsidR="00893EC0" w:rsidRDefault="00893EC0">
      <w:pPr>
        <w:pStyle w:val="FootnoteText"/>
      </w:pPr>
      <w:r>
        <w:rPr>
          <w:rStyle w:val="FootnoteReference"/>
        </w:rPr>
        <w:footnoteRef/>
      </w:r>
      <w:r>
        <w:t xml:space="preserve"> </w:t>
      </w:r>
      <w:r>
        <w:tab/>
        <w:t xml:space="preserve">Proposition 57 also effectively repealed a 1999 legislative act that required direct filing of criminal charges against juveniles 16 and older in adult court for select offenses.  </w:t>
      </w:r>
      <w:r w:rsidRPr="00A67BFB">
        <w:rPr>
          <w:szCs w:val="26"/>
        </w:rPr>
        <w:t>(Stats. 1999, ch. 996, § 12.2, p. 7560.)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1219" w14:textId="39E3CB0B" w:rsidR="00893EC0" w:rsidRDefault="00893EC0">
    <w:pPr>
      <w:pStyle w:val="Header"/>
    </w:pPr>
    <w:r>
      <w:t>O.G. v. SUPERIOR COURT</w:t>
    </w:r>
  </w:p>
  <w:p w14:paraId="0D3F2AAA" w14:textId="019AFE35" w:rsidR="00893EC0" w:rsidRDefault="00893EC0">
    <w:pPr>
      <w:pStyle w:val="Header"/>
    </w:pPr>
    <w:r>
      <w:t>Opinion of the Court by Groban, J.</w:t>
    </w:r>
  </w:p>
  <w:p w14:paraId="3216D560" w14:textId="77777777" w:rsidR="00893EC0" w:rsidRDefault="0089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9B70" w14:textId="77777777" w:rsidR="00B43495" w:rsidRDefault="000A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0B93" w14:textId="77777777" w:rsidR="00B43495" w:rsidRDefault="000A3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F207" w14:textId="77777777" w:rsidR="00B43495" w:rsidRDefault="000A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5A6"/>
    <w:multiLevelType w:val="hybridMultilevel"/>
    <w:tmpl w:val="98BC11CA"/>
    <w:lvl w:ilvl="0" w:tplc="9176CC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DF1C96"/>
    <w:multiLevelType w:val="hybridMultilevel"/>
    <w:tmpl w:val="38C43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C5"/>
    <w:rsid w:val="00003F61"/>
    <w:rsid w:val="00007774"/>
    <w:rsid w:val="00010EF7"/>
    <w:rsid w:val="000114D4"/>
    <w:rsid w:val="00014515"/>
    <w:rsid w:val="0001485E"/>
    <w:rsid w:val="00014ABB"/>
    <w:rsid w:val="00014DED"/>
    <w:rsid w:val="00017D9A"/>
    <w:rsid w:val="000201C9"/>
    <w:rsid w:val="00021024"/>
    <w:rsid w:val="00022F08"/>
    <w:rsid w:val="00024F8D"/>
    <w:rsid w:val="00025719"/>
    <w:rsid w:val="00026CF1"/>
    <w:rsid w:val="00030D32"/>
    <w:rsid w:val="000353A4"/>
    <w:rsid w:val="00040D37"/>
    <w:rsid w:val="00041874"/>
    <w:rsid w:val="00042060"/>
    <w:rsid w:val="00043F77"/>
    <w:rsid w:val="00047EB7"/>
    <w:rsid w:val="00051493"/>
    <w:rsid w:val="0005282E"/>
    <w:rsid w:val="000532E9"/>
    <w:rsid w:val="0005693F"/>
    <w:rsid w:val="000576D0"/>
    <w:rsid w:val="000576F6"/>
    <w:rsid w:val="00057E56"/>
    <w:rsid w:val="00062280"/>
    <w:rsid w:val="0006365B"/>
    <w:rsid w:val="00064777"/>
    <w:rsid w:val="00071D65"/>
    <w:rsid w:val="00073B6C"/>
    <w:rsid w:val="00074DB8"/>
    <w:rsid w:val="0007602E"/>
    <w:rsid w:val="000819CD"/>
    <w:rsid w:val="00082A20"/>
    <w:rsid w:val="00085A02"/>
    <w:rsid w:val="00093A19"/>
    <w:rsid w:val="00094AAF"/>
    <w:rsid w:val="000962A0"/>
    <w:rsid w:val="00096931"/>
    <w:rsid w:val="000A2D3C"/>
    <w:rsid w:val="000A30CD"/>
    <w:rsid w:val="000A319E"/>
    <w:rsid w:val="000A3DB2"/>
    <w:rsid w:val="000A541A"/>
    <w:rsid w:val="000A54BE"/>
    <w:rsid w:val="000A6764"/>
    <w:rsid w:val="000B0C51"/>
    <w:rsid w:val="000B1430"/>
    <w:rsid w:val="000B2F5C"/>
    <w:rsid w:val="000B3B22"/>
    <w:rsid w:val="000C3E8E"/>
    <w:rsid w:val="000C479B"/>
    <w:rsid w:val="000C5565"/>
    <w:rsid w:val="000C58EB"/>
    <w:rsid w:val="000D0D10"/>
    <w:rsid w:val="000D0E0A"/>
    <w:rsid w:val="000D2AB7"/>
    <w:rsid w:val="000D2B1C"/>
    <w:rsid w:val="000D2D87"/>
    <w:rsid w:val="000D2F5E"/>
    <w:rsid w:val="000D55A1"/>
    <w:rsid w:val="000D7865"/>
    <w:rsid w:val="000E3A7E"/>
    <w:rsid w:val="000E5E5E"/>
    <w:rsid w:val="000F083E"/>
    <w:rsid w:val="000F2890"/>
    <w:rsid w:val="000F30F2"/>
    <w:rsid w:val="000F3C8B"/>
    <w:rsid w:val="001009A5"/>
    <w:rsid w:val="00101E12"/>
    <w:rsid w:val="00102491"/>
    <w:rsid w:val="00102681"/>
    <w:rsid w:val="0010342D"/>
    <w:rsid w:val="0010391E"/>
    <w:rsid w:val="00105346"/>
    <w:rsid w:val="001118F3"/>
    <w:rsid w:val="00113C8C"/>
    <w:rsid w:val="001176A8"/>
    <w:rsid w:val="0012208E"/>
    <w:rsid w:val="00122602"/>
    <w:rsid w:val="00123B12"/>
    <w:rsid w:val="001258C1"/>
    <w:rsid w:val="00125A71"/>
    <w:rsid w:val="0012770C"/>
    <w:rsid w:val="00131F15"/>
    <w:rsid w:val="001331B8"/>
    <w:rsid w:val="001344A6"/>
    <w:rsid w:val="00135BA5"/>
    <w:rsid w:val="00137D73"/>
    <w:rsid w:val="00144DBB"/>
    <w:rsid w:val="0014698B"/>
    <w:rsid w:val="0015025E"/>
    <w:rsid w:val="0015118B"/>
    <w:rsid w:val="0015349A"/>
    <w:rsid w:val="00153FE8"/>
    <w:rsid w:val="0015461B"/>
    <w:rsid w:val="001565C0"/>
    <w:rsid w:val="00161C54"/>
    <w:rsid w:val="00162A5F"/>
    <w:rsid w:val="00163FF0"/>
    <w:rsid w:val="00164C26"/>
    <w:rsid w:val="0017023F"/>
    <w:rsid w:val="001702D8"/>
    <w:rsid w:val="00176F22"/>
    <w:rsid w:val="001771A8"/>
    <w:rsid w:val="0018061E"/>
    <w:rsid w:val="0018210D"/>
    <w:rsid w:val="0018517C"/>
    <w:rsid w:val="0018588E"/>
    <w:rsid w:val="00195454"/>
    <w:rsid w:val="00197334"/>
    <w:rsid w:val="001A0BC8"/>
    <w:rsid w:val="001A186A"/>
    <w:rsid w:val="001A3226"/>
    <w:rsid w:val="001A714E"/>
    <w:rsid w:val="001A73B7"/>
    <w:rsid w:val="001B34BD"/>
    <w:rsid w:val="001B543A"/>
    <w:rsid w:val="001B67B7"/>
    <w:rsid w:val="001C1CDC"/>
    <w:rsid w:val="001C381A"/>
    <w:rsid w:val="001C45F9"/>
    <w:rsid w:val="001C705A"/>
    <w:rsid w:val="001D18A5"/>
    <w:rsid w:val="001D1C22"/>
    <w:rsid w:val="001D21A4"/>
    <w:rsid w:val="001D4A0C"/>
    <w:rsid w:val="001E5B9B"/>
    <w:rsid w:val="001E7B12"/>
    <w:rsid w:val="001F0467"/>
    <w:rsid w:val="001F0B97"/>
    <w:rsid w:val="001F1C6E"/>
    <w:rsid w:val="001F1EAD"/>
    <w:rsid w:val="001F53F7"/>
    <w:rsid w:val="001F5C3B"/>
    <w:rsid w:val="00204D5F"/>
    <w:rsid w:val="00204D6B"/>
    <w:rsid w:val="00204E0E"/>
    <w:rsid w:val="0021347D"/>
    <w:rsid w:val="00214462"/>
    <w:rsid w:val="00214532"/>
    <w:rsid w:val="002224CF"/>
    <w:rsid w:val="002269B3"/>
    <w:rsid w:val="00232283"/>
    <w:rsid w:val="002350F9"/>
    <w:rsid w:val="00236E1D"/>
    <w:rsid w:val="00237264"/>
    <w:rsid w:val="00237E04"/>
    <w:rsid w:val="002408BB"/>
    <w:rsid w:val="002424A5"/>
    <w:rsid w:val="00243391"/>
    <w:rsid w:val="002468AC"/>
    <w:rsid w:val="00247440"/>
    <w:rsid w:val="00250283"/>
    <w:rsid w:val="002509B8"/>
    <w:rsid w:val="002543A6"/>
    <w:rsid w:val="00254F2C"/>
    <w:rsid w:val="0025502F"/>
    <w:rsid w:val="00257B37"/>
    <w:rsid w:val="00261A41"/>
    <w:rsid w:val="00261D04"/>
    <w:rsid w:val="0027011A"/>
    <w:rsid w:val="002728F3"/>
    <w:rsid w:val="00272A05"/>
    <w:rsid w:val="00274270"/>
    <w:rsid w:val="00274779"/>
    <w:rsid w:val="00275BEA"/>
    <w:rsid w:val="00275E72"/>
    <w:rsid w:val="00277E5B"/>
    <w:rsid w:val="002902D2"/>
    <w:rsid w:val="00293A06"/>
    <w:rsid w:val="00293CF6"/>
    <w:rsid w:val="0029481F"/>
    <w:rsid w:val="00294E1C"/>
    <w:rsid w:val="00295204"/>
    <w:rsid w:val="00296A7A"/>
    <w:rsid w:val="0029746F"/>
    <w:rsid w:val="002A18EE"/>
    <w:rsid w:val="002A2570"/>
    <w:rsid w:val="002A2CCC"/>
    <w:rsid w:val="002A347D"/>
    <w:rsid w:val="002A7460"/>
    <w:rsid w:val="002A74AE"/>
    <w:rsid w:val="002A7C93"/>
    <w:rsid w:val="002B2646"/>
    <w:rsid w:val="002B3CE7"/>
    <w:rsid w:val="002B4154"/>
    <w:rsid w:val="002B5116"/>
    <w:rsid w:val="002C0EF9"/>
    <w:rsid w:val="002C732A"/>
    <w:rsid w:val="002C7F74"/>
    <w:rsid w:val="002D3303"/>
    <w:rsid w:val="002D39C6"/>
    <w:rsid w:val="002E72E5"/>
    <w:rsid w:val="002F118A"/>
    <w:rsid w:val="002F1A7E"/>
    <w:rsid w:val="002F48C7"/>
    <w:rsid w:val="002F4CFA"/>
    <w:rsid w:val="002F54F7"/>
    <w:rsid w:val="002F5C4D"/>
    <w:rsid w:val="002F764D"/>
    <w:rsid w:val="00301DDF"/>
    <w:rsid w:val="00314068"/>
    <w:rsid w:val="0032115E"/>
    <w:rsid w:val="00325BB2"/>
    <w:rsid w:val="00325D88"/>
    <w:rsid w:val="003334EB"/>
    <w:rsid w:val="00335108"/>
    <w:rsid w:val="003365AF"/>
    <w:rsid w:val="003379B2"/>
    <w:rsid w:val="003403C3"/>
    <w:rsid w:val="00341B3B"/>
    <w:rsid w:val="00342097"/>
    <w:rsid w:val="00347E88"/>
    <w:rsid w:val="003506FC"/>
    <w:rsid w:val="00351AB3"/>
    <w:rsid w:val="003535E6"/>
    <w:rsid w:val="00353801"/>
    <w:rsid w:val="00356F59"/>
    <w:rsid w:val="003573A9"/>
    <w:rsid w:val="003600EC"/>
    <w:rsid w:val="003619AE"/>
    <w:rsid w:val="00363FAA"/>
    <w:rsid w:val="003648F5"/>
    <w:rsid w:val="00370449"/>
    <w:rsid w:val="003742F2"/>
    <w:rsid w:val="00377454"/>
    <w:rsid w:val="00380349"/>
    <w:rsid w:val="00383013"/>
    <w:rsid w:val="00383407"/>
    <w:rsid w:val="0038454A"/>
    <w:rsid w:val="0038630A"/>
    <w:rsid w:val="0038708D"/>
    <w:rsid w:val="00391FAC"/>
    <w:rsid w:val="0039575E"/>
    <w:rsid w:val="00395AE1"/>
    <w:rsid w:val="003A301A"/>
    <w:rsid w:val="003A5614"/>
    <w:rsid w:val="003A6709"/>
    <w:rsid w:val="003B162D"/>
    <w:rsid w:val="003B2673"/>
    <w:rsid w:val="003B308F"/>
    <w:rsid w:val="003B3F21"/>
    <w:rsid w:val="003B58A5"/>
    <w:rsid w:val="003B7BBF"/>
    <w:rsid w:val="003C10A7"/>
    <w:rsid w:val="003C5AE4"/>
    <w:rsid w:val="003C5C69"/>
    <w:rsid w:val="003D1E39"/>
    <w:rsid w:val="003D4CD8"/>
    <w:rsid w:val="003D55D7"/>
    <w:rsid w:val="003D795C"/>
    <w:rsid w:val="003E147F"/>
    <w:rsid w:val="003E4124"/>
    <w:rsid w:val="003E55F6"/>
    <w:rsid w:val="003F01ED"/>
    <w:rsid w:val="003F1F27"/>
    <w:rsid w:val="003F255E"/>
    <w:rsid w:val="003F3361"/>
    <w:rsid w:val="003F5F88"/>
    <w:rsid w:val="003F6B90"/>
    <w:rsid w:val="004001D5"/>
    <w:rsid w:val="004038F3"/>
    <w:rsid w:val="00404596"/>
    <w:rsid w:val="00404C40"/>
    <w:rsid w:val="00415E64"/>
    <w:rsid w:val="004200B3"/>
    <w:rsid w:val="00422524"/>
    <w:rsid w:val="00422AC7"/>
    <w:rsid w:val="0042387D"/>
    <w:rsid w:val="00427D59"/>
    <w:rsid w:val="00427FED"/>
    <w:rsid w:val="00432AEF"/>
    <w:rsid w:val="004346AA"/>
    <w:rsid w:val="00435005"/>
    <w:rsid w:val="004352B0"/>
    <w:rsid w:val="00436449"/>
    <w:rsid w:val="004371FE"/>
    <w:rsid w:val="00440FF9"/>
    <w:rsid w:val="0044272A"/>
    <w:rsid w:val="00444614"/>
    <w:rsid w:val="004454A9"/>
    <w:rsid w:val="00446853"/>
    <w:rsid w:val="00446D39"/>
    <w:rsid w:val="0045568A"/>
    <w:rsid w:val="00455C7F"/>
    <w:rsid w:val="00456CF3"/>
    <w:rsid w:val="004620F6"/>
    <w:rsid w:val="00463803"/>
    <w:rsid w:val="004647F2"/>
    <w:rsid w:val="004649F0"/>
    <w:rsid w:val="00473E94"/>
    <w:rsid w:val="00474BC5"/>
    <w:rsid w:val="004768BB"/>
    <w:rsid w:val="00476BF8"/>
    <w:rsid w:val="00482EF4"/>
    <w:rsid w:val="00482FEF"/>
    <w:rsid w:val="0048684E"/>
    <w:rsid w:val="00490934"/>
    <w:rsid w:val="0049220A"/>
    <w:rsid w:val="004956B8"/>
    <w:rsid w:val="004A714E"/>
    <w:rsid w:val="004B03A5"/>
    <w:rsid w:val="004B163E"/>
    <w:rsid w:val="004B23CC"/>
    <w:rsid w:val="004B27E2"/>
    <w:rsid w:val="004B3A23"/>
    <w:rsid w:val="004C12EB"/>
    <w:rsid w:val="004C13B3"/>
    <w:rsid w:val="004C1718"/>
    <w:rsid w:val="004C2469"/>
    <w:rsid w:val="004C4B50"/>
    <w:rsid w:val="004C5708"/>
    <w:rsid w:val="004C65D2"/>
    <w:rsid w:val="004D4C12"/>
    <w:rsid w:val="004E573D"/>
    <w:rsid w:val="004F1FCC"/>
    <w:rsid w:val="004F27A7"/>
    <w:rsid w:val="004F46E7"/>
    <w:rsid w:val="004F5937"/>
    <w:rsid w:val="004F5F6E"/>
    <w:rsid w:val="004F656D"/>
    <w:rsid w:val="00500F3A"/>
    <w:rsid w:val="005037A1"/>
    <w:rsid w:val="00507018"/>
    <w:rsid w:val="005249D7"/>
    <w:rsid w:val="00524A49"/>
    <w:rsid w:val="00524A95"/>
    <w:rsid w:val="00524F1C"/>
    <w:rsid w:val="00525A68"/>
    <w:rsid w:val="005307CA"/>
    <w:rsid w:val="0053225D"/>
    <w:rsid w:val="00532337"/>
    <w:rsid w:val="00533107"/>
    <w:rsid w:val="00536C9C"/>
    <w:rsid w:val="00537695"/>
    <w:rsid w:val="005378D3"/>
    <w:rsid w:val="00540AEC"/>
    <w:rsid w:val="00540B5C"/>
    <w:rsid w:val="00541870"/>
    <w:rsid w:val="00541878"/>
    <w:rsid w:val="00542BCC"/>
    <w:rsid w:val="00547D2B"/>
    <w:rsid w:val="00550601"/>
    <w:rsid w:val="005510D1"/>
    <w:rsid w:val="005513FE"/>
    <w:rsid w:val="005526E2"/>
    <w:rsid w:val="00554992"/>
    <w:rsid w:val="00561FFB"/>
    <w:rsid w:val="005655D4"/>
    <w:rsid w:val="00566007"/>
    <w:rsid w:val="0056787A"/>
    <w:rsid w:val="00570909"/>
    <w:rsid w:val="00574E9A"/>
    <w:rsid w:val="00575FAA"/>
    <w:rsid w:val="00577ACE"/>
    <w:rsid w:val="00584A5D"/>
    <w:rsid w:val="00586730"/>
    <w:rsid w:val="00591C7C"/>
    <w:rsid w:val="00594C59"/>
    <w:rsid w:val="005A2C2B"/>
    <w:rsid w:val="005A2EAD"/>
    <w:rsid w:val="005A384F"/>
    <w:rsid w:val="005A5A80"/>
    <w:rsid w:val="005B43DD"/>
    <w:rsid w:val="005B74EF"/>
    <w:rsid w:val="005C0556"/>
    <w:rsid w:val="005C216A"/>
    <w:rsid w:val="005C21BE"/>
    <w:rsid w:val="005C4D34"/>
    <w:rsid w:val="005C5C24"/>
    <w:rsid w:val="005C6458"/>
    <w:rsid w:val="005C6D3C"/>
    <w:rsid w:val="005D02FC"/>
    <w:rsid w:val="005D0CD7"/>
    <w:rsid w:val="005D3385"/>
    <w:rsid w:val="005D34CD"/>
    <w:rsid w:val="005D3EE9"/>
    <w:rsid w:val="005D615B"/>
    <w:rsid w:val="005D629C"/>
    <w:rsid w:val="005E3926"/>
    <w:rsid w:val="005E4B69"/>
    <w:rsid w:val="005E6589"/>
    <w:rsid w:val="005F07A8"/>
    <w:rsid w:val="005F0E38"/>
    <w:rsid w:val="005F1DD2"/>
    <w:rsid w:val="005F2929"/>
    <w:rsid w:val="005F4CA0"/>
    <w:rsid w:val="005F6F68"/>
    <w:rsid w:val="006003E1"/>
    <w:rsid w:val="006053B9"/>
    <w:rsid w:val="00607946"/>
    <w:rsid w:val="00612629"/>
    <w:rsid w:val="00615D7C"/>
    <w:rsid w:val="0062424C"/>
    <w:rsid w:val="00624DFC"/>
    <w:rsid w:val="00632A00"/>
    <w:rsid w:val="00636A2A"/>
    <w:rsid w:val="00640D95"/>
    <w:rsid w:val="00644B5D"/>
    <w:rsid w:val="0064516E"/>
    <w:rsid w:val="0064538A"/>
    <w:rsid w:val="00651937"/>
    <w:rsid w:val="00652992"/>
    <w:rsid w:val="00653E8D"/>
    <w:rsid w:val="00654F96"/>
    <w:rsid w:val="0065560F"/>
    <w:rsid w:val="006573A7"/>
    <w:rsid w:val="00661AEE"/>
    <w:rsid w:val="00661B5A"/>
    <w:rsid w:val="00661B5D"/>
    <w:rsid w:val="00663BCA"/>
    <w:rsid w:val="00663D58"/>
    <w:rsid w:val="006656ED"/>
    <w:rsid w:val="006673D4"/>
    <w:rsid w:val="00667AEE"/>
    <w:rsid w:val="00672A6C"/>
    <w:rsid w:val="00674784"/>
    <w:rsid w:val="006847C2"/>
    <w:rsid w:val="00684A8A"/>
    <w:rsid w:val="00684E07"/>
    <w:rsid w:val="00686AAF"/>
    <w:rsid w:val="00690041"/>
    <w:rsid w:val="006907EF"/>
    <w:rsid w:val="00694239"/>
    <w:rsid w:val="006974AD"/>
    <w:rsid w:val="006A17BF"/>
    <w:rsid w:val="006A4E45"/>
    <w:rsid w:val="006A5421"/>
    <w:rsid w:val="006A57CF"/>
    <w:rsid w:val="006A5EE2"/>
    <w:rsid w:val="006A5F52"/>
    <w:rsid w:val="006B0AA1"/>
    <w:rsid w:val="006B109D"/>
    <w:rsid w:val="006B161D"/>
    <w:rsid w:val="006B30D2"/>
    <w:rsid w:val="006B393A"/>
    <w:rsid w:val="006B3C9E"/>
    <w:rsid w:val="006B5143"/>
    <w:rsid w:val="006B743B"/>
    <w:rsid w:val="006B749B"/>
    <w:rsid w:val="006C4996"/>
    <w:rsid w:val="006C4CD2"/>
    <w:rsid w:val="006C55C2"/>
    <w:rsid w:val="006C6097"/>
    <w:rsid w:val="006D1D8D"/>
    <w:rsid w:val="006D2A39"/>
    <w:rsid w:val="006D3A6D"/>
    <w:rsid w:val="006D3D62"/>
    <w:rsid w:val="006D3EE8"/>
    <w:rsid w:val="006D5DCE"/>
    <w:rsid w:val="006D65D3"/>
    <w:rsid w:val="006E0FDF"/>
    <w:rsid w:val="006E58B9"/>
    <w:rsid w:val="006F6BE1"/>
    <w:rsid w:val="00700AEC"/>
    <w:rsid w:val="007032A4"/>
    <w:rsid w:val="007041A7"/>
    <w:rsid w:val="00706317"/>
    <w:rsid w:val="00706EFA"/>
    <w:rsid w:val="007079B9"/>
    <w:rsid w:val="00707D47"/>
    <w:rsid w:val="007108CD"/>
    <w:rsid w:val="00714731"/>
    <w:rsid w:val="00715418"/>
    <w:rsid w:val="00716292"/>
    <w:rsid w:val="00716BB1"/>
    <w:rsid w:val="00717CD1"/>
    <w:rsid w:val="007218AD"/>
    <w:rsid w:val="0072242C"/>
    <w:rsid w:val="00722480"/>
    <w:rsid w:val="00724C6A"/>
    <w:rsid w:val="00725A22"/>
    <w:rsid w:val="00726951"/>
    <w:rsid w:val="00734679"/>
    <w:rsid w:val="007419F2"/>
    <w:rsid w:val="0074662A"/>
    <w:rsid w:val="00750E2E"/>
    <w:rsid w:val="00752EFA"/>
    <w:rsid w:val="00753AEF"/>
    <w:rsid w:val="00754626"/>
    <w:rsid w:val="0075581E"/>
    <w:rsid w:val="00762404"/>
    <w:rsid w:val="0076321F"/>
    <w:rsid w:val="007656D0"/>
    <w:rsid w:val="0077126E"/>
    <w:rsid w:val="00771279"/>
    <w:rsid w:val="007751EC"/>
    <w:rsid w:val="00776618"/>
    <w:rsid w:val="007816ED"/>
    <w:rsid w:val="00781BEC"/>
    <w:rsid w:val="00782B5E"/>
    <w:rsid w:val="00783CCC"/>
    <w:rsid w:val="00785464"/>
    <w:rsid w:val="007855FE"/>
    <w:rsid w:val="00785661"/>
    <w:rsid w:val="00787481"/>
    <w:rsid w:val="00792F39"/>
    <w:rsid w:val="00793D88"/>
    <w:rsid w:val="007A1152"/>
    <w:rsid w:val="007A1A31"/>
    <w:rsid w:val="007A2608"/>
    <w:rsid w:val="007B2315"/>
    <w:rsid w:val="007B3897"/>
    <w:rsid w:val="007B45DC"/>
    <w:rsid w:val="007B571B"/>
    <w:rsid w:val="007C1ACD"/>
    <w:rsid w:val="007C596C"/>
    <w:rsid w:val="007D6638"/>
    <w:rsid w:val="007D6BC4"/>
    <w:rsid w:val="007D7FF7"/>
    <w:rsid w:val="007E2D3F"/>
    <w:rsid w:val="007E7792"/>
    <w:rsid w:val="007E77CF"/>
    <w:rsid w:val="007F0721"/>
    <w:rsid w:val="007F2AB2"/>
    <w:rsid w:val="007F3813"/>
    <w:rsid w:val="007F61FE"/>
    <w:rsid w:val="007F625D"/>
    <w:rsid w:val="007F72B5"/>
    <w:rsid w:val="008065CE"/>
    <w:rsid w:val="00807A1E"/>
    <w:rsid w:val="00812269"/>
    <w:rsid w:val="00813012"/>
    <w:rsid w:val="0081346E"/>
    <w:rsid w:val="008208C2"/>
    <w:rsid w:val="00827521"/>
    <w:rsid w:val="00827970"/>
    <w:rsid w:val="0083457D"/>
    <w:rsid w:val="00835744"/>
    <w:rsid w:val="00836A68"/>
    <w:rsid w:val="00840486"/>
    <w:rsid w:val="00841906"/>
    <w:rsid w:val="00844902"/>
    <w:rsid w:val="0085260B"/>
    <w:rsid w:val="00853AEC"/>
    <w:rsid w:val="008558D5"/>
    <w:rsid w:val="008603E0"/>
    <w:rsid w:val="00861DB3"/>
    <w:rsid w:val="0086247A"/>
    <w:rsid w:val="008637A3"/>
    <w:rsid w:val="008715D4"/>
    <w:rsid w:val="00872CA4"/>
    <w:rsid w:val="008739D9"/>
    <w:rsid w:val="00875D0E"/>
    <w:rsid w:val="008770E8"/>
    <w:rsid w:val="00877E27"/>
    <w:rsid w:val="00883C5E"/>
    <w:rsid w:val="0088556F"/>
    <w:rsid w:val="00885CF3"/>
    <w:rsid w:val="00885E9D"/>
    <w:rsid w:val="00886B2E"/>
    <w:rsid w:val="0089074D"/>
    <w:rsid w:val="00890CB1"/>
    <w:rsid w:val="00892697"/>
    <w:rsid w:val="00893EC0"/>
    <w:rsid w:val="0089643A"/>
    <w:rsid w:val="0089696F"/>
    <w:rsid w:val="008A3D20"/>
    <w:rsid w:val="008A54D3"/>
    <w:rsid w:val="008A77D0"/>
    <w:rsid w:val="008B1E36"/>
    <w:rsid w:val="008B3102"/>
    <w:rsid w:val="008B36FA"/>
    <w:rsid w:val="008C7434"/>
    <w:rsid w:val="008D2ECF"/>
    <w:rsid w:val="008D315A"/>
    <w:rsid w:val="008D4FA8"/>
    <w:rsid w:val="008D64B8"/>
    <w:rsid w:val="008D7735"/>
    <w:rsid w:val="008D7B7F"/>
    <w:rsid w:val="008E3B29"/>
    <w:rsid w:val="008E4805"/>
    <w:rsid w:val="008F0CFE"/>
    <w:rsid w:val="008F124D"/>
    <w:rsid w:val="008F43CB"/>
    <w:rsid w:val="008F4EC5"/>
    <w:rsid w:val="008F5E4C"/>
    <w:rsid w:val="009002C8"/>
    <w:rsid w:val="00904EE7"/>
    <w:rsid w:val="0090511C"/>
    <w:rsid w:val="00905278"/>
    <w:rsid w:val="00912D0B"/>
    <w:rsid w:val="00914832"/>
    <w:rsid w:val="00916D65"/>
    <w:rsid w:val="00920853"/>
    <w:rsid w:val="00923EB3"/>
    <w:rsid w:val="00924D8D"/>
    <w:rsid w:val="00931438"/>
    <w:rsid w:val="00931989"/>
    <w:rsid w:val="009352FC"/>
    <w:rsid w:val="00940600"/>
    <w:rsid w:val="00941AFD"/>
    <w:rsid w:val="00942543"/>
    <w:rsid w:val="00942DF4"/>
    <w:rsid w:val="00944D8C"/>
    <w:rsid w:val="0095203A"/>
    <w:rsid w:val="00954279"/>
    <w:rsid w:val="00954F5C"/>
    <w:rsid w:val="00955D2A"/>
    <w:rsid w:val="00955E32"/>
    <w:rsid w:val="00956C53"/>
    <w:rsid w:val="00957A3B"/>
    <w:rsid w:val="009600BC"/>
    <w:rsid w:val="00963E7D"/>
    <w:rsid w:val="00964762"/>
    <w:rsid w:val="00966EE7"/>
    <w:rsid w:val="00971EA6"/>
    <w:rsid w:val="00977572"/>
    <w:rsid w:val="009803B6"/>
    <w:rsid w:val="00980F0F"/>
    <w:rsid w:val="00990BF9"/>
    <w:rsid w:val="009A02EE"/>
    <w:rsid w:val="009A1768"/>
    <w:rsid w:val="009A3CBF"/>
    <w:rsid w:val="009B143C"/>
    <w:rsid w:val="009B1A32"/>
    <w:rsid w:val="009B39F9"/>
    <w:rsid w:val="009B7065"/>
    <w:rsid w:val="009B7DBB"/>
    <w:rsid w:val="009C0CFF"/>
    <w:rsid w:val="009C0D5D"/>
    <w:rsid w:val="009C311B"/>
    <w:rsid w:val="009C4CA4"/>
    <w:rsid w:val="009C72D9"/>
    <w:rsid w:val="009D09AB"/>
    <w:rsid w:val="009D0E66"/>
    <w:rsid w:val="009D24F2"/>
    <w:rsid w:val="009D339C"/>
    <w:rsid w:val="009D5490"/>
    <w:rsid w:val="009E1B60"/>
    <w:rsid w:val="009E283B"/>
    <w:rsid w:val="009E31E4"/>
    <w:rsid w:val="009E34D1"/>
    <w:rsid w:val="009E4334"/>
    <w:rsid w:val="009E4A7B"/>
    <w:rsid w:val="009E6C36"/>
    <w:rsid w:val="009E781B"/>
    <w:rsid w:val="009F0691"/>
    <w:rsid w:val="009F1260"/>
    <w:rsid w:val="009F1FE6"/>
    <w:rsid w:val="009F352C"/>
    <w:rsid w:val="009F3582"/>
    <w:rsid w:val="009F4960"/>
    <w:rsid w:val="009F505A"/>
    <w:rsid w:val="009F536A"/>
    <w:rsid w:val="009F68C9"/>
    <w:rsid w:val="009F6D9C"/>
    <w:rsid w:val="009F7E3A"/>
    <w:rsid w:val="00A0014A"/>
    <w:rsid w:val="00A00E93"/>
    <w:rsid w:val="00A040BF"/>
    <w:rsid w:val="00A04825"/>
    <w:rsid w:val="00A051FB"/>
    <w:rsid w:val="00A062B1"/>
    <w:rsid w:val="00A11100"/>
    <w:rsid w:val="00A1340C"/>
    <w:rsid w:val="00A154AD"/>
    <w:rsid w:val="00A16235"/>
    <w:rsid w:val="00A174B1"/>
    <w:rsid w:val="00A20065"/>
    <w:rsid w:val="00A2222A"/>
    <w:rsid w:val="00A25124"/>
    <w:rsid w:val="00A2647C"/>
    <w:rsid w:val="00A26C80"/>
    <w:rsid w:val="00A30764"/>
    <w:rsid w:val="00A32075"/>
    <w:rsid w:val="00A322CF"/>
    <w:rsid w:val="00A33369"/>
    <w:rsid w:val="00A336CD"/>
    <w:rsid w:val="00A40DA0"/>
    <w:rsid w:val="00A422A6"/>
    <w:rsid w:val="00A501FF"/>
    <w:rsid w:val="00A5084C"/>
    <w:rsid w:val="00A50F14"/>
    <w:rsid w:val="00A51173"/>
    <w:rsid w:val="00A54126"/>
    <w:rsid w:val="00A54513"/>
    <w:rsid w:val="00A5680C"/>
    <w:rsid w:val="00A6012E"/>
    <w:rsid w:val="00A6023A"/>
    <w:rsid w:val="00A62EDB"/>
    <w:rsid w:val="00A647FF"/>
    <w:rsid w:val="00A65F67"/>
    <w:rsid w:val="00A672C4"/>
    <w:rsid w:val="00A67FEB"/>
    <w:rsid w:val="00A7276F"/>
    <w:rsid w:val="00A72983"/>
    <w:rsid w:val="00A733CE"/>
    <w:rsid w:val="00A73A29"/>
    <w:rsid w:val="00A74933"/>
    <w:rsid w:val="00A76C8E"/>
    <w:rsid w:val="00A80744"/>
    <w:rsid w:val="00A81B6C"/>
    <w:rsid w:val="00A82F2F"/>
    <w:rsid w:val="00A8493F"/>
    <w:rsid w:val="00A942E5"/>
    <w:rsid w:val="00A97366"/>
    <w:rsid w:val="00A97FD7"/>
    <w:rsid w:val="00AA0843"/>
    <w:rsid w:val="00AA27BA"/>
    <w:rsid w:val="00AA2AC5"/>
    <w:rsid w:val="00AA2C41"/>
    <w:rsid w:val="00AA41C1"/>
    <w:rsid w:val="00AA76F7"/>
    <w:rsid w:val="00AB36EA"/>
    <w:rsid w:val="00AB4984"/>
    <w:rsid w:val="00AC0D51"/>
    <w:rsid w:val="00AC0F71"/>
    <w:rsid w:val="00AC47F7"/>
    <w:rsid w:val="00AC71EB"/>
    <w:rsid w:val="00AD1DEC"/>
    <w:rsid w:val="00AD23BF"/>
    <w:rsid w:val="00AD2DC7"/>
    <w:rsid w:val="00AD477F"/>
    <w:rsid w:val="00AD4A58"/>
    <w:rsid w:val="00AD5B9D"/>
    <w:rsid w:val="00AD7CDB"/>
    <w:rsid w:val="00AD7EA2"/>
    <w:rsid w:val="00AF15B6"/>
    <w:rsid w:val="00AF368B"/>
    <w:rsid w:val="00AF533F"/>
    <w:rsid w:val="00AF573B"/>
    <w:rsid w:val="00AF6FA5"/>
    <w:rsid w:val="00B00939"/>
    <w:rsid w:val="00B0334D"/>
    <w:rsid w:val="00B04AEF"/>
    <w:rsid w:val="00B06D65"/>
    <w:rsid w:val="00B06D93"/>
    <w:rsid w:val="00B077DB"/>
    <w:rsid w:val="00B10B83"/>
    <w:rsid w:val="00B12A0A"/>
    <w:rsid w:val="00B13D52"/>
    <w:rsid w:val="00B1574E"/>
    <w:rsid w:val="00B16CF7"/>
    <w:rsid w:val="00B20CFE"/>
    <w:rsid w:val="00B22BDC"/>
    <w:rsid w:val="00B23450"/>
    <w:rsid w:val="00B2482D"/>
    <w:rsid w:val="00B3066B"/>
    <w:rsid w:val="00B34294"/>
    <w:rsid w:val="00B34684"/>
    <w:rsid w:val="00B37090"/>
    <w:rsid w:val="00B379A3"/>
    <w:rsid w:val="00B40A5A"/>
    <w:rsid w:val="00B41537"/>
    <w:rsid w:val="00B43DA9"/>
    <w:rsid w:val="00B54F10"/>
    <w:rsid w:val="00B61501"/>
    <w:rsid w:val="00B61A71"/>
    <w:rsid w:val="00B620A6"/>
    <w:rsid w:val="00B6254F"/>
    <w:rsid w:val="00B6592B"/>
    <w:rsid w:val="00B768D0"/>
    <w:rsid w:val="00B769B0"/>
    <w:rsid w:val="00B77F79"/>
    <w:rsid w:val="00B80EB4"/>
    <w:rsid w:val="00B8223D"/>
    <w:rsid w:val="00B82EC6"/>
    <w:rsid w:val="00B83120"/>
    <w:rsid w:val="00B839B7"/>
    <w:rsid w:val="00B86017"/>
    <w:rsid w:val="00B86A42"/>
    <w:rsid w:val="00B86B29"/>
    <w:rsid w:val="00B87124"/>
    <w:rsid w:val="00B9347A"/>
    <w:rsid w:val="00B946C3"/>
    <w:rsid w:val="00B94E0A"/>
    <w:rsid w:val="00BA2559"/>
    <w:rsid w:val="00BA3169"/>
    <w:rsid w:val="00BA4C5E"/>
    <w:rsid w:val="00BA6000"/>
    <w:rsid w:val="00BA757A"/>
    <w:rsid w:val="00BB118D"/>
    <w:rsid w:val="00BB2F8C"/>
    <w:rsid w:val="00BB3445"/>
    <w:rsid w:val="00BB4042"/>
    <w:rsid w:val="00BB63D1"/>
    <w:rsid w:val="00BB6DDC"/>
    <w:rsid w:val="00BC036B"/>
    <w:rsid w:val="00BC2825"/>
    <w:rsid w:val="00BC357C"/>
    <w:rsid w:val="00BC4FAD"/>
    <w:rsid w:val="00BC6C71"/>
    <w:rsid w:val="00BC7381"/>
    <w:rsid w:val="00BC78FC"/>
    <w:rsid w:val="00BD1D18"/>
    <w:rsid w:val="00BD626C"/>
    <w:rsid w:val="00BE15D6"/>
    <w:rsid w:val="00BF6700"/>
    <w:rsid w:val="00BF68BF"/>
    <w:rsid w:val="00BF69F6"/>
    <w:rsid w:val="00C0072F"/>
    <w:rsid w:val="00C01C40"/>
    <w:rsid w:val="00C0305F"/>
    <w:rsid w:val="00C037A7"/>
    <w:rsid w:val="00C04C97"/>
    <w:rsid w:val="00C05599"/>
    <w:rsid w:val="00C117E4"/>
    <w:rsid w:val="00C11813"/>
    <w:rsid w:val="00C11E88"/>
    <w:rsid w:val="00C12768"/>
    <w:rsid w:val="00C13382"/>
    <w:rsid w:val="00C13B53"/>
    <w:rsid w:val="00C20206"/>
    <w:rsid w:val="00C22DCE"/>
    <w:rsid w:val="00C24BF2"/>
    <w:rsid w:val="00C2630A"/>
    <w:rsid w:val="00C302C3"/>
    <w:rsid w:val="00C30F7C"/>
    <w:rsid w:val="00C31B82"/>
    <w:rsid w:val="00C34838"/>
    <w:rsid w:val="00C353DC"/>
    <w:rsid w:val="00C4444D"/>
    <w:rsid w:val="00C457C2"/>
    <w:rsid w:val="00C47FAF"/>
    <w:rsid w:val="00C51012"/>
    <w:rsid w:val="00C550F6"/>
    <w:rsid w:val="00C55778"/>
    <w:rsid w:val="00C57506"/>
    <w:rsid w:val="00C5779B"/>
    <w:rsid w:val="00C6199E"/>
    <w:rsid w:val="00C62629"/>
    <w:rsid w:val="00C6440C"/>
    <w:rsid w:val="00C64C92"/>
    <w:rsid w:val="00C664D9"/>
    <w:rsid w:val="00C672F9"/>
    <w:rsid w:val="00C70BDD"/>
    <w:rsid w:val="00C71E77"/>
    <w:rsid w:val="00C73B69"/>
    <w:rsid w:val="00C74E7E"/>
    <w:rsid w:val="00C81F8E"/>
    <w:rsid w:val="00C822D7"/>
    <w:rsid w:val="00C82E91"/>
    <w:rsid w:val="00C9089C"/>
    <w:rsid w:val="00C90F4B"/>
    <w:rsid w:val="00C93968"/>
    <w:rsid w:val="00C94E5C"/>
    <w:rsid w:val="00C96771"/>
    <w:rsid w:val="00C97E03"/>
    <w:rsid w:val="00CA5117"/>
    <w:rsid w:val="00CA5ECF"/>
    <w:rsid w:val="00CA757A"/>
    <w:rsid w:val="00CB1169"/>
    <w:rsid w:val="00CB5084"/>
    <w:rsid w:val="00CB68A4"/>
    <w:rsid w:val="00CB7BDE"/>
    <w:rsid w:val="00CC28DA"/>
    <w:rsid w:val="00CC39CD"/>
    <w:rsid w:val="00CC45AB"/>
    <w:rsid w:val="00CC4ED8"/>
    <w:rsid w:val="00CD319E"/>
    <w:rsid w:val="00CD7608"/>
    <w:rsid w:val="00CE0254"/>
    <w:rsid w:val="00CE0EAC"/>
    <w:rsid w:val="00CE210E"/>
    <w:rsid w:val="00CE3195"/>
    <w:rsid w:val="00CE5D54"/>
    <w:rsid w:val="00CF5510"/>
    <w:rsid w:val="00CF768F"/>
    <w:rsid w:val="00D01183"/>
    <w:rsid w:val="00D0222D"/>
    <w:rsid w:val="00D03DE3"/>
    <w:rsid w:val="00D1519A"/>
    <w:rsid w:val="00D25CDB"/>
    <w:rsid w:val="00D3075D"/>
    <w:rsid w:val="00D317F7"/>
    <w:rsid w:val="00D32DAA"/>
    <w:rsid w:val="00D33B8F"/>
    <w:rsid w:val="00D35359"/>
    <w:rsid w:val="00D3739D"/>
    <w:rsid w:val="00D377B2"/>
    <w:rsid w:val="00D379B6"/>
    <w:rsid w:val="00D40C3C"/>
    <w:rsid w:val="00D40C65"/>
    <w:rsid w:val="00D417C4"/>
    <w:rsid w:val="00D4338A"/>
    <w:rsid w:val="00D4349C"/>
    <w:rsid w:val="00D50378"/>
    <w:rsid w:val="00D54AE4"/>
    <w:rsid w:val="00D57B68"/>
    <w:rsid w:val="00D625BD"/>
    <w:rsid w:val="00D63D6F"/>
    <w:rsid w:val="00D63DBB"/>
    <w:rsid w:val="00D65DB0"/>
    <w:rsid w:val="00D67B51"/>
    <w:rsid w:val="00D720BA"/>
    <w:rsid w:val="00D774E4"/>
    <w:rsid w:val="00D77C72"/>
    <w:rsid w:val="00D81791"/>
    <w:rsid w:val="00D823ED"/>
    <w:rsid w:val="00D84FEB"/>
    <w:rsid w:val="00D850CF"/>
    <w:rsid w:val="00D91094"/>
    <w:rsid w:val="00D917CF"/>
    <w:rsid w:val="00D92CB2"/>
    <w:rsid w:val="00D94E26"/>
    <w:rsid w:val="00D951CF"/>
    <w:rsid w:val="00D95F59"/>
    <w:rsid w:val="00D96DAE"/>
    <w:rsid w:val="00D97B1F"/>
    <w:rsid w:val="00DA2F2A"/>
    <w:rsid w:val="00DA554C"/>
    <w:rsid w:val="00DA6F0A"/>
    <w:rsid w:val="00DB16C3"/>
    <w:rsid w:val="00DB4EEF"/>
    <w:rsid w:val="00DD2B6C"/>
    <w:rsid w:val="00DD43B2"/>
    <w:rsid w:val="00DD692F"/>
    <w:rsid w:val="00DD7CE0"/>
    <w:rsid w:val="00DE3241"/>
    <w:rsid w:val="00DE406B"/>
    <w:rsid w:val="00DE4E31"/>
    <w:rsid w:val="00DE55DC"/>
    <w:rsid w:val="00DF0711"/>
    <w:rsid w:val="00DF0757"/>
    <w:rsid w:val="00DF41BD"/>
    <w:rsid w:val="00DF5A25"/>
    <w:rsid w:val="00DF633B"/>
    <w:rsid w:val="00DF7249"/>
    <w:rsid w:val="00DF79C5"/>
    <w:rsid w:val="00E003AC"/>
    <w:rsid w:val="00E029BC"/>
    <w:rsid w:val="00E02E7E"/>
    <w:rsid w:val="00E02F9B"/>
    <w:rsid w:val="00E04667"/>
    <w:rsid w:val="00E06BC9"/>
    <w:rsid w:val="00E06BCB"/>
    <w:rsid w:val="00E06CD1"/>
    <w:rsid w:val="00E10C0B"/>
    <w:rsid w:val="00E110BA"/>
    <w:rsid w:val="00E14064"/>
    <w:rsid w:val="00E16DB7"/>
    <w:rsid w:val="00E225E4"/>
    <w:rsid w:val="00E24133"/>
    <w:rsid w:val="00E25084"/>
    <w:rsid w:val="00E27B82"/>
    <w:rsid w:val="00E31587"/>
    <w:rsid w:val="00E31FDE"/>
    <w:rsid w:val="00E41A3A"/>
    <w:rsid w:val="00E41EE8"/>
    <w:rsid w:val="00E531BA"/>
    <w:rsid w:val="00E5491C"/>
    <w:rsid w:val="00E55137"/>
    <w:rsid w:val="00E62602"/>
    <w:rsid w:val="00E6500B"/>
    <w:rsid w:val="00E709E4"/>
    <w:rsid w:val="00E70AD9"/>
    <w:rsid w:val="00E74700"/>
    <w:rsid w:val="00E751ED"/>
    <w:rsid w:val="00E76BA9"/>
    <w:rsid w:val="00E824F0"/>
    <w:rsid w:val="00E86307"/>
    <w:rsid w:val="00E87084"/>
    <w:rsid w:val="00E87AAB"/>
    <w:rsid w:val="00E90E7D"/>
    <w:rsid w:val="00E925B9"/>
    <w:rsid w:val="00E92A64"/>
    <w:rsid w:val="00E971FD"/>
    <w:rsid w:val="00E97A95"/>
    <w:rsid w:val="00EA0466"/>
    <w:rsid w:val="00EA0A52"/>
    <w:rsid w:val="00EA16E2"/>
    <w:rsid w:val="00EA3D8F"/>
    <w:rsid w:val="00EB3FA3"/>
    <w:rsid w:val="00EB48A2"/>
    <w:rsid w:val="00EB49BC"/>
    <w:rsid w:val="00EB7E9A"/>
    <w:rsid w:val="00EC0C64"/>
    <w:rsid w:val="00EC0FEC"/>
    <w:rsid w:val="00EC48DB"/>
    <w:rsid w:val="00EC4DA2"/>
    <w:rsid w:val="00ED13D4"/>
    <w:rsid w:val="00ED3620"/>
    <w:rsid w:val="00ED47AA"/>
    <w:rsid w:val="00EE002D"/>
    <w:rsid w:val="00EE0B0B"/>
    <w:rsid w:val="00EE0C15"/>
    <w:rsid w:val="00EE3274"/>
    <w:rsid w:val="00EE3D06"/>
    <w:rsid w:val="00EE5F4A"/>
    <w:rsid w:val="00EE6139"/>
    <w:rsid w:val="00EE6D48"/>
    <w:rsid w:val="00EE7B35"/>
    <w:rsid w:val="00EF08B8"/>
    <w:rsid w:val="00EF226E"/>
    <w:rsid w:val="00EF3468"/>
    <w:rsid w:val="00EF39BB"/>
    <w:rsid w:val="00EF5029"/>
    <w:rsid w:val="00EF6105"/>
    <w:rsid w:val="00EF6769"/>
    <w:rsid w:val="00EF6977"/>
    <w:rsid w:val="00EF73CF"/>
    <w:rsid w:val="00F01CF4"/>
    <w:rsid w:val="00F02DF2"/>
    <w:rsid w:val="00F0548E"/>
    <w:rsid w:val="00F058E1"/>
    <w:rsid w:val="00F05E90"/>
    <w:rsid w:val="00F06050"/>
    <w:rsid w:val="00F1092E"/>
    <w:rsid w:val="00F1292E"/>
    <w:rsid w:val="00F1408D"/>
    <w:rsid w:val="00F1644A"/>
    <w:rsid w:val="00F20934"/>
    <w:rsid w:val="00F22ED4"/>
    <w:rsid w:val="00F242C4"/>
    <w:rsid w:val="00F24A22"/>
    <w:rsid w:val="00F25FC5"/>
    <w:rsid w:val="00F26804"/>
    <w:rsid w:val="00F27585"/>
    <w:rsid w:val="00F35524"/>
    <w:rsid w:val="00F36427"/>
    <w:rsid w:val="00F37E23"/>
    <w:rsid w:val="00F40369"/>
    <w:rsid w:val="00F40DE9"/>
    <w:rsid w:val="00F41A18"/>
    <w:rsid w:val="00F44BB7"/>
    <w:rsid w:val="00F46F82"/>
    <w:rsid w:val="00F50D35"/>
    <w:rsid w:val="00F52622"/>
    <w:rsid w:val="00F54905"/>
    <w:rsid w:val="00F602C2"/>
    <w:rsid w:val="00F60528"/>
    <w:rsid w:val="00F641C0"/>
    <w:rsid w:val="00F6523B"/>
    <w:rsid w:val="00F7116A"/>
    <w:rsid w:val="00F73918"/>
    <w:rsid w:val="00F74AF9"/>
    <w:rsid w:val="00F80A92"/>
    <w:rsid w:val="00F85A05"/>
    <w:rsid w:val="00F85BC0"/>
    <w:rsid w:val="00F9273A"/>
    <w:rsid w:val="00F93A44"/>
    <w:rsid w:val="00F966A4"/>
    <w:rsid w:val="00FA0874"/>
    <w:rsid w:val="00FA2A49"/>
    <w:rsid w:val="00FA3EE3"/>
    <w:rsid w:val="00FA618C"/>
    <w:rsid w:val="00FA79E2"/>
    <w:rsid w:val="00FB10F3"/>
    <w:rsid w:val="00FB6D2B"/>
    <w:rsid w:val="00FC105F"/>
    <w:rsid w:val="00FC171C"/>
    <w:rsid w:val="00FC37BC"/>
    <w:rsid w:val="00FC4434"/>
    <w:rsid w:val="00FC5BE4"/>
    <w:rsid w:val="00FC6407"/>
    <w:rsid w:val="00FC76B1"/>
    <w:rsid w:val="00FC7D01"/>
    <w:rsid w:val="00FD0DCD"/>
    <w:rsid w:val="00FD2F28"/>
    <w:rsid w:val="00FD5BD2"/>
    <w:rsid w:val="00FD5E8E"/>
    <w:rsid w:val="00FE06DB"/>
    <w:rsid w:val="00FE2C6D"/>
    <w:rsid w:val="00FE2DA1"/>
    <w:rsid w:val="00FF02B3"/>
    <w:rsid w:val="00FF2103"/>
    <w:rsid w:val="00FF232F"/>
    <w:rsid w:val="00FF2D13"/>
    <w:rsid w:val="00FF353F"/>
    <w:rsid w:val="00FF3805"/>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1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F0"/>
    <w:pPr>
      <w:spacing w:after="100" w:line="400" w:lineRule="exact"/>
      <w:jc w:val="both"/>
    </w:pPr>
    <w:rPr>
      <w:rFonts w:ascii="Century Schoolbook" w:hAnsi="Century Schoolbook"/>
      <w:sz w:val="27"/>
    </w:rPr>
  </w:style>
  <w:style w:type="paragraph" w:styleId="Heading1">
    <w:name w:val="heading 1"/>
    <w:basedOn w:val="Normal"/>
    <w:next w:val="Normal"/>
    <w:qFormat/>
    <w:rsid w:val="00E824F0"/>
    <w:pPr>
      <w:keepNext/>
      <w:spacing w:before="140" w:line="240" w:lineRule="atLeast"/>
      <w:jc w:val="center"/>
      <w:outlineLvl w:val="0"/>
    </w:pPr>
    <w:rPr>
      <w:b/>
      <w:smallCaps/>
    </w:rPr>
  </w:style>
  <w:style w:type="paragraph" w:styleId="Heading2">
    <w:name w:val="heading 2"/>
    <w:basedOn w:val="Normal"/>
    <w:next w:val="Normal"/>
    <w:qFormat/>
    <w:rsid w:val="00E824F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824F0"/>
    <w:pPr>
      <w:keepNext/>
      <w:tabs>
        <w:tab w:val="left" w:pos="1584"/>
      </w:tabs>
      <w:spacing w:before="140" w:line="240" w:lineRule="atLeast"/>
      <w:ind w:left="1584" w:hanging="432"/>
      <w:jc w:val="left"/>
      <w:outlineLvl w:val="2"/>
    </w:pPr>
    <w:rPr>
      <w:i/>
    </w:rPr>
  </w:style>
  <w:style w:type="paragraph" w:styleId="Heading4">
    <w:name w:val="heading 4"/>
    <w:basedOn w:val="Normal"/>
    <w:rsid w:val="00E824F0"/>
    <w:pPr>
      <w:keepNext/>
      <w:tabs>
        <w:tab w:val="left" w:pos="2016"/>
      </w:tabs>
      <w:spacing w:before="140" w:line="240" w:lineRule="atLeast"/>
      <w:ind w:left="2016" w:hanging="432"/>
      <w:jc w:val="left"/>
      <w:outlineLvl w:val="3"/>
    </w:pPr>
    <w:rPr>
      <w:i/>
    </w:rPr>
  </w:style>
  <w:style w:type="paragraph" w:styleId="Heading5">
    <w:name w:val="heading 5"/>
    <w:basedOn w:val="Normal"/>
    <w:rsid w:val="00E824F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824F0"/>
    <w:pPr>
      <w:ind w:left="720"/>
    </w:pPr>
  </w:style>
  <w:style w:type="paragraph" w:styleId="Footer">
    <w:name w:val="footer"/>
    <w:basedOn w:val="Normal"/>
    <w:qFormat/>
    <w:rsid w:val="00E824F0"/>
    <w:pPr>
      <w:tabs>
        <w:tab w:val="center" w:pos="3960"/>
        <w:tab w:val="right" w:pos="10080"/>
      </w:tabs>
      <w:spacing w:after="0" w:line="240" w:lineRule="auto"/>
      <w:jc w:val="center"/>
    </w:pPr>
    <w:rPr>
      <w:sz w:val="22"/>
    </w:rPr>
  </w:style>
  <w:style w:type="paragraph" w:styleId="Header">
    <w:name w:val="header"/>
    <w:basedOn w:val="Normal"/>
    <w:qFormat/>
    <w:rsid w:val="00E824F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824F0"/>
    <w:rPr>
      <w:rFonts w:ascii="Century Schoolbook" w:hAnsi="Century Schoolbook"/>
      <w:b/>
      <w:i w:val="0"/>
      <w:position w:val="4"/>
      <w:sz w:val="27"/>
      <w:vertAlign w:val="superscript"/>
    </w:rPr>
  </w:style>
  <w:style w:type="paragraph" w:styleId="FootnoteText">
    <w:name w:val="footnote text"/>
    <w:basedOn w:val="Normal"/>
    <w:link w:val="FootnoteTextChar"/>
    <w:rsid w:val="00E824F0"/>
    <w:pPr>
      <w:spacing w:line="300" w:lineRule="exact"/>
    </w:pPr>
  </w:style>
  <w:style w:type="paragraph" w:customStyle="1" w:styleId="Title1">
    <w:name w:val="Title1"/>
    <w:basedOn w:val="Normal"/>
    <w:rsid w:val="00E824F0"/>
    <w:pPr>
      <w:tabs>
        <w:tab w:val="left" w:pos="5760"/>
        <w:tab w:val="left" w:pos="6480"/>
      </w:tabs>
      <w:spacing w:line="240" w:lineRule="atLeast"/>
    </w:pPr>
  </w:style>
  <w:style w:type="paragraph" w:customStyle="1" w:styleId="Recommend">
    <w:name w:val="Recommend"/>
    <w:basedOn w:val="Normal"/>
    <w:rsid w:val="00E824F0"/>
  </w:style>
  <w:style w:type="paragraph" w:customStyle="1" w:styleId="Summary">
    <w:name w:val="Summary"/>
    <w:basedOn w:val="Normal"/>
    <w:rsid w:val="00E824F0"/>
    <w:pPr>
      <w:ind w:left="2160" w:hanging="2160"/>
    </w:pPr>
  </w:style>
  <w:style w:type="paragraph" w:customStyle="1" w:styleId="Text">
    <w:name w:val="Text"/>
    <w:basedOn w:val="Normal"/>
    <w:link w:val="TextChar"/>
    <w:rsid w:val="00E824F0"/>
    <w:pPr>
      <w:tabs>
        <w:tab w:val="left" w:pos="720"/>
        <w:tab w:val="left" w:pos="1440"/>
        <w:tab w:val="left" w:pos="2160"/>
        <w:tab w:val="center" w:pos="4320"/>
      </w:tabs>
      <w:spacing w:line="480" w:lineRule="atLeast"/>
      <w:ind w:firstLine="540"/>
    </w:pPr>
  </w:style>
  <w:style w:type="paragraph" w:styleId="Date">
    <w:name w:val="Date"/>
    <w:basedOn w:val="Normal"/>
    <w:semiHidden/>
    <w:rsid w:val="00E824F0"/>
    <w:pPr>
      <w:jc w:val="right"/>
    </w:pPr>
  </w:style>
  <w:style w:type="character" w:styleId="PageNumber">
    <w:name w:val="page number"/>
    <w:basedOn w:val="DefaultParagraphFont"/>
    <w:semiHidden/>
    <w:rsid w:val="00E824F0"/>
  </w:style>
  <w:style w:type="paragraph" w:customStyle="1" w:styleId="subject">
    <w:name w:val="subject"/>
    <w:basedOn w:val="Normal"/>
    <w:rsid w:val="00E824F0"/>
    <w:pPr>
      <w:tabs>
        <w:tab w:val="left" w:pos="1008"/>
      </w:tabs>
      <w:ind w:left="990" w:hanging="990"/>
    </w:pPr>
    <w:rPr>
      <w:b/>
    </w:rPr>
  </w:style>
  <w:style w:type="paragraph" w:customStyle="1" w:styleId="Titles">
    <w:name w:val="Titles"/>
    <w:basedOn w:val="Normal"/>
    <w:rsid w:val="00E824F0"/>
    <w:pPr>
      <w:tabs>
        <w:tab w:val="left" w:pos="2160"/>
      </w:tabs>
      <w:ind w:left="2160" w:hanging="2160"/>
    </w:pPr>
    <w:rPr>
      <w:b/>
    </w:rPr>
  </w:style>
  <w:style w:type="paragraph" w:styleId="TOAHeading">
    <w:name w:val="toa heading"/>
    <w:basedOn w:val="Normal"/>
    <w:next w:val="Normal"/>
    <w:semiHidden/>
    <w:rsid w:val="00E824F0"/>
    <w:pPr>
      <w:spacing w:before="120"/>
    </w:pPr>
    <w:rPr>
      <w:b/>
    </w:rPr>
  </w:style>
  <w:style w:type="paragraph" w:styleId="TOC1">
    <w:name w:val="toc 1"/>
    <w:basedOn w:val="Normal"/>
    <w:next w:val="Normal"/>
    <w:autoRedefine/>
    <w:semiHidden/>
    <w:rsid w:val="00E824F0"/>
  </w:style>
  <w:style w:type="paragraph" w:styleId="TOC2">
    <w:name w:val="toc 2"/>
    <w:basedOn w:val="Normal"/>
    <w:next w:val="Normal"/>
    <w:autoRedefine/>
    <w:semiHidden/>
    <w:rsid w:val="00E824F0"/>
    <w:pPr>
      <w:ind w:left="259"/>
    </w:pPr>
  </w:style>
  <w:style w:type="paragraph" w:styleId="TOC3">
    <w:name w:val="toc 3"/>
    <w:basedOn w:val="Normal"/>
    <w:next w:val="Normal"/>
    <w:autoRedefine/>
    <w:semiHidden/>
    <w:rsid w:val="00E824F0"/>
    <w:pPr>
      <w:ind w:left="520"/>
    </w:pPr>
  </w:style>
  <w:style w:type="paragraph" w:styleId="TOC4">
    <w:name w:val="toc 4"/>
    <w:basedOn w:val="Normal"/>
    <w:next w:val="Normal"/>
    <w:autoRedefine/>
    <w:semiHidden/>
    <w:rsid w:val="00E824F0"/>
    <w:pPr>
      <w:ind w:left="780"/>
    </w:pPr>
  </w:style>
  <w:style w:type="paragraph" w:styleId="TOC5">
    <w:name w:val="toc 5"/>
    <w:basedOn w:val="Normal"/>
    <w:next w:val="Normal"/>
    <w:autoRedefine/>
    <w:semiHidden/>
    <w:rsid w:val="00E824F0"/>
    <w:pPr>
      <w:ind w:left="1040"/>
    </w:pPr>
  </w:style>
  <w:style w:type="paragraph" w:styleId="TOC6">
    <w:name w:val="toc 6"/>
    <w:basedOn w:val="Normal"/>
    <w:next w:val="Normal"/>
    <w:autoRedefine/>
    <w:semiHidden/>
    <w:rsid w:val="00E824F0"/>
    <w:pPr>
      <w:ind w:left="1300"/>
    </w:pPr>
  </w:style>
  <w:style w:type="paragraph" w:styleId="TOC7">
    <w:name w:val="toc 7"/>
    <w:basedOn w:val="Normal"/>
    <w:next w:val="Normal"/>
    <w:autoRedefine/>
    <w:semiHidden/>
    <w:rsid w:val="00E824F0"/>
    <w:pPr>
      <w:ind w:left="1560"/>
    </w:pPr>
  </w:style>
  <w:style w:type="paragraph" w:styleId="TOC8">
    <w:name w:val="toc 8"/>
    <w:basedOn w:val="Normal"/>
    <w:next w:val="Normal"/>
    <w:autoRedefine/>
    <w:semiHidden/>
    <w:rsid w:val="00E824F0"/>
    <w:pPr>
      <w:ind w:left="1820"/>
    </w:pPr>
  </w:style>
  <w:style w:type="paragraph" w:styleId="TOC9">
    <w:name w:val="toc 9"/>
    <w:basedOn w:val="Normal"/>
    <w:next w:val="Normal"/>
    <w:autoRedefine/>
    <w:semiHidden/>
    <w:rsid w:val="00E824F0"/>
    <w:pPr>
      <w:ind w:left="2080"/>
    </w:pPr>
  </w:style>
  <w:style w:type="paragraph" w:customStyle="1" w:styleId="Contents">
    <w:name w:val="Contents"/>
    <w:basedOn w:val="Normal"/>
    <w:rsid w:val="00E824F0"/>
    <w:pPr>
      <w:jc w:val="center"/>
    </w:pPr>
    <w:rPr>
      <w:b/>
      <w:spacing w:val="100"/>
    </w:rPr>
  </w:style>
  <w:style w:type="character" w:customStyle="1" w:styleId="TextChar">
    <w:name w:val="Text Char"/>
    <w:link w:val="Text"/>
    <w:rsid w:val="00163FF0"/>
    <w:rPr>
      <w:rFonts w:ascii="Century Schoolbook" w:hAnsi="Century Schoolbook"/>
      <w:sz w:val="27"/>
    </w:rPr>
  </w:style>
  <w:style w:type="paragraph" w:styleId="ListParagraph">
    <w:name w:val="List Paragraph"/>
    <w:basedOn w:val="Normal"/>
    <w:uiPriority w:val="34"/>
    <w:qFormat/>
    <w:rsid w:val="003C10A7"/>
    <w:pPr>
      <w:ind w:left="720"/>
      <w:contextualSpacing/>
    </w:pPr>
  </w:style>
  <w:style w:type="character" w:styleId="Hyperlink">
    <w:name w:val="Hyperlink"/>
    <w:basedOn w:val="DefaultParagraphFont"/>
    <w:uiPriority w:val="99"/>
    <w:unhideWhenUsed/>
    <w:rsid w:val="00D3739D"/>
    <w:rPr>
      <w:color w:val="0000FF" w:themeColor="hyperlink"/>
      <w:u w:val="single"/>
    </w:rPr>
  </w:style>
  <w:style w:type="character" w:styleId="UnresolvedMention">
    <w:name w:val="Unresolved Mention"/>
    <w:basedOn w:val="DefaultParagraphFont"/>
    <w:uiPriority w:val="99"/>
    <w:semiHidden/>
    <w:unhideWhenUsed/>
    <w:rsid w:val="00D3739D"/>
    <w:rPr>
      <w:color w:val="605E5C"/>
      <w:shd w:val="clear" w:color="auto" w:fill="E1DFDD"/>
    </w:rPr>
  </w:style>
  <w:style w:type="character" w:styleId="Emphasis">
    <w:name w:val="Emphasis"/>
    <w:basedOn w:val="DefaultParagraphFont"/>
    <w:uiPriority w:val="20"/>
    <w:qFormat/>
    <w:rsid w:val="00762404"/>
    <w:rPr>
      <w:i/>
      <w:iCs/>
    </w:rPr>
  </w:style>
  <w:style w:type="character" w:styleId="CommentReference">
    <w:name w:val="annotation reference"/>
    <w:basedOn w:val="DefaultParagraphFont"/>
    <w:uiPriority w:val="99"/>
    <w:semiHidden/>
    <w:unhideWhenUsed/>
    <w:rsid w:val="009F536A"/>
    <w:rPr>
      <w:sz w:val="16"/>
      <w:szCs w:val="16"/>
    </w:rPr>
  </w:style>
  <w:style w:type="paragraph" w:styleId="CommentText">
    <w:name w:val="annotation text"/>
    <w:basedOn w:val="Normal"/>
    <w:link w:val="CommentTextChar"/>
    <w:uiPriority w:val="99"/>
    <w:unhideWhenUsed/>
    <w:rsid w:val="009F536A"/>
    <w:rPr>
      <w:sz w:val="20"/>
    </w:rPr>
  </w:style>
  <w:style w:type="character" w:customStyle="1" w:styleId="CommentTextChar">
    <w:name w:val="Comment Text Char"/>
    <w:basedOn w:val="DefaultParagraphFont"/>
    <w:link w:val="CommentText"/>
    <w:uiPriority w:val="99"/>
    <w:rsid w:val="009F536A"/>
  </w:style>
  <w:style w:type="paragraph" w:styleId="CommentSubject">
    <w:name w:val="annotation subject"/>
    <w:basedOn w:val="CommentText"/>
    <w:next w:val="CommentText"/>
    <w:link w:val="CommentSubjectChar"/>
    <w:uiPriority w:val="99"/>
    <w:semiHidden/>
    <w:unhideWhenUsed/>
    <w:rsid w:val="009F536A"/>
    <w:rPr>
      <w:b/>
      <w:bCs/>
    </w:rPr>
  </w:style>
  <w:style w:type="character" w:customStyle="1" w:styleId="CommentSubjectChar">
    <w:name w:val="Comment Subject Char"/>
    <w:basedOn w:val="CommentTextChar"/>
    <w:link w:val="CommentSubject"/>
    <w:uiPriority w:val="99"/>
    <w:semiHidden/>
    <w:rsid w:val="009F536A"/>
    <w:rPr>
      <w:b/>
      <w:bCs/>
    </w:rPr>
  </w:style>
  <w:style w:type="paragraph" w:styleId="Revision">
    <w:name w:val="Revision"/>
    <w:hidden/>
    <w:uiPriority w:val="99"/>
    <w:semiHidden/>
    <w:rsid w:val="009F536A"/>
    <w:rPr>
      <w:sz w:val="26"/>
    </w:rPr>
  </w:style>
  <w:style w:type="paragraph" w:styleId="BalloonText">
    <w:name w:val="Balloon Text"/>
    <w:basedOn w:val="Normal"/>
    <w:link w:val="BalloonTextChar"/>
    <w:uiPriority w:val="99"/>
    <w:semiHidden/>
    <w:unhideWhenUsed/>
    <w:rsid w:val="009F5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6A"/>
    <w:rPr>
      <w:rFonts w:ascii="Segoe UI" w:hAnsi="Segoe UI" w:cs="Segoe UI"/>
      <w:sz w:val="18"/>
      <w:szCs w:val="18"/>
    </w:rPr>
  </w:style>
  <w:style w:type="paragraph" w:styleId="NormalWeb">
    <w:name w:val="Normal (Web)"/>
    <w:basedOn w:val="Normal"/>
    <w:uiPriority w:val="99"/>
    <w:unhideWhenUsed/>
    <w:rsid w:val="00ED13D4"/>
    <w:pPr>
      <w:spacing w:before="100" w:beforeAutospacing="1" w:afterAutospacing="1"/>
    </w:pPr>
    <w:rPr>
      <w:sz w:val="24"/>
      <w:szCs w:val="24"/>
    </w:rPr>
  </w:style>
  <w:style w:type="paragraph" w:styleId="BodyText">
    <w:name w:val="Body Text"/>
    <w:basedOn w:val="Normal"/>
    <w:link w:val="BodyTextChar"/>
    <w:qFormat/>
    <w:rsid w:val="00E824F0"/>
  </w:style>
  <w:style w:type="character" w:customStyle="1" w:styleId="BodyTextChar">
    <w:name w:val="Body Text Char"/>
    <w:basedOn w:val="DefaultParagraphFont"/>
    <w:link w:val="BodyText"/>
    <w:rsid w:val="00E824F0"/>
    <w:rPr>
      <w:rFonts w:ascii="Century Schoolbook" w:hAnsi="Century Schoolbook"/>
      <w:sz w:val="27"/>
    </w:rPr>
  </w:style>
  <w:style w:type="character" w:customStyle="1" w:styleId="FootnoteTextChar">
    <w:name w:val="Footnote Text Char"/>
    <w:link w:val="FootnoteText"/>
    <w:rsid w:val="00B12A0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1825">
      <w:bodyDiv w:val="1"/>
      <w:marLeft w:val="0"/>
      <w:marRight w:val="0"/>
      <w:marTop w:val="0"/>
      <w:marBottom w:val="0"/>
      <w:divBdr>
        <w:top w:val="none" w:sz="0" w:space="0" w:color="auto"/>
        <w:left w:val="none" w:sz="0" w:space="0" w:color="auto"/>
        <w:bottom w:val="none" w:sz="0" w:space="0" w:color="auto"/>
        <w:right w:val="none" w:sz="0" w:space="0" w:color="auto"/>
      </w:divBdr>
      <w:divsChild>
        <w:div w:id="1007445359">
          <w:marLeft w:val="0"/>
          <w:marRight w:val="0"/>
          <w:marTop w:val="0"/>
          <w:marBottom w:val="0"/>
          <w:divBdr>
            <w:top w:val="none" w:sz="0" w:space="0" w:color="auto"/>
            <w:left w:val="none" w:sz="0" w:space="0" w:color="auto"/>
            <w:bottom w:val="none" w:sz="0" w:space="0" w:color="auto"/>
            <w:right w:val="none" w:sz="0" w:space="0" w:color="auto"/>
          </w:divBdr>
        </w:div>
      </w:divsChild>
    </w:div>
    <w:div w:id="215512587">
      <w:bodyDiv w:val="1"/>
      <w:marLeft w:val="0"/>
      <w:marRight w:val="0"/>
      <w:marTop w:val="0"/>
      <w:marBottom w:val="0"/>
      <w:divBdr>
        <w:top w:val="none" w:sz="0" w:space="0" w:color="auto"/>
        <w:left w:val="none" w:sz="0" w:space="0" w:color="auto"/>
        <w:bottom w:val="none" w:sz="0" w:space="0" w:color="auto"/>
        <w:right w:val="none" w:sz="0" w:space="0" w:color="auto"/>
      </w:divBdr>
    </w:div>
    <w:div w:id="265772117">
      <w:bodyDiv w:val="1"/>
      <w:marLeft w:val="0"/>
      <w:marRight w:val="0"/>
      <w:marTop w:val="0"/>
      <w:marBottom w:val="0"/>
      <w:divBdr>
        <w:top w:val="none" w:sz="0" w:space="0" w:color="auto"/>
        <w:left w:val="none" w:sz="0" w:space="0" w:color="auto"/>
        <w:bottom w:val="none" w:sz="0" w:space="0" w:color="auto"/>
        <w:right w:val="none" w:sz="0" w:space="0" w:color="auto"/>
      </w:divBdr>
    </w:div>
    <w:div w:id="689453835">
      <w:bodyDiv w:val="1"/>
      <w:marLeft w:val="0"/>
      <w:marRight w:val="0"/>
      <w:marTop w:val="0"/>
      <w:marBottom w:val="0"/>
      <w:divBdr>
        <w:top w:val="none" w:sz="0" w:space="0" w:color="auto"/>
        <w:left w:val="none" w:sz="0" w:space="0" w:color="auto"/>
        <w:bottom w:val="none" w:sz="0" w:space="0" w:color="auto"/>
        <w:right w:val="none" w:sz="0" w:space="0" w:color="auto"/>
      </w:divBdr>
      <w:divsChild>
        <w:div w:id="701788946">
          <w:marLeft w:val="0"/>
          <w:marRight w:val="0"/>
          <w:marTop w:val="0"/>
          <w:marBottom w:val="0"/>
          <w:divBdr>
            <w:top w:val="none" w:sz="0" w:space="0" w:color="auto"/>
            <w:left w:val="none" w:sz="0" w:space="0" w:color="auto"/>
            <w:bottom w:val="none" w:sz="0" w:space="0" w:color="auto"/>
            <w:right w:val="none" w:sz="0" w:space="0" w:color="auto"/>
          </w:divBdr>
        </w:div>
      </w:divsChild>
    </w:div>
    <w:div w:id="738092402">
      <w:bodyDiv w:val="1"/>
      <w:marLeft w:val="0"/>
      <w:marRight w:val="0"/>
      <w:marTop w:val="0"/>
      <w:marBottom w:val="0"/>
      <w:divBdr>
        <w:top w:val="none" w:sz="0" w:space="0" w:color="auto"/>
        <w:left w:val="none" w:sz="0" w:space="0" w:color="auto"/>
        <w:bottom w:val="none" w:sz="0" w:space="0" w:color="auto"/>
        <w:right w:val="none" w:sz="0" w:space="0" w:color="auto"/>
      </w:divBdr>
    </w:div>
    <w:div w:id="869807621">
      <w:bodyDiv w:val="1"/>
      <w:marLeft w:val="0"/>
      <w:marRight w:val="0"/>
      <w:marTop w:val="0"/>
      <w:marBottom w:val="0"/>
      <w:divBdr>
        <w:top w:val="none" w:sz="0" w:space="0" w:color="auto"/>
        <w:left w:val="none" w:sz="0" w:space="0" w:color="auto"/>
        <w:bottom w:val="none" w:sz="0" w:space="0" w:color="auto"/>
        <w:right w:val="none" w:sz="0" w:space="0" w:color="auto"/>
      </w:divBdr>
    </w:div>
    <w:div w:id="872110084">
      <w:bodyDiv w:val="1"/>
      <w:marLeft w:val="0"/>
      <w:marRight w:val="0"/>
      <w:marTop w:val="0"/>
      <w:marBottom w:val="0"/>
      <w:divBdr>
        <w:top w:val="none" w:sz="0" w:space="0" w:color="auto"/>
        <w:left w:val="none" w:sz="0" w:space="0" w:color="auto"/>
        <w:bottom w:val="none" w:sz="0" w:space="0" w:color="auto"/>
        <w:right w:val="none" w:sz="0" w:space="0" w:color="auto"/>
      </w:divBdr>
    </w:div>
    <w:div w:id="878854964">
      <w:bodyDiv w:val="1"/>
      <w:marLeft w:val="0"/>
      <w:marRight w:val="0"/>
      <w:marTop w:val="0"/>
      <w:marBottom w:val="0"/>
      <w:divBdr>
        <w:top w:val="none" w:sz="0" w:space="0" w:color="auto"/>
        <w:left w:val="none" w:sz="0" w:space="0" w:color="auto"/>
        <w:bottom w:val="none" w:sz="0" w:space="0" w:color="auto"/>
        <w:right w:val="none" w:sz="0" w:space="0" w:color="auto"/>
      </w:divBdr>
    </w:div>
    <w:div w:id="940259430">
      <w:bodyDiv w:val="1"/>
      <w:marLeft w:val="0"/>
      <w:marRight w:val="0"/>
      <w:marTop w:val="0"/>
      <w:marBottom w:val="0"/>
      <w:divBdr>
        <w:top w:val="none" w:sz="0" w:space="0" w:color="auto"/>
        <w:left w:val="none" w:sz="0" w:space="0" w:color="auto"/>
        <w:bottom w:val="none" w:sz="0" w:space="0" w:color="auto"/>
        <w:right w:val="none" w:sz="0" w:space="0" w:color="auto"/>
      </w:divBdr>
    </w:div>
    <w:div w:id="1069886340">
      <w:bodyDiv w:val="1"/>
      <w:marLeft w:val="0"/>
      <w:marRight w:val="0"/>
      <w:marTop w:val="0"/>
      <w:marBottom w:val="0"/>
      <w:divBdr>
        <w:top w:val="none" w:sz="0" w:space="0" w:color="auto"/>
        <w:left w:val="none" w:sz="0" w:space="0" w:color="auto"/>
        <w:bottom w:val="none" w:sz="0" w:space="0" w:color="auto"/>
        <w:right w:val="none" w:sz="0" w:space="0" w:color="auto"/>
      </w:divBdr>
    </w:div>
    <w:div w:id="1219050747">
      <w:bodyDiv w:val="1"/>
      <w:marLeft w:val="0"/>
      <w:marRight w:val="0"/>
      <w:marTop w:val="0"/>
      <w:marBottom w:val="0"/>
      <w:divBdr>
        <w:top w:val="none" w:sz="0" w:space="0" w:color="auto"/>
        <w:left w:val="none" w:sz="0" w:space="0" w:color="auto"/>
        <w:bottom w:val="none" w:sz="0" w:space="0" w:color="auto"/>
        <w:right w:val="none" w:sz="0" w:space="0" w:color="auto"/>
      </w:divBdr>
    </w:div>
    <w:div w:id="1320185074">
      <w:bodyDiv w:val="1"/>
      <w:marLeft w:val="0"/>
      <w:marRight w:val="0"/>
      <w:marTop w:val="0"/>
      <w:marBottom w:val="0"/>
      <w:divBdr>
        <w:top w:val="none" w:sz="0" w:space="0" w:color="auto"/>
        <w:left w:val="none" w:sz="0" w:space="0" w:color="auto"/>
        <w:bottom w:val="none" w:sz="0" w:space="0" w:color="auto"/>
        <w:right w:val="none" w:sz="0" w:space="0" w:color="auto"/>
      </w:divBdr>
    </w:div>
    <w:div w:id="1522087884">
      <w:bodyDiv w:val="1"/>
      <w:marLeft w:val="0"/>
      <w:marRight w:val="0"/>
      <w:marTop w:val="0"/>
      <w:marBottom w:val="0"/>
      <w:divBdr>
        <w:top w:val="none" w:sz="0" w:space="0" w:color="auto"/>
        <w:left w:val="none" w:sz="0" w:space="0" w:color="auto"/>
        <w:bottom w:val="none" w:sz="0" w:space="0" w:color="auto"/>
        <w:right w:val="none" w:sz="0" w:space="0" w:color="auto"/>
      </w:divBdr>
      <w:divsChild>
        <w:div w:id="294676746">
          <w:marLeft w:val="0"/>
          <w:marRight w:val="0"/>
          <w:marTop w:val="0"/>
          <w:marBottom w:val="0"/>
          <w:divBdr>
            <w:top w:val="none" w:sz="0" w:space="0" w:color="auto"/>
            <w:left w:val="none" w:sz="0" w:space="0" w:color="auto"/>
            <w:bottom w:val="none" w:sz="0" w:space="0" w:color="auto"/>
            <w:right w:val="none" w:sz="0" w:space="0" w:color="auto"/>
          </w:divBdr>
          <w:divsChild>
            <w:div w:id="1160004573">
              <w:marLeft w:val="0"/>
              <w:marRight w:val="0"/>
              <w:marTop w:val="0"/>
              <w:marBottom w:val="0"/>
              <w:divBdr>
                <w:top w:val="none" w:sz="0" w:space="0" w:color="auto"/>
                <w:left w:val="none" w:sz="0" w:space="0" w:color="auto"/>
                <w:bottom w:val="none" w:sz="0" w:space="0" w:color="auto"/>
                <w:right w:val="none" w:sz="0" w:space="0" w:color="auto"/>
              </w:divBdr>
              <w:divsChild>
                <w:div w:id="554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2357">
      <w:bodyDiv w:val="1"/>
      <w:marLeft w:val="0"/>
      <w:marRight w:val="0"/>
      <w:marTop w:val="0"/>
      <w:marBottom w:val="0"/>
      <w:divBdr>
        <w:top w:val="none" w:sz="0" w:space="0" w:color="auto"/>
        <w:left w:val="none" w:sz="0" w:space="0" w:color="auto"/>
        <w:bottom w:val="none" w:sz="0" w:space="0" w:color="auto"/>
        <w:right w:val="none" w:sz="0" w:space="0" w:color="auto"/>
      </w:divBdr>
      <w:divsChild>
        <w:div w:id="10515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B314-B3BF-4621-A9FB-6B69E85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2021-02-24T19:55:00Z</dcterms:created>
  <dcterms:modified xsi:type="dcterms:W3CDTF">2021-02-25T16:48:00Z</dcterms:modified>
</cp:coreProperties>
</file>