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57C6E" w:rsidP="00957C6E">
      <w:pPr>
        <w:spacing w:after="0"/>
        <w:jc w:val="center"/>
        <w:rPr>
          <w:sz w:val="36"/>
        </w:rPr>
      </w:pPr>
      <w:r>
        <w:rPr>
          <w:b/>
          <w:sz w:val="36"/>
        </w:rPr>
        <w:t>IN THE SUPREME COURT OF CALIFORNIA</w:t>
      </w:r>
    </w:p>
    <w:p w:rsidR="00957C6E" w:rsidP="00957C6E">
      <w:pPr>
        <w:spacing w:after="0"/>
        <w:jc w:val="center"/>
      </w:pPr>
    </w:p>
    <w:p w:rsidR="00957C6E" w:rsidP="00957C6E">
      <w:pPr>
        <w:spacing w:after="0"/>
        <w:jc w:val="center"/>
      </w:pPr>
      <w:r>
        <w:t>JESSICA FERRA</w:t>
      </w:r>
      <w:r w:rsidR="00CB1098">
        <w:t xml:space="preserve"> </w:t>
      </w:r>
      <w:r w:rsidR="007161D9">
        <w:t>et al</w:t>
      </w:r>
      <w:r w:rsidR="00907945">
        <w:t>.</w:t>
      </w:r>
      <w:r w:rsidR="007161D9">
        <w:t>,</w:t>
      </w:r>
    </w:p>
    <w:p w:rsidR="00957C6E" w:rsidP="00957C6E">
      <w:pPr>
        <w:spacing w:after="0"/>
        <w:jc w:val="center"/>
      </w:pPr>
      <w:r>
        <w:t>Plaintiff</w:t>
      </w:r>
      <w:r w:rsidR="00902D22">
        <w:t>s</w:t>
      </w:r>
      <w:r>
        <w:t xml:space="preserve"> and Appellant</w:t>
      </w:r>
      <w:r w:rsidR="00902D22">
        <w:t>s</w:t>
      </w:r>
      <w:r w:rsidR="007161D9">
        <w:t>,</w:t>
      </w:r>
    </w:p>
    <w:p w:rsidR="00957C6E" w:rsidP="00957C6E">
      <w:pPr>
        <w:spacing w:after="0"/>
        <w:jc w:val="center"/>
      </w:pPr>
      <w:r>
        <w:t>v.</w:t>
      </w:r>
    </w:p>
    <w:p w:rsidR="00957C6E" w:rsidP="00957C6E">
      <w:pPr>
        <w:spacing w:after="0"/>
        <w:jc w:val="center"/>
      </w:pPr>
      <w:r>
        <w:t>LOEWS HOLLYWOOD HOTEL, LLC</w:t>
      </w:r>
      <w:r w:rsidR="007161D9">
        <w:t>,</w:t>
      </w:r>
    </w:p>
    <w:p w:rsidR="00957C6E" w:rsidP="00957C6E">
      <w:pPr>
        <w:spacing w:after="0"/>
        <w:jc w:val="center"/>
      </w:pPr>
      <w:r>
        <w:t>Defendant and Respondent.</w:t>
      </w:r>
      <w:r>
        <w:tab/>
      </w:r>
    </w:p>
    <w:p w:rsidR="00957C6E" w:rsidP="00957C6E">
      <w:pPr>
        <w:spacing w:after="0"/>
        <w:jc w:val="center"/>
      </w:pPr>
    </w:p>
    <w:p w:rsidR="00957C6E" w:rsidP="00957C6E">
      <w:pPr>
        <w:spacing w:after="0"/>
        <w:jc w:val="center"/>
      </w:pPr>
      <w:r>
        <w:t>S259172</w:t>
      </w:r>
    </w:p>
    <w:p w:rsidR="00957C6E" w:rsidP="00957C6E">
      <w:pPr>
        <w:spacing w:after="0"/>
        <w:jc w:val="center"/>
      </w:pPr>
    </w:p>
    <w:p w:rsidR="00957C6E" w:rsidP="00957C6E">
      <w:pPr>
        <w:spacing w:after="0"/>
        <w:jc w:val="center"/>
      </w:pPr>
      <w:r>
        <w:t>Second Appellate District, Division Three</w:t>
      </w:r>
    </w:p>
    <w:p w:rsidR="00957C6E" w:rsidP="00957C6E">
      <w:pPr>
        <w:spacing w:after="0"/>
        <w:jc w:val="center"/>
      </w:pPr>
      <w:r>
        <w:t>B283218</w:t>
      </w:r>
    </w:p>
    <w:p w:rsidR="00957C6E" w:rsidP="00957C6E">
      <w:pPr>
        <w:spacing w:after="0"/>
        <w:jc w:val="center"/>
      </w:pPr>
    </w:p>
    <w:p w:rsidR="00957C6E" w:rsidP="00957C6E">
      <w:pPr>
        <w:spacing w:after="0"/>
        <w:jc w:val="center"/>
      </w:pPr>
      <w:r>
        <w:t>Los Angeles County</w:t>
      </w:r>
      <w:r w:rsidR="00DA3332">
        <w:t xml:space="preserve"> Superior Court</w:t>
      </w:r>
    </w:p>
    <w:p w:rsidR="00957C6E" w:rsidP="00957C6E">
      <w:pPr>
        <w:spacing w:after="0"/>
        <w:jc w:val="center"/>
      </w:pPr>
      <w:r>
        <w:t>BC586176</w:t>
      </w:r>
    </w:p>
    <w:p w:rsidR="00957C6E" w:rsidP="00957C6E">
      <w:pPr>
        <w:pBdr>
          <w:bottom w:val="single" w:sz="4" w:space="1" w:color="auto"/>
        </w:pBdr>
        <w:spacing w:after="0"/>
        <w:jc w:val="center"/>
      </w:pPr>
    </w:p>
    <w:p w:rsidR="00957C6E" w:rsidP="00957C6E">
      <w:pPr>
        <w:spacing w:after="0"/>
        <w:jc w:val="center"/>
      </w:pPr>
    </w:p>
    <w:p w:rsidR="00994D60" w:rsidP="00994D60">
      <w:pPr>
        <w:tabs>
          <w:tab w:val="left" w:pos="1440"/>
        </w:tabs>
        <w:spacing w:after="0"/>
        <w:jc w:val="center"/>
      </w:pPr>
      <w:r>
        <w:t>July 15</w:t>
      </w:r>
      <w:r>
        <w:t>, 2021</w:t>
      </w:r>
    </w:p>
    <w:p w:rsidR="00994D60" w:rsidP="00994D60">
      <w:pPr>
        <w:tabs>
          <w:tab w:val="left" w:pos="1440"/>
        </w:tabs>
        <w:spacing w:after="0"/>
        <w:jc w:val="center"/>
      </w:pPr>
    </w:p>
    <w:p w:rsidR="00957C6E" w:rsidP="00994D60">
      <w:pPr>
        <w:spacing w:after="0"/>
        <w:jc w:val="left"/>
      </w:pPr>
      <w:r>
        <w:t xml:space="preserve">Justice Liu authored the opinion of the Court, in which </w:t>
      </w:r>
      <w:r w:rsidRPr="003C031E" w:rsidR="003C031E">
        <w:t xml:space="preserve">Chief Justice Cantil-Sakauye and Justices Corrigan, Cuéllar, Kruger, Groban, and Jenkins </w:t>
      </w:r>
      <w:r>
        <w:t>concurred.</w:t>
      </w:r>
    </w:p>
    <w:p w:rsidR="00957C6E" w:rsidRPr="00957C6E" w:rsidP="00957C6E">
      <w:pPr>
        <w:pBdr>
          <w:bottom w:val="single" w:sz="4" w:space="1" w:color="auto"/>
        </w:pBdr>
        <w:spacing w:line="480" w:lineRule="atLeast"/>
        <w:jc w:val="left"/>
      </w:pPr>
      <w:bookmarkStart w:id="0" w:name="Return"/>
      <w:bookmarkEnd w:id="0"/>
    </w:p>
    <w:p w:rsidR="00957C6E" w:rsidP="00F764F0">
      <w:pPr>
        <w:spacing w:line="480" w:lineRule="atLeast"/>
        <w:ind w:firstLine="720"/>
        <w:sectPr w:rsidSect="00957C6E">
          <w:headerReference w:type="even" r:id="rId4"/>
          <w:headerReference w:type="default" r:id="rId5"/>
          <w:footerReference w:type="even" r:id="rId6"/>
          <w:footerReference w:type="default" r:id="rId7"/>
          <w:headerReference w:type="first" r:id="rId8"/>
          <w:footerReference w:type="first" r:id="rId9"/>
          <w:type w:val="continuous"/>
          <w:pgSz w:w="12240" w:h="15840"/>
          <w:pgMar w:top="1800" w:right="2160" w:bottom="1440" w:left="2160" w:header="720" w:footer="720" w:gutter="0"/>
          <w:cols w:space="720"/>
          <w:titlePg/>
          <w:docGrid w:linePitch="367"/>
        </w:sectPr>
      </w:pPr>
    </w:p>
    <w:p w:rsidR="00957C6E" w:rsidP="000C02CC">
      <w:pPr>
        <w:jc w:val="center"/>
      </w:pPr>
      <w:r>
        <w:t>FERRA v. LOEWS HOLLYWOOD HOTEL, LLC</w:t>
      </w:r>
    </w:p>
    <w:p w:rsidR="00957C6E" w:rsidP="000C02CC">
      <w:pPr>
        <w:jc w:val="center"/>
      </w:pPr>
      <w:r>
        <w:t>S259172</w:t>
      </w:r>
    </w:p>
    <w:p w:rsidR="00957C6E" w:rsidP="000C02CC">
      <w:pPr>
        <w:ind w:firstLine="720"/>
      </w:pPr>
    </w:p>
    <w:p w:rsidR="00957C6E" w:rsidP="000C02CC">
      <w:pPr>
        <w:jc w:val="center"/>
      </w:pPr>
      <w:r>
        <w:t>Opinion of the Court by Liu, J.</w:t>
      </w:r>
    </w:p>
    <w:p w:rsidR="00027911" w:rsidP="000C02CC">
      <w:pPr>
        <w:jc w:val="center"/>
      </w:pPr>
    </w:p>
    <w:p w:rsidR="009C0F71" w:rsidRPr="00957C6E" w:rsidP="00027911">
      <w:pPr>
        <w:ind w:firstLine="720"/>
      </w:pPr>
      <w:r w:rsidRPr="00957C6E">
        <w:t>Under California law, employers must provide employees with overtime pay when employees work more than a certain amount of time.</w:t>
      </w:r>
      <w:r w:rsidRPr="00957C6E" w:rsidR="001636FC">
        <w:t xml:space="preserve">  (Lab</w:t>
      </w:r>
      <w:r w:rsidR="00FD21A9">
        <w:t>.</w:t>
      </w:r>
      <w:r w:rsidRPr="00957C6E" w:rsidR="001636FC">
        <w:t xml:space="preserve"> Code, § 510, subd. (a)</w:t>
      </w:r>
      <w:r w:rsidRPr="00957C6E" w:rsidR="008C5D1A">
        <w:t xml:space="preserve"> (section 510(a))</w:t>
      </w:r>
      <w:r w:rsidRPr="00957C6E" w:rsidR="00F764F0">
        <w:t>; all undesignated statutory references are to this code.</w:t>
      </w:r>
      <w:r w:rsidRPr="00957C6E" w:rsidR="001636FC">
        <w:t xml:space="preserve">)  </w:t>
      </w:r>
      <w:r w:rsidRPr="00957C6E" w:rsidR="00C63DA2">
        <w:t xml:space="preserve">To calculate overtime pay, </w:t>
      </w:r>
      <w:r w:rsidRPr="00957C6E" w:rsidR="0093421A">
        <w:t xml:space="preserve">section 510(a) requires an employer to compensate </w:t>
      </w:r>
      <w:r w:rsidRPr="00957C6E" w:rsidR="00157BA8">
        <w:t>an employee by a multiple of the employee’s “regular rate of pay.”</w:t>
      </w:r>
      <w:r w:rsidRPr="00957C6E" w:rsidR="00F764F0">
        <w:t xml:space="preserve">  </w:t>
      </w:r>
      <w:r w:rsidRPr="00957C6E">
        <w:t xml:space="preserve">California law also </w:t>
      </w:r>
      <w:r w:rsidRPr="00957C6E" w:rsidR="00F764F0">
        <w:t>provides for</w:t>
      </w:r>
      <w:r w:rsidRPr="00957C6E">
        <w:t xml:space="preserve"> meal, rest, </w:t>
      </w:r>
      <w:r w:rsidRPr="00957C6E" w:rsidR="00F764F0">
        <w:t>and</w:t>
      </w:r>
      <w:r w:rsidRPr="00957C6E">
        <w:t xml:space="preserve"> recovery period</w:t>
      </w:r>
      <w:r w:rsidRPr="00957C6E" w:rsidR="00AC2FF5">
        <w:t>s</w:t>
      </w:r>
      <w:bookmarkStart w:id="1" w:name="_Hlk73447899"/>
      <w:r w:rsidRPr="00957C6E">
        <w:t>.  If an employer does not provide an employee with a compliant meal, rest, or recovery period, section 226.7, subdivision (c)</w:t>
      </w:r>
      <w:r w:rsidRPr="00957C6E" w:rsidR="00D36907">
        <w:t xml:space="preserve"> (section 226.7(c))</w:t>
      </w:r>
      <w:r w:rsidRPr="00957C6E">
        <w:t xml:space="preserve"> requires the employer to “pay the employee one additional hour of pay at the employee’s regular rate of compensation.”</w:t>
      </w:r>
    </w:p>
    <w:p w:rsidR="00DD60D1" w:rsidRPr="00957C6E" w:rsidP="00957C6E">
      <w:pPr>
        <w:ind w:firstLine="720"/>
      </w:pPr>
      <w:r w:rsidRPr="00957C6E">
        <w:t>The question here is</w:t>
      </w:r>
      <w:r w:rsidRPr="00957C6E" w:rsidR="004126ED">
        <w:t xml:space="preserve"> whether the Legislature intended </w:t>
      </w:r>
      <w:r w:rsidRPr="00957C6E" w:rsidR="00535265">
        <w:t>“regular rate of compensation” under section 226.7(c)</w:t>
      </w:r>
      <w:r w:rsidRPr="00957C6E" w:rsidR="005928B7">
        <w:t xml:space="preserve"> to </w:t>
      </w:r>
      <w:r w:rsidRPr="00957C6E" w:rsidR="00177B54">
        <w:t xml:space="preserve">have the same meaning as </w:t>
      </w:r>
      <w:r w:rsidRPr="00957C6E" w:rsidR="005928B7">
        <w:t>“regular rate of pay” under section 510(a)</w:t>
      </w:r>
      <w:r w:rsidRPr="00957C6E">
        <w:t>, such that the calculation of premium pay for a noncompliant meal</w:t>
      </w:r>
      <w:r w:rsidRPr="00957C6E" w:rsidR="003C6015">
        <w:t>, rest, or recovery period</w:t>
      </w:r>
      <w:r w:rsidRPr="00957C6E">
        <w:t xml:space="preserve">, like the calculation of overtime pay, must </w:t>
      </w:r>
      <w:r w:rsidRPr="00957C6E" w:rsidR="001B511C">
        <w:t>account for</w:t>
      </w:r>
      <w:r w:rsidRPr="00957C6E">
        <w:t xml:space="preserve"> not only hourly wages but also </w:t>
      </w:r>
      <w:r w:rsidRPr="00957C6E" w:rsidR="00177B54">
        <w:t xml:space="preserve">other </w:t>
      </w:r>
      <w:r w:rsidRPr="00957C6E">
        <w:t xml:space="preserve">nondiscretionary </w:t>
      </w:r>
      <w:r w:rsidRPr="00957C6E" w:rsidR="00177B54">
        <w:t>payments for work performed by the employee</w:t>
      </w:r>
      <w:r w:rsidRPr="00957C6E" w:rsidR="005928B7">
        <w:t xml:space="preserve">.  </w:t>
      </w:r>
      <w:r w:rsidR="001067A5">
        <w:t>W</w:t>
      </w:r>
      <w:r w:rsidRPr="00957C6E">
        <w:t xml:space="preserve">e hold that the terms are </w:t>
      </w:r>
      <w:r w:rsidRPr="00957C6E" w:rsidR="003F2E2D">
        <w:t>synonymous</w:t>
      </w:r>
      <w:r w:rsidRPr="00957C6E" w:rsidR="003E5B7B">
        <w:t>:</w:t>
      </w:r>
      <w:r w:rsidR="001067A5">
        <w:t>  </w:t>
      </w:r>
      <w:r w:rsidRPr="00957C6E">
        <w:t xml:space="preserve">“regular rate of </w:t>
      </w:r>
      <w:r w:rsidRPr="00957C6E" w:rsidR="003E5B7B">
        <w:t xml:space="preserve">compensation” under section 226.7(c), like “regular rate of pay” under section 510(a), encompasses </w:t>
      </w:r>
      <w:r w:rsidRPr="00957C6E" w:rsidR="00177B54">
        <w:t xml:space="preserve">all </w:t>
      </w:r>
      <w:r w:rsidRPr="00957C6E" w:rsidR="003E5B7B">
        <w:t xml:space="preserve">nondiscretionary </w:t>
      </w:r>
      <w:r w:rsidRPr="00957C6E" w:rsidR="00943C74">
        <w:t>payments</w:t>
      </w:r>
      <w:r w:rsidRPr="00957C6E" w:rsidR="00177B54">
        <w:t>, not just hourly wages</w:t>
      </w:r>
      <w:r w:rsidRPr="00957C6E">
        <w:t>.</w:t>
      </w:r>
    </w:p>
    <w:p w:rsidR="00DD60D1" w:rsidRPr="00957C6E" w:rsidP="000275F0">
      <w:pPr>
        <w:keepNext/>
        <w:tabs>
          <w:tab w:val="left" w:pos="1440"/>
        </w:tabs>
        <w:jc w:val="center"/>
        <w:rPr>
          <w:b/>
          <w:bCs/>
        </w:rPr>
      </w:pPr>
      <w:bookmarkEnd w:id="1"/>
      <w:r w:rsidRPr="00957C6E">
        <w:rPr>
          <w:b/>
          <w:bCs/>
        </w:rPr>
        <w:t>I.</w:t>
      </w:r>
    </w:p>
    <w:p w:rsidR="002B58A0" w:rsidRPr="00957C6E" w:rsidP="001352BB">
      <w:pPr>
        <w:keepNext/>
        <w:ind w:firstLine="720"/>
      </w:pPr>
      <w:r w:rsidRPr="00957C6E">
        <w:t>F</w:t>
      </w:r>
      <w:r w:rsidRPr="00957C6E" w:rsidR="00FA2555">
        <w:t>rom June 16, 2012</w:t>
      </w:r>
      <w:r w:rsidRPr="00957C6E" w:rsidR="00141C71">
        <w:t>,</w:t>
      </w:r>
      <w:r w:rsidRPr="00957C6E" w:rsidR="00FA2555">
        <w:t xml:space="preserve"> to May 12, 2014, </w:t>
      </w:r>
      <w:r w:rsidRPr="00957C6E" w:rsidR="003E5B7B">
        <w:t>defendant Loews Hollywood Hotel, L</w:t>
      </w:r>
      <w:r w:rsidRPr="00957C6E" w:rsidR="00C307CA">
        <w:t>L</w:t>
      </w:r>
      <w:r w:rsidRPr="00957C6E" w:rsidR="003E5B7B">
        <w:t>C (Loews)</w:t>
      </w:r>
      <w:r w:rsidR="00902D22">
        <w:t>,</w:t>
      </w:r>
      <w:r w:rsidRPr="00957C6E" w:rsidR="003E5B7B">
        <w:t xml:space="preserve"> </w:t>
      </w:r>
      <w:r w:rsidRPr="00957C6E" w:rsidR="00FA2555">
        <w:t xml:space="preserve">employed </w:t>
      </w:r>
      <w:r w:rsidRPr="00957C6E" w:rsidR="003E5B7B">
        <w:t xml:space="preserve">plaintiff Jessica </w:t>
      </w:r>
      <w:r w:rsidRPr="00957C6E" w:rsidR="00FA2555">
        <w:t>Ferra as a bartender.</w:t>
      </w:r>
      <w:r w:rsidRPr="00957C6E" w:rsidR="004D3150">
        <w:t xml:space="preserve">  </w:t>
      </w:r>
      <w:r w:rsidRPr="00957C6E" w:rsidR="006B1F57">
        <w:t xml:space="preserve">Loews paid Ferra hourly wages </w:t>
      </w:r>
      <w:r w:rsidRPr="00957C6E" w:rsidR="003E5B7B">
        <w:t xml:space="preserve">as well as quarterly </w:t>
      </w:r>
      <w:r w:rsidRPr="00957C6E" w:rsidR="006B1F57">
        <w:t xml:space="preserve">nondiscretionary incentive </w:t>
      </w:r>
      <w:r w:rsidRPr="00957C6E" w:rsidR="006A5134">
        <w:t>payments</w:t>
      </w:r>
      <w:r w:rsidRPr="00957C6E" w:rsidR="00685431">
        <w:t>.</w:t>
      </w:r>
      <w:r w:rsidR="00170E41">
        <w:t xml:space="preserve">  </w:t>
      </w:r>
      <w:r w:rsidR="0087373B">
        <w:t>We use the term “n</w:t>
      </w:r>
      <w:r w:rsidRPr="00957C6E" w:rsidR="00685431">
        <w:t xml:space="preserve">ondiscretionary </w:t>
      </w:r>
      <w:r w:rsidRPr="00957C6E" w:rsidR="006A5134">
        <w:t>payments</w:t>
      </w:r>
      <w:r w:rsidR="0087373B">
        <w:t xml:space="preserve">” to mean </w:t>
      </w:r>
      <w:r w:rsidRPr="00957C6E" w:rsidR="00685431">
        <w:t>payment</w:t>
      </w:r>
      <w:r w:rsidRPr="00957C6E" w:rsidR="006A5134">
        <w:t>s</w:t>
      </w:r>
      <w:r w:rsidRPr="00957C6E" w:rsidR="00685431">
        <w:t xml:space="preserve"> for an employee’s work that </w:t>
      </w:r>
      <w:r w:rsidRPr="00957C6E" w:rsidR="006A5134">
        <w:t xml:space="preserve">are </w:t>
      </w:r>
      <w:r w:rsidR="00697EF0">
        <w:t xml:space="preserve">owed “pursuant to [a] prior contract, agreement, or promise,” </w:t>
      </w:r>
      <w:r w:rsidRPr="00957C6E" w:rsidR="00685431">
        <w:t xml:space="preserve">not </w:t>
      </w:r>
      <w:r w:rsidR="00697EF0">
        <w:t xml:space="preserve">“determined </w:t>
      </w:r>
      <w:r w:rsidRPr="00957C6E" w:rsidR="00685431">
        <w:t>at the</w:t>
      </w:r>
      <w:r w:rsidRPr="00957C6E" w:rsidR="00943C74">
        <w:t xml:space="preserve"> </w:t>
      </w:r>
      <w:r w:rsidRPr="00957C6E" w:rsidR="00685431">
        <w:t>sole discretion</w:t>
      </w:r>
      <w:r w:rsidR="00902D22">
        <w:t xml:space="preserve"> of the employer</w:t>
      </w:r>
      <w:r w:rsidRPr="00957C6E" w:rsidR="00685431">
        <w:t>.</w:t>
      </w:r>
      <w:r w:rsidR="00697EF0">
        <w:t>”</w:t>
      </w:r>
      <w:r w:rsidRPr="00957C6E" w:rsidR="00685431">
        <w:t xml:space="preserve">  (</w:t>
      </w:r>
      <w:r w:rsidRPr="00957C6E" w:rsidR="00035A73">
        <w:t>Division of Labor Standards Enforcement</w:t>
      </w:r>
      <w:r w:rsidR="00902D22">
        <w:t xml:space="preserve"> (DLSE)</w:t>
      </w:r>
      <w:r w:rsidRPr="00957C6E" w:rsidR="00035A73">
        <w:t xml:space="preserve">, </w:t>
      </w:r>
      <w:r w:rsidR="00902D22">
        <w:t xml:space="preserve">Update of the DLSE </w:t>
      </w:r>
      <w:r w:rsidRPr="00957C6E" w:rsidR="00035A73">
        <w:t>Enforcement Policies and Interpretations Manual (</w:t>
      </w:r>
      <w:r w:rsidR="00902D22">
        <w:t>rev. 2019</w:t>
      </w:r>
      <w:r w:rsidRPr="00957C6E" w:rsidR="00035A73">
        <w:t>) § 49.1.2.4(3), p.</w:t>
      </w:r>
      <w:r w:rsidRPr="00957C6E" w:rsidR="00A86636">
        <w:t> </w:t>
      </w:r>
      <w:r w:rsidRPr="00957C6E" w:rsidR="00035A73">
        <w:t>49</w:t>
      </w:r>
      <w:r w:rsidR="00902D22">
        <w:t>-</w:t>
      </w:r>
      <w:r w:rsidRPr="00957C6E" w:rsidR="00035A73">
        <w:t>3</w:t>
      </w:r>
      <w:r w:rsidR="00902D22">
        <w:t xml:space="preserve"> </w:t>
      </w:r>
      <w:r w:rsidRPr="00957C6E" w:rsidR="00902D22">
        <w:t>(</w:t>
      </w:r>
      <w:r w:rsidR="00902D22">
        <w:t>2019</w:t>
      </w:r>
      <w:r w:rsidRPr="00957C6E" w:rsidR="00902D22">
        <w:t xml:space="preserve"> DLSE Manual)</w:t>
      </w:r>
      <w:r w:rsidRPr="00957C6E" w:rsidR="00035A73">
        <w:t>, citing 29 C.F.R. §§ 778.211, 778.213</w:t>
      </w:r>
      <w:r w:rsidR="00902D22">
        <w:t xml:space="preserve"> (</w:t>
      </w:r>
      <w:r w:rsidR="007D3D34">
        <w:t>2021</w:t>
      </w:r>
      <w:r w:rsidR="00902D22">
        <w:t xml:space="preserve">); see C.F.R. </w:t>
      </w:r>
      <w:r w:rsidRPr="00957C6E" w:rsidR="00902D22">
        <w:t>§ 778.211</w:t>
      </w:r>
      <w:r w:rsidR="00902D22">
        <w:t xml:space="preserve"> (2021)</w:t>
      </w:r>
      <w:r w:rsidRPr="00957C6E" w:rsidR="00A86636">
        <w:t xml:space="preserve"> </w:t>
      </w:r>
      <w:r w:rsidRPr="00957C6E" w:rsidR="00685431">
        <w:t>[</w:t>
      </w:r>
      <w:r w:rsidRPr="00957C6E" w:rsidR="00943C74">
        <w:t>a payment is discretionary if “both the fact that payment is to be made and the amount of the payment are determined at the sole discretion of the employer . . . and not pursuant to any prior contract, agreement, or promise causing the employee to expect such payments regularly”]</w:t>
      </w:r>
      <w:r w:rsidR="00EE60BC">
        <w:t>; see also</w:t>
      </w:r>
      <w:r w:rsidR="00856099">
        <w:t xml:space="preserve"> </w:t>
      </w:r>
      <w:r w:rsidRPr="00275812" w:rsidR="00856099">
        <w:rPr>
          <w:i/>
          <w:iCs/>
        </w:rPr>
        <w:t>Alvarado v. Dart Container Corp. of California</w:t>
      </w:r>
      <w:r w:rsidR="00856099">
        <w:t xml:space="preserve"> (2018) 4 Cal.5th 542, 56</w:t>
      </w:r>
      <w:r w:rsidR="00902D22">
        <w:t>1</w:t>
      </w:r>
      <w:r w:rsidR="00856099">
        <w:t xml:space="preserve"> (</w:t>
      </w:r>
      <w:r w:rsidRPr="00275812" w:rsidR="00856099">
        <w:rPr>
          <w:i/>
          <w:iCs/>
        </w:rPr>
        <w:t>Alvarado</w:t>
      </w:r>
      <w:r w:rsidR="00856099">
        <w:t xml:space="preserve">) </w:t>
      </w:r>
      <w:r w:rsidR="00856099">
        <w:rPr>
          <w:color w:val="000000"/>
          <w:szCs w:val="26"/>
          <w:shd w:val="clear" w:color="auto" w:fill="FFFFFF"/>
          <w:lang w:eastAsia="zh-CN"/>
        </w:rPr>
        <w:t xml:space="preserve">[“[I]t is the court’s task to construe how ‘regular rate of pay’ should be calculated in the circumstances presented here.”]; </w:t>
      </w:r>
      <w:r w:rsidR="004E757F">
        <w:rPr>
          <w:color w:val="000000"/>
          <w:szCs w:val="26"/>
          <w:shd w:val="clear" w:color="auto" w:fill="FFFFFF"/>
          <w:lang w:eastAsia="zh-CN"/>
        </w:rPr>
        <w:t>CACI No. 2702 [noting that court</w:t>
      </w:r>
      <w:r w:rsidR="00135034">
        <w:rPr>
          <w:color w:val="000000"/>
          <w:szCs w:val="26"/>
          <w:shd w:val="clear" w:color="auto" w:fill="FFFFFF"/>
          <w:lang w:eastAsia="zh-CN"/>
        </w:rPr>
        <w:t>, not jury,</w:t>
      </w:r>
      <w:r w:rsidR="004E757F">
        <w:rPr>
          <w:color w:val="000000"/>
          <w:szCs w:val="26"/>
          <w:shd w:val="clear" w:color="auto" w:fill="FFFFFF"/>
          <w:lang w:eastAsia="zh-CN"/>
        </w:rPr>
        <w:t xml:space="preserve"> determines appropriate rate of compensation for overtime]</w:t>
      </w:r>
      <w:r w:rsidRPr="00957C6E" w:rsidR="00943C74">
        <w:t>.)</w:t>
      </w:r>
      <w:r w:rsidRPr="00957C6E" w:rsidR="00AA4029">
        <w:t xml:space="preserve">  </w:t>
      </w:r>
      <w:r w:rsidRPr="00957C6E" w:rsidR="00D2045D">
        <w:t xml:space="preserve">If an hourly employee </w:t>
      </w:r>
      <w:r w:rsidRPr="00957C6E" w:rsidR="00F74AE5">
        <w:t xml:space="preserve">was not provided with a compliant meal or rest period, </w:t>
      </w:r>
      <w:r w:rsidRPr="00957C6E" w:rsidR="000215AE">
        <w:t>Loews pa</w:t>
      </w:r>
      <w:r w:rsidRPr="00957C6E" w:rsidR="003E5B7B">
        <w:t>id</w:t>
      </w:r>
      <w:r w:rsidRPr="00957C6E" w:rsidR="000215AE">
        <w:t xml:space="preserve"> </w:t>
      </w:r>
      <w:r w:rsidRPr="00957C6E">
        <w:t>the employee</w:t>
      </w:r>
      <w:r w:rsidRPr="00957C6E" w:rsidR="000215AE">
        <w:t xml:space="preserve"> </w:t>
      </w:r>
      <w:r w:rsidRPr="00957C6E" w:rsidR="003E5B7B">
        <w:t xml:space="preserve">an additional hour of pay according to </w:t>
      </w:r>
      <w:r w:rsidRPr="00957C6E" w:rsidR="000215AE">
        <w:t xml:space="preserve">the </w:t>
      </w:r>
      <w:r w:rsidRPr="00957C6E" w:rsidR="003E5B7B">
        <w:t xml:space="preserve">employee’s </w:t>
      </w:r>
      <w:r w:rsidRPr="00957C6E" w:rsidR="000215AE">
        <w:t>hourly wage at the time the meal or rest period was not provided.</w:t>
      </w:r>
      <w:r w:rsidRPr="00957C6E" w:rsidR="005E6A8F">
        <w:t xml:space="preserve">  </w:t>
      </w:r>
      <w:r w:rsidRPr="00957C6E" w:rsidR="003E5B7B">
        <w:t>I</w:t>
      </w:r>
      <w:r w:rsidRPr="00957C6E" w:rsidR="005E6A8F">
        <w:t xml:space="preserve">f </w:t>
      </w:r>
      <w:r w:rsidRPr="00957C6E" w:rsidR="00D91BB0">
        <w:t xml:space="preserve">the </w:t>
      </w:r>
      <w:r w:rsidRPr="00957C6E" w:rsidR="005E6A8F">
        <w:t xml:space="preserve">employee earned any nondiscretionary payments </w:t>
      </w:r>
      <w:r w:rsidRPr="00957C6E" w:rsidR="00672E77">
        <w:t>in addition to an</w:t>
      </w:r>
      <w:r w:rsidRPr="00957C6E" w:rsidR="00D91BB0">
        <w:t xml:space="preserve"> </w:t>
      </w:r>
      <w:r w:rsidRPr="00957C6E">
        <w:t>hourly wage</w:t>
      </w:r>
      <w:r w:rsidRPr="00957C6E" w:rsidR="003E5B7B">
        <w:t>,</w:t>
      </w:r>
      <w:r w:rsidRPr="00957C6E" w:rsidR="001544AC">
        <w:t xml:space="preserve"> </w:t>
      </w:r>
      <w:r w:rsidRPr="00957C6E">
        <w:t>like Ferra’s quarterly incentive</w:t>
      </w:r>
      <w:r w:rsidRPr="00957C6E" w:rsidR="00D91BB0">
        <w:t xml:space="preserve"> </w:t>
      </w:r>
      <w:r w:rsidRPr="00957C6E">
        <w:t>payments</w:t>
      </w:r>
      <w:r w:rsidRPr="00957C6E" w:rsidR="00D91BB0">
        <w:t>,</w:t>
      </w:r>
      <w:r w:rsidRPr="00957C6E" w:rsidR="001544AC">
        <w:t xml:space="preserve"> </w:t>
      </w:r>
      <w:r w:rsidRPr="00957C6E">
        <w:t xml:space="preserve">Loews </w:t>
      </w:r>
      <w:r w:rsidRPr="00957C6E" w:rsidR="00D91BB0">
        <w:t xml:space="preserve">did </w:t>
      </w:r>
      <w:r w:rsidRPr="00957C6E">
        <w:t xml:space="preserve">not </w:t>
      </w:r>
      <w:r w:rsidRPr="00957C6E" w:rsidR="008C1533">
        <w:t xml:space="preserve">factor these </w:t>
      </w:r>
      <w:r w:rsidRPr="00957C6E" w:rsidR="008C1533">
        <w:t xml:space="preserve">payments into the </w:t>
      </w:r>
      <w:r w:rsidRPr="00957C6E" w:rsidR="00D91BB0">
        <w:t xml:space="preserve">calculation </w:t>
      </w:r>
      <w:r w:rsidRPr="00957C6E">
        <w:t xml:space="preserve">of premium pay </w:t>
      </w:r>
      <w:r w:rsidRPr="00957C6E" w:rsidR="008C1533">
        <w:t>owed under section 226.7(c).</w:t>
      </w:r>
    </w:p>
    <w:p w:rsidR="005744BB" w:rsidRPr="00957C6E" w:rsidP="00957C6E">
      <w:pPr>
        <w:ind w:firstLine="720"/>
      </w:pPr>
      <w:r w:rsidRPr="00957C6E">
        <w:t>In 2015, Ferra filed a class action suit against Loews.</w:t>
      </w:r>
      <w:r w:rsidR="005A11D0">
        <w:t xml:space="preserve">  </w:t>
      </w:r>
      <w:r w:rsidRPr="00957C6E" w:rsidR="00002DDA">
        <w:t xml:space="preserve">Among </w:t>
      </w:r>
      <w:r w:rsidR="007B5974">
        <w:t>other</w:t>
      </w:r>
      <w:r w:rsidRPr="00957C6E" w:rsidR="007B5974">
        <w:t xml:space="preserve"> </w:t>
      </w:r>
      <w:r w:rsidRPr="00957C6E" w:rsidR="003B2BFF">
        <w:t>claims</w:t>
      </w:r>
      <w:r w:rsidRPr="00957C6E" w:rsidR="00002DDA">
        <w:t>, Ferra alleged that Loews</w:t>
      </w:r>
      <w:r w:rsidRPr="00957C6E" w:rsidR="00D36907">
        <w:t xml:space="preserve">, by omitting nondiscretionary incentive </w:t>
      </w:r>
      <w:r w:rsidRPr="00957C6E" w:rsidR="00936487">
        <w:t xml:space="preserve">payments </w:t>
      </w:r>
      <w:r w:rsidRPr="00957C6E" w:rsidR="00D36907">
        <w:t xml:space="preserve">from its calculation of premium pay, </w:t>
      </w:r>
      <w:r w:rsidRPr="00957C6E" w:rsidR="00D91BB0">
        <w:t xml:space="preserve">failed to pay her for noncompliant meal or rest breaks </w:t>
      </w:r>
      <w:r w:rsidRPr="00957C6E" w:rsidR="00FA6B11">
        <w:t>in accordance with her “regular rate of compensation” as required by section 226.7</w:t>
      </w:r>
      <w:r w:rsidRPr="00957C6E" w:rsidR="00D91BB0">
        <w:t>(c)</w:t>
      </w:r>
      <w:r w:rsidRPr="00957C6E" w:rsidR="00AA54BD">
        <w:t>.</w:t>
      </w:r>
      <w:r w:rsidRPr="00957C6E" w:rsidR="00D36907">
        <w:t xml:space="preserve">  </w:t>
      </w:r>
      <w:r w:rsidRPr="00957C6E" w:rsidR="00324AE9">
        <w:t>The trial court granted summary adjudication for Loews</w:t>
      </w:r>
      <w:r w:rsidRPr="00957C6E" w:rsidR="00D36907">
        <w:t xml:space="preserve"> on the ground that </w:t>
      </w:r>
      <w:r w:rsidRPr="00957C6E" w:rsidR="00D91BB0">
        <w:t>calculati</w:t>
      </w:r>
      <w:r w:rsidRPr="00957C6E" w:rsidR="006B1F11">
        <w:t>ng</w:t>
      </w:r>
      <w:r w:rsidRPr="00957C6E" w:rsidR="00D91BB0">
        <w:t xml:space="preserve"> premium pay</w:t>
      </w:r>
      <w:r w:rsidRPr="00957C6E" w:rsidR="00D063F7">
        <w:t xml:space="preserve"> </w:t>
      </w:r>
      <w:r w:rsidRPr="00957C6E" w:rsidR="00D91BB0">
        <w:t xml:space="preserve">according to </w:t>
      </w:r>
      <w:r w:rsidRPr="00957C6E" w:rsidR="003D6F33">
        <w:t>an employee’s base hourly rate</w:t>
      </w:r>
      <w:r w:rsidRPr="00957C6E" w:rsidR="00D91BB0">
        <w:t xml:space="preserve"> is proper under section 226.7(c)</w:t>
      </w:r>
      <w:r w:rsidRPr="00957C6E" w:rsidR="003D6F33">
        <w:t>.</w:t>
      </w:r>
      <w:r w:rsidRPr="00957C6E" w:rsidR="003A0BC7">
        <w:t xml:space="preserve">  </w:t>
      </w:r>
      <w:r w:rsidRPr="00957C6E" w:rsidR="00D36907">
        <w:t>The court agreed with Loews that “regular rate of compensation” in section 226.7(c) is “not interchangeable” with the term “regular rate of pay” under section 510(a), which governs overtime pay.</w:t>
      </w:r>
      <w:r w:rsidRPr="00957C6E" w:rsidR="003A0BC7">
        <w:t xml:space="preserve">  In light of this holding, the court </w:t>
      </w:r>
      <w:r w:rsidRPr="00957C6E" w:rsidR="006B1F11">
        <w:t xml:space="preserve">held </w:t>
      </w:r>
      <w:r w:rsidRPr="00957C6E" w:rsidR="003A0BC7">
        <w:t>that Loews’s due process challenge to section 226.7 was moot.</w:t>
      </w:r>
      <w:r w:rsidR="00833CAB">
        <w:t xml:space="preserve">  </w:t>
      </w:r>
      <w:r w:rsidRPr="00957C6E" w:rsidR="00695082">
        <w:t>The court granted summary judgment to Loews on Ferra’s remaining causes of action</w:t>
      </w:r>
      <w:r w:rsidRPr="00957C6E" w:rsidR="006B1F11">
        <w:t>.</w:t>
      </w:r>
    </w:p>
    <w:p w:rsidR="001716C9" w:rsidRPr="00957C6E" w:rsidP="00957C6E">
      <w:pPr>
        <w:ind w:firstLine="720"/>
      </w:pPr>
      <w:r w:rsidRPr="00957C6E">
        <w:t>The Court of Appeal affirmed</w:t>
      </w:r>
      <w:r w:rsidRPr="00957C6E" w:rsidR="00D36907">
        <w:t xml:space="preserve">, holding </w:t>
      </w:r>
      <w:r w:rsidRPr="00957C6E" w:rsidR="00CC2F74">
        <w:t xml:space="preserve">that “regular rate of compensation” </w:t>
      </w:r>
      <w:r w:rsidRPr="00957C6E" w:rsidR="000F582E">
        <w:t>in section 226.7(c) and “regular rate of pay” in section 510(a)</w:t>
      </w:r>
      <w:r w:rsidRPr="00957C6E" w:rsidR="00D36907">
        <w:t xml:space="preserve"> a</w:t>
      </w:r>
      <w:r w:rsidRPr="00957C6E" w:rsidR="000F582E">
        <w:t>re</w:t>
      </w:r>
      <w:r w:rsidRPr="00957C6E" w:rsidR="006D7311">
        <w:t xml:space="preserve"> </w:t>
      </w:r>
      <w:r w:rsidRPr="00957C6E" w:rsidR="00311EEC">
        <w:t>“not synonymous, and the premium for missed meal and rest periods is the employee’s base hourly wage.”</w:t>
      </w:r>
      <w:r w:rsidRPr="00957C6E" w:rsidR="00816B8A">
        <w:t xml:space="preserve">  </w:t>
      </w:r>
      <w:r w:rsidRPr="00957C6E" w:rsidR="00F2624C">
        <w:t>(</w:t>
      </w:r>
      <w:r w:rsidRPr="00957C6E" w:rsidR="00F2624C">
        <w:rPr>
          <w:i/>
          <w:iCs/>
        </w:rPr>
        <w:t>Ferra v. Loews Hollywood Hotel, LLC</w:t>
      </w:r>
      <w:r w:rsidRPr="00957C6E" w:rsidR="00F2624C">
        <w:t xml:space="preserve"> (2019) 40</w:t>
      </w:r>
      <w:r w:rsidRPr="00957C6E" w:rsidR="00FF3852">
        <w:t> </w:t>
      </w:r>
      <w:r w:rsidRPr="00957C6E" w:rsidR="00F2624C">
        <w:t>Cal.App.5th 1239, 1246 (</w:t>
      </w:r>
      <w:r w:rsidRPr="00957C6E" w:rsidR="00F2624C">
        <w:rPr>
          <w:i/>
          <w:iCs/>
        </w:rPr>
        <w:t>Ferra</w:t>
      </w:r>
      <w:r w:rsidRPr="00957C6E" w:rsidR="00F2624C">
        <w:t>)</w:t>
      </w:r>
      <w:r w:rsidRPr="00957C6E" w:rsidR="006B1F11">
        <w:t>.</w:t>
      </w:r>
      <w:r w:rsidRPr="00957C6E" w:rsidR="00F2624C">
        <w:t>)</w:t>
      </w:r>
      <w:r w:rsidR="00BE0EB0">
        <w:t xml:space="preserve">  </w:t>
      </w:r>
      <w:r w:rsidRPr="00957C6E" w:rsidR="002C588F">
        <w:t>Justice Edmon</w:t>
      </w:r>
      <w:r w:rsidRPr="00957C6E" w:rsidR="00AB3182">
        <w:t xml:space="preserve"> dissented</w:t>
      </w:r>
      <w:r w:rsidR="009D537B">
        <w:t xml:space="preserve"> on this point</w:t>
      </w:r>
      <w:r w:rsidRPr="00957C6E" w:rsidR="0008787A">
        <w:t>.</w:t>
      </w:r>
      <w:r w:rsidRPr="00957C6E" w:rsidR="007C61B1">
        <w:t xml:space="preserve">  </w:t>
      </w:r>
      <w:r w:rsidRPr="00957C6E" w:rsidR="006B1F11">
        <w:t xml:space="preserve">Tracing the history of </w:t>
      </w:r>
      <w:r w:rsidRPr="00957C6E" w:rsidR="00CF4DA2">
        <w:t>section</w:t>
      </w:r>
      <w:r w:rsidRPr="00957C6E" w:rsidR="006B1F11">
        <w:t>s</w:t>
      </w:r>
      <w:r w:rsidRPr="00957C6E" w:rsidR="00CF4DA2">
        <w:t xml:space="preserve"> </w:t>
      </w:r>
      <w:r w:rsidRPr="00957C6E" w:rsidR="006B1F11">
        <w:t xml:space="preserve">510(a) and </w:t>
      </w:r>
      <w:r w:rsidRPr="00957C6E" w:rsidR="00CF4DA2">
        <w:t>226.7</w:t>
      </w:r>
      <w:r w:rsidRPr="00957C6E" w:rsidR="00A9011C">
        <w:t>(c)</w:t>
      </w:r>
      <w:r w:rsidRPr="00957C6E" w:rsidR="006B1F11">
        <w:t xml:space="preserve"> and the meaning of “regular rate” in case law and legislative usage, she </w:t>
      </w:r>
      <w:r w:rsidRPr="00957C6E">
        <w:t xml:space="preserve">concluded </w:t>
      </w:r>
      <w:r w:rsidRPr="00957C6E" w:rsidR="001F0957">
        <w:t>that “</w:t>
      </w:r>
      <w:r w:rsidRPr="00957C6E">
        <w:t> ‘</w:t>
      </w:r>
      <w:r w:rsidRPr="00957C6E" w:rsidR="001F0957">
        <w:t>regular rate of compensation</w:t>
      </w:r>
      <w:r w:rsidRPr="00957C6E">
        <w:t>’ has the same meaning as</w:t>
      </w:r>
      <w:r w:rsidRPr="00957C6E" w:rsidR="001F0957">
        <w:t xml:space="preserve"> </w:t>
      </w:r>
      <w:r w:rsidRPr="00957C6E">
        <w:t>‘</w:t>
      </w:r>
      <w:r w:rsidRPr="00957C6E" w:rsidR="001F0957">
        <w:t>regular rate of pay</w:t>
      </w:r>
      <w:r w:rsidRPr="00957C6E">
        <w:t>,’</w:t>
      </w:r>
      <w:r w:rsidRPr="00957C6E" w:rsidR="001F0957">
        <w:t xml:space="preserve"> </w:t>
      </w:r>
      <w:r w:rsidRPr="00957C6E" w:rsidR="00AB3182">
        <w:t>and thus</w:t>
      </w:r>
      <w:r w:rsidRPr="00957C6E" w:rsidR="001F0957">
        <w:t xml:space="preserve"> </w:t>
      </w:r>
      <w:r w:rsidRPr="00957C6E">
        <w:t xml:space="preserve">. . . </w:t>
      </w:r>
      <w:r w:rsidRPr="00957C6E" w:rsidR="001F0957">
        <w:t>includes nondiscretionary bonuses ‘[that] are a normal and regular part of [an employee’s] income.’</w:t>
      </w:r>
      <w:r w:rsidRPr="00957C6E">
        <w:t> </w:t>
      </w:r>
      <w:r w:rsidRPr="00957C6E" w:rsidR="001F0957">
        <w:t>”</w:t>
      </w:r>
      <w:r w:rsidRPr="00957C6E" w:rsidR="003910E5">
        <w:t xml:space="preserve">  (</w:t>
      </w:r>
      <w:r w:rsidRPr="00957C6E" w:rsidR="003910E5">
        <w:rPr>
          <w:i/>
          <w:iCs/>
        </w:rPr>
        <w:t>Ferra</w:t>
      </w:r>
      <w:r w:rsidRPr="00957C6E" w:rsidR="003910E5">
        <w:t xml:space="preserve">, at p. 1255 </w:t>
      </w:r>
      <w:r w:rsidRPr="00957C6E" w:rsidR="001F0957">
        <w:t>(conc. &amp; dis. opn. of Edmon, P.</w:t>
      </w:r>
      <w:r w:rsidRPr="00957C6E" w:rsidR="005A3C58">
        <w:t> </w:t>
      </w:r>
      <w:r w:rsidRPr="00957C6E" w:rsidR="001F0957">
        <w:t>J.).</w:t>
      </w:r>
      <w:r w:rsidRPr="00957C6E" w:rsidR="000553CE">
        <w:t>)</w:t>
      </w:r>
    </w:p>
    <w:p w:rsidR="00B5175C" w:rsidRPr="00957C6E" w:rsidP="00957C6E">
      <w:pPr>
        <w:ind w:firstLine="720"/>
      </w:pPr>
      <w:r w:rsidRPr="00957C6E">
        <w:t>We granted review</w:t>
      </w:r>
      <w:r w:rsidRPr="00957C6E" w:rsidR="008D6642">
        <w:t>.</w:t>
      </w:r>
    </w:p>
    <w:p w:rsidR="00F15D81" w:rsidRPr="00957C6E" w:rsidP="000275F0">
      <w:pPr>
        <w:keepNext/>
        <w:tabs>
          <w:tab w:val="left" w:pos="1440"/>
        </w:tabs>
        <w:jc w:val="center"/>
        <w:rPr>
          <w:b/>
          <w:bCs/>
        </w:rPr>
      </w:pPr>
      <w:r w:rsidRPr="00AB3D1F">
        <w:rPr>
          <w:b/>
          <w:bCs/>
        </w:rPr>
        <w:t>II.</w:t>
      </w:r>
    </w:p>
    <w:p w:rsidR="001716C9" w:rsidRPr="00957C6E" w:rsidP="00957C6E">
      <w:pPr>
        <w:ind w:firstLine="720"/>
      </w:pPr>
      <w:r w:rsidRPr="00957C6E">
        <w:rPr>
          <w:szCs w:val="26"/>
        </w:rPr>
        <w:t xml:space="preserve">Section </w:t>
      </w:r>
      <w:r w:rsidRPr="00957C6E" w:rsidR="00B853F8">
        <w:rPr>
          <w:szCs w:val="26"/>
        </w:rPr>
        <w:t>226.7(c)</w:t>
      </w:r>
      <w:r w:rsidRPr="00957C6E">
        <w:rPr>
          <w:szCs w:val="26"/>
        </w:rPr>
        <w:t xml:space="preserve"> provides:</w:t>
      </w:r>
      <w:r w:rsidRPr="00957C6E" w:rsidR="0010101B">
        <w:rPr>
          <w:szCs w:val="26"/>
        </w:rPr>
        <w:t>  </w:t>
      </w:r>
      <w:r w:rsidRPr="00957C6E">
        <w:rPr>
          <w:szCs w:val="26"/>
        </w:rPr>
        <w:t>“</w:t>
      </w:r>
      <w:r w:rsidRPr="00957C6E">
        <w:rPr>
          <w:szCs w:val="26"/>
          <w:shd w:val="clear" w:color="auto" w:fill="FFFFFF"/>
        </w:rPr>
        <w:t>If an employer fails to provide an employee a meal or rest or recovery period in accordance with a state law,</w:t>
      </w:r>
      <w:r w:rsidRPr="00957C6E" w:rsidR="00375B75">
        <w:rPr>
          <w:szCs w:val="26"/>
        </w:rPr>
        <w:t xml:space="preserve"> </w:t>
      </w:r>
      <w:r w:rsidRPr="00957C6E">
        <w:rPr>
          <w:szCs w:val="26"/>
        </w:rPr>
        <w:t xml:space="preserve">. . . </w:t>
      </w:r>
      <w:r w:rsidRPr="00957C6E" w:rsidR="004005BE">
        <w:rPr>
          <w:szCs w:val="26"/>
        </w:rPr>
        <w:t xml:space="preserve">the employer </w:t>
      </w:r>
      <w:r w:rsidRPr="00957C6E" w:rsidR="004005BE">
        <w:rPr>
          <w:iCs/>
          <w:szCs w:val="26"/>
        </w:rPr>
        <w:t>shall pay the employee one additional hour of pay at the employee’s</w:t>
      </w:r>
      <w:r w:rsidRPr="00957C6E" w:rsidR="004005BE">
        <w:rPr>
          <w:i/>
          <w:iCs/>
          <w:szCs w:val="26"/>
        </w:rPr>
        <w:t xml:space="preserve"> </w:t>
      </w:r>
      <w:r w:rsidRPr="00957C6E" w:rsidR="004005BE">
        <w:rPr>
          <w:iCs/>
          <w:szCs w:val="26"/>
        </w:rPr>
        <w:t>regular rate of compensation</w:t>
      </w:r>
      <w:r w:rsidRPr="00957C6E" w:rsidR="004005BE">
        <w:rPr>
          <w:szCs w:val="26"/>
        </w:rPr>
        <w:t xml:space="preserve"> for each workday that the meal or rest or recovery period is not provided.”  </w:t>
      </w:r>
      <w:r w:rsidRPr="00957C6E" w:rsidR="00A40F19">
        <w:rPr>
          <w:szCs w:val="26"/>
        </w:rPr>
        <w:t xml:space="preserve">Similar </w:t>
      </w:r>
      <w:r w:rsidRPr="00957C6E" w:rsidR="004A3B93">
        <w:rPr>
          <w:szCs w:val="26"/>
        </w:rPr>
        <w:t xml:space="preserve">language </w:t>
      </w:r>
      <w:r w:rsidRPr="00957C6E" w:rsidR="00A40F19">
        <w:rPr>
          <w:szCs w:val="26"/>
        </w:rPr>
        <w:t xml:space="preserve">appears </w:t>
      </w:r>
      <w:r w:rsidRPr="00957C6E" w:rsidR="004A3B93">
        <w:rPr>
          <w:szCs w:val="26"/>
        </w:rPr>
        <w:t xml:space="preserve">in a wage order promulgated by the Industrial Welfare Commission (IWC).  (See </w:t>
      </w:r>
      <w:r w:rsidRPr="00957C6E" w:rsidR="004A3B93">
        <w:rPr>
          <w:i/>
          <w:szCs w:val="26"/>
        </w:rPr>
        <w:t>Augustus v. ABM Security Services, Inc.</w:t>
      </w:r>
      <w:r w:rsidRPr="00957C6E" w:rsidR="004A3B93">
        <w:rPr>
          <w:szCs w:val="26"/>
        </w:rPr>
        <w:t xml:space="preserve"> (2016) 2 Cal.5th 257, 262, fn. 5 [</w:t>
      </w:r>
      <w:r w:rsidRPr="00957C6E" w:rsidR="004A3B93">
        <w:t xml:space="preserve">IWC is </w:t>
      </w:r>
      <w:r w:rsidRPr="00957C6E" w:rsidR="0091299F">
        <w:t xml:space="preserve">empowered to promulgate </w:t>
      </w:r>
      <w:r w:rsidRPr="00957C6E" w:rsidR="004A3B93">
        <w:t>“legislative regulations specifying minimum requirements with respect to wages, hours, and working conditions”]</w:t>
      </w:r>
      <w:r w:rsidRPr="00957C6E" w:rsidR="004A3B93">
        <w:rPr>
          <w:szCs w:val="26"/>
        </w:rPr>
        <w:t xml:space="preserve">.)  </w:t>
      </w:r>
      <w:r w:rsidR="00902D22">
        <w:rPr>
          <w:szCs w:val="26"/>
        </w:rPr>
        <w:t xml:space="preserve">IWC </w:t>
      </w:r>
      <w:r w:rsidRPr="00957C6E" w:rsidR="00AE337D">
        <w:rPr>
          <w:szCs w:val="26"/>
        </w:rPr>
        <w:t xml:space="preserve">Wage </w:t>
      </w:r>
      <w:r w:rsidRPr="00957C6E" w:rsidR="00150F82">
        <w:rPr>
          <w:szCs w:val="26"/>
        </w:rPr>
        <w:t>o</w:t>
      </w:r>
      <w:r w:rsidRPr="00957C6E" w:rsidR="00AE337D">
        <w:rPr>
          <w:szCs w:val="26"/>
        </w:rPr>
        <w:t>rder No. 5</w:t>
      </w:r>
      <w:r w:rsidRPr="00957C6E" w:rsidR="00011E64">
        <w:rPr>
          <w:szCs w:val="26"/>
        </w:rPr>
        <w:t>-2001</w:t>
      </w:r>
      <w:r w:rsidRPr="00957C6E" w:rsidR="00AE337D">
        <w:rPr>
          <w:szCs w:val="26"/>
        </w:rPr>
        <w:t>, which applies to hotel</w:t>
      </w:r>
      <w:r w:rsidRPr="00957C6E" w:rsidR="00A40F19">
        <w:rPr>
          <w:szCs w:val="26"/>
        </w:rPr>
        <w:t xml:space="preserve"> worker</w:t>
      </w:r>
      <w:r w:rsidRPr="00957C6E" w:rsidR="00AE337D">
        <w:rPr>
          <w:szCs w:val="26"/>
        </w:rPr>
        <w:t>s, bar</w:t>
      </w:r>
      <w:r w:rsidRPr="00957C6E" w:rsidR="00A40F19">
        <w:rPr>
          <w:szCs w:val="26"/>
        </w:rPr>
        <w:t>tender</w:t>
      </w:r>
      <w:r w:rsidRPr="00957C6E" w:rsidR="00AE337D">
        <w:rPr>
          <w:szCs w:val="26"/>
        </w:rPr>
        <w:t xml:space="preserve">s, and similar </w:t>
      </w:r>
      <w:r w:rsidRPr="00957C6E" w:rsidR="007034DA">
        <w:rPr>
          <w:szCs w:val="26"/>
        </w:rPr>
        <w:t>workers</w:t>
      </w:r>
      <w:r w:rsidRPr="00957C6E" w:rsidR="00AE337D">
        <w:rPr>
          <w:szCs w:val="26"/>
        </w:rPr>
        <w:t xml:space="preserve">, </w:t>
      </w:r>
      <w:r w:rsidRPr="00957C6E" w:rsidR="004A3B93">
        <w:rPr>
          <w:szCs w:val="26"/>
        </w:rPr>
        <w:t>says that i</w:t>
      </w:r>
      <w:r w:rsidRPr="00957C6E" w:rsidR="00C8534C">
        <w:rPr>
          <w:szCs w:val="26"/>
        </w:rPr>
        <w:t>f an employer does not provide a compliant meal or rest period, “the employer shall pay the employee one (1) hour of pay at the employee’s regular rate of compensation for each work day that” the meal or rest period is not provided.  (</w:t>
      </w:r>
      <w:r w:rsidRPr="00957C6E" w:rsidR="004A3B93">
        <w:t>IWC wage order No. 5</w:t>
      </w:r>
      <w:r w:rsidRPr="00957C6E" w:rsidR="004A3B93">
        <w:noBreakHyphen/>
        <w:t xml:space="preserve">2001, </w:t>
      </w:r>
      <w:r w:rsidRPr="00957C6E" w:rsidR="00C8534C">
        <w:rPr>
          <w:szCs w:val="26"/>
        </w:rPr>
        <w:t>§§ 11</w:t>
      </w:r>
      <w:r w:rsidR="00902D22">
        <w:rPr>
          <w:szCs w:val="26"/>
        </w:rPr>
        <w:t xml:space="preserve">(B), </w:t>
      </w:r>
      <w:r w:rsidRPr="00957C6E" w:rsidR="00C8534C">
        <w:rPr>
          <w:szCs w:val="26"/>
        </w:rPr>
        <w:t>12</w:t>
      </w:r>
      <w:r w:rsidR="00902D22">
        <w:rPr>
          <w:szCs w:val="26"/>
        </w:rPr>
        <w:t>(B)</w:t>
      </w:r>
      <w:r w:rsidRPr="00957C6E" w:rsidR="002D4A8A">
        <w:rPr>
          <w:szCs w:val="26"/>
        </w:rPr>
        <w:t xml:space="preserve"> (Wage Order No.</w:t>
      </w:r>
      <w:r w:rsidRPr="00957C6E" w:rsidR="0010101B">
        <w:rPr>
          <w:szCs w:val="26"/>
        </w:rPr>
        <w:t> </w:t>
      </w:r>
      <w:r w:rsidRPr="00957C6E" w:rsidR="002D4A8A">
        <w:rPr>
          <w:szCs w:val="26"/>
        </w:rPr>
        <w:t>5</w:t>
      </w:r>
      <w:r w:rsidR="00902D22">
        <w:rPr>
          <w:szCs w:val="26"/>
        </w:rPr>
        <w:t>-2001</w:t>
      </w:r>
      <w:r w:rsidRPr="00957C6E" w:rsidR="002D4A8A">
        <w:rPr>
          <w:szCs w:val="26"/>
        </w:rPr>
        <w:t>)</w:t>
      </w:r>
      <w:r w:rsidRPr="00957C6E" w:rsidR="00375B75">
        <w:rPr>
          <w:szCs w:val="26"/>
        </w:rPr>
        <w:t xml:space="preserve">; see </w:t>
      </w:r>
      <w:r w:rsidRPr="00957C6E" w:rsidR="00375B75">
        <w:rPr>
          <w:i/>
          <w:szCs w:val="26"/>
        </w:rPr>
        <w:t>id.</w:t>
      </w:r>
      <w:r w:rsidRPr="00957C6E" w:rsidR="00375B75">
        <w:rPr>
          <w:szCs w:val="26"/>
        </w:rPr>
        <w:t>, § 2(P)(1)–(2)</w:t>
      </w:r>
      <w:r w:rsidRPr="00957C6E" w:rsidR="004A3B93">
        <w:rPr>
          <w:szCs w:val="26"/>
        </w:rPr>
        <w:t xml:space="preserve">; </w:t>
      </w:r>
      <w:r w:rsidRPr="00957C6E" w:rsidR="004A3B93">
        <w:rPr>
          <w:i/>
          <w:iCs/>
        </w:rPr>
        <w:t>Gerard v. Orange Coast Memorial Medical Center</w:t>
      </w:r>
      <w:r w:rsidRPr="00957C6E" w:rsidR="004A3B93">
        <w:t xml:space="preserve"> (2018) 6 Cal.5th 443, 448 (</w:t>
      </w:r>
      <w:r w:rsidRPr="00957C6E" w:rsidR="004A3B93">
        <w:rPr>
          <w:i/>
          <w:iCs/>
        </w:rPr>
        <w:t>Gerard</w:t>
      </w:r>
      <w:r w:rsidRPr="00957C6E" w:rsidR="004A3B93">
        <w:t>)</w:t>
      </w:r>
      <w:r w:rsidRPr="00957C6E" w:rsidR="004A3B93">
        <w:rPr>
          <w:szCs w:val="26"/>
        </w:rPr>
        <w:t xml:space="preserve"> [w</w:t>
      </w:r>
      <w:r w:rsidRPr="00957C6E">
        <w:t xml:space="preserve">age and hour claims, </w:t>
      </w:r>
      <w:r w:rsidRPr="00957C6E" w:rsidR="004A3B93">
        <w:t xml:space="preserve">including meal and rest break claims, </w:t>
      </w:r>
      <w:r w:rsidRPr="00957C6E">
        <w:t>“are ‘governed by two complementary and occasionally overlapping sources of authority</w:t>
      </w:r>
      <w:r w:rsidRPr="00957C6E" w:rsidR="004A3B93">
        <w:t>,</w:t>
      </w:r>
      <w:r w:rsidRPr="00957C6E" w:rsidR="00881441">
        <w:t>’ </w:t>
      </w:r>
      <w:r w:rsidRPr="00957C6E" w:rsidR="004A3B93">
        <w:t>” i.e., the Labor Code and wage orders]</w:t>
      </w:r>
      <w:r w:rsidRPr="00957C6E">
        <w:t>.)</w:t>
      </w:r>
    </w:p>
    <w:p w:rsidR="00B27504" w:rsidRPr="00957C6E" w:rsidP="00957C6E">
      <w:pPr>
        <w:ind w:firstLine="720"/>
      </w:pPr>
      <w:r w:rsidRPr="00957C6E">
        <w:rPr>
          <w:szCs w:val="26"/>
        </w:rPr>
        <w:t>“ ‘When construing the Labor Code and wage orders, we adopt the construction that best gives effect to the purpose of the Legislature and the IWC.</w:t>
      </w:r>
      <w:r w:rsidR="00767E47">
        <w:rPr>
          <w:szCs w:val="26"/>
        </w:rPr>
        <w:t> </w:t>
      </w:r>
      <w:r w:rsidR="00AB3D1F">
        <w:rPr>
          <w:szCs w:val="26"/>
        </w:rPr>
        <w:t>.</w:t>
      </w:r>
      <w:r w:rsidR="00767E47">
        <w:rPr>
          <w:szCs w:val="26"/>
        </w:rPr>
        <w:t> </w:t>
      </w:r>
      <w:r w:rsidR="00AB3D1F">
        <w:rPr>
          <w:szCs w:val="26"/>
        </w:rPr>
        <w:t>.</w:t>
      </w:r>
      <w:r w:rsidR="00767E47">
        <w:rPr>
          <w:szCs w:val="26"/>
        </w:rPr>
        <w:t> </w:t>
      </w:r>
      <w:r w:rsidR="00AB3D1F">
        <w:rPr>
          <w:szCs w:val="26"/>
        </w:rPr>
        <w:t>.</w:t>
      </w:r>
      <w:r w:rsidRPr="00957C6E" w:rsidR="003163FD">
        <w:rPr>
          <w:szCs w:val="26"/>
        </w:rPr>
        <w:t xml:space="preserve">  Time and again, we have characterized that purpose as the protection of employees</w:t>
      </w:r>
      <w:r w:rsidRPr="00957C6E" w:rsidR="00653AE8">
        <w:rPr>
          <w:szCs w:val="26"/>
        </w:rPr>
        <w:t> </w:t>
      </w:r>
      <w:r w:rsidRPr="00957C6E" w:rsidR="003163FD">
        <w:rPr>
          <w:szCs w:val="26"/>
        </w:rPr>
        <w:t>—</w:t>
      </w:r>
      <w:r w:rsidR="00AC1968">
        <w:rPr>
          <w:szCs w:val="26"/>
        </w:rPr>
        <w:t xml:space="preserve"> </w:t>
      </w:r>
      <w:r w:rsidRPr="00957C6E" w:rsidR="003163FD">
        <w:rPr>
          <w:szCs w:val="26"/>
        </w:rPr>
        <w:t xml:space="preserve">particularly given the extent of legislative concern about </w:t>
      </w:r>
      <w:r w:rsidRPr="00957C6E" w:rsidR="003163FD">
        <w:rPr>
          <w:szCs w:val="26"/>
        </w:rPr>
        <w:t>working conditions, wages, and hours when the Legislature enacted key portions of the Labor Code</w:t>
      </w:r>
      <w:r w:rsidR="00AB3D1F">
        <w:rPr>
          <w:szCs w:val="26"/>
        </w:rPr>
        <w:t>.</w:t>
      </w:r>
      <w:r w:rsidR="00767E47">
        <w:rPr>
          <w:szCs w:val="26"/>
        </w:rPr>
        <w:t> </w:t>
      </w:r>
      <w:r w:rsidR="00AB3D1F">
        <w:rPr>
          <w:szCs w:val="26"/>
        </w:rPr>
        <w:t>.</w:t>
      </w:r>
      <w:r w:rsidR="00767E47">
        <w:rPr>
          <w:szCs w:val="26"/>
        </w:rPr>
        <w:t> </w:t>
      </w:r>
      <w:r w:rsidR="00AB3D1F">
        <w:rPr>
          <w:szCs w:val="26"/>
        </w:rPr>
        <w:t>.</w:t>
      </w:r>
      <w:r w:rsidR="00767E47">
        <w:rPr>
          <w:szCs w:val="26"/>
        </w:rPr>
        <w:t> </w:t>
      </w:r>
      <w:r w:rsidR="00AB3D1F">
        <w:rPr>
          <w:szCs w:val="26"/>
        </w:rPr>
        <w:t>.</w:t>
      </w:r>
      <w:r w:rsidRPr="00957C6E" w:rsidR="003163FD">
        <w:rPr>
          <w:szCs w:val="26"/>
        </w:rPr>
        <w:t xml:space="preserve">  In furtherance of that purpose, we liberally construe the Labor Code and wage orders to favor the protection of employees.’ ”</w:t>
      </w:r>
      <w:r w:rsidRPr="00957C6E">
        <w:rPr>
          <w:szCs w:val="26"/>
        </w:rPr>
        <w:t xml:space="preserve">  (</w:t>
      </w:r>
      <w:r w:rsidRPr="00957C6E">
        <w:rPr>
          <w:i/>
          <w:iCs/>
          <w:szCs w:val="26"/>
        </w:rPr>
        <w:t>Troester v. Starbucks Corp.</w:t>
      </w:r>
      <w:r w:rsidRPr="00957C6E">
        <w:rPr>
          <w:szCs w:val="26"/>
        </w:rPr>
        <w:t xml:space="preserve"> (2018) 5 Cal.5th 829, 839</w:t>
      </w:r>
      <w:r w:rsidRPr="00957C6E" w:rsidR="003163FD">
        <w:rPr>
          <w:szCs w:val="26"/>
        </w:rPr>
        <w:t>, citations omitted</w:t>
      </w:r>
      <w:r w:rsidRPr="00957C6E">
        <w:rPr>
          <w:szCs w:val="26"/>
        </w:rPr>
        <w:t xml:space="preserve">.)  </w:t>
      </w:r>
      <w:r w:rsidRPr="00957C6E" w:rsidR="003163FD">
        <w:rPr>
          <w:szCs w:val="26"/>
        </w:rPr>
        <w:t xml:space="preserve">In construing a statute or wage order whose language </w:t>
      </w:r>
      <w:r w:rsidRPr="00957C6E" w:rsidR="003163FD">
        <w:t>is susceptible of more than one reasonable interpretation, we consider “the ostensible objectives to be achieved by the statute, the evils to be remedied, the legislative history, public policy, contemporaneous administrative construction and the statutory scheme of which the statute is a part.”  (</w:t>
      </w:r>
      <w:r w:rsidRPr="00957C6E" w:rsidR="003163FD">
        <w:rPr>
          <w:i/>
          <w:iCs/>
        </w:rPr>
        <w:t>Murphy v. Kenneth Cole Productions, Inc.</w:t>
      </w:r>
      <w:r w:rsidRPr="00957C6E" w:rsidR="003163FD">
        <w:t xml:space="preserve"> (2007) 40 Cal.4th 1094, 1105 (</w:t>
      </w:r>
      <w:r w:rsidRPr="00957C6E" w:rsidR="003163FD">
        <w:rPr>
          <w:i/>
          <w:iCs/>
        </w:rPr>
        <w:t>Murphy</w:t>
      </w:r>
      <w:r w:rsidRPr="00957C6E" w:rsidR="003163FD">
        <w:t>).)</w:t>
      </w:r>
    </w:p>
    <w:p w:rsidR="000F13A5" w:rsidRPr="00957C6E" w:rsidP="00957C6E">
      <w:pPr>
        <w:ind w:firstLine="720"/>
      </w:pPr>
      <w:r w:rsidRPr="00957C6E">
        <w:t xml:space="preserve">The question is what the Legislature </w:t>
      </w:r>
      <w:r w:rsidRPr="00957C6E" w:rsidR="00375B75">
        <w:t xml:space="preserve">meant </w:t>
      </w:r>
      <w:r w:rsidRPr="00957C6E">
        <w:t xml:space="preserve">when it </w:t>
      </w:r>
      <w:r w:rsidRPr="00957C6E" w:rsidR="00991EA4">
        <w:t>used the phrase “regular rate of compensation” in section 226.7(c).</w:t>
      </w:r>
      <w:r w:rsidRPr="00957C6E" w:rsidR="00A35119">
        <w:t xml:space="preserve">  Neither the Labor Code nor </w:t>
      </w:r>
      <w:r w:rsidR="00902D22">
        <w:t>Wage Order No. 5-2001</w:t>
      </w:r>
      <w:r w:rsidRPr="00957C6E" w:rsidR="00A35119">
        <w:t xml:space="preserve"> defines the term, and the words by themselves may reasonably be construed to mean either hourly wages, as Lo</w:t>
      </w:r>
      <w:r w:rsidRPr="00957C6E" w:rsidR="00F51A94">
        <w:t>e</w:t>
      </w:r>
      <w:r w:rsidRPr="00957C6E" w:rsidR="00A35119">
        <w:t xml:space="preserve">ws contends, or hourly wages plus nondiscretionary </w:t>
      </w:r>
      <w:r w:rsidRPr="00957C6E" w:rsidR="00943C74">
        <w:t>payments</w:t>
      </w:r>
      <w:r w:rsidRPr="00957C6E" w:rsidR="00A35119">
        <w:t xml:space="preserve">, as Ferra contends.  </w:t>
      </w:r>
      <w:r w:rsidRPr="00957C6E" w:rsidR="00A40F19">
        <w:t>Central to t</w:t>
      </w:r>
      <w:r w:rsidRPr="00957C6E" w:rsidR="00A35119">
        <w:t xml:space="preserve">he </w:t>
      </w:r>
      <w:r w:rsidRPr="00957C6E" w:rsidR="00B27504">
        <w:t xml:space="preserve">parties’ </w:t>
      </w:r>
      <w:r w:rsidRPr="00957C6E" w:rsidR="00A35119">
        <w:t xml:space="preserve">dispute </w:t>
      </w:r>
      <w:r w:rsidRPr="00957C6E" w:rsidR="00A40F19">
        <w:t xml:space="preserve">is </w:t>
      </w:r>
      <w:r w:rsidRPr="00957C6E" w:rsidR="00A35119">
        <w:t xml:space="preserve">a comparison </w:t>
      </w:r>
      <w:r w:rsidRPr="00957C6E" w:rsidR="00A40F19">
        <w:t xml:space="preserve">of the term </w:t>
      </w:r>
      <w:r w:rsidRPr="00957C6E" w:rsidR="009A4586">
        <w:t>“regular rate of compensation” in section 226.7(c)</w:t>
      </w:r>
      <w:r w:rsidRPr="00957C6E" w:rsidR="00383257">
        <w:t>, which addresses premium pay for meal</w:t>
      </w:r>
      <w:r w:rsidRPr="00957C6E" w:rsidR="00E819EB">
        <w:t>, rest, or recovery period</w:t>
      </w:r>
      <w:r w:rsidRPr="00957C6E" w:rsidR="00383257">
        <w:t xml:space="preserve"> violations,</w:t>
      </w:r>
      <w:r w:rsidRPr="00957C6E" w:rsidR="009A4586">
        <w:t xml:space="preserve"> </w:t>
      </w:r>
      <w:r w:rsidRPr="00957C6E" w:rsidR="00A40F19">
        <w:t xml:space="preserve">with </w:t>
      </w:r>
      <w:r w:rsidRPr="00957C6E" w:rsidR="009A4586">
        <w:t xml:space="preserve">the </w:t>
      </w:r>
      <w:r w:rsidRPr="00957C6E" w:rsidR="00A40F19">
        <w:t xml:space="preserve">term </w:t>
      </w:r>
      <w:r w:rsidRPr="00957C6E" w:rsidR="009A4586">
        <w:t>“regular rate of pay” in section 510(a)</w:t>
      </w:r>
      <w:r w:rsidRPr="00957C6E" w:rsidR="00383257">
        <w:t>, which addresses overtime pay</w:t>
      </w:r>
      <w:r w:rsidRPr="00957C6E" w:rsidR="009A4586">
        <w:t>.</w:t>
      </w:r>
      <w:r w:rsidRPr="00957C6E" w:rsidR="00EB68A4">
        <w:t xml:space="preserve">  </w:t>
      </w:r>
      <w:r w:rsidRPr="00957C6E" w:rsidR="00A40F19">
        <w:t>D</w:t>
      </w:r>
      <w:r w:rsidRPr="00957C6E" w:rsidR="00BC6248">
        <w:t xml:space="preserve">id </w:t>
      </w:r>
      <w:r w:rsidRPr="00957C6E" w:rsidR="00EE0E5E">
        <w:t xml:space="preserve">the Legislature intend “regular rate of compensation” to </w:t>
      </w:r>
      <w:r w:rsidRPr="00957C6E" w:rsidR="00BC6248">
        <w:t>be synonymous with “regular rate of pay</w:t>
      </w:r>
      <w:r w:rsidRPr="00957C6E" w:rsidR="009A4586">
        <w:t>,</w:t>
      </w:r>
      <w:r w:rsidRPr="00957C6E" w:rsidR="00BC6248">
        <w:t xml:space="preserve">” </w:t>
      </w:r>
      <w:r w:rsidRPr="00957C6E" w:rsidR="00383257">
        <w:t xml:space="preserve">a term </w:t>
      </w:r>
      <w:r w:rsidRPr="00957C6E" w:rsidR="0091299F">
        <w:t xml:space="preserve">long understood to </w:t>
      </w:r>
      <w:r w:rsidRPr="00957C6E" w:rsidR="009A4586">
        <w:t xml:space="preserve">encompass </w:t>
      </w:r>
      <w:r w:rsidRPr="00957C6E" w:rsidR="00BC6248">
        <w:t xml:space="preserve">not only </w:t>
      </w:r>
      <w:r w:rsidRPr="00957C6E" w:rsidR="009A4586">
        <w:t xml:space="preserve">hourly </w:t>
      </w:r>
      <w:r w:rsidRPr="00957C6E" w:rsidR="00BC6248">
        <w:t xml:space="preserve">wages but also nondiscretionary </w:t>
      </w:r>
      <w:r w:rsidRPr="00957C6E" w:rsidR="006A5134">
        <w:t>payments</w:t>
      </w:r>
      <w:r w:rsidRPr="00957C6E" w:rsidR="00BC6248">
        <w:t>?</w:t>
      </w:r>
    </w:p>
    <w:p w:rsidR="00A35119" w:rsidP="00957C6E">
      <w:pPr>
        <w:ind w:firstLine="720"/>
        <w:rPr>
          <w:color w:val="000000"/>
          <w:szCs w:val="26"/>
          <w:shd w:val="clear" w:color="auto" w:fill="FFFFFF"/>
          <w:lang w:eastAsia="zh-CN"/>
        </w:rPr>
      </w:pPr>
      <w:r w:rsidRPr="00957C6E">
        <w:rPr>
          <w:szCs w:val="26"/>
        </w:rPr>
        <w:t xml:space="preserve">The Court of Appeal </w:t>
      </w:r>
      <w:r w:rsidRPr="00957C6E" w:rsidR="003C21F8">
        <w:rPr>
          <w:szCs w:val="26"/>
        </w:rPr>
        <w:t xml:space="preserve">answered no, relying </w:t>
      </w:r>
      <w:r w:rsidRPr="00957C6E">
        <w:rPr>
          <w:szCs w:val="26"/>
        </w:rPr>
        <w:t xml:space="preserve">on the </w:t>
      </w:r>
      <w:r w:rsidRPr="00957C6E" w:rsidR="00F67965">
        <w:rPr>
          <w:szCs w:val="26"/>
        </w:rPr>
        <w:t xml:space="preserve">principle </w:t>
      </w:r>
      <w:r w:rsidRPr="00957C6E" w:rsidR="003C21F8">
        <w:rPr>
          <w:szCs w:val="26"/>
        </w:rPr>
        <w:t>that “ ‘[w]</w:t>
      </w:r>
      <w:r w:rsidRPr="00957C6E" w:rsidR="003C21F8">
        <w:rPr>
          <w:szCs w:val="26"/>
          <w:shd w:val="clear" w:color="auto" w:fill="FFFFFF"/>
        </w:rPr>
        <w:t>here different words or phrases are used in the same connection in different parts of a statute, it is presumed the Legislature intended a different meaning.’ ”  (</w:t>
      </w:r>
      <w:r w:rsidRPr="00957C6E" w:rsidR="003C21F8">
        <w:rPr>
          <w:i/>
          <w:szCs w:val="26"/>
          <w:shd w:val="clear" w:color="auto" w:fill="FFFFFF"/>
        </w:rPr>
        <w:t>Ferra</w:t>
      </w:r>
      <w:r w:rsidRPr="00957C6E" w:rsidR="003C21F8">
        <w:rPr>
          <w:szCs w:val="26"/>
          <w:shd w:val="clear" w:color="auto" w:fill="FFFFFF"/>
        </w:rPr>
        <w:t xml:space="preserve">, </w:t>
      </w:r>
      <w:r w:rsidRPr="00957C6E" w:rsidR="003C21F8">
        <w:rPr>
          <w:i/>
          <w:szCs w:val="26"/>
          <w:shd w:val="clear" w:color="auto" w:fill="FFFFFF"/>
        </w:rPr>
        <w:t>supra</w:t>
      </w:r>
      <w:r w:rsidRPr="00957C6E" w:rsidR="003C21F8">
        <w:rPr>
          <w:szCs w:val="26"/>
          <w:shd w:val="clear" w:color="auto" w:fill="FFFFFF"/>
        </w:rPr>
        <w:t xml:space="preserve">, 40 Cal.App.5th at p. 1247.)  But another </w:t>
      </w:r>
      <w:r w:rsidRPr="00957C6E" w:rsidR="00F67965">
        <w:rPr>
          <w:szCs w:val="26"/>
          <w:shd w:val="clear" w:color="auto" w:fill="FFFFFF"/>
        </w:rPr>
        <w:t>principle of construction</w:t>
      </w:r>
      <w:r w:rsidRPr="00957C6E" w:rsidR="003C21F8">
        <w:rPr>
          <w:szCs w:val="26"/>
          <w:shd w:val="clear" w:color="auto" w:fill="FFFFFF"/>
        </w:rPr>
        <w:t xml:space="preserve"> provides that </w:t>
      </w:r>
      <w:r w:rsidRPr="00957C6E" w:rsidR="00F67965">
        <w:rPr>
          <w:szCs w:val="26"/>
        </w:rPr>
        <w:t>“</w:t>
      </w:r>
      <w:r w:rsidRPr="00957C6E" w:rsidR="003C21F8">
        <w:rPr>
          <w:color w:val="000000"/>
          <w:szCs w:val="26"/>
          <w:shd w:val="clear" w:color="auto" w:fill="FFFFFF"/>
          <w:lang w:eastAsia="zh-CN"/>
        </w:rPr>
        <w:t>where statutes use synonymous words or phrases interchangeably, those words or phrases should be understood to have the same meaning.</w:t>
      </w:r>
      <w:r w:rsidRPr="00957C6E" w:rsidR="00F67965">
        <w:rPr>
          <w:color w:val="000000"/>
          <w:szCs w:val="26"/>
          <w:shd w:val="clear" w:color="auto" w:fill="FFFFFF"/>
          <w:lang w:eastAsia="zh-CN"/>
        </w:rPr>
        <w:t>”  (</w:t>
      </w:r>
      <w:r w:rsidRPr="00957C6E" w:rsidR="00F67965">
        <w:rPr>
          <w:i/>
          <w:color w:val="000000"/>
          <w:szCs w:val="26"/>
          <w:shd w:val="clear" w:color="auto" w:fill="FFFFFF"/>
          <w:lang w:eastAsia="zh-CN"/>
        </w:rPr>
        <w:t>Id.</w:t>
      </w:r>
      <w:r w:rsidRPr="00957C6E" w:rsidR="00F67965">
        <w:rPr>
          <w:color w:val="000000"/>
          <w:szCs w:val="26"/>
          <w:shd w:val="clear" w:color="auto" w:fill="FFFFFF"/>
          <w:lang w:eastAsia="zh-CN"/>
        </w:rPr>
        <w:t xml:space="preserve"> at p. 1256 (conc. &amp; dis. opn. of Edmon, P.</w:t>
      </w:r>
      <w:r w:rsidRPr="00957C6E" w:rsidR="008E49FA">
        <w:rPr>
          <w:color w:val="000000"/>
          <w:szCs w:val="26"/>
          <w:shd w:val="clear" w:color="auto" w:fill="FFFFFF"/>
          <w:lang w:eastAsia="zh-CN"/>
        </w:rPr>
        <w:t> </w:t>
      </w:r>
      <w:r w:rsidRPr="00957C6E" w:rsidR="00F67965">
        <w:rPr>
          <w:color w:val="000000"/>
          <w:szCs w:val="26"/>
          <w:shd w:val="clear" w:color="auto" w:fill="FFFFFF"/>
          <w:lang w:eastAsia="zh-CN"/>
        </w:rPr>
        <w:t xml:space="preserve">J.); see </w:t>
      </w:r>
      <w:r w:rsidRPr="00957C6E" w:rsidR="00F67965">
        <w:rPr>
          <w:i/>
          <w:color w:val="000000"/>
          <w:szCs w:val="26"/>
          <w:shd w:val="clear" w:color="auto" w:fill="FFFFFF"/>
          <w:lang w:eastAsia="zh-CN"/>
        </w:rPr>
        <w:t>id.</w:t>
      </w:r>
      <w:r w:rsidRPr="00957C6E" w:rsidR="00F67965">
        <w:rPr>
          <w:color w:val="000000"/>
          <w:szCs w:val="26"/>
          <w:shd w:val="clear" w:color="auto" w:fill="FFFFFF"/>
          <w:lang w:eastAsia="zh-CN"/>
        </w:rPr>
        <w:t xml:space="preserve"> at p. 1266 [collecting cases].)  </w:t>
      </w:r>
      <w:r w:rsidRPr="00957C6E" w:rsidR="00C84949">
        <w:rPr>
          <w:color w:val="000000"/>
          <w:szCs w:val="26"/>
          <w:shd w:val="clear" w:color="auto" w:fill="FFFFFF"/>
          <w:lang w:eastAsia="zh-CN"/>
        </w:rPr>
        <w:t>S</w:t>
      </w:r>
      <w:r w:rsidRPr="00957C6E" w:rsidR="00F67965">
        <w:rPr>
          <w:color w:val="000000"/>
          <w:szCs w:val="26"/>
          <w:shd w:val="clear" w:color="auto" w:fill="FFFFFF"/>
          <w:lang w:eastAsia="zh-CN"/>
        </w:rPr>
        <w:t xml:space="preserve">ection 226.7(c) and </w:t>
      </w:r>
      <w:r w:rsidRPr="00957C6E" w:rsidR="00C84949">
        <w:rPr>
          <w:color w:val="000000"/>
          <w:szCs w:val="26"/>
          <w:shd w:val="clear" w:color="auto" w:fill="FFFFFF"/>
          <w:lang w:eastAsia="zh-CN"/>
        </w:rPr>
        <w:t xml:space="preserve">section </w:t>
      </w:r>
      <w:r w:rsidRPr="00957C6E" w:rsidR="00F67965">
        <w:rPr>
          <w:color w:val="000000"/>
          <w:szCs w:val="26"/>
          <w:shd w:val="clear" w:color="auto" w:fill="FFFFFF"/>
          <w:lang w:eastAsia="zh-CN"/>
        </w:rPr>
        <w:t xml:space="preserve">510(a) both use the term “regular rate,” and </w:t>
      </w:r>
      <w:r w:rsidRPr="00957C6E" w:rsidR="00A40F19">
        <w:rPr>
          <w:color w:val="000000"/>
          <w:szCs w:val="26"/>
          <w:shd w:val="clear" w:color="auto" w:fill="FFFFFF"/>
          <w:lang w:eastAsia="zh-CN"/>
        </w:rPr>
        <w:t>t</w:t>
      </w:r>
      <w:r w:rsidRPr="00957C6E" w:rsidR="00C84949">
        <w:rPr>
          <w:color w:val="000000"/>
          <w:szCs w:val="26"/>
          <w:shd w:val="clear" w:color="auto" w:fill="FFFFFF"/>
          <w:lang w:eastAsia="zh-CN"/>
        </w:rPr>
        <w:t xml:space="preserve">he history of these provisions shows that “regular rate” is </w:t>
      </w:r>
      <w:r w:rsidRPr="00957C6E" w:rsidR="00B2224B">
        <w:rPr>
          <w:color w:val="000000"/>
          <w:szCs w:val="26"/>
          <w:shd w:val="clear" w:color="auto" w:fill="FFFFFF"/>
          <w:lang w:eastAsia="zh-CN"/>
        </w:rPr>
        <w:t xml:space="preserve">a </w:t>
      </w:r>
      <w:r w:rsidRPr="00957C6E" w:rsidR="00C84949">
        <w:rPr>
          <w:color w:val="000000"/>
          <w:szCs w:val="26"/>
          <w:shd w:val="clear" w:color="auto" w:fill="FFFFFF"/>
          <w:lang w:eastAsia="zh-CN"/>
        </w:rPr>
        <w:t>term of art encompass</w:t>
      </w:r>
      <w:r w:rsidRPr="00957C6E" w:rsidR="00B2224B">
        <w:rPr>
          <w:color w:val="000000"/>
          <w:szCs w:val="26"/>
          <w:shd w:val="clear" w:color="auto" w:fill="FFFFFF"/>
          <w:lang w:eastAsia="zh-CN"/>
        </w:rPr>
        <w:t>ing</w:t>
      </w:r>
      <w:r w:rsidRPr="00957C6E" w:rsidR="00C84949">
        <w:rPr>
          <w:color w:val="000000"/>
          <w:szCs w:val="26"/>
          <w:shd w:val="clear" w:color="auto" w:fill="FFFFFF"/>
          <w:lang w:eastAsia="zh-CN"/>
        </w:rPr>
        <w:t xml:space="preserve"> not only hourly wages but also nondiscretionary </w:t>
      </w:r>
      <w:r w:rsidRPr="00957C6E" w:rsidR="006A5134">
        <w:rPr>
          <w:color w:val="000000"/>
          <w:szCs w:val="26"/>
          <w:shd w:val="clear" w:color="auto" w:fill="FFFFFF"/>
          <w:lang w:eastAsia="zh-CN"/>
        </w:rPr>
        <w:t>payments</w:t>
      </w:r>
      <w:r w:rsidRPr="00957C6E" w:rsidR="00B2224B">
        <w:rPr>
          <w:color w:val="000000"/>
          <w:szCs w:val="26"/>
          <w:shd w:val="clear" w:color="auto" w:fill="FFFFFF"/>
          <w:lang w:eastAsia="zh-CN"/>
        </w:rPr>
        <w:t xml:space="preserve">. </w:t>
      </w:r>
      <w:r w:rsidRPr="00957C6E" w:rsidR="00C84949">
        <w:rPr>
          <w:color w:val="000000"/>
          <w:szCs w:val="26"/>
          <w:shd w:val="clear" w:color="auto" w:fill="FFFFFF"/>
          <w:lang w:eastAsia="zh-CN"/>
        </w:rPr>
        <w:t xml:space="preserve"> </w:t>
      </w:r>
      <w:r w:rsidRPr="00957C6E" w:rsidR="00A40F19">
        <w:rPr>
          <w:color w:val="000000"/>
          <w:szCs w:val="26"/>
          <w:shd w:val="clear" w:color="auto" w:fill="FFFFFF"/>
          <w:lang w:eastAsia="zh-CN"/>
        </w:rPr>
        <w:t xml:space="preserve">Further, as explained below, the words “compensation” and “pay” appear interchangeably in legislative and judicial usage, and </w:t>
      </w:r>
      <w:r w:rsidRPr="00957C6E" w:rsidR="009A4586">
        <w:rPr>
          <w:color w:val="000000"/>
          <w:szCs w:val="26"/>
          <w:shd w:val="clear" w:color="auto" w:fill="FFFFFF"/>
          <w:lang w:eastAsia="zh-CN"/>
        </w:rPr>
        <w:t>w</w:t>
      </w:r>
      <w:r w:rsidRPr="00957C6E" w:rsidR="00C84949">
        <w:rPr>
          <w:color w:val="000000"/>
          <w:szCs w:val="26"/>
          <w:shd w:val="clear" w:color="auto" w:fill="FFFFFF"/>
          <w:lang w:eastAsia="zh-CN"/>
        </w:rPr>
        <w:t xml:space="preserve">e find no indication that the Legislature intended </w:t>
      </w:r>
      <w:r w:rsidRPr="00957C6E" w:rsidR="003163FD">
        <w:rPr>
          <w:color w:val="000000"/>
          <w:szCs w:val="26"/>
          <w:shd w:val="clear" w:color="auto" w:fill="FFFFFF"/>
          <w:lang w:eastAsia="zh-CN"/>
        </w:rPr>
        <w:t>“</w:t>
      </w:r>
      <w:r w:rsidRPr="00957C6E" w:rsidR="002D4A8A">
        <w:rPr>
          <w:color w:val="000000"/>
          <w:szCs w:val="26"/>
          <w:shd w:val="clear" w:color="auto" w:fill="FFFFFF"/>
          <w:lang w:eastAsia="zh-CN"/>
        </w:rPr>
        <w:t xml:space="preserve">regular rate </w:t>
      </w:r>
      <w:r w:rsidRPr="00957C6E" w:rsidR="003163FD">
        <w:rPr>
          <w:color w:val="000000"/>
          <w:szCs w:val="26"/>
          <w:shd w:val="clear" w:color="auto" w:fill="FFFFFF"/>
          <w:lang w:eastAsia="zh-CN"/>
        </w:rPr>
        <w:t xml:space="preserve">of pay” in section 510(a) </w:t>
      </w:r>
      <w:r w:rsidRPr="00957C6E" w:rsidR="002D4A8A">
        <w:rPr>
          <w:color w:val="000000"/>
          <w:szCs w:val="26"/>
          <w:shd w:val="clear" w:color="auto" w:fill="FFFFFF"/>
          <w:lang w:eastAsia="zh-CN"/>
        </w:rPr>
        <w:t xml:space="preserve">and </w:t>
      </w:r>
      <w:r w:rsidRPr="00957C6E" w:rsidR="00C84949">
        <w:rPr>
          <w:color w:val="000000"/>
          <w:szCs w:val="26"/>
          <w:shd w:val="clear" w:color="auto" w:fill="FFFFFF"/>
          <w:lang w:eastAsia="zh-CN"/>
        </w:rPr>
        <w:t>“</w:t>
      </w:r>
      <w:r w:rsidRPr="00957C6E" w:rsidR="002D4A8A">
        <w:rPr>
          <w:color w:val="000000"/>
          <w:szCs w:val="26"/>
          <w:shd w:val="clear" w:color="auto" w:fill="FFFFFF"/>
          <w:lang w:eastAsia="zh-CN"/>
        </w:rPr>
        <w:t xml:space="preserve">regular rate </w:t>
      </w:r>
      <w:r w:rsidRPr="00957C6E" w:rsidR="00C84949">
        <w:rPr>
          <w:color w:val="000000"/>
          <w:szCs w:val="26"/>
          <w:shd w:val="clear" w:color="auto" w:fill="FFFFFF"/>
          <w:lang w:eastAsia="zh-CN"/>
        </w:rPr>
        <w:t>of compensation”</w:t>
      </w:r>
      <w:r w:rsidRPr="00957C6E">
        <w:rPr>
          <w:color w:val="000000"/>
          <w:szCs w:val="26"/>
          <w:shd w:val="clear" w:color="auto" w:fill="FFFFFF"/>
          <w:lang w:eastAsia="zh-CN"/>
        </w:rPr>
        <w:t xml:space="preserve"> in section 226.7(c)</w:t>
      </w:r>
      <w:r w:rsidRPr="00957C6E" w:rsidR="00C84949">
        <w:rPr>
          <w:color w:val="000000"/>
          <w:szCs w:val="26"/>
          <w:shd w:val="clear" w:color="auto" w:fill="FFFFFF"/>
          <w:lang w:eastAsia="zh-CN"/>
        </w:rPr>
        <w:t xml:space="preserve"> to </w:t>
      </w:r>
      <w:r w:rsidRPr="00957C6E" w:rsidR="002D4A8A">
        <w:rPr>
          <w:color w:val="000000"/>
          <w:szCs w:val="26"/>
          <w:shd w:val="clear" w:color="auto" w:fill="FFFFFF"/>
          <w:lang w:eastAsia="zh-CN"/>
        </w:rPr>
        <w:t>have different meanings.</w:t>
      </w:r>
      <w:r w:rsidRPr="00957C6E" w:rsidR="003163FD">
        <w:rPr>
          <w:color w:val="000000"/>
          <w:szCs w:val="26"/>
          <w:shd w:val="clear" w:color="auto" w:fill="FFFFFF"/>
          <w:lang w:eastAsia="zh-CN"/>
        </w:rPr>
        <w:t xml:space="preserve">  Specifically, we find no evidence that “regular rate of compensation” </w:t>
      </w:r>
      <w:r w:rsidRPr="00957C6E" w:rsidR="00C84949">
        <w:rPr>
          <w:color w:val="000000"/>
          <w:szCs w:val="26"/>
          <w:shd w:val="clear" w:color="auto" w:fill="FFFFFF"/>
          <w:lang w:eastAsia="zh-CN"/>
        </w:rPr>
        <w:t>mean</w:t>
      </w:r>
      <w:r w:rsidRPr="00957C6E" w:rsidR="003163FD">
        <w:rPr>
          <w:color w:val="000000"/>
          <w:szCs w:val="26"/>
          <w:shd w:val="clear" w:color="auto" w:fill="FFFFFF"/>
          <w:lang w:eastAsia="zh-CN"/>
        </w:rPr>
        <w:t>s</w:t>
      </w:r>
      <w:r w:rsidRPr="00957C6E" w:rsidR="00C84949">
        <w:rPr>
          <w:color w:val="000000"/>
          <w:szCs w:val="26"/>
          <w:shd w:val="clear" w:color="auto" w:fill="FFFFFF"/>
          <w:lang w:eastAsia="zh-CN"/>
        </w:rPr>
        <w:t xml:space="preserve"> hourly wages only</w:t>
      </w:r>
      <w:r w:rsidRPr="00957C6E">
        <w:rPr>
          <w:color w:val="000000"/>
          <w:szCs w:val="26"/>
          <w:shd w:val="clear" w:color="auto" w:fill="FFFFFF"/>
          <w:lang w:eastAsia="zh-CN"/>
        </w:rPr>
        <w:t>.</w:t>
      </w:r>
    </w:p>
    <w:p w:rsidR="00A35119" w:rsidRPr="00957C6E" w:rsidP="000275F0">
      <w:pPr>
        <w:keepNext/>
        <w:jc w:val="center"/>
        <w:rPr>
          <w:b/>
          <w:bCs/>
        </w:rPr>
      </w:pPr>
      <w:r w:rsidRPr="00957C6E">
        <w:rPr>
          <w:b/>
          <w:bCs/>
        </w:rPr>
        <w:t>A.</w:t>
      </w:r>
    </w:p>
    <w:p w:rsidR="00522260" w:rsidRPr="00957C6E" w:rsidP="00957C6E">
      <w:pPr>
        <w:ind w:firstLine="720"/>
      </w:pPr>
      <w:r w:rsidRPr="00957C6E">
        <w:t>“When the Legislature adopted section 226.7 in 2000, it did so against the backdrop of long</w:t>
      </w:r>
      <w:r w:rsidR="0001373A">
        <w:t>-</w:t>
      </w:r>
      <w:r w:rsidRPr="00957C6E">
        <w:t>standing federal law that defined overtime pay in terms of an employee’s ‘</w:t>
      </w:r>
      <w:r w:rsidRPr="00957C6E">
        <w:rPr>
          <w:i/>
        </w:rPr>
        <w:t>regular rate</w:t>
      </w:r>
      <w:r w:rsidRPr="00957C6E">
        <w:t>,’ and existing state law that defined overtime pay in terms of an employee’s ‘</w:t>
      </w:r>
      <w:r w:rsidRPr="00957C6E">
        <w:rPr>
          <w:i/>
        </w:rPr>
        <w:t>regular rate of pay</w:t>
      </w:r>
      <w:r w:rsidRPr="00957C6E">
        <w:t>.’ ”  (</w:t>
      </w:r>
      <w:r w:rsidRPr="00957C6E">
        <w:rPr>
          <w:i/>
        </w:rPr>
        <w:t>Ferra</w:t>
      </w:r>
      <w:r w:rsidRPr="00957C6E">
        <w:t xml:space="preserve">, </w:t>
      </w:r>
      <w:r w:rsidRPr="00957C6E">
        <w:rPr>
          <w:i/>
        </w:rPr>
        <w:t>supra</w:t>
      </w:r>
      <w:r w:rsidRPr="00957C6E">
        <w:t>, 40 Cal.App.5th at p. 1257 (conc. &amp; dis. opn. of Edmon, P.</w:t>
      </w:r>
      <w:r w:rsidRPr="00957C6E" w:rsidR="008E49FA">
        <w:t> </w:t>
      </w:r>
      <w:r w:rsidRPr="00957C6E">
        <w:t>J.).)  This historical backdrop is essential to understanding what the Legislature meant by “regular rate of compensation” in section 226.7(c).</w:t>
      </w:r>
    </w:p>
    <w:p w:rsidR="004A4E68" w:rsidRPr="00957C6E" w:rsidP="00957C6E">
      <w:pPr>
        <w:ind w:firstLine="720"/>
        <w:rPr>
          <w:szCs w:val="26"/>
        </w:rPr>
      </w:pPr>
      <w:r w:rsidRPr="00957C6E">
        <w:rPr>
          <w:szCs w:val="26"/>
        </w:rPr>
        <w:t>Section 7(a) of the federal Fair Labor Standards Act</w:t>
      </w:r>
      <w:r w:rsidRPr="00957C6E" w:rsidR="0089615F">
        <w:rPr>
          <w:szCs w:val="26"/>
        </w:rPr>
        <w:t xml:space="preserve"> of 1938</w:t>
      </w:r>
      <w:r w:rsidRPr="00957C6E">
        <w:rPr>
          <w:szCs w:val="26"/>
        </w:rPr>
        <w:t xml:space="preserve"> (FLSA)</w:t>
      </w:r>
      <w:r w:rsidRPr="00957C6E" w:rsidR="0089615F">
        <w:rPr>
          <w:szCs w:val="26"/>
        </w:rPr>
        <w:t xml:space="preserve"> </w:t>
      </w:r>
      <w:r w:rsidRPr="00957C6E">
        <w:rPr>
          <w:szCs w:val="26"/>
        </w:rPr>
        <w:t>required employers to pay overtime “at a rate not less than one and one-half times the regular rate at which he is employed.”  (</w:t>
      </w:r>
      <w:r w:rsidRPr="00957C6E" w:rsidR="0089615F">
        <w:rPr>
          <w:szCs w:val="26"/>
        </w:rPr>
        <w:t>Pub.L. No. 75</w:t>
      </w:r>
      <w:r w:rsidRPr="00957C6E" w:rsidR="0089615F">
        <w:rPr>
          <w:szCs w:val="26"/>
        </w:rPr>
        <w:noBreakHyphen/>
        <w:t>718 (</w:t>
      </w:r>
      <w:r w:rsidRPr="00957C6E">
        <w:rPr>
          <w:color w:val="333333"/>
          <w:szCs w:val="26"/>
          <w:shd w:val="clear" w:color="auto" w:fill="FFFFFF"/>
        </w:rPr>
        <w:t>June 25, 1938</w:t>
      </w:r>
      <w:r w:rsidRPr="00957C6E" w:rsidR="0089615F">
        <w:rPr>
          <w:color w:val="333333"/>
          <w:szCs w:val="26"/>
          <w:shd w:val="clear" w:color="auto" w:fill="FFFFFF"/>
        </w:rPr>
        <w:t>) 52</w:t>
      </w:r>
      <w:r w:rsidRPr="00957C6E" w:rsidR="00266E72">
        <w:rPr>
          <w:color w:val="333333"/>
          <w:szCs w:val="26"/>
          <w:shd w:val="clear" w:color="auto" w:fill="FFFFFF"/>
        </w:rPr>
        <w:t> </w:t>
      </w:r>
      <w:r w:rsidRPr="00957C6E" w:rsidR="0089615F">
        <w:rPr>
          <w:color w:val="333333"/>
          <w:szCs w:val="26"/>
          <w:shd w:val="clear" w:color="auto" w:fill="FFFFFF"/>
        </w:rPr>
        <w:t>Stat. 1060, 1063; see 29 U.S.C. § 20</w:t>
      </w:r>
      <w:r w:rsidRPr="00957C6E" w:rsidR="006A5134">
        <w:rPr>
          <w:color w:val="333333"/>
          <w:szCs w:val="26"/>
          <w:shd w:val="clear" w:color="auto" w:fill="FFFFFF"/>
        </w:rPr>
        <w:t>7(a)</w:t>
      </w:r>
      <w:r w:rsidRPr="00957C6E">
        <w:rPr>
          <w:szCs w:val="26"/>
        </w:rPr>
        <w:t xml:space="preserve">.)  </w:t>
      </w:r>
      <w:r w:rsidRPr="00957C6E">
        <w:rPr>
          <w:szCs w:val="26"/>
        </w:rPr>
        <w:t xml:space="preserve">Although Congress did not define “regular rate,” the </w:t>
      </w:r>
      <w:r w:rsidRPr="00957C6E">
        <w:rPr>
          <w:szCs w:val="26"/>
        </w:rPr>
        <w:t xml:space="preserve">United States Supreme Court </w:t>
      </w:r>
      <w:r w:rsidRPr="00957C6E">
        <w:rPr>
          <w:szCs w:val="26"/>
        </w:rPr>
        <w:t xml:space="preserve">soon </w:t>
      </w:r>
      <w:r w:rsidRPr="00957C6E">
        <w:rPr>
          <w:szCs w:val="26"/>
        </w:rPr>
        <w:t xml:space="preserve">held </w:t>
      </w:r>
      <w:r w:rsidRPr="00957C6E">
        <w:rPr>
          <w:szCs w:val="26"/>
        </w:rPr>
        <w:t xml:space="preserve">that </w:t>
      </w:r>
      <w:r w:rsidRPr="00957C6E" w:rsidR="007E14FF">
        <w:rPr>
          <w:szCs w:val="26"/>
        </w:rPr>
        <w:t xml:space="preserve">an employee’s </w:t>
      </w:r>
      <w:r w:rsidRPr="00957C6E">
        <w:rPr>
          <w:szCs w:val="26"/>
        </w:rPr>
        <w:t xml:space="preserve">“regular rate” </w:t>
      </w:r>
      <w:r w:rsidRPr="00957C6E" w:rsidR="007E14FF">
        <w:rPr>
          <w:szCs w:val="26"/>
        </w:rPr>
        <w:t xml:space="preserve">under the statute must </w:t>
      </w:r>
      <w:r w:rsidRPr="00957C6E" w:rsidR="00B63023">
        <w:rPr>
          <w:szCs w:val="26"/>
        </w:rPr>
        <w:t xml:space="preserve">reflect </w:t>
      </w:r>
      <w:r w:rsidRPr="00957C6E" w:rsidR="007E14FF">
        <w:rPr>
          <w:szCs w:val="26"/>
        </w:rPr>
        <w:t>“the actual payments, exclusive of those paid for overtime, which the parties have agreed shall be paid during each workweek.”  (</w:t>
      </w:r>
      <w:r w:rsidRPr="00957C6E" w:rsidR="007E14FF">
        <w:rPr>
          <w:i/>
          <w:szCs w:val="26"/>
        </w:rPr>
        <w:t>Walling v. Harnischfeger</w:t>
      </w:r>
      <w:r w:rsidRPr="00957C6E" w:rsidR="00984122">
        <w:rPr>
          <w:i/>
          <w:szCs w:val="26"/>
        </w:rPr>
        <w:t xml:space="preserve"> Corp.</w:t>
      </w:r>
      <w:r w:rsidRPr="00957C6E" w:rsidR="007E14FF">
        <w:rPr>
          <w:szCs w:val="26"/>
        </w:rPr>
        <w:t xml:space="preserve"> (1945) 325 U.S. 427, 430</w:t>
      </w:r>
      <w:r w:rsidRPr="00957C6E" w:rsidR="00376664">
        <w:rPr>
          <w:szCs w:val="26"/>
        </w:rPr>
        <w:t xml:space="preserve"> (</w:t>
      </w:r>
      <w:r w:rsidRPr="00957C6E" w:rsidR="00376664">
        <w:rPr>
          <w:i/>
          <w:szCs w:val="26"/>
        </w:rPr>
        <w:t>Harnischfeger</w:t>
      </w:r>
      <w:r w:rsidRPr="00957C6E" w:rsidR="00376664">
        <w:rPr>
          <w:szCs w:val="26"/>
        </w:rPr>
        <w:t>)</w:t>
      </w:r>
      <w:r w:rsidRPr="00957C6E" w:rsidR="007E14FF">
        <w:rPr>
          <w:szCs w:val="26"/>
        </w:rPr>
        <w:t xml:space="preserve">; see </w:t>
      </w:r>
      <w:r w:rsidRPr="00957C6E" w:rsidR="007E14FF">
        <w:rPr>
          <w:i/>
          <w:szCs w:val="26"/>
        </w:rPr>
        <w:t>Walling v. Hardwood Co.</w:t>
      </w:r>
      <w:r w:rsidRPr="00957C6E" w:rsidR="007E14FF">
        <w:rPr>
          <w:szCs w:val="26"/>
        </w:rPr>
        <w:t xml:space="preserve"> (1945) 325</w:t>
      </w:r>
      <w:r w:rsidRPr="00957C6E" w:rsidR="008B27CE">
        <w:rPr>
          <w:szCs w:val="26"/>
        </w:rPr>
        <w:t> </w:t>
      </w:r>
      <w:r w:rsidRPr="00957C6E" w:rsidR="007E14FF">
        <w:rPr>
          <w:szCs w:val="26"/>
        </w:rPr>
        <w:t>U.S. 419, 424</w:t>
      </w:r>
      <w:r w:rsidRPr="00957C6E" w:rsidR="00376664">
        <w:rPr>
          <w:szCs w:val="26"/>
        </w:rPr>
        <w:t xml:space="preserve"> (</w:t>
      </w:r>
      <w:r w:rsidRPr="00957C6E" w:rsidR="007034DA">
        <w:rPr>
          <w:i/>
          <w:szCs w:val="26"/>
        </w:rPr>
        <w:t>Hardwood</w:t>
      </w:r>
      <w:r w:rsidRPr="00957C6E" w:rsidR="00376664">
        <w:rPr>
          <w:szCs w:val="26"/>
        </w:rPr>
        <w:t>)</w:t>
      </w:r>
      <w:r w:rsidRPr="00957C6E" w:rsidR="007E14FF">
        <w:rPr>
          <w:szCs w:val="26"/>
        </w:rPr>
        <w:t xml:space="preserve"> [“The regular rate by its very nature </w:t>
      </w:r>
      <w:r w:rsidRPr="00957C6E">
        <w:rPr>
          <w:szCs w:val="26"/>
        </w:rPr>
        <w:t>must reflect all payments which the parties have agreed shall be received regularly during the workweek, exclusive of overtime payments</w:t>
      </w:r>
      <w:r w:rsidRPr="00957C6E" w:rsidR="007E14FF">
        <w:rPr>
          <w:szCs w:val="26"/>
        </w:rPr>
        <w:t>.”].)</w:t>
      </w:r>
    </w:p>
    <w:p w:rsidR="004A4E68" w:rsidRPr="00957C6E" w:rsidP="00957C6E">
      <w:pPr>
        <w:ind w:firstLine="720"/>
        <w:rPr>
          <w:color w:val="000000"/>
          <w:shd w:val="clear" w:color="auto" w:fill="FFFFFF"/>
        </w:rPr>
      </w:pPr>
      <w:r>
        <w:rPr>
          <w:szCs w:val="26"/>
        </w:rPr>
        <w:t>For</w:t>
      </w:r>
      <w:r w:rsidRPr="00957C6E" w:rsidR="007E14FF">
        <w:rPr>
          <w:szCs w:val="26"/>
        </w:rPr>
        <w:t xml:space="preserve"> workers paid a </w:t>
      </w:r>
      <w:r w:rsidRPr="00957C6E" w:rsidR="00B63023">
        <w:rPr>
          <w:szCs w:val="26"/>
        </w:rPr>
        <w:t xml:space="preserve">guaranteed </w:t>
      </w:r>
      <w:r w:rsidRPr="00957C6E" w:rsidR="007E14FF">
        <w:rPr>
          <w:szCs w:val="26"/>
        </w:rPr>
        <w:t xml:space="preserve">hourly rate plus </w:t>
      </w:r>
      <w:r w:rsidRPr="00957C6E" w:rsidR="00376664">
        <w:rPr>
          <w:szCs w:val="26"/>
        </w:rPr>
        <w:t xml:space="preserve">an “ ‘incentive bonus’ or ‘piecework earnings’ ” </w:t>
      </w:r>
      <w:r w:rsidRPr="00957C6E" w:rsidR="0001373A">
        <w:rPr>
          <w:szCs w:val="26"/>
        </w:rPr>
        <w:t>(</w:t>
      </w:r>
      <w:r w:rsidRPr="00957C6E" w:rsidR="0001373A">
        <w:rPr>
          <w:i/>
          <w:szCs w:val="26"/>
        </w:rPr>
        <w:t>Harnischfeger</w:t>
      </w:r>
      <w:r w:rsidRPr="00957C6E" w:rsidR="0001373A">
        <w:rPr>
          <w:szCs w:val="26"/>
        </w:rPr>
        <w:t xml:space="preserve">, </w:t>
      </w:r>
      <w:r w:rsidRPr="00957C6E" w:rsidR="0001373A">
        <w:rPr>
          <w:i/>
          <w:szCs w:val="26"/>
        </w:rPr>
        <w:t>supra</w:t>
      </w:r>
      <w:r w:rsidRPr="00957C6E" w:rsidR="0001373A">
        <w:rPr>
          <w:szCs w:val="26"/>
        </w:rPr>
        <w:t>, 325 U.S. at p. 4</w:t>
      </w:r>
      <w:r w:rsidR="0001373A">
        <w:rPr>
          <w:szCs w:val="26"/>
        </w:rPr>
        <w:t xml:space="preserve">29) </w:t>
      </w:r>
      <w:r w:rsidRPr="00957C6E" w:rsidR="00376664">
        <w:rPr>
          <w:szCs w:val="26"/>
        </w:rPr>
        <w:t xml:space="preserve">for efficient performance, the </w:t>
      </w:r>
      <w:r w:rsidRPr="00957C6E" w:rsidR="001E446C">
        <w:rPr>
          <w:szCs w:val="26"/>
        </w:rPr>
        <w:t>“</w:t>
      </w:r>
      <w:r w:rsidRPr="00957C6E" w:rsidR="00376664">
        <w:rPr>
          <w:szCs w:val="26"/>
        </w:rPr>
        <w:t>regular rate</w:t>
      </w:r>
      <w:r w:rsidRPr="00957C6E" w:rsidR="001E446C">
        <w:rPr>
          <w:szCs w:val="26"/>
        </w:rPr>
        <w:t>”</w:t>
      </w:r>
      <w:r w:rsidRPr="00957C6E" w:rsidR="00376664">
        <w:rPr>
          <w:szCs w:val="26"/>
        </w:rPr>
        <w:t xml:space="preserve"> is “greater . . . than the minimum base rate” </w:t>
      </w:r>
      <w:r w:rsidR="0001373A">
        <w:rPr>
          <w:szCs w:val="26"/>
        </w:rPr>
        <w:t>(</w:t>
      </w:r>
      <w:r w:rsidR="0001373A">
        <w:rPr>
          <w:i/>
          <w:iCs/>
          <w:szCs w:val="26"/>
        </w:rPr>
        <w:t xml:space="preserve">id. </w:t>
      </w:r>
      <w:r w:rsidR="0001373A">
        <w:rPr>
          <w:szCs w:val="26"/>
        </w:rPr>
        <w:t>at p.</w:t>
      </w:r>
      <w:r w:rsidR="00D84DFF">
        <w:rPr>
          <w:szCs w:val="26"/>
        </w:rPr>
        <w:t> </w:t>
      </w:r>
      <w:r w:rsidR="0001373A">
        <w:rPr>
          <w:szCs w:val="26"/>
        </w:rPr>
        <w:t>431)</w:t>
      </w:r>
      <w:r w:rsidR="00DB0F58">
        <w:rPr>
          <w:szCs w:val="26"/>
        </w:rPr>
        <w:t>.</w:t>
      </w:r>
      <w:r w:rsidRPr="00957C6E" w:rsidR="00376664">
        <w:rPr>
          <w:szCs w:val="26"/>
        </w:rPr>
        <w:t xml:space="preserve">  Where “</w:t>
      </w:r>
      <w:r w:rsidRPr="00957C6E" w:rsidR="00376664">
        <w:rPr>
          <w:szCs w:val="26"/>
          <w:shd w:val="clear" w:color="auto" w:fill="FFFFFF"/>
        </w:rPr>
        <w:t>such bonuses are a normal and regular part of [workers’] income”</w:t>
      </w:r>
      <w:r w:rsidR="00DB0F58">
        <w:rPr>
          <w:szCs w:val="26"/>
          <w:shd w:val="clear" w:color="auto" w:fill="FFFFFF"/>
        </w:rPr>
        <w:t xml:space="preserve"> (</w:t>
      </w:r>
      <w:r w:rsidR="00DB0F58">
        <w:rPr>
          <w:i/>
          <w:iCs/>
          <w:szCs w:val="26"/>
          <w:shd w:val="clear" w:color="auto" w:fill="FFFFFF"/>
        </w:rPr>
        <w:t>id.</w:t>
      </w:r>
      <w:r w:rsidR="00DB0F58">
        <w:rPr>
          <w:szCs w:val="26"/>
          <w:shd w:val="clear" w:color="auto" w:fill="FFFFFF"/>
        </w:rPr>
        <w:t xml:space="preserve"> at p.</w:t>
      </w:r>
      <w:r w:rsidR="00D84DFF">
        <w:rPr>
          <w:szCs w:val="26"/>
          <w:shd w:val="clear" w:color="auto" w:fill="FFFFFF"/>
        </w:rPr>
        <w:t> </w:t>
      </w:r>
      <w:r w:rsidR="00DB0F58">
        <w:rPr>
          <w:szCs w:val="26"/>
          <w:shd w:val="clear" w:color="auto" w:fill="FFFFFF"/>
        </w:rPr>
        <w:t>432),</w:t>
      </w:r>
      <w:r w:rsidRPr="00957C6E" w:rsidR="00376664">
        <w:rPr>
          <w:szCs w:val="26"/>
          <w:shd w:val="clear" w:color="auto" w:fill="FFFFFF"/>
        </w:rPr>
        <w:t xml:space="preserve"> they </w:t>
      </w:r>
      <w:r w:rsidRPr="00957C6E" w:rsidR="00376664">
        <w:rPr>
          <w:szCs w:val="26"/>
        </w:rPr>
        <w:t>“</w:t>
      </w:r>
      <w:r w:rsidRPr="00957C6E" w:rsidR="00376664">
        <w:rPr>
          <w:szCs w:val="26"/>
          <w:shd w:val="clear" w:color="auto" w:fill="FFFFFF"/>
        </w:rPr>
        <w:t xml:space="preserve">do not escape the force of </w:t>
      </w:r>
      <w:r w:rsidR="00DB0F58">
        <w:rPr>
          <w:szCs w:val="26"/>
          <w:shd w:val="clear" w:color="auto" w:fill="FFFFFF"/>
        </w:rPr>
        <w:t>[FLSA] §</w:t>
      </w:r>
      <w:r w:rsidR="00554A91">
        <w:rPr>
          <w:szCs w:val="26"/>
          <w:shd w:val="clear" w:color="auto" w:fill="FFFFFF"/>
        </w:rPr>
        <w:t> </w:t>
      </w:r>
      <w:r w:rsidRPr="00957C6E" w:rsidR="00376664">
        <w:rPr>
          <w:szCs w:val="26"/>
          <w:shd w:val="clear" w:color="auto" w:fill="FFFFFF"/>
        </w:rPr>
        <w:t xml:space="preserve">7(a) merely because they are paid in addition to a minimum hourly pay guaranteed by contract. . . .  The conclusion that only the minimum hourly rate constitutes the regular rate opens an easy path for evading the plain design of </w:t>
      </w:r>
      <w:r w:rsidR="00DB0F58">
        <w:rPr>
          <w:szCs w:val="26"/>
          <w:shd w:val="clear" w:color="auto" w:fill="FFFFFF"/>
        </w:rPr>
        <w:t>§</w:t>
      </w:r>
      <w:r w:rsidR="00554A91">
        <w:rPr>
          <w:szCs w:val="26"/>
          <w:shd w:val="clear" w:color="auto" w:fill="FFFFFF"/>
        </w:rPr>
        <w:t> </w:t>
      </w:r>
      <w:r w:rsidRPr="00957C6E" w:rsidR="00376664">
        <w:rPr>
          <w:szCs w:val="26"/>
          <w:shd w:val="clear" w:color="auto" w:fill="FFFFFF"/>
        </w:rPr>
        <w:t>7(a)” (</w:t>
      </w:r>
      <w:r w:rsidR="00DB0F58">
        <w:rPr>
          <w:i/>
          <w:szCs w:val="26"/>
          <w:shd w:val="clear" w:color="auto" w:fill="FFFFFF"/>
        </w:rPr>
        <w:t>i</w:t>
      </w:r>
      <w:r w:rsidRPr="00957C6E" w:rsidR="00376664">
        <w:rPr>
          <w:i/>
          <w:szCs w:val="26"/>
          <w:shd w:val="clear" w:color="auto" w:fill="FFFFFF"/>
        </w:rPr>
        <w:t>d.</w:t>
      </w:r>
      <w:r w:rsidRPr="00957C6E" w:rsidR="00376664">
        <w:rPr>
          <w:szCs w:val="26"/>
          <w:shd w:val="clear" w:color="auto" w:fill="FFFFFF"/>
        </w:rPr>
        <w:t xml:space="preserve"> at pp. 431–432)</w:t>
      </w:r>
      <w:r w:rsidR="00DB0F58">
        <w:rPr>
          <w:szCs w:val="26"/>
          <w:shd w:val="clear" w:color="auto" w:fill="FFFFFF"/>
        </w:rPr>
        <w:t>.</w:t>
      </w:r>
      <w:r w:rsidRPr="00957C6E" w:rsidR="00376664">
        <w:rPr>
          <w:szCs w:val="26"/>
          <w:shd w:val="clear" w:color="auto" w:fill="FFFFFF"/>
        </w:rPr>
        <w:t xml:space="preserve">  </w:t>
      </w:r>
      <w:r w:rsidRPr="00957C6E" w:rsidR="00B63023">
        <w:rPr>
          <w:szCs w:val="26"/>
          <w:shd w:val="clear" w:color="auto" w:fill="FFFFFF"/>
        </w:rPr>
        <w:t>Further, even if “</w:t>
      </w:r>
      <w:r w:rsidRPr="00957C6E" w:rsidR="00B63023">
        <w:rPr>
          <w:color w:val="000000"/>
          <w:shd w:val="clear" w:color="auto" w:fill="FFFFFF"/>
        </w:rPr>
        <w:t>the incentive bonuses are often not determined or paid until weeks or even months after [regular] pay</w:t>
      </w:r>
      <w:r w:rsidR="00DB0F58">
        <w:rPr>
          <w:color w:val="000000"/>
          <w:shd w:val="clear" w:color="auto" w:fill="FFFFFF"/>
        </w:rPr>
        <w:t>-</w:t>
      </w:r>
      <w:r w:rsidRPr="00957C6E" w:rsidR="00B63023">
        <w:rPr>
          <w:color w:val="000000"/>
          <w:shd w:val="clear" w:color="auto" w:fill="FFFFFF"/>
        </w:rPr>
        <w:t>days”</w:t>
      </w:r>
      <w:r w:rsidR="00DB0F58">
        <w:rPr>
          <w:color w:val="000000"/>
          <w:shd w:val="clear" w:color="auto" w:fill="FFFFFF"/>
        </w:rPr>
        <w:t xml:space="preserve"> (</w:t>
      </w:r>
      <w:r w:rsidR="00DB0F58">
        <w:rPr>
          <w:i/>
          <w:iCs/>
          <w:color w:val="000000"/>
          <w:shd w:val="clear" w:color="auto" w:fill="FFFFFF"/>
        </w:rPr>
        <w:t xml:space="preserve">id. </w:t>
      </w:r>
      <w:r w:rsidR="00DB0F58">
        <w:rPr>
          <w:color w:val="000000"/>
          <w:shd w:val="clear" w:color="auto" w:fill="FFFFFF"/>
        </w:rPr>
        <w:t>at p.</w:t>
      </w:r>
      <w:r w:rsidR="00D84DFF">
        <w:rPr>
          <w:color w:val="000000"/>
          <w:shd w:val="clear" w:color="auto" w:fill="FFFFFF"/>
        </w:rPr>
        <w:t> </w:t>
      </w:r>
      <w:r w:rsidR="00DB0F58">
        <w:rPr>
          <w:color w:val="000000"/>
          <w:shd w:val="clear" w:color="auto" w:fill="FFFFFF"/>
        </w:rPr>
        <w:t>432),</w:t>
      </w:r>
      <w:r w:rsidRPr="00957C6E" w:rsidR="00B63023">
        <w:rPr>
          <w:color w:val="000000"/>
          <w:shd w:val="clear" w:color="auto" w:fill="FFFFFF"/>
        </w:rPr>
        <w:t xml:space="preserve"> “the employer is not thereby excused from making the proper computation and payment.  Section 7(a) requires only that the employees receive a 50% premium as soon as convenient or practicable under the circumstances” (</w:t>
      </w:r>
      <w:r w:rsidR="00DB0F58">
        <w:rPr>
          <w:i/>
          <w:color w:val="000000"/>
          <w:shd w:val="clear" w:color="auto" w:fill="FFFFFF"/>
        </w:rPr>
        <w:t>i</w:t>
      </w:r>
      <w:r w:rsidRPr="00957C6E" w:rsidR="00B63023">
        <w:rPr>
          <w:i/>
          <w:color w:val="000000"/>
          <w:shd w:val="clear" w:color="auto" w:fill="FFFFFF"/>
        </w:rPr>
        <w:t>d.</w:t>
      </w:r>
      <w:r w:rsidRPr="00957C6E" w:rsidR="00B63023">
        <w:rPr>
          <w:color w:val="000000"/>
          <w:shd w:val="clear" w:color="auto" w:fill="FFFFFF"/>
        </w:rPr>
        <w:t xml:space="preserve"> at pp. 432–433)</w:t>
      </w:r>
      <w:r w:rsidR="00DB0F58">
        <w:rPr>
          <w:color w:val="000000"/>
          <w:shd w:val="clear" w:color="auto" w:fill="FFFFFF"/>
        </w:rPr>
        <w:t>.</w:t>
      </w:r>
    </w:p>
    <w:p w:rsidR="00B63023" w:rsidRPr="00957C6E" w:rsidP="00957C6E">
      <w:pPr>
        <w:ind w:firstLine="720"/>
        <w:rPr>
          <w:szCs w:val="26"/>
        </w:rPr>
      </w:pPr>
      <w:r w:rsidRPr="00957C6E">
        <w:rPr>
          <w:color w:val="000000"/>
          <w:shd w:val="clear" w:color="auto" w:fill="FFFFFF"/>
        </w:rPr>
        <w:t xml:space="preserve">Congress amended the FLSA </w:t>
      </w:r>
      <w:r w:rsidRPr="00957C6E" w:rsidR="00A57B91">
        <w:rPr>
          <w:color w:val="000000"/>
          <w:shd w:val="clear" w:color="auto" w:fill="FFFFFF"/>
        </w:rPr>
        <w:t xml:space="preserve">in 1949 </w:t>
      </w:r>
      <w:r w:rsidRPr="00957C6E">
        <w:rPr>
          <w:color w:val="000000"/>
          <w:shd w:val="clear" w:color="auto" w:fill="FFFFFF"/>
        </w:rPr>
        <w:t>to define “regular rate” for purposes of overtime “to include all remuneration for employment paid to, or on behalf of, the employee” (</w:t>
      </w:r>
      <w:r w:rsidRPr="00957C6E" w:rsidR="00A57B91">
        <w:rPr>
          <w:bCs/>
          <w:color w:val="000000"/>
          <w:shd w:val="clear" w:color="auto" w:fill="FFFFFF"/>
        </w:rPr>
        <w:t>Pub.L. No. 81-393 (Oct. 26, 1949) 63 Stat. 910, 913; see</w:t>
      </w:r>
      <w:r w:rsidRPr="00957C6E" w:rsidR="0071348D">
        <w:rPr>
          <w:b/>
          <w:bCs/>
          <w:color w:val="000000"/>
          <w:shd w:val="clear" w:color="auto" w:fill="FFFFFF"/>
        </w:rPr>
        <w:t xml:space="preserve"> </w:t>
      </w:r>
      <w:r w:rsidRPr="00957C6E">
        <w:rPr>
          <w:color w:val="000000"/>
          <w:shd w:val="clear" w:color="auto" w:fill="FFFFFF"/>
        </w:rPr>
        <w:t>29</w:t>
      </w:r>
      <w:r w:rsidRPr="00957C6E" w:rsidR="0071348D">
        <w:rPr>
          <w:color w:val="000000"/>
          <w:shd w:val="clear" w:color="auto" w:fill="FFFFFF"/>
        </w:rPr>
        <w:t> </w:t>
      </w:r>
      <w:r w:rsidRPr="00957C6E">
        <w:rPr>
          <w:color w:val="000000"/>
          <w:shd w:val="clear" w:color="auto" w:fill="FFFFFF"/>
        </w:rPr>
        <w:t xml:space="preserve">U.S.C. § 207(e)), and courts have consistently </w:t>
      </w:r>
      <w:r w:rsidRPr="00957C6E" w:rsidR="00E766B4">
        <w:rPr>
          <w:color w:val="000000"/>
          <w:shd w:val="clear" w:color="auto" w:fill="FFFFFF"/>
        </w:rPr>
        <w:t xml:space="preserve">understood this language </w:t>
      </w:r>
      <w:r w:rsidRPr="00957C6E" w:rsidR="001E446C">
        <w:rPr>
          <w:color w:val="000000"/>
          <w:shd w:val="clear" w:color="auto" w:fill="FFFFFF"/>
        </w:rPr>
        <w:t xml:space="preserve">to encompass </w:t>
      </w:r>
      <w:r w:rsidRPr="00957C6E" w:rsidR="006A5134">
        <w:rPr>
          <w:color w:val="000000"/>
          <w:shd w:val="clear" w:color="auto" w:fill="FFFFFF"/>
        </w:rPr>
        <w:t xml:space="preserve">all </w:t>
      </w:r>
      <w:r w:rsidRPr="00957C6E" w:rsidR="001E446C">
        <w:rPr>
          <w:color w:val="000000"/>
          <w:shd w:val="clear" w:color="auto" w:fill="FFFFFF"/>
        </w:rPr>
        <w:t xml:space="preserve">nondiscretionary </w:t>
      </w:r>
      <w:r w:rsidRPr="00957C6E" w:rsidR="006A5134">
        <w:rPr>
          <w:color w:val="000000"/>
          <w:shd w:val="clear" w:color="auto" w:fill="FFFFFF"/>
        </w:rPr>
        <w:t xml:space="preserve">payments, not just </w:t>
      </w:r>
      <w:r w:rsidRPr="00957C6E" w:rsidR="001E446C">
        <w:rPr>
          <w:color w:val="000000"/>
          <w:shd w:val="clear" w:color="auto" w:fill="FFFFFF"/>
        </w:rPr>
        <w:t>base hourly rates</w:t>
      </w:r>
      <w:r w:rsidRPr="00957C6E" w:rsidR="00E766B4">
        <w:rPr>
          <w:szCs w:val="26"/>
        </w:rPr>
        <w:t xml:space="preserve">.  (See </w:t>
      </w:r>
      <w:r w:rsidRPr="00957C6E" w:rsidR="00E766B4">
        <w:rPr>
          <w:i/>
          <w:szCs w:val="26"/>
        </w:rPr>
        <w:t>Local 246 Utility Workers Union of America v. Southern California Edison Co.</w:t>
      </w:r>
      <w:r w:rsidRPr="00957C6E" w:rsidR="00E766B4">
        <w:rPr>
          <w:szCs w:val="26"/>
        </w:rPr>
        <w:t xml:space="preserve"> (9th Cir. 1996) 83 F.3d 292, 29</w:t>
      </w:r>
      <w:r w:rsidRPr="00957C6E" w:rsidR="001E446C">
        <w:rPr>
          <w:szCs w:val="26"/>
        </w:rPr>
        <w:t>5–29</w:t>
      </w:r>
      <w:r w:rsidRPr="00957C6E" w:rsidR="00E766B4">
        <w:rPr>
          <w:szCs w:val="26"/>
        </w:rPr>
        <w:t xml:space="preserve">7; </w:t>
      </w:r>
      <w:r w:rsidRPr="00957C6E" w:rsidR="00E766B4">
        <w:rPr>
          <w:i/>
          <w:szCs w:val="26"/>
        </w:rPr>
        <w:t>Featsent v. City of Youngstown</w:t>
      </w:r>
      <w:r w:rsidRPr="00957C6E" w:rsidR="00E766B4">
        <w:rPr>
          <w:szCs w:val="26"/>
        </w:rPr>
        <w:t xml:space="preserve"> (6th</w:t>
      </w:r>
      <w:r w:rsidR="00522B6C">
        <w:rPr>
          <w:szCs w:val="26"/>
        </w:rPr>
        <w:t xml:space="preserve"> </w:t>
      </w:r>
      <w:r w:rsidRPr="00957C6E" w:rsidR="00E766B4">
        <w:rPr>
          <w:szCs w:val="26"/>
        </w:rPr>
        <w:t>Cir.</w:t>
      </w:r>
      <w:r w:rsidR="00522B6C">
        <w:rPr>
          <w:szCs w:val="26"/>
        </w:rPr>
        <w:t xml:space="preserve"> </w:t>
      </w:r>
      <w:r w:rsidRPr="00957C6E" w:rsidR="00E766B4">
        <w:rPr>
          <w:szCs w:val="26"/>
        </w:rPr>
        <w:t>1995) 70</w:t>
      </w:r>
      <w:r w:rsidR="00522B6C">
        <w:rPr>
          <w:szCs w:val="26"/>
        </w:rPr>
        <w:t xml:space="preserve"> </w:t>
      </w:r>
      <w:r w:rsidRPr="00957C6E" w:rsidR="00E766B4">
        <w:rPr>
          <w:szCs w:val="26"/>
        </w:rPr>
        <w:t xml:space="preserve">F.3d 900, 904–906; </w:t>
      </w:r>
      <w:r w:rsidRPr="00957C6E" w:rsidR="00E766B4">
        <w:rPr>
          <w:i/>
          <w:szCs w:val="26"/>
        </w:rPr>
        <w:t>Reich v. Inter</w:t>
      </w:r>
      <w:r w:rsidRPr="00957C6E" w:rsidR="001E446C">
        <w:rPr>
          <w:i/>
          <w:szCs w:val="26"/>
        </w:rPr>
        <w:t>state Brands Corp.</w:t>
      </w:r>
      <w:r w:rsidRPr="00957C6E" w:rsidR="001E446C">
        <w:rPr>
          <w:szCs w:val="26"/>
        </w:rPr>
        <w:t xml:space="preserve"> (7th</w:t>
      </w:r>
      <w:r w:rsidR="00522B6C">
        <w:rPr>
          <w:szCs w:val="26"/>
        </w:rPr>
        <w:t xml:space="preserve"> </w:t>
      </w:r>
      <w:r w:rsidRPr="00957C6E" w:rsidR="001E446C">
        <w:rPr>
          <w:szCs w:val="26"/>
        </w:rPr>
        <w:t>Cir.</w:t>
      </w:r>
      <w:r w:rsidR="00522B6C">
        <w:rPr>
          <w:szCs w:val="26"/>
        </w:rPr>
        <w:t xml:space="preserve"> </w:t>
      </w:r>
      <w:r w:rsidRPr="00957C6E" w:rsidR="001E446C">
        <w:rPr>
          <w:szCs w:val="26"/>
        </w:rPr>
        <w:t>1995) 57</w:t>
      </w:r>
      <w:r w:rsidR="00522B6C">
        <w:rPr>
          <w:szCs w:val="26"/>
        </w:rPr>
        <w:t xml:space="preserve"> </w:t>
      </w:r>
      <w:r w:rsidRPr="00957C6E" w:rsidR="001E446C">
        <w:rPr>
          <w:szCs w:val="26"/>
        </w:rPr>
        <w:t>F.3d</w:t>
      </w:r>
      <w:r w:rsidR="00522B6C">
        <w:rPr>
          <w:szCs w:val="26"/>
        </w:rPr>
        <w:t xml:space="preserve"> </w:t>
      </w:r>
      <w:r w:rsidRPr="00957C6E" w:rsidR="001E446C">
        <w:rPr>
          <w:szCs w:val="26"/>
        </w:rPr>
        <w:t>574, 577</w:t>
      </w:r>
      <w:r w:rsidRPr="00957C6E" w:rsidR="00E63ECE">
        <w:rPr>
          <w:szCs w:val="26"/>
        </w:rPr>
        <w:t xml:space="preserve">; </w:t>
      </w:r>
      <w:r w:rsidRPr="00957C6E" w:rsidR="00E63ECE">
        <w:t xml:space="preserve">see also </w:t>
      </w:r>
      <w:r w:rsidR="00DE543E">
        <w:t>Rosen et al.,</w:t>
      </w:r>
      <w:r w:rsidR="00F40C1A">
        <w:t xml:space="preserve"> </w:t>
      </w:r>
      <w:r w:rsidRPr="00957C6E" w:rsidR="00E63ECE">
        <w:t xml:space="preserve">Federal Employment Litigation (The Rutter Group </w:t>
      </w:r>
      <w:r w:rsidRPr="00957C6E" w:rsidR="00DE543E">
        <w:t>202</w:t>
      </w:r>
      <w:r w:rsidR="00DE543E">
        <w:t>1</w:t>
      </w:r>
      <w:r w:rsidRPr="00957C6E" w:rsidR="00E63ECE">
        <w:t>) ¶ 6:905</w:t>
      </w:r>
      <w:r w:rsidR="00522B6C">
        <w:t xml:space="preserve"> </w:t>
      </w:r>
      <w:r w:rsidRPr="00957C6E" w:rsidR="00E63ECE">
        <w:t>[observing that “[a]ny bonus promised to employees is included in determining the employee’s ‘regular rate’ of pay” and collecting cases]</w:t>
      </w:r>
      <w:r w:rsidRPr="00957C6E" w:rsidR="001E446C">
        <w:rPr>
          <w:szCs w:val="26"/>
        </w:rPr>
        <w:t>.)</w:t>
      </w:r>
    </w:p>
    <w:p w:rsidR="007F7A13" w:rsidRPr="00957C6E" w:rsidP="00957C6E">
      <w:pPr>
        <w:ind w:firstLine="720"/>
      </w:pPr>
      <w:r w:rsidRPr="00957C6E">
        <w:rPr>
          <w:szCs w:val="26"/>
        </w:rPr>
        <w:t xml:space="preserve">Meanwhile, as early as 1947, California’s wage orders </w:t>
      </w:r>
      <w:r w:rsidRPr="00957C6E" w:rsidR="009B20F6">
        <w:rPr>
          <w:szCs w:val="26"/>
        </w:rPr>
        <w:t>imposed</w:t>
      </w:r>
      <w:r w:rsidRPr="00957C6E">
        <w:rPr>
          <w:szCs w:val="26"/>
        </w:rPr>
        <w:t xml:space="preserve"> similar requirements for overtime pay.</w:t>
      </w:r>
      <w:r w:rsidRPr="00957C6E" w:rsidR="0019519E">
        <w:rPr>
          <w:szCs w:val="26"/>
        </w:rPr>
        <w:t xml:space="preserve">  (See </w:t>
      </w:r>
      <w:r w:rsidRPr="00957C6E" w:rsidR="0019519E">
        <w:rPr>
          <w:i/>
          <w:iCs/>
        </w:rPr>
        <w:t>Ramirez v. Yosemite Water Co.</w:t>
      </w:r>
      <w:r w:rsidRPr="00957C6E" w:rsidR="0019519E">
        <w:t xml:space="preserve"> (1999) 20 Cal.4th 785, 795 [IWC’s wage orders are “at times patterned after federal regulations” and “sometimes provide greater protection”]; </w:t>
      </w:r>
      <w:r w:rsidRPr="00957C6E" w:rsidR="0019519E">
        <w:rPr>
          <w:i/>
          <w:iCs/>
        </w:rPr>
        <w:t>Alcala v. Western Ag Enterprises</w:t>
      </w:r>
      <w:r w:rsidRPr="00957C6E" w:rsidR="0019519E">
        <w:t xml:space="preserve"> (1986) 182 Cal.App.3d 546, 550 (</w:t>
      </w:r>
      <w:r w:rsidRPr="00957C6E" w:rsidR="0019519E">
        <w:rPr>
          <w:i/>
          <w:iCs/>
        </w:rPr>
        <w:t>Alcala</w:t>
      </w:r>
      <w:r w:rsidRPr="00957C6E" w:rsidR="0019519E">
        <w:t>) [“California’s wage orders are closely modeled after (although they do not duplicate)</w:t>
      </w:r>
      <w:r w:rsidRPr="00957C6E" w:rsidR="00DA5422">
        <w:t>,</w:t>
      </w:r>
      <w:r w:rsidRPr="00957C6E" w:rsidR="0019519E">
        <w:t xml:space="preserve"> section 7(a)(1) of the [FLSA]</w:t>
      </w:r>
      <w:r w:rsidRPr="00957C6E" w:rsidR="00DA5422">
        <w:t>.</w:t>
      </w:r>
      <w:r w:rsidRPr="00957C6E" w:rsidR="0019519E">
        <w:t>”].)</w:t>
      </w:r>
      <w:r w:rsidRPr="00957C6E">
        <w:rPr>
          <w:szCs w:val="26"/>
        </w:rPr>
        <w:t xml:space="preserve">  </w:t>
      </w:r>
      <w:r w:rsidRPr="00957C6E" w:rsidR="009B20F6">
        <w:t xml:space="preserve">But instead of using the term “regular rate,” </w:t>
      </w:r>
      <w:r w:rsidRPr="00957C6E" w:rsidR="00FA5628">
        <w:t xml:space="preserve">the </w:t>
      </w:r>
      <w:r w:rsidRPr="00957C6E" w:rsidR="009B20F6">
        <w:t>wage orders used the term “regular rate of pay” in stating the requirement that “overtime is compensated for at not less than one and one-half times the employee’s regular rate of pay.”</w:t>
      </w:r>
      <w:r w:rsidRPr="00957C6E" w:rsidR="009E70A2">
        <w:t xml:space="preserve">  (IWC wage order No. 10</w:t>
      </w:r>
      <w:r w:rsidR="00670E68">
        <w:t> </w:t>
      </w:r>
      <w:r w:rsidRPr="00957C6E" w:rsidR="009E70A2">
        <w:t xml:space="preserve">R (June 1, 1947) [former wage order concerning amusement and recreation industries]; see </w:t>
      </w:r>
      <w:r w:rsidRPr="00957C6E" w:rsidR="00C80328">
        <w:t>IWC wage order No. 3</w:t>
      </w:r>
      <w:r w:rsidR="00670E68">
        <w:t> </w:t>
      </w:r>
      <w:r w:rsidRPr="00957C6E" w:rsidR="00C80328">
        <w:t>R (June 1, 1947) [former wage order concerning canning and preserving industries]; IWC wage order No. 6</w:t>
      </w:r>
      <w:r w:rsidR="00670E68">
        <w:t> </w:t>
      </w:r>
      <w:r w:rsidRPr="00957C6E" w:rsidR="00C80328">
        <w:t>R (June 1, 1947) [former wage order concerning laundry, dry cleaning, and dyeing industries]; IWC wage order No. 8</w:t>
      </w:r>
      <w:r w:rsidR="00670E68">
        <w:t> </w:t>
      </w:r>
      <w:r w:rsidRPr="00957C6E" w:rsidR="00C80328">
        <w:t xml:space="preserve">R (June 1, 1947) [former wage order concerning after-harvest industries].)  </w:t>
      </w:r>
      <w:r w:rsidRPr="00957C6E">
        <w:t>The term “regular rate of pay” also appears in the 1947 version of Wage Order No. 5 (IWC wage order No. 5</w:t>
      </w:r>
      <w:r w:rsidR="00670E68">
        <w:t> </w:t>
      </w:r>
      <w:r w:rsidRPr="00957C6E">
        <w:t xml:space="preserve">R (June 1, 1947)) and in other </w:t>
      </w:r>
      <w:r w:rsidRPr="00957C6E" w:rsidR="00446E06">
        <w:t xml:space="preserve">predecessors to </w:t>
      </w:r>
      <w:r w:rsidRPr="00957C6E">
        <w:t>the current version of Wage Order No. 5 (e.g., IWC wage order No. 5-89</w:t>
      </w:r>
      <w:r w:rsidR="00DE543E">
        <w:t xml:space="preserve"> (as amended June 29, 1993)</w:t>
      </w:r>
      <w:r w:rsidRPr="00957C6E">
        <w:t>).</w:t>
      </w:r>
    </w:p>
    <w:p w:rsidR="00197081" w:rsidRPr="00957C6E" w:rsidP="00957C6E">
      <w:pPr>
        <w:ind w:firstLine="720"/>
        <w:rPr>
          <w:szCs w:val="26"/>
        </w:rPr>
      </w:pPr>
      <w:r w:rsidRPr="00957C6E">
        <w:rPr>
          <w:szCs w:val="26"/>
        </w:rPr>
        <w:t>Despite th</w:t>
      </w:r>
      <w:r w:rsidRPr="00957C6E" w:rsidR="00920FD7">
        <w:rPr>
          <w:szCs w:val="26"/>
        </w:rPr>
        <w:t>is</w:t>
      </w:r>
      <w:r w:rsidRPr="00957C6E">
        <w:rPr>
          <w:szCs w:val="26"/>
        </w:rPr>
        <w:t xml:space="preserve"> difference in wording, </w:t>
      </w:r>
      <w:r w:rsidRPr="00957C6E" w:rsidR="0090079D">
        <w:rPr>
          <w:szCs w:val="26"/>
        </w:rPr>
        <w:t xml:space="preserve">the </w:t>
      </w:r>
      <w:r w:rsidRPr="00957C6E" w:rsidR="00C77736">
        <w:rPr>
          <w:i/>
          <w:iCs/>
          <w:szCs w:val="26"/>
        </w:rPr>
        <w:t>Alcala</w:t>
      </w:r>
      <w:r w:rsidRPr="00957C6E" w:rsidR="00C77736">
        <w:rPr>
          <w:szCs w:val="26"/>
        </w:rPr>
        <w:t xml:space="preserve"> </w:t>
      </w:r>
      <w:r w:rsidRPr="00957C6E" w:rsidR="001A7868">
        <w:rPr>
          <w:szCs w:val="26"/>
        </w:rPr>
        <w:t xml:space="preserve">court </w:t>
      </w:r>
      <w:r w:rsidRPr="00957C6E" w:rsidR="00920FD7">
        <w:rPr>
          <w:szCs w:val="26"/>
        </w:rPr>
        <w:t xml:space="preserve">understood </w:t>
      </w:r>
      <w:r w:rsidRPr="00957C6E" w:rsidR="00FA5628">
        <w:rPr>
          <w:szCs w:val="26"/>
        </w:rPr>
        <w:t>“</w:t>
      </w:r>
      <w:r w:rsidRPr="00957C6E">
        <w:rPr>
          <w:szCs w:val="26"/>
        </w:rPr>
        <w:t xml:space="preserve">regular rate of pay” in </w:t>
      </w:r>
      <w:r w:rsidRPr="00957C6E" w:rsidR="001A7868">
        <w:rPr>
          <w:szCs w:val="26"/>
        </w:rPr>
        <w:t>a</w:t>
      </w:r>
      <w:r w:rsidRPr="00957C6E">
        <w:rPr>
          <w:szCs w:val="26"/>
        </w:rPr>
        <w:t xml:space="preserve"> wage order </w:t>
      </w:r>
      <w:r w:rsidRPr="00957C6E" w:rsidR="001A7868">
        <w:rPr>
          <w:szCs w:val="26"/>
        </w:rPr>
        <w:t xml:space="preserve">governing agricultural occupations </w:t>
      </w:r>
      <w:r w:rsidRPr="00957C6E">
        <w:rPr>
          <w:szCs w:val="26"/>
        </w:rPr>
        <w:t xml:space="preserve">to </w:t>
      </w:r>
      <w:r w:rsidRPr="00957C6E" w:rsidR="00920FD7">
        <w:rPr>
          <w:szCs w:val="26"/>
        </w:rPr>
        <w:t>b</w:t>
      </w:r>
      <w:r w:rsidRPr="00957C6E" w:rsidR="001A7868">
        <w:rPr>
          <w:szCs w:val="26"/>
        </w:rPr>
        <w:t>e</w:t>
      </w:r>
      <w:r w:rsidRPr="00957C6E" w:rsidR="00920FD7">
        <w:rPr>
          <w:szCs w:val="26"/>
        </w:rPr>
        <w:t xml:space="preserve"> synonymous with</w:t>
      </w:r>
      <w:r w:rsidRPr="00957C6E">
        <w:rPr>
          <w:szCs w:val="26"/>
        </w:rPr>
        <w:t xml:space="preserve"> “regular rate” </w:t>
      </w:r>
      <w:r w:rsidRPr="00957C6E" w:rsidR="001A7868">
        <w:rPr>
          <w:szCs w:val="26"/>
        </w:rPr>
        <w:t>in the FLSA</w:t>
      </w:r>
      <w:r w:rsidRPr="00957C6E">
        <w:rPr>
          <w:szCs w:val="26"/>
        </w:rPr>
        <w:t>.</w:t>
      </w:r>
      <w:r w:rsidRPr="00957C6E" w:rsidR="001A7868">
        <w:rPr>
          <w:szCs w:val="26"/>
        </w:rPr>
        <w:t xml:space="preserve">  (</w:t>
      </w:r>
      <w:r w:rsidRPr="00957C6E" w:rsidR="001A7868">
        <w:rPr>
          <w:i/>
          <w:szCs w:val="26"/>
        </w:rPr>
        <w:t>Alcala</w:t>
      </w:r>
      <w:r w:rsidRPr="00957C6E" w:rsidR="001A7868">
        <w:rPr>
          <w:szCs w:val="26"/>
        </w:rPr>
        <w:t xml:space="preserve">, </w:t>
      </w:r>
      <w:r w:rsidRPr="00957C6E" w:rsidR="001A7868">
        <w:rPr>
          <w:i/>
          <w:szCs w:val="26"/>
        </w:rPr>
        <w:t>supra</w:t>
      </w:r>
      <w:r w:rsidRPr="00957C6E" w:rsidR="001A7868">
        <w:rPr>
          <w:szCs w:val="26"/>
        </w:rPr>
        <w:t>, 182 Cal.App.3d at pp. </w:t>
      </w:r>
      <w:r w:rsidRPr="00957C6E" w:rsidR="00D4422B">
        <w:rPr>
          <w:szCs w:val="26"/>
        </w:rPr>
        <w:t>54</w:t>
      </w:r>
      <w:r w:rsidR="00D4422B">
        <w:rPr>
          <w:szCs w:val="26"/>
        </w:rPr>
        <w:t>8</w:t>
      </w:r>
      <w:r w:rsidRPr="00957C6E" w:rsidR="001A7868">
        <w:rPr>
          <w:szCs w:val="26"/>
        </w:rPr>
        <w:t>–551 &amp; fns. 1–2.)</w:t>
      </w:r>
      <w:r w:rsidRPr="00957C6E">
        <w:rPr>
          <w:szCs w:val="26"/>
        </w:rPr>
        <w:t xml:space="preserve">  </w:t>
      </w:r>
      <w:r w:rsidRPr="00957C6E" w:rsidR="001A7868">
        <w:rPr>
          <w:szCs w:val="26"/>
        </w:rPr>
        <w:t xml:space="preserve">The DLSE, in multiple opinion letters, </w:t>
      </w:r>
      <w:r w:rsidRPr="00957C6E" w:rsidR="002726DD">
        <w:rPr>
          <w:szCs w:val="26"/>
        </w:rPr>
        <w:t>similarly said that</w:t>
      </w:r>
      <w:r w:rsidRPr="00957C6E">
        <w:rPr>
          <w:szCs w:val="26"/>
        </w:rPr>
        <w:t xml:space="preserve"> “</w:t>
      </w:r>
      <w:r w:rsidRPr="00957C6E">
        <w:rPr>
          <w:szCs w:val="26"/>
          <w:shd w:val="clear" w:color="auto" w:fill="FFFFFF"/>
        </w:rPr>
        <w:t>in determining what payments are to be included in or excluded from the calculation of the regular rate of pay, California will adhere to the standards adopted by the U.S. Department of Labor to the extent that those standards are consistent with California law.”</w:t>
      </w:r>
      <w:r w:rsidRPr="00957C6E">
        <w:rPr>
          <w:szCs w:val="26"/>
        </w:rPr>
        <w:t xml:space="preserve">  </w:t>
      </w:r>
      <w:bookmarkStart w:id="2" w:name="_Hlk65760954"/>
      <w:r w:rsidRPr="00957C6E" w:rsidR="002726DD">
        <w:rPr>
          <w:szCs w:val="26"/>
        </w:rPr>
        <w:t>(</w:t>
      </w:r>
      <w:r w:rsidR="00D4422B">
        <w:rPr>
          <w:szCs w:val="26"/>
        </w:rPr>
        <w:t xml:space="preserve">Dept. of Industrial Relations, </w:t>
      </w:r>
      <w:r w:rsidRPr="00957C6E">
        <w:rPr>
          <w:szCs w:val="26"/>
          <w:shd w:val="clear" w:color="auto" w:fill="FFFFFF"/>
        </w:rPr>
        <w:t xml:space="preserve">DLSE, </w:t>
      </w:r>
      <w:r w:rsidR="00D4422B">
        <w:rPr>
          <w:szCs w:val="26"/>
          <w:shd w:val="clear" w:color="auto" w:fill="FFFFFF"/>
        </w:rPr>
        <w:t>Chief Counsel</w:t>
      </w:r>
      <w:r w:rsidRPr="00957C6E" w:rsidR="00D6010B">
        <w:rPr>
          <w:szCs w:val="26"/>
          <w:shd w:val="clear" w:color="auto" w:fill="FFFFFF"/>
        </w:rPr>
        <w:t xml:space="preserve"> </w:t>
      </w:r>
      <w:r w:rsidRPr="00957C6E">
        <w:rPr>
          <w:szCs w:val="26"/>
          <w:shd w:val="clear" w:color="auto" w:fill="FFFFFF"/>
        </w:rPr>
        <w:t>H. Thomas Cadell, Jr., Opn. Letter No.</w:t>
      </w:r>
      <w:r w:rsidR="002A7B53">
        <w:rPr>
          <w:szCs w:val="26"/>
          <w:shd w:val="clear" w:color="auto" w:fill="FFFFFF"/>
        </w:rPr>
        <w:t> </w:t>
      </w:r>
      <w:r w:rsidRPr="00957C6E">
        <w:rPr>
          <w:szCs w:val="26"/>
          <w:shd w:val="clear" w:color="auto" w:fill="FFFFFF"/>
        </w:rPr>
        <w:t>2003</w:t>
      </w:r>
      <w:r w:rsidR="00D4422B">
        <w:rPr>
          <w:szCs w:val="26"/>
          <w:shd w:val="clear" w:color="auto" w:fill="FFFFFF"/>
        </w:rPr>
        <w:t>.</w:t>
      </w:r>
      <w:r w:rsidRPr="00957C6E">
        <w:rPr>
          <w:szCs w:val="26"/>
          <w:shd w:val="clear" w:color="auto" w:fill="FFFFFF"/>
        </w:rPr>
        <w:t>01</w:t>
      </w:r>
      <w:r w:rsidR="00D4422B">
        <w:rPr>
          <w:szCs w:val="26"/>
          <w:shd w:val="clear" w:color="auto" w:fill="FFFFFF"/>
        </w:rPr>
        <w:t>.</w:t>
      </w:r>
      <w:r w:rsidRPr="00957C6E">
        <w:rPr>
          <w:szCs w:val="26"/>
          <w:shd w:val="clear" w:color="auto" w:fill="FFFFFF"/>
        </w:rPr>
        <w:t>29, Calculation of Regular Rate of Pay (Jan. 29, 2003) p.</w:t>
      </w:r>
      <w:r w:rsidRPr="00957C6E" w:rsidR="000C1E99">
        <w:rPr>
          <w:szCs w:val="26"/>
          <w:shd w:val="clear" w:color="auto" w:fill="FFFFFF"/>
        </w:rPr>
        <w:t> </w:t>
      </w:r>
      <w:r w:rsidRPr="00957C6E">
        <w:rPr>
          <w:szCs w:val="26"/>
          <w:shd w:val="clear" w:color="auto" w:fill="FFFFFF"/>
        </w:rPr>
        <w:t>2, fn.</w:t>
      </w:r>
      <w:r w:rsidR="008843A3">
        <w:rPr>
          <w:szCs w:val="26"/>
          <w:shd w:val="clear" w:color="auto" w:fill="FFFFFF"/>
        </w:rPr>
        <w:t> </w:t>
      </w:r>
      <w:r w:rsidRPr="00957C6E">
        <w:rPr>
          <w:szCs w:val="26"/>
          <w:shd w:val="clear" w:color="auto" w:fill="FFFFFF"/>
        </w:rPr>
        <w:t>1</w:t>
      </w:r>
      <w:bookmarkEnd w:id="2"/>
      <w:r w:rsidRPr="00957C6E">
        <w:rPr>
          <w:szCs w:val="26"/>
          <w:shd w:val="clear" w:color="auto" w:fill="FFFFFF"/>
        </w:rPr>
        <w:t xml:space="preserve">; </w:t>
      </w:r>
      <w:r w:rsidRPr="00957C6E" w:rsidR="002726DD">
        <w:rPr>
          <w:szCs w:val="26"/>
        </w:rPr>
        <w:t>see</w:t>
      </w:r>
      <w:r w:rsidRPr="00957C6E">
        <w:rPr>
          <w:szCs w:val="26"/>
        </w:rPr>
        <w:t>, e.g.,</w:t>
      </w:r>
      <w:r w:rsidRPr="00957C6E" w:rsidR="002726DD">
        <w:rPr>
          <w:szCs w:val="26"/>
        </w:rPr>
        <w:t xml:space="preserve"> </w:t>
      </w:r>
      <w:r w:rsidR="00D4422B">
        <w:rPr>
          <w:szCs w:val="26"/>
        </w:rPr>
        <w:t xml:space="preserve">Dept. of Industrial Relations, </w:t>
      </w:r>
      <w:r w:rsidRPr="00957C6E" w:rsidR="002726DD">
        <w:rPr>
          <w:szCs w:val="26"/>
        </w:rPr>
        <w:t>DLSE, Chief Counsel H. Thomas Cadell, Jr., Opn. Letter No. 1994</w:t>
      </w:r>
      <w:r w:rsidR="00D4422B">
        <w:rPr>
          <w:szCs w:val="26"/>
        </w:rPr>
        <w:t>.</w:t>
      </w:r>
      <w:r w:rsidRPr="00957C6E" w:rsidR="002726DD">
        <w:rPr>
          <w:szCs w:val="26"/>
        </w:rPr>
        <w:t>06</w:t>
      </w:r>
      <w:r w:rsidR="00D4422B">
        <w:rPr>
          <w:szCs w:val="26"/>
        </w:rPr>
        <w:t>.</w:t>
      </w:r>
      <w:r w:rsidRPr="00957C6E" w:rsidR="002726DD">
        <w:rPr>
          <w:szCs w:val="26"/>
        </w:rPr>
        <w:t>17</w:t>
      </w:r>
      <w:r w:rsidR="00D4422B">
        <w:rPr>
          <w:szCs w:val="26"/>
        </w:rPr>
        <w:t>-1</w:t>
      </w:r>
      <w:r w:rsidRPr="00957C6E" w:rsidR="002726DD">
        <w:rPr>
          <w:szCs w:val="26"/>
        </w:rPr>
        <w:t>, Regular Rate of Pay (</w:t>
      </w:r>
      <w:r w:rsidRPr="00957C6E" w:rsidR="00AF05B8">
        <w:rPr>
          <w:szCs w:val="26"/>
        </w:rPr>
        <w:t xml:space="preserve">June 17, </w:t>
      </w:r>
      <w:r w:rsidRPr="00957C6E" w:rsidR="002726DD">
        <w:rPr>
          <w:szCs w:val="26"/>
        </w:rPr>
        <w:t xml:space="preserve">1994) p. 2; </w:t>
      </w:r>
      <w:r w:rsidR="00D4422B">
        <w:rPr>
          <w:szCs w:val="26"/>
        </w:rPr>
        <w:t xml:space="preserve">Dept. of Industrial Relations, </w:t>
      </w:r>
      <w:r w:rsidRPr="00957C6E" w:rsidR="002726DD">
        <w:rPr>
          <w:szCs w:val="26"/>
        </w:rPr>
        <w:t>DLSE, Chief Counsel H. Thomas Cadell, Jr., Opn. Letter No. 1991.03.06, Calculation of Regular Rate of Pay (</w:t>
      </w:r>
      <w:r w:rsidRPr="00957C6E" w:rsidR="00AF05B8">
        <w:rPr>
          <w:szCs w:val="26"/>
        </w:rPr>
        <w:t xml:space="preserve">Mar. 26, </w:t>
      </w:r>
      <w:r w:rsidRPr="00957C6E" w:rsidR="002726DD">
        <w:rPr>
          <w:szCs w:val="26"/>
        </w:rPr>
        <w:t>1991) p. 1.)</w:t>
      </w:r>
      <w:r w:rsidRPr="00957C6E" w:rsidR="001A7868">
        <w:rPr>
          <w:szCs w:val="26"/>
        </w:rPr>
        <w:t xml:space="preserve">  And the DLSE’s 1998 Enforcement Policies and Interpretations Manual</w:t>
      </w:r>
      <w:r w:rsidRPr="00957C6E" w:rsidR="00463CA1">
        <w:rPr>
          <w:szCs w:val="26"/>
        </w:rPr>
        <w:t xml:space="preserve"> (</w:t>
      </w:r>
      <w:r w:rsidRPr="00957C6E" w:rsidR="006A6F49">
        <w:rPr>
          <w:szCs w:val="26"/>
        </w:rPr>
        <w:t xml:space="preserve">1998 </w:t>
      </w:r>
      <w:r w:rsidRPr="00957C6E" w:rsidR="00463CA1">
        <w:rPr>
          <w:szCs w:val="26"/>
        </w:rPr>
        <w:t>DLSE Manual)</w:t>
      </w:r>
      <w:r w:rsidRPr="00957C6E" w:rsidR="001A7868">
        <w:rPr>
          <w:szCs w:val="26"/>
        </w:rPr>
        <w:t xml:space="preserve"> stated:</w:t>
      </w:r>
      <w:r w:rsidRPr="00957C6E" w:rsidR="009F73D4">
        <w:rPr>
          <w:szCs w:val="26"/>
        </w:rPr>
        <w:t>  </w:t>
      </w:r>
      <w:r w:rsidRPr="00957C6E" w:rsidR="001A7868">
        <w:rPr>
          <w:szCs w:val="26"/>
        </w:rPr>
        <w:t>“Since the Industrial Welfare Commission has not defined the term ‘regular rate of pay,’ DLSE has determined that the IWC intended to adopt the definition of ‘regular rate of pay’ set out in the Fair Labor Standards Act . . . .”  (</w:t>
      </w:r>
      <w:r w:rsidRPr="00957C6E" w:rsidR="006A6F49">
        <w:rPr>
          <w:szCs w:val="26"/>
        </w:rPr>
        <w:t xml:space="preserve">1998 </w:t>
      </w:r>
      <w:r w:rsidRPr="00957C6E" w:rsidR="001A7868">
        <w:rPr>
          <w:szCs w:val="26"/>
        </w:rPr>
        <w:t xml:space="preserve">DLSE Manual, p. 84; see </w:t>
      </w:r>
      <w:r w:rsidRPr="00957C6E" w:rsidR="001A7868">
        <w:rPr>
          <w:i/>
          <w:iCs/>
          <w:szCs w:val="26"/>
        </w:rPr>
        <w:t>Alvarado</w:t>
      </w:r>
      <w:r w:rsidR="0000167C">
        <w:rPr>
          <w:szCs w:val="26"/>
        </w:rPr>
        <w:t xml:space="preserve">, </w:t>
      </w:r>
      <w:r w:rsidRPr="000275F0" w:rsidR="0000167C">
        <w:rPr>
          <w:i/>
          <w:iCs/>
          <w:szCs w:val="26"/>
        </w:rPr>
        <w:t>supra</w:t>
      </w:r>
      <w:r w:rsidR="0000167C">
        <w:rPr>
          <w:szCs w:val="26"/>
        </w:rPr>
        <w:t>, 4 Cal.5th at p. 561</w:t>
      </w:r>
      <w:r w:rsidRPr="00957C6E" w:rsidR="001A7868">
        <w:rPr>
          <w:szCs w:val="26"/>
        </w:rPr>
        <w:t xml:space="preserve"> [in construing California’s labor laws, “we </w:t>
      </w:r>
      <w:r w:rsidRPr="00957C6E" w:rsidR="001A7868">
        <w:rPr>
          <w:szCs w:val="26"/>
          <w:shd w:val="clear" w:color="auto" w:fill="FFFFFF"/>
        </w:rPr>
        <w:t>may take into consideration the DLSE’s expertise and special competence, as well as the fact that the DLSE Manual is a formal compilation that evidences considerable deliberation at the highest policymaking level of the agency”].)</w:t>
      </w:r>
    </w:p>
    <w:p w:rsidR="00CB1C5C" w:rsidRPr="00957C6E" w:rsidP="00957C6E">
      <w:pPr>
        <w:ind w:firstLine="720"/>
        <w:rPr>
          <w:szCs w:val="26"/>
        </w:rPr>
      </w:pPr>
      <w:r w:rsidRPr="00957C6E">
        <w:rPr>
          <w:szCs w:val="26"/>
        </w:rPr>
        <w:t>T</w:t>
      </w:r>
      <w:r w:rsidRPr="00957C6E" w:rsidR="00155364">
        <w:rPr>
          <w:szCs w:val="26"/>
        </w:rPr>
        <w:t xml:space="preserve">he term “regular rate of pay” first appeared in section 510 in 1999.  </w:t>
      </w:r>
      <w:r w:rsidRPr="00957C6E" w:rsidR="006C2238">
        <w:t>That year,</w:t>
      </w:r>
      <w:r w:rsidRPr="00957C6E" w:rsidR="0041356B">
        <w:t xml:space="preserve"> </w:t>
      </w:r>
      <w:r w:rsidRPr="00957C6E" w:rsidR="007C18BE">
        <w:t>“</w:t>
      </w:r>
      <w:r w:rsidRPr="00957C6E" w:rsidR="0041356B">
        <w:t xml:space="preserve">the Legislature enacted </w:t>
      </w:r>
      <w:r w:rsidRPr="00957C6E" w:rsidR="00007A02">
        <w:t>Assembly Bill No. 60</w:t>
      </w:r>
      <w:r w:rsidR="00C95D9D">
        <w:t xml:space="preserve"> (1999–2000 Reg. Sess.)</w:t>
      </w:r>
      <w:r w:rsidRPr="00957C6E" w:rsidR="00007A02">
        <w:t xml:space="preserve"> (A</w:t>
      </w:r>
      <w:r w:rsidR="00C95D9D">
        <w:t xml:space="preserve">ssembly </w:t>
      </w:r>
      <w:r w:rsidRPr="00957C6E" w:rsidR="00007A02">
        <w:t>B</w:t>
      </w:r>
      <w:r w:rsidR="00C95D9D">
        <w:t>ill</w:t>
      </w:r>
      <w:r w:rsidRPr="00957C6E" w:rsidR="00007A02">
        <w:t xml:space="preserve"> 60), known as the Eight-Hour-Day Restoration and Workplace Flexibility Act of 1999</w:t>
      </w:r>
      <w:r w:rsidR="00C95D9D">
        <w:t xml:space="preserve"> (Stats.</w:t>
      </w:r>
      <w:r w:rsidR="008843A3">
        <w:t> </w:t>
      </w:r>
      <w:r w:rsidR="00C95D9D">
        <w:t>1999, ch.</w:t>
      </w:r>
      <w:r w:rsidR="008843A3">
        <w:t> </w:t>
      </w:r>
      <w:r w:rsidR="00C95D9D">
        <w:t>134, §</w:t>
      </w:r>
      <w:r w:rsidR="008843A3">
        <w:t> </w:t>
      </w:r>
      <w:r w:rsidR="00C95D9D">
        <w:t>1, p.</w:t>
      </w:r>
      <w:r w:rsidR="008843A3">
        <w:t> </w:t>
      </w:r>
      <w:r w:rsidR="00C95D9D">
        <w:t>1820).</w:t>
      </w:r>
      <w:r w:rsidRPr="00957C6E" w:rsidR="00007A02">
        <w:t xml:space="preserve">  This bill was passed in response to IWC wage orders that had eliminated overtime for employees working more than eight hours per day.  The legislation repealed five wage orders, </w:t>
      </w:r>
      <w:r w:rsidRPr="00957C6E" w:rsidR="007A610D">
        <w:t xml:space="preserve">. . . </w:t>
      </w:r>
      <w:r w:rsidRPr="00957C6E" w:rsidR="00007A02">
        <w:t>and required the IWC to review its wage orders and readopt orders restoring daily overtime.</w:t>
      </w:r>
      <w:r w:rsidRPr="00957C6E" w:rsidR="00B23D22">
        <w:t xml:space="preserve">  [Citation.]  The Legislature amended Labor Code section 510 to explicitly provide that </w:t>
      </w:r>
      <w:r w:rsidRPr="00957C6E" w:rsidR="00FD7129">
        <w:t>‘</w:t>
      </w:r>
      <w:r w:rsidRPr="00957C6E" w:rsidR="00B23D22">
        <w:t>[a]ny work in excess of eight hours in one workday . . . shall be compensated at the rate of no less than one and one-half times the regular rate of pay for an employee.</w:t>
      </w:r>
      <w:r w:rsidRPr="00957C6E" w:rsidR="00FD7129">
        <w:t>’  (Stats.</w:t>
      </w:r>
      <w:r w:rsidRPr="00957C6E" w:rsidR="007034DA">
        <w:t> </w:t>
      </w:r>
      <w:r w:rsidRPr="00957C6E" w:rsidR="00FD7129">
        <w:t>1999, ch.</w:t>
      </w:r>
      <w:r w:rsidRPr="00957C6E" w:rsidR="007034DA">
        <w:t> </w:t>
      </w:r>
      <w:r w:rsidRPr="00957C6E" w:rsidR="00FD7129">
        <w:t>134, §</w:t>
      </w:r>
      <w:r w:rsidRPr="00957C6E" w:rsidR="007034DA">
        <w:t> </w:t>
      </w:r>
      <w:r w:rsidRPr="00957C6E" w:rsidR="00FD7129">
        <w:t>4</w:t>
      </w:r>
      <w:r w:rsidRPr="00957C6E" w:rsidR="007A610D">
        <w:t>, p.</w:t>
      </w:r>
      <w:r w:rsidRPr="00957C6E" w:rsidR="007034DA">
        <w:t> </w:t>
      </w:r>
      <w:r w:rsidRPr="00957C6E" w:rsidR="007A610D">
        <w:t>1821</w:t>
      </w:r>
      <w:r w:rsidRPr="00957C6E" w:rsidR="00FD7129">
        <w:t xml:space="preserve">; </w:t>
      </w:r>
      <w:r w:rsidRPr="00957C6E" w:rsidR="007A610D">
        <w:t>cf.</w:t>
      </w:r>
      <w:r w:rsidRPr="00957C6E" w:rsidR="00FD7129">
        <w:t xml:space="preserve"> </w:t>
      </w:r>
      <w:r w:rsidRPr="00957C6E" w:rsidR="007A610D">
        <w:t>S</w:t>
      </w:r>
      <w:r w:rsidRPr="00957C6E" w:rsidR="00FD7129">
        <w:t>tats.</w:t>
      </w:r>
      <w:r w:rsidRPr="00957C6E" w:rsidR="007A610D">
        <w:t> </w:t>
      </w:r>
      <w:r w:rsidRPr="00957C6E" w:rsidR="00FD7129">
        <w:t>1982, ch.</w:t>
      </w:r>
      <w:r w:rsidRPr="00957C6E" w:rsidR="007A610D">
        <w:t> </w:t>
      </w:r>
      <w:r w:rsidRPr="00957C6E" w:rsidR="00FD7129">
        <w:t>185, §</w:t>
      </w:r>
      <w:r w:rsidRPr="00957C6E" w:rsidR="007A610D">
        <w:t> </w:t>
      </w:r>
      <w:r w:rsidRPr="00957C6E" w:rsidR="00FD7129">
        <w:t>1</w:t>
      </w:r>
      <w:r w:rsidRPr="00957C6E" w:rsidR="007A610D">
        <w:t>, p. 563</w:t>
      </w:r>
      <w:r w:rsidRPr="00957C6E" w:rsidR="00FD7129">
        <w:t xml:space="preserve"> [earlier version of </w:t>
      </w:r>
      <w:r w:rsidR="00C95D9D">
        <w:t>§</w:t>
      </w:r>
      <w:r w:rsidR="003F3BF1">
        <w:t> </w:t>
      </w:r>
      <w:r w:rsidRPr="00957C6E" w:rsidR="00FD7129">
        <w:t>510 without that provision].)</w:t>
      </w:r>
      <w:r w:rsidRPr="00957C6E" w:rsidR="00A5416A">
        <w:t>”</w:t>
      </w:r>
      <w:r w:rsidRPr="00957C6E" w:rsidR="00494D74">
        <w:t xml:space="preserve">  (</w:t>
      </w:r>
      <w:r w:rsidRPr="00957C6E" w:rsidR="00494D74">
        <w:rPr>
          <w:i/>
          <w:iCs/>
        </w:rPr>
        <w:t>Gerard</w:t>
      </w:r>
      <w:r w:rsidRPr="00957C6E" w:rsidR="00494D74">
        <w:t xml:space="preserve">, </w:t>
      </w:r>
      <w:r w:rsidRPr="00957C6E" w:rsidR="00494D74">
        <w:rPr>
          <w:i/>
          <w:iCs/>
        </w:rPr>
        <w:t>supra</w:t>
      </w:r>
      <w:r w:rsidRPr="00957C6E" w:rsidR="00494D74">
        <w:t>, 6 Cal.5th at pp. 448–449</w:t>
      </w:r>
      <w:r w:rsidRPr="00957C6E" w:rsidR="007A610D">
        <w:t xml:space="preserve">; see </w:t>
      </w:r>
      <w:r w:rsidRPr="00957C6E" w:rsidR="007A610D">
        <w:rPr>
          <w:i/>
        </w:rPr>
        <w:t>Alvarado</w:t>
      </w:r>
      <w:r w:rsidRPr="00957C6E" w:rsidR="007A610D">
        <w:t xml:space="preserve">, </w:t>
      </w:r>
      <w:r w:rsidRPr="00957C6E" w:rsidR="007A610D">
        <w:rPr>
          <w:i/>
        </w:rPr>
        <w:t>supra</w:t>
      </w:r>
      <w:r w:rsidRPr="00957C6E" w:rsidR="007A610D">
        <w:t>, 4</w:t>
      </w:r>
      <w:r w:rsidR="003F3BF1">
        <w:t xml:space="preserve"> </w:t>
      </w:r>
      <w:r w:rsidRPr="00957C6E" w:rsidR="007A610D">
        <w:t>Cal.5th at p. 553</w:t>
      </w:r>
      <w:r w:rsidRPr="00957C6E" w:rsidR="00494D74">
        <w:t>.)</w:t>
      </w:r>
    </w:p>
    <w:p w:rsidR="000C1E99" w:rsidRPr="00957C6E" w:rsidP="00957C6E">
      <w:pPr>
        <w:ind w:firstLine="720"/>
        <w:rPr>
          <w:shd w:val="clear" w:color="auto" w:fill="FFFFFF"/>
        </w:rPr>
      </w:pPr>
      <w:r w:rsidRPr="00546783">
        <w:t>Like the DLSE, courts have understood “regular rate of pay” in section 510</w:t>
      </w:r>
      <w:r w:rsidRPr="00546783" w:rsidR="004A1972">
        <w:t>(a)</w:t>
      </w:r>
      <w:r w:rsidRPr="00546783">
        <w:t xml:space="preserve"> to have the same meaning as “regular rate” in the FLSA.</w:t>
      </w:r>
      <w:r w:rsidRPr="00957C6E">
        <w:t xml:space="preserve">  </w:t>
      </w:r>
      <w:r w:rsidRPr="00957C6E" w:rsidR="004A1972">
        <w:t xml:space="preserve">Citing the DLSE’s opinion letters, the court in </w:t>
      </w:r>
      <w:r w:rsidRPr="00957C6E">
        <w:rPr>
          <w:i/>
          <w:szCs w:val="26"/>
        </w:rPr>
        <w:t>Huntington Memorial Hospital v. Superior Court</w:t>
      </w:r>
      <w:r w:rsidRPr="00957C6E">
        <w:rPr>
          <w:szCs w:val="26"/>
        </w:rPr>
        <w:t xml:space="preserve"> (2005) 131 Cal.App.4th 893</w:t>
      </w:r>
      <w:r w:rsidRPr="00957C6E" w:rsidR="004A1972">
        <w:rPr>
          <w:szCs w:val="26"/>
        </w:rPr>
        <w:t>, 902–911 (</w:t>
      </w:r>
      <w:r w:rsidRPr="00957C6E" w:rsidR="004A1972">
        <w:rPr>
          <w:i/>
          <w:szCs w:val="26"/>
        </w:rPr>
        <w:t>Huntington</w:t>
      </w:r>
      <w:r w:rsidRPr="00957C6E" w:rsidR="004A1972">
        <w:rPr>
          <w:szCs w:val="26"/>
        </w:rPr>
        <w:t xml:space="preserve">) interpreted section 510(a) in accordance with the meaning of “regular rate” in the FLSA, </w:t>
      </w:r>
      <w:r w:rsidRPr="00957C6E" w:rsidR="00F702AC">
        <w:rPr>
          <w:szCs w:val="26"/>
        </w:rPr>
        <w:t>as elucidat</w:t>
      </w:r>
      <w:r w:rsidRPr="00957C6E" w:rsidR="00446E06">
        <w:rPr>
          <w:szCs w:val="26"/>
        </w:rPr>
        <w:t>ed</w:t>
      </w:r>
      <w:r w:rsidRPr="00957C6E" w:rsidR="00F702AC">
        <w:rPr>
          <w:szCs w:val="26"/>
        </w:rPr>
        <w:t xml:space="preserve"> in federal </w:t>
      </w:r>
      <w:r w:rsidRPr="00957C6E" w:rsidR="004A1972">
        <w:rPr>
          <w:szCs w:val="26"/>
        </w:rPr>
        <w:t>regulations and case law</w:t>
      </w:r>
      <w:r w:rsidR="00CD722A">
        <w:rPr>
          <w:szCs w:val="26"/>
        </w:rPr>
        <w:t xml:space="preserve">.  (See, e.g., </w:t>
      </w:r>
      <w:r w:rsidRPr="00957C6E" w:rsidR="007034DA">
        <w:rPr>
          <w:i/>
          <w:szCs w:val="26"/>
        </w:rPr>
        <w:t>Hardwood</w:t>
      </w:r>
      <w:r w:rsidRPr="00957C6E" w:rsidR="004A1972">
        <w:rPr>
          <w:szCs w:val="26"/>
        </w:rPr>
        <w:t xml:space="preserve">, </w:t>
      </w:r>
      <w:r w:rsidRPr="00957C6E" w:rsidR="004A1972">
        <w:rPr>
          <w:i/>
          <w:szCs w:val="26"/>
        </w:rPr>
        <w:t>supra</w:t>
      </w:r>
      <w:r w:rsidRPr="00957C6E" w:rsidR="004A1972">
        <w:rPr>
          <w:szCs w:val="26"/>
        </w:rPr>
        <w:t>, 325</w:t>
      </w:r>
      <w:r w:rsidRPr="00957C6E" w:rsidR="008B19EA">
        <w:rPr>
          <w:szCs w:val="26"/>
        </w:rPr>
        <w:t> </w:t>
      </w:r>
      <w:r w:rsidRPr="00957C6E" w:rsidR="004A1972">
        <w:rPr>
          <w:szCs w:val="26"/>
        </w:rPr>
        <w:t xml:space="preserve">U.S. </w:t>
      </w:r>
      <w:r w:rsidRPr="00957C6E" w:rsidR="003F52DB">
        <w:rPr>
          <w:szCs w:val="26"/>
        </w:rPr>
        <w:t xml:space="preserve">at </w:t>
      </w:r>
      <w:r w:rsidR="00CD722A">
        <w:rPr>
          <w:szCs w:val="26"/>
        </w:rPr>
        <w:t>p. </w:t>
      </w:r>
      <w:r w:rsidRPr="00957C6E" w:rsidR="004A1972">
        <w:rPr>
          <w:szCs w:val="26"/>
        </w:rPr>
        <w:t>4</w:t>
      </w:r>
      <w:r w:rsidRPr="00957C6E" w:rsidR="003F52DB">
        <w:rPr>
          <w:szCs w:val="26"/>
        </w:rPr>
        <w:t>24</w:t>
      </w:r>
      <w:r w:rsidRPr="00957C6E" w:rsidR="004A1972">
        <w:rPr>
          <w:szCs w:val="26"/>
        </w:rPr>
        <w:t>.</w:t>
      </w:r>
      <w:r w:rsidR="00CD722A">
        <w:rPr>
          <w:szCs w:val="26"/>
        </w:rPr>
        <w:t>)</w:t>
      </w:r>
      <w:r w:rsidRPr="00957C6E" w:rsidR="004A1972">
        <w:rPr>
          <w:szCs w:val="26"/>
        </w:rPr>
        <w:t xml:space="preserve">  </w:t>
      </w:r>
      <w:r w:rsidRPr="00957C6E" w:rsidR="00F702AC">
        <w:rPr>
          <w:szCs w:val="26"/>
        </w:rPr>
        <w:t>Notably</w:t>
      </w:r>
      <w:r w:rsidRPr="00957C6E" w:rsidR="004A1972">
        <w:rPr>
          <w:szCs w:val="26"/>
        </w:rPr>
        <w:t>, the</w:t>
      </w:r>
      <w:r w:rsidRPr="00957C6E" w:rsidR="00F702AC">
        <w:rPr>
          <w:szCs w:val="26"/>
        </w:rPr>
        <w:t xml:space="preserve"> </w:t>
      </w:r>
      <w:r w:rsidRPr="00957C6E" w:rsidR="00F702AC">
        <w:rPr>
          <w:i/>
          <w:szCs w:val="26"/>
        </w:rPr>
        <w:t>Huntington</w:t>
      </w:r>
      <w:r w:rsidRPr="00957C6E" w:rsidR="004A1972">
        <w:rPr>
          <w:szCs w:val="26"/>
        </w:rPr>
        <w:t xml:space="preserve"> court treated </w:t>
      </w:r>
      <w:r w:rsidRPr="00957C6E" w:rsidR="00F702AC">
        <w:rPr>
          <w:szCs w:val="26"/>
        </w:rPr>
        <w:t xml:space="preserve">“regular rate” as the operative </w:t>
      </w:r>
      <w:r w:rsidRPr="00957C6E" w:rsidR="007034DA">
        <w:rPr>
          <w:szCs w:val="26"/>
        </w:rPr>
        <w:t>term</w:t>
      </w:r>
      <w:r w:rsidRPr="00957C6E" w:rsidR="00F702AC">
        <w:rPr>
          <w:szCs w:val="26"/>
        </w:rPr>
        <w:t xml:space="preserve"> in section 510(a)’s phrase “regular rate of pay.”  (</w:t>
      </w:r>
      <w:r w:rsidRPr="00957C6E" w:rsidR="00F702AC">
        <w:rPr>
          <w:i/>
          <w:szCs w:val="26"/>
        </w:rPr>
        <w:t>Huntington</w:t>
      </w:r>
      <w:r w:rsidRPr="00957C6E" w:rsidR="00F702AC">
        <w:rPr>
          <w:szCs w:val="26"/>
        </w:rPr>
        <w:t>, at p. 902 [“</w:t>
      </w:r>
      <w:r w:rsidRPr="00957C6E" w:rsidR="00F702AC">
        <w:rPr>
          <w:shd w:val="clear" w:color="auto" w:fill="FFFFFF"/>
        </w:rPr>
        <w:t>Under state and federal law, overtime compensation is based on an employee</w:t>
      </w:r>
      <w:r w:rsidRPr="00957C6E" w:rsidR="007034DA">
        <w:rPr>
          <w:shd w:val="clear" w:color="auto" w:fill="FFFFFF"/>
        </w:rPr>
        <w:t>’</w:t>
      </w:r>
      <w:r w:rsidRPr="00957C6E" w:rsidR="00F702AC">
        <w:rPr>
          <w:shd w:val="clear" w:color="auto" w:fill="FFFFFF"/>
        </w:rPr>
        <w:t>s ‘regular rate.’  (See Lab. Code, § 510, subd. (a); 29 U.S.C. § 207</w:t>
      </w:r>
      <w:r w:rsidR="00546783">
        <w:rPr>
          <w:shd w:val="clear" w:color="auto" w:fill="FFFFFF"/>
        </w:rPr>
        <w:t>(a)</w:t>
      </w:r>
      <w:r w:rsidRPr="00957C6E" w:rsidR="00F702AC">
        <w:rPr>
          <w:shd w:val="clear" w:color="auto" w:fill="FFFFFF"/>
        </w:rPr>
        <w:t xml:space="preserve">(1), (2).)”]; see </w:t>
      </w:r>
      <w:r w:rsidRPr="00957C6E" w:rsidR="00F702AC">
        <w:rPr>
          <w:i/>
          <w:shd w:val="clear" w:color="auto" w:fill="FFFFFF"/>
        </w:rPr>
        <w:t>Kao v. Holiday</w:t>
      </w:r>
      <w:r w:rsidRPr="00957C6E" w:rsidR="00F702AC">
        <w:rPr>
          <w:shd w:val="clear" w:color="auto" w:fill="FFFFFF"/>
        </w:rPr>
        <w:t xml:space="preserve"> (2017) 12 Cal.App.5th 947, 960, fn. 5 [following </w:t>
      </w:r>
      <w:r w:rsidRPr="00957C6E" w:rsidR="00F702AC">
        <w:rPr>
          <w:i/>
          <w:shd w:val="clear" w:color="auto" w:fill="FFFFFF"/>
        </w:rPr>
        <w:t>Huntington</w:t>
      </w:r>
      <w:r w:rsidRPr="00957C6E" w:rsidR="00F702AC">
        <w:rPr>
          <w:shd w:val="clear" w:color="auto" w:fill="FFFFFF"/>
        </w:rPr>
        <w:t xml:space="preserve">]; </w:t>
      </w:r>
      <w:r w:rsidRPr="00957C6E" w:rsidR="00F702AC">
        <w:rPr>
          <w:i/>
          <w:shd w:val="clear" w:color="auto" w:fill="FFFFFF"/>
        </w:rPr>
        <w:t>Advanced-Tech Security Services v. Superior Court</w:t>
      </w:r>
      <w:r w:rsidRPr="00957C6E" w:rsidR="00F702AC">
        <w:rPr>
          <w:shd w:val="clear" w:color="auto" w:fill="FFFFFF"/>
        </w:rPr>
        <w:t xml:space="preserve"> (2008) 163</w:t>
      </w:r>
      <w:r w:rsidRPr="00957C6E" w:rsidR="005A10B0">
        <w:rPr>
          <w:shd w:val="clear" w:color="auto" w:fill="FFFFFF"/>
        </w:rPr>
        <w:t> </w:t>
      </w:r>
      <w:r w:rsidRPr="00957C6E" w:rsidR="00F702AC">
        <w:rPr>
          <w:shd w:val="clear" w:color="auto" w:fill="FFFFFF"/>
        </w:rPr>
        <w:t xml:space="preserve">Cal.App.4th 700, 708 </w:t>
      </w:r>
      <w:r w:rsidRPr="00957C6E" w:rsidR="001B7FAF">
        <w:rPr>
          <w:shd w:val="clear" w:color="auto" w:fill="FFFFFF"/>
        </w:rPr>
        <w:t>(</w:t>
      </w:r>
      <w:r w:rsidRPr="00957C6E" w:rsidR="001B7FAF">
        <w:rPr>
          <w:i/>
          <w:shd w:val="clear" w:color="auto" w:fill="FFFFFF"/>
        </w:rPr>
        <w:t>Advanced-Tech</w:t>
      </w:r>
      <w:r w:rsidRPr="00957C6E" w:rsidR="001B7FAF">
        <w:rPr>
          <w:shd w:val="clear" w:color="auto" w:fill="FFFFFF"/>
        </w:rPr>
        <w:t xml:space="preserve">) </w:t>
      </w:r>
      <w:r w:rsidRPr="00957C6E" w:rsidR="00F702AC">
        <w:rPr>
          <w:shd w:val="clear" w:color="auto" w:fill="FFFFFF"/>
        </w:rPr>
        <w:t>[same].)</w:t>
      </w:r>
    </w:p>
    <w:p w:rsidR="00831ECD" w:rsidRPr="00957C6E" w:rsidP="00957C6E">
      <w:pPr>
        <w:ind w:firstLine="720"/>
        <w:rPr>
          <w:shd w:val="clear" w:color="auto" w:fill="FFFFFF"/>
        </w:rPr>
      </w:pPr>
      <w:r w:rsidRPr="00957C6E">
        <w:rPr>
          <w:shd w:val="clear" w:color="auto" w:fill="FFFFFF"/>
        </w:rPr>
        <w:t>In addition</w:t>
      </w:r>
      <w:r w:rsidRPr="00957C6E" w:rsidR="000C1E99">
        <w:rPr>
          <w:shd w:val="clear" w:color="auto" w:fill="FFFFFF"/>
        </w:rPr>
        <w:t xml:space="preserve">, we recently said that </w:t>
      </w:r>
      <w:r w:rsidRPr="00957C6E" w:rsidR="000C1E99">
        <w:rPr>
          <w:szCs w:val="26"/>
        </w:rPr>
        <w:t xml:space="preserve">“an employee’s ‘regular rate of pay’ for purposes of Labor Code section 510 and the IWC wage orders is not the same as the employee’s straight time rate (i.e., his or her normal hourly wage rate).  Regular rate of pay, which can change from pay period to pay period, includes adjustments to the straight time rate, reflecting, among other things, shift differentials and the per-hour value of any nonhourly compensation the employee has earned.”  </w:t>
      </w:r>
      <w:r w:rsidRPr="00957C6E" w:rsidR="000C1E99">
        <w:rPr>
          <w:color w:val="000000"/>
          <w:shd w:val="clear" w:color="auto" w:fill="FFFFFF"/>
        </w:rPr>
        <w:t>(</w:t>
      </w:r>
      <w:r w:rsidRPr="00957C6E" w:rsidR="000C1E99">
        <w:rPr>
          <w:i/>
          <w:iCs/>
          <w:szCs w:val="26"/>
        </w:rPr>
        <w:t>Alvarado</w:t>
      </w:r>
      <w:r w:rsidRPr="00957C6E" w:rsidR="000C1E99">
        <w:rPr>
          <w:iCs/>
          <w:szCs w:val="26"/>
        </w:rPr>
        <w:t xml:space="preserve">, </w:t>
      </w:r>
      <w:r w:rsidRPr="00957C6E" w:rsidR="000C1E99">
        <w:rPr>
          <w:i/>
          <w:iCs/>
          <w:szCs w:val="26"/>
        </w:rPr>
        <w:t>supra</w:t>
      </w:r>
      <w:r w:rsidRPr="00957C6E" w:rsidR="000C1E99">
        <w:rPr>
          <w:iCs/>
          <w:szCs w:val="26"/>
        </w:rPr>
        <w:t xml:space="preserve">, </w:t>
      </w:r>
      <w:r w:rsidRPr="00957C6E" w:rsidR="000C1E99">
        <w:rPr>
          <w:szCs w:val="26"/>
        </w:rPr>
        <w:t xml:space="preserve">4 Cal.5th at p. 554; see </w:t>
      </w:r>
      <w:r w:rsidRPr="00957C6E" w:rsidR="000C1E99">
        <w:rPr>
          <w:i/>
          <w:szCs w:val="26"/>
        </w:rPr>
        <w:t>id.</w:t>
      </w:r>
      <w:r w:rsidRPr="00957C6E" w:rsidR="000C1E99">
        <w:rPr>
          <w:szCs w:val="26"/>
        </w:rPr>
        <w:t xml:space="preserve"> at p. 569 [“</w:t>
      </w:r>
      <w:r w:rsidRPr="00957C6E" w:rsidR="000C1E99">
        <w:rPr>
          <w:color w:val="000000"/>
          <w:shd w:val="clear" w:color="auto" w:fill="FFFFFF"/>
        </w:rPr>
        <w:t>Not all employees earn at a fixed pay rate throughout a pay period, and therefore regular rate of pay is a </w:t>
      </w:r>
      <w:r w:rsidRPr="00957C6E" w:rsidR="000C1E99">
        <w:rPr>
          <w:rStyle w:val="Emphasis"/>
          <w:color w:val="000000"/>
          <w:bdr w:val="none" w:sz="0" w:space="0" w:color="auto" w:frame="1"/>
        </w:rPr>
        <w:t>weighted average</w:t>
      </w:r>
      <w:r w:rsidRPr="00957C6E" w:rsidR="000C1E99">
        <w:rPr>
          <w:color w:val="000000"/>
          <w:shd w:val="clear" w:color="auto" w:fill="FFFFFF"/>
        </w:rPr>
        <w:t xml:space="preserve"> reflecting work done at varying times, under varying circumstances, and at varying rates.”].)  </w:t>
      </w:r>
      <w:r w:rsidRPr="00957C6E" w:rsidR="000C1E99">
        <w:rPr>
          <w:shd w:val="clear" w:color="auto" w:fill="FFFFFF"/>
        </w:rPr>
        <w:t xml:space="preserve">Consistent with the meaning of “regular rate” in the FLSA, </w:t>
      </w:r>
      <w:r w:rsidRPr="00957C6E">
        <w:rPr>
          <w:shd w:val="clear" w:color="auto" w:fill="FFFFFF"/>
        </w:rPr>
        <w:t xml:space="preserve">we observed that an </w:t>
      </w:r>
      <w:r w:rsidRPr="00957C6E">
        <w:rPr>
          <w:szCs w:val="26"/>
        </w:rPr>
        <w:t>“attendance bonus” earned for weekend work (a form of “incentive pay”)</w:t>
      </w:r>
      <w:r w:rsidRPr="00957C6E" w:rsidR="000C1E99">
        <w:rPr>
          <w:szCs w:val="26"/>
        </w:rPr>
        <w:t xml:space="preserve"> was “</w:t>
      </w:r>
      <w:r w:rsidRPr="00957C6E" w:rsidR="000C1E99">
        <w:rPr>
          <w:color w:val="000000"/>
          <w:shd w:val="clear" w:color="auto" w:fill="FFFFFF"/>
        </w:rPr>
        <w:t>part of an employee’s overall compensation package, and therefore . . . its per-hour value must be determined so that the employee’s regular rate of pay</w:t>
      </w:r>
      <w:r w:rsidRPr="00957C6E" w:rsidR="00B4452C">
        <w:rPr>
          <w:color w:val="000000"/>
          <w:shd w:val="clear" w:color="auto" w:fill="FFFFFF"/>
        </w:rPr>
        <w:t> </w:t>
      </w:r>
      <w:r w:rsidRPr="00957C6E" w:rsidR="000C1E99">
        <w:rPr>
          <w:color w:val="000000"/>
          <w:shd w:val="clear" w:color="auto" w:fill="FFFFFF"/>
        </w:rPr>
        <w:t>—</w:t>
      </w:r>
      <w:r w:rsidR="0008140C">
        <w:rPr>
          <w:color w:val="000000"/>
          <w:shd w:val="clear" w:color="auto" w:fill="FFFFFF"/>
        </w:rPr>
        <w:t xml:space="preserve"> </w:t>
      </w:r>
      <w:r w:rsidRPr="00957C6E" w:rsidR="000C1E99">
        <w:rPr>
          <w:color w:val="000000"/>
          <w:shd w:val="clear" w:color="auto" w:fill="FFFFFF"/>
        </w:rPr>
        <w:t>and, derivatively, the employee’s overtime pay rate</w:t>
      </w:r>
      <w:r w:rsidRPr="00957C6E" w:rsidR="00B4452C">
        <w:rPr>
          <w:color w:val="000000"/>
          <w:shd w:val="clear" w:color="auto" w:fill="FFFFFF"/>
        </w:rPr>
        <w:t> </w:t>
      </w:r>
      <w:r w:rsidRPr="00957C6E" w:rsidR="000C1E99">
        <w:rPr>
          <w:color w:val="000000"/>
          <w:shd w:val="clear" w:color="auto" w:fill="FFFFFF"/>
        </w:rPr>
        <w:t>—</w:t>
      </w:r>
      <w:r w:rsidR="0008140C">
        <w:rPr>
          <w:color w:val="000000"/>
          <w:shd w:val="clear" w:color="auto" w:fill="FFFFFF"/>
        </w:rPr>
        <w:t xml:space="preserve"> </w:t>
      </w:r>
      <w:r w:rsidRPr="00957C6E" w:rsidR="000C1E99">
        <w:rPr>
          <w:color w:val="000000"/>
          <w:shd w:val="clear" w:color="auto" w:fill="FFFFFF"/>
        </w:rPr>
        <w:t>reflects all the various forms of regular compensation that the employee earned in the relevant pay period.”  (</w:t>
      </w:r>
      <w:r w:rsidRPr="00957C6E" w:rsidR="000C1E99">
        <w:rPr>
          <w:i/>
          <w:iCs/>
          <w:szCs w:val="26"/>
        </w:rPr>
        <w:t>Alvarado</w:t>
      </w:r>
      <w:r w:rsidRPr="00957C6E" w:rsidR="000C1E99">
        <w:rPr>
          <w:iCs/>
          <w:szCs w:val="26"/>
        </w:rPr>
        <w:t xml:space="preserve">, </w:t>
      </w:r>
      <w:r w:rsidRPr="00957C6E" w:rsidR="000C1E99">
        <w:rPr>
          <w:szCs w:val="26"/>
        </w:rPr>
        <w:t>at p. 554.)</w:t>
      </w:r>
    </w:p>
    <w:p w:rsidR="00920FD7" w:rsidRPr="00957C6E" w:rsidP="00957C6E">
      <w:pPr>
        <w:ind w:firstLine="720"/>
        <w:rPr>
          <w:szCs w:val="26"/>
        </w:rPr>
      </w:pPr>
      <w:r w:rsidRPr="00957C6E">
        <w:rPr>
          <w:szCs w:val="26"/>
        </w:rPr>
        <w:t xml:space="preserve">In sum, the history above shows that the term “regular rate” in </w:t>
      </w:r>
      <w:r w:rsidRPr="00957C6E" w:rsidR="009F35C3">
        <w:rPr>
          <w:szCs w:val="26"/>
        </w:rPr>
        <w:t xml:space="preserve">section 7(a) of </w:t>
      </w:r>
      <w:r w:rsidRPr="00957C6E">
        <w:rPr>
          <w:szCs w:val="26"/>
        </w:rPr>
        <w:t>the FLSA</w:t>
      </w:r>
      <w:r w:rsidRPr="00957C6E" w:rsidR="009F35C3">
        <w:rPr>
          <w:szCs w:val="26"/>
        </w:rPr>
        <w:t xml:space="preserve"> account</w:t>
      </w:r>
      <w:r w:rsidRPr="00957C6E" w:rsidR="00206270">
        <w:rPr>
          <w:szCs w:val="26"/>
        </w:rPr>
        <w:t>s</w:t>
      </w:r>
      <w:r w:rsidRPr="00957C6E" w:rsidR="009F35C3">
        <w:rPr>
          <w:szCs w:val="26"/>
        </w:rPr>
        <w:t xml:space="preserve"> </w:t>
      </w:r>
      <w:r w:rsidRPr="00957C6E" w:rsidR="00206270">
        <w:rPr>
          <w:szCs w:val="26"/>
        </w:rPr>
        <w:t xml:space="preserve">for not </w:t>
      </w:r>
      <w:r w:rsidRPr="00957C6E">
        <w:rPr>
          <w:szCs w:val="26"/>
        </w:rPr>
        <w:t xml:space="preserve">only hourly wages but also nondiscretionary </w:t>
      </w:r>
      <w:r w:rsidRPr="00957C6E" w:rsidR="006A5134">
        <w:rPr>
          <w:szCs w:val="26"/>
        </w:rPr>
        <w:t>payments</w:t>
      </w:r>
      <w:r w:rsidRPr="00957C6E">
        <w:rPr>
          <w:szCs w:val="26"/>
        </w:rPr>
        <w:t xml:space="preserve"> and that the </w:t>
      </w:r>
      <w:r w:rsidRPr="00957C6E" w:rsidR="009F35C3">
        <w:rPr>
          <w:szCs w:val="26"/>
        </w:rPr>
        <w:t xml:space="preserve">term “regular rate of pay” as used </w:t>
      </w:r>
      <w:r w:rsidRPr="00957C6E" w:rsidR="00206270">
        <w:rPr>
          <w:szCs w:val="26"/>
        </w:rPr>
        <w:t>in section 510(a) and in</w:t>
      </w:r>
      <w:r w:rsidRPr="00957C6E" w:rsidR="009F35C3">
        <w:rPr>
          <w:szCs w:val="26"/>
        </w:rPr>
        <w:t xml:space="preserve"> the I</w:t>
      </w:r>
      <w:r w:rsidRPr="00957C6E">
        <w:rPr>
          <w:szCs w:val="26"/>
        </w:rPr>
        <w:t>WC</w:t>
      </w:r>
      <w:r w:rsidRPr="00957C6E" w:rsidR="00206270">
        <w:rPr>
          <w:szCs w:val="26"/>
        </w:rPr>
        <w:t xml:space="preserve">’s earlier </w:t>
      </w:r>
      <w:r w:rsidRPr="00957C6E" w:rsidR="009F35C3">
        <w:rPr>
          <w:szCs w:val="26"/>
        </w:rPr>
        <w:t xml:space="preserve">wage orders </w:t>
      </w:r>
      <w:r w:rsidRPr="00957C6E" w:rsidR="00206270">
        <w:rPr>
          <w:szCs w:val="26"/>
        </w:rPr>
        <w:t xml:space="preserve">has the same meaning as </w:t>
      </w:r>
      <w:r w:rsidRPr="00957C6E" w:rsidR="009F35C3">
        <w:rPr>
          <w:szCs w:val="26"/>
        </w:rPr>
        <w:t xml:space="preserve">“regular rate” in the FLSA.  </w:t>
      </w:r>
      <w:r w:rsidRPr="00957C6E" w:rsidR="00206270">
        <w:rPr>
          <w:szCs w:val="26"/>
        </w:rPr>
        <w:t xml:space="preserve">With this backdrop in mind, we now turn to the phrase “regular rate of compensation” in the context of premium pay for </w:t>
      </w:r>
      <w:r w:rsidR="00CE1E21">
        <w:rPr>
          <w:szCs w:val="26"/>
        </w:rPr>
        <w:t xml:space="preserve">a noncompliant </w:t>
      </w:r>
      <w:r w:rsidRPr="00957C6E" w:rsidR="00206270">
        <w:rPr>
          <w:szCs w:val="26"/>
        </w:rPr>
        <w:t>meal</w:t>
      </w:r>
      <w:r w:rsidR="00BA5324">
        <w:rPr>
          <w:szCs w:val="26"/>
        </w:rPr>
        <w:t>, rest, or recovery period</w:t>
      </w:r>
      <w:r w:rsidR="00CE1E21">
        <w:rPr>
          <w:szCs w:val="26"/>
        </w:rPr>
        <w:t>.</w:t>
      </w:r>
    </w:p>
    <w:p w:rsidR="00E80B65" w:rsidRPr="00957C6E" w:rsidP="000275F0">
      <w:pPr>
        <w:keepNext/>
        <w:jc w:val="center"/>
        <w:rPr>
          <w:b/>
          <w:bCs/>
        </w:rPr>
      </w:pPr>
      <w:r w:rsidRPr="001D6B6E">
        <w:rPr>
          <w:b/>
          <w:bCs/>
        </w:rPr>
        <w:t>B.</w:t>
      </w:r>
    </w:p>
    <w:p w:rsidR="002E1875" w:rsidRPr="00957C6E" w:rsidP="00957C6E">
      <w:pPr>
        <w:ind w:firstLine="720"/>
        <w:rPr>
          <w:rStyle w:val="cohl"/>
        </w:rPr>
      </w:pPr>
      <w:r w:rsidRPr="00957C6E">
        <w:t xml:space="preserve">As noted, </w:t>
      </w:r>
      <w:r w:rsidRPr="00957C6E" w:rsidR="003B0F23">
        <w:t xml:space="preserve">when </w:t>
      </w:r>
      <w:r w:rsidRPr="00957C6E" w:rsidR="0013132D">
        <w:t xml:space="preserve">the Legislature </w:t>
      </w:r>
      <w:r w:rsidRPr="00957C6E" w:rsidR="00A16574">
        <w:t>pass</w:t>
      </w:r>
      <w:r w:rsidRPr="00957C6E" w:rsidR="009F340A">
        <w:t>ed</w:t>
      </w:r>
      <w:r w:rsidRPr="00957C6E" w:rsidR="00A16574">
        <w:t xml:space="preserve"> </w:t>
      </w:r>
      <w:r w:rsidRPr="00957C6E" w:rsidR="00902D22">
        <w:t>A</w:t>
      </w:r>
      <w:r w:rsidR="00902D22">
        <w:t>ssembly Bill No.</w:t>
      </w:r>
      <w:r w:rsidRPr="00957C6E" w:rsidR="00902D22">
        <w:t xml:space="preserve"> </w:t>
      </w:r>
      <w:r w:rsidRPr="00957C6E" w:rsidR="00A16574">
        <w:t>60</w:t>
      </w:r>
      <w:r w:rsidR="00902D22">
        <w:t xml:space="preserve"> (</w:t>
      </w:r>
      <w:r w:rsidR="00997FAF">
        <w:t>1999–2000 Reg. Sess.</w:t>
      </w:r>
      <w:r w:rsidR="00902D22">
        <w:t>) (Assembly Bill 60)</w:t>
      </w:r>
      <w:r w:rsidRPr="00957C6E" w:rsidR="00A16574">
        <w:t xml:space="preserve"> </w:t>
      </w:r>
      <w:r w:rsidRPr="00957C6E" w:rsidR="003B0F23">
        <w:t xml:space="preserve">in 1999, it </w:t>
      </w:r>
      <w:r w:rsidRPr="00957C6E" w:rsidR="009F340A">
        <w:t xml:space="preserve">not only enacted section 510 but </w:t>
      </w:r>
      <w:r w:rsidRPr="00957C6E" w:rsidR="003B0F23">
        <w:t xml:space="preserve">also directed the IWC to rewrite its wage orders to restore daily overtime pay.  </w:t>
      </w:r>
      <w:r w:rsidRPr="00957C6E" w:rsidR="003B0F23">
        <w:rPr>
          <w:rStyle w:val="cohl"/>
        </w:rPr>
        <w:t>“</w:t>
      </w:r>
      <w:r w:rsidRPr="00957C6E" w:rsidR="003B0F23">
        <w:rPr>
          <w:shd w:val="clear" w:color="auto" w:fill="FFFFFF"/>
        </w:rPr>
        <w:t xml:space="preserve">Consistent with </w:t>
      </w:r>
      <w:r w:rsidRPr="00957C6E" w:rsidR="00A16574">
        <w:rPr>
          <w:shd w:val="clear" w:color="auto" w:fill="FFFFFF"/>
        </w:rPr>
        <w:t>that</w:t>
      </w:r>
      <w:r w:rsidRPr="00957C6E" w:rsidR="003B0F23">
        <w:rPr>
          <w:shd w:val="clear" w:color="auto" w:fill="FFFFFF"/>
        </w:rPr>
        <w:t xml:space="preserve"> mandate, the IWC adopted a new version of Wage Order No.5 on June 30, 2000, and it became effective on October 1, 2000</w:t>
      </w:r>
      <w:r w:rsidRPr="00957C6E" w:rsidR="003B0F23">
        <w:t>.”  (</w:t>
      </w:r>
      <w:r w:rsidRPr="00957C6E" w:rsidR="003B0F23">
        <w:rPr>
          <w:rStyle w:val="cohl"/>
          <w:i/>
          <w:iCs/>
        </w:rPr>
        <w:t>Gerard</w:t>
      </w:r>
      <w:r w:rsidRPr="00957C6E" w:rsidR="003B0F23">
        <w:rPr>
          <w:rStyle w:val="cohl"/>
        </w:rPr>
        <w:t xml:space="preserve">, </w:t>
      </w:r>
      <w:r w:rsidRPr="00957C6E" w:rsidR="003B0F23">
        <w:rPr>
          <w:rStyle w:val="cohl"/>
          <w:i/>
          <w:iCs/>
        </w:rPr>
        <w:t>supra</w:t>
      </w:r>
      <w:r w:rsidRPr="00957C6E" w:rsidR="003B0F23">
        <w:rPr>
          <w:rStyle w:val="cohl"/>
        </w:rPr>
        <w:t xml:space="preserve">, 6 Cal.5th at p. 449; see </w:t>
      </w:r>
      <w:r w:rsidRPr="00957C6E" w:rsidR="00A430E8">
        <w:rPr>
          <w:i/>
          <w:iCs/>
        </w:rPr>
        <w:t>Brinker</w:t>
      </w:r>
      <w:r w:rsidRPr="00957C6E" w:rsidR="000110F0">
        <w:rPr>
          <w:i/>
          <w:iCs/>
        </w:rPr>
        <w:t xml:space="preserve"> Restaurant Corp. v. Superior Court </w:t>
      </w:r>
      <w:r w:rsidRPr="00957C6E" w:rsidR="000110F0">
        <w:t>(2012)</w:t>
      </w:r>
      <w:r w:rsidRPr="00957C6E" w:rsidR="00A430E8">
        <w:t xml:space="preserve"> 53 Cal.4th</w:t>
      </w:r>
      <w:r w:rsidRPr="00957C6E" w:rsidR="000110F0">
        <w:t xml:space="preserve"> 1004, </w:t>
      </w:r>
      <w:r w:rsidRPr="00957C6E" w:rsidR="00A430E8">
        <w:t>1046</w:t>
      </w:r>
      <w:r w:rsidRPr="00957C6E" w:rsidR="00654B43">
        <w:t xml:space="preserve"> (</w:t>
      </w:r>
      <w:r w:rsidRPr="00957C6E" w:rsidR="00654B43">
        <w:rPr>
          <w:i/>
          <w:iCs/>
        </w:rPr>
        <w:t>Brinker</w:t>
      </w:r>
      <w:r w:rsidRPr="00957C6E" w:rsidR="00654B43">
        <w:t>)</w:t>
      </w:r>
      <w:r w:rsidRPr="00957C6E" w:rsidR="002D4A8A">
        <w:t>.</w:t>
      </w:r>
      <w:r w:rsidRPr="00957C6E" w:rsidR="006C01C1">
        <w:t>)</w:t>
      </w:r>
      <w:r w:rsidRPr="00957C6E" w:rsidR="0073457D">
        <w:rPr>
          <w:rStyle w:val="cohl"/>
        </w:rPr>
        <w:t xml:space="preserve"> </w:t>
      </w:r>
      <w:r w:rsidRPr="00957C6E" w:rsidR="002D4A8A">
        <w:rPr>
          <w:rStyle w:val="cohl"/>
        </w:rPr>
        <w:t xml:space="preserve"> </w:t>
      </w:r>
      <w:r w:rsidRPr="00957C6E" w:rsidR="003B0F23">
        <w:rPr>
          <w:rStyle w:val="cohl"/>
        </w:rPr>
        <w:t>This wage order</w:t>
      </w:r>
      <w:r w:rsidRPr="00957C6E" w:rsidR="00A16574">
        <w:rPr>
          <w:rStyle w:val="cohl"/>
        </w:rPr>
        <w:t>, which is the current version,</w:t>
      </w:r>
      <w:r w:rsidRPr="00957C6E" w:rsidR="003B0F23">
        <w:rPr>
          <w:rStyle w:val="cohl"/>
        </w:rPr>
        <w:t xml:space="preserve"> </w:t>
      </w:r>
      <w:r w:rsidRPr="00957C6E">
        <w:rPr>
          <w:rStyle w:val="cohl"/>
        </w:rPr>
        <w:t xml:space="preserve">provides </w:t>
      </w:r>
      <w:r w:rsidRPr="00957C6E" w:rsidR="003B0F23">
        <w:rPr>
          <w:rStyle w:val="cohl"/>
        </w:rPr>
        <w:t>that an employee who works more than eight hours a day or more than 40 hours a week must receive one and one-half times the employee’s “regular rate of pay” for overtime hours worked.  (Wage Order No. 5</w:t>
      </w:r>
      <w:r w:rsidR="00997FAF">
        <w:rPr>
          <w:rStyle w:val="cohl"/>
        </w:rPr>
        <w:t>-2001</w:t>
      </w:r>
      <w:r w:rsidRPr="00957C6E" w:rsidR="003B0F23">
        <w:rPr>
          <w:rStyle w:val="cohl"/>
        </w:rPr>
        <w:t>, § 3</w:t>
      </w:r>
      <w:r w:rsidRPr="00957C6E">
        <w:rPr>
          <w:rStyle w:val="cohl"/>
        </w:rPr>
        <w:t xml:space="preserve">(A)(1); see </w:t>
      </w:r>
      <w:r w:rsidRPr="00957C6E">
        <w:rPr>
          <w:rStyle w:val="cohl"/>
          <w:i/>
        </w:rPr>
        <w:t>id.</w:t>
      </w:r>
      <w:r w:rsidRPr="00957C6E" w:rsidR="008446E1">
        <w:rPr>
          <w:rStyle w:val="cohl"/>
          <w:iCs/>
        </w:rPr>
        <w:t>,</w:t>
      </w:r>
      <w:r w:rsidRPr="00957C6E">
        <w:rPr>
          <w:rStyle w:val="cohl"/>
        </w:rPr>
        <w:t xml:space="preserve"> § 3(A)(1)(b) [requiring double the “regular rate of pay” for all hours worked beyond 12 hours in a day or beyond eight hours on the seventh consecutive workday in a workweek].)</w:t>
      </w:r>
      <w:r w:rsidRPr="00957C6E" w:rsidR="009F340A">
        <w:rPr>
          <w:rStyle w:val="cohl"/>
        </w:rPr>
        <w:t xml:space="preserve">  These overtime provisions in the wage order echo the language of section 510(a).  (See </w:t>
      </w:r>
      <w:r w:rsidRPr="00957C6E" w:rsidR="009F340A">
        <w:rPr>
          <w:rStyle w:val="cohl"/>
          <w:i/>
          <w:iCs/>
        </w:rPr>
        <w:t>Brinker</w:t>
      </w:r>
      <w:r w:rsidRPr="00957C6E" w:rsidR="009F340A">
        <w:rPr>
          <w:rStyle w:val="cohl"/>
        </w:rPr>
        <w:t>, at p.</w:t>
      </w:r>
      <w:r w:rsidRPr="00957C6E" w:rsidR="00993151">
        <w:rPr>
          <w:rStyle w:val="cohl"/>
        </w:rPr>
        <w:t> </w:t>
      </w:r>
      <w:r w:rsidRPr="00957C6E" w:rsidR="009F340A">
        <w:rPr>
          <w:rStyle w:val="cohl"/>
        </w:rPr>
        <w:t>1049 [“Having received a legislative rebuke, the IWC sought to make its orders track [A</w:t>
      </w:r>
      <w:r w:rsidR="00902D22">
        <w:rPr>
          <w:rStyle w:val="cohl"/>
        </w:rPr>
        <w:t>ssembly Bill</w:t>
      </w:r>
      <w:r w:rsidRPr="00957C6E" w:rsidR="009F340A">
        <w:rPr>
          <w:rStyle w:val="cohl"/>
        </w:rPr>
        <w:t xml:space="preserve"> 60] as closely as possible and expressed hesitance about departing from statutory requirements.”].)</w:t>
      </w:r>
    </w:p>
    <w:p w:rsidR="00515B2D" w:rsidRPr="00957C6E" w:rsidP="00957C6E">
      <w:pPr>
        <w:ind w:firstLine="720"/>
        <w:rPr>
          <w:szCs w:val="26"/>
        </w:rPr>
      </w:pPr>
      <w:r w:rsidRPr="00957C6E">
        <w:rPr>
          <w:rStyle w:val="cohl"/>
        </w:rPr>
        <w:t>I</w:t>
      </w:r>
      <w:r w:rsidRPr="00957C6E" w:rsidR="002E1875">
        <w:rPr>
          <w:rStyle w:val="cohl"/>
        </w:rPr>
        <w:t>n the same wage order, the IWC for the first time adopted provision</w:t>
      </w:r>
      <w:r w:rsidRPr="00957C6E">
        <w:rPr>
          <w:rStyle w:val="cohl"/>
        </w:rPr>
        <w:t>s</w:t>
      </w:r>
      <w:r w:rsidRPr="00957C6E" w:rsidR="002E1875">
        <w:rPr>
          <w:rStyle w:val="cohl"/>
        </w:rPr>
        <w:t xml:space="preserve"> requiring premium pay for meal or rest break</w:t>
      </w:r>
      <w:r w:rsidRPr="00957C6E" w:rsidR="00A16574">
        <w:rPr>
          <w:rStyle w:val="cohl"/>
        </w:rPr>
        <w:t xml:space="preserve"> violations</w:t>
      </w:r>
      <w:r w:rsidRPr="00957C6E" w:rsidR="002E1875">
        <w:rPr>
          <w:rStyle w:val="cohl"/>
        </w:rPr>
        <w:t>:</w:t>
      </w:r>
      <w:r w:rsidRPr="00957C6E" w:rsidR="009D7BA6">
        <w:rPr>
          <w:rStyle w:val="cohl"/>
        </w:rPr>
        <w:t>  </w:t>
      </w:r>
      <w:r w:rsidRPr="00957C6E" w:rsidR="007063F5">
        <w:t>“the</w:t>
      </w:r>
      <w:r w:rsidRPr="00957C6E" w:rsidR="00DA55EB">
        <w:t xml:space="preserve"> employer shall pay the employee one (1) hour of pay at the employee’s regular rate of compensation” for each workday that </w:t>
      </w:r>
      <w:r w:rsidRPr="00957C6E" w:rsidR="002E1875">
        <w:t xml:space="preserve">a compliant </w:t>
      </w:r>
      <w:r w:rsidRPr="00957C6E" w:rsidR="00DA55EB">
        <w:t>meal or rest period is not provided</w:t>
      </w:r>
      <w:r w:rsidRPr="00957C6E" w:rsidR="00177565">
        <w:t>.</w:t>
      </w:r>
      <w:r w:rsidRPr="00957C6E" w:rsidR="00A77EF1">
        <w:t xml:space="preserve">  (</w:t>
      </w:r>
      <w:r w:rsidRPr="00957C6E" w:rsidR="00D80E6B">
        <w:rPr>
          <w:szCs w:val="26"/>
        </w:rPr>
        <w:t>Wage Order No. 5</w:t>
      </w:r>
      <w:r w:rsidR="00997FAF">
        <w:rPr>
          <w:szCs w:val="26"/>
        </w:rPr>
        <w:t>-2001</w:t>
      </w:r>
      <w:r w:rsidRPr="00957C6E" w:rsidR="00D80E6B">
        <w:rPr>
          <w:szCs w:val="26"/>
        </w:rPr>
        <w:t>, §</w:t>
      </w:r>
      <w:r w:rsidRPr="00957C6E" w:rsidR="00A77EF1">
        <w:rPr>
          <w:szCs w:val="26"/>
        </w:rPr>
        <w:t>§ 11(B), 12(B).)</w:t>
      </w:r>
      <w:r w:rsidRPr="00957C6E" w:rsidR="002E1875">
        <w:rPr>
          <w:szCs w:val="26"/>
        </w:rPr>
        <w:t xml:space="preserve">  </w:t>
      </w:r>
      <w:r w:rsidRPr="00957C6E">
        <w:rPr>
          <w:szCs w:val="26"/>
        </w:rPr>
        <w:t xml:space="preserve">This is </w:t>
      </w:r>
      <w:r w:rsidRPr="00957C6E" w:rsidR="00446E06">
        <w:rPr>
          <w:szCs w:val="26"/>
        </w:rPr>
        <w:t xml:space="preserve">where </w:t>
      </w:r>
      <w:r w:rsidRPr="00957C6E">
        <w:rPr>
          <w:szCs w:val="26"/>
        </w:rPr>
        <w:t xml:space="preserve">the phrase “regular rate of compensation” first </w:t>
      </w:r>
      <w:r w:rsidRPr="00957C6E" w:rsidR="00446E06">
        <w:rPr>
          <w:szCs w:val="26"/>
        </w:rPr>
        <w:t>appeared</w:t>
      </w:r>
      <w:r w:rsidRPr="00957C6E">
        <w:rPr>
          <w:szCs w:val="26"/>
        </w:rPr>
        <w:t>.</w:t>
      </w:r>
    </w:p>
    <w:p w:rsidR="008B4257" w:rsidRPr="00957C6E" w:rsidP="00957C6E">
      <w:pPr>
        <w:ind w:firstLine="720"/>
        <w:rPr>
          <w:szCs w:val="26"/>
        </w:rPr>
      </w:pPr>
      <w:r>
        <w:rPr>
          <w:szCs w:val="26"/>
        </w:rPr>
        <w:t>An</w:t>
      </w:r>
      <w:r w:rsidRPr="00957C6E">
        <w:rPr>
          <w:szCs w:val="26"/>
        </w:rPr>
        <w:t xml:space="preserve"> </w:t>
      </w:r>
      <w:r w:rsidRPr="00957C6E" w:rsidR="00F459DB">
        <w:rPr>
          <w:szCs w:val="26"/>
        </w:rPr>
        <w:t>IWC</w:t>
      </w:r>
      <w:r>
        <w:rPr>
          <w:szCs w:val="26"/>
        </w:rPr>
        <w:t xml:space="preserve"> commissioner</w:t>
      </w:r>
      <w:r w:rsidRPr="00957C6E" w:rsidR="00F459DB">
        <w:rPr>
          <w:szCs w:val="26"/>
        </w:rPr>
        <w:t xml:space="preserve"> explained </w:t>
      </w:r>
      <w:r w:rsidRPr="00957C6E" w:rsidR="00515B2D">
        <w:rPr>
          <w:szCs w:val="26"/>
        </w:rPr>
        <w:t xml:space="preserve">the purpose of </w:t>
      </w:r>
      <w:r w:rsidRPr="00957C6E" w:rsidR="00D105E6">
        <w:rPr>
          <w:szCs w:val="26"/>
        </w:rPr>
        <w:t xml:space="preserve">these provisions </w:t>
      </w:r>
      <w:r w:rsidRPr="00957C6E" w:rsidR="0073363E">
        <w:rPr>
          <w:szCs w:val="26"/>
        </w:rPr>
        <w:t xml:space="preserve">at the June 30, 2000 hearing where </w:t>
      </w:r>
      <w:r w:rsidR="00CD722A">
        <w:rPr>
          <w:szCs w:val="26"/>
        </w:rPr>
        <w:t>the IWC</w:t>
      </w:r>
      <w:r w:rsidRPr="00957C6E" w:rsidR="00CD722A">
        <w:rPr>
          <w:szCs w:val="26"/>
        </w:rPr>
        <w:t xml:space="preserve"> </w:t>
      </w:r>
      <w:r w:rsidRPr="00957C6E" w:rsidR="0073363E">
        <w:rPr>
          <w:szCs w:val="26"/>
        </w:rPr>
        <w:t xml:space="preserve">adopted </w:t>
      </w:r>
      <w:r w:rsidRPr="00957C6E" w:rsidR="00B86A5E">
        <w:rPr>
          <w:szCs w:val="26"/>
        </w:rPr>
        <w:t>them</w:t>
      </w:r>
      <w:r w:rsidRPr="00957C6E" w:rsidR="00CC0A11">
        <w:t>.</w:t>
      </w:r>
      <w:r w:rsidRPr="00957C6E" w:rsidR="00FD7844">
        <w:t xml:space="preserve">  </w:t>
      </w:r>
      <w:r w:rsidRPr="00957C6E">
        <w:t>(</w:t>
      </w:r>
      <w:r w:rsidRPr="00957C6E" w:rsidR="00515B2D">
        <w:t xml:space="preserve">See </w:t>
      </w:r>
      <w:r w:rsidRPr="00957C6E" w:rsidR="00515B2D">
        <w:rPr>
          <w:i/>
          <w:iCs/>
        </w:rPr>
        <w:t>Murphy</w:t>
      </w:r>
      <w:r w:rsidRPr="00957C6E">
        <w:t xml:space="preserve">, </w:t>
      </w:r>
      <w:r w:rsidRPr="00957C6E">
        <w:rPr>
          <w:i/>
          <w:iCs/>
        </w:rPr>
        <w:t>supra</w:t>
      </w:r>
      <w:r w:rsidRPr="00957C6E">
        <w:t xml:space="preserve">, </w:t>
      </w:r>
      <w:r w:rsidRPr="00957C6E" w:rsidR="00515B2D">
        <w:t>40</w:t>
      </w:r>
      <w:r w:rsidRPr="00957C6E">
        <w:t xml:space="preserve"> Cal.4th at p</w:t>
      </w:r>
      <w:r w:rsidRPr="00957C6E" w:rsidR="00515B2D">
        <w:t>p</w:t>
      </w:r>
      <w:r w:rsidRPr="00957C6E">
        <w:t>.</w:t>
      </w:r>
      <w:r w:rsidRPr="00957C6E" w:rsidR="00515B2D">
        <w:t> 1109–1110</w:t>
      </w:r>
      <w:r w:rsidRPr="00957C6E" w:rsidR="008879E3">
        <w:t xml:space="preserve"> [</w:t>
      </w:r>
      <w:r w:rsidRPr="00957C6E" w:rsidR="00515B2D">
        <w:t xml:space="preserve">relying on this </w:t>
      </w:r>
      <w:r w:rsidRPr="00957C6E" w:rsidR="008879E3">
        <w:t>hearing</w:t>
      </w:r>
      <w:r w:rsidRPr="00957C6E" w:rsidR="00515B2D">
        <w:t xml:space="preserve"> to d</w:t>
      </w:r>
      <w:r w:rsidRPr="00957C6E" w:rsidR="00A16574">
        <w:t>iscern IWC’s intent in requiring premium pay for meal and rest break violations</w:t>
      </w:r>
      <w:r w:rsidRPr="00957C6E" w:rsidR="008879E3">
        <w:t>]</w:t>
      </w:r>
      <w:r w:rsidRPr="00957C6E">
        <w:t xml:space="preserve">.)  The IWC, </w:t>
      </w:r>
      <w:r w:rsidR="00CD722A">
        <w:t>the</w:t>
      </w:r>
      <w:r w:rsidRPr="00957C6E">
        <w:t xml:space="preserve"> commissioner </w:t>
      </w:r>
      <w:r w:rsidRPr="00957C6E" w:rsidR="00A16574">
        <w:t>said</w:t>
      </w:r>
      <w:r w:rsidRPr="00957C6E">
        <w:t>, had “received testimony that despite the fact that employees are entitled to a meal period or rest period, that there really is no incentive as we establish it, for example, in overtime or other areas, for employers to ensure that people are given their rights to a meal period and rest period.  At this point, if they are not giving a meal period or rest period, the only remedy is an injunction against the employer or</w:t>
      </w:r>
      <w:r w:rsidRPr="00957C6E" w:rsidR="00590A3F">
        <w:t> </w:t>
      </w:r>
      <w:r w:rsidRPr="00957C6E">
        <w:t>—</w:t>
      </w:r>
      <w:r w:rsidR="0008140C">
        <w:t xml:space="preserve"> </w:t>
      </w:r>
      <w:r w:rsidRPr="00957C6E">
        <w:t xml:space="preserve">saying they must give them.”  (IWC </w:t>
      </w:r>
      <w:r w:rsidR="00571968">
        <w:t>p</w:t>
      </w:r>
      <w:r w:rsidRPr="00957C6E">
        <w:t xml:space="preserve">ublic </w:t>
      </w:r>
      <w:r w:rsidR="00571968">
        <w:t>h</w:t>
      </w:r>
      <w:r w:rsidRPr="00957C6E">
        <w:t>earing</w:t>
      </w:r>
      <w:r w:rsidR="00571968">
        <w:t xml:space="preserve"> transcript</w:t>
      </w:r>
      <w:r w:rsidRPr="00957C6E">
        <w:t xml:space="preserve"> (June 30, 2000) p. 25.)</w:t>
      </w:r>
      <w:r w:rsidRPr="00957C6E" w:rsidR="003F71BB">
        <w:t xml:space="preserve">  Th</w:t>
      </w:r>
      <w:r w:rsidRPr="00957C6E" w:rsidR="00090C44">
        <w:t xml:space="preserve">e new provisions, the </w:t>
      </w:r>
      <w:r w:rsidRPr="00957C6E" w:rsidR="00EF1B30">
        <w:t>commissioner</w:t>
      </w:r>
      <w:r w:rsidRPr="00957C6E" w:rsidR="003F71BB">
        <w:t xml:space="preserve"> </w:t>
      </w:r>
      <w:r w:rsidRPr="00957C6E" w:rsidR="00A16574">
        <w:t>explained</w:t>
      </w:r>
      <w:r w:rsidRPr="00957C6E" w:rsidR="003F71BB">
        <w:t>,</w:t>
      </w:r>
      <w:r w:rsidRPr="00957C6E">
        <w:t xml:space="preserve"> would ensure that employees received “proper meal periods and rest periods.”  (</w:t>
      </w:r>
      <w:r w:rsidRPr="00957C6E">
        <w:rPr>
          <w:i/>
          <w:iCs/>
        </w:rPr>
        <w:t>Id.</w:t>
      </w:r>
      <w:r w:rsidRPr="00957C6E">
        <w:t xml:space="preserve"> at p. 26.)</w:t>
      </w:r>
      <w:r w:rsidRPr="00957C6E" w:rsidR="009F63CD">
        <w:t xml:space="preserve">  “And, of course,” </w:t>
      </w:r>
      <w:r w:rsidRPr="00957C6E" w:rsidR="00D41991">
        <w:t>the commissioner concluded, “</w:t>
      </w:r>
      <w:r w:rsidRPr="00957C6E">
        <w:t>the courts have long construed overtime as a penalty, in effect, on employers for working people more than full</w:t>
      </w:r>
      <w:r w:rsidRPr="00957C6E" w:rsidR="005B18E4">
        <w:t> </w:t>
      </w:r>
      <w:r w:rsidRPr="00957C6E">
        <w:t>—</w:t>
      </w:r>
      <w:r w:rsidR="0008140C">
        <w:t xml:space="preserve"> </w:t>
      </w:r>
      <w:r w:rsidRPr="00957C6E">
        <w:t>you know, that is how it’s been construed, as more than the</w:t>
      </w:r>
      <w:r w:rsidRPr="00957C6E" w:rsidR="005B18E4">
        <w:t> </w:t>
      </w:r>
      <w:r w:rsidRPr="00957C6E">
        <w:t>—</w:t>
      </w:r>
      <w:r w:rsidR="0008140C">
        <w:t xml:space="preserve"> </w:t>
      </w:r>
      <w:r w:rsidRPr="00957C6E">
        <w:t>the daily normal workday.  It is viewed as a penalty and a disincentive in order to encourage employers not to.  So, it is in the same authority that we provide overtime pay that we provide this extra hour of pay.”  (</w:t>
      </w:r>
      <w:r w:rsidRPr="00957C6E">
        <w:rPr>
          <w:i/>
          <w:iCs/>
        </w:rPr>
        <w:t>Id.</w:t>
      </w:r>
      <w:r w:rsidRPr="00957C6E">
        <w:t xml:space="preserve"> at p. 30.)</w:t>
      </w:r>
    </w:p>
    <w:p w:rsidR="008B4257" w:rsidRPr="00957C6E" w:rsidP="00957C6E">
      <w:pPr>
        <w:ind w:firstLine="720"/>
      </w:pPr>
      <w:r w:rsidRPr="00957C6E">
        <w:t>Soon thereafter</w:t>
      </w:r>
      <w:r w:rsidRPr="00957C6E">
        <w:t>, the IWC memorialized this understanding in its Statement as to the Basis, a document “explaining ‘how and why the commission did what it did.’</w:t>
      </w:r>
      <w:r w:rsidRPr="00957C6E">
        <w:t> </w:t>
      </w:r>
      <w:r w:rsidRPr="00957C6E">
        <w:t>”  (</w:t>
      </w:r>
      <w:r w:rsidRPr="00957C6E">
        <w:rPr>
          <w:i/>
          <w:iCs/>
        </w:rPr>
        <w:t>Harris v. Superior Court</w:t>
      </w:r>
      <w:r w:rsidRPr="00957C6E">
        <w:t xml:space="preserve"> (2011) 53 Cal.4th 170, 179; see </w:t>
      </w:r>
      <w:r w:rsidRPr="00957C6E">
        <w:rPr>
          <w:i/>
          <w:iCs/>
        </w:rPr>
        <w:t>Brinker</w:t>
      </w:r>
      <w:r w:rsidRPr="00957C6E">
        <w:t xml:space="preserve">, </w:t>
      </w:r>
      <w:r w:rsidRPr="00957C6E">
        <w:rPr>
          <w:i/>
          <w:iCs/>
        </w:rPr>
        <w:t>supra</w:t>
      </w:r>
      <w:r w:rsidRPr="00957C6E">
        <w:t xml:space="preserve">, 53 Cal.4th at p. 1046.)  </w:t>
      </w:r>
      <w:r w:rsidRPr="00957C6E">
        <w:t xml:space="preserve">In </w:t>
      </w:r>
      <w:r w:rsidRPr="00957C6E">
        <w:t>review</w:t>
      </w:r>
      <w:r w:rsidRPr="00957C6E">
        <w:t>ing its wage orders</w:t>
      </w:r>
      <w:r w:rsidRPr="00957C6E">
        <w:t xml:space="preserve"> “for purposes of complying with AB 60,</w:t>
      </w:r>
      <w:r w:rsidR="006A4FE3">
        <w:t>”</w:t>
      </w:r>
      <w:r w:rsidRPr="00957C6E">
        <w:t xml:space="preserve"> </w:t>
      </w:r>
      <w:r w:rsidR="006A4FE3">
        <w:t>“</w:t>
      </w:r>
      <w:r w:rsidRPr="00957C6E">
        <w:t xml:space="preserve">the IWC heard testimony and received correspondence regarding the lack of employer compliance with the meal and rest period requirements of its wage orders.  The IWC therefore added a provision to this section that requires an employer to pay an employee one additional hour of pay at the employee’s </w:t>
      </w:r>
      <w:r w:rsidRPr="00957C6E">
        <w:rPr>
          <w:i/>
          <w:iCs/>
        </w:rPr>
        <w:t>regular rate of pay</w:t>
      </w:r>
      <w:r w:rsidRPr="00957C6E">
        <w:t xml:space="preserve"> for each work day that a meal period is not provided.”  (IWC</w:t>
      </w:r>
      <w:r w:rsidR="00997FAF">
        <w:t>,</w:t>
      </w:r>
      <w:r w:rsidRPr="00957C6E">
        <w:t xml:space="preserve"> Statement as to the Basis (Jan. 1, 2001) </w:t>
      </w:r>
      <w:r w:rsidR="006A4FE3">
        <w:t>p</w:t>
      </w:r>
      <w:r w:rsidRPr="00957C6E">
        <w:t>p. </w:t>
      </w:r>
      <w:r w:rsidR="006A4FE3">
        <w:t xml:space="preserve">1, </w:t>
      </w:r>
      <w:r w:rsidRPr="00957C6E">
        <w:t xml:space="preserve">20, italics added.)  The IWC also “added a provision </w:t>
      </w:r>
      <w:r w:rsidRPr="00957C6E" w:rsidR="00CD42FB">
        <w:t>. . .</w:t>
      </w:r>
      <w:r w:rsidRPr="00957C6E">
        <w:t xml:space="preserve"> that requires an employer to pay an employee one additional hour of pay at the employee’s </w:t>
      </w:r>
      <w:r w:rsidRPr="00957C6E">
        <w:rPr>
          <w:i/>
          <w:iCs/>
        </w:rPr>
        <w:t>regular rate of pay</w:t>
      </w:r>
      <w:r w:rsidRPr="00957C6E">
        <w:t xml:space="preserve"> for each work day that a rest period is not provided.”  (</w:t>
      </w:r>
      <w:r w:rsidRPr="00957C6E">
        <w:rPr>
          <w:i/>
          <w:iCs/>
        </w:rPr>
        <w:t>Id.</w:t>
      </w:r>
      <w:r w:rsidRPr="00957C6E">
        <w:t xml:space="preserve"> at p. 21, italics added.)</w:t>
      </w:r>
      <w:r w:rsidRPr="00957C6E" w:rsidR="00CD42FB">
        <w:t xml:space="preserve">  As the italicized phrases indicate, the IWC used the term “regular rate of pay” interchangeably with the </w:t>
      </w:r>
      <w:r w:rsidRPr="00957C6E" w:rsidR="005D2198">
        <w:t xml:space="preserve">wage order’s </w:t>
      </w:r>
      <w:r w:rsidRPr="00957C6E" w:rsidR="00CD42FB">
        <w:t>term “regular rate of compensation</w:t>
      </w:r>
      <w:r w:rsidRPr="00957C6E" w:rsidR="005D2198">
        <w:t>.</w:t>
      </w:r>
      <w:r w:rsidRPr="00957C6E" w:rsidR="00CD42FB">
        <w:t xml:space="preserve">”  And, as the June 30, 2000 hearing transcript suggests, the IWC </w:t>
      </w:r>
      <w:r w:rsidRPr="00957C6E" w:rsidR="0029600D">
        <w:t xml:space="preserve">understood </w:t>
      </w:r>
      <w:r w:rsidRPr="00957C6E" w:rsidR="005D2198">
        <w:t xml:space="preserve">its approach to </w:t>
      </w:r>
      <w:r w:rsidRPr="00957C6E" w:rsidR="00CD42FB">
        <w:t xml:space="preserve">premium pay for meal or rest break violations </w:t>
      </w:r>
      <w:r w:rsidRPr="00957C6E" w:rsidR="0029600D">
        <w:t xml:space="preserve">to be analogous to </w:t>
      </w:r>
      <w:r w:rsidRPr="00957C6E" w:rsidR="00CD42FB">
        <w:t>its approach to overtime pay.</w:t>
      </w:r>
    </w:p>
    <w:p w:rsidR="00B65D52" w:rsidRPr="00957C6E" w:rsidP="00957C6E">
      <w:pPr>
        <w:ind w:firstLine="720"/>
        <w:rPr>
          <w:rStyle w:val="cohl"/>
        </w:rPr>
      </w:pPr>
      <w:r w:rsidRPr="00957C6E">
        <w:t xml:space="preserve">We come now to </w:t>
      </w:r>
      <w:r w:rsidRPr="00957C6E" w:rsidR="005D2198">
        <w:t xml:space="preserve">the enactment of section 226.7.  </w:t>
      </w:r>
      <w:r w:rsidRPr="00957C6E" w:rsidR="00E47D9E">
        <w:t>The same Legislature that passed A</w:t>
      </w:r>
      <w:r w:rsidR="00902D22">
        <w:t>ssembly Bill</w:t>
      </w:r>
      <w:r w:rsidRPr="00957C6E" w:rsidR="00E47D9E">
        <w:t xml:space="preserve"> 60 considered </w:t>
      </w:r>
      <w:r w:rsidRPr="00957C6E" w:rsidR="005D2198">
        <w:t>several</w:t>
      </w:r>
      <w:r w:rsidRPr="00957C6E" w:rsidR="00E47D9E">
        <w:t xml:space="preserve"> bills contai</w:t>
      </w:r>
      <w:r w:rsidRPr="00957C6E" w:rsidR="000403F2">
        <w:t>ning</w:t>
      </w:r>
      <w:r w:rsidRPr="00957C6E" w:rsidR="00E47D9E">
        <w:t xml:space="preserve"> some version of </w:t>
      </w:r>
      <w:r w:rsidRPr="00957C6E" w:rsidR="005D2198">
        <w:t xml:space="preserve">what became </w:t>
      </w:r>
      <w:r w:rsidRPr="00957C6E" w:rsidR="00E47D9E">
        <w:t>section 226.7</w:t>
      </w:r>
      <w:r w:rsidRPr="00957C6E" w:rsidR="0029600D">
        <w:t xml:space="preserve">; the bill that ultimately passed </w:t>
      </w:r>
      <w:r w:rsidRPr="00957C6E" w:rsidR="000403F2">
        <w:t xml:space="preserve">was </w:t>
      </w:r>
      <w:r w:rsidRPr="00957C6E" w:rsidR="00E47D9E">
        <w:t xml:space="preserve">Assembly Bill No. 2509 </w:t>
      </w:r>
      <w:r w:rsidR="00902D22">
        <w:t xml:space="preserve">(1999–2000 Reg. Sess.) </w:t>
      </w:r>
      <w:r w:rsidRPr="00957C6E" w:rsidR="00E47D9E">
        <w:t>(A</w:t>
      </w:r>
      <w:r w:rsidR="00902D22">
        <w:t xml:space="preserve">ssembly </w:t>
      </w:r>
      <w:r w:rsidRPr="00957C6E" w:rsidR="00E47D9E">
        <w:t>B</w:t>
      </w:r>
      <w:r w:rsidR="00902D22">
        <w:t>ill</w:t>
      </w:r>
      <w:r w:rsidRPr="00957C6E" w:rsidR="00E47D9E">
        <w:t xml:space="preserve"> 2509).</w:t>
      </w:r>
      <w:r w:rsidRPr="00957C6E" w:rsidR="00835709">
        <w:t xml:space="preserve">  (</w:t>
      </w:r>
      <w:r w:rsidRPr="00957C6E">
        <w:t xml:space="preserve">See </w:t>
      </w:r>
      <w:r w:rsidRPr="00957C6E">
        <w:rPr>
          <w:i/>
          <w:iCs/>
        </w:rPr>
        <w:t>Kirby v. Immoos Fire Protection, Inc.</w:t>
      </w:r>
      <w:r w:rsidRPr="00957C6E">
        <w:t xml:space="preserve"> (2012) 53 Cal.4th 1244, 1258</w:t>
      </w:r>
      <w:r w:rsidRPr="00957C6E" w:rsidR="00835709">
        <w:t>.)</w:t>
      </w:r>
      <w:r w:rsidRPr="00957C6E" w:rsidR="002571C5">
        <w:t xml:space="preserve">  </w:t>
      </w:r>
      <w:r w:rsidRPr="00957C6E" w:rsidR="005334C5">
        <w:rPr>
          <w:rStyle w:val="cohl"/>
        </w:rPr>
        <w:t xml:space="preserve">At its inception, </w:t>
      </w:r>
      <w:r w:rsidRPr="00957C6E">
        <w:rPr>
          <w:rStyle w:val="cohl"/>
        </w:rPr>
        <w:t>A</w:t>
      </w:r>
      <w:r w:rsidR="00902D22">
        <w:rPr>
          <w:rStyle w:val="cohl"/>
        </w:rPr>
        <w:t>ssembly Bill</w:t>
      </w:r>
      <w:r w:rsidRPr="00957C6E">
        <w:rPr>
          <w:rStyle w:val="cohl"/>
        </w:rPr>
        <w:t xml:space="preserve"> 2509 </w:t>
      </w:r>
      <w:r w:rsidRPr="00957C6E" w:rsidR="000403F2">
        <w:rPr>
          <w:rStyle w:val="cohl"/>
        </w:rPr>
        <w:t>provided that a</w:t>
      </w:r>
      <w:r w:rsidRPr="00957C6E" w:rsidR="008B3D0E">
        <w:rPr>
          <w:rStyle w:val="cohl"/>
        </w:rPr>
        <w:t>n employer was required to pay “the</w:t>
      </w:r>
      <w:r w:rsidRPr="00957C6E" w:rsidR="008B3D0E">
        <w:t xml:space="preserve"> aggrieved employee of an amount equal to </w:t>
      </w:r>
      <w:r w:rsidRPr="00957C6E" w:rsidR="008B3D0E">
        <w:rPr>
          <w:i/>
          <w:iCs/>
        </w:rPr>
        <w:t>twice his or her</w:t>
      </w:r>
      <w:r w:rsidRPr="00957C6E" w:rsidR="008B3D0E">
        <w:t xml:space="preserve"> </w:t>
      </w:r>
      <w:r w:rsidRPr="00957C6E" w:rsidR="008B3D0E">
        <w:rPr>
          <w:i/>
          <w:iCs/>
        </w:rPr>
        <w:t>average hourly rate of compensation</w:t>
      </w:r>
      <w:r w:rsidRPr="00957C6E" w:rsidR="008B3D0E">
        <w:t xml:space="preserve"> for the full length of the meal or rest periods during which the employee was required to perform any work.  An employee paid on a piecework basis shall be entitled to an amount equal to twice the amount of piecework units earned during those periods, but in no event shall the amount be less than the applicable state minimum wage for the full length of those time periods during which any work was performed.”  </w:t>
      </w:r>
      <w:r w:rsidRPr="00957C6E" w:rsidR="008B3D0E">
        <w:rPr>
          <w:rStyle w:val="cohl"/>
        </w:rPr>
        <w:t>(A</w:t>
      </w:r>
      <w:r w:rsidR="00902D22">
        <w:rPr>
          <w:rStyle w:val="cohl"/>
        </w:rPr>
        <w:t>ssem. Bill</w:t>
      </w:r>
      <w:r w:rsidR="00FB16EA">
        <w:rPr>
          <w:rStyle w:val="cohl"/>
        </w:rPr>
        <w:t xml:space="preserve"> </w:t>
      </w:r>
      <w:r w:rsidRPr="00957C6E" w:rsidR="008B3D0E">
        <w:rPr>
          <w:rStyle w:val="cohl"/>
        </w:rPr>
        <w:t xml:space="preserve">2509 (1999–2000 Reg. Sess.) as introduced Feb. 24, 2000, </w:t>
      </w:r>
      <w:r w:rsidRPr="00957C6E" w:rsidR="00B16F3A">
        <w:rPr>
          <w:rStyle w:val="cohl"/>
        </w:rPr>
        <w:t>§ 12</w:t>
      </w:r>
      <w:r w:rsidRPr="00957C6E" w:rsidR="008B3D0E">
        <w:rPr>
          <w:rStyle w:val="cohl"/>
        </w:rPr>
        <w:t>, italics added</w:t>
      </w:r>
      <w:r w:rsidRPr="00957C6E" w:rsidR="0093498F">
        <w:rPr>
          <w:rStyle w:val="cohl"/>
        </w:rPr>
        <w:t>.)  This language remained unchanged through two rounds of amendments.  (</w:t>
      </w:r>
      <w:r w:rsidRPr="00957C6E" w:rsidR="008B3D0E">
        <w:rPr>
          <w:rStyle w:val="cohl"/>
        </w:rPr>
        <w:t>A</w:t>
      </w:r>
      <w:r w:rsidR="00902D22">
        <w:rPr>
          <w:rStyle w:val="cohl"/>
        </w:rPr>
        <w:t>ssem. Bill</w:t>
      </w:r>
      <w:r w:rsidRPr="00957C6E" w:rsidR="008B3D0E">
        <w:rPr>
          <w:rStyle w:val="cohl"/>
        </w:rPr>
        <w:t xml:space="preserve"> 2509 (1999–2000 Reg. Sess.) as amended June 26, 2000; A</w:t>
      </w:r>
      <w:r w:rsidR="00902D22">
        <w:rPr>
          <w:rStyle w:val="cohl"/>
        </w:rPr>
        <w:t>ssem. Bill</w:t>
      </w:r>
      <w:r w:rsidRPr="00957C6E" w:rsidR="008B3D0E">
        <w:rPr>
          <w:rStyle w:val="cohl"/>
        </w:rPr>
        <w:t xml:space="preserve"> 2509 (1999–2000 Reg. Sess.) as amended July 6, 2000.)</w:t>
      </w:r>
    </w:p>
    <w:p w:rsidR="00CC7897" w:rsidRPr="00957C6E" w:rsidP="00957C6E">
      <w:pPr>
        <w:ind w:firstLine="720"/>
        <w:rPr>
          <w:rStyle w:val="cohl"/>
        </w:rPr>
      </w:pPr>
      <w:r w:rsidRPr="00957C6E">
        <w:rPr>
          <w:rStyle w:val="cohl"/>
        </w:rPr>
        <w:t>With A</w:t>
      </w:r>
      <w:r w:rsidR="00902D22">
        <w:rPr>
          <w:rStyle w:val="cohl"/>
        </w:rPr>
        <w:t>ssembly Bill</w:t>
      </w:r>
      <w:r w:rsidRPr="00957C6E">
        <w:rPr>
          <w:rStyle w:val="cohl"/>
        </w:rPr>
        <w:t xml:space="preserve"> 2509 pending</w:t>
      </w:r>
      <w:r w:rsidRPr="00957C6E" w:rsidR="002D25DE">
        <w:rPr>
          <w:rStyle w:val="cohl"/>
        </w:rPr>
        <w:t xml:space="preserve">, </w:t>
      </w:r>
      <w:r w:rsidRPr="00957C6E">
        <w:rPr>
          <w:rStyle w:val="cohl"/>
        </w:rPr>
        <w:t xml:space="preserve">the IWC </w:t>
      </w:r>
      <w:r w:rsidRPr="00957C6E" w:rsidR="002D25DE">
        <w:rPr>
          <w:rStyle w:val="cohl"/>
        </w:rPr>
        <w:t>o</w:t>
      </w:r>
      <w:r w:rsidRPr="00957C6E" w:rsidR="0093498F">
        <w:rPr>
          <w:rStyle w:val="cohl"/>
        </w:rPr>
        <w:t>n June 30, 2000</w:t>
      </w:r>
      <w:r w:rsidR="00FB16EA">
        <w:rPr>
          <w:rStyle w:val="cohl"/>
        </w:rPr>
        <w:t>,</w:t>
      </w:r>
      <w:r w:rsidRPr="00957C6E" w:rsidR="00D05766">
        <w:rPr>
          <w:rStyle w:val="cohl"/>
        </w:rPr>
        <w:t xml:space="preserve"> </w:t>
      </w:r>
      <w:r w:rsidRPr="00957C6E" w:rsidR="00F66099">
        <w:rPr>
          <w:rStyle w:val="cohl"/>
        </w:rPr>
        <w:t xml:space="preserve">adopted the meal and rest </w:t>
      </w:r>
      <w:r w:rsidRPr="00957C6E" w:rsidR="00B65D52">
        <w:rPr>
          <w:rStyle w:val="cohl"/>
        </w:rPr>
        <w:t>break</w:t>
      </w:r>
      <w:r w:rsidRPr="00957C6E" w:rsidR="00F66099">
        <w:rPr>
          <w:rStyle w:val="cohl"/>
        </w:rPr>
        <w:t xml:space="preserve"> provisions </w:t>
      </w:r>
      <w:r w:rsidRPr="00957C6E" w:rsidR="00B65D52">
        <w:rPr>
          <w:rStyle w:val="cohl"/>
        </w:rPr>
        <w:t>in Wage Order No. 5</w:t>
      </w:r>
      <w:r w:rsidR="00997FAF">
        <w:rPr>
          <w:rStyle w:val="cohl"/>
        </w:rPr>
        <w:t>-2001</w:t>
      </w:r>
      <w:r w:rsidRPr="00957C6E" w:rsidR="00F66099">
        <w:rPr>
          <w:rStyle w:val="cohl"/>
        </w:rPr>
        <w:t>.</w:t>
      </w:r>
      <w:r w:rsidRPr="00957C6E" w:rsidR="00BB48DB">
        <w:rPr>
          <w:rStyle w:val="cohl"/>
        </w:rPr>
        <w:t xml:space="preserve">  (</w:t>
      </w:r>
      <w:r w:rsidRPr="00957C6E" w:rsidR="00BB48DB">
        <w:rPr>
          <w:rStyle w:val="cohl"/>
          <w:i/>
          <w:iCs/>
        </w:rPr>
        <w:t>Ante</w:t>
      </w:r>
      <w:r w:rsidRPr="00957C6E" w:rsidR="00BB48DB">
        <w:rPr>
          <w:rStyle w:val="cohl"/>
        </w:rPr>
        <w:t>, at p.</w:t>
      </w:r>
      <w:r w:rsidRPr="00957C6E" w:rsidR="00B65D52">
        <w:rPr>
          <w:rStyle w:val="cohl"/>
        </w:rPr>
        <w:t> 1</w:t>
      </w:r>
      <w:r w:rsidR="001E086A">
        <w:rPr>
          <w:rStyle w:val="cohl"/>
        </w:rPr>
        <w:t>2</w:t>
      </w:r>
      <w:r w:rsidRPr="00957C6E" w:rsidR="00BB48DB">
        <w:rPr>
          <w:rStyle w:val="cohl"/>
        </w:rPr>
        <w:t>.)</w:t>
      </w:r>
      <w:r w:rsidRPr="00957C6E" w:rsidR="0020305A">
        <w:rPr>
          <w:rStyle w:val="cohl"/>
        </w:rPr>
        <w:t xml:space="preserve">  </w:t>
      </w:r>
      <w:bookmarkStart w:id="3" w:name="_Hlk65606237"/>
      <w:r w:rsidRPr="00957C6E" w:rsidR="0093498F">
        <w:rPr>
          <w:rStyle w:val="cohl"/>
        </w:rPr>
        <w:t xml:space="preserve">Two months </w:t>
      </w:r>
      <w:r w:rsidRPr="00957C6E" w:rsidR="00266EF2">
        <w:rPr>
          <w:rStyle w:val="cohl"/>
        </w:rPr>
        <w:t>later</w:t>
      </w:r>
      <w:r w:rsidRPr="00957C6E" w:rsidR="0093498F">
        <w:rPr>
          <w:rStyle w:val="cohl"/>
        </w:rPr>
        <w:t>, A</w:t>
      </w:r>
      <w:r w:rsidR="00902D22">
        <w:rPr>
          <w:rStyle w:val="cohl"/>
        </w:rPr>
        <w:t xml:space="preserve">ssembly </w:t>
      </w:r>
      <w:r w:rsidRPr="00957C6E" w:rsidR="0093498F">
        <w:rPr>
          <w:rStyle w:val="cohl"/>
        </w:rPr>
        <w:t>B</w:t>
      </w:r>
      <w:r w:rsidR="00902D22">
        <w:rPr>
          <w:rStyle w:val="cohl"/>
        </w:rPr>
        <w:t>ill</w:t>
      </w:r>
      <w:r w:rsidRPr="00957C6E" w:rsidR="0093498F">
        <w:rPr>
          <w:rStyle w:val="cohl"/>
        </w:rPr>
        <w:t xml:space="preserve"> 2509 was amended to </w:t>
      </w:r>
      <w:bookmarkEnd w:id="3"/>
      <w:r w:rsidRPr="00957C6E" w:rsidR="00DF58BE">
        <w:rPr>
          <w:rStyle w:val="cohl"/>
        </w:rPr>
        <w:t>provide that “</w:t>
      </w:r>
      <w:r w:rsidRPr="00957C6E" w:rsidR="0020305A">
        <w:rPr>
          <w:rStyle w:val="cohl"/>
          <w:iCs/>
        </w:rPr>
        <w:t>the employer shall pay the employee</w:t>
      </w:r>
      <w:r w:rsidRPr="00957C6E" w:rsidR="0020305A">
        <w:rPr>
          <w:rStyle w:val="cohl"/>
          <w:i/>
          <w:iCs/>
        </w:rPr>
        <w:t xml:space="preserve"> one additional hour of pay at the employee’s regular rate of compensation</w:t>
      </w:r>
      <w:r w:rsidRPr="00957C6E" w:rsidR="0020305A">
        <w:rPr>
          <w:rStyle w:val="cohl"/>
        </w:rPr>
        <w:t xml:space="preserve"> for each work day that the meal or rest period is not provided.”  (A</w:t>
      </w:r>
      <w:r w:rsidR="00902D22">
        <w:rPr>
          <w:rStyle w:val="cohl"/>
        </w:rPr>
        <w:t xml:space="preserve">ssem. </w:t>
      </w:r>
      <w:r w:rsidRPr="00957C6E" w:rsidR="0020305A">
        <w:rPr>
          <w:rStyle w:val="cohl"/>
        </w:rPr>
        <w:t>B</w:t>
      </w:r>
      <w:r w:rsidR="00902D22">
        <w:rPr>
          <w:rStyle w:val="cohl"/>
        </w:rPr>
        <w:t>ill</w:t>
      </w:r>
      <w:r w:rsidRPr="00957C6E" w:rsidR="0020305A">
        <w:rPr>
          <w:rStyle w:val="cohl"/>
        </w:rPr>
        <w:t xml:space="preserve"> 2509 (1999–2000 Reg. Sess.) as amended Aug. 25, 2000, </w:t>
      </w:r>
      <w:r w:rsidRPr="00957C6E" w:rsidR="009723E3">
        <w:rPr>
          <w:rStyle w:val="cohl"/>
        </w:rPr>
        <w:t>§ 7</w:t>
      </w:r>
      <w:r w:rsidRPr="00957C6E" w:rsidR="0020305A">
        <w:rPr>
          <w:rStyle w:val="cohl"/>
        </w:rPr>
        <w:t>, italics added.)</w:t>
      </w:r>
      <w:r w:rsidRPr="00957C6E" w:rsidR="00F17C2C">
        <w:rPr>
          <w:rStyle w:val="cohl"/>
        </w:rPr>
        <w:t xml:space="preserve">  </w:t>
      </w:r>
      <w:r w:rsidRPr="00957C6E" w:rsidR="002D25DE">
        <w:rPr>
          <w:rStyle w:val="cohl"/>
        </w:rPr>
        <w:t xml:space="preserve">This language is what the Legislature </w:t>
      </w:r>
      <w:r w:rsidRPr="00957C6E" w:rsidR="003E7ABA">
        <w:rPr>
          <w:rStyle w:val="cohl"/>
        </w:rPr>
        <w:t>enacted</w:t>
      </w:r>
      <w:r w:rsidRPr="00957C6E" w:rsidR="002D25DE">
        <w:rPr>
          <w:rStyle w:val="cohl"/>
        </w:rPr>
        <w:t xml:space="preserve"> in section 226.7(c).</w:t>
      </w:r>
      <w:r w:rsidRPr="00957C6E" w:rsidR="009F340A">
        <w:rPr>
          <w:rStyle w:val="cohl"/>
        </w:rPr>
        <w:t xml:space="preserve">  </w:t>
      </w:r>
      <w:r w:rsidRPr="00957C6E">
        <w:rPr>
          <w:rStyle w:val="cohl"/>
        </w:rPr>
        <w:t xml:space="preserve">The reason for the amendment is clear in the legislative history:  </w:t>
      </w:r>
      <w:r w:rsidRPr="00957C6E">
        <w:rPr>
          <w:rStyle w:val="cohl"/>
        </w:rPr>
        <w:t>“In discussing the amended version of section 226.7, which ultimately</w:t>
      </w:r>
      <w:r w:rsidRPr="00957C6E" w:rsidR="007276D2">
        <w:rPr>
          <w:rStyle w:val="cohl"/>
        </w:rPr>
        <w:t xml:space="preserve"> was</w:t>
      </w:r>
      <w:r w:rsidRPr="00957C6E">
        <w:rPr>
          <w:rStyle w:val="cohl"/>
        </w:rPr>
        <w:t xml:space="preserve"> signed into law, the Senate Rules Committee explained that the changes were intended to track the existing provisions of the IWC wage orders regarding meal and rest periods.”  (</w:t>
      </w:r>
      <w:r w:rsidRPr="00957C6E">
        <w:rPr>
          <w:rStyle w:val="cohl"/>
          <w:i/>
          <w:iCs/>
        </w:rPr>
        <w:t>Murphy</w:t>
      </w:r>
      <w:r w:rsidRPr="00957C6E">
        <w:rPr>
          <w:rStyle w:val="cohl"/>
        </w:rPr>
        <w:t xml:space="preserve">, </w:t>
      </w:r>
      <w:r w:rsidRPr="00957C6E">
        <w:rPr>
          <w:rStyle w:val="cohl"/>
          <w:i/>
          <w:iCs/>
        </w:rPr>
        <w:t>supra</w:t>
      </w:r>
      <w:r w:rsidRPr="00957C6E">
        <w:rPr>
          <w:rStyle w:val="cohl"/>
        </w:rPr>
        <w:t>, 40 Cal.4th</w:t>
      </w:r>
      <w:r w:rsidRPr="00957C6E" w:rsidR="0044713D">
        <w:rPr>
          <w:rStyle w:val="cohl"/>
        </w:rPr>
        <w:t xml:space="preserve"> at pp. </w:t>
      </w:r>
      <w:r w:rsidRPr="00957C6E">
        <w:rPr>
          <w:rStyle w:val="cohl"/>
        </w:rPr>
        <w:t>1107–1108</w:t>
      </w:r>
      <w:r w:rsidRPr="00957C6E" w:rsidR="002A13FE">
        <w:rPr>
          <w:rStyle w:val="cohl"/>
        </w:rPr>
        <w:t xml:space="preserve">, citing </w:t>
      </w:r>
      <w:r w:rsidRPr="00957C6E">
        <w:rPr>
          <w:rStyle w:val="cohl"/>
        </w:rPr>
        <w:t xml:space="preserve">Sen. Rules Com., Off. of Sen. Floor Analyses, </w:t>
      </w:r>
      <w:r w:rsidRPr="00957C6E" w:rsidR="006E294C">
        <w:rPr>
          <w:rStyle w:val="cohl"/>
        </w:rPr>
        <w:t>3</w:t>
      </w:r>
      <w:r w:rsidRPr="00957C6E">
        <w:rPr>
          <w:rStyle w:val="cohl"/>
        </w:rPr>
        <w:t>d reading analysis of A</w:t>
      </w:r>
      <w:r w:rsidR="00902D22">
        <w:rPr>
          <w:rStyle w:val="cohl"/>
        </w:rPr>
        <w:t xml:space="preserve">ssem. </w:t>
      </w:r>
      <w:r w:rsidRPr="00957C6E">
        <w:rPr>
          <w:rStyle w:val="cohl"/>
        </w:rPr>
        <w:t>B</w:t>
      </w:r>
      <w:r w:rsidR="00902D22">
        <w:rPr>
          <w:rStyle w:val="cohl"/>
        </w:rPr>
        <w:t>ill</w:t>
      </w:r>
      <w:r w:rsidRPr="00957C6E">
        <w:rPr>
          <w:rStyle w:val="cohl"/>
        </w:rPr>
        <w:t xml:space="preserve"> 2509 (1999–2000 Reg. Sess.) as amended Aug. 25, 2000, p. 4.)</w:t>
      </w:r>
      <w:r w:rsidRPr="00957C6E" w:rsidR="00FB33E9">
        <w:rPr>
          <w:rStyle w:val="cohl"/>
        </w:rPr>
        <w:t xml:space="preserve">  </w:t>
      </w:r>
      <w:r w:rsidRPr="00957C6E" w:rsidR="002A13FE">
        <w:rPr>
          <w:rStyle w:val="cohl"/>
        </w:rPr>
        <w:t xml:space="preserve">The </w:t>
      </w:r>
      <w:r w:rsidRPr="00957C6E">
        <w:rPr>
          <w:rStyle w:val="cohl"/>
        </w:rPr>
        <w:t xml:space="preserve">amendment “[d]elete[d] the provisions related to penalties for an employer who fails to </w:t>
      </w:r>
      <w:r w:rsidRPr="00957C6E" w:rsidR="00966708">
        <w:rPr>
          <w:rStyle w:val="cohl"/>
        </w:rPr>
        <w:t xml:space="preserve">provide </w:t>
      </w:r>
      <w:r w:rsidRPr="00957C6E">
        <w:rPr>
          <w:rStyle w:val="cohl"/>
        </w:rPr>
        <w:t>a meal or rest period</w:t>
      </w:r>
      <w:r w:rsidRPr="00957C6E" w:rsidR="00FB2A6E">
        <w:rPr>
          <w:rStyle w:val="cohl"/>
        </w:rPr>
        <w:t xml:space="preserve">” (i.e., twice </w:t>
      </w:r>
      <w:r w:rsidRPr="00957C6E" w:rsidR="004C797F">
        <w:rPr>
          <w:rStyle w:val="cohl"/>
        </w:rPr>
        <w:t>the employee’s</w:t>
      </w:r>
      <w:r w:rsidRPr="00957C6E" w:rsidR="00FB2A6E">
        <w:rPr>
          <w:rStyle w:val="cohl"/>
        </w:rPr>
        <w:t xml:space="preserve"> average hourly rate of compensation)</w:t>
      </w:r>
      <w:r w:rsidRPr="00957C6E">
        <w:rPr>
          <w:rStyle w:val="cohl"/>
        </w:rPr>
        <w:t xml:space="preserve"> </w:t>
      </w:r>
      <w:r w:rsidRPr="00957C6E" w:rsidR="00FB2A6E">
        <w:rPr>
          <w:rStyle w:val="cohl"/>
        </w:rPr>
        <w:t>“</w:t>
      </w:r>
      <w:r w:rsidRPr="00957C6E">
        <w:rPr>
          <w:rStyle w:val="cohl"/>
        </w:rPr>
        <w:t xml:space="preserve">and instead codif[ies] the </w:t>
      </w:r>
      <w:r w:rsidR="009175AA">
        <w:rPr>
          <w:rStyle w:val="cohl"/>
        </w:rPr>
        <w:t>alternative</w:t>
      </w:r>
      <w:r w:rsidRPr="00957C6E" w:rsidR="009175AA">
        <w:rPr>
          <w:rStyle w:val="cohl"/>
        </w:rPr>
        <w:t xml:space="preserve"> </w:t>
      </w:r>
      <w:r w:rsidRPr="00957C6E">
        <w:rPr>
          <w:rStyle w:val="cohl"/>
        </w:rPr>
        <w:t>penalty amounts adopted by the Industrial Welfare Commission”</w:t>
      </w:r>
      <w:r w:rsidRPr="00957C6E" w:rsidR="00FB2A6E">
        <w:rPr>
          <w:rStyle w:val="cohl"/>
        </w:rPr>
        <w:t xml:space="preserve"> (i.e., one additional hour of pay at the employee’s regular rate of compensation).</w:t>
      </w:r>
      <w:r w:rsidRPr="00957C6E">
        <w:rPr>
          <w:rStyle w:val="cohl"/>
        </w:rPr>
        <w:t xml:space="preserve">  (</w:t>
      </w:r>
      <w:r w:rsidR="00631B45">
        <w:rPr>
          <w:rStyle w:val="cohl"/>
        </w:rPr>
        <w:t>Assem. Conc. Sen. Amends. to</w:t>
      </w:r>
      <w:r w:rsidRPr="00957C6E">
        <w:rPr>
          <w:rStyle w:val="cohl"/>
        </w:rPr>
        <w:t xml:space="preserve"> A</w:t>
      </w:r>
      <w:r w:rsidR="00902D22">
        <w:rPr>
          <w:rStyle w:val="cohl"/>
        </w:rPr>
        <w:t xml:space="preserve">ssem. </w:t>
      </w:r>
      <w:r w:rsidRPr="00957C6E">
        <w:rPr>
          <w:rStyle w:val="cohl"/>
        </w:rPr>
        <w:t>B</w:t>
      </w:r>
      <w:r w:rsidR="00902D22">
        <w:rPr>
          <w:rStyle w:val="cohl"/>
        </w:rPr>
        <w:t>ill</w:t>
      </w:r>
      <w:r w:rsidRPr="00957C6E">
        <w:rPr>
          <w:rStyle w:val="cohl"/>
        </w:rPr>
        <w:t xml:space="preserve"> 2509 (1999–2000 Reg. Sess.) as amended Aug. 25, 2000, p. 2.)</w:t>
      </w:r>
    </w:p>
    <w:p w:rsidR="008E47D3" w:rsidRPr="00957C6E">
      <w:pPr>
        <w:ind w:firstLine="720"/>
        <w:rPr>
          <w:rStyle w:val="cohl"/>
        </w:rPr>
      </w:pPr>
      <w:r w:rsidRPr="00957C6E">
        <w:rPr>
          <w:rStyle w:val="cohl"/>
        </w:rPr>
        <w:t>T</w:t>
      </w:r>
      <w:r w:rsidRPr="00957C6E" w:rsidR="008E3C54">
        <w:rPr>
          <w:rStyle w:val="cohl"/>
        </w:rPr>
        <w:t>o recap</w:t>
      </w:r>
      <w:r w:rsidRPr="00957C6E">
        <w:rPr>
          <w:rStyle w:val="cohl"/>
        </w:rPr>
        <w:t>, t</w:t>
      </w:r>
      <w:r w:rsidRPr="00957C6E" w:rsidR="008E3C54">
        <w:t xml:space="preserve">he IWC </w:t>
      </w:r>
      <w:r w:rsidRPr="00957C6E">
        <w:t xml:space="preserve">adopted a </w:t>
      </w:r>
      <w:r w:rsidRPr="00957C6E" w:rsidR="008E3C54">
        <w:t xml:space="preserve">premium pay </w:t>
      </w:r>
      <w:r w:rsidRPr="00957C6E">
        <w:t xml:space="preserve">requirement </w:t>
      </w:r>
      <w:r w:rsidRPr="00957C6E" w:rsidR="008E3C54">
        <w:t>for meal or rest break violations</w:t>
      </w:r>
      <w:r w:rsidRPr="00957C6E">
        <w:t xml:space="preserve"> using the term “regular rate of compensation”</w:t>
      </w:r>
      <w:r w:rsidRPr="00957C6E" w:rsidR="008E3C54">
        <w:t xml:space="preserve"> at the same time and in the same wage order </w:t>
      </w:r>
      <w:r w:rsidRPr="00957C6E">
        <w:t>(i.e., Wage Order No. 5</w:t>
      </w:r>
      <w:r w:rsidR="00997FAF">
        <w:t>-2001</w:t>
      </w:r>
      <w:r w:rsidRPr="00957C6E">
        <w:t xml:space="preserve">) </w:t>
      </w:r>
      <w:r w:rsidRPr="00957C6E" w:rsidR="008E3C54">
        <w:t xml:space="preserve">that it adopted revised overtime provisions </w:t>
      </w:r>
      <w:r w:rsidRPr="00957C6E">
        <w:t xml:space="preserve">using </w:t>
      </w:r>
      <w:r w:rsidRPr="00957C6E" w:rsidR="008E3C54">
        <w:t>the term “regular rate of pay</w:t>
      </w:r>
      <w:r w:rsidRPr="00957C6E">
        <w:t>.”</w:t>
      </w:r>
      <w:r w:rsidR="009C4F8A">
        <w:t xml:space="preserve">  </w:t>
      </w:r>
      <w:r w:rsidR="009C4F8A">
        <w:rPr>
          <w:rStyle w:val="cohl"/>
        </w:rPr>
        <w:t>The</w:t>
      </w:r>
      <w:r w:rsidRPr="00957C6E">
        <w:rPr>
          <w:rStyle w:val="cohl"/>
        </w:rPr>
        <w:t xml:space="preserve"> IWC’s official explanation of its action described this premium pay as “</w:t>
      </w:r>
      <w:r w:rsidRPr="00957C6E">
        <w:t xml:space="preserve">one additional hour of pay at the employee’s </w:t>
      </w:r>
      <w:r w:rsidRPr="00957C6E">
        <w:rPr>
          <w:iCs/>
        </w:rPr>
        <w:t>regular rate of pay</w:t>
      </w:r>
      <w:r w:rsidRPr="00957C6E">
        <w:t xml:space="preserve">.”  </w:t>
      </w:r>
      <w:r w:rsidRPr="00957C6E">
        <w:rPr>
          <w:rStyle w:val="cohl"/>
        </w:rPr>
        <w:t>Then, i</w:t>
      </w:r>
      <w:r w:rsidRPr="00957C6E" w:rsidR="00C072E3">
        <w:rPr>
          <w:rStyle w:val="cohl"/>
        </w:rPr>
        <w:t xml:space="preserve">n </w:t>
      </w:r>
      <w:r w:rsidRPr="00957C6E">
        <w:rPr>
          <w:rStyle w:val="cohl"/>
        </w:rPr>
        <w:t xml:space="preserve">enacting </w:t>
      </w:r>
      <w:r w:rsidRPr="00957C6E" w:rsidR="00C072E3">
        <w:rPr>
          <w:rStyle w:val="cohl"/>
        </w:rPr>
        <w:t>section 226.7(c), t</w:t>
      </w:r>
      <w:r w:rsidRPr="00957C6E" w:rsidR="000403F2">
        <w:rPr>
          <w:rStyle w:val="cohl"/>
        </w:rPr>
        <w:t>he Legislature</w:t>
      </w:r>
      <w:r w:rsidRPr="00957C6E" w:rsidR="00C072E3">
        <w:rPr>
          <w:rStyle w:val="cohl"/>
        </w:rPr>
        <w:t xml:space="preserve"> defined premium pay for break violations as “</w:t>
      </w:r>
      <w:r w:rsidRPr="00957C6E" w:rsidR="00C072E3">
        <w:rPr>
          <w:rStyle w:val="cohl"/>
          <w:iCs/>
        </w:rPr>
        <w:t xml:space="preserve">one additional hour of pay at the employee’s regular rate of compensation” </w:t>
      </w:r>
      <w:r w:rsidRPr="00957C6E" w:rsidR="00C072E3">
        <w:rPr>
          <w:rStyle w:val="cohl"/>
        </w:rPr>
        <w:t>to</w:t>
      </w:r>
      <w:r w:rsidRPr="00957C6E" w:rsidR="000403F2">
        <w:rPr>
          <w:rStyle w:val="cohl"/>
        </w:rPr>
        <w:t xml:space="preserve"> track the </w:t>
      </w:r>
      <w:r w:rsidRPr="00957C6E" w:rsidR="00C072E3">
        <w:rPr>
          <w:rStyle w:val="cohl"/>
        </w:rPr>
        <w:t>meal and rest break provisions</w:t>
      </w:r>
      <w:r w:rsidRPr="00957C6E" w:rsidR="000403F2">
        <w:rPr>
          <w:rStyle w:val="cohl"/>
        </w:rPr>
        <w:t xml:space="preserve"> of Wage Order No. 5</w:t>
      </w:r>
      <w:r w:rsidR="00997FAF">
        <w:rPr>
          <w:rStyle w:val="cohl"/>
        </w:rPr>
        <w:t>-2001</w:t>
      </w:r>
      <w:r w:rsidRPr="00957C6E" w:rsidR="000403F2">
        <w:rPr>
          <w:rStyle w:val="cohl"/>
        </w:rPr>
        <w:t>.</w:t>
      </w:r>
    </w:p>
    <w:p w:rsidR="008E47D3" w:rsidRPr="00957C6E" w:rsidP="000275F0">
      <w:pPr>
        <w:keepNext/>
        <w:jc w:val="center"/>
        <w:rPr>
          <w:b/>
          <w:bCs/>
        </w:rPr>
      </w:pPr>
      <w:r w:rsidRPr="00957C6E">
        <w:rPr>
          <w:b/>
          <w:bCs/>
        </w:rPr>
        <w:t>C.</w:t>
      </w:r>
    </w:p>
    <w:p w:rsidR="008E47D3" w:rsidRPr="00957C6E" w:rsidP="00957C6E">
      <w:pPr>
        <w:ind w:firstLine="720"/>
        <w:rPr>
          <w:rStyle w:val="cohl"/>
        </w:rPr>
      </w:pPr>
      <w:r w:rsidRPr="00957C6E">
        <w:rPr>
          <w:rStyle w:val="cohl"/>
        </w:rPr>
        <w:t xml:space="preserve">In addressing this history, Loews contends that </w:t>
      </w:r>
      <w:r w:rsidRPr="00957C6E" w:rsidR="00F942A6">
        <w:rPr>
          <w:rStyle w:val="cohl"/>
        </w:rPr>
        <w:t>at</w:t>
      </w:r>
      <w:r w:rsidRPr="00957C6E">
        <w:rPr>
          <w:rStyle w:val="cohl"/>
        </w:rPr>
        <w:t xml:space="preserve"> the time the IWC and the Legislature adopted the premium pay requirement for meal or rest break violations, the term “regular rate of pay” </w:t>
      </w:r>
      <w:r w:rsidRPr="00957C6E" w:rsidR="00B403C3">
        <w:rPr>
          <w:rStyle w:val="cohl"/>
        </w:rPr>
        <w:t>was a</w:t>
      </w:r>
      <w:r w:rsidRPr="00957C6E" w:rsidR="00446E06">
        <w:rPr>
          <w:rStyle w:val="cohl"/>
        </w:rPr>
        <w:t>n</w:t>
      </w:r>
      <w:r w:rsidRPr="00957C6E" w:rsidR="00B403C3">
        <w:rPr>
          <w:rStyle w:val="cohl"/>
        </w:rPr>
        <w:t xml:space="preserve"> established </w:t>
      </w:r>
      <w:r w:rsidRPr="00957C6E">
        <w:rPr>
          <w:rStyle w:val="cohl"/>
        </w:rPr>
        <w:t xml:space="preserve">term of art in the specific context of California </w:t>
      </w:r>
      <w:r w:rsidRPr="00957C6E" w:rsidR="00B403C3">
        <w:rPr>
          <w:rStyle w:val="cohl"/>
        </w:rPr>
        <w:t xml:space="preserve">overtime </w:t>
      </w:r>
      <w:r w:rsidRPr="00957C6E">
        <w:rPr>
          <w:rStyle w:val="cohl"/>
        </w:rPr>
        <w:t xml:space="preserve">law.  </w:t>
      </w:r>
      <w:r w:rsidRPr="00957C6E" w:rsidR="0008522F">
        <w:rPr>
          <w:rStyle w:val="cohl"/>
        </w:rPr>
        <w:t>I</w:t>
      </w:r>
      <w:r w:rsidRPr="00957C6E">
        <w:rPr>
          <w:rStyle w:val="cohl"/>
        </w:rPr>
        <w:t xml:space="preserve">t is </w:t>
      </w:r>
      <w:r w:rsidRPr="00957C6E" w:rsidR="0008522F">
        <w:rPr>
          <w:rStyle w:val="cohl"/>
        </w:rPr>
        <w:t xml:space="preserve">thus </w:t>
      </w:r>
      <w:r w:rsidRPr="00957C6E">
        <w:rPr>
          <w:rStyle w:val="cohl"/>
        </w:rPr>
        <w:t>significant</w:t>
      </w:r>
      <w:r w:rsidRPr="00957C6E" w:rsidR="0008522F">
        <w:rPr>
          <w:rStyle w:val="cohl"/>
        </w:rPr>
        <w:t>, Loews says,</w:t>
      </w:r>
      <w:r w:rsidRPr="00957C6E">
        <w:rPr>
          <w:rStyle w:val="cohl"/>
        </w:rPr>
        <w:t xml:space="preserve"> that the IWC and the Legislature</w:t>
      </w:r>
      <w:r w:rsidRPr="00957C6E" w:rsidR="00B403C3">
        <w:rPr>
          <w:rStyle w:val="cohl"/>
        </w:rPr>
        <w:t>, while using “regular rate of pay” in addressing overtime in Wage Order No. 5</w:t>
      </w:r>
      <w:r w:rsidR="00997FAF">
        <w:rPr>
          <w:rStyle w:val="cohl"/>
        </w:rPr>
        <w:t>-2001</w:t>
      </w:r>
      <w:r w:rsidRPr="00957C6E" w:rsidR="00B403C3">
        <w:rPr>
          <w:rStyle w:val="cohl"/>
        </w:rPr>
        <w:t xml:space="preserve"> and section 510(a),</w:t>
      </w:r>
      <w:r w:rsidRPr="00957C6E">
        <w:rPr>
          <w:rStyle w:val="cohl"/>
        </w:rPr>
        <w:t xml:space="preserve"> used a different term</w:t>
      </w:r>
      <w:r w:rsidRPr="00957C6E" w:rsidR="000A6377">
        <w:rPr>
          <w:rStyle w:val="cohl"/>
        </w:rPr>
        <w:t> </w:t>
      </w:r>
      <w:r w:rsidRPr="00957C6E">
        <w:rPr>
          <w:rStyle w:val="cohl"/>
        </w:rPr>
        <w:t>—</w:t>
      </w:r>
      <w:r w:rsidR="0008140C">
        <w:rPr>
          <w:rStyle w:val="cohl"/>
        </w:rPr>
        <w:t xml:space="preserve"> </w:t>
      </w:r>
      <w:r w:rsidRPr="00957C6E">
        <w:rPr>
          <w:rStyle w:val="cohl"/>
        </w:rPr>
        <w:t>“regular rate of compensation”</w:t>
      </w:r>
      <w:r w:rsidRPr="00957C6E" w:rsidR="000A6377">
        <w:rPr>
          <w:rStyle w:val="cohl"/>
        </w:rPr>
        <w:t> </w:t>
      </w:r>
      <w:r w:rsidRPr="00957C6E">
        <w:rPr>
          <w:rStyle w:val="cohl"/>
        </w:rPr>
        <w:t>—</w:t>
      </w:r>
      <w:r w:rsidR="0008140C">
        <w:rPr>
          <w:rStyle w:val="cohl"/>
        </w:rPr>
        <w:t xml:space="preserve"> </w:t>
      </w:r>
      <w:r w:rsidRPr="00957C6E">
        <w:rPr>
          <w:rStyle w:val="cohl"/>
        </w:rPr>
        <w:t>to define premium pay for meal or rest break violations</w:t>
      </w:r>
      <w:r w:rsidRPr="00957C6E" w:rsidR="00B403C3">
        <w:rPr>
          <w:rStyle w:val="cohl"/>
        </w:rPr>
        <w:t xml:space="preserve"> in the same wage order and in section 226.7(c)</w:t>
      </w:r>
      <w:r w:rsidRPr="00957C6E">
        <w:rPr>
          <w:rStyle w:val="cohl"/>
        </w:rPr>
        <w:t xml:space="preserve">.  </w:t>
      </w:r>
      <w:r w:rsidRPr="00957C6E" w:rsidR="00DC4629">
        <w:rPr>
          <w:rStyle w:val="cohl"/>
        </w:rPr>
        <w:t xml:space="preserve">In </w:t>
      </w:r>
      <w:r w:rsidRPr="00957C6E">
        <w:rPr>
          <w:rStyle w:val="cohl"/>
        </w:rPr>
        <w:t>Loews</w:t>
      </w:r>
      <w:r w:rsidRPr="00957C6E" w:rsidR="00DC4629">
        <w:rPr>
          <w:rStyle w:val="cohl"/>
        </w:rPr>
        <w:t>’s view</w:t>
      </w:r>
      <w:r w:rsidRPr="00957C6E" w:rsidR="000A0ED8">
        <w:rPr>
          <w:rStyle w:val="cohl"/>
        </w:rPr>
        <w:t>,</w:t>
      </w:r>
      <w:r w:rsidRPr="00957C6E" w:rsidR="00B403C3">
        <w:rPr>
          <w:rStyle w:val="cohl"/>
        </w:rPr>
        <w:t xml:space="preserve"> the Court of Appeal was correct to </w:t>
      </w:r>
      <w:r w:rsidRPr="00957C6E" w:rsidR="0008522F">
        <w:rPr>
          <w:rStyle w:val="cohl"/>
        </w:rPr>
        <w:t xml:space="preserve">apply </w:t>
      </w:r>
      <w:r w:rsidRPr="00957C6E" w:rsidR="00B403C3">
        <w:rPr>
          <w:rStyle w:val="cohl"/>
        </w:rPr>
        <w:t xml:space="preserve">the </w:t>
      </w:r>
      <w:r w:rsidRPr="00957C6E" w:rsidR="000D57F4">
        <w:rPr>
          <w:rStyle w:val="cohl"/>
        </w:rPr>
        <w:t xml:space="preserve">canon </w:t>
      </w:r>
      <w:r w:rsidRPr="00957C6E" w:rsidR="00B403C3">
        <w:rPr>
          <w:rStyle w:val="cohl"/>
        </w:rPr>
        <w:t xml:space="preserve">that “ ‘[w]here different words or phrases are used in the same connection in different parts of a </w:t>
      </w:r>
      <w:r w:rsidRPr="00957C6E" w:rsidR="0008522F">
        <w:rPr>
          <w:rStyle w:val="cohl"/>
        </w:rPr>
        <w:t>statu</w:t>
      </w:r>
      <w:r w:rsidRPr="00957C6E" w:rsidR="00E82898">
        <w:rPr>
          <w:rStyle w:val="cohl"/>
        </w:rPr>
        <w:t>t</w:t>
      </w:r>
      <w:r w:rsidRPr="00957C6E" w:rsidR="0008522F">
        <w:rPr>
          <w:rStyle w:val="cohl"/>
        </w:rPr>
        <w:t>e, it is presumed the Legislature intended a different meaning.’ ”  (</w:t>
      </w:r>
      <w:r w:rsidRPr="00957C6E" w:rsidR="0008522F">
        <w:rPr>
          <w:rStyle w:val="cohl"/>
          <w:i/>
        </w:rPr>
        <w:t>Ferra</w:t>
      </w:r>
      <w:r w:rsidRPr="00957C6E" w:rsidR="0008522F">
        <w:rPr>
          <w:rStyle w:val="cohl"/>
        </w:rPr>
        <w:t xml:space="preserve">, </w:t>
      </w:r>
      <w:r w:rsidRPr="00957C6E" w:rsidR="0008522F">
        <w:rPr>
          <w:rStyle w:val="cohl"/>
          <w:i/>
        </w:rPr>
        <w:t>supra</w:t>
      </w:r>
      <w:r w:rsidRPr="00957C6E" w:rsidR="0008522F">
        <w:rPr>
          <w:rStyle w:val="cohl"/>
        </w:rPr>
        <w:t>, 40</w:t>
      </w:r>
      <w:r w:rsidRPr="00957C6E" w:rsidR="0060790F">
        <w:rPr>
          <w:rStyle w:val="cohl"/>
        </w:rPr>
        <w:t> </w:t>
      </w:r>
      <w:r w:rsidRPr="00957C6E" w:rsidR="0008522F">
        <w:rPr>
          <w:rStyle w:val="cohl"/>
        </w:rPr>
        <w:t>Cal.App.5th at p. 1247.)</w:t>
      </w:r>
    </w:p>
    <w:p w:rsidR="00FE7309" w:rsidP="00FE7309">
      <w:pPr>
        <w:ind w:firstLine="720"/>
        <w:rPr>
          <w:szCs w:val="26"/>
        </w:rPr>
      </w:pPr>
      <w:r>
        <w:rPr>
          <w:rStyle w:val="cohl"/>
          <w:szCs w:val="26"/>
        </w:rPr>
        <w:t>But c</w:t>
      </w:r>
      <w:r w:rsidR="002B174D">
        <w:rPr>
          <w:rStyle w:val="cohl"/>
          <w:szCs w:val="26"/>
        </w:rPr>
        <w:t>anons of interpretation “are not</w:t>
      </w:r>
      <w:r w:rsidR="00EE44CA">
        <w:rPr>
          <w:rStyle w:val="cohl"/>
          <w:szCs w:val="26"/>
        </w:rPr>
        <w:t xml:space="preserve"> immutable rules</w:t>
      </w:r>
      <w:r>
        <w:rPr>
          <w:rStyle w:val="cohl"/>
          <w:szCs w:val="26"/>
        </w:rPr>
        <w:t>”; they are “</w:t>
      </w:r>
      <w:r w:rsidR="00EE44CA">
        <w:rPr>
          <w:rStyle w:val="cohl"/>
          <w:szCs w:val="26"/>
        </w:rPr>
        <w:t>guidelines subject to exceptions.”</w:t>
      </w:r>
      <w:r w:rsidR="00892C08">
        <w:t xml:space="preserve">  (</w:t>
      </w:r>
      <w:r w:rsidR="00892C08">
        <w:rPr>
          <w:i/>
          <w:iCs/>
        </w:rPr>
        <w:t xml:space="preserve">Wishnev v. The Northwestern Mutual Life Ins. Co. </w:t>
      </w:r>
      <w:r w:rsidR="00892C08">
        <w:t>(2019) 8 Cal.5th 199, 213</w:t>
      </w:r>
      <w:r w:rsidR="00872B5E">
        <w:t xml:space="preserve"> [</w:t>
      </w:r>
      <w:r w:rsidR="00872B5E">
        <w:rPr>
          <w:rStyle w:val="cohl"/>
          <w:szCs w:val="26"/>
        </w:rPr>
        <w:t>c</w:t>
      </w:r>
      <w:r w:rsidR="00872B5E">
        <w:t>anons cannot be mechanically applied, especially when competing canons point in different directions]</w:t>
      </w:r>
      <w:r w:rsidRPr="000275F0" w:rsidR="00872B5E">
        <w:rPr>
          <w:i/>
          <w:iCs/>
        </w:rPr>
        <w:t>.</w:t>
      </w:r>
      <w:r w:rsidR="00872B5E">
        <w:t>)</w:t>
      </w:r>
      <w:r w:rsidR="00C96E31">
        <w:t xml:space="preserve">  </w:t>
      </w:r>
      <w:r>
        <w:t xml:space="preserve">Here, </w:t>
      </w:r>
      <w:r w:rsidR="00183618">
        <w:t>Loews’s</w:t>
      </w:r>
      <w:r w:rsidRPr="0018716B" w:rsidR="00183618">
        <w:t xml:space="preserve"> argument </w:t>
      </w:r>
      <w:r w:rsidRPr="00957C6E" w:rsidR="0008522F">
        <w:rPr>
          <w:rStyle w:val="cohl"/>
          <w:szCs w:val="26"/>
        </w:rPr>
        <w:t xml:space="preserve">is difficult to square with the </w:t>
      </w:r>
      <w:r>
        <w:rPr>
          <w:rStyle w:val="cohl"/>
          <w:szCs w:val="26"/>
        </w:rPr>
        <w:t>fact</w:t>
      </w:r>
      <w:r w:rsidRPr="00957C6E">
        <w:rPr>
          <w:rStyle w:val="cohl"/>
          <w:szCs w:val="26"/>
        </w:rPr>
        <w:t xml:space="preserve"> </w:t>
      </w:r>
      <w:r w:rsidRPr="00957C6E" w:rsidR="0008522F">
        <w:rPr>
          <w:rStyle w:val="cohl"/>
          <w:szCs w:val="26"/>
        </w:rPr>
        <w:t xml:space="preserve">that </w:t>
      </w:r>
      <w:r w:rsidRPr="00957C6E" w:rsidR="00A23019">
        <w:rPr>
          <w:rStyle w:val="cohl"/>
          <w:szCs w:val="26"/>
        </w:rPr>
        <w:t>courts and the DLSE have consistently understood th</w:t>
      </w:r>
      <w:r w:rsidRPr="00957C6E" w:rsidR="004C4A4B">
        <w:rPr>
          <w:szCs w:val="26"/>
        </w:rPr>
        <w:t xml:space="preserve">e term </w:t>
      </w:r>
      <w:r w:rsidRPr="00957C6E" w:rsidR="00B40554">
        <w:rPr>
          <w:szCs w:val="26"/>
        </w:rPr>
        <w:t>“regular rate of pay” to have the same meaning as “regular rate” in the FSLA.</w:t>
      </w:r>
      <w:r w:rsidRPr="00957C6E" w:rsidR="00A23019">
        <w:rPr>
          <w:szCs w:val="26"/>
        </w:rPr>
        <w:t xml:space="preserve">  Although Loews says this “mere fact . . . does not establish that ‘regular rate’ is itself a term of art under California law</w:t>
      </w:r>
      <w:r>
        <w:rPr>
          <w:szCs w:val="26"/>
        </w:rPr>
        <w:t>,</w:t>
      </w:r>
      <w:r w:rsidRPr="00957C6E" w:rsidR="00A23019">
        <w:rPr>
          <w:szCs w:val="26"/>
        </w:rPr>
        <w:t xml:space="preserve">” Loews </w:t>
      </w:r>
      <w:r w:rsidRPr="00957C6E" w:rsidR="004D357E">
        <w:rPr>
          <w:szCs w:val="26"/>
        </w:rPr>
        <w:t xml:space="preserve">cites no authority that </w:t>
      </w:r>
      <w:r w:rsidRPr="00957C6E" w:rsidR="00130263">
        <w:rPr>
          <w:szCs w:val="26"/>
        </w:rPr>
        <w:t xml:space="preserve">has trained attention on </w:t>
      </w:r>
      <w:r w:rsidRPr="00957C6E" w:rsidR="001B7FAF">
        <w:rPr>
          <w:szCs w:val="26"/>
        </w:rPr>
        <w:t xml:space="preserve">the </w:t>
      </w:r>
      <w:r w:rsidRPr="00957C6E" w:rsidR="004D357E">
        <w:rPr>
          <w:szCs w:val="26"/>
        </w:rPr>
        <w:t xml:space="preserve">modifier </w:t>
      </w:r>
      <w:r w:rsidRPr="00957C6E" w:rsidR="001B7FAF">
        <w:rPr>
          <w:szCs w:val="26"/>
        </w:rPr>
        <w:t xml:space="preserve">“of pay.”  </w:t>
      </w:r>
      <w:r w:rsidRPr="00957C6E" w:rsidR="004D357E">
        <w:rPr>
          <w:szCs w:val="26"/>
        </w:rPr>
        <w:t>The fact that California authorities, i</w:t>
      </w:r>
      <w:r w:rsidRPr="00957C6E" w:rsidR="001B7FAF">
        <w:rPr>
          <w:szCs w:val="26"/>
        </w:rPr>
        <w:t xml:space="preserve">n </w:t>
      </w:r>
      <w:r w:rsidRPr="00957C6E" w:rsidR="00174CAC">
        <w:rPr>
          <w:szCs w:val="26"/>
        </w:rPr>
        <w:t>construing</w:t>
      </w:r>
      <w:r w:rsidRPr="00957C6E" w:rsidR="001B7FAF">
        <w:rPr>
          <w:szCs w:val="26"/>
        </w:rPr>
        <w:t xml:space="preserve"> “regular rate of pay,” have </w:t>
      </w:r>
      <w:r w:rsidRPr="00957C6E" w:rsidR="00D6010B">
        <w:rPr>
          <w:szCs w:val="26"/>
        </w:rPr>
        <w:t xml:space="preserve">looked to the </w:t>
      </w:r>
      <w:r w:rsidRPr="00957C6E" w:rsidR="00DC4629">
        <w:rPr>
          <w:szCs w:val="26"/>
        </w:rPr>
        <w:t xml:space="preserve">meaning of “regular rate” in the </w:t>
      </w:r>
      <w:r w:rsidRPr="00957C6E" w:rsidR="00D6010B">
        <w:rPr>
          <w:szCs w:val="26"/>
        </w:rPr>
        <w:t>FLS</w:t>
      </w:r>
      <w:r w:rsidRPr="00957C6E" w:rsidR="004D357E">
        <w:rPr>
          <w:szCs w:val="26"/>
        </w:rPr>
        <w:t xml:space="preserve">A </w:t>
      </w:r>
      <w:r w:rsidRPr="00957C6E" w:rsidR="00DC4629">
        <w:rPr>
          <w:szCs w:val="26"/>
        </w:rPr>
        <w:t xml:space="preserve">implies that </w:t>
      </w:r>
      <w:r w:rsidRPr="00957C6E" w:rsidR="008570ED">
        <w:rPr>
          <w:szCs w:val="26"/>
        </w:rPr>
        <w:t>“regular rate”</w:t>
      </w:r>
      <w:r w:rsidRPr="00957C6E" w:rsidR="00D6010B">
        <w:rPr>
          <w:szCs w:val="26"/>
        </w:rPr>
        <w:t xml:space="preserve"> </w:t>
      </w:r>
      <w:r w:rsidRPr="00957C6E" w:rsidR="00DC4629">
        <w:rPr>
          <w:szCs w:val="26"/>
        </w:rPr>
        <w:t xml:space="preserve">is </w:t>
      </w:r>
      <w:r w:rsidRPr="00957C6E" w:rsidR="00D6010B">
        <w:rPr>
          <w:szCs w:val="26"/>
        </w:rPr>
        <w:t xml:space="preserve">the operative </w:t>
      </w:r>
      <w:r w:rsidRPr="00957C6E" w:rsidR="00D44025">
        <w:rPr>
          <w:szCs w:val="26"/>
        </w:rPr>
        <w:t>term of art</w:t>
      </w:r>
      <w:r w:rsidRPr="00957C6E" w:rsidR="00D6010B">
        <w:rPr>
          <w:szCs w:val="26"/>
        </w:rPr>
        <w:t xml:space="preserve">.  </w:t>
      </w:r>
      <w:r w:rsidRPr="00957C6E" w:rsidR="001B7FAF">
        <w:rPr>
          <w:szCs w:val="26"/>
        </w:rPr>
        <w:t>(</w:t>
      </w:r>
      <w:r w:rsidRPr="00957C6E" w:rsidR="00D6010B">
        <w:rPr>
          <w:szCs w:val="26"/>
        </w:rPr>
        <w:t>S</w:t>
      </w:r>
      <w:r w:rsidRPr="00957C6E" w:rsidR="001B7FAF">
        <w:rPr>
          <w:szCs w:val="26"/>
        </w:rPr>
        <w:t xml:space="preserve">ee </w:t>
      </w:r>
      <w:r w:rsidRPr="00957C6E" w:rsidR="001B7FAF">
        <w:rPr>
          <w:i/>
          <w:szCs w:val="26"/>
          <w:shd w:val="clear" w:color="auto" w:fill="FFFFFF"/>
        </w:rPr>
        <w:t>Advanced-Tech</w:t>
      </w:r>
      <w:r w:rsidRPr="00957C6E" w:rsidR="0090079D">
        <w:rPr>
          <w:szCs w:val="26"/>
          <w:shd w:val="clear" w:color="auto" w:fill="FFFFFF"/>
        </w:rPr>
        <w:t xml:space="preserve">, </w:t>
      </w:r>
      <w:r w:rsidRPr="00957C6E" w:rsidR="0090079D">
        <w:rPr>
          <w:i/>
          <w:szCs w:val="26"/>
          <w:shd w:val="clear" w:color="auto" w:fill="FFFFFF"/>
        </w:rPr>
        <w:t>supra</w:t>
      </w:r>
      <w:r w:rsidRPr="00957C6E" w:rsidR="0090079D">
        <w:rPr>
          <w:szCs w:val="26"/>
          <w:shd w:val="clear" w:color="auto" w:fill="FFFFFF"/>
        </w:rPr>
        <w:t>,</w:t>
      </w:r>
      <w:r w:rsidRPr="00957C6E" w:rsidR="001B7FAF">
        <w:rPr>
          <w:szCs w:val="26"/>
          <w:shd w:val="clear" w:color="auto" w:fill="FFFFFF"/>
        </w:rPr>
        <w:t xml:space="preserve"> 163 Cal.App.4th </w:t>
      </w:r>
      <w:r w:rsidRPr="00957C6E" w:rsidR="008570ED">
        <w:rPr>
          <w:szCs w:val="26"/>
          <w:shd w:val="clear" w:color="auto" w:fill="FFFFFF"/>
        </w:rPr>
        <w:t>at pp. 707–</w:t>
      </w:r>
      <w:r w:rsidRPr="00957C6E" w:rsidR="001B7FAF">
        <w:rPr>
          <w:szCs w:val="26"/>
          <w:shd w:val="clear" w:color="auto" w:fill="FFFFFF"/>
        </w:rPr>
        <w:t>708</w:t>
      </w:r>
      <w:r w:rsidRPr="00957C6E" w:rsidR="008570ED">
        <w:rPr>
          <w:szCs w:val="26"/>
          <w:shd w:val="clear" w:color="auto" w:fill="FFFFFF"/>
        </w:rPr>
        <w:t>;</w:t>
      </w:r>
      <w:r w:rsidRPr="00957C6E" w:rsidR="0090079D">
        <w:rPr>
          <w:szCs w:val="26"/>
          <w:shd w:val="clear" w:color="auto" w:fill="FFFFFF"/>
        </w:rPr>
        <w:t xml:space="preserve"> </w:t>
      </w:r>
      <w:r w:rsidRPr="00957C6E" w:rsidR="00007D8F">
        <w:rPr>
          <w:i/>
          <w:szCs w:val="26"/>
        </w:rPr>
        <w:t>Huntington</w:t>
      </w:r>
      <w:r w:rsidRPr="00957C6E" w:rsidR="00007D8F">
        <w:rPr>
          <w:szCs w:val="26"/>
        </w:rPr>
        <w:t xml:space="preserve">, </w:t>
      </w:r>
      <w:r w:rsidRPr="00957C6E" w:rsidR="00007D8F">
        <w:rPr>
          <w:i/>
          <w:szCs w:val="26"/>
        </w:rPr>
        <w:t>supra</w:t>
      </w:r>
      <w:r w:rsidRPr="00957C6E" w:rsidR="00007D8F">
        <w:rPr>
          <w:szCs w:val="26"/>
        </w:rPr>
        <w:t>, 131</w:t>
      </w:r>
      <w:r w:rsidRPr="00957C6E" w:rsidR="00597603">
        <w:rPr>
          <w:szCs w:val="26"/>
        </w:rPr>
        <w:t> </w:t>
      </w:r>
      <w:r w:rsidRPr="00957C6E" w:rsidR="00007D8F">
        <w:rPr>
          <w:szCs w:val="26"/>
        </w:rPr>
        <w:t>Cal.App.4th at pp. 902–905;</w:t>
      </w:r>
      <w:r w:rsidRPr="00957C6E" w:rsidR="00007D8F">
        <w:rPr>
          <w:szCs w:val="26"/>
          <w:shd w:val="clear" w:color="auto" w:fill="FFFFFF"/>
        </w:rPr>
        <w:t xml:space="preserve"> </w:t>
      </w:r>
      <w:r w:rsidRPr="00957C6E" w:rsidR="0090079D">
        <w:rPr>
          <w:i/>
          <w:iCs/>
        </w:rPr>
        <w:t>Alcala</w:t>
      </w:r>
      <w:r w:rsidRPr="00957C6E" w:rsidR="0090079D">
        <w:rPr>
          <w:iCs/>
        </w:rPr>
        <w:t xml:space="preserve">, </w:t>
      </w:r>
      <w:r w:rsidRPr="00957C6E" w:rsidR="0090079D">
        <w:rPr>
          <w:i/>
          <w:iCs/>
        </w:rPr>
        <w:t>supra</w:t>
      </w:r>
      <w:r w:rsidRPr="00957C6E" w:rsidR="0090079D">
        <w:rPr>
          <w:iCs/>
        </w:rPr>
        <w:t xml:space="preserve">, </w:t>
      </w:r>
      <w:r w:rsidRPr="00957C6E" w:rsidR="0090079D">
        <w:t>182 Cal.App.3d at pp. 549–550;</w:t>
      </w:r>
      <w:r w:rsidRPr="00957C6E" w:rsidR="008570ED">
        <w:rPr>
          <w:szCs w:val="26"/>
          <w:shd w:val="clear" w:color="auto" w:fill="FFFFFF"/>
        </w:rPr>
        <w:t xml:space="preserve"> </w:t>
      </w:r>
      <w:r w:rsidR="002B50AD">
        <w:rPr>
          <w:szCs w:val="26"/>
        </w:rPr>
        <w:t xml:space="preserve">Dept. of Industrial Relations, </w:t>
      </w:r>
      <w:r w:rsidRPr="00957C6E" w:rsidR="00D6010B">
        <w:rPr>
          <w:szCs w:val="26"/>
          <w:shd w:val="clear" w:color="auto" w:fill="FFFFFF"/>
        </w:rPr>
        <w:t xml:space="preserve">DLSE, </w:t>
      </w:r>
      <w:r w:rsidR="002B50AD">
        <w:rPr>
          <w:szCs w:val="26"/>
          <w:shd w:val="clear" w:color="auto" w:fill="FFFFFF"/>
        </w:rPr>
        <w:t>Chief Counsel</w:t>
      </w:r>
      <w:r w:rsidRPr="00957C6E" w:rsidR="00D6010B">
        <w:rPr>
          <w:szCs w:val="26"/>
          <w:shd w:val="clear" w:color="auto" w:fill="FFFFFF"/>
        </w:rPr>
        <w:t xml:space="preserve"> H. Thomas Cadell, Jr., Opn. Letter No. 2003</w:t>
      </w:r>
      <w:r w:rsidR="002B50AD">
        <w:rPr>
          <w:szCs w:val="26"/>
          <w:shd w:val="clear" w:color="auto" w:fill="FFFFFF"/>
        </w:rPr>
        <w:t>.</w:t>
      </w:r>
      <w:r w:rsidRPr="00957C6E" w:rsidR="00D6010B">
        <w:rPr>
          <w:szCs w:val="26"/>
          <w:shd w:val="clear" w:color="auto" w:fill="FFFFFF"/>
        </w:rPr>
        <w:t>01</w:t>
      </w:r>
      <w:r w:rsidR="002B50AD">
        <w:rPr>
          <w:szCs w:val="26"/>
          <w:shd w:val="clear" w:color="auto" w:fill="FFFFFF"/>
        </w:rPr>
        <w:t>.</w:t>
      </w:r>
      <w:r w:rsidRPr="00957C6E" w:rsidR="00D6010B">
        <w:rPr>
          <w:szCs w:val="26"/>
          <w:shd w:val="clear" w:color="auto" w:fill="FFFFFF"/>
        </w:rPr>
        <w:t>29, Calculation of Regular Rate of Pay</w:t>
      </w:r>
      <w:r w:rsidR="002B50AD">
        <w:rPr>
          <w:i/>
          <w:iCs/>
          <w:szCs w:val="26"/>
          <w:shd w:val="clear" w:color="auto" w:fill="FFFFFF"/>
        </w:rPr>
        <w:t>, supra</w:t>
      </w:r>
      <w:r w:rsidR="002B50AD">
        <w:rPr>
          <w:szCs w:val="26"/>
          <w:shd w:val="clear" w:color="auto" w:fill="FFFFFF"/>
        </w:rPr>
        <w:t>, at</w:t>
      </w:r>
      <w:r w:rsidRPr="00957C6E" w:rsidR="00D6010B">
        <w:rPr>
          <w:szCs w:val="26"/>
          <w:shd w:val="clear" w:color="auto" w:fill="FFFFFF"/>
        </w:rPr>
        <w:t xml:space="preserve"> p. 2, fn. 1 [</w:t>
      </w:r>
      <w:r w:rsidRPr="00957C6E" w:rsidR="000D57F4">
        <w:rPr>
          <w:szCs w:val="26"/>
          <w:shd w:val="clear" w:color="auto" w:fill="FFFFFF"/>
        </w:rPr>
        <w:t>“[T]</w:t>
      </w:r>
      <w:r w:rsidRPr="00957C6E" w:rsidR="00D6010B">
        <w:rPr>
          <w:szCs w:val="26"/>
        </w:rPr>
        <w:t xml:space="preserve">he failure of the IWC to define the term </w:t>
      </w:r>
      <w:r w:rsidRPr="00957C6E" w:rsidR="000D57F4">
        <w:rPr>
          <w:szCs w:val="26"/>
        </w:rPr>
        <w:t>‘</w:t>
      </w:r>
      <w:r w:rsidRPr="00957C6E" w:rsidR="00D6010B">
        <w:rPr>
          <w:szCs w:val="26"/>
        </w:rPr>
        <w:t>regular rate</w:t>
      </w:r>
      <w:r w:rsidRPr="00957C6E" w:rsidR="000D57F4">
        <w:rPr>
          <w:szCs w:val="26"/>
        </w:rPr>
        <w:t>’</w:t>
      </w:r>
      <w:r w:rsidRPr="00957C6E" w:rsidR="00D6010B">
        <w:rPr>
          <w:szCs w:val="26"/>
        </w:rPr>
        <w:t xml:space="preserve"> indicates the Commission’s intent that in determining what payments are to be included in or excluded from the calculation of the regular rate of pay, California will adhere to the standards adopted by the U.S. Department of Labor to the extent that those standards are consistent with California law.</w:t>
      </w:r>
      <w:r w:rsidRPr="00957C6E" w:rsidR="000D57F4">
        <w:rPr>
          <w:szCs w:val="26"/>
        </w:rPr>
        <w:t>”]</w:t>
      </w:r>
      <w:r w:rsidRPr="00957C6E" w:rsidR="00007D8F">
        <w:rPr>
          <w:szCs w:val="26"/>
        </w:rPr>
        <w:t xml:space="preserve">; </w:t>
      </w:r>
      <w:r w:rsidRPr="00957C6E" w:rsidR="00007D8F">
        <w:rPr>
          <w:i/>
          <w:szCs w:val="26"/>
        </w:rPr>
        <w:t>ante</w:t>
      </w:r>
      <w:r w:rsidRPr="00957C6E" w:rsidR="00007D8F">
        <w:rPr>
          <w:szCs w:val="26"/>
        </w:rPr>
        <w:t xml:space="preserve">, at </w:t>
      </w:r>
      <w:r w:rsidRPr="00957C6E" w:rsidR="00E42DCD">
        <w:rPr>
          <w:szCs w:val="26"/>
        </w:rPr>
        <w:t>p</w:t>
      </w:r>
      <w:r w:rsidRPr="00957C6E" w:rsidR="00007D8F">
        <w:rPr>
          <w:szCs w:val="26"/>
        </w:rPr>
        <w:t>.</w:t>
      </w:r>
      <w:r w:rsidRPr="00957C6E" w:rsidR="00E42DCD">
        <w:rPr>
          <w:szCs w:val="26"/>
        </w:rPr>
        <w:t> 9</w:t>
      </w:r>
      <w:r w:rsidRPr="00957C6E" w:rsidR="00007D8F">
        <w:rPr>
          <w:szCs w:val="26"/>
        </w:rPr>
        <w:t xml:space="preserve"> [citing 1994 and 1991 DLSE opinion letters and 1998 DLSE Manual]</w:t>
      </w:r>
      <w:r w:rsidRPr="00957C6E" w:rsidR="000D57F4">
        <w:rPr>
          <w:szCs w:val="26"/>
        </w:rPr>
        <w:t>.)</w:t>
      </w:r>
    </w:p>
    <w:p w:rsidR="0057376F" w:rsidRPr="00957C6E" w:rsidP="00FE7309">
      <w:pPr>
        <w:ind w:firstLine="720"/>
        <w:rPr>
          <w:szCs w:val="26"/>
        </w:rPr>
      </w:pPr>
      <w:r>
        <w:rPr>
          <w:szCs w:val="26"/>
        </w:rPr>
        <w:t>Indeed, by</w:t>
      </w:r>
      <w:r w:rsidR="008B500E">
        <w:rPr>
          <w:szCs w:val="26"/>
        </w:rPr>
        <w:t xml:space="preserve"> the time section 226.7 was enacted, </w:t>
      </w:r>
      <w:r w:rsidR="0021163F">
        <w:rPr>
          <w:szCs w:val="26"/>
        </w:rPr>
        <w:t xml:space="preserve">the phrase “regular rate” had </w:t>
      </w:r>
      <w:r w:rsidR="00FE7309">
        <w:rPr>
          <w:szCs w:val="26"/>
        </w:rPr>
        <w:t>been in use</w:t>
      </w:r>
      <w:r w:rsidR="0021163F">
        <w:rPr>
          <w:szCs w:val="26"/>
        </w:rPr>
        <w:t xml:space="preserve"> and had been </w:t>
      </w:r>
      <w:r>
        <w:rPr>
          <w:szCs w:val="26"/>
        </w:rPr>
        <w:t>treated by courts and agencies as the operative term</w:t>
      </w:r>
      <w:r w:rsidR="0021163F">
        <w:rPr>
          <w:szCs w:val="26"/>
        </w:rPr>
        <w:t xml:space="preserve"> for more than half a century.</w:t>
      </w:r>
      <w:r w:rsidR="003B6994">
        <w:rPr>
          <w:szCs w:val="26"/>
        </w:rPr>
        <w:t xml:space="preserve">  (</w:t>
      </w:r>
      <w:r w:rsidRPr="000275F0" w:rsidR="003B6994">
        <w:rPr>
          <w:i/>
          <w:iCs/>
          <w:szCs w:val="26"/>
        </w:rPr>
        <w:t>Ante</w:t>
      </w:r>
      <w:r w:rsidR="003B6994">
        <w:rPr>
          <w:szCs w:val="26"/>
        </w:rPr>
        <w:t>, at pp. 6</w:t>
      </w:r>
      <w:r w:rsidRPr="00957C6E" w:rsidR="003B6994">
        <w:rPr>
          <w:szCs w:val="26"/>
        </w:rPr>
        <w:t>–</w:t>
      </w:r>
      <w:r w:rsidR="003B6994">
        <w:rPr>
          <w:szCs w:val="26"/>
        </w:rPr>
        <w:t xml:space="preserve">11.)  </w:t>
      </w:r>
      <w:r w:rsidRPr="00957C6E" w:rsidR="00DC4629">
        <w:rPr>
          <w:szCs w:val="26"/>
        </w:rPr>
        <w:t>There is no sign that</w:t>
      </w:r>
      <w:r w:rsidRPr="00957C6E" w:rsidR="0090079D">
        <w:rPr>
          <w:szCs w:val="26"/>
        </w:rPr>
        <w:t xml:space="preserve"> </w:t>
      </w:r>
      <w:r w:rsidRPr="00957C6E" w:rsidR="00D44025">
        <w:rPr>
          <w:szCs w:val="26"/>
        </w:rPr>
        <w:t xml:space="preserve">the IWC or the Legislature believed </w:t>
      </w:r>
      <w:r w:rsidRPr="00957C6E" w:rsidR="00DC4629">
        <w:rPr>
          <w:szCs w:val="26"/>
        </w:rPr>
        <w:t xml:space="preserve">otherwise </w:t>
      </w:r>
      <w:r w:rsidRPr="00957C6E" w:rsidR="00D44025">
        <w:rPr>
          <w:szCs w:val="26"/>
        </w:rPr>
        <w:t>when they enacted Wage Order No. 5</w:t>
      </w:r>
      <w:r w:rsidR="00997FAF">
        <w:rPr>
          <w:szCs w:val="26"/>
        </w:rPr>
        <w:t>-2001</w:t>
      </w:r>
      <w:r w:rsidRPr="00957C6E" w:rsidR="00D44025">
        <w:rPr>
          <w:szCs w:val="26"/>
        </w:rPr>
        <w:t xml:space="preserve"> and sections 510(a) and 226.7(c).  </w:t>
      </w:r>
      <w:r w:rsidRPr="00957C6E" w:rsidR="000D57F4">
        <w:rPr>
          <w:szCs w:val="26"/>
        </w:rPr>
        <w:t xml:space="preserve">The use of “regular rate” </w:t>
      </w:r>
      <w:r w:rsidRPr="00957C6E" w:rsidR="00C14E68">
        <w:rPr>
          <w:szCs w:val="26"/>
        </w:rPr>
        <w:t xml:space="preserve">in those </w:t>
      </w:r>
      <w:r w:rsidRPr="00957C6E" w:rsidR="004D357E">
        <w:rPr>
          <w:szCs w:val="26"/>
        </w:rPr>
        <w:t>contemporaneous</w:t>
      </w:r>
      <w:r w:rsidRPr="00957C6E" w:rsidR="00B30825">
        <w:rPr>
          <w:szCs w:val="26"/>
        </w:rPr>
        <w:t xml:space="preserve"> </w:t>
      </w:r>
      <w:r w:rsidRPr="00957C6E" w:rsidR="00C14E68">
        <w:rPr>
          <w:szCs w:val="26"/>
        </w:rPr>
        <w:t xml:space="preserve">enactments </w:t>
      </w:r>
      <w:r w:rsidRPr="00957C6E">
        <w:rPr>
          <w:szCs w:val="26"/>
        </w:rPr>
        <w:t xml:space="preserve">to </w:t>
      </w:r>
      <w:r w:rsidRPr="00957C6E" w:rsidR="000D57F4">
        <w:rPr>
          <w:szCs w:val="26"/>
        </w:rPr>
        <w:t>defin</w:t>
      </w:r>
      <w:r w:rsidRPr="00957C6E">
        <w:rPr>
          <w:szCs w:val="26"/>
        </w:rPr>
        <w:t>e</w:t>
      </w:r>
      <w:r w:rsidRPr="00957C6E" w:rsidR="000D57F4">
        <w:rPr>
          <w:szCs w:val="26"/>
        </w:rPr>
        <w:t xml:space="preserve"> </w:t>
      </w:r>
      <w:r w:rsidRPr="00957C6E" w:rsidR="007E04A3">
        <w:rPr>
          <w:szCs w:val="26"/>
        </w:rPr>
        <w:t xml:space="preserve">both </w:t>
      </w:r>
      <w:r w:rsidRPr="00957C6E">
        <w:rPr>
          <w:szCs w:val="26"/>
        </w:rPr>
        <w:t xml:space="preserve">overtime pay and </w:t>
      </w:r>
      <w:r w:rsidRPr="00957C6E" w:rsidR="000D57F4">
        <w:rPr>
          <w:szCs w:val="26"/>
        </w:rPr>
        <w:t>premium pay for break</w:t>
      </w:r>
      <w:r w:rsidRPr="00957C6E" w:rsidR="007E04A3">
        <w:rPr>
          <w:szCs w:val="26"/>
        </w:rPr>
        <w:t xml:space="preserve"> violations</w:t>
      </w:r>
      <w:r w:rsidRPr="00957C6E" w:rsidR="000D57F4">
        <w:rPr>
          <w:szCs w:val="26"/>
        </w:rPr>
        <w:t xml:space="preserve"> </w:t>
      </w:r>
      <w:r w:rsidRPr="00957C6E" w:rsidR="007E04A3">
        <w:rPr>
          <w:szCs w:val="26"/>
        </w:rPr>
        <w:t xml:space="preserve">calls to mind </w:t>
      </w:r>
      <w:r w:rsidRPr="00957C6E" w:rsidR="000D57F4">
        <w:rPr>
          <w:szCs w:val="26"/>
        </w:rPr>
        <w:t>a different canon:</w:t>
      </w:r>
      <w:r w:rsidR="003822B1">
        <w:rPr>
          <w:szCs w:val="26"/>
        </w:rPr>
        <w:t>  </w:t>
      </w:r>
      <w:r w:rsidRPr="00957C6E">
        <w:rPr>
          <w:szCs w:val="26"/>
        </w:rPr>
        <w:t>“</w:t>
      </w:r>
      <w:r w:rsidRPr="00957C6E">
        <w:rPr>
          <w:szCs w:val="26"/>
          <w:bdr w:val="none" w:sz="0" w:space="0" w:color="auto" w:frame="1"/>
          <w:shd w:val="clear" w:color="auto" w:fill="FFFFFF"/>
          <w:lang w:eastAsia="zh-CN"/>
        </w:rPr>
        <w:t>Similar</w:t>
      </w:r>
      <w:r w:rsidRPr="00957C6E">
        <w:rPr>
          <w:szCs w:val="26"/>
          <w:shd w:val="clear" w:color="auto" w:fill="FFFFFF"/>
          <w:lang w:eastAsia="zh-CN"/>
        </w:rPr>
        <w:t xml:space="preserve"> </w:t>
      </w:r>
      <w:r w:rsidRPr="00957C6E">
        <w:rPr>
          <w:szCs w:val="26"/>
          <w:bdr w:val="none" w:sz="0" w:space="0" w:color="auto" w:frame="1"/>
          <w:shd w:val="clear" w:color="auto" w:fill="FFFFFF"/>
          <w:lang w:eastAsia="zh-CN"/>
        </w:rPr>
        <w:t>terms</w:t>
      </w:r>
      <w:r w:rsidRPr="00957C6E">
        <w:rPr>
          <w:szCs w:val="26"/>
          <w:shd w:val="clear" w:color="auto" w:fill="FFFFFF"/>
          <w:lang w:eastAsia="zh-CN"/>
        </w:rPr>
        <w:t xml:space="preserve"> should be given consistent </w:t>
      </w:r>
      <w:r w:rsidRPr="00957C6E">
        <w:rPr>
          <w:szCs w:val="26"/>
          <w:bdr w:val="none" w:sz="0" w:space="0" w:color="auto" w:frame="1"/>
          <w:shd w:val="clear" w:color="auto" w:fill="FFFFFF"/>
          <w:lang w:eastAsia="zh-CN"/>
        </w:rPr>
        <w:t>meaning</w:t>
      </w:r>
      <w:r w:rsidRPr="00957C6E">
        <w:rPr>
          <w:szCs w:val="26"/>
          <w:shd w:val="clear" w:color="auto" w:fill="FFFFFF"/>
          <w:lang w:eastAsia="zh-CN"/>
        </w:rPr>
        <w:t xml:space="preserve"> when used in </w:t>
      </w:r>
      <w:r w:rsidRPr="00957C6E">
        <w:rPr>
          <w:lang w:eastAsia="zh-CN"/>
        </w:rPr>
        <w:t>the same</w:t>
      </w:r>
      <w:r w:rsidRPr="00957C6E">
        <w:rPr>
          <w:szCs w:val="26"/>
          <w:shd w:val="clear" w:color="auto" w:fill="FFFFFF"/>
          <w:lang w:eastAsia="zh-CN"/>
        </w:rPr>
        <w:t xml:space="preserve"> </w:t>
      </w:r>
      <w:r w:rsidRPr="00957C6E">
        <w:rPr>
          <w:szCs w:val="26"/>
          <w:bdr w:val="none" w:sz="0" w:space="0" w:color="auto" w:frame="1"/>
          <w:shd w:val="clear" w:color="auto" w:fill="FFFFFF"/>
          <w:lang w:eastAsia="zh-CN"/>
        </w:rPr>
        <w:t>statutory</w:t>
      </w:r>
      <w:r w:rsidRPr="00957C6E">
        <w:rPr>
          <w:szCs w:val="26"/>
          <w:shd w:val="clear" w:color="auto" w:fill="FFFFFF"/>
          <w:lang w:eastAsia="zh-CN"/>
        </w:rPr>
        <w:t xml:space="preserve"> </w:t>
      </w:r>
      <w:r w:rsidRPr="00957C6E">
        <w:rPr>
          <w:szCs w:val="26"/>
          <w:lang w:eastAsia="zh-CN"/>
        </w:rPr>
        <w:t>scheme unless</w:t>
      </w:r>
      <w:r w:rsidRPr="00957C6E">
        <w:rPr>
          <w:szCs w:val="26"/>
          <w:shd w:val="clear" w:color="auto" w:fill="FFFFFF"/>
          <w:lang w:eastAsia="zh-CN"/>
        </w:rPr>
        <w:t xml:space="preserve"> there is evidenced a contrary </w:t>
      </w:r>
      <w:r w:rsidRPr="00957C6E">
        <w:rPr>
          <w:szCs w:val="26"/>
          <w:lang w:eastAsia="zh-CN"/>
        </w:rPr>
        <w:t>statutory intent</w:t>
      </w:r>
      <w:r w:rsidRPr="00957C6E">
        <w:rPr>
          <w:szCs w:val="26"/>
          <w:shd w:val="clear" w:color="auto" w:fill="FFFFFF"/>
          <w:lang w:eastAsia="zh-CN"/>
        </w:rPr>
        <w:t>.”  (</w:t>
      </w:r>
      <w:r w:rsidRPr="00957C6E">
        <w:rPr>
          <w:i/>
          <w:szCs w:val="26"/>
          <w:shd w:val="clear" w:color="auto" w:fill="FFFFFF"/>
          <w:lang w:eastAsia="zh-CN"/>
        </w:rPr>
        <w:t>People v. Cook</w:t>
      </w:r>
      <w:r w:rsidRPr="00957C6E">
        <w:rPr>
          <w:szCs w:val="26"/>
          <w:shd w:val="clear" w:color="auto" w:fill="FFFFFF"/>
          <w:lang w:eastAsia="zh-CN"/>
        </w:rPr>
        <w:t xml:space="preserve"> (1984) 158 Cal.App.3d 948, 954.)</w:t>
      </w:r>
    </w:p>
    <w:p w:rsidR="005A4944" w:rsidRPr="00957C6E" w:rsidP="00957C6E">
      <w:pPr>
        <w:ind w:firstLine="720"/>
      </w:pPr>
      <w:r w:rsidRPr="00957C6E">
        <w:rPr>
          <w:szCs w:val="26"/>
        </w:rPr>
        <w:t xml:space="preserve">Loews sees evidence of a contrary intent in the Legislature’s and IWC’s use of “regular rate” with different modifiers, i.e., “of pay” and “of compensation.”  But </w:t>
      </w:r>
      <w:r w:rsidRPr="00957C6E" w:rsidR="00D667FF">
        <w:rPr>
          <w:szCs w:val="26"/>
        </w:rPr>
        <w:t xml:space="preserve">neither </w:t>
      </w:r>
      <w:r w:rsidRPr="00957C6E" w:rsidR="00B40952">
        <w:rPr>
          <w:szCs w:val="26"/>
        </w:rPr>
        <w:t xml:space="preserve">the adoption history of the phrase “regular rate of compensation” </w:t>
      </w:r>
      <w:r w:rsidRPr="00957C6E" w:rsidR="00D667FF">
        <w:rPr>
          <w:szCs w:val="26"/>
        </w:rPr>
        <w:t xml:space="preserve">nor the provisions in which it appears </w:t>
      </w:r>
      <w:r w:rsidRPr="00957C6E" w:rsidR="00B40952">
        <w:rPr>
          <w:szCs w:val="26"/>
        </w:rPr>
        <w:t xml:space="preserve">contain </w:t>
      </w:r>
      <w:r w:rsidRPr="00957C6E" w:rsidR="00D667FF">
        <w:rPr>
          <w:szCs w:val="26"/>
        </w:rPr>
        <w:t xml:space="preserve">any </w:t>
      </w:r>
      <w:r w:rsidRPr="00957C6E" w:rsidR="00B40952">
        <w:rPr>
          <w:szCs w:val="26"/>
        </w:rPr>
        <w:t xml:space="preserve">hint that the Legislature or the IWC intended it to mean something different than “regular rate of pay” or specifically to mean an employee’s hourly rate only.  In fact, </w:t>
      </w:r>
      <w:r w:rsidRPr="00957C6E">
        <w:rPr>
          <w:szCs w:val="26"/>
        </w:rPr>
        <w:t>t</w:t>
      </w:r>
      <w:r w:rsidRPr="00957C6E" w:rsidR="00FE6D22">
        <w:rPr>
          <w:szCs w:val="26"/>
        </w:rPr>
        <w:t xml:space="preserve">he Legislature used the terms “pay” and “compensation” interchangeably in the </w:t>
      </w:r>
      <w:r w:rsidRPr="00957C6E" w:rsidR="00F942A6">
        <w:rPr>
          <w:szCs w:val="26"/>
        </w:rPr>
        <w:t xml:space="preserve">very </w:t>
      </w:r>
      <w:r w:rsidRPr="00957C6E" w:rsidR="00FE6D22">
        <w:rPr>
          <w:szCs w:val="26"/>
        </w:rPr>
        <w:t xml:space="preserve">text of sections </w:t>
      </w:r>
      <w:r w:rsidRPr="00957C6E" w:rsidR="00B40952">
        <w:rPr>
          <w:szCs w:val="26"/>
        </w:rPr>
        <w:t xml:space="preserve">226.7(c) and </w:t>
      </w:r>
      <w:r w:rsidRPr="00957C6E" w:rsidR="00FE6D22">
        <w:rPr>
          <w:szCs w:val="26"/>
        </w:rPr>
        <w:t>510(a).  (</w:t>
      </w:r>
      <w:r w:rsidRPr="00957C6E" w:rsidR="00B40952">
        <w:rPr>
          <w:szCs w:val="26"/>
        </w:rPr>
        <w:t>See</w:t>
      </w:r>
      <w:r w:rsidRPr="00957C6E" w:rsidR="00FE6D22">
        <w:rPr>
          <w:szCs w:val="26"/>
        </w:rPr>
        <w:t xml:space="preserve"> </w:t>
      </w:r>
      <w:r w:rsidRPr="00957C6E" w:rsidR="00174CAC">
        <w:rPr>
          <w:szCs w:val="26"/>
        </w:rPr>
        <w:t>§ 226.7(c) [</w:t>
      </w:r>
      <w:r w:rsidRPr="00957C6E" w:rsidR="00B30825">
        <w:rPr>
          <w:szCs w:val="26"/>
        </w:rPr>
        <w:t xml:space="preserve">“the employer shall </w:t>
      </w:r>
      <w:r w:rsidRPr="00957C6E" w:rsidR="00B30825">
        <w:rPr>
          <w:i/>
          <w:szCs w:val="26"/>
        </w:rPr>
        <w:t>pay</w:t>
      </w:r>
      <w:r w:rsidRPr="00957C6E" w:rsidR="00B30825">
        <w:rPr>
          <w:szCs w:val="26"/>
        </w:rPr>
        <w:t xml:space="preserve"> the employee one additional hour of </w:t>
      </w:r>
      <w:r w:rsidRPr="00957C6E" w:rsidR="00B30825">
        <w:rPr>
          <w:i/>
          <w:szCs w:val="26"/>
        </w:rPr>
        <w:t>pay</w:t>
      </w:r>
      <w:r w:rsidRPr="00957C6E" w:rsidR="00B30825">
        <w:rPr>
          <w:szCs w:val="26"/>
        </w:rPr>
        <w:t xml:space="preserve"> at the employee’s regular rate of </w:t>
      </w:r>
      <w:r w:rsidRPr="00957C6E" w:rsidR="00B30825">
        <w:rPr>
          <w:i/>
          <w:szCs w:val="26"/>
        </w:rPr>
        <w:t>compensation</w:t>
      </w:r>
      <w:r w:rsidRPr="00957C6E" w:rsidR="00B30825">
        <w:rPr>
          <w:szCs w:val="26"/>
        </w:rPr>
        <w:t>” (italics added)]</w:t>
      </w:r>
      <w:r w:rsidRPr="00957C6E" w:rsidR="00B40952">
        <w:rPr>
          <w:szCs w:val="26"/>
        </w:rPr>
        <w:t xml:space="preserve">; § 510(a) [overtime “shall be </w:t>
      </w:r>
      <w:r w:rsidRPr="00957C6E" w:rsidR="00B40952">
        <w:rPr>
          <w:i/>
          <w:szCs w:val="26"/>
        </w:rPr>
        <w:t>compensated</w:t>
      </w:r>
      <w:r w:rsidRPr="00957C6E" w:rsidR="00B40952">
        <w:rPr>
          <w:szCs w:val="26"/>
        </w:rPr>
        <w:t xml:space="preserve"> at the rate of [a multiple of] the regular rate of </w:t>
      </w:r>
      <w:r w:rsidRPr="00957C6E" w:rsidR="00B40952">
        <w:rPr>
          <w:i/>
          <w:szCs w:val="26"/>
        </w:rPr>
        <w:t>pay</w:t>
      </w:r>
      <w:r w:rsidRPr="00957C6E" w:rsidR="00B40952">
        <w:rPr>
          <w:szCs w:val="26"/>
        </w:rPr>
        <w:t xml:space="preserve">” (italics added)]; </w:t>
      </w:r>
      <w:r w:rsidRPr="00957C6E" w:rsidR="00B40952">
        <w:rPr>
          <w:i/>
          <w:szCs w:val="26"/>
        </w:rPr>
        <w:t>ibid.</w:t>
      </w:r>
      <w:r w:rsidRPr="00957C6E" w:rsidR="00B40952">
        <w:rPr>
          <w:szCs w:val="26"/>
        </w:rPr>
        <w:t xml:space="preserve"> [“Nothing in this </w:t>
      </w:r>
      <w:r w:rsidRPr="00957C6E" w:rsidR="00B40952">
        <w:rPr>
          <w:color w:val="333333"/>
          <w:szCs w:val="26"/>
          <w:shd w:val="clear" w:color="auto" w:fill="FFFFFF"/>
        </w:rPr>
        <w:t xml:space="preserve">section requires an employer to combine more than one </w:t>
      </w:r>
      <w:r w:rsidRPr="00957C6E" w:rsidR="00B40952">
        <w:rPr>
          <w:i/>
          <w:color w:val="333333"/>
          <w:szCs w:val="26"/>
          <w:shd w:val="clear" w:color="auto" w:fill="FFFFFF"/>
        </w:rPr>
        <w:t>rate of overtime compensation</w:t>
      </w:r>
      <w:r w:rsidRPr="00957C6E" w:rsidR="00B40952">
        <w:rPr>
          <w:color w:val="333333"/>
          <w:szCs w:val="26"/>
          <w:shd w:val="clear" w:color="auto" w:fill="FFFFFF"/>
        </w:rPr>
        <w:t xml:space="preserve"> in order to calculate </w:t>
      </w:r>
      <w:r w:rsidRPr="00957C6E" w:rsidR="00B40952">
        <w:rPr>
          <w:i/>
          <w:color w:val="333333"/>
          <w:szCs w:val="26"/>
          <w:shd w:val="clear" w:color="auto" w:fill="FFFFFF"/>
        </w:rPr>
        <w:t>the amount to be paid</w:t>
      </w:r>
      <w:r w:rsidRPr="00957C6E" w:rsidR="00B40952">
        <w:rPr>
          <w:color w:val="333333"/>
          <w:szCs w:val="26"/>
          <w:shd w:val="clear" w:color="auto" w:fill="FFFFFF"/>
        </w:rPr>
        <w:t xml:space="preserve"> to an employee for any hour of overtime work.” (italics added)]</w:t>
      </w:r>
      <w:r w:rsidRPr="00957C6E" w:rsidR="00B30825">
        <w:rPr>
          <w:szCs w:val="26"/>
        </w:rPr>
        <w:t xml:space="preserve">.)  </w:t>
      </w:r>
      <w:r w:rsidRPr="00957C6E" w:rsidR="00AC2AE6">
        <w:rPr>
          <w:color w:val="333333"/>
          <w:szCs w:val="26"/>
          <w:shd w:val="clear" w:color="auto" w:fill="FFFFFF"/>
        </w:rPr>
        <w:t xml:space="preserve">The </w:t>
      </w:r>
      <w:r w:rsidRPr="00957C6E" w:rsidR="00837817">
        <w:rPr>
          <w:color w:val="333333"/>
          <w:szCs w:val="26"/>
          <w:shd w:val="clear" w:color="auto" w:fill="FFFFFF"/>
        </w:rPr>
        <w:t xml:space="preserve">IWC similarly </w:t>
      </w:r>
      <w:r w:rsidRPr="00957C6E">
        <w:rPr>
          <w:color w:val="333333"/>
          <w:szCs w:val="26"/>
          <w:shd w:val="clear" w:color="auto" w:fill="FFFFFF"/>
        </w:rPr>
        <w:t>described</w:t>
      </w:r>
      <w:r w:rsidRPr="00957C6E" w:rsidR="00837817">
        <w:rPr>
          <w:color w:val="333333"/>
          <w:szCs w:val="26"/>
          <w:shd w:val="clear" w:color="auto" w:fill="FFFFFF"/>
        </w:rPr>
        <w:t xml:space="preserve"> its requirement of “</w:t>
      </w:r>
      <w:r w:rsidRPr="00957C6E" w:rsidR="00837817">
        <w:t xml:space="preserve">one (1) hour of pay at the employee’s </w:t>
      </w:r>
      <w:r w:rsidRPr="00957C6E" w:rsidR="00837817">
        <w:rPr>
          <w:i/>
        </w:rPr>
        <w:t>regular rate of compensation</w:t>
      </w:r>
      <w:r w:rsidRPr="00957C6E" w:rsidR="00837817">
        <w:t>” for each workday that a compliant meal or rest period is not provided (</w:t>
      </w:r>
      <w:r w:rsidRPr="00957C6E" w:rsidR="00837817">
        <w:rPr>
          <w:szCs w:val="26"/>
        </w:rPr>
        <w:t>Wage Order No. 5</w:t>
      </w:r>
      <w:r w:rsidR="00997FAF">
        <w:rPr>
          <w:szCs w:val="26"/>
        </w:rPr>
        <w:t>-2001</w:t>
      </w:r>
      <w:r w:rsidRPr="00957C6E" w:rsidR="00837817">
        <w:rPr>
          <w:szCs w:val="26"/>
        </w:rPr>
        <w:t>, §§ 11(B), 12(B)</w:t>
      </w:r>
      <w:r w:rsidRPr="00957C6E">
        <w:rPr>
          <w:szCs w:val="26"/>
        </w:rPr>
        <w:t>, italics added</w:t>
      </w:r>
      <w:r w:rsidRPr="00957C6E" w:rsidR="00837817">
        <w:rPr>
          <w:szCs w:val="26"/>
        </w:rPr>
        <w:t xml:space="preserve">) </w:t>
      </w:r>
      <w:r w:rsidRPr="00957C6E">
        <w:rPr>
          <w:szCs w:val="26"/>
        </w:rPr>
        <w:t>as “</w:t>
      </w:r>
      <w:r w:rsidRPr="00957C6E" w:rsidR="00837817">
        <w:t xml:space="preserve">one additional hour of pay at the employee’s </w:t>
      </w:r>
      <w:r w:rsidRPr="00957C6E" w:rsidR="00837817">
        <w:rPr>
          <w:i/>
          <w:iCs/>
        </w:rPr>
        <w:t>regular rate of pay</w:t>
      </w:r>
      <w:r w:rsidRPr="00957C6E">
        <w:rPr>
          <w:iCs/>
        </w:rPr>
        <w:t xml:space="preserve">” </w:t>
      </w:r>
      <w:r w:rsidRPr="00957C6E" w:rsidR="00837817">
        <w:t>(IWC</w:t>
      </w:r>
      <w:r w:rsidR="00997FAF">
        <w:t>,</w:t>
      </w:r>
      <w:r w:rsidRPr="00957C6E" w:rsidR="00837817">
        <w:t xml:space="preserve"> Statement as to the Basis</w:t>
      </w:r>
      <w:r w:rsidR="00997FAF">
        <w:rPr>
          <w:i/>
          <w:iCs/>
        </w:rPr>
        <w:t>, supra</w:t>
      </w:r>
      <w:r w:rsidR="00997FAF">
        <w:t xml:space="preserve">, at </w:t>
      </w:r>
      <w:r w:rsidRPr="00957C6E" w:rsidR="00837817">
        <w:t>p</w:t>
      </w:r>
      <w:r w:rsidRPr="00957C6E">
        <w:t>p</w:t>
      </w:r>
      <w:r w:rsidRPr="00957C6E" w:rsidR="00837817">
        <w:t>. 20</w:t>
      </w:r>
      <w:r w:rsidRPr="00957C6E">
        <w:t>, 21</w:t>
      </w:r>
      <w:r w:rsidRPr="00957C6E" w:rsidR="00837817">
        <w:t>, italics added)</w:t>
      </w:r>
      <w:r w:rsidRPr="00957C6E">
        <w:t>.</w:t>
      </w:r>
    </w:p>
    <w:p w:rsidR="00C73CB2" w:rsidP="00957C6E">
      <w:pPr>
        <w:ind w:firstLine="720"/>
      </w:pPr>
      <w:r w:rsidRPr="00957C6E">
        <w:t>Th</w:t>
      </w:r>
      <w:r w:rsidRPr="00957C6E" w:rsidR="00C7371E">
        <w:t xml:space="preserve">e fact that the Legislature and IWC used “pay” and “compensation” </w:t>
      </w:r>
      <w:r w:rsidRPr="00957C6E">
        <w:t>interchangeab</w:t>
      </w:r>
      <w:r w:rsidRPr="00957C6E" w:rsidR="00C7371E">
        <w:t>ly is</w:t>
      </w:r>
      <w:r w:rsidRPr="00957C6E">
        <w:t xml:space="preserve"> unsurprising </w:t>
      </w:r>
      <w:r w:rsidRPr="00957C6E" w:rsidR="00C7371E">
        <w:t xml:space="preserve">against the backdrop of similar interchangeable usage </w:t>
      </w:r>
      <w:r w:rsidRPr="00957C6E" w:rsidR="00060772">
        <w:t xml:space="preserve">in case law.  (See </w:t>
      </w:r>
      <w:r w:rsidRPr="00957C6E" w:rsidR="00060772">
        <w:rPr>
          <w:i/>
        </w:rPr>
        <w:t>Bay Ridge Operating Co. v. Aaron</w:t>
      </w:r>
      <w:r w:rsidRPr="00957C6E" w:rsidR="00060772">
        <w:t xml:space="preserve"> (1948) 334 U.S. 446, 448–449 [using “regular rate of pay” </w:t>
      </w:r>
      <w:r w:rsidRPr="00957C6E" w:rsidR="00B82127">
        <w:t xml:space="preserve">to </w:t>
      </w:r>
      <w:r w:rsidRPr="00957C6E" w:rsidR="00727CAB">
        <w:t xml:space="preserve">mean </w:t>
      </w:r>
      <w:r w:rsidRPr="00957C6E" w:rsidR="00060772">
        <w:t>“regular rate</w:t>
      </w:r>
      <w:r w:rsidRPr="00957C6E" w:rsidR="00727CAB">
        <w:t>” under</w:t>
      </w:r>
      <w:r w:rsidRPr="00957C6E" w:rsidR="00B82127">
        <w:t xml:space="preserve"> the FLSA</w:t>
      </w:r>
      <w:r w:rsidRPr="00957C6E" w:rsidR="00060772">
        <w:t xml:space="preserve">]; </w:t>
      </w:r>
      <w:r w:rsidRPr="00957C6E" w:rsidR="00060772">
        <w:rPr>
          <w:i/>
        </w:rPr>
        <w:t>Hardwood</w:t>
      </w:r>
      <w:r w:rsidRPr="00957C6E" w:rsidR="00060772">
        <w:t xml:space="preserve">, </w:t>
      </w:r>
      <w:r w:rsidRPr="00957C6E" w:rsidR="00060772">
        <w:rPr>
          <w:i/>
        </w:rPr>
        <w:t>supra</w:t>
      </w:r>
      <w:r w:rsidRPr="00957C6E" w:rsidR="00060772">
        <w:t>, 325 U.S. at p. 424 [</w:t>
      </w:r>
      <w:r w:rsidRPr="00957C6E" w:rsidR="00B82127">
        <w:t xml:space="preserve">using “regular rate of compensation” to </w:t>
      </w:r>
      <w:r w:rsidRPr="00957C6E" w:rsidR="00727CAB">
        <w:t xml:space="preserve">mean </w:t>
      </w:r>
      <w:r w:rsidRPr="00957C6E" w:rsidR="00B82127">
        <w:t xml:space="preserve">“regular rate”]; </w:t>
      </w:r>
      <w:r w:rsidRPr="00957C6E" w:rsidR="00060772">
        <w:rPr>
          <w:i/>
        </w:rPr>
        <w:t>Harnischfeger</w:t>
      </w:r>
      <w:r w:rsidRPr="00957C6E" w:rsidR="00060772">
        <w:t xml:space="preserve">, </w:t>
      </w:r>
      <w:r w:rsidRPr="00957C6E" w:rsidR="00060772">
        <w:rPr>
          <w:i/>
        </w:rPr>
        <w:t>supra</w:t>
      </w:r>
      <w:r w:rsidRPr="00957C6E" w:rsidR="00060772">
        <w:t>, 325 U.S. at p. 430 [same];</w:t>
      </w:r>
      <w:r w:rsidRPr="00957C6E" w:rsidR="00727CAB">
        <w:t xml:space="preserve"> </w:t>
      </w:r>
      <w:r w:rsidRPr="00957C6E" w:rsidR="00727CAB">
        <w:rPr>
          <w:i/>
        </w:rPr>
        <w:t>Walling v. Garlock</w:t>
      </w:r>
      <w:r w:rsidRPr="00957C6E" w:rsidR="00855AC1">
        <w:rPr>
          <w:i/>
        </w:rPr>
        <w:t xml:space="preserve"> Packing Co.</w:t>
      </w:r>
      <w:r w:rsidRPr="00957C6E" w:rsidR="00727CAB">
        <w:t xml:space="preserve"> (2d Cir. 1947) 159 F.2d 44, 46 [same]; </w:t>
      </w:r>
      <w:r w:rsidRPr="00957C6E" w:rsidR="00727CAB">
        <w:rPr>
          <w:i/>
        </w:rPr>
        <w:t>Walling v. Wall Wire Products Co.</w:t>
      </w:r>
      <w:r w:rsidRPr="00957C6E" w:rsidR="00727CAB">
        <w:t xml:space="preserve"> (6th Cir. 1947) 161 F.2d 470, 473, 475 [using both “regular rate of pay” and “ ‘regular rate’ of compensation” to mean “regular rate”].)</w:t>
      </w:r>
      <w:r w:rsidRPr="00957C6E">
        <w:t xml:space="preserve">  It is doubtful </w:t>
      </w:r>
      <w:r w:rsidRPr="00957C6E" w:rsidR="00BA272F">
        <w:t xml:space="preserve">that </w:t>
      </w:r>
      <w:r w:rsidRPr="00957C6E">
        <w:t>the</w:t>
      </w:r>
      <w:r w:rsidRPr="00957C6E" w:rsidR="00D912A3">
        <w:t xml:space="preserve"> phrase “regular rate of compensation” </w:t>
      </w:r>
      <w:r w:rsidRPr="00957C6E" w:rsidR="00D667FF">
        <w:t xml:space="preserve">came to have </w:t>
      </w:r>
      <w:r w:rsidRPr="00957C6E" w:rsidR="00D912A3">
        <w:t xml:space="preserve">a </w:t>
      </w:r>
      <w:r w:rsidRPr="00957C6E" w:rsidR="00D667FF">
        <w:t>di</w:t>
      </w:r>
      <w:r w:rsidRPr="00957C6E" w:rsidR="00D912A3">
        <w:t>stinct</w:t>
      </w:r>
      <w:r w:rsidRPr="00957C6E" w:rsidR="00D667FF">
        <w:t xml:space="preserve"> meaning </w:t>
      </w:r>
      <w:r w:rsidRPr="00957C6E">
        <w:t>that the Legislature and IWC silently discerned</w:t>
      </w:r>
      <w:r w:rsidRPr="00957C6E" w:rsidR="000C6A62">
        <w:t xml:space="preserve"> in the year 2000</w:t>
      </w:r>
      <w:r w:rsidRPr="00957C6E">
        <w:t>, but that the courts</w:t>
      </w:r>
      <w:r w:rsidRPr="00957C6E" w:rsidR="00BA272F">
        <w:t xml:space="preserve"> until then</w:t>
      </w:r>
      <w:r w:rsidRPr="00957C6E">
        <w:t xml:space="preserve"> never </w:t>
      </w:r>
      <w:r w:rsidRPr="00957C6E" w:rsidR="00BA272F">
        <w:t>had</w:t>
      </w:r>
      <w:r w:rsidRPr="00957C6E">
        <w:t>.</w:t>
      </w:r>
    </w:p>
    <w:p w:rsidR="00751851" w:rsidRPr="0018716B" w:rsidP="00357503">
      <w:pPr>
        <w:ind w:firstLine="720"/>
      </w:pPr>
      <w:r w:rsidRPr="00957C6E">
        <w:t xml:space="preserve">Loews cites several federal district court opinions </w:t>
      </w:r>
      <w:r w:rsidRPr="00957C6E" w:rsidR="002E6981">
        <w:t xml:space="preserve">holding that </w:t>
      </w:r>
      <w:r w:rsidRPr="00957C6E">
        <w:t xml:space="preserve">“regular rate of compensation” in section 226.7(c) </w:t>
      </w:r>
      <w:r w:rsidRPr="00957C6E" w:rsidR="002E6981">
        <w:t xml:space="preserve">does not have the same meaning as “regular rate of pay” in section 510(a) and instead </w:t>
      </w:r>
      <w:r w:rsidRPr="00957C6E">
        <w:t>mean</w:t>
      </w:r>
      <w:r w:rsidRPr="00957C6E" w:rsidR="002E6981">
        <w:t>s</w:t>
      </w:r>
      <w:r w:rsidRPr="00957C6E">
        <w:t xml:space="preserve"> an employee’s base hourly rate only.</w:t>
      </w:r>
      <w:r w:rsidRPr="00957C6E" w:rsidR="00B82127">
        <w:t xml:space="preserve">  </w:t>
      </w:r>
      <w:r w:rsidRPr="00957C6E">
        <w:t>But th</w:t>
      </w:r>
      <w:r w:rsidRPr="00957C6E" w:rsidR="007908D8">
        <w:t>o</w:t>
      </w:r>
      <w:r w:rsidRPr="00957C6E" w:rsidR="002E6981">
        <w:t>se opinions</w:t>
      </w:r>
      <w:r w:rsidR="00A511FE">
        <w:t xml:space="preserve"> </w:t>
      </w:r>
      <w:r w:rsidRPr="00957C6E" w:rsidR="00672E77">
        <w:t>did not</w:t>
      </w:r>
      <w:r w:rsidRPr="00957C6E" w:rsidR="00445346">
        <w:t xml:space="preserve"> examin</w:t>
      </w:r>
      <w:r w:rsidRPr="00957C6E" w:rsidR="00672E77">
        <w:t>e</w:t>
      </w:r>
      <w:r w:rsidRPr="00957C6E" w:rsidR="00445346">
        <w:t xml:space="preserve"> the history of the provisions at issue</w:t>
      </w:r>
      <w:r w:rsidRPr="00957C6E" w:rsidR="00672E77">
        <w:t>; they</w:t>
      </w:r>
      <w:r w:rsidR="00CB7907">
        <w:t xml:space="preserve"> </w:t>
      </w:r>
      <w:r w:rsidRPr="00957C6E" w:rsidR="00B82127">
        <w:t xml:space="preserve">mainly </w:t>
      </w:r>
      <w:r w:rsidRPr="00957C6E" w:rsidR="002E6981">
        <w:t>relied on the canon that “</w:t>
      </w:r>
      <w:r w:rsidRPr="00957C6E" w:rsidR="000566D8">
        <w:t> ‘</w:t>
      </w:r>
      <w:r w:rsidRPr="00957C6E" w:rsidR="002E6981">
        <w:t>[i]f the legislature carefully employs a term in one statute and deletes it from another, it must be presumed to have acted deliberately</w:t>
      </w:r>
      <w:r w:rsidRPr="00957C6E" w:rsidR="00885C50">
        <w:t>.</w:t>
      </w:r>
      <w:r w:rsidRPr="00957C6E" w:rsidR="002E6981">
        <w:t>’</w:t>
      </w:r>
      <w:r w:rsidRPr="00957C6E" w:rsidR="000566D8">
        <w:t> </w:t>
      </w:r>
      <w:r w:rsidRPr="00957C6E" w:rsidR="002E6981">
        <w:t>”</w:t>
      </w:r>
      <w:r w:rsidRPr="00957C6E" w:rsidR="00885C50">
        <w:t xml:space="preserve"> </w:t>
      </w:r>
      <w:r w:rsidRPr="00957C6E" w:rsidR="002E6981">
        <w:t xml:space="preserve"> </w:t>
      </w:r>
      <w:r w:rsidRPr="00957C6E" w:rsidR="007908D8">
        <w:t>(</w:t>
      </w:r>
      <w:r w:rsidRPr="00957C6E" w:rsidR="00B82127">
        <w:rPr>
          <w:i/>
          <w:iCs/>
        </w:rPr>
        <w:t>Brum v. MarketSource, Inc.</w:t>
      </w:r>
      <w:r w:rsidRPr="00957C6E" w:rsidR="00B82127">
        <w:t xml:space="preserve"> (E.D.Cal.</w:t>
      </w:r>
      <w:r w:rsidR="00902D22">
        <w:t>,</w:t>
      </w:r>
      <w:r w:rsidRPr="00957C6E" w:rsidR="00B82127">
        <w:t xml:space="preserve"> Jun</w:t>
      </w:r>
      <w:r w:rsidRPr="00957C6E" w:rsidR="006E7423">
        <w:t>e</w:t>
      </w:r>
      <w:r w:rsidRPr="00957C6E" w:rsidR="00B82127">
        <w:t xml:space="preserve"> 19, 2017</w:t>
      </w:r>
      <w:r w:rsidRPr="00957C6E" w:rsidR="00610AFA">
        <w:t>, No.</w:t>
      </w:r>
      <w:r w:rsidRPr="00957C6E" w:rsidR="009F3F4F">
        <w:t> 2:17–cv–241–JAM–EFB</w:t>
      </w:r>
      <w:r w:rsidRPr="00957C6E" w:rsidR="00610AFA">
        <w:t>)</w:t>
      </w:r>
      <w:r w:rsidRPr="00957C6E" w:rsidR="00B82127">
        <w:t xml:space="preserve"> 2017 WL 2633414</w:t>
      </w:r>
      <w:r w:rsidR="002B50AD">
        <w:t>,</w:t>
      </w:r>
      <w:r w:rsidRPr="00957C6E" w:rsidR="007908D8">
        <w:t xml:space="preserve"> p. *5; see </w:t>
      </w:r>
      <w:r w:rsidRPr="00957C6E" w:rsidR="007908D8">
        <w:rPr>
          <w:i/>
        </w:rPr>
        <w:t>Wert v. U.S. Bancorp</w:t>
      </w:r>
      <w:r w:rsidRPr="00957C6E" w:rsidR="007908D8">
        <w:t xml:space="preserve"> (S.D.Cal.</w:t>
      </w:r>
      <w:r w:rsidR="00902D22">
        <w:t>,</w:t>
      </w:r>
      <w:r w:rsidRPr="00957C6E" w:rsidR="007908D8">
        <w:t xml:space="preserve"> Jun</w:t>
      </w:r>
      <w:r w:rsidRPr="00957C6E" w:rsidR="006E7423">
        <w:t>e</w:t>
      </w:r>
      <w:r w:rsidRPr="00957C6E" w:rsidR="007908D8">
        <w:t xml:space="preserve"> 9, 2015</w:t>
      </w:r>
      <w:r w:rsidRPr="00957C6E" w:rsidR="00610AFA">
        <w:t>, No.</w:t>
      </w:r>
      <w:r w:rsidRPr="00957C6E" w:rsidR="00A30783">
        <w:t> 13–cv–3130–BAS (BLM)</w:t>
      </w:r>
      <w:r w:rsidRPr="00957C6E" w:rsidR="007908D8">
        <w:t>) 2015 WL 3617165, p. *3 [“</w:t>
      </w:r>
      <w:r w:rsidRPr="00957C6E" w:rsidR="00B05771">
        <w:t>[T]</w:t>
      </w:r>
      <w:r w:rsidRPr="00957C6E" w:rsidR="007908D8">
        <w:t>he legislature’s choice of different language is meaningful</w:t>
      </w:r>
      <w:r w:rsidRPr="00957C6E" w:rsidR="00B05771">
        <w:t xml:space="preserve"> . . . .</w:t>
      </w:r>
      <w:r w:rsidRPr="00957C6E" w:rsidR="007908D8">
        <w:t xml:space="preserve">”]; </w:t>
      </w:r>
      <w:r w:rsidRPr="00957C6E" w:rsidR="007908D8">
        <w:rPr>
          <w:i/>
        </w:rPr>
        <w:t>Bradescu v. Hillstone Restaurant Group, Inc.</w:t>
      </w:r>
      <w:r w:rsidRPr="00957C6E" w:rsidR="007908D8">
        <w:t xml:space="preserve"> (C.D.Cal.</w:t>
      </w:r>
      <w:r w:rsidR="00902D22">
        <w:t>,</w:t>
      </w:r>
      <w:r w:rsidRPr="00957C6E" w:rsidR="007908D8">
        <w:t xml:space="preserve"> Sep</w:t>
      </w:r>
      <w:r w:rsidRPr="00957C6E" w:rsidR="006E7423">
        <w:t>t</w:t>
      </w:r>
      <w:r w:rsidRPr="00957C6E" w:rsidR="00610AFA">
        <w:t>.</w:t>
      </w:r>
      <w:r w:rsidRPr="00957C6E" w:rsidR="007908D8">
        <w:t xml:space="preserve"> 18, 2014</w:t>
      </w:r>
      <w:r w:rsidRPr="00957C6E" w:rsidR="00610AFA">
        <w:t>, No.</w:t>
      </w:r>
      <w:r w:rsidRPr="00957C6E" w:rsidR="00B67D54">
        <w:t> SACV 13–1289–GW (RZx)</w:t>
      </w:r>
      <w:r w:rsidRPr="00957C6E" w:rsidR="007908D8">
        <w:t>) 2014 WL 5312546, p.</w:t>
      </w:r>
      <w:r w:rsidRPr="00957C6E" w:rsidR="00B67D54">
        <w:t> </w:t>
      </w:r>
      <w:r w:rsidRPr="00957C6E" w:rsidR="007908D8">
        <w:t>*8 [same]</w:t>
      </w:r>
      <w:r w:rsidRPr="00957C6E" w:rsidR="00672E77">
        <w:t>; but see</w:t>
      </w:r>
      <w:r w:rsidRPr="00957C6E" w:rsidR="00FE0053">
        <w:t xml:space="preserve"> </w:t>
      </w:r>
      <w:r w:rsidRPr="00957C6E" w:rsidR="00FE0053">
        <w:rPr>
          <w:i/>
        </w:rPr>
        <w:t xml:space="preserve">Studley </w:t>
      </w:r>
      <w:r w:rsidRPr="00957C6E" w:rsidR="008F6065">
        <w:rPr>
          <w:i/>
        </w:rPr>
        <w:t>v. Alliance Healthcare Services, Inc.</w:t>
      </w:r>
      <w:r w:rsidRPr="00957C6E" w:rsidR="008F6065">
        <w:t xml:space="preserve"> </w:t>
      </w:r>
      <w:r w:rsidRPr="00957C6E" w:rsidR="00EB2898">
        <w:t>(C.D.Cal.</w:t>
      </w:r>
      <w:r w:rsidR="00902D22">
        <w:t>,</w:t>
      </w:r>
      <w:r w:rsidRPr="00957C6E" w:rsidR="00EB2898">
        <w:t xml:space="preserve"> Jul</w:t>
      </w:r>
      <w:r w:rsidRPr="00957C6E" w:rsidR="006E7423">
        <w:t>y</w:t>
      </w:r>
      <w:r w:rsidRPr="00957C6E" w:rsidR="00EB2898">
        <w:t xml:space="preserve"> 26, 2012</w:t>
      </w:r>
      <w:r w:rsidRPr="00957C6E" w:rsidR="00E12CF3">
        <w:t>, No.</w:t>
      </w:r>
      <w:r w:rsidRPr="00957C6E" w:rsidR="0048087B">
        <w:t> SACV 10–00067–CJC (ANx)</w:t>
      </w:r>
      <w:r w:rsidRPr="00957C6E" w:rsidR="00EB2898">
        <w:t>) 2012 WL 12286522, p.</w:t>
      </w:r>
      <w:r w:rsidRPr="00957C6E" w:rsidR="0048087B">
        <w:t> </w:t>
      </w:r>
      <w:r w:rsidRPr="00957C6E" w:rsidR="00EB2898">
        <w:t>*4</w:t>
      </w:r>
      <w:r w:rsidRPr="00957C6E" w:rsidR="00672E77">
        <w:t>, fn. 4 [“</w:t>
      </w:r>
      <w:r w:rsidR="001F6F06">
        <w:t>[T]</w:t>
      </w:r>
      <w:r w:rsidRPr="00957C6E" w:rsidR="00672E77">
        <w:t>he operative word or phrase in each section is not ‘compensation’ or ‘pay’ but rather ‘regular rate</w:t>
      </w:r>
      <w:r w:rsidR="00AD4283">
        <w:t>.</w:t>
      </w:r>
      <w:r w:rsidRPr="00957C6E" w:rsidR="00672E77">
        <w:t>’ ”]</w:t>
      </w:r>
      <w:r w:rsidRPr="00957C6E" w:rsidR="00EB2898">
        <w:t>.)</w:t>
      </w:r>
    </w:p>
    <w:p w:rsidR="007908D8" w:rsidRPr="00957C6E" w:rsidP="00957C6E">
      <w:pPr>
        <w:ind w:firstLine="720"/>
        <w:rPr>
          <w:rStyle w:val="findhit"/>
          <w:szCs w:val="26"/>
          <w:shd w:val="clear" w:color="auto" w:fill="FFFFFF"/>
        </w:rPr>
      </w:pPr>
      <w:r w:rsidRPr="00957C6E">
        <w:rPr>
          <w:szCs w:val="26"/>
        </w:rPr>
        <w:t xml:space="preserve">Justice Edmon, </w:t>
      </w:r>
      <w:r w:rsidRPr="00957C6E" w:rsidR="0012472F">
        <w:rPr>
          <w:szCs w:val="26"/>
        </w:rPr>
        <w:t xml:space="preserve">upon </w:t>
      </w:r>
      <w:r w:rsidRPr="00957C6E">
        <w:rPr>
          <w:szCs w:val="26"/>
        </w:rPr>
        <w:t>examin</w:t>
      </w:r>
      <w:r w:rsidRPr="00957C6E" w:rsidR="0012472F">
        <w:rPr>
          <w:szCs w:val="26"/>
        </w:rPr>
        <w:t>ing</w:t>
      </w:r>
      <w:r w:rsidRPr="00957C6E">
        <w:rPr>
          <w:szCs w:val="26"/>
        </w:rPr>
        <w:t xml:space="preserve"> the history, aptly described the difficulty with Loews’s position</w:t>
      </w:r>
      <w:r w:rsidRPr="00957C6E" w:rsidR="00E42C77">
        <w:rPr>
          <w:szCs w:val="26"/>
        </w:rPr>
        <w:t>:</w:t>
      </w:r>
      <w:r w:rsidRPr="00957C6E" w:rsidR="003B6F14">
        <w:rPr>
          <w:szCs w:val="26"/>
        </w:rPr>
        <w:t>  </w:t>
      </w:r>
      <w:r w:rsidRPr="00957C6E" w:rsidR="00E42C77">
        <w:rPr>
          <w:szCs w:val="26"/>
        </w:rPr>
        <w:t>“</w:t>
      </w:r>
      <w:r w:rsidRPr="00957C6E" w:rsidR="00E42C77">
        <w:rPr>
          <w:rStyle w:val="normaltextrun"/>
          <w:szCs w:val="26"/>
          <w:shd w:val="clear" w:color="auto" w:fill="FFFFFF"/>
        </w:rPr>
        <w:t>In 1999, ‘regular rate’ [in the FLSA] was widely understood to mean base hourly rate</w:t>
      </w:r>
      <w:r w:rsidR="0031630C">
        <w:rPr>
          <w:rStyle w:val="normaltextrun"/>
          <w:szCs w:val="26"/>
          <w:shd w:val="clear" w:color="auto" w:fill="FFFFFF"/>
        </w:rPr>
        <w:t xml:space="preserve"> </w:t>
      </w:r>
      <w:r w:rsidRPr="00957C6E" w:rsidR="00E42C77">
        <w:rPr>
          <w:rStyle w:val="normaltextrun"/>
          <w:i/>
          <w:iCs/>
          <w:szCs w:val="26"/>
          <w:shd w:val="clear" w:color="auto" w:fill="FFFFFF"/>
        </w:rPr>
        <w:t>plus bonuses</w:t>
      </w:r>
      <w:r w:rsidRPr="00957C6E" w:rsidR="00E42C77">
        <w:rPr>
          <w:rStyle w:val="normaltextrun"/>
          <w:szCs w:val="26"/>
          <w:shd w:val="clear" w:color="auto" w:fill="FFFFFF"/>
        </w:rPr>
        <w:t>.</w:t>
      </w:r>
      <w:r w:rsidR="0031630C">
        <w:rPr>
          <w:rStyle w:val="normaltextrun"/>
          <w:szCs w:val="26"/>
          <w:shd w:val="clear" w:color="auto" w:fill="FFFFFF"/>
        </w:rPr>
        <w:t xml:space="preserve"> </w:t>
      </w:r>
      <w:r w:rsidRPr="00957C6E" w:rsidR="00E42C77">
        <w:rPr>
          <w:rStyle w:val="normaltextrun"/>
          <w:szCs w:val="26"/>
          <w:shd w:val="clear" w:color="auto" w:fill="FFFFFF"/>
        </w:rPr>
        <w:t xml:space="preserve"> Although the Legislature modified the federal language when it adopted section 510, the Legislature intended ‘regular rate of pay’ to have the same meaning as ‘regular rate.’</w:t>
      </w:r>
      <w:r w:rsidR="00E00421">
        <w:rPr>
          <w:rStyle w:val="normaltextrun"/>
          <w:szCs w:val="26"/>
          <w:shd w:val="clear" w:color="auto" w:fill="FFFFFF"/>
        </w:rPr>
        <w:t xml:space="preserve"> </w:t>
      </w:r>
      <w:r w:rsidRPr="00957C6E" w:rsidR="00E42C77">
        <w:rPr>
          <w:rStyle w:val="normaltextrun"/>
          <w:szCs w:val="26"/>
          <w:shd w:val="clear" w:color="auto" w:fill="FFFFFF"/>
        </w:rPr>
        <w:t xml:space="preserve"> But although the Legislature modified the federal language in a similar (although not identical) manner when it adopted section 226.7,</w:t>
      </w:r>
      <w:r w:rsidRPr="00957C6E" w:rsidR="007E04A3">
        <w:rPr>
          <w:rStyle w:val="normaltextrun"/>
          <w:szCs w:val="26"/>
          <w:shd w:val="clear" w:color="auto" w:fill="FFFFFF"/>
        </w:rPr>
        <w:t xml:space="preserve"> [Loews contends]</w:t>
      </w:r>
      <w:r w:rsidRPr="00957C6E" w:rsidR="00E42C77">
        <w:rPr>
          <w:rStyle w:val="normaltextrun"/>
          <w:szCs w:val="26"/>
          <w:shd w:val="clear" w:color="auto" w:fill="FFFFFF"/>
        </w:rPr>
        <w:t xml:space="preserve"> it intended an entirely different meaning</w:t>
      </w:r>
      <w:r w:rsidRPr="00957C6E" w:rsidR="00063F6A">
        <w:rPr>
          <w:rStyle w:val="normaltextrun"/>
          <w:szCs w:val="26"/>
          <w:shd w:val="clear" w:color="auto" w:fill="FFFFFF"/>
        </w:rPr>
        <w:t> </w:t>
      </w:r>
      <w:r w:rsidRPr="00957C6E" w:rsidR="00E42C77">
        <w:rPr>
          <w:rStyle w:val="normaltextrun"/>
          <w:szCs w:val="26"/>
          <w:shd w:val="clear" w:color="auto" w:fill="FFFFFF"/>
        </w:rPr>
        <w:t>—</w:t>
      </w:r>
      <w:r w:rsidR="0008140C">
        <w:rPr>
          <w:rStyle w:val="normaltextrun"/>
          <w:szCs w:val="26"/>
          <w:shd w:val="clear" w:color="auto" w:fill="FFFFFF"/>
        </w:rPr>
        <w:t xml:space="preserve"> </w:t>
      </w:r>
      <w:r w:rsidRPr="00957C6E" w:rsidR="00E42C77">
        <w:rPr>
          <w:rStyle w:val="normaltextrun"/>
          <w:szCs w:val="26"/>
          <w:shd w:val="clear" w:color="auto" w:fill="FFFFFF"/>
        </w:rPr>
        <w:t>and although it nowhere articulated that intended meaning, it expected parties and the courts to infer the meaning</w:t>
      </w:r>
      <w:r w:rsidR="00E00421">
        <w:rPr>
          <w:rStyle w:val="normaltextrun"/>
          <w:szCs w:val="26"/>
          <w:shd w:val="clear" w:color="auto" w:fill="FFFFFF"/>
        </w:rPr>
        <w:t xml:space="preserve"> </w:t>
      </w:r>
      <w:r w:rsidRPr="00957C6E" w:rsidR="00E42C77">
        <w:rPr>
          <w:rStyle w:val="normaltextrun"/>
          <w:szCs w:val="26"/>
          <w:shd w:val="clear" w:color="auto" w:fill="FFFFFF"/>
        </w:rPr>
        <w:t xml:space="preserve">by its use of the word </w:t>
      </w:r>
      <w:r w:rsidRPr="00957C6E" w:rsidR="007E04A3">
        <w:rPr>
          <w:rStyle w:val="normaltextrun"/>
          <w:szCs w:val="26"/>
          <w:shd w:val="clear" w:color="auto" w:fill="FFFFFF"/>
        </w:rPr>
        <w:t>‘</w:t>
      </w:r>
      <w:r w:rsidRPr="00957C6E" w:rsidR="00E42C77">
        <w:rPr>
          <w:rStyle w:val="normaltextrun"/>
          <w:szCs w:val="26"/>
          <w:shd w:val="clear" w:color="auto" w:fill="FFFFFF"/>
        </w:rPr>
        <w:t>compensation,</w:t>
      </w:r>
      <w:r w:rsidRPr="00957C6E" w:rsidR="007E04A3">
        <w:rPr>
          <w:rStyle w:val="normaltextrun"/>
          <w:szCs w:val="26"/>
          <w:shd w:val="clear" w:color="auto" w:fill="FFFFFF"/>
        </w:rPr>
        <w:t>’</w:t>
      </w:r>
      <w:r w:rsidRPr="00957C6E" w:rsidR="00E42C77">
        <w:rPr>
          <w:rStyle w:val="normaltextrun"/>
          <w:szCs w:val="26"/>
          <w:shd w:val="clear" w:color="auto" w:fill="FFFFFF"/>
        </w:rPr>
        <w:t xml:space="preserve"> rather than </w:t>
      </w:r>
      <w:r w:rsidRPr="00957C6E" w:rsidR="007E04A3">
        <w:rPr>
          <w:rStyle w:val="normaltextrun"/>
          <w:szCs w:val="26"/>
          <w:shd w:val="clear" w:color="auto" w:fill="FFFFFF"/>
        </w:rPr>
        <w:t>‘</w:t>
      </w:r>
      <w:r w:rsidRPr="00957C6E" w:rsidR="00E42C77">
        <w:rPr>
          <w:rStyle w:val="normaltextrun"/>
          <w:szCs w:val="26"/>
          <w:shd w:val="clear" w:color="auto" w:fill="FFFFFF"/>
        </w:rPr>
        <w:t>pay.</w:t>
      </w:r>
      <w:r w:rsidRPr="00957C6E" w:rsidR="007E04A3">
        <w:rPr>
          <w:rStyle w:val="normaltextrun"/>
          <w:szCs w:val="26"/>
          <w:shd w:val="clear" w:color="auto" w:fill="FFFFFF"/>
        </w:rPr>
        <w:t>’</w:t>
      </w:r>
      <w:r w:rsidR="00E00421">
        <w:rPr>
          <w:rStyle w:val="normaltextrun"/>
          <w:szCs w:val="26"/>
          <w:shd w:val="clear" w:color="auto" w:fill="FFFFFF"/>
        </w:rPr>
        <w:t xml:space="preserve"> </w:t>
      </w:r>
      <w:r w:rsidRPr="00957C6E" w:rsidR="00E42C77">
        <w:rPr>
          <w:rStyle w:val="normaltextrun"/>
          <w:szCs w:val="26"/>
          <w:shd w:val="clear" w:color="auto" w:fill="FFFFFF"/>
        </w:rPr>
        <w:t xml:space="preserve"> I am</w:t>
      </w:r>
      <w:r w:rsidR="00E00421">
        <w:rPr>
          <w:rStyle w:val="normaltextrun"/>
          <w:szCs w:val="26"/>
          <w:shd w:val="clear" w:color="auto" w:fill="FFFFFF"/>
        </w:rPr>
        <w:t xml:space="preserve"> </w:t>
      </w:r>
      <w:r w:rsidRPr="00957C6E" w:rsidR="00E42C77">
        <w:rPr>
          <w:rStyle w:val="findhit"/>
          <w:szCs w:val="26"/>
          <w:shd w:val="clear" w:color="auto" w:fill="FFFFFF"/>
        </w:rPr>
        <w:t>not persuaded</w:t>
      </w:r>
      <w:r w:rsidRPr="00957C6E" w:rsidR="007E04A3">
        <w:rPr>
          <w:rStyle w:val="findhit"/>
          <w:szCs w:val="26"/>
          <w:shd w:val="clear" w:color="auto" w:fill="FFFFFF"/>
        </w:rPr>
        <w:t>.”  (</w:t>
      </w:r>
      <w:r w:rsidRPr="00957C6E" w:rsidR="007E04A3">
        <w:rPr>
          <w:rStyle w:val="findhit"/>
          <w:i/>
          <w:szCs w:val="26"/>
          <w:shd w:val="clear" w:color="auto" w:fill="FFFFFF"/>
        </w:rPr>
        <w:t>Ferra</w:t>
      </w:r>
      <w:r w:rsidRPr="00957C6E" w:rsidR="007E04A3">
        <w:rPr>
          <w:rStyle w:val="findhit"/>
          <w:szCs w:val="26"/>
          <w:shd w:val="clear" w:color="auto" w:fill="FFFFFF"/>
        </w:rPr>
        <w:t xml:space="preserve">, </w:t>
      </w:r>
      <w:r w:rsidRPr="00957C6E" w:rsidR="007E04A3">
        <w:rPr>
          <w:rStyle w:val="findhit"/>
          <w:i/>
          <w:szCs w:val="26"/>
          <w:shd w:val="clear" w:color="auto" w:fill="FFFFFF"/>
        </w:rPr>
        <w:t>supra</w:t>
      </w:r>
      <w:r w:rsidRPr="00957C6E" w:rsidR="007E04A3">
        <w:rPr>
          <w:rStyle w:val="findhit"/>
          <w:szCs w:val="26"/>
          <w:shd w:val="clear" w:color="auto" w:fill="FFFFFF"/>
        </w:rPr>
        <w:t>, 40</w:t>
      </w:r>
      <w:r w:rsidR="00E00421">
        <w:rPr>
          <w:rStyle w:val="findhit"/>
          <w:szCs w:val="26"/>
          <w:shd w:val="clear" w:color="auto" w:fill="FFFFFF"/>
        </w:rPr>
        <w:t xml:space="preserve"> </w:t>
      </w:r>
      <w:r w:rsidRPr="00957C6E" w:rsidR="007E04A3">
        <w:rPr>
          <w:rStyle w:val="findhit"/>
          <w:szCs w:val="26"/>
          <w:shd w:val="clear" w:color="auto" w:fill="FFFFFF"/>
        </w:rPr>
        <w:t>Cal.App.5th at p. 1265 (conc. &amp; dis. opn. of Edmon, P.</w:t>
      </w:r>
      <w:r w:rsidRPr="00957C6E" w:rsidR="008E49FA">
        <w:rPr>
          <w:rStyle w:val="findhit"/>
          <w:szCs w:val="26"/>
          <w:shd w:val="clear" w:color="auto" w:fill="FFFFFF"/>
        </w:rPr>
        <w:t> </w:t>
      </w:r>
      <w:r w:rsidRPr="00957C6E" w:rsidR="007E04A3">
        <w:rPr>
          <w:rStyle w:val="findhit"/>
          <w:szCs w:val="26"/>
          <w:shd w:val="clear" w:color="auto" w:fill="FFFFFF"/>
        </w:rPr>
        <w:t>J.).)  Neither are we.</w:t>
      </w:r>
    </w:p>
    <w:p w:rsidR="007E04A3" w:rsidRPr="00957C6E" w:rsidP="000275F0">
      <w:pPr>
        <w:keepNext/>
        <w:jc w:val="center"/>
        <w:rPr>
          <w:b/>
          <w:bCs/>
        </w:rPr>
      </w:pPr>
      <w:r w:rsidRPr="00957C6E">
        <w:rPr>
          <w:b/>
          <w:bCs/>
        </w:rPr>
        <w:t>D.</w:t>
      </w:r>
    </w:p>
    <w:p w:rsidR="00FC2CD5" w:rsidRPr="00D737C7">
      <w:pPr>
        <w:ind w:firstLine="720"/>
        <w:rPr>
          <w:rStyle w:val="cohl"/>
        </w:rPr>
      </w:pPr>
      <w:r>
        <w:rPr>
          <w:rStyle w:val="cohl"/>
        </w:rPr>
        <w:t xml:space="preserve">Loews </w:t>
      </w:r>
      <w:r w:rsidR="002053C9">
        <w:rPr>
          <w:rStyle w:val="cohl"/>
        </w:rPr>
        <w:t xml:space="preserve">suggests that </w:t>
      </w:r>
      <w:r w:rsidR="00D679E2">
        <w:rPr>
          <w:rStyle w:val="cohl"/>
        </w:rPr>
        <w:t>interpreting “regular rate of compensation” and “regular rate of pay” to be synonymous would render the words “of compensation” and “of pay” superfluous.</w:t>
      </w:r>
      <w:r w:rsidR="00E65E8F">
        <w:rPr>
          <w:rStyle w:val="cohl"/>
        </w:rPr>
        <w:t xml:space="preserve">  </w:t>
      </w:r>
      <w:r>
        <w:t>It is true that courts should generally avoid interpreting statutes in a way that renders some terms surplusage.  (</w:t>
      </w:r>
      <w:r w:rsidRPr="00CD6C11">
        <w:rPr>
          <w:i/>
          <w:iCs/>
        </w:rPr>
        <w:t>Kaanaana v. Barrett Business Services, Inc.</w:t>
      </w:r>
      <w:r>
        <w:t xml:space="preserve"> (2021) 11 Cal.5th 158, 176.)  But “ ‘</w:t>
      </w:r>
      <w:r w:rsidR="00A91B26">
        <w:t> </w:t>
      </w:r>
      <w:r w:rsidR="002B50AD">
        <w:t>“</w:t>
      </w:r>
      <w:r w:rsidR="00A91B26">
        <w:t> </w:t>
      </w:r>
      <w:r w:rsidR="002B50AD">
        <w:t>‘</w:t>
      </w:r>
      <w:r>
        <w:t xml:space="preserve">the rule against surplusage will be applied only if it results in a </w:t>
      </w:r>
      <w:r>
        <w:rPr>
          <w:i/>
          <w:iCs/>
        </w:rPr>
        <w:t>reasonable</w:t>
      </w:r>
      <w:r>
        <w:t xml:space="preserve"> reading of the legislation.’ ”</w:t>
      </w:r>
      <w:r w:rsidR="00A91B26">
        <w:t> </w:t>
      </w:r>
      <w:r w:rsidR="002B50AD">
        <w:t>’</w:t>
      </w:r>
      <w:r w:rsidR="00A91B26">
        <w:t> </w:t>
      </w:r>
      <w:r w:rsidR="002B50AD">
        <w:t>”</w:t>
      </w:r>
      <w:r>
        <w:t xml:space="preserve">  </w:t>
      </w:r>
      <w:r w:rsidRPr="00957C6E">
        <w:rPr>
          <w:rStyle w:val="findhit"/>
          <w:szCs w:val="26"/>
          <w:shd w:val="clear" w:color="auto" w:fill="FFFFFF"/>
        </w:rPr>
        <w:t>(</w:t>
      </w:r>
      <w:r w:rsidRPr="00957C6E">
        <w:rPr>
          <w:rStyle w:val="findhit"/>
          <w:i/>
          <w:szCs w:val="26"/>
          <w:shd w:val="clear" w:color="auto" w:fill="FFFFFF"/>
        </w:rPr>
        <w:t>Ferra</w:t>
      </w:r>
      <w:r w:rsidRPr="00957C6E">
        <w:rPr>
          <w:rStyle w:val="findhit"/>
          <w:szCs w:val="26"/>
          <w:shd w:val="clear" w:color="auto" w:fill="FFFFFF"/>
        </w:rPr>
        <w:t xml:space="preserve">, </w:t>
      </w:r>
      <w:r w:rsidRPr="00957C6E">
        <w:rPr>
          <w:rStyle w:val="findhit"/>
          <w:i/>
          <w:szCs w:val="26"/>
          <w:shd w:val="clear" w:color="auto" w:fill="FFFFFF"/>
        </w:rPr>
        <w:t>supra</w:t>
      </w:r>
      <w:r w:rsidRPr="00957C6E">
        <w:rPr>
          <w:rStyle w:val="findhit"/>
          <w:szCs w:val="26"/>
          <w:shd w:val="clear" w:color="auto" w:fill="FFFFFF"/>
        </w:rPr>
        <w:t>, 40</w:t>
      </w:r>
      <w:r>
        <w:rPr>
          <w:rStyle w:val="findhit"/>
          <w:szCs w:val="26"/>
          <w:shd w:val="clear" w:color="auto" w:fill="FFFFFF"/>
        </w:rPr>
        <w:t xml:space="preserve"> </w:t>
      </w:r>
      <w:r w:rsidRPr="00957C6E">
        <w:rPr>
          <w:rStyle w:val="findhit"/>
          <w:szCs w:val="26"/>
          <w:shd w:val="clear" w:color="auto" w:fill="FFFFFF"/>
        </w:rPr>
        <w:t>Cal.App.5th at p. 1265 (conc. &amp; dis.</w:t>
      </w:r>
      <w:r w:rsidRPr="00D73A64">
        <w:rPr>
          <w:rStyle w:val="findhit"/>
          <w:shd w:val="clear" w:color="auto" w:fill="FFFFFF"/>
        </w:rPr>
        <w:t xml:space="preserve"> opn. </w:t>
      </w:r>
      <w:r w:rsidRPr="00957C6E">
        <w:rPr>
          <w:rStyle w:val="findhit"/>
          <w:szCs w:val="26"/>
          <w:shd w:val="clear" w:color="auto" w:fill="FFFFFF"/>
        </w:rPr>
        <w:t>of Edmon, P. J.)</w:t>
      </w:r>
      <w:r>
        <w:rPr>
          <w:rStyle w:val="findhit"/>
          <w:szCs w:val="26"/>
          <w:shd w:val="clear" w:color="auto" w:fill="FFFFFF"/>
        </w:rPr>
        <w:t xml:space="preserve">, quoting </w:t>
      </w:r>
      <w:r w:rsidRPr="00CD6C11">
        <w:rPr>
          <w:rStyle w:val="findhit"/>
          <w:i/>
          <w:iCs/>
          <w:szCs w:val="26"/>
          <w:shd w:val="clear" w:color="auto" w:fill="FFFFFF"/>
        </w:rPr>
        <w:t>Park Medical Pharmacy v. San Diego Orthopedic Associates Medical Group, Inc.</w:t>
      </w:r>
      <w:r>
        <w:rPr>
          <w:rStyle w:val="findhit"/>
          <w:szCs w:val="26"/>
          <w:shd w:val="clear" w:color="auto" w:fill="FFFFFF"/>
        </w:rPr>
        <w:t xml:space="preserve"> (2002) 99 Cal.App.4th 247, 254, fn. 5.)  To attribute “controlling significance to the modifier ‘of compensation’ ”</w:t>
      </w:r>
      <w:r>
        <w:t xml:space="preserve"> would lead “to an entirely </w:t>
      </w:r>
      <w:r>
        <w:rPr>
          <w:i/>
          <w:iCs/>
        </w:rPr>
        <w:t>unreasonable</w:t>
      </w:r>
      <w:r>
        <w:t xml:space="preserve"> conclusion</w:t>
      </w:r>
      <w:r w:rsidR="0008140C">
        <w:t> </w:t>
      </w:r>
      <w:r>
        <w:t>—</w:t>
      </w:r>
      <w:r w:rsidR="0008140C">
        <w:t xml:space="preserve"> </w:t>
      </w:r>
      <w:r>
        <w:t>namely, that the Legislature used the phrase ‘regular rate’ in section 226.7 without intending the meaning ‘regular rate’ had acquired over the course of more than 60 years.”</w:t>
      </w:r>
      <w:r>
        <w:rPr>
          <w:rStyle w:val="findhit"/>
          <w:szCs w:val="26"/>
          <w:shd w:val="clear" w:color="auto" w:fill="FFFFFF"/>
        </w:rPr>
        <w:t xml:space="preserve">  </w:t>
      </w:r>
      <w:r w:rsidRPr="00957C6E">
        <w:rPr>
          <w:rStyle w:val="findhit"/>
          <w:szCs w:val="26"/>
          <w:shd w:val="clear" w:color="auto" w:fill="FFFFFF"/>
        </w:rPr>
        <w:t>(</w:t>
      </w:r>
      <w:r w:rsidRPr="00957C6E">
        <w:rPr>
          <w:rStyle w:val="findhit"/>
          <w:i/>
          <w:szCs w:val="26"/>
          <w:shd w:val="clear" w:color="auto" w:fill="FFFFFF"/>
        </w:rPr>
        <w:t>Ferra</w:t>
      </w:r>
      <w:r>
        <w:rPr>
          <w:rStyle w:val="findhit"/>
          <w:iCs/>
          <w:szCs w:val="26"/>
          <w:shd w:val="clear" w:color="auto" w:fill="FFFFFF"/>
        </w:rPr>
        <w:t>, at p. 1265</w:t>
      </w:r>
      <w:r w:rsidRPr="00957C6E">
        <w:rPr>
          <w:rStyle w:val="findhit"/>
          <w:szCs w:val="26"/>
          <w:shd w:val="clear" w:color="auto" w:fill="FFFFFF"/>
        </w:rPr>
        <w:t xml:space="preserve"> (conc. &amp; dis.</w:t>
      </w:r>
      <w:r w:rsidRPr="00D73A64">
        <w:rPr>
          <w:rStyle w:val="findhit"/>
          <w:shd w:val="clear" w:color="auto" w:fill="FFFFFF"/>
        </w:rPr>
        <w:t xml:space="preserve"> opn. </w:t>
      </w:r>
      <w:r w:rsidRPr="00957C6E">
        <w:rPr>
          <w:rStyle w:val="findhit"/>
          <w:szCs w:val="26"/>
          <w:shd w:val="clear" w:color="auto" w:fill="FFFFFF"/>
        </w:rPr>
        <w:t>of Edmon, P. J.)</w:t>
      </w:r>
      <w:r w:rsidR="00872B5E">
        <w:rPr>
          <w:rStyle w:val="findhit"/>
          <w:szCs w:val="26"/>
          <w:shd w:val="clear" w:color="auto" w:fill="FFFFFF"/>
        </w:rPr>
        <w:t>.)</w:t>
      </w:r>
      <w:r>
        <w:rPr>
          <w:rStyle w:val="findhit"/>
          <w:szCs w:val="26"/>
          <w:shd w:val="clear" w:color="auto" w:fill="FFFFFF"/>
        </w:rPr>
        <w:t xml:space="preserve">  Had the Legislature intended to diverge from decades of settled </w:t>
      </w:r>
      <w:r w:rsidR="00872B5E">
        <w:rPr>
          <w:rStyle w:val="findhit"/>
          <w:szCs w:val="26"/>
          <w:shd w:val="clear" w:color="auto" w:fill="FFFFFF"/>
        </w:rPr>
        <w:t>usage</w:t>
      </w:r>
      <w:r w:rsidR="00135034">
        <w:rPr>
          <w:rStyle w:val="findhit"/>
          <w:szCs w:val="26"/>
          <w:shd w:val="clear" w:color="auto" w:fill="FFFFFF"/>
        </w:rPr>
        <w:t xml:space="preserve"> and, in effect, compel employers to make complex judgments about what is and what is not part of an employee’s “regular rate of compensation</w:t>
      </w:r>
      <w:r>
        <w:rPr>
          <w:rStyle w:val="findhit"/>
          <w:szCs w:val="26"/>
          <w:shd w:val="clear" w:color="auto" w:fill="FFFFFF"/>
        </w:rPr>
        <w:t>,</w:t>
      </w:r>
      <w:r w:rsidR="00135034">
        <w:rPr>
          <w:rStyle w:val="findhit"/>
          <w:szCs w:val="26"/>
          <w:shd w:val="clear" w:color="auto" w:fill="FFFFFF"/>
        </w:rPr>
        <w:t>”</w:t>
      </w:r>
      <w:r>
        <w:rPr>
          <w:rStyle w:val="findhit"/>
          <w:szCs w:val="26"/>
          <w:shd w:val="clear" w:color="auto" w:fill="FFFFFF"/>
        </w:rPr>
        <w:t xml:space="preserve"> it </w:t>
      </w:r>
      <w:r w:rsidR="00872B5E">
        <w:rPr>
          <w:rStyle w:val="findhit"/>
          <w:szCs w:val="26"/>
          <w:shd w:val="clear" w:color="auto" w:fill="FFFFFF"/>
        </w:rPr>
        <w:t>likely</w:t>
      </w:r>
      <w:r>
        <w:rPr>
          <w:rStyle w:val="findhit"/>
          <w:szCs w:val="26"/>
          <w:shd w:val="clear" w:color="auto" w:fill="FFFFFF"/>
        </w:rPr>
        <w:t xml:space="preserve"> would have said so</w:t>
      </w:r>
      <w:r w:rsidR="00D61521">
        <w:rPr>
          <w:rStyle w:val="findhit"/>
          <w:szCs w:val="26"/>
          <w:shd w:val="clear" w:color="auto" w:fill="FFFFFF"/>
        </w:rPr>
        <w:t>.</w:t>
      </w:r>
      <w:r w:rsidR="006248E7">
        <w:rPr>
          <w:rStyle w:val="findhit"/>
          <w:szCs w:val="26"/>
          <w:shd w:val="clear" w:color="auto" w:fill="FFFFFF"/>
        </w:rPr>
        <w:t xml:space="preserve">  </w:t>
      </w:r>
      <w:r>
        <w:rPr>
          <w:rStyle w:val="findhit"/>
          <w:szCs w:val="26"/>
          <w:shd w:val="clear" w:color="auto" w:fill="FFFFFF"/>
        </w:rPr>
        <w:t xml:space="preserve">(See </w:t>
      </w:r>
      <w:r w:rsidRPr="00CD6C11">
        <w:rPr>
          <w:rStyle w:val="findhit"/>
          <w:i/>
          <w:iCs/>
          <w:szCs w:val="26"/>
          <w:shd w:val="clear" w:color="auto" w:fill="FFFFFF"/>
        </w:rPr>
        <w:t>Jones v. Lodge at Torrey Pines Partnership</w:t>
      </w:r>
      <w:r>
        <w:rPr>
          <w:rStyle w:val="findhit"/>
          <w:szCs w:val="26"/>
          <w:shd w:val="clear" w:color="auto" w:fill="FFFFFF"/>
        </w:rPr>
        <w:t xml:space="preserve"> (2008) 42 Cal.4th 1158, 1171.)</w:t>
      </w:r>
    </w:p>
    <w:p w:rsidR="00244ED7" w:rsidP="00957C6E">
      <w:pPr>
        <w:ind w:firstLine="720"/>
      </w:pPr>
      <w:r w:rsidRPr="00957C6E">
        <w:rPr>
          <w:rStyle w:val="cohl"/>
        </w:rPr>
        <w:t xml:space="preserve">Loews further contends that </w:t>
      </w:r>
      <w:r w:rsidRPr="00957C6E">
        <w:rPr>
          <w:rStyle w:val="cohl"/>
        </w:rPr>
        <w:t>“[t]</w:t>
      </w:r>
      <w:r w:rsidRPr="00957C6E">
        <w:t>he rationale for defining ‘regular rate of pay’ to include forms of pay other than the base hourly rate</w:t>
      </w:r>
      <w:r w:rsidR="0008140C">
        <w:t> </w:t>
      </w:r>
      <w:r w:rsidRPr="00957C6E">
        <w:t>—</w:t>
      </w:r>
      <w:r w:rsidR="002B50AD">
        <w:t xml:space="preserve"> </w:t>
      </w:r>
      <w:r w:rsidRPr="00957C6E">
        <w:t>to ensure employers do not circumvent overtime laws by paying a low hourly rate</w:t>
      </w:r>
      <w:r w:rsidR="0008140C">
        <w:t> </w:t>
      </w:r>
      <w:r w:rsidRPr="00957C6E">
        <w:t>—</w:t>
      </w:r>
      <w:r w:rsidR="002B50AD">
        <w:t xml:space="preserve"> </w:t>
      </w:r>
      <w:r w:rsidRPr="00957C6E">
        <w:t xml:space="preserve">is logically inapplicable to break premiums, which unlike overtime premiums are not proportional to time worked and may be owed to employees who perform no overtime work.”  According to Loews, “ ‘pay’ invariably is given for goods or services rendered, while </w:t>
      </w:r>
      <w:r w:rsidRPr="00957C6E" w:rsidR="0048295A">
        <w:t>‘</w:t>
      </w:r>
      <w:r w:rsidRPr="00957C6E">
        <w:t>compensation</w:t>
      </w:r>
      <w:r w:rsidRPr="00957C6E" w:rsidR="0048295A">
        <w:t>’</w:t>
      </w:r>
      <w:r w:rsidRPr="00957C6E">
        <w:t xml:space="preserve"> additionally may pertain to </w:t>
      </w:r>
      <w:r w:rsidRPr="00957C6E">
        <w:rPr>
          <w:i/>
        </w:rPr>
        <w:t>remuneration for a loss</w:t>
      </w:r>
      <w:r w:rsidR="0008140C">
        <w:rPr>
          <w:i/>
        </w:rPr>
        <w:t> </w:t>
      </w:r>
      <w:r w:rsidRPr="00957C6E">
        <w:t>—</w:t>
      </w:r>
      <w:r w:rsidR="002B50AD">
        <w:t xml:space="preserve"> </w:t>
      </w:r>
      <w:r w:rsidRPr="00957C6E">
        <w:t>such as deprivation of a legally-required meal break or rest period.  This distinction aptly reflects this Court’s recognition that break premiums are designed to preserve employees’ health and welfare, as opposed to overtime premiums which are calculated to provide full wages for work performed.”</w:t>
      </w:r>
    </w:p>
    <w:p w:rsidR="000D746B" w:rsidP="00D01F2A">
      <w:pPr>
        <w:ind w:firstLine="720"/>
      </w:pPr>
      <w:r>
        <w:rPr>
          <w:rStyle w:val="cohl"/>
          <w:szCs w:val="26"/>
        </w:rPr>
        <w:t>But</w:t>
      </w:r>
      <w:r w:rsidR="00BA0A70">
        <w:t xml:space="preserve"> </w:t>
      </w:r>
      <w:r w:rsidR="00EE1D78">
        <w:t xml:space="preserve">even if </w:t>
      </w:r>
      <w:r>
        <w:t xml:space="preserve">we were to agree with Loews that </w:t>
      </w:r>
      <w:r w:rsidR="00EE1D78">
        <w:t xml:space="preserve">“compensation” and “pay” mean different things, </w:t>
      </w:r>
      <w:r w:rsidR="00975FB3">
        <w:t xml:space="preserve">there is little reason to think the former </w:t>
      </w:r>
      <w:r w:rsidR="00CB0DF9">
        <w:t xml:space="preserve">would mean something narrower than the latter.  (Compare Black’s Law </w:t>
      </w:r>
      <w:r w:rsidR="002B50AD">
        <w:t xml:space="preserve">Dict. </w:t>
      </w:r>
      <w:r w:rsidR="00CB0DF9">
        <w:t>(11th ed. 2019) [</w:t>
      </w:r>
      <w:r w:rsidR="002B50AD">
        <w:t xml:space="preserve">Defining “compensation” as </w:t>
      </w:r>
      <w:r w:rsidR="00CB0DF9">
        <w:t>“</w:t>
      </w:r>
      <w:r w:rsidR="00A91B26">
        <w:t> </w:t>
      </w:r>
      <w:r w:rsidR="002B50AD">
        <w:t>‘</w:t>
      </w:r>
      <w:r w:rsidRPr="006F27DA" w:rsidR="00D01F2A">
        <w:t>[Compensation] includes wages, stock option plans, profit-sharing, commissions, bonuses, golden parachutes, vacation, sick pay, medical benefits, disability, leaves of absence, and expense reimbursement’</w:t>
      </w:r>
      <w:r w:rsidR="00A91B26">
        <w:t> </w:t>
      </w:r>
      <w:r w:rsidRPr="006F27DA" w:rsidR="00D01F2A">
        <w:t>”</w:t>
      </w:r>
      <w:r w:rsidR="00D01F2A">
        <w:t xml:space="preserve">] with </w:t>
      </w:r>
      <w:r w:rsidR="00CB0DF9">
        <w:rPr>
          <w:i/>
          <w:iCs/>
        </w:rPr>
        <w:t>id.</w:t>
      </w:r>
      <w:r w:rsidR="00CB0DF9">
        <w:t xml:space="preserve"> [</w:t>
      </w:r>
      <w:r w:rsidR="002B50AD">
        <w:t xml:space="preserve">defining “Pay” as </w:t>
      </w:r>
      <w:r w:rsidR="00CB0DF9">
        <w:t>“Compensation for services performed; salary, wages, stipend, or other renumeration given for work done</w:t>
      </w:r>
      <w:r w:rsidR="00D01F2A">
        <w:t>”].)</w:t>
      </w:r>
    </w:p>
    <w:p w:rsidR="00075DBF" w:rsidRPr="00957C6E" w:rsidP="00957C6E">
      <w:pPr>
        <w:ind w:firstLine="720"/>
        <w:rPr>
          <w:color w:val="000000"/>
          <w:szCs w:val="26"/>
        </w:rPr>
      </w:pPr>
      <w:r>
        <w:rPr>
          <w:rStyle w:val="cohl"/>
          <w:szCs w:val="26"/>
        </w:rPr>
        <w:t>Further</w:t>
      </w:r>
      <w:r w:rsidR="00BA0A70">
        <w:rPr>
          <w:rStyle w:val="cohl"/>
          <w:szCs w:val="26"/>
        </w:rPr>
        <w:t xml:space="preserve">, </w:t>
      </w:r>
      <w:r w:rsidRPr="00957C6E" w:rsidR="005F351F">
        <w:rPr>
          <w:rStyle w:val="cohl"/>
          <w:szCs w:val="26"/>
        </w:rPr>
        <w:t xml:space="preserve">we </w:t>
      </w:r>
      <w:r w:rsidRPr="00957C6E" w:rsidR="0056659F">
        <w:rPr>
          <w:rStyle w:val="cohl"/>
          <w:szCs w:val="26"/>
        </w:rPr>
        <w:t>have previously rejected the argument that because premium pay under section 226.7(c) is “not proportional to time worked,” it is “unlike overtime premiums</w:t>
      </w:r>
      <w:r w:rsidRPr="00957C6E" w:rsidR="00672E77">
        <w:rPr>
          <w:rStyle w:val="cohl"/>
          <w:szCs w:val="26"/>
        </w:rPr>
        <w:t>.</w:t>
      </w:r>
      <w:r w:rsidRPr="00957C6E" w:rsidR="0056659F">
        <w:rPr>
          <w:rStyle w:val="cohl"/>
          <w:szCs w:val="26"/>
        </w:rPr>
        <w:t xml:space="preserve">”  </w:t>
      </w:r>
      <w:r w:rsidRPr="00957C6E" w:rsidR="00EC22F8">
        <w:rPr>
          <w:rStyle w:val="cohl"/>
          <w:szCs w:val="26"/>
        </w:rPr>
        <w:t xml:space="preserve">In </w:t>
      </w:r>
      <w:r w:rsidRPr="00957C6E" w:rsidR="00EC22F8">
        <w:rPr>
          <w:rStyle w:val="cohl"/>
          <w:i/>
          <w:szCs w:val="26"/>
        </w:rPr>
        <w:t>Murphy</w:t>
      </w:r>
      <w:r w:rsidRPr="00957C6E" w:rsidR="00EC22F8">
        <w:rPr>
          <w:rStyle w:val="cohl"/>
          <w:szCs w:val="26"/>
        </w:rPr>
        <w:t xml:space="preserve">, we </w:t>
      </w:r>
      <w:r w:rsidRPr="00957C6E" w:rsidR="0056659F">
        <w:rPr>
          <w:rStyle w:val="cohl"/>
          <w:szCs w:val="26"/>
        </w:rPr>
        <w:t xml:space="preserve">acknowledged that “a </w:t>
      </w:r>
      <w:r w:rsidRPr="00957C6E" w:rsidR="0056659F">
        <w:rPr>
          <w:szCs w:val="26"/>
        </w:rPr>
        <w:t>one-to-one ratio does not exist between the economic injury caused by meal and rest period violations on the one hand and the remedy selected by the Legislature on the other hand</w:t>
      </w:r>
      <w:r w:rsidRPr="00957C6E" w:rsidR="001600C9">
        <w:rPr>
          <w:szCs w:val="26"/>
        </w:rPr>
        <w:t>.”  (</w:t>
      </w:r>
      <w:r w:rsidRPr="00957C6E" w:rsidR="001600C9">
        <w:rPr>
          <w:i/>
          <w:szCs w:val="26"/>
        </w:rPr>
        <w:t>Murphy</w:t>
      </w:r>
      <w:r w:rsidRPr="00957C6E" w:rsidR="001600C9">
        <w:rPr>
          <w:szCs w:val="26"/>
        </w:rPr>
        <w:t xml:space="preserve">, </w:t>
      </w:r>
      <w:r w:rsidRPr="00957C6E" w:rsidR="001600C9">
        <w:rPr>
          <w:i/>
          <w:szCs w:val="26"/>
        </w:rPr>
        <w:t>supra</w:t>
      </w:r>
      <w:r w:rsidRPr="00957C6E" w:rsidR="001600C9">
        <w:rPr>
          <w:szCs w:val="26"/>
        </w:rPr>
        <w:t xml:space="preserve">, 40 Cal.4th at p. 1112.)  </w:t>
      </w:r>
      <w:r w:rsidRPr="00957C6E" w:rsidR="005F351F">
        <w:rPr>
          <w:szCs w:val="26"/>
        </w:rPr>
        <w:t xml:space="preserve">Nevertheless, </w:t>
      </w:r>
      <w:r w:rsidRPr="00957C6E" w:rsidR="001600C9">
        <w:rPr>
          <w:szCs w:val="26"/>
        </w:rPr>
        <w:t>we said</w:t>
      </w:r>
      <w:r w:rsidRPr="00957C6E" w:rsidR="005F351F">
        <w:rPr>
          <w:szCs w:val="26"/>
        </w:rPr>
        <w:t>,</w:t>
      </w:r>
      <w:r w:rsidRPr="00957C6E" w:rsidR="001600C9">
        <w:rPr>
          <w:szCs w:val="26"/>
        </w:rPr>
        <w:t xml:space="preserve"> premium pay under section 226.7(c) does not differ </w:t>
      </w:r>
      <w:r w:rsidRPr="00957C6E" w:rsidR="005F351F">
        <w:rPr>
          <w:szCs w:val="26"/>
        </w:rPr>
        <w:t xml:space="preserve">in this respect </w:t>
      </w:r>
      <w:r w:rsidRPr="00957C6E" w:rsidR="001600C9">
        <w:rPr>
          <w:szCs w:val="26"/>
        </w:rPr>
        <w:t>from other remedies the Legislature has chosen “</w:t>
      </w:r>
      <w:r w:rsidRPr="00957C6E" w:rsidR="001600C9">
        <w:rPr>
          <w:color w:val="000000"/>
          <w:szCs w:val="26"/>
        </w:rPr>
        <w:t xml:space="preserve">to compensate employees for certain kinds of labor or scheduling resulting in a detriment to the employee.”  </w:t>
      </w:r>
      <w:r w:rsidRPr="00957C6E" w:rsidR="001600C9">
        <w:rPr>
          <w:szCs w:val="26"/>
        </w:rPr>
        <w:t>(</w:t>
      </w:r>
      <w:r w:rsidRPr="00957C6E" w:rsidR="005F351F">
        <w:rPr>
          <w:i/>
          <w:szCs w:val="26"/>
        </w:rPr>
        <w:t>Murphy</w:t>
      </w:r>
      <w:r w:rsidRPr="00957C6E" w:rsidR="005F351F">
        <w:rPr>
          <w:szCs w:val="26"/>
        </w:rPr>
        <w:t>, at p. 1112.</w:t>
      </w:r>
      <w:r w:rsidRPr="00957C6E" w:rsidR="001600C9">
        <w:rPr>
          <w:szCs w:val="26"/>
        </w:rPr>
        <w:t xml:space="preserve">)  We gave three examples of such remedies, </w:t>
      </w:r>
      <w:r w:rsidRPr="00957C6E" w:rsidR="00974058">
        <w:rPr>
          <w:szCs w:val="26"/>
        </w:rPr>
        <w:t>including</w:t>
      </w:r>
      <w:r w:rsidRPr="00957C6E" w:rsidR="001600C9">
        <w:rPr>
          <w:szCs w:val="26"/>
        </w:rPr>
        <w:t xml:space="preserve"> overtime premiums under section 510(a).</w:t>
      </w:r>
      <w:r w:rsidRPr="00957C6E" w:rsidR="00974058">
        <w:rPr>
          <w:szCs w:val="26"/>
        </w:rPr>
        <w:t xml:space="preserve">  (</w:t>
      </w:r>
      <w:r w:rsidR="007E2741">
        <w:rPr>
          <w:i/>
          <w:szCs w:val="26"/>
        </w:rPr>
        <w:t>Murphy,</w:t>
      </w:r>
      <w:r w:rsidRPr="00957C6E" w:rsidR="00974058">
        <w:rPr>
          <w:szCs w:val="26"/>
        </w:rPr>
        <w:t xml:space="preserve"> at pp. 1112–1113.)</w:t>
      </w:r>
      <w:r w:rsidRPr="00957C6E" w:rsidR="001600C9">
        <w:rPr>
          <w:szCs w:val="26"/>
        </w:rPr>
        <w:t xml:space="preserve">  “</w:t>
      </w:r>
      <w:r w:rsidRPr="00957C6E" w:rsidR="001600C9">
        <w:rPr>
          <w:color w:val="000000"/>
          <w:szCs w:val="26"/>
        </w:rPr>
        <w:t>Each of these forms of compensation, like the</w:t>
      </w:r>
      <w:r w:rsidRPr="00957C6E" w:rsidR="00974058">
        <w:rPr>
          <w:color w:val="000000"/>
          <w:szCs w:val="26"/>
        </w:rPr>
        <w:t xml:space="preserve"> section 226.7 </w:t>
      </w:r>
      <w:r w:rsidRPr="00957C6E" w:rsidR="001600C9">
        <w:rPr>
          <w:color w:val="000000"/>
          <w:szCs w:val="26"/>
        </w:rPr>
        <w:t>payment, uses the employee’s rate of compensation</w:t>
      </w:r>
      <w:r w:rsidRPr="00957C6E" w:rsidR="00C22072">
        <w:rPr>
          <w:color w:val="000000"/>
          <w:szCs w:val="26"/>
        </w:rPr>
        <w:t>”</w:t>
      </w:r>
      <w:r w:rsidRPr="00957C6E" w:rsidR="001F5D68">
        <w:rPr>
          <w:color w:val="000000"/>
          <w:szCs w:val="26"/>
        </w:rPr>
        <w:t> </w:t>
      </w:r>
      <w:r w:rsidRPr="00957C6E" w:rsidR="00CA78A4">
        <w:rPr>
          <w:color w:val="000000"/>
          <w:szCs w:val="26"/>
        </w:rPr>
        <w:t>—</w:t>
      </w:r>
      <w:r w:rsidR="0008140C">
        <w:rPr>
          <w:color w:val="000000"/>
          <w:szCs w:val="26"/>
        </w:rPr>
        <w:t xml:space="preserve"> </w:t>
      </w:r>
      <w:r w:rsidRPr="00957C6E" w:rsidR="00C22072">
        <w:rPr>
          <w:color w:val="000000"/>
          <w:szCs w:val="26"/>
        </w:rPr>
        <w:t xml:space="preserve">note </w:t>
      </w:r>
      <w:r w:rsidRPr="00957C6E" w:rsidR="006D659C">
        <w:rPr>
          <w:color w:val="000000"/>
          <w:szCs w:val="26"/>
        </w:rPr>
        <w:t xml:space="preserve">again </w:t>
      </w:r>
      <w:r w:rsidRPr="00957C6E" w:rsidR="00C22072">
        <w:rPr>
          <w:color w:val="000000"/>
          <w:szCs w:val="26"/>
        </w:rPr>
        <w:t>the interchangeable usage</w:t>
      </w:r>
      <w:r w:rsidRPr="00957C6E" w:rsidR="001F5D68">
        <w:rPr>
          <w:color w:val="000000"/>
          <w:szCs w:val="26"/>
        </w:rPr>
        <w:t> </w:t>
      </w:r>
      <w:r w:rsidRPr="00957C6E" w:rsidR="00CA78A4">
        <w:rPr>
          <w:color w:val="000000"/>
          <w:szCs w:val="26"/>
        </w:rPr>
        <w:t>—</w:t>
      </w:r>
      <w:r w:rsidR="0008140C">
        <w:rPr>
          <w:color w:val="000000"/>
          <w:szCs w:val="26"/>
        </w:rPr>
        <w:t xml:space="preserve"> </w:t>
      </w:r>
      <w:r w:rsidRPr="00957C6E" w:rsidR="00C22072">
        <w:rPr>
          <w:color w:val="000000"/>
          <w:szCs w:val="26"/>
        </w:rPr>
        <w:t>“</w:t>
      </w:r>
      <w:r w:rsidRPr="00957C6E" w:rsidR="001600C9">
        <w:rPr>
          <w:color w:val="000000"/>
          <w:szCs w:val="26"/>
        </w:rPr>
        <w:t>as the measure of pay</w:t>
      </w:r>
      <w:r w:rsidRPr="00957C6E" w:rsidR="00C22072">
        <w:rPr>
          <w:color w:val="000000"/>
          <w:szCs w:val="26"/>
        </w:rPr>
        <w:t xml:space="preserve"> </w:t>
      </w:r>
      <w:r w:rsidRPr="00957C6E" w:rsidR="001600C9">
        <w:rPr>
          <w:color w:val="000000"/>
          <w:szCs w:val="26"/>
        </w:rPr>
        <w:t xml:space="preserve">and compensates the employee for events other than time spent working. </w:t>
      </w:r>
      <w:r w:rsidRPr="00957C6E" w:rsidR="00974058">
        <w:rPr>
          <w:color w:val="000000"/>
          <w:szCs w:val="26"/>
        </w:rPr>
        <w:t xml:space="preserve"> </w:t>
      </w:r>
      <w:r w:rsidRPr="00957C6E" w:rsidR="001600C9">
        <w:rPr>
          <w:color w:val="000000"/>
          <w:szCs w:val="26"/>
        </w:rPr>
        <w:t xml:space="preserve">An employee working nine hours already receives his or her normal wage for that ninth hour. </w:t>
      </w:r>
      <w:r w:rsidRPr="00957C6E" w:rsidR="00974058">
        <w:rPr>
          <w:color w:val="000000"/>
          <w:szCs w:val="26"/>
        </w:rPr>
        <w:t xml:space="preserve"> </w:t>
      </w:r>
      <w:r w:rsidRPr="00957C6E" w:rsidR="001600C9">
        <w:rPr>
          <w:color w:val="000000"/>
          <w:szCs w:val="26"/>
        </w:rPr>
        <w:t>The Legislature has directed, however, that employers pay a premium wage of 50 percent more for the ninth through twelfth hour and a 100 percent premium for the hours in excess of 12.</w:t>
      </w:r>
      <w:r w:rsidRPr="00957C6E" w:rsidR="00974058">
        <w:rPr>
          <w:color w:val="000000"/>
          <w:szCs w:val="26"/>
        </w:rPr>
        <w:t>”  (</w:t>
      </w:r>
      <w:r w:rsidRPr="00957C6E" w:rsidR="00974058">
        <w:rPr>
          <w:i/>
          <w:color w:val="000000"/>
          <w:szCs w:val="26"/>
        </w:rPr>
        <w:t>Id.</w:t>
      </w:r>
      <w:r w:rsidRPr="00957C6E" w:rsidR="00974058">
        <w:rPr>
          <w:color w:val="000000"/>
          <w:szCs w:val="26"/>
        </w:rPr>
        <w:t xml:space="preserve"> at p. 1113.)</w:t>
      </w:r>
    </w:p>
    <w:p w:rsidR="00244ED7" w:rsidRPr="00957C6E">
      <w:pPr>
        <w:ind w:firstLine="720"/>
        <w:rPr>
          <w:szCs w:val="26"/>
        </w:rPr>
      </w:pPr>
      <w:r w:rsidRPr="00957C6E">
        <w:rPr>
          <w:szCs w:val="26"/>
        </w:rPr>
        <w:t xml:space="preserve">As </w:t>
      </w:r>
      <w:r w:rsidRPr="00957C6E">
        <w:rPr>
          <w:i/>
          <w:szCs w:val="26"/>
        </w:rPr>
        <w:t>Murphy</w:t>
      </w:r>
      <w:r w:rsidRPr="00957C6E">
        <w:rPr>
          <w:szCs w:val="26"/>
        </w:rPr>
        <w:t xml:space="preserve"> makes clear</w:t>
      </w:r>
      <w:r w:rsidRPr="00957C6E" w:rsidR="00974058">
        <w:rPr>
          <w:szCs w:val="26"/>
        </w:rPr>
        <w:t xml:space="preserve">, contrary to Loews’s argument, </w:t>
      </w:r>
      <w:r w:rsidRPr="00957C6E" w:rsidR="006D659C">
        <w:rPr>
          <w:szCs w:val="26"/>
        </w:rPr>
        <w:t xml:space="preserve">the 50 percent (or 100 percent) </w:t>
      </w:r>
      <w:r w:rsidRPr="00957C6E" w:rsidR="00C22072">
        <w:rPr>
          <w:szCs w:val="26"/>
        </w:rPr>
        <w:t>overtime premium</w:t>
      </w:r>
      <w:r w:rsidRPr="00957C6E" w:rsidR="006D659C">
        <w:rPr>
          <w:szCs w:val="26"/>
        </w:rPr>
        <w:t xml:space="preserve"> (§ 510(a))</w:t>
      </w:r>
      <w:r w:rsidRPr="00957C6E" w:rsidR="005C6642">
        <w:rPr>
          <w:szCs w:val="26"/>
        </w:rPr>
        <w:t>, like</w:t>
      </w:r>
      <w:r w:rsidRPr="00957C6E" w:rsidR="00E261F0">
        <w:rPr>
          <w:szCs w:val="26"/>
        </w:rPr>
        <w:t xml:space="preserve"> </w:t>
      </w:r>
      <w:r w:rsidRPr="00957C6E" w:rsidR="006D659C">
        <w:rPr>
          <w:szCs w:val="26"/>
        </w:rPr>
        <w:t xml:space="preserve">the “additional hour of pay” </w:t>
      </w:r>
      <w:r w:rsidRPr="00957C6E" w:rsidR="00C22072">
        <w:rPr>
          <w:szCs w:val="26"/>
        </w:rPr>
        <w:t>premium for meal or rest break violations</w:t>
      </w:r>
      <w:r w:rsidRPr="00957C6E" w:rsidR="006D659C">
        <w:rPr>
          <w:szCs w:val="26"/>
        </w:rPr>
        <w:t xml:space="preserve"> (§ 226.7(c))</w:t>
      </w:r>
      <w:r w:rsidRPr="00957C6E" w:rsidR="005C6642">
        <w:rPr>
          <w:szCs w:val="26"/>
        </w:rPr>
        <w:t>,</w:t>
      </w:r>
      <w:r w:rsidRPr="00957C6E" w:rsidR="00E261F0">
        <w:rPr>
          <w:szCs w:val="26"/>
        </w:rPr>
        <w:t xml:space="preserve"> </w:t>
      </w:r>
      <w:r w:rsidRPr="00957C6E" w:rsidR="00C22072">
        <w:rPr>
          <w:szCs w:val="26"/>
        </w:rPr>
        <w:t>“compensate</w:t>
      </w:r>
      <w:r w:rsidRPr="00957C6E" w:rsidR="005C6642">
        <w:rPr>
          <w:szCs w:val="26"/>
        </w:rPr>
        <w:t>s</w:t>
      </w:r>
      <w:r w:rsidRPr="00957C6E" w:rsidR="00C22072">
        <w:rPr>
          <w:szCs w:val="26"/>
        </w:rPr>
        <w:t xml:space="preserve"> the employee for events </w:t>
      </w:r>
      <w:r w:rsidRPr="00957C6E" w:rsidR="00C22072">
        <w:rPr>
          <w:i/>
          <w:szCs w:val="26"/>
        </w:rPr>
        <w:t>other than time spent working</w:t>
      </w:r>
      <w:r w:rsidRPr="00957C6E" w:rsidR="00C22072">
        <w:rPr>
          <w:szCs w:val="26"/>
        </w:rPr>
        <w:t>.”  (</w:t>
      </w:r>
      <w:r w:rsidRPr="00957C6E" w:rsidR="00E261F0">
        <w:rPr>
          <w:i/>
          <w:szCs w:val="26"/>
        </w:rPr>
        <w:t>Murphy</w:t>
      </w:r>
      <w:r w:rsidRPr="00957C6E" w:rsidR="00E261F0">
        <w:rPr>
          <w:szCs w:val="26"/>
        </w:rPr>
        <w:t>,</w:t>
      </w:r>
      <w:r w:rsidRPr="00957C6E">
        <w:rPr>
          <w:szCs w:val="26"/>
        </w:rPr>
        <w:t xml:space="preserve"> </w:t>
      </w:r>
      <w:r w:rsidRPr="00957C6E">
        <w:rPr>
          <w:i/>
          <w:szCs w:val="26"/>
        </w:rPr>
        <w:t>supra</w:t>
      </w:r>
      <w:r w:rsidRPr="00957C6E">
        <w:rPr>
          <w:szCs w:val="26"/>
        </w:rPr>
        <w:t>, 40 Cal.4th</w:t>
      </w:r>
      <w:r w:rsidRPr="00957C6E" w:rsidR="00E261F0">
        <w:rPr>
          <w:szCs w:val="26"/>
        </w:rPr>
        <w:t xml:space="preserve"> at p. 1113, italics added</w:t>
      </w:r>
      <w:r w:rsidR="000B027B">
        <w:rPr>
          <w:szCs w:val="26"/>
        </w:rPr>
        <w:t xml:space="preserve">.)  </w:t>
      </w:r>
      <w:r w:rsidR="0068454A">
        <w:rPr>
          <w:szCs w:val="26"/>
        </w:rPr>
        <w:t>E</w:t>
      </w:r>
      <w:r w:rsidR="00553F41">
        <w:rPr>
          <w:szCs w:val="26"/>
        </w:rPr>
        <w:t xml:space="preserve">mployees </w:t>
      </w:r>
      <w:r w:rsidR="0068454A">
        <w:rPr>
          <w:szCs w:val="26"/>
        </w:rPr>
        <w:t xml:space="preserve">may </w:t>
      </w:r>
      <w:r w:rsidR="00553F41">
        <w:rPr>
          <w:szCs w:val="26"/>
        </w:rPr>
        <w:t>suffer “noneconomic injuries” when they are forced to work through break periods</w:t>
      </w:r>
      <w:r w:rsidR="0008523D">
        <w:rPr>
          <w:szCs w:val="26"/>
        </w:rPr>
        <w:t>, like “greater risk[s] of work-related accidents and increased stress</w:t>
      </w:r>
      <w:r w:rsidR="006B4E61">
        <w:rPr>
          <w:szCs w:val="26"/>
        </w:rPr>
        <w:t xml:space="preserve">,” or denials </w:t>
      </w:r>
      <w:r w:rsidR="00F27265">
        <w:rPr>
          <w:szCs w:val="26"/>
        </w:rPr>
        <w:t>of “time free from employer control that is often needed to be able to accomplish important personal tasks.”</w:t>
      </w:r>
      <w:r w:rsidR="00413473">
        <w:rPr>
          <w:szCs w:val="26"/>
        </w:rPr>
        <w:t xml:space="preserve">  </w:t>
      </w:r>
      <w:r w:rsidR="0008523D">
        <w:rPr>
          <w:szCs w:val="26"/>
        </w:rPr>
        <w:t>(</w:t>
      </w:r>
      <w:r w:rsidRPr="000275F0" w:rsidR="00413473">
        <w:rPr>
          <w:i/>
          <w:iCs/>
          <w:szCs w:val="26"/>
        </w:rPr>
        <w:t>I</w:t>
      </w:r>
      <w:r w:rsidRPr="000275F0" w:rsidR="0008523D">
        <w:rPr>
          <w:i/>
          <w:iCs/>
          <w:szCs w:val="26"/>
        </w:rPr>
        <w:t>bid.</w:t>
      </w:r>
      <w:r w:rsidRPr="00957C6E" w:rsidR="005C6642">
        <w:rPr>
          <w:szCs w:val="26"/>
        </w:rPr>
        <w:t>;</w:t>
      </w:r>
      <w:r w:rsidRPr="00957C6E" w:rsidR="00246F87">
        <w:rPr>
          <w:szCs w:val="26"/>
        </w:rPr>
        <w:t xml:space="preserve"> </w:t>
      </w:r>
      <w:r w:rsidR="0068454A">
        <w:rPr>
          <w:szCs w:val="26"/>
        </w:rPr>
        <w:t xml:space="preserve">see </w:t>
      </w:r>
      <w:r w:rsidRPr="00957C6E" w:rsidR="00246F87">
        <w:rPr>
          <w:i/>
          <w:szCs w:val="26"/>
        </w:rPr>
        <w:t>Alvarado</w:t>
      </w:r>
      <w:r w:rsidRPr="00957C6E" w:rsidR="00246F87">
        <w:rPr>
          <w:szCs w:val="26"/>
        </w:rPr>
        <w:t xml:space="preserve">, </w:t>
      </w:r>
      <w:r w:rsidRPr="00957C6E" w:rsidR="00246F87">
        <w:rPr>
          <w:i/>
          <w:szCs w:val="26"/>
        </w:rPr>
        <w:t>supra</w:t>
      </w:r>
      <w:r w:rsidRPr="00957C6E" w:rsidR="00E210BA">
        <w:rPr>
          <w:szCs w:val="26"/>
        </w:rPr>
        <w:t>, 4 Cal.5th at p. 561, fn. 7 [quoting Legislature’s statements in A</w:t>
      </w:r>
      <w:r w:rsidR="00902D22">
        <w:rPr>
          <w:szCs w:val="26"/>
        </w:rPr>
        <w:t xml:space="preserve">ssem. </w:t>
      </w:r>
      <w:r w:rsidRPr="00957C6E" w:rsidR="00E210BA">
        <w:rPr>
          <w:szCs w:val="26"/>
        </w:rPr>
        <w:t>B</w:t>
      </w:r>
      <w:r w:rsidR="00902D22">
        <w:rPr>
          <w:szCs w:val="26"/>
        </w:rPr>
        <w:t>ill</w:t>
      </w:r>
      <w:r w:rsidRPr="00957C6E" w:rsidR="00E210BA">
        <w:rPr>
          <w:szCs w:val="26"/>
        </w:rPr>
        <w:t xml:space="preserve"> 60 </w:t>
      </w:r>
      <w:r w:rsidRPr="00957C6E" w:rsidR="00807192">
        <w:rPr>
          <w:shd w:val="clear" w:color="auto" w:fill="FFFFFF"/>
        </w:rPr>
        <w:t xml:space="preserve">(Stats. 1999, ch. 134, § 2, p. 1820) </w:t>
      </w:r>
      <w:r w:rsidRPr="00957C6E" w:rsidR="00E210BA">
        <w:rPr>
          <w:szCs w:val="26"/>
        </w:rPr>
        <w:t>that “ ‘</w:t>
      </w:r>
      <w:r w:rsidRPr="00957C6E" w:rsidR="00E210BA">
        <w:rPr>
          <w:shd w:val="clear" w:color="auto" w:fill="FFFFFF"/>
        </w:rPr>
        <w:t>[t]he eight-hour workday is the mainstay of protection for California</w:t>
      </w:r>
      <w:r w:rsidRPr="00957C6E" w:rsidR="002E547F">
        <w:rPr>
          <w:shd w:val="clear" w:color="auto" w:fill="FFFFFF"/>
        </w:rPr>
        <w:t>’</w:t>
      </w:r>
      <w:r w:rsidRPr="00957C6E" w:rsidR="00E210BA">
        <w:rPr>
          <w:shd w:val="clear" w:color="auto" w:fill="FFFFFF"/>
        </w:rPr>
        <w:t>s working people’; ‘[n]umerous studies have linked long work hours to increased rates of accident and injury’; [and] ‘[f]amily life suffers when either or both parents are kept away from home for an extended period of time on a daily basis</w:t>
      </w:r>
      <w:r w:rsidRPr="00957C6E" w:rsidR="00807192">
        <w:rPr>
          <w:shd w:val="clear" w:color="auto" w:fill="FFFFFF"/>
        </w:rPr>
        <w:t>’ </w:t>
      </w:r>
      <w:r w:rsidRPr="00957C6E" w:rsidR="00E210BA">
        <w:rPr>
          <w:shd w:val="clear" w:color="auto" w:fill="FFFFFF"/>
        </w:rPr>
        <w:t>”].)</w:t>
      </w:r>
      <w:r w:rsidRPr="00957C6E" w:rsidR="00E210BA">
        <w:rPr>
          <w:szCs w:val="26"/>
        </w:rPr>
        <w:t xml:space="preserve">  </w:t>
      </w:r>
      <w:r w:rsidRPr="00957C6E" w:rsidR="001D37F3">
        <w:rPr>
          <w:szCs w:val="26"/>
        </w:rPr>
        <w:t xml:space="preserve">We see </w:t>
      </w:r>
      <w:r w:rsidRPr="00957C6E" w:rsidR="00C22072">
        <w:rPr>
          <w:szCs w:val="26"/>
        </w:rPr>
        <w:t xml:space="preserve">nothing illogical about using the same metric </w:t>
      </w:r>
      <w:r w:rsidRPr="00957C6E" w:rsidR="001D37F3">
        <w:rPr>
          <w:szCs w:val="26"/>
        </w:rPr>
        <w:t>(</w:t>
      </w:r>
      <w:r w:rsidRPr="00957C6E" w:rsidR="00C22072">
        <w:rPr>
          <w:szCs w:val="26"/>
        </w:rPr>
        <w:t>“regular rate”</w:t>
      </w:r>
      <w:r w:rsidRPr="00957C6E" w:rsidR="001D37F3">
        <w:rPr>
          <w:szCs w:val="26"/>
        </w:rPr>
        <w:t>)</w:t>
      </w:r>
      <w:r w:rsidRPr="00957C6E" w:rsidR="00C22072">
        <w:rPr>
          <w:szCs w:val="26"/>
        </w:rPr>
        <w:t xml:space="preserve"> to calculate the amount of </w:t>
      </w:r>
      <w:r w:rsidRPr="00957C6E" w:rsidR="00807192">
        <w:rPr>
          <w:szCs w:val="26"/>
        </w:rPr>
        <w:t xml:space="preserve">the </w:t>
      </w:r>
      <w:r w:rsidRPr="00957C6E" w:rsidR="00C22072">
        <w:rPr>
          <w:szCs w:val="26"/>
        </w:rPr>
        <w:t>premium owed in both contexts</w:t>
      </w:r>
      <w:r w:rsidRPr="00957C6E">
        <w:rPr>
          <w:szCs w:val="26"/>
        </w:rPr>
        <w:t xml:space="preserve">.  “While it may be difficult to assign a value to these noneconomic injuries [citation], </w:t>
      </w:r>
      <w:r w:rsidRPr="00957C6E" w:rsidR="001D37F3">
        <w:rPr>
          <w:szCs w:val="26"/>
        </w:rPr>
        <w:t xml:space="preserve">the </w:t>
      </w:r>
      <w:r w:rsidRPr="00957C6E" w:rsidR="00374276">
        <w:rPr>
          <w:szCs w:val="26"/>
        </w:rPr>
        <w:t>Legislature has selected an amount of compensation it deems appropriate</w:t>
      </w:r>
      <w:r w:rsidRPr="00957C6E" w:rsidR="00C22072">
        <w:rPr>
          <w:szCs w:val="26"/>
        </w:rPr>
        <w:t>.</w:t>
      </w:r>
      <w:r w:rsidRPr="00957C6E" w:rsidR="00374276">
        <w:rPr>
          <w:szCs w:val="26"/>
        </w:rPr>
        <w:t xml:space="preserve">”  </w:t>
      </w:r>
      <w:r w:rsidRPr="00957C6E" w:rsidR="006D659C">
        <w:rPr>
          <w:szCs w:val="26"/>
        </w:rPr>
        <w:t>(</w:t>
      </w:r>
      <w:r w:rsidRPr="00957C6E" w:rsidR="008850CA">
        <w:rPr>
          <w:i/>
          <w:iCs/>
          <w:szCs w:val="26"/>
        </w:rPr>
        <w:t>Murphy</w:t>
      </w:r>
      <w:r w:rsidRPr="00957C6E" w:rsidR="008850CA">
        <w:rPr>
          <w:szCs w:val="26"/>
        </w:rPr>
        <w:t>, at p. 1113</w:t>
      </w:r>
      <w:r w:rsidRPr="00957C6E" w:rsidR="008850CA">
        <w:t>.</w:t>
      </w:r>
      <w:r w:rsidRPr="00957C6E" w:rsidR="006D659C">
        <w:rPr>
          <w:szCs w:val="26"/>
        </w:rPr>
        <w:t>)</w:t>
      </w:r>
      <w:r w:rsidRPr="00957C6E" w:rsidR="00C17EB5">
        <w:rPr>
          <w:szCs w:val="26"/>
        </w:rPr>
        <w:t xml:space="preserve"> </w:t>
      </w:r>
    </w:p>
    <w:p w:rsidR="005616D8" w:rsidRPr="00957C6E" w:rsidP="00957C6E">
      <w:pPr>
        <w:ind w:firstLine="720"/>
        <w:rPr>
          <w:rStyle w:val="cohl"/>
        </w:rPr>
      </w:pPr>
      <w:r w:rsidRPr="00957C6E">
        <w:rPr>
          <w:rStyle w:val="cohl"/>
        </w:rPr>
        <w:t xml:space="preserve">Instead of furthering section 226.7(c)’s purpose, </w:t>
      </w:r>
      <w:r w:rsidRPr="00957C6E" w:rsidR="002400F4">
        <w:rPr>
          <w:rStyle w:val="cohl"/>
        </w:rPr>
        <w:t xml:space="preserve">construing </w:t>
      </w:r>
      <w:r w:rsidRPr="00957C6E" w:rsidR="006D659C">
        <w:rPr>
          <w:rStyle w:val="cohl"/>
        </w:rPr>
        <w:t xml:space="preserve">“regular rate of compensation” in the manner Loews urges would </w:t>
      </w:r>
      <w:r w:rsidRPr="00957C6E" w:rsidR="001156F6">
        <w:rPr>
          <w:rStyle w:val="cohl"/>
        </w:rPr>
        <w:t xml:space="preserve">produce consequences </w:t>
      </w:r>
      <w:r w:rsidRPr="00957C6E" w:rsidR="002400F4">
        <w:rPr>
          <w:rStyle w:val="cohl"/>
        </w:rPr>
        <w:t xml:space="preserve">that the Legislature likely did not intend.  To </w:t>
      </w:r>
      <w:r w:rsidRPr="00957C6E" w:rsidR="001156F6">
        <w:rPr>
          <w:rStyle w:val="cohl"/>
        </w:rPr>
        <w:t xml:space="preserve">adapt </w:t>
      </w:r>
      <w:r w:rsidRPr="00957C6E" w:rsidR="001B1D8E">
        <w:rPr>
          <w:rStyle w:val="cohl"/>
        </w:rPr>
        <w:t xml:space="preserve">an example from Ferra’s briefing, suppose </w:t>
      </w:r>
      <w:r w:rsidRPr="00957C6E" w:rsidR="00DE777C">
        <w:rPr>
          <w:rStyle w:val="cohl"/>
        </w:rPr>
        <w:t xml:space="preserve">Employees </w:t>
      </w:r>
      <w:r w:rsidRPr="00957C6E" w:rsidR="001B1D8E">
        <w:rPr>
          <w:rStyle w:val="cohl"/>
        </w:rPr>
        <w:t xml:space="preserve">A, B, and C </w:t>
      </w:r>
      <w:r w:rsidRPr="00957C6E" w:rsidR="00DE777C">
        <w:rPr>
          <w:rStyle w:val="cohl"/>
        </w:rPr>
        <w:t xml:space="preserve">each work for a chair manufacturer with a </w:t>
      </w:r>
      <w:r w:rsidRPr="00957C6E" w:rsidR="001B1D8E">
        <w:rPr>
          <w:rStyle w:val="cohl"/>
        </w:rPr>
        <w:t xml:space="preserve">different compensation scheme.  </w:t>
      </w:r>
      <w:r w:rsidRPr="00957C6E" w:rsidR="00DE777C">
        <w:rPr>
          <w:rStyle w:val="cohl"/>
        </w:rPr>
        <w:t>Employee</w:t>
      </w:r>
      <w:r w:rsidRPr="00957C6E" w:rsidR="001B1D8E">
        <w:rPr>
          <w:rStyle w:val="cohl"/>
        </w:rPr>
        <w:t xml:space="preserve"> A </w:t>
      </w:r>
      <w:r w:rsidRPr="00957C6E" w:rsidR="00DE777C">
        <w:rPr>
          <w:rStyle w:val="cohl"/>
        </w:rPr>
        <w:t>is paid</w:t>
      </w:r>
      <w:r w:rsidRPr="00957C6E" w:rsidR="001B1D8E">
        <w:rPr>
          <w:rStyle w:val="cohl"/>
        </w:rPr>
        <w:t xml:space="preserve"> a straight hourly rate of $25 per hour.  </w:t>
      </w:r>
      <w:r w:rsidRPr="00957C6E" w:rsidR="00DE777C">
        <w:rPr>
          <w:rStyle w:val="cohl"/>
        </w:rPr>
        <w:t xml:space="preserve">Employee </w:t>
      </w:r>
      <w:r w:rsidRPr="00957C6E" w:rsidR="001B1D8E">
        <w:rPr>
          <w:rStyle w:val="cohl"/>
        </w:rPr>
        <w:t xml:space="preserve">B </w:t>
      </w:r>
      <w:r w:rsidRPr="00957C6E" w:rsidR="00DE777C">
        <w:rPr>
          <w:rStyle w:val="cohl"/>
        </w:rPr>
        <w:t xml:space="preserve">is paid </w:t>
      </w:r>
      <w:r w:rsidRPr="00957C6E" w:rsidR="001B1D8E">
        <w:rPr>
          <w:rStyle w:val="cohl"/>
        </w:rPr>
        <w:t xml:space="preserve">$50 per chair, plus </w:t>
      </w:r>
      <w:r w:rsidRPr="00957C6E" w:rsidR="00DE777C">
        <w:rPr>
          <w:rStyle w:val="cohl"/>
        </w:rPr>
        <w:t xml:space="preserve">the </w:t>
      </w:r>
      <w:r w:rsidRPr="00957C6E" w:rsidR="001B1D8E">
        <w:rPr>
          <w:rStyle w:val="cohl"/>
        </w:rPr>
        <w:t>hourly rate for meal and rest periods required by law</w:t>
      </w:r>
      <w:r w:rsidRPr="00957C6E" w:rsidR="00DE777C">
        <w:rPr>
          <w:rStyle w:val="cohl"/>
        </w:rPr>
        <w:t xml:space="preserve"> (</w:t>
      </w:r>
      <w:r w:rsidRPr="00957C6E" w:rsidR="001156F6">
        <w:rPr>
          <w:rStyle w:val="cohl"/>
        </w:rPr>
        <w:t xml:space="preserve">and </w:t>
      </w:r>
      <w:r w:rsidRPr="00957C6E" w:rsidR="00DE777C">
        <w:rPr>
          <w:rStyle w:val="cohl"/>
        </w:rPr>
        <w:t>assume there is no other nonproductive time during the workday)</w:t>
      </w:r>
      <w:r w:rsidRPr="00957C6E" w:rsidR="001B1D8E">
        <w:rPr>
          <w:rStyle w:val="cohl"/>
        </w:rPr>
        <w:t>.  (</w:t>
      </w:r>
      <w:r w:rsidRPr="00957C6E" w:rsidR="00DE777C">
        <w:rPr>
          <w:rStyle w:val="cohl"/>
        </w:rPr>
        <w:t xml:space="preserve">See </w:t>
      </w:r>
      <w:r w:rsidRPr="00957C6E" w:rsidR="001B1D8E">
        <w:rPr>
          <w:rStyle w:val="cohl"/>
        </w:rPr>
        <w:t xml:space="preserve">§ 226.2 [governing piece-rate compensation].)  </w:t>
      </w:r>
      <w:r w:rsidRPr="00957C6E" w:rsidR="001156F6">
        <w:rPr>
          <w:rStyle w:val="cohl"/>
        </w:rPr>
        <w:t xml:space="preserve">And </w:t>
      </w:r>
      <w:r w:rsidRPr="00957C6E" w:rsidR="00DE777C">
        <w:rPr>
          <w:rStyle w:val="cohl"/>
        </w:rPr>
        <w:t>Employee C is paid $20 per hour, plus $10 per chair.  Suppose further that</w:t>
      </w:r>
      <w:r w:rsidRPr="00957C6E" w:rsidR="00D62EE4">
        <w:rPr>
          <w:rStyle w:val="cohl"/>
        </w:rPr>
        <w:t>,</w:t>
      </w:r>
      <w:r w:rsidRPr="00957C6E" w:rsidR="00DE777C">
        <w:rPr>
          <w:rStyle w:val="cohl"/>
        </w:rPr>
        <w:t xml:space="preserve"> </w:t>
      </w:r>
      <w:r w:rsidRPr="00957C6E" w:rsidR="001156F6">
        <w:rPr>
          <w:rStyle w:val="cohl"/>
        </w:rPr>
        <w:t xml:space="preserve">in a five-day workweek, each </w:t>
      </w:r>
      <w:r w:rsidRPr="00957C6E" w:rsidR="00DE777C">
        <w:rPr>
          <w:rStyle w:val="cohl"/>
        </w:rPr>
        <w:t>employee make</w:t>
      </w:r>
      <w:r w:rsidRPr="00957C6E" w:rsidR="001156F6">
        <w:rPr>
          <w:rStyle w:val="cohl"/>
        </w:rPr>
        <w:t>s</w:t>
      </w:r>
      <w:r w:rsidRPr="00957C6E" w:rsidR="00DE777C">
        <w:rPr>
          <w:rStyle w:val="cohl"/>
        </w:rPr>
        <w:t xml:space="preserve"> 20 chairs </w:t>
      </w:r>
      <w:r w:rsidRPr="00957C6E" w:rsidR="00233E2E">
        <w:rPr>
          <w:rStyle w:val="cohl"/>
        </w:rPr>
        <w:t xml:space="preserve">by </w:t>
      </w:r>
      <w:r w:rsidRPr="00957C6E" w:rsidR="00DE777C">
        <w:rPr>
          <w:rStyle w:val="cohl"/>
        </w:rPr>
        <w:t>working eight</w:t>
      </w:r>
      <w:r w:rsidRPr="00957C6E" w:rsidR="00233E2E">
        <w:rPr>
          <w:rStyle w:val="cohl"/>
        </w:rPr>
        <w:t xml:space="preserve"> </w:t>
      </w:r>
      <w:r w:rsidRPr="00957C6E" w:rsidR="00DE777C">
        <w:rPr>
          <w:rStyle w:val="cohl"/>
        </w:rPr>
        <w:t>hour</w:t>
      </w:r>
      <w:r w:rsidRPr="00957C6E" w:rsidR="00233E2E">
        <w:rPr>
          <w:rStyle w:val="cohl"/>
        </w:rPr>
        <w:t>s a</w:t>
      </w:r>
      <w:r w:rsidRPr="00957C6E" w:rsidR="00DE777C">
        <w:rPr>
          <w:rStyle w:val="cohl"/>
        </w:rPr>
        <w:t xml:space="preserve"> day (i.e., no overtime).</w:t>
      </w:r>
    </w:p>
    <w:p w:rsidR="007E16E4" w:rsidP="00566B40">
      <w:pPr>
        <w:ind w:firstLine="720"/>
        <w:rPr>
          <w:rStyle w:val="cohl"/>
        </w:rPr>
      </w:pPr>
      <w:r w:rsidRPr="00957C6E">
        <w:rPr>
          <w:rStyle w:val="cohl"/>
        </w:rPr>
        <w:t>I</w:t>
      </w:r>
      <w:r w:rsidRPr="00957C6E" w:rsidR="00DE777C">
        <w:rPr>
          <w:rStyle w:val="cohl"/>
        </w:rPr>
        <w:t xml:space="preserve">n one week, Employee A earns $1,000 ($25 per hour </w:t>
      </w:r>
      <w:r w:rsidRPr="00957C6E" w:rsidR="005F5D5A">
        <w:rPr>
          <w:rStyle w:val="cohl"/>
        </w:rPr>
        <w:t>multiplied by</w:t>
      </w:r>
      <w:r w:rsidRPr="00957C6E" w:rsidR="00DE777C">
        <w:rPr>
          <w:rStyle w:val="cohl"/>
        </w:rPr>
        <w:t xml:space="preserve"> 40 hours), as do Employee B ($50 per chair </w:t>
      </w:r>
      <w:r w:rsidRPr="00957C6E" w:rsidR="005F5D5A">
        <w:rPr>
          <w:rStyle w:val="cohl"/>
        </w:rPr>
        <w:t>multiplied by</w:t>
      </w:r>
      <w:r w:rsidRPr="00957C6E" w:rsidR="00233E2E">
        <w:rPr>
          <w:rStyle w:val="cohl"/>
        </w:rPr>
        <w:t xml:space="preserve"> 20 chairs) and Employee C ($20 per hour </w:t>
      </w:r>
      <w:r w:rsidRPr="00957C6E" w:rsidR="007E3C04">
        <w:rPr>
          <w:rStyle w:val="cohl"/>
        </w:rPr>
        <w:t>multiplied by</w:t>
      </w:r>
      <w:r w:rsidRPr="00957C6E" w:rsidR="00233E2E">
        <w:rPr>
          <w:rStyle w:val="cohl"/>
        </w:rPr>
        <w:t xml:space="preserve"> 40 hours</w:t>
      </w:r>
      <w:r w:rsidRPr="00957C6E" w:rsidR="001156F6">
        <w:rPr>
          <w:rStyle w:val="cohl"/>
        </w:rPr>
        <w:t xml:space="preserve">, plus </w:t>
      </w:r>
      <w:r w:rsidRPr="00957C6E" w:rsidR="00233E2E">
        <w:rPr>
          <w:rStyle w:val="cohl"/>
        </w:rPr>
        <w:t xml:space="preserve">$10 per chair </w:t>
      </w:r>
      <w:r w:rsidRPr="00957C6E" w:rsidR="005F5D5A">
        <w:rPr>
          <w:rStyle w:val="cohl"/>
        </w:rPr>
        <w:t>multiplied by</w:t>
      </w:r>
      <w:r w:rsidRPr="00957C6E" w:rsidR="00233E2E">
        <w:rPr>
          <w:rStyle w:val="cohl"/>
        </w:rPr>
        <w:t xml:space="preserve"> 20 chairs).  The hourly pay for each employee is $25 per hour</w:t>
      </w:r>
      <w:r w:rsidRPr="00957C6E" w:rsidR="001156F6">
        <w:rPr>
          <w:rStyle w:val="cohl"/>
        </w:rPr>
        <w:t xml:space="preserve"> ($1,000 </w:t>
      </w:r>
      <w:r w:rsidRPr="00957C6E" w:rsidR="006F7A82">
        <w:rPr>
          <w:rStyle w:val="cohl"/>
        </w:rPr>
        <w:t xml:space="preserve">divided by </w:t>
      </w:r>
      <w:r w:rsidRPr="00957C6E" w:rsidR="001156F6">
        <w:rPr>
          <w:rStyle w:val="cohl"/>
        </w:rPr>
        <w:t>40 hours)</w:t>
      </w:r>
      <w:r w:rsidRPr="00957C6E" w:rsidR="004C6DFC">
        <w:rPr>
          <w:rStyle w:val="cohl"/>
        </w:rPr>
        <w:t xml:space="preserve">.  There is no dispute </w:t>
      </w:r>
      <w:r w:rsidRPr="00957C6E" w:rsidR="006F7A82">
        <w:rPr>
          <w:rStyle w:val="cohl"/>
        </w:rPr>
        <w:t xml:space="preserve">that </w:t>
      </w:r>
      <w:r w:rsidRPr="00957C6E" w:rsidR="00233E2E">
        <w:rPr>
          <w:rStyle w:val="cohl"/>
        </w:rPr>
        <w:t xml:space="preserve">$25 per hour </w:t>
      </w:r>
      <w:r w:rsidRPr="00957C6E" w:rsidR="006F7A82">
        <w:rPr>
          <w:rStyle w:val="cohl"/>
        </w:rPr>
        <w:t xml:space="preserve">is the </w:t>
      </w:r>
      <w:r w:rsidRPr="00957C6E" w:rsidR="00233E2E">
        <w:rPr>
          <w:rStyle w:val="cohl"/>
        </w:rPr>
        <w:t xml:space="preserve">“regular rate of compensation” for purposes of </w:t>
      </w:r>
      <w:r w:rsidRPr="00957C6E" w:rsidR="006F7A82">
        <w:rPr>
          <w:rStyle w:val="cohl"/>
        </w:rPr>
        <w:t xml:space="preserve">calculating </w:t>
      </w:r>
      <w:r w:rsidRPr="00957C6E" w:rsidR="001156F6">
        <w:rPr>
          <w:rStyle w:val="cohl"/>
        </w:rPr>
        <w:t xml:space="preserve">meal or rest break </w:t>
      </w:r>
      <w:r w:rsidRPr="00957C6E" w:rsidR="00233E2E">
        <w:rPr>
          <w:rStyle w:val="cohl"/>
        </w:rPr>
        <w:t>premium pay</w:t>
      </w:r>
      <w:r w:rsidRPr="00957C6E" w:rsidR="006F7A82">
        <w:rPr>
          <w:rStyle w:val="cohl"/>
        </w:rPr>
        <w:t xml:space="preserve"> for </w:t>
      </w:r>
      <w:r w:rsidRPr="00957C6E" w:rsidR="004C6DFC">
        <w:rPr>
          <w:rStyle w:val="cohl"/>
        </w:rPr>
        <w:t>Employees A and B.</w:t>
      </w:r>
      <w:r w:rsidRPr="00957C6E" w:rsidR="006838A9">
        <w:rPr>
          <w:rStyle w:val="cohl"/>
        </w:rPr>
        <w:t xml:space="preserve">  (</w:t>
      </w:r>
      <w:r w:rsidRPr="00957C6E" w:rsidR="00CA78A4">
        <w:rPr>
          <w:rStyle w:val="cohl"/>
        </w:rPr>
        <w:t>See</w:t>
      </w:r>
      <w:r w:rsidRPr="00957C6E" w:rsidR="00DD7A77">
        <w:rPr>
          <w:rStyle w:val="cohl"/>
        </w:rPr>
        <w:t xml:space="preserve"> 2002</w:t>
      </w:r>
      <w:r w:rsidRPr="00957C6E" w:rsidR="006838A9">
        <w:rPr>
          <w:rStyle w:val="cohl"/>
        </w:rPr>
        <w:t xml:space="preserve"> DLSE Manual</w:t>
      </w:r>
      <w:r w:rsidRPr="00936349" w:rsidR="00DD7A77">
        <w:rPr>
          <w:rStyle w:val="cohl"/>
          <w:i/>
          <w:iCs/>
        </w:rPr>
        <w:t>,</w:t>
      </w:r>
      <w:r w:rsidR="007E2741">
        <w:rPr>
          <w:rStyle w:val="cohl"/>
        </w:rPr>
        <w:t xml:space="preserve"> </w:t>
      </w:r>
      <w:r w:rsidR="007E2741">
        <w:rPr>
          <w:rStyle w:val="cohl"/>
          <w:i/>
          <w:iCs/>
        </w:rPr>
        <w:t>supra</w:t>
      </w:r>
      <w:r w:rsidR="007E2741">
        <w:rPr>
          <w:rStyle w:val="cohl"/>
        </w:rPr>
        <w:t>, at</w:t>
      </w:r>
      <w:r w:rsidRPr="00957C6E" w:rsidR="006838A9">
        <w:rPr>
          <w:rStyle w:val="cohl"/>
        </w:rPr>
        <w:t xml:space="preserve"> p. 49</w:t>
      </w:r>
      <w:r w:rsidR="00902D22">
        <w:t>-</w:t>
      </w:r>
      <w:r w:rsidRPr="00957C6E" w:rsidR="006838A9">
        <w:rPr>
          <w:rStyle w:val="cohl"/>
        </w:rPr>
        <w:t xml:space="preserve">6.) </w:t>
      </w:r>
      <w:r w:rsidRPr="00957C6E" w:rsidR="004C6DFC">
        <w:rPr>
          <w:rStyle w:val="cohl"/>
        </w:rPr>
        <w:t xml:space="preserve"> But under </w:t>
      </w:r>
      <w:r w:rsidRPr="00957C6E" w:rsidR="001156F6">
        <w:rPr>
          <w:rStyle w:val="cohl"/>
        </w:rPr>
        <w:t>Loews</w:t>
      </w:r>
      <w:r w:rsidRPr="00957C6E" w:rsidR="006F7A82">
        <w:rPr>
          <w:rStyle w:val="cohl"/>
        </w:rPr>
        <w:t>’s position</w:t>
      </w:r>
      <w:r w:rsidRPr="00957C6E" w:rsidR="004C6DFC">
        <w:rPr>
          <w:rStyle w:val="cohl"/>
        </w:rPr>
        <w:t>,</w:t>
      </w:r>
      <w:r w:rsidRPr="00957C6E" w:rsidR="006F7A82">
        <w:rPr>
          <w:rStyle w:val="cohl"/>
        </w:rPr>
        <w:t xml:space="preserve"> the “regular rate of compensation” for Employee C is only </w:t>
      </w:r>
      <w:r w:rsidRPr="00957C6E">
        <w:rPr>
          <w:rStyle w:val="cohl"/>
        </w:rPr>
        <w:t>the base hourly rate of $20 per hour</w:t>
      </w:r>
      <w:r w:rsidRPr="00957C6E" w:rsidR="006F7A82">
        <w:rPr>
          <w:rStyle w:val="cohl"/>
        </w:rPr>
        <w:t xml:space="preserve">.  </w:t>
      </w:r>
    </w:p>
    <w:p w:rsidR="006F4C9A" w:rsidRPr="009C1DAC">
      <w:pPr>
        <w:ind w:firstLine="720"/>
        <w:rPr>
          <w:rStyle w:val="cohl"/>
        </w:rPr>
      </w:pPr>
      <w:r w:rsidRPr="00957C6E">
        <w:rPr>
          <w:rStyle w:val="cohl"/>
        </w:rPr>
        <w:t xml:space="preserve">We see no reason why the Legislature </w:t>
      </w:r>
      <w:r w:rsidRPr="00957C6E" w:rsidR="004C6DFC">
        <w:rPr>
          <w:rStyle w:val="cohl"/>
        </w:rPr>
        <w:t xml:space="preserve">or IWC </w:t>
      </w:r>
      <w:r w:rsidRPr="00957C6E">
        <w:rPr>
          <w:rStyle w:val="cohl"/>
        </w:rPr>
        <w:t xml:space="preserve">would have singled out workers like Employee C, who receive both hourly wages and </w:t>
      </w:r>
      <w:r w:rsidRPr="00957C6E" w:rsidR="005F351F">
        <w:rPr>
          <w:rStyle w:val="cohl"/>
        </w:rPr>
        <w:t xml:space="preserve">other </w:t>
      </w:r>
      <w:r w:rsidRPr="00957C6E">
        <w:rPr>
          <w:rStyle w:val="cohl"/>
        </w:rPr>
        <w:t xml:space="preserve">nondiscretionary </w:t>
      </w:r>
      <w:r w:rsidRPr="00957C6E" w:rsidR="005616D8">
        <w:rPr>
          <w:rStyle w:val="cohl"/>
        </w:rPr>
        <w:t>payments</w:t>
      </w:r>
      <w:r w:rsidRPr="00957C6E">
        <w:rPr>
          <w:rStyle w:val="cohl"/>
        </w:rPr>
        <w:t xml:space="preserve">, for </w:t>
      </w:r>
      <w:r w:rsidRPr="00957C6E" w:rsidR="005616D8">
        <w:rPr>
          <w:rStyle w:val="cohl"/>
        </w:rPr>
        <w:t>such disadvantage</w:t>
      </w:r>
      <w:r w:rsidRPr="00957C6E" w:rsidR="000D41E1">
        <w:rPr>
          <w:rStyle w:val="cohl"/>
        </w:rPr>
        <w:t xml:space="preserve"> instead of requiring premium pay in accordance with </w:t>
      </w:r>
      <w:r w:rsidRPr="00957C6E" w:rsidR="006A5134">
        <w:rPr>
          <w:rStyle w:val="cohl"/>
        </w:rPr>
        <w:t xml:space="preserve">the total </w:t>
      </w:r>
      <w:r w:rsidRPr="00957C6E" w:rsidR="0056348E">
        <w:rPr>
          <w:rStyle w:val="cohl"/>
        </w:rPr>
        <w:t xml:space="preserve">nondiscretionary </w:t>
      </w:r>
      <w:r w:rsidRPr="00957C6E" w:rsidR="006A5134">
        <w:rPr>
          <w:rStyle w:val="cohl"/>
        </w:rPr>
        <w:t>payments earned by each employee</w:t>
      </w:r>
      <w:r w:rsidRPr="00957C6E" w:rsidR="000D41E1">
        <w:rPr>
          <w:rStyle w:val="cohl"/>
        </w:rPr>
        <w:t>.</w:t>
      </w:r>
      <w:r w:rsidR="008A63B1">
        <w:rPr>
          <w:rStyle w:val="cohl"/>
        </w:rPr>
        <w:t xml:space="preserve">  Were we to adopt Loews’s </w:t>
      </w:r>
      <w:r w:rsidR="007A3A22">
        <w:rPr>
          <w:rStyle w:val="cohl"/>
        </w:rPr>
        <w:t>interpretation,</w:t>
      </w:r>
      <w:r w:rsidR="00C91A93">
        <w:rPr>
          <w:rStyle w:val="cohl"/>
        </w:rPr>
        <w:t xml:space="preserve"> employers would be incentivized to minimize employees’ base hourly rates and shift pay elsewhere, thereby harming employees who are paid in some form other than a base hourly rate.  Loews’s interpretation thus undercuts </w:t>
      </w:r>
      <w:r w:rsidR="00B92E5F">
        <w:rPr>
          <w:rStyle w:val="cohl"/>
        </w:rPr>
        <w:t>one of section 226.7’s functions:  “shaping employer conduct” to comply with labor standards.</w:t>
      </w:r>
      <w:r w:rsidR="0068794B">
        <w:rPr>
          <w:rStyle w:val="cohl"/>
        </w:rPr>
        <w:t xml:space="preserve">  </w:t>
      </w:r>
      <w:r w:rsidR="009C1DAC">
        <w:rPr>
          <w:rStyle w:val="cohl"/>
        </w:rPr>
        <w:t>(</w:t>
      </w:r>
      <w:r w:rsidRPr="000275F0" w:rsidR="009C1DAC">
        <w:rPr>
          <w:rStyle w:val="cohl"/>
          <w:i/>
          <w:iCs/>
        </w:rPr>
        <w:t>Murphy</w:t>
      </w:r>
      <w:r w:rsidR="009C1DAC">
        <w:rPr>
          <w:rStyle w:val="cohl"/>
        </w:rPr>
        <w:t xml:space="preserve">, </w:t>
      </w:r>
      <w:r w:rsidRPr="000275F0" w:rsidR="009C1DAC">
        <w:rPr>
          <w:rStyle w:val="cohl"/>
          <w:i/>
          <w:iCs/>
        </w:rPr>
        <w:t>supra</w:t>
      </w:r>
      <w:r w:rsidR="009C1DAC">
        <w:rPr>
          <w:rStyle w:val="cohl"/>
        </w:rPr>
        <w:t xml:space="preserve">, 40 Cal.4th at p. 1109; see </w:t>
      </w:r>
      <w:r w:rsidR="009C1DAC">
        <w:rPr>
          <w:rStyle w:val="cohl"/>
          <w:i/>
          <w:iCs/>
        </w:rPr>
        <w:t>id</w:t>
      </w:r>
      <w:r w:rsidRPr="0018716B" w:rsidR="009C1DAC">
        <w:rPr>
          <w:rStyle w:val="cohl"/>
          <w:i/>
        </w:rPr>
        <w:t>.</w:t>
      </w:r>
      <w:r w:rsidR="009C1DAC">
        <w:rPr>
          <w:rStyle w:val="cohl"/>
        </w:rPr>
        <w:t xml:space="preserve"> at p. 1110 [“The IWC intended that, like overtime pay provisions, payment for missed meal and rest periods be enacted as a premium wage to compensate employees, while also acting as an incentive for employers to comply with labor standards.”].)</w:t>
      </w:r>
    </w:p>
    <w:p w:rsidR="002B17AB">
      <w:pPr>
        <w:ind w:firstLine="720"/>
        <w:rPr>
          <w:rStyle w:val="cohl"/>
        </w:rPr>
      </w:pPr>
      <w:r>
        <w:rPr>
          <w:rStyle w:val="cohl"/>
        </w:rPr>
        <w:t>A</w:t>
      </w:r>
      <w:r w:rsidR="00902D22">
        <w:rPr>
          <w:rStyle w:val="cohl"/>
        </w:rPr>
        <w:t xml:space="preserve">ssembly </w:t>
      </w:r>
      <w:r>
        <w:rPr>
          <w:rStyle w:val="cohl"/>
        </w:rPr>
        <w:t>B</w:t>
      </w:r>
      <w:r w:rsidR="00902D22">
        <w:rPr>
          <w:rStyle w:val="cohl"/>
        </w:rPr>
        <w:t>ill</w:t>
      </w:r>
      <w:r>
        <w:rPr>
          <w:rStyle w:val="cohl"/>
        </w:rPr>
        <w:t xml:space="preserve"> 2509’s legislative history </w:t>
      </w:r>
      <w:r w:rsidR="0068454A">
        <w:rPr>
          <w:rStyle w:val="cohl"/>
        </w:rPr>
        <w:t xml:space="preserve">also </w:t>
      </w:r>
      <w:r>
        <w:rPr>
          <w:rStyle w:val="cohl"/>
        </w:rPr>
        <w:t>weigh</w:t>
      </w:r>
      <w:r w:rsidR="0068454A">
        <w:rPr>
          <w:rStyle w:val="cohl"/>
        </w:rPr>
        <w:t>s</w:t>
      </w:r>
      <w:r>
        <w:rPr>
          <w:rStyle w:val="cohl"/>
        </w:rPr>
        <w:t xml:space="preserve"> against Loews’s reading.</w:t>
      </w:r>
      <w:r w:rsidR="005C5FC5">
        <w:rPr>
          <w:rStyle w:val="cohl"/>
        </w:rPr>
        <w:t xml:space="preserve">  </w:t>
      </w:r>
      <w:r w:rsidR="0014424B">
        <w:rPr>
          <w:rStyle w:val="cohl"/>
        </w:rPr>
        <w:t xml:space="preserve">As noted, </w:t>
      </w:r>
      <w:r>
        <w:rPr>
          <w:rStyle w:val="cohl"/>
        </w:rPr>
        <w:t>A</w:t>
      </w:r>
      <w:r w:rsidR="00902D22">
        <w:rPr>
          <w:rStyle w:val="cohl"/>
        </w:rPr>
        <w:t xml:space="preserve">ssembly </w:t>
      </w:r>
      <w:r>
        <w:rPr>
          <w:rStyle w:val="cohl"/>
        </w:rPr>
        <w:t>B</w:t>
      </w:r>
      <w:r w:rsidR="00902D22">
        <w:rPr>
          <w:rStyle w:val="cohl"/>
        </w:rPr>
        <w:t>ill</w:t>
      </w:r>
      <w:r>
        <w:rPr>
          <w:rStyle w:val="cohl"/>
        </w:rPr>
        <w:t xml:space="preserve"> 2509 </w:t>
      </w:r>
      <w:r w:rsidR="0068454A">
        <w:rPr>
          <w:rStyle w:val="cohl"/>
        </w:rPr>
        <w:t xml:space="preserve">originally </w:t>
      </w:r>
      <w:r>
        <w:rPr>
          <w:rStyle w:val="cohl"/>
        </w:rPr>
        <w:t xml:space="preserve">included differentiated remedies for piece-rate workers and hourly workers.  </w:t>
      </w:r>
      <w:r w:rsidRPr="00644688">
        <w:rPr>
          <w:rStyle w:val="cohl"/>
        </w:rPr>
        <w:t>(</w:t>
      </w:r>
      <w:r w:rsidRPr="000275F0" w:rsidR="008A6236">
        <w:rPr>
          <w:rStyle w:val="cohl"/>
          <w:i/>
          <w:iCs/>
        </w:rPr>
        <w:t>Ante</w:t>
      </w:r>
      <w:r w:rsidR="008A6236">
        <w:rPr>
          <w:rStyle w:val="cohl"/>
        </w:rPr>
        <w:t>, at p. 14.</w:t>
      </w:r>
      <w:r w:rsidR="002C6BED">
        <w:rPr>
          <w:rStyle w:val="cohl"/>
        </w:rPr>
        <w:t xml:space="preserve">)  </w:t>
      </w:r>
      <w:r>
        <w:rPr>
          <w:rStyle w:val="cohl"/>
        </w:rPr>
        <w:t>But these were replaced with one remedy for all workers:  an hour of pay at the “regular rate of compensation,” whatever the underlying basis of their compensation.</w:t>
      </w:r>
      <w:r w:rsidR="002C6BED">
        <w:rPr>
          <w:rStyle w:val="cohl"/>
        </w:rPr>
        <w:t xml:space="preserve">  (</w:t>
      </w:r>
      <w:r w:rsidRPr="000275F0" w:rsidR="002C6BED">
        <w:rPr>
          <w:rStyle w:val="cohl"/>
          <w:i/>
          <w:iCs/>
        </w:rPr>
        <w:t>Ante</w:t>
      </w:r>
      <w:r w:rsidR="002C6BED">
        <w:rPr>
          <w:rStyle w:val="cohl"/>
        </w:rPr>
        <w:t>, at p</w:t>
      </w:r>
      <w:r w:rsidR="005C28C1">
        <w:rPr>
          <w:rStyle w:val="cohl"/>
        </w:rPr>
        <w:t>p</w:t>
      </w:r>
      <w:r w:rsidR="002C6BED">
        <w:rPr>
          <w:rStyle w:val="cohl"/>
        </w:rPr>
        <w:t>. </w:t>
      </w:r>
      <w:r w:rsidR="005C28C1">
        <w:rPr>
          <w:rStyle w:val="cohl"/>
        </w:rPr>
        <w:t>14–</w:t>
      </w:r>
      <w:r w:rsidR="002C6BED">
        <w:rPr>
          <w:rStyle w:val="cohl"/>
        </w:rPr>
        <w:t xml:space="preserve">15.)  </w:t>
      </w:r>
      <w:r>
        <w:rPr>
          <w:rStyle w:val="cohl"/>
        </w:rPr>
        <w:t xml:space="preserve">This early </w:t>
      </w:r>
      <w:r w:rsidR="008C3022">
        <w:rPr>
          <w:rStyle w:val="cohl"/>
        </w:rPr>
        <w:t>iteration</w:t>
      </w:r>
      <w:r>
        <w:rPr>
          <w:rStyle w:val="cohl"/>
        </w:rPr>
        <w:t xml:space="preserve"> of A</w:t>
      </w:r>
      <w:r w:rsidR="00902D22">
        <w:rPr>
          <w:rStyle w:val="cohl"/>
        </w:rPr>
        <w:t xml:space="preserve">ssembly </w:t>
      </w:r>
      <w:r>
        <w:rPr>
          <w:rStyle w:val="cohl"/>
        </w:rPr>
        <w:t>B</w:t>
      </w:r>
      <w:r w:rsidR="00902D22">
        <w:rPr>
          <w:rStyle w:val="cohl"/>
        </w:rPr>
        <w:t>ill</w:t>
      </w:r>
      <w:r>
        <w:rPr>
          <w:rStyle w:val="cohl"/>
        </w:rPr>
        <w:t xml:space="preserve"> 2509 shows that the Legislature was </w:t>
      </w:r>
      <w:r w:rsidR="0068454A">
        <w:rPr>
          <w:rStyle w:val="cohl"/>
        </w:rPr>
        <w:t xml:space="preserve">equally </w:t>
      </w:r>
      <w:r w:rsidR="00C43F1D">
        <w:rPr>
          <w:rStyle w:val="cohl"/>
        </w:rPr>
        <w:t xml:space="preserve">concerned with protecting piece-rate workers </w:t>
      </w:r>
      <w:r w:rsidR="0068454A">
        <w:rPr>
          <w:rStyle w:val="cohl"/>
        </w:rPr>
        <w:t xml:space="preserve">and </w:t>
      </w:r>
      <w:r w:rsidR="00C43F1D">
        <w:rPr>
          <w:rStyle w:val="cohl"/>
        </w:rPr>
        <w:t>hourly workers</w:t>
      </w:r>
      <w:r w:rsidR="00B16F36">
        <w:rPr>
          <w:rStyle w:val="cohl"/>
        </w:rPr>
        <w:t xml:space="preserve">, and it supports an </w:t>
      </w:r>
      <w:r w:rsidR="00C43F1D">
        <w:rPr>
          <w:rStyle w:val="cohl"/>
        </w:rPr>
        <w:t>infer</w:t>
      </w:r>
      <w:r w:rsidR="00B16F36">
        <w:rPr>
          <w:rStyle w:val="cohl"/>
        </w:rPr>
        <w:t>ence</w:t>
      </w:r>
      <w:r w:rsidR="00C43F1D">
        <w:rPr>
          <w:rStyle w:val="cohl"/>
        </w:rPr>
        <w:t xml:space="preserve"> that the Legislature </w:t>
      </w:r>
      <w:r w:rsidR="00B16F36">
        <w:rPr>
          <w:rStyle w:val="cohl"/>
        </w:rPr>
        <w:t xml:space="preserve">believed </w:t>
      </w:r>
      <w:r w:rsidR="00C43F1D">
        <w:rPr>
          <w:rStyle w:val="cohl"/>
        </w:rPr>
        <w:t xml:space="preserve">the </w:t>
      </w:r>
      <w:r w:rsidR="0014424B">
        <w:rPr>
          <w:rStyle w:val="cohl"/>
        </w:rPr>
        <w:t xml:space="preserve">language it ultimately </w:t>
      </w:r>
      <w:r w:rsidR="00B16F36">
        <w:rPr>
          <w:rStyle w:val="cohl"/>
        </w:rPr>
        <w:t>adopted</w:t>
      </w:r>
      <w:r w:rsidR="0008140C">
        <w:rPr>
          <w:rStyle w:val="cohl"/>
        </w:rPr>
        <w:t> </w:t>
      </w:r>
      <w:r w:rsidR="0014424B">
        <w:rPr>
          <w:rStyle w:val="cohl"/>
        </w:rPr>
        <w:t>—</w:t>
      </w:r>
      <w:r w:rsidR="00B16F36">
        <w:rPr>
          <w:rStyle w:val="cohl"/>
        </w:rPr>
        <w:t xml:space="preserve"> </w:t>
      </w:r>
      <w:r w:rsidR="0014424B">
        <w:rPr>
          <w:rStyle w:val="cohl"/>
        </w:rPr>
        <w:t>“regular</w:t>
      </w:r>
      <w:r w:rsidR="00B16F36">
        <w:rPr>
          <w:rStyle w:val="cohl"/>
        </w:rPr>
        <w:t xml:space="preserve"> </w:t>
      </w:r>
      <w:r w:rsidR="0014424B">
        <w:rPr>
          <w:rStyle w:val="cohl"/>
        </w:rPr>
        <w:t>rate of compensation”</w:t>
      </w:r>
      <w:r w:rsidR="00C43F1D">
        <w:rPr>
          <w:rStyle w:val="cohl"/>
        </w:rPr>
        <w:t> </w:t>
      </w:r>
      <w:r w:rsidR="0014424B">
        <w:rPr>
          <w:rStyle w:val="cohl"/>
        </w:rPr>
        <w:t>—</w:t>
      </w:r>
      <w:r w:rsidR="00A71F27">
        <w:rPr>
          <w:rStyle w:val="cohl"/>
        </w:rPr>
        <w:t xml:space="preserve"> </w:t>
      </w:r>
      <w:r w:rsidR="0014424B">
        <w:rPr>
          <w:rStyle w:val="cohl"/>
        </w:rPr>
        <w:t xml:space="preserve">would protect workers </w:t>
      </w:r>
      <w:r w:rsidR="001423FC">
        <w:rPr>
          <w:rStyle w:val="cohl"/>
        </w:rPr>
        <w:t>equally</w:t>
      </w:r>
      <w:r w:rsidR="00B16F36">
        <w:rPr>
          <w:rStyle w:val="cohl"/>
        </w:rPr>
        <w:t>, regardless of how their compensation is structured</w:t>
      </w:r>
      <w:r w:rsidR="001423FC">
        <w:rPr>
          <w:rStyle w:val="cohl"/>
        </w:rPr>
        <w:t>.</w:t>
      </w:r>
    </w:p>
    <w:p w:rsidR="00714A72" w:rsidRPr="00957C6E">
      <w:pPr>
        <w:ind w:firstLine="720"/>
        <w:rPr>
          <w:rStyle w:val="cohl"/>
        </w:rPr>
      </w:pPr>
      <w:r w:rsidRPr="00957C6E">
        <w:rPr>
          <w:rStyle w:val="cohl"/>
        </w:rPr>
        <w:t xml:space="preserve">In sum, </w:t>
      </w:r>
      <w:r w:rsidRPr="00957C6E" w:rsidR="00C17EB5">
        <w:rPr>
          <w:rStyle w:val="cohl"/>
        </w:rPr>
        <w:t xml:space="preserve">we hold that the term “regular rate of compensation” in section 226.7(c) has the same meaning as “regular rate of pay” in section 510(a) and </w:t>
      </w:r>
      <w:r w:rsidRPr="00957C6E" w:rsidR="00CA78A4">
        <w:rPr>
          <w:rStyle w:val="cohl"/>
        </w:rPr>
        <w:t>encompasses</w:t>
      </w:r>
      <w:r w:rsidRPr="00957C6E" w:rsidR="00177B54">
        <w:rPr>
          <w:rStyle w:val="cohl"/>
        </w:rPr>
        <w:t xml:space="preserve"> not only hourly wages but all nondiscretionary payments for work performed by the employee.</w:t>
      </w:r>
      <w:r w:rsidRPr="00957C6E" w:rsidR="00246F87">
        <w:rPr>
          <w:rStyle w:val="cohl"/>
        </w:rPr>
        <w:t xml:space="preserve">  This interpretation of section 226.7(c) comports with </w:t>
      </w:r>
      <w:r w:rsidRPr="00957C6E" w:rsidR="00061493">
        <w:rPr>
          <w:rStyle w:val="cohl"/>
        </w:rPr>
        <w:t>the remedial purpose of the Labor Code and wage orders</w:t>
      </w:r>
      <w:r w:rsidRPr="00957C6E" w:rsidR="00246F87">
        <w:rPr>
          <w:rStyle w:val="cohl"/>
        </w:rPr>
        <w:t xml:space="preserve"> and with our general guidance that </w:t>
      </w:r>
      <w:r w:rsidRPr="00957C6E" w:rsidR="00BF731D">
        <w:rPr>
          <w:rStyle w:val="cohl"/>
        </w:rPr>
        <w:t xml:space="preserve">the </w:t>
      </w:r>
      <w:r w:rsidRPr="00957C6E" w:rsidR="00F33B28">
        <w:rPr>
          <w:rStyle w:val="cohl"/>
        </w:rPr>
        <w:t>“state’s labor laws are to be liberally construed in favor of worker protection</w:t>
      </w:r>
      <w:r w:rsidRPr="00957C6E" w:rsidR="00246F87">
        <w:rPr>
          <w:rStyle w:val="cohl"/>
        </w:rPr>
        <w:t>.</w:t>
      </w:r>
      <w:r w:rsidRPr="00957C6E" w:rsidR="00E712A5">
        <w:rPr>
          <w:rStyle w:val="cohl"/>
        </w:rPr>
        <w:t xml:space="preserve">” </w:t>
      </w:r>
      <w:r w:rsidRPr="00957C6E" w:rsidR="00246F87">
        <w:rPr>
          <w:rStyle w:val="cohl"/>
        </w:rPr>
        <w:t xml:space="preserve"> </w:t>
      </w:r>
      <w:r w:rsidRPr="00957C6E" w:rsidR="00E712A5">
        <w:rPr>
          <w:rStyle w:val="cohl"/>
        </w:rPr>
        <w:t>(</w:t>
      </w:r>
      <w:r w:rsidRPr="00957C6E" w:rsidR="00E712A5">
        <w:rPr>
          <w:rStyle w:val="cohl"/>
          <w:i/>
          <w:iCs/>
        </w:rPr>
        <w:t>Alvarado</w:t>
      </w:r>
      <w:r w:rsidRPr="00957C6E" w:rsidR="00E712A5">
        <w:rPr>
          <w:rStyle w:val="cohl"/>
        </w:rPr>
        <w:t xml:space="preserve">, </w:t>
      </w:r>
      <w:r w:rsidRPr="00957C6E" w:rsidR="00E712A5">
        <w:rPr>
          <w:rStyle w:val="cohl"/>
          <w:i/>
          <w:iCs/>
        </w:rPr>
        <w:t>supra</w:t>
      </w:r>
      <w:r w:rsidRPr="00957C6E" w:rsidR="00E712A5">
        <w:rPr>
          <w:rStyle w:val="cohl"/>
        </w:rPr>
        <w:t>, 4 Cal.5th at p. 562</w:t>
      </w:r>
      <w:r w:rsidRPr="00957C6E" w:rsidR="00246F87">
        <w:rPr>
          <w:rStyle w:val="cohl"/>
        </w:rPr>
        <w:t>.</w:t>
      </w:r>
      <w:r w:rsidRPr="00957C6E" w:rsidR="00E712A5">
        <w:rPr>
          <w:rStyle w:val="cohl"/>
        </w:rPr>
        <w:t>)</w:t>
      </w:r>
    </w:p>
    <w:p w:rsidR="00AA102E" w:rsidRPr="00957C6E" w:rsidP="000275F0">
      <w:pPr>
        <w:keepNext/>
        <w:tabs>
          <w:tab w:val="left" w:pos="1440"/>
        </w:tabs>
        <w:jc w:val="center"/>
        <w:rPr>
          <w:rStyle w:val="cohl"/>
          <w:b/>
          <w:bCs/>
        </w:rPr>
      </w:pPr>
      <w:r w:rsidRPr="00957C6E">
        <w:rPr>
          <w:b/>
          <w:bCs/>
        </w:rPr>
        <w:t>III.</w:t>
      </w:r>
    </w:p>
    <w:p w:rsidR="00980D47" w:rsidRPr="00957C6E" w:rsidP="00957C6E">
      <w:pPr>
        <w:ind w:firstLine="720"/>
        <w:rPr>
          <w:rStyle w:val="cohl"/>
        </w:rPr>
      </w:pPr>
      <w:r w:rsidRPr="00957C6E">
        <w:rPr>
          <w:rStyle w:val="cohl"/>
        </w:rPr>
        <w:t xml:space="preserve">Finally, Loews argues that our decision today should apply </w:t>
      </w:r>
      <w:r w:rsidRPr="00957C6E" w:rsidR="009964E6">
        <w:rPr>
          <w:rStyle w:val="cohl"/>
        </w:rPr>
        <w:t>only prospectively</w:t>
      </w:r>
      <w:r w:rsidRPr="00957C6E">
        <w:rPr>
          <w:rStyle w:val="cohl"/>
        </w:rPr>
        <w:t>.</w:t>
      </w:r>
      <w:r w:rsidRPr="00957C6E" w:rsidR="00A95280">
        <w:rPr>
          <w:rStyle w:val="cohl"/>
        </w:rPr>
        <w:t xml:space="preserve">  </w:t>
      </w:r>
      <w:r w:rsidR="005F4001">
        <w:rPr>
          <w:rStyle w:val="cohl"/>
        </w:rPr>
        <w:t xml:space="preserve">But </w:t>
      </w:r>
      <w:r w:rsidRPr="00957C6E" w:rsidR="00A669D3">
        <w:rPr>
          <w:rStyle w:val="cohl"/>
        </w:rPr>
        <w:t>no considerations o</w:t>
      </w:r>
      <w:r w:rsidR="005F4001">
        <w:rPr>
          <w:rStyle w:val="cohl"/>
        </w:rPr>
        <w:t>f</w:t>
      </w:r>
      <w:r w:rsidRPr="00957C6E" w:rsidR="00A669D3">
        <w:rPr>
          <w:rStyle w:val="cohl"/>
        </w:rPr>
        <w:t xml:space="preserve"> fairness or public policy warrant</w:t>
      </w:r>
      <w:r w:rsidRPr="00957C6E" w:rsidR="004F2B23">
        <w:rPr>
          <w:rStyle w:val="cohl"/>
        </w:rPr>
        <w:t xml:space="preserve"> </w:t>
      </w:r>
      <w:r w:rsidR="005F4001">
        <w:rPr>
          <w:rStyle w:val="cohl"/>
        </w:rPr>
        <w:t xml:space="preserve">such a </w:t>
      </w:r>
      <w:r w:rsidRPr="00957C6E" w:rsidR="004F2B23">
        <w:rPr>
          <w:rStyle w:val="cohl"/>
        </w:rPr>
        <w:t>holding</w:t>
      </w:r>
      <w:r w:rsidR="00A96559">
        <w:rPr>
          <w:rStyle w:val="cohl"/>
        </w:rPr>
        <w:t>.</w:t>
      </w:r>
    </w:p>
    <w:p w:rsidR="00750803" w:rsidRPr="00957C6E">
      <w:pPr>
        <w:ind w:firstLine="720"/>
        <w:rPr>
          <w:rStyle w:val="cohl"/>
        </w:rPr>
      </w:pPr>
      <w:r w:rsidRPr="00957C6E">
        <w:rPr>
          <w:rStyle w:val="cohl"/>
        </w:rPr>
        <w:t xml:space="preserve">In general, judicial decisions apply retroactively.  </w:t>
      </w:r>
      <w:r w:rsidRPr="00957C6E" w:rsidR="00A86337">
        <w:rPr>
          <w:rStyle w:val="cohl"/>
        </w:rPr>
        <w:t>(</w:t>
      </w:r>
      <w:r w:rsidRPr="00957C6E" w:rsidR="00A86337">
        <w:rPr>
          <w:rStyle w:val="cohl"/>
          <w:i/>
          <w:iCs/>
        </w:rPr>
        <w:t>Vazquez v. Jan-Pro Franchising International, Inc.</w:t>
      </w:r>
      <w:r w:rsidRPr="00957C6E" w:rsidR="00A86337">
        <w:rPr>
          <w:rStyle w:val="cohl"/>
        </w:rPr>
        <w:t xml:space="preserve"> (</w:t>
      </w:r>
      <w:r w:rsidRPr="00957C6E" w:rsidR="00C55637">
        <w:rPr>
          <w:rStyle w:val="cohl"/>
        </w:rPr>
        <w:t>2021)</w:t>
      </w:r>
      <w:r w:rsidR="0069678E">
        <w:rPr>
          <w:rStyle w:val="cohl"/>
        </w:rPr>
        <w:t xml:space="preserve"> 10 Cal.5th 944, 951</w:t>
      </w:r>
      <w:r w:rsidRPr="00957C6E">
        <w:rPr>
          <w:rStyle w:val="cohl"/>
        </w:rPr>
        <w:t xml:space="preserve"> (</w:t>
      </w:r>
      <w:r w:rsidRPr="00957C6E">
        <w:rPr>
          <w:rStyle w:val="cohl"/>
          <w:i/>
          <w:iCs/>
        </w:rPr>
        <w:t>Vazquez</w:t>
      </w:r>
      <w:r w:rsidRPr="00957C6E">
        <w:rPr>
          <w:rStyle w:val="cohl"/>
        </w:rPr>
        <w:t>)</w:t>
      </w:r>
      <w:r w:rsidRPr="00957C6E" w:rsidR="00640327">
        <w:rPr>
          <w:rStyle w:val="cohl"/>
        </w:rPr>
        <w:t xml:space="preserve">; see </w:t>
      </w:r>
      <w:r w:rsidRPr="00957C6E" w:rsidR="00640327">
        <w:rPr>
          <w:rStyle w:val="cohl"/>
          <w:i/>
          <w:iCs/>
        </w:rPr>
        <w:t xml:space="preserve">Newman v. </w:t>
      </w:r>
      <w:r w:rsidRPr="00957C6E" w:rsidR="005D5275">
        <w:rPr>
          <w:rStyle w:val="cohl"/>
          <w:i/>
          <w:iCs/>
        </w:rPr>
        <w:t xml:space="preserve">Emerson </w:t>
      </w:r>
      <w:r w:rsidRPr="00957C6E" w:rsidR="00640327">
        <w:rPr>
          <w:rStyle w:val="cohl"/>
          <w:i/>
          <w:iCs/>
        </w:rPr>
        <w:t>Radio Corp.</w:t>
      </w:r>
      <w:r w:rsidRPr="00957C6E" w:rsidR="00640327">
        <w:rPr>
          <w:rStyle w:val="cohl"/>
        </w:rPr>
        <w:t xml:space="preserve"> (1989) 48 Cal.3d 973, 978.)</w:t>
      </w:r>
      <w:r w:rsidRPr="00957C6E" w:rsidR="008E3A95">
        <w:rPr>
          <w:rStyle w:val="cohl"/>
        </w:rPr>
        <w:t xml:space="preserve">  This rule </w:t>
      </w:r>
      <w:r w:rsidRPr="00957C6E" w:rsidR="009964E6">
        <w:rPr>
          <w:rStyle w:val="cohl"/>
        </w:rPr>
        <w:t>applies to decisions interpreting statutes</w:t>
      </w:r>
      <w:r w:rsidRPr="00957C6E" w:rsidR="008E3A95">
        <w:rPr>
          <w:rStyle w:val="cohl"/>
        </w:rPr>
        <w:t xml:space="preserve">, </w:t>
      </w:r>
      <w:r w:rsidRPr="00957C6E">
        <w:rPr>
          <w:rStyle w:val="cohl"/>
        </w:rPr>
        <w:t xml:space="preserve">for </w:t>
      </w:r>
      <w:r w:rsidRPr="00957C6E" w:rsidR="009964E6">
        <w:rPr>
          <w:rStyle w:val="cohl"/>
        </w:rPr>
        <w:t>“ ‘[</w:t>
      </w:r>
      <w:r w:rsidRPr="00957C6E">
        <w:rPr>
          <w:rStyle w:val="cohl"/>
        </w:rPr>
        <w:t>a</w:t>
      </w:r>
      <w:r w:rsidRPr="00957C6E" w:rsidR="009964E6">
        <w:rPr>
          <w:rStyle w:val="cohl"/>
        </w:rPr>
        <w:t>]</w:t>
      </w:r>
      <w:r w:rsidRPr="00957C6E">
        <w:rPr>
          <w:rStyle w:val="cohl"/>
        </w:rPr>
        <w:t xml:space="preserve"> judicial construction of a statute is an authoritative statement of what the statute meant before as well as after the decision of the case giving rise to that construction.’</w:t>
      </w:r>
      <w:r w:rsidRPr="00957C6E" w:rsidR="009964E6">
        <w:rPr>
          <w:rStyle w:val="cohl"/>
        </w:rPr>
        <w:t> </w:t>
      </w:r>
      <w:r w:rsidRPr="00957C6E">
        <w:rPr>
          <w:rStyle w:val="cohl"/>
        </w:rPr>
        <w:t>”  (</w:t>
      </w:r>
      <w:r w:rsidRPr="00957C6E">
        <w:rPr>
          <w:rStyle w:val="cohl"/>
          <w:i/>
          <w:iCs/>
        </w:rPr>
        <w:t>Vazquez</w:t>
      </w:r>
      <w:r w:rsidRPr="00957C6E" w:rsidR="009964E6">
        <w:rPr>
          <w:rStyle w:val="cohl"/>
        </w:rPr>
        <w:t>, at p. </w:t>
      </w:r>
      <w:r w:rsidR="00C827A5">
        <w:rPr>
          <w:rStyle w:val="cohl"/>
        </w:rPr>
        <w:t>951.</w:t>
      </w:r>
      <w:r w:rsidRPr="00957C6E">
        <w:rPr>
          <w:rStyle w:val="cohl"/>
        </w:rPr>
        <w:t>)</w:t>
      </w:r>
      <w:r w:rsidRPr="00957C6E" w:rsidR="001F5A93">
        <w:rPr>
          <w:rStyle w:val="cohl"/>
        </w:rPr>
        <w:t xml:space="preserve">  </w:t>
      </w:r>
      <w:r w:rsidRPr="00957C6E" w:rsidR="009964E6">
        <w:rPr>
          <w:rStyle w:val="cohl"/>
        </w:rPr>
        <w:t>And the fact t</w:t>
      </w:r>
      <w:r w:rsidRPr="00957C6E" w:rsidR="001F5A93">
        <w:rPr>
          <w:rStyle w:val="cohl"/>
        </w:rPr>
        <w:t xml:space="preserve">hat a decision </w:t>
      </w:r>
      <w:r w:rsidRPr="00957C6E" w:rsidR="00607F3D">
        <w:rPr>
          <w:rStyle w:val="cohl"/>
        </w:rPr>
        <w:t>disapproves decisions by lower courts does not itself justify applying our decision prospectively only.</w:t>
      </w:r>
      <w:r w:rsidRPr="00957C6E" w:rsidR="00615D6B">
        <w:rPr>
          <w:rStyle w:val="cohl"/>
        </w:rPr>
        <w:t xml:space="preserve">  (</w:t>
      </w:r>
      <w:r w:rsidR="005D093B">
        <w:rPr>
          <w:rStyle w:val="cohl"/>
          <w:i/>
        </w:rPr>
        <w:t>Id.</w:t>
      </w:r>
      <w:r w:rsidR="00CA6E59">
        <w:rPr>
          <w:rStyle w:val="cohl"/>
        </w:rPr>
        <w:t xml:space="preserve"> at p. 952</w:t>
      </w:r>
      <w:r w:rsidRPr="00D73A64" w:rsidR="00CA6E59">
        <w:rPr>
          <w:rStyle w:val="cohl"/>
        </w:rPr>
        <w:t>.</w:t>
      </w:r>
      <w:r w:rsidRPr="00957C6E" w:rsidR="00615D6B">
        <w:rPr>
          <w:rStyle w:val="cohl"/>
        </w:rPr>
        <w:t>)</w:t>
      </w:r>
      <w:r w:rsidRPr="00957C6E" w:rsidR="006A4AB3">
        <w:rPr>
          <w:rStyle w:val="cohl"/>
        </w:rPr>
        <w:t xml:space="preserve">  </w:t>
      </w:r>
      <w:r w:rsidRPr="00957C6E" w:rsidR="00E82898">
        <w:rPr>
          <w:rStyle w:val="cohl"/>
        </w:rPr>
        <w:t>W</w:t>
      </w:r>
      <w:r w:rsidRPr="00957C6E" w:rsidR="006A4AB3">
        <w:rPr>
          <w:rStyle w:val="cohl"/>
        </w:rPr>
        <w:t xml:space="preserve">e </w:t>
      </w:r>
      <w:r w:rsidRPr="00957C6E" w:rsidR="00E82898">
        <w:rPr>
          <w:rStyle w:val="cohl"/>
        </w:rPr>
        <w:t xml:space="preserve">recognize </w:t>
      </w:r>
      <w:r w:rsidRPr="00957C6E" w:rsidR="006A4AB3">
        <w:rPr>
          <w:rStyle w:val="cohl"/>
        </w:rPr>
        <w:t>“</w:t>
      </w:r>
      <w:r w:rsidRPr="00957C6E" w:rsidR="00E82898">
        <w:rPr>
          <w:rStyle w:val="cohl"/>
        </w:rPr>
        <w:t xml:space="preserve"> ‘narrow exceptions to the general rule of retroactivity . . . </w:t>
      </w:r>
      <w:r w:rsidRPr="00957C6E" w:rsidR="006A4AB3">
        <w:rPr>
          <w:rStyle w:val="cohl"/>
        </w:rPr>
        <w:t>when considerations of fairness and public policy are so compelling in a particular case that, on balance, they outweigh the considerations that underlie the basic rule.</w:t>
      </w:r>
      <w:r w:rsidRPr="00957C6E" w:rsidR="00E82898">
        <w:rPr>
          <w:rStyle w:val="cohl"/>
        </w:rPr>
        <w:t>’ </w:t>
      </w:r>
      <w:r w:rsidRPr="00957C6E" w:rsidR="006A4AB3">
        <w:rPr>
          <w:rStyle w:val="cohl"/>
        </w:rPr>
        <w:t>”  (</w:t>
      </w:r>
      <w:r w:rsidRPr="00957C6E" w:rsidR="00E82898">
        <w:rPr>
          <w:rStyle w:val="cohl"/>
          <w:i/>
          <w:iCs/>
        </w:rPr>
        <w:t>I</w:t>
      </w:r>
      <w:r w:rsidR="005972D1">
        <w:rPr>
          <w:rStyle w:val="cohl"/>
          <w:i/>
          <w:iCs/>
        </w:rPr>
        <w:t>bi</w:t>
      </w:r>
      <w:r w:rsidRPr="00957C6E" w:rsidR="00E82898">
        <w:rPr>
          <w:rStyle w:val="cohl"/>
          <w:i/>
          <w:iCs/>
        </w:rPr>
        <w:t>d.</w:t>
      </w:r>
      <w:r w:rsidR="000B40E0">
        <w:rPr>
          <w:rStyle w:val="cohl"/>
        </w:rPr>
        <w:t>)</w:t>
      </w:r>
    </w:p>
    <w:p w:rsidR="00CB177D" w:rsidRPr="00957C6E">
      <w:pPr>
        <w:ind w:firstLine="720"/>
        <w:rPr>
          <w:rStyle w:val="cohl"/>
          <w:szCs w:val="26"/>
        </w:rPr>
      </w:pPr>
      <w:r w:rsidRPr="00957C6E">
        <w:rPr>
          <w:rStyle w:val="cohl"/>
          <w:szCs w:val="26"/>
        </w:rPr>
        <w:t xml:space="preserve">In this case, we interpret a statute against the backdrop of a divided Court of Appeal decision and conflicting opinions of various federal district courts.  We </w:t>
      </w:r>
      <w:r w:rsidR="00811748">
        <w:rPr>
          <w:rStyle w:val="cohl"/>
          <w:szCs w:val="26"/>
        </w:rPr>
        <w:t>neither</w:t>
      </w:r>
      <w:r w:rsidRPr="00957C6E">
        <w:rPr>
          <w:rStyle w:val="cohl"/>
          <w:szCs w:val="26"/>
        </w:rPr>
        <w:t xml:space="preserve"> overrule </w:t>
      </w:r>
      <w:r w:rsidR="00811748">
        <w:rPr>
          <w:rStyle w:val="cohl"/>
          <w:szCs w:val="26"/>
        </w:rPr>
        <w:t>n</w:t>
      </w:r>
      <w:r w:rsidRPr="00957C6E">
        <w:rPr>
          <w:rStyle w:val="cohl"/>
          <w:szCs w:val="26"/>
        </w:rPr>
        <w:t xml:space="preserve">or disapprove any decision.  Because </w:t>
      </w:r>
      <w:r w:rsidRPr="00957C6E" w:rsidR="006364F8">
        <w:rPr>
          <w:rStyle w:val="cohl"/>
          <w:szCs w:val="26"/>
        </w:rPr>
        <w:t xml:space="preserve">the question presented is not one on </w:t>
      </w:r>
      <w:r w:rsidRPr="00957C6E">
        <w:rPr>
          <w:rStyle w:val="cohl"/>
          <w:szCs w:val="26"/>
        </w:rPr>
        <w:t>“ ‘which this court had previously issued a definitive decision, from the outset any reliance on the previous state of the law could not and should not have been viewed as firmly fixed as would have been the case had we previously spoken.’ ”  (</w:t>
      </w:r>
      <w:r w:rsidRPr="00957C6E">
        <w:rPr>
          <w:rStyle w:val="cohl"/>
          <w:i/>
          <w:iCs/>
          <w:szCs w:val="26"/>
        </w:rPr>
        <w:t>Vazquez</w:t>
      </w:r>
      <w:r w:rsidRPr="00A17059">
        <w:rPr>
          <w:rStyle w:val="cohl"/>
          <w:i/>
          <w:iCs/>
          <w:szCs w:val="26"/>
        </w:rPr>
        <w:t>,</w:t>
      </w:r>
      <w:r w:rsidRPr="00957C6E">
        <w:rPr>
          <w:rStyle w:val="cohl"/>
          <w:szCs w:val="26"/>
        </w:rPr>
        <w:t xml:space="preserve"> </w:t>
      </w:r>
      <w:r w:rsidRPr="00A17059" w:rsidR="001C1F0D">
        <w:rPr>
          <w:rStyle w:val="cohl"/>
          <w:i/>
          <w:iCs/>
        </w:rPr>
        <w:t>supra</w:t>
      </w:r>
      <w:r w:rsidR="001C1F0D">
        <w:rPr>
          <w:rStyle w:val="cohl"/>
          <w:szCs w:val="26"/>
        </w:rPr>
        <w:t>, 10 Cal.5th at p. 953</w:t>
      </w:r>
      <w:r w:rsidRPr="00957C6E">
        <w:rPr>
          <w:rStyle w:val="cohl"/>
          <w:szCs w:val="26"/>
        </w:rPr>
        <w:t>.)</w:t>
      </w:r>
      <w:r w:rsidRPr="00957C6E" w:rsidR="00B83E45">
        <w:rPr>
          <w:rStyle w:val="cohl"/>
          <w:szCs w:val="26"/>
        </w:rPr>
        <w:t xml:space="preserve">  “</w:t>
      </w:r>
      <w:r w:rsidRPr="00957C6E" w:rsidR="00B83E45">
        <w:rPr>
          <w:szCs w:val="26"/>
          <w:shd w:val="clear" w:color="auto" w:fill="FFFFFF"/>
        </w:rPr>
        <w:t>In</w:t>
      </w:r>
      <w:r w:rsidRPr="00957C6E" w:rsidR="006E09F7">
        <w:rPr>
          <w:szCs w:val="26"/>
          <w:shd w:val="clear" w:color="auto" w:fill="FFFFFF"/>
        </w:rPr>
        <w:t xml:space="preserve"> </w:t>
      </w:r>
      <w:r w:rsidRPr="00957C6E" w:rsidR="00B83E45">
        <w:rPr>
          <w:szCs w:val="26"/>
          <w:shd w:val="clear" w:color="auto" w:fill="FFFFFF"/>
        </w:rPr>
        <w:t>short,</w:t>
      </w:r>
      <w:r w:rsidRPr="00957C6E" w:rsidR="006E09F7">
        <w:rPr>
          <w:szCs w:val="26"/>
          <w:shd w:val="clear" w:color="auto" w:fill="FFFFFF"/>
        </w:rPr>
        <w:t xml:space="preserve"> </w:t>
      </w:r>
      <w:r w:rsidRPr="00957C6E" w:rsidR="00B83E45">
        <w:rPr>
          <w:szCs w:val="26"/>
          <w:shd w:val="clear" w:color="auto" w:fill="FFFFFF"/>
        </w:rPr>
        <w:t>defendant</w:t>
      </w:r>
      <w:r w:rsidRPr="00957C6E" w:rsidR="006E09F7">
        <w:rPr>
          <w:szCs w:val="26"/>
          <w:shd w:val="clear" w:color="auto" w:fill="FFFFFF"/>
        </w:rPr>
        <w:t xml:space="preserve"> </w:t>
      </w:r>
      <w:r w:rsidRPr="00957C6E" w:rsidR="00B83E45">
        <w:rPr>
          <w:szCs w:val="26"/>
          <w:shd w:val="clear" w:color="auto" w:fill="FFFFFF"/>
        </w:rPr>
        <w:t>cannot claim reasonable reliance on settled law.”  (</w:t>
      </w:r>
      <w:r w:rsidRPr="00957C6E" w:rsidR="00B83E45">
        <w:rPr>
          <w:i/>
          <w:szCs w:val="26"/>
          <w:shd w:val="clear" w:color="auto" w:fill="FFFFFF"/>
        </w:rPr>
        <w:t>Alvarado</w:t>
      </w:r>
      <w:r w:rsidRPr="00957C6E" w:rsidR="00B83E45">
        <w:rPr>
          <w:szCs w:val="26"/>
          <w:shd w:val="clear" w:color="auto" w:fill="FFFFFF"/>
        </w:rPr>
        <w:t xml:space="preserve">, </w:t>
      </w:r>
      <w:r w:rsidRPr="00957C6E" w:rsidR="00B83E45">
        <w:rPr>
          <w:i/>
          <w:szCs w:val="26"/>
          <w:shd w:val="clear" w:color="auto" w:fill="FFFFFF"/>
        </w:rPr>
        <w:t>supra</w:t>
      </w:r>
      <w:r w:rsidRPr="00957C6E" w:rsidR="00B83E45">
        <w:rPr>
          <w:szCs w:val="26"/>
          <w:shd w:val="clear" w:color="auto" w:fill="FFFFFF"/>
        </w:rPr>
        <w:t>, 4 Cal.5th at p. 573.)</w:t>
      </w:r>
    </w:p>
    <w:p w:rsidR="00CB177D" w:rsidRPr="00957C6E" w:rsidP="00957C6E">
      <w:pPr>
        <w:ind w:firstLine="720"/>
        <w:rPr>
          <w:szCs w:val="26"/>
          <w:shd w:val="clear" w:color="auto" w:fill="FFFFFF"/>
          <w:lang w:eastAsia="zh-CN"/>
        </w:rPr>
      </w:pPr>
      <w:r w:rsidRPr="00957C6E">
        <w:rPr>
          <w:rStyle w:val="cohl"/>
          <w:szCs w:val="26"/>
        </w:rPr>
        <w:t>Loews argues</w:t>
      </w:r>
      <w:r w:rsidR="00D05C59">
        <w:rPr>
          <w:rStyle w:val="cohl"/>
          <w:szCs w:val="26"/>
        </w:rPr>
        <w:t>,</w:t>
      </w:r>
      <w:r w:rsidRPr="00957C6E" w:rsidR="006364F8">
        <w:rPr>
          <w:rStyle w:val="cohl"/>
          <w:szCs w:val="26"/>
        </w:rPr>
        <w:t xml:space="preserve"> first,</w:t>
      </w:r>
      <w:r w:rsidRPr="00957C6E">
        <w:rPr>
          <w:rStyle w:val="cohl"/>
          <w:szCs w:val="26"/>
        </w:rPr>
        <w:t xml:space="preserve"> that it and employers like it reasonably relied on the </w:t>
      </w:r>
      <w:r w:rsidRPr="00957C6E" w:rsidR="00E82898">
        <w:rPr>
          <w:rStyle w:val="cohl"/>
          <w:szCs w:val="26"/>
        </w:rPr>
        <w:t xml:space="preserve">canon </w:t>
      </w:r>
      <w:r w:rsidRPr="00957C6E">
        <w:rPr>
          <w:rStyle w:val="cohl"/>
          <w:szCs w:val="26"/>
        </w:rPr>
        <w:t xml:space="preserve">that </w:t>
      </w:r>
      <w:r w:rsidRPr="00957C6E" w:rsidR="00E82898">
        <w:rPr>
          <w:rStyle w:val="cohl"/>
          <w:szCs w:val="26"/>
        </w:rPr>
        <w:t xml:space="preserve">a lawmaker is presumed to intend a different meaning when it uses different words in a statutory scheme.  </w:t>
      </w:r>
      <w:r w:rsidRPr="00957C6E">
        <w:rPr>
          <w:rStyle w:val="cohl"/>
          <w:szCs w:val="26"/>
        </w:rPr>
        <w:t xml:space="preserve">But </w:t>
      </w:r>
      <w:r w:rsidRPr="00957C6E">
        <w:rPr>
          <w:rStyle w:val="cohl"/>
          <w:szCs w:val="26"/>
        </w:rPr>
        <w:t>it is well established that “</w:t>
      </w:r>
      <w:r w:rsidRPr="00957C6E" w:rsidR="00E82898">
        <w:rPr>
          <w:rStyle w:val="cohl"/>
          <w:szCs w:val="26"/>
        </w:rPr>
        <w:t xml:space="preserve">canons of </w:t>
      </w:r>
      <w:r w:rsidRPr="00957C6E">
        <w:rPr>
          <w:rStyle w:val="cohl"/>
          <w:szCs w:val="26"/>
        </w:rPr>
        <w:t xml:space="preserve">statutory </w:t>
      </w:r>
      <w:r w:rsidRPr="00957C6E" w:rsidR="00E82898">
        <w:rPr>
          <w:rStyle w:val="cohl"/>
          <w:szCs w:val="26"/>
        </w:rPr>
        <w:t xml:space="preserve">construction </w:t>
      </w:r>
      <w:r w:rsidRPr="00957C6E">
        <w:rPr>
          <w:rStyle w:val="cohl"/>
          <w:szCs w:val="26"/>
        </w:rPr>
        <w:t>are merely aids to ascertaining probable legislative intent.”  (</w:t>
      </w:r>
      <w:r w:rsidRPr="00957C6E">
        <w:rPr>
          <w:rStyle w:val="cohl"/>
          <w:i/>
          <w:szCs w:val="26"/>
        </w:rPr>
        <w:t>Stone v. Superior Court</w:t>
      </w:r>
      <w:r w:rsidRPr="00957C6E">
        <w:rPr>
          <w:rStyle w:val="cohl"/>
          <w:szCs w:val="26"/>
        </w:rPr>
        <w:t xml:space="preserve"> (1982) 31 Cal.3d 503, 521, fn. 10.)  “ ‘ “No single </w:t>
      </w:r>
      <w:r w:rsidRPr="00957C6E">
        <w:rPr>
          <w:szCs w:val="26"/>
          <w:bdr w:val="none" w:sz="0" w:space="0" w:color="auto" w:frame="1"/>
          <w:shd w:val="clear" w:color="auto" w:fill="FFFFFF"/>
          <w:lang w:eastAsia="zh-CN"/>
        </w:rPr>
        <w:t>canon</w:t>
      </w:r>
      <w:r w:rsidRPr="00957C6E" w:rsidR="00124737">
        <w:rPr>
          <w:szCs w:val="26"/>
          <w:shd w:val="clear" w:color="auto" w:fill="FFFFFF"/>
          <w:lang w:eastAsia="zh-CN"/>
        </w:rPr>
        <w:t xml:space="preserve"> </w:t>
      </w:r>
      <w:r w:rsidRPr="00957C6E">
        <w:rPr>
          <w:szCs w:val="26"/>
          <w:shd w:val="clear" w:color="auto" w:fill="FFFFFF"/>
          <w:lang w:eastAsia="zh-CN"/>
        </w:rPr>
        <w:t>of statutory</w:t>
      </w:r>
      <w:r w:rsidRPr="00957C6E" w:rsidR="00124737">
        <w:rPr>
          <w:szCs w:val="26"/>
          <w:shd w:val="clear" w:color="auto" w:fill="FFFFFF"/>
          <w:lang w:eastAsia="zh-CN"/>
        </w:rPr>
        <w:t xml:space="preserve"> </w:t>
      </w:r>
      <w:r w:rsidRPr="00957C6E">
        <w:rPr>
          <w:szCs w:val="26"/>
          <w:bdr w:val="none" w:sz="0" w:space="0" w:color="auto" w:frame="1"/>
          <w:shd w:val="clear" w:color="auto" w:fill="FFFFFF"/>
          <w:lang w:eastAsia="zh-CN"/>
        </w:rPr>
        <w:t>construction</w:t>
      </w:r>
      <w:r w:rsidRPr="00957C6E" w:rsidR="00124737">
        <w:rPr>
          <w:szCs w:val="26"/>
          <w:shd w:val="clear" w:color="auto" w:fill="FFFFFF"/>
          <w:lang w:eastAsia="zh-CN"/>
        </w:rPr>
        <w:t xml:space="preserve"> </w:t>
      </w:r>
      <w:r w:rsidRPr="00957C6E">
        <w:rPr>
          <w:szCs w:val="26"/>
          <w:shd w:val="clear" w:color="auto" w:fill="FFFFFF"/>
          <w:lang w:eastAsia="zh-CN"/>
        </w:rPr>
        <w:t>is an infallible guide to correct</w:t>
      </w:r>
      <w:r w:rsidRPr="00957C6E" w:rsidR="00124737">
        <w:rPr>
          <w:szCs w:val="26"/>
          <w:shd w:val="clear" w:color="auto" w:fill="FFFFFF"/>
          <w:lang w:eastAsia="zh-CN"/>
        </w:rPr>
        <w:t xml:space="preserve"> </w:t>
      </w:r>
      <w:r w:rsidRPr="00957C6E">
        <w:rPr>
          <w:szCs w:val="26"/>
          <w:bdr w:val="none" w:sz="0" w:space="0" w:color="auto" w:frame="1"/>
          <w:shd w:val="clear" w:color="auto" w:fill="FFFFFF"/>
          <w:lang w:eastAsia="zh-CN"/>
        </w:rPr>
        <w:t>interpretation</w:t>
      </w:r>
      <w:r w:rsidRPr="00957C6E" w:rsidR="00124737">
        <w:rPr>
          <w:szCs w:val="26"/>
          <w:shd w:val="clear" w:color="auto" w:fill="FFFFFF"/>
          <w:lang w:eastAsia="zh-CN"/>
        </w:rPr>
        <w:t xml:space="preserve"> </w:t>
      </w:r>
      <w:r w:rsidRPr="00957C6E">
        <w:rPr>
          <w:szCs w:val="26"/>
          <w:shd w:val="clear" w:color="auto" w:fill="FFFFFF"/>
          <w:lang w:eastAsia="zh-CN"/>
        </w:rPr>
        <w:t>in all circumstances” ’ ” (</w:t>
      </w:r>
      <w:r w:rsidRPr="00957C6E">
        <w:rPr>
          <w:i/>
          <w:szCs w:val="26"/>
          <w:lang w:eastAsia="zh-CN"/>
        </w:rPr>
        <w:t>Tellez v. Superior Court</w:t>
      </w:r>
      <w:r w:rsidRPr="00957C6E">
        <w:rPr>
          <w:szCs w:val="26"/>
          <w:lang w:eastAsia="zh-CN"/>
        </w:rPr>
        <w:t xml:space="preserve"> (2020) 56 Cal.App.5th 439, 448), and “</w:t>
      </w:r>
      <w:r w:rsidRPr="00957C6E">
        <w:rPr>
          <w:szCs w:val="26"/>
          <w:bdr w:val="none" w:sz="0" w:space="0" w:color="auto" w:frame="1"/>
          <w:shd w:val="clear" w:color="auto" w:fill="FFFFFF"/>
          <w:lang w:eastAsia="zh-CN"/>
        </w:rPr>
        <w:t>canons</w:t>
      </w:r>
      <w:r w:rsidRPr="00957C6E" w:rsidR="00D6526D">
        <w:rPr>
          <w:szCs w:val="26"/>
          <w:shd w:val="clear" w:color="auto" w:fill="FFFFFF"/>
          <w:lang w:eastAsia="zh-CN"/>
        </w:rPr>
        <w:t xml:space="preserve"> </w:t>
      </w:r>
      <w:r w:rsidRPr="00957C6E">
        <w:rPr>
          <w:szCs w:val="26"/>
          <w:shd w:val="clear" w:color="auto" w:fill="FFFFFF"/>
          <w:lang w:eastAsia="zh-CN"/>
        </w:rPr>
        <w:t>of</w:t>
      </w:r>
      <w:r w:rsidRPr="00957C6E" w:rsidR="00D6526D">
        <w:rPr>
          <w:szCs w:val="26"/>
          <w:shd w:val="clear" w:color="auto" w:fill="FFFFFF"/>
          <w:lang w:eastAsia="zh-CN"/>
        </w:rPr>
        <w:t xml:space="preserve"> </w:t>
      </w:r>
      <w:r w:rsidRPr="00957C6E">
        <w:rPr>
          <w:szCs w:val="26"/>
          <w:bdr w:val="none" w:sz="0" w:space="0" w:color="auto" w:frame="1"/>
          <w:shd w:val="clear" w:color="auto" w:fill="FFFFFF"/>
          <w:lang w:eastAsia="zh-CN"/>
        </w:rPr>
        <w:t>construction</w:t>
      </w:r>
      <w:r w:rsidRPr="00957C6E">
        <w:rPr>
          <w:szCs w:val="26"/>
          <w:shd w:val="clear" w:color="auto" w:fill="FFFFFF"/>
          <w:lang w:eastAsia="zh-CN"/>
        </w:rPr>
        <w:t xml:space="preserve"> . . . will</w:t>
      </w:r>
      <w:r w:rsidRPr="00957C6E" w:rsidR="00D6526D">
        <w:rPr>
          <w:szCs w:val="26"/>
          <w:shd w:val="clear" w:color="auto" w:fill="FFFFFF"/>
          <w:lang w:eastAsia="zh-CN"/>
        </w:rPr>
        <w:t xml:space="preserve"> </w:t>
      </w:r>
      <w:r w:rsidRPr="00957C6E">
        <w:rPr>
          <w:szCs w:val="26"/>
          <w:bdr w:val="none" w:sz="0" w:space="0" w:color="auto" w:frame="1"/>
          <w:shd w:val="clear" w:color="auto" w:fill="FFFFFF"/>
          <w:lang w:eastAsia="zh-CN"/>
        </w:rPr>
        <w:t>not</w:t>
      </w:r>
      <w:r w:rsidRPr="00957C6E" w:rsidR="00D6526D">
        <w:rPr>
          <w:szCs w:val="26"/>
          <w:shd w:val="clear" w:color="auto" w:fill="FFFFFF"/>
          <w:lang w:eastAsia="zh-CN"/>
        </w:rPr>
        <w:t xml:space="preserve"> </w:t>
      </w:r>
      <w:r w:rsidRPr="00957C6E">
        <w:rPr>
          <w:szCs w:val="26"/>
          <w:shd w:val="clear" w:color="auto" w:fill="FFFFFF"/>
          <w:lang w:eastAsia="zh-CN"/>
        </w:rPr>
        <w:t>be applied so as to defeat the underlying legislative intent otherwise determined” (</w:t>
      </w:r>
      <w:r w:rsidRPr="00957C6E">
        <w:rPr>
          <w:i/>
          <w:iCs/>
          <w:szCs w:val="26"/>
          <w:bdr w:val="none" w:sz="0" w:space="0" w:color="auto" w:frame="1"/>
          <w:lang w:eastAsia="zh-CN"/>
        </w:rPr>
        <w:t>Dyna-Med, Inc. v. Fair Employment &amp; Housing Com.</w:t>
      </w:r>
      <w:r w:rsidRPr="00957C6E" w:rsidR="001C303F">
        <w:rPr>
          <w:szCs w:val="26"/>
          <w:shd w:val="clear" w:color="auto" w:fill="FFFFFF"/>
          <w:lang w:eastAsia="zh-CN"/>
        </w:rPr>
        <w:t xml:space="preserve"> </w:t>
      </w:r>
      <w:r w:rsidRPr="00957C6E">
        <w:rPr>
          <w:szCs w:val="26"/>
          <w:shd w:val="clear" w:color="auto" w:fill="FFFFFF"/>
          <w:lang w:eastAsia="zh-CN"/>
        </w:rPr>
        <w:t xml:space="preserve">(1987) 43 Cal.3d 1379, 1391).  </w:t>
      </w:r>
      <w:r w:rsidRPr="00957C6E" w:rsidR="006364F8">
        <w:rPr>
          <w:szCs w:val="26"/>
          <w:shd w:val="clear" w:color="auto" w:fill="FFFFFF"/>
          <w:lang w:eastAsia="zh-CN"/>
        </w:rPr>
        <w:t>As explained above, the considerations bearing on the IWC’s and Legislature’s intent do not support the application of the canon cited by Loews.</w:t>
      </w:r>
    </w:p>
    <w:p w:rsidR="000E7C10" w:rsidRPr="00957C6E" w:rsidP="00957C6E">
      <w:pPr>
        <w:ind w:firstLine="720"/>
        <w:contextualSpacing/>
        <w:rPr>
          <w:rStyle w:val="cohl"/>
        </w:rPr>
      </w:pPr>
      <w:r w:rsidRPr="00957C6E">
        <w:rPr>
          <w:rStyle w:val="cohl"/>
        </w:rPr>
        <w:t xml:space="preserve">Second, </w:t>
      </w:r>
      <w:r w:rsidRPr="00957C6E">
        <w:rPr>
          <w:rStyle w:val="cohl"/>
        </w:rPr>
        <w:t xml:space="preserve">relying on </w:t>
      </w:r>
      <w:r w:rsidRPr="00957C6E" w:rsidR="00CA78A4">
        <w:rPr>
          <w:rStyle w:val="cohl"/>
          <w:i/>
          <w:iCs/>
        </w:rPr>
        <w:t>Claxton v. Waters</w:t>
      </w:r>
      <w:r w:rsidRPr="00957C6E" w:rsidR="00CA78A4">
        <w:rPr>
          <w:rStyle w:val="cohl"/>
        </w:rPr>
        <w:t xml:space="preserve"> (2004) 34 Cal.4th 367 (</w:t>
      </w:r>
      <w:r w:rsidRPr="00957C6E" w:rsidR="00CA78A4">
        <w:rPr>
          <w:rStyle w:val="cohl"/>
          <w:i/>
          <w:iCs/>
        </w:rPr>
        <w:t>Claxton</w:t>
      </w:r>
      <w:r w:rsidRPr="00957C6E" w:rsidR="00CA78A4">
        <w:rPr>
          <w:rStyle w:val="cohl"/>
        </w:rPr>
        <w:t xml:space="preserve">), </w:t>
      </w:r>
      <w:r w:rsidRPr="00957C6E">
        <w:rPr>
          <w:rStyle w:val="cohl"/>
        </w:rPr>
        <w:t xml:space="preserve">Loews argues that our decision will have a substantive effect because it </w:t>
      </w:r>
      <w:r w:rsidRPr="00957C6E" w:rsidR="00CA78A4">
        <w:rPr>
          <w:rStyle w:val="cohl"/>
        </w:rPr>
        <w:t xml:space="preserve">will </w:t>
      </w:r>
      <w:r w:rsidRPr="00957C6E">
        <w:rPr>
          <w:rStyle w:val="cohl"/>
        </w:rPr>
        <w:t xml:space="preserve">expose employers to </w:t>
      </w:r>
      <w:r w:rsidRPr="00957C6E" w:rsidR="007C3336">
        <w:rPr>
          <w:rStyle w:val="cohl"/>
        </w:rPr>
        <w:t>“</w:t>
      </w:r>
      <w:r w:rsidRPr="00957C6E">
        <w:rPr>
          <w:rStyle w:val="cohl"/>
        </w:rPr>
        <w:t>millions</w:t>
      </w:r>
      <w:r w:rsidRPr="00957C6E" w:rsidR="007C3336">
        <w:rPr>
          <w:rStyle w:val="cohl"/>
        </w:rPr>
        <w:t>”</w:t>
      </w:r>
      <w:r w:rsidRPr="00957C6E">
        <w:rPr>
          <w:rStyle w:val="cohl"/>
        </w:rPr>
        <w:t xml:space="preserve"> in liability</w:t>
      </w:r>
      <w:r w:rsidRPr="00957C6E" w:rsidR="00CD648B">
        <w:rPr>
          <w:rStyle w:val="cohl"/>
        </w:rPr>
        <w:t xml:space="preserve">.  </w:t>
      </w:r>
      <w:r w:rsidRPr="00957C6E" w:rsidR="00271ADA">
        <w:rPr>
          <w:rStyle w:val="cohl"/>
        </w:rPr>
        <w:t xml:space="preserve">But Loews </w:t>
      </w:r>
      <w:r w:rsidRPr="00957C6E" w:rsidR="007C3336">
        <w:rPr>
          <w:rStyle w:val="cohl"/>
        </w:rPr>
        <w:t xml:space="preserve">cites no evidence that retroactive application of our holding will expose employers to </w:t>
      </w:r>
      <w:r w:rsidRPr="00957C6E">
        <w:rPr>
          <w:rStyle w:val="cohl"/>
        </w:rPr>
        <w:t>“</w:t>
      </w:r>
      <w:r w:rsidRPr="00957C6E" w:rsidR="007C3336">
        <w:rPr>
          <w:rStyle w:val="cohl"/>
        </w:rPr>
        <w:t>millions</w:t>
      </w:r>
      <w:r w:rsidRPr="00957C6E">
        <w:rPr>
          <w:rStyle w:val="cohl"/>
        </w:rPr>
        <w:t>”</w:t>
      </w:r>
      <w:r w:rsidRPr="00957C6E" w:rsidR="007C3336">
        <w:rPr>
          <w:rStyle w:val="cohl"/>
        </w:rPr>
        <w:t xml:space="preserve"> in liability, and even if Loews were correct, it is not clear why we should favor the interest of employers in avoiding </w:t>
      </w:r>
      <w:r w:rsidRPr="00957C6E">
        <w:rPr>
          <w:rStyle w:val="cohl"/>
        </w:rPr>
        <w:t>“</w:t>
      </w:r>
      <w:r w:rsidRPr="00957C6E" w:rsidR="007C3336">
        <w:rPr>
          <w:rStyle w:val="cohl"/>
        </w:rPr>
        <w:t>millions</w:t>
      </w:r>
      <w:r w:rsidRPr="00957C6E">
        <w:rPr>
          <w:rStyle w:val="cohl"/>
        </w:rPr>
        <w:t>”</w:t>
      </w:r>
      <w:r w:rsidRPr="00957C6E" w:rsidR="007C3336">
        <w:rPr>
          <w:rStyle w:val="cohl"/>
        </w:rPr>
        <w:t xml:space="preserve"> in liability over the interest of employees in obtaining </w:t>
      </w:r>
      <w:r w:rsidRPr="00957C6E">
        <w:rPr>
          <w:rStyle w:val="cohl"/>
        </w:rPr>
        <w:t>the “millions” owed to them under the law.</w:t>
      </w:r>
    </w:p>
    <w:p w:rsidR="003D775C" w:rsidRPr="00957C6E" w:rsidP="00957C6E">
      <w:pPr>
        <w:ind w:firstLine="720"/>
        <w:contextualSpacing/>
        <w:rPr>
          <w:rStyle w:val="cohl"/>
          <w:szCs w:val="26"/>
        </w:rPr>
      </w:pPr>
      <w:r w:rsidRPr="00957C6E">
        <w:rPr>
          <w:rStyle w:val="cohl"/>
        </w:rPr>
        <w:t>Further,</w:t>
      </w:r>
      <w:r w:rsidRPr="00957C6E" w:rsidR="007C3336">
        <w:rPr>
          <w:rStyle w:val="cohl"/>
        </w:rPr>
        <w:t xml:space="preserve"> </w:t>
      </w:r>
      <w:r w:rsidRPr="00957C6E" w:rsidR="007C3336">
        <w:rPr>
          <w:rStyle w:val="cohl"/>
          <w:i/>
        </w:rPr>
        <w:t>Claxton</w:t>
      </w:r>
      <w:r w:rsidRPr="00957C6E" w:rsidR="007C3336">
        <w:rPr>
          <w:rStyle w:val="cohl"/>
        </w:rPr>
        <w:t xml:space="preserve"> does not suggest that retroactivity is disfavored when a judicial decision may have the substantive effect of imposing liability.  </w:t>
      </w:r>
      <w:r w:rsidRPr="00957C6E" w:rsidR="00BF7B7C">
        <w:rPr>
          <w:rStyle w:val="cohl"/>
        </w:rPr>
        <w:t xml:space="preserve">In </w:t>
      </w:r>
      <w:r w:rsidRPr="00957C6E">
        <w:rPr>
          <w:i/>
          <w:iCs/>
          <w:szCs w:val="26"/>
        </w:rPr>
        <w:t>Claxton</w:t>
      </w:r>
      <w:r w:rsidRPr="00957C6E">
        <w:rPr>
          <w:szCs w:val="26"/>
        </w:rPr>
        <w:t xml:space="preserve">, we explained that one consideration relevant to the retroactivity determination was </w:t>
      </w:r>
      <w:r w:rsidRPr="00957C6E" w:rsidR="00B9462D">
        <w:rPr>
          <w:szCs w:val="26"/>
        </w:rPr>
        <w:t>“</w:t>
      </w:r>
      <w:r w:rsidR="003B70E4">
        <w:rPr>
          <w:szCs w:val="26"/>
        </w:rPr>
        <w:t> ‘ “</w:t>
      </w:r>
      <w:r w:rsidRPr="00957C6E">
        <w:rPr>
          <w:szCs w:val="26"/>
        </w:rPr>
        <w:t>the nature of the change as substantive or procedural</w:t>
      </w:r>
      <w:r w:rsidRPr="00957C6E" w:rsidR="00B9462D">
        <w:rPr>
          <w:szCs w:val="26"/>
        </w:rPr>
        <w:t>.”</w:t>
      </w:r>
      <w:r w:rsidR="00A91B26">
        <w:rPr>
          <w:szCs w:val="26"/>
        </w:rPr>
        <w:t> </w:t>
      </w:r>
      <w:r w:rsidR="003B70E4">
        <w:rPr>
          <w:szCs w:val="26"/>
        </w:rPr>
        <w:t>’</w:t>
      </w:r>
      <w:r w:rsidR="00A91B26">
        <w:rPr>
          <w:szCs w:val="26"/>
        </w:rPr>
        <w:t> </w:t>
      </w:r>
      <w:r w:rsidR="003B70E4">
        <w:rPr>
          <w:szCs w:val="26"/>
        </w:rPr>
        <w:t>”</w:t>
      </w:r>
      <w:r w:rsidRPr="00957C6E" w:rsidR="00CA78A4">
        <w:rPr>
          <w:szCs w:val="26"/>
        </w:rPr>
        <w:t xml:space="preserve">  (</w:t>
      </w:r>
      <w:r w:rsidR="003B70E4">
        <w:rPr>
          <w:i/>
          <w:szCs w:val="26"/>
        </w:rPr>
        <w:t>Claxton, supra</w:t>
      </w:r>
      <w:r w:rsidR="003B70E4">
        <w:rPr>
          <w:iCs/>
          <w:szCs w:val="26"/>
        </w:rPr>
        <w:t>, 34 Cal.4th</w:t>
      </w:r>
      <w:r w:rsidRPr="00957C6E" w:rsidR="00CA78A4">
        <w:rPr>
          <w:szCs w:val="26"/>
        </w:rPr>
        <w:t xml:space="preserve"> at p. 378,</w:t>
      </w:r>
      <w:r w:rsidRPr="00957C6E">
        <w:rPr>
          <w:szCs w:val="26"/>
        </w:rPr>
        <w:t xml:space="preserve"> </w:t>
      </w:r>
      <w:r w:rsidRPr="00957C6E" w:rsidR="00271ADA">
        <w:rPr>
          <w:szCs w:val="26"/>
        </w:rPr>
        <w:t>quoting</w:t>
      </w:r>
      <w:r w:rsidRPr="00957C6E">
        <w:rPr>
          <w:szCs w:val="26"/>
        </w:rPr>
        <w:t xml:space="preserve"> </w:t>
      </w:r>
      <w:r w:rsidRPr="00957C6E">
        <w:rPr>
          <w:i/>
          <w:iCs/>
          <w:szCs w:val="26"/>
        </w:rPr>
        <w:t>Smith v. Rae-Venter Law Group</w:t>
      </w:r>
      <w:r w:rsidRPr="00957C6E">
        <w:rPr>
          <w:szCs w:val="26"/>
        </w:rPr>
        <w:t xml:space="preserve"> (2002) 29 Cal.4th 345, 372.</w:t>
      </w:r>
      <w:r w:rsidRPr="00957C6E" w:rsidR="00CA78A4">
        <w:rPr>
          <w:szCs w:val="26"/>
        </w:rPr>
        <w:t xml:space="preserve">)  </w:t>
      </w:r>
      <w:r w:rsidRPr="00957C6E" w:rsidR="008773EE">
        <w:rPr>
          <w:szCs w:val="26"/>
        </w:rPr>
        <w:t>In</w:t>
      </w:r>
      <w:r w:rsidRPr="00957C6E" w:rsidR="00271ADA">
        <w:rPr>
          <w:szCs w:val="26"/>
        </w:rPr>
        <w:t xml:space="preserve"> </w:t>
      </w:r>
      <w:r w:rsidRPr="00957C6E" w:rsidR="00271ADA">
        <w:rPr>
          <w:i/>
          <w:szCs w:val="26"/>
        </w:rPr>
        <w:t>Smith</w:t>
      </w:r>
      <w:r w:rsidRPr="00957C6E" w:rsidR="008773EE">
        <w:rPr>
          <w:iCs/>
          <w:szCs w:val="26"/>
        </w:rPr>
        <w:t>, we</w:t>
      </w:r>
      <w:r w:rsidRPr="00957C6E" w:rsidR="00CA78A4">
        <w:rPr>
          <w:szCs w:val="26"/>
        </w:rPr>
        <w:t xml:space="preserve"> </w:t>
      </w:r>
      <w:r w:rsidRPr="00957C6E">
        <w:rPr>
          <w:szCs w:val="26"/>
        </w:rPr>
        <w:t xml:space="preserve">relied on </w:t>
      </w:r>
      <w:r w:rsidRPr="00957C6E">
        <w:rPr>
          <w:i/>
          <w:iCs/>
          <w:szCs w:val="26"/>
        </w:rPr>
        <w:t>Woods v. Young</w:t>
      </w:r>
      <w:r w:rsidRPr="00957C6E">
        <w:rPr>
          <w:szCs w:val="26"/>
        </w:rPr>
        <w:t xml:space="preserve"> (1991) 53 Cal.3d 315, </w:t>
      </w:r>
      <w:r w:rsidRPr="00957C6E" w:rsidR="00271ADA">
        <w:rPr>
          <w:szCs w:val="26"/>
        </w:rPr>
        <w:t xml:space="preserve">where </w:t>
      </w:r>
      <w:r w:rsidRPr="00957C6E">
        <w:rPr>
          <w:szCs w:val="26"/>
        </w:rPr>
        <w:t>we</w:t>
      </w:r>
      <w:r w:rsidRPr="00957C6E" w:rsidR="00271ADA">
        <w:rPr>
          <w:szCs w:val="26"/>
        </w:rPr>
        <w:t xml:space="preserve"> declined to </w:t>
      </w:r>
      <w:r w:rsidRPr="00957C6E">
        <w:rPr>
          <w:szCs w:val="26"/>
        </w:rPr>
        <w:t>appl</w:t>
      </w:r>
      <w:r w:rsidRPr="00957C6E" w:rsidR="00271ADA">
        <w:rPr>
          <w:szCs w:val="26"/>
        </w:rPr>
        <w:t>y retroactively</w:t>
      </w:r>
      <w:r w:rsidRPr="00957C6E">
        <w:rPr>
          <w:szCs w:val="26"/>
        </w:rPr>
        <w:t xml:space="preserve"> our decision involving </w:t>
      </w:r>
      <w:r w:rsidRPr="00957C6E" w:rsidR="00287130">
        <w:rPr>
          <w:szCs w:val="26"/>
        </w:rPr>
        <w:t>a</w:t>
      </w:r>
      <w:r w:rsidRPr="00957C6E">
        <w:rPr>
          <w:szCs w:val="26"/>
        </w:rPr>
        <w:t xml:space="preserve"> statute of limitations for medical malpractice actions.  (</w:t>
      </w:r>
      <w:r w:rsidRPr="00957C6E" w:rsidR="00CA58EC">
        <w:rPr>
          <w:i/>
          <w:iCs/>
          <w:szCs w:val="26"/>
        </w:rPr>
        <w:t>Woods</w:t>
      </w:r>
      <w:r w:rsidRPr="00957C6E" w:rsidR="00CA58EC">
        <w:rPr>
          <w:szCs w:val="26"/>
        </w:rPr>
        <w:t>,</w:t>
      </w:r>
      <w:r w:rsidRPr="00957C6E" w:rsidR="00271ADA">
        <w:rPr>
          <w:iCs/>
          <w:szCs w:val="26"/>
        </w:rPr>
        <w:t xml:space="preserve"> </w:t>
      </w:r>
      <w:r w:rsidRPr="00957C6E" w:rsidR="007A3ED1">
        <w:rPr>
          <w:szCs w:val="26"/>
        </w:rPr>
        <w:t xml:space="preserve">at p. 330.)  </w:t>
      </w:r>
      <w:r w:rsidRPr="00957C6E">
        <w:rPr>
          <w:szCs w:val="26"/>
        </w:rPr>
        <w:t xml:space="preserve">The decision </w:t>
      </w:r>
      <w:r w:rsidRPr="00957C6E">
        <w:rPr>
          <w:iCs/>
          <w:szCs w:val="26"/>
        </w:rPr>
        <w:t>in</w:t>
      </w:r>
      <w:r w:rsidRPr="00957C6E">
        <w:rPr>
          <w:szCs w:val="26"/>
        </w:rPr>
        <w:t xml:space="preserve"> </w:t>
      </w:r>
      <w:r w:rsidRPr="00957C6E">
        <w:rPr>
          <w:i/>
          <w:szCs w:val="26"/>
        </w:rPr>
        <w:t>Woods</w:t>
      </w:r>
      <w:r w:rsidRPr="00957C6E">
        <w:rPr>
          <w:szCs w:val="26"/>
        </w:rPr>
        <w:t xml:space="preserve"> was “procedural, affecting only the calculation of the limitations period.”  (</w:t>
      </w:r>
      <w:r w:rsidRPr="00957C6E">
        <w:rPr>
          <w:i/>
          <w:iCs/>
          <w:szCs w:val="26"/>
        </w:rPr>
        <w:t>I</w:t>
      </w:r>
      <w:r w:rsidRPr="00957C6E" w:rsidR="00271ADA">
        <w:rPr>
          <w:i/>
          <w:iCs/>
          <w:szCs w:val="26"/>
        </w:rPr>
        <w:t>bi</w:t>
      </w:r>
      <w:r w:rsidRPr="00957C6E">
        <w:rPr>
          <w:i/>
          <w:iCs/>
          <w:szCs w:val="26"/>
        </w:rPr>
        <w:t>d.</w:t>
      </w:r>
      <w:r w:rsidRPr="00957C6E">
        <w:rPr>
          <w:szCs w:val="26"/>
        </w:rPr>
        <w:t>)  “Prospective application will not remove any substantive defense to which defendants would otherwise be entitled,” we explained, but retroactive application “would bar plaintiffs’ actions regardless of their merits.</w:t>
      </w:r>
      <w:r w:rsidRPr="00957C6E" w:rsidR="00650B50">
        <w:rPr>
          <w:szCs w:val="26"/>
        </w:rPr>
        <w:t>”  (</w:t>
      </w:r>
      <w:r w:rsidRPr="00957C6E" w:rsidR="00650B50">
        <w:rPr>
          <w:i/>
          <w:iCs/>
          <w:szCs w:val="26"/>
        </w:rPr>
        <w:t>Ibid.</w:t>
      </w:r>
      <w:r w:rsidRPr="00957C6E" w:rsidR="00271ADA">
        <w:rPr>
          <w:iCs/>
          <w:szCs w:val="26"/>
        </w:rPr>
        <w:t xml:space="preserve"> [</w:t>
      </w:r>
      <w:r w:rsidRPr="00957C6E" w:rsidR="00650B50">
        <w:rPr>
          <w:szCs w:val="26"/>
        </w:rPr>
        <w:t>“</w:t>
      </w:r>
      <w:r w:rsidRPr="00957C6E">
        <w:rPr>
          <w:szCs w:val="26"/>
        </w:rPr>
        <w:t>Retroactive application of an unforeseeable procedural change is disfavored when such application would deprive a litigant of ‘any remedy whatsoever</w:t>
      </w:r>
      <w:r w:rsidRPr="00957C6E" w:rsidR="00271ADA">
        <w:rPr>
          <w:szCs w:val="26"/>
        </w:rPr>
        <w:t>.</w:t>
      </w:r>
      <w:r w:rsidRPr="00957C6E">
        <w:rPr>
          <w:szCs w:val="26"/>
        </w:rPr>
        <w:t>’</w:t>
      </w:r>
      <w:r w:rsidRPr="00957C6E">
        <w:t> </w:t>
      </w:r>
      <w:r w:rsidRPr="00957C6E">
        <w:rPr>
          <w:szCs w:val="26"/>
        </w:rPr>
        <w:t>”</w:t>
      </w:r>
      <w:r w:rsidRPr="00957C6E" w:rsidR="00271ADA">
        <w:rPr>
          <w:szCs w:val="26"/>
        </w:rPr>
        <w:t>].)</w:t>
      </w:r>
      <w:r w:rsidRPr="00957C6E" w:rsidR="007C3336">
        <w:rPr>
          <w:szCs w:val="26"/>
        </w:rPr>
        <w:t xml:space="preserve">  </w:t>
      </w:r>
      <w:r w:rsidRPr="00957C6E">
        <w:rPr>
          <w:szCs w:val="26"/>
        </w:rPr>
        <w:t>Here, our decision will not deprive a</w:t>
      </w:r>
      <w:r w:rsidRPr="00957C6E" w:rsidR="00271ADA">
        <w:rPr>
          <w:szCs w:val="26"/>
        </w:rPr>
        <w:t>ny</w:t>
      </w:r>
      <w:r w:rsidRPr="00957C6E">
        <w:rPr>
          <w:szCs w:val="26"/>
        </w:rPr>
        <w:t xml:space="preserve"> litigant of a remedy</w:t>
      </w:r>
      <w:r w:rsidRPr="00957C6E" w:rsidR="00271ADA">
        <w:rPr>
          <w:szCs w:val="26"/>
        </w:rPr>
        <w:t xml:space="preserve"> or defense</w:t>
      </w:r>
      <w:r w:rsidRPr="00957C6E">
        <w:rPr>
          <w:szCs w:val="26"/>
        </w:rPr>
        <w:t xml:space="preserve">.  An employee may claim that his or her employer has violated </w:t>
      </w:r>
      <w:r w:rsidRPr="00957C6E" w:rsidR="00B9462D">
        <w:rPr>
          <w:szCs w:val="26"/>
        </w:rPr>
        <w:t>section </w:t>
      </w:r>
      <w:r w:rsidRPr="00957C6E">
        <w:rPr>
          <w:szCs w:val="26"/>
        </w:rPr>
        <w:t xml:space="preserve">226.7, and </w:t>
      </w:r>
      <w:r w:rsidRPr="00957C6E" w:rsidR="00271ADA">
        <w:rPr>
          <w:szCs w:val="26"/>
        </w:rPr>
        <w:t>the</w:t>
      </w:r>
      <w:r w:rsidRPr="00957C6E">
        <w:rPr>
          <w:szCs w:val="26"/>
        </w:rPr>
        <w:t xml:space="preserve"> employer may defend against such </w:t>
      </w:r>
      <w:r w:rsidRPr="00957C6E" w:rsidR="00271ADA">
        <w:rPr>
          <w:szCs w:val="26"/>
        </w:rPr>
        <w:t xml:space="preserve">a </w:t>
      </w:r>
      <w:r w:rsidRPr="00957C6E">
        <w:rPr>
          <w:szCs w:val="26"/>
        </w:rPr>
        <w:t xml:space="preserve">claim as </w:t>
      </w:r>
      <w:r w:rsidRPr="00957C6E" w:rsidR="00271ADA">
        <w:rPr>
          <w:szCs w:val="26"/>
        </w:rPr>
        <w:t xml:space="preserve">it has </w:t>
      </w:r>
      <w:r w:rsidRPr="00957C6E">
        <w:rPr>
          <w:szCs w:val="26"/>
        </w:rPr>
        <w:t xml:space="preserve">always done.  We </w:t>
      </w:r>
      <w:r w:rsidRPr="00957C6E" w:rsidR="00271ADA">
        <w:rPr>
          <w:szCs w:val="26"/>
        </w:rPr>
        <w:t>have simply</w:t>
      </w:r>
      <w:r w:rsidRPr="00957C6E">
        <w:rPr>
          <w:szCs w:val="26"/>
        </w:rPr>
        <w:t xml:space="preserve"> </w:t>
      </w:r>
      <w:r w:rsidRPr="00957C6E">
        <w:rPr>
          <w:szCs w:val="26"/>
        </w:rPr>
        <w:t>determined</w:t>
      </w:r>
      <w:r w:rsidRPr="00957C6E">
        <w:rPr>
          <w:szCs w:val="26"/>
        </w:rPr>
        <w:t xml:space="preserve"> how </w:t>
      </w:r>
      <w:r w:rsidRPr="00957C6E">
        <w:rPr>
          <w:szCs w:val="26"/>
        </w:rPr>
        <w:t xml:space="preserve">the Legislature intended </w:t>
      </w:r>
      <w:r w:rsidRPr="00957C6E">
        <w:rPr>
          <w:szCs w:val="26"/>
        </w:rPr>
        <w:t xml:space="preserve">premium pay </w:t>
      </w:r>
      <w:r w:rsidRPr="00957C6E">
        <w:rPr>
          <w:szCs w:val="26"/>
        </w:rPr>
        <w:t xml:space="preserve">to be calculated </w:t>
      </w:r>
      <w:r w:rsidRPr="00957C6E">
        <w:rPr>
          <w:szCs w:val="26"/>
        </w:rPr>
        <w:t xml:space="preserve">under </w:t>
      </w:r>
      <w:r w:rsidRPr="00957C6E">
        <w:rPr>
          <w:szCs w:val="26"/>
        </w:rPr>
        <w:t>section</w:t>
      </w:r>
      <w:r w:rsidRPr="00957C6E">
        <w:rPr>
          <w:szCs w:val="26"/>
        </w:rPr>
        <w:t> 226.7</w:t>
      </w:r>
      <w:r w:rsidRPr="00957C6E">
        <w:rPr>
          <w:szCs w:val="26"/>
        </w:rPr>
        <w:t>(c)</w:t>
      </w:r>
      <w:r w:rsidRPr="00957C6E">
        <w:rPr>
          <w:szCs w:val="26"/>
        </w:rPr>
        <w:t>, nothing more.</w:t>
      </w:r>
    </w:p>
    <w:p w:rsidR="00B83E45" w:rsidRPr="00957C6E" w:rsidP="00957C6E">
      <w:pPr>
        <w:ind w:firstLine="720"/>
        <w:contextualSpacing/>
        <w:rPr>
          <w:shd w:val="clear" w:color="auto" w:fill="FFFFFF"/>
        </w:rPr>
      </w:pPr>
      <w:r w:rsidRPr="00957C6E">
        <w:rPr>
          <w:rStyle w:val="cohl"/>
        </w:rPr>
        <w:t>T</w:t>
      </w:r>
      <w:r w:rsidRPr="00957C6E" w:rsidR="008B6035">
        <w:rPr>
          <w:rStyle w:val="cohl"/>
        </w:rPr>
        <w:t xml:space="preserve">hird, Loews asserts that applying our decision prospectively only would </w:t>
      </w:r>
      <w:r w:rsidRPr="00957C6E" w:rsidR="00531B45">
        <w:rPr>
          <w:rStyle w:val="cohl"/>
        </w:rPr>
        <w:t>not negatively impact the administration of justice or frustrate the purpose our decision.</w:t>
      </w:r>
      <w:r w:rsidRPr="00957C6E" w:rsidR="004D7A90">
        <w:rPr>
          <w:rStyle w:val="cohl"/>
        </w:rPr>
        <w:t xml:space="preserve">  </w:t>
      </w:r>
      <w:r w:rsidRPr="00957C6E">
        <w:rPr>
          <w:rStyle w:val="cohl"/>
        </w:rPr>
        <w:t>But “i</w:t>
      </w:r>
      <w:r w:rsidRPr="00957C6E" w:rsidR="00BB239C">
        <w:rPr>
          <w:rStyle w:val="cohl"/>
        </w:rPr>
        <w:t>f we were to restrict our holding to prospective application, we would, in effect, negate</w:t>
      </w:r>
      <w:r w:rsidRPr="00957C6E">
        <w:rPr>
          <w:rStyle w:val="cohl"/>
        </w:rPr>
        <w:t>” the full extent of the remedy “</w:t>
      </w:r>
      <w:r w:rsidRPr="00957C6E" w:rsidR="00BB239C">
        <w:rPr>
          <w:rStyle w:val="cohl"/>
        </w:rPr>
        <w:t>that the Legislature has determined to be appropriate in this context</w:t>
      </w:r>
      <w:r w:rsidRPr="00957C6E">
        <w:rPr>
          <w:rStyle w:val="cohl"/>
        </w:rPr>
        <w:t>,” thereby “exceed[ing] our appropriate judicial role.”</w:t>
      </w:r>
      <w:r w:rsidRPr="00957C6E">
        <w:rPr>
          <w:rStyle w:val="cohl"/>
        </w:rPr>
        <w:t xml:space="preserve">  </w:t>
      </w:r>
      <w:r w:rsidRPr="00957C6E">
        <w:rPr>
          <w:rStyle w:val="cohl"/>
        </w:rPr>
        <w:t>(</w:t>
      </w:r>
      <w:r w:rsidRPr="00957C6E">
        <w:rPr>
          <w:rStyle w:val="cohl"/>
          <w:i/>
          <w:iCs/>
        </w:rPr>
        <w:t>Alvarado</w:t>
      </w:r>
      <w:r w:rsidRPr="00957C6E">
        <w:rPr>
          <w:rStyle w:val="cohl"/>
        </w:rPr>
        <w:t xml:space="preserve">, </w:t>
      </w:r>
      <w:r w:rsidRPr="00957C6E">
        <w:rPr>
          <w:rStyle w:val="cohl"/>
          <w:i/>
          <w:iCs/>
        </w:rPr>
        <w:t>supra</w:t>
      </w:r>
      <w:r w:rsidRPr="00957C6E">
        <w:rPr>
          <w:rStyle w:val="cohl"/>
        </w:rPr>
        <w:t xml:space="preserve">, 4 Cal.5th </w:t>
      </w:r>
      <w:r w:rsidRPr="00957C6E">
        <w:rPr>
          <w:rStyle w:val="cohl"/>
        </w:rPr>
        <w:t>at p. </w:t>
      </w:r>
      <w:r w:rsidRPr="00957C6E">
        <w:rPr>
          <w:rStyle w:val="cohl"/>
        </w:rPr>
        <w:t>573</w:t>
      </w:r>
      <w:r w:rsidRPr="00957C6E">
        <w:rPr>
          <w:rStyle w:val="cohl"/>
        </w:rPr>
        <w:t xml:space="preserve">.)  </w:t>
      </w:r>
      <w:r w:rsidRPr="00957C6E" w:rsidR="005175C6">
        <w:rPr>
          <w:rStyle w:val="cohl"/>
        </w:rPr>
        <w:t xml:space="preserve">Loews also argues </w:t>
      </w:r>
      <w:r w:rsidRPr="00957C6E" w:rsidR="00750D7D">
        <w:rPr>
          <w:rStyle w:val="cohl"/>
        </w:rPr>
        <w:t xml:space="preserve">that our interpretation </w:t>
      </w:r>
      <w:r w:rsidRPr="00957C6E" w:rsidR="00615F3C">
        <w:rPr>
          <w:rStyle w:val="cohl"/>
        </w:rPr>
        <w:t>of</w:t>
      </w:r>
      <w:r w:rsidRPr="00957C6E" w:rsidR="00750D7D">
        <w:rPr>
          <w:rStyle w:val="cohl"/>
        </w:rPr>
        <w:t xml:space="preserve"> section 226.7</w:t>
      </w:r>
      <w:r w:rsidRPr="00957C6E">
        <w:rPr>
          <w:rStyle w:val="cohl"/>
        </w:rPr>
        <w:t>(c)</w:t>
      </w:r>
      <w:r w:rsidRPr="00957C6E" w:rsidR="00750D7D">
        <w:rPr>
          <w:rStyle w:val="cohl"/>
        </w:rPr>
        <w:t xml:space="preserve"> </w:t>
      </w:r>
      <w:r w:rsidRPr="00957C6E" w:rsidR="00615F3C">
        <w:rPr>
          <w:rStyle w:val="cohl"/>
        </w:rPr>
        <w:t xml:space="preserve">violates </w:t>
      </w:r>
      <w:r w:rsidRPr="00957C6E" w:rsidR="00536D5D">
        <w:rPr>
          <w:rStyle w:val="cohl"/>
        </w:rPr>
        <w:t>due process because ordinary people could not have foreseen our interpretation</w:t>
      </w:r>
      <w:r w:rsidRPr="00957C6E">
        <w:rPr>
          <w:rStyle w:val="cohl"/>
        </w:rPr>
        <w:t>, but we</w:t>
      </w:r>
      <w:r w:rsidRPr="00957C6E" w:rsidR="00194AEA">
        <w:rPr>
          <w:rStyle w:val="cohl"/>
        </w:rPr>
        <w:t xml:space="preserve"> have rejected similar arguments before.</w:t>
      </w:r>
      <w:r w:rsidRPr="00957C6E">
        <w:rPr>
          <w:rStyle w:val="cohl"/>
        </w:rPr>
        <w:t xml:space="preserve">  (See </w:t>
      </w:r>
      <w:r w:rsidRPr="00957C6E">
        <w:rPr>
          <w:rStyle w:val="cohl"/>
          <w:i/>
        </w:rPr>
        <w:t>Alvarado</w:t>
      </w:r>
      <w:r w:rsidRPr="00957C6E">
        <w:rPr>
          <w:rStyle w:val="cohl"/>
        </w:rPr>
        <w:t>, at p. 572 [“This argument, too, is meritless.”].)  Because our reading of “regular rate of compensation” in section 226.7(c) is “[o]ne very reasonable way to construe” the phrase, Loews “</w:t>
      </w:r>
      <w:r w:rsidRPr="00957C6E">
        <w:rPr>
          <w:shd w:val="clear" w:color="auto" w:fill="FFFFFF"/>
        </w:rPr>
        <w:t>is simply wrong when it argues that ordinary people could not have predicted plaintiff's interpretation, and that it would violate defendant</w:t>
      </w:r>
      <w:r w:rsidRPr="00957C6E" w:rsidR="00170FF2">
        <w:rPr>
          <w:shd w:val="clear" w:color="auto" w:fill="FFFFFF"/>
        </w:rPr>
        <w:t>’</w:t>
      </w:r>
      <w:r w:rsidRPr="00957C6E">
        <w:rPr>
          <w:shd w:val="clear" w:color="auto" w:fill="FFFFFF"/>
        </w:rPr>
        <w:t>s due process rights to adopt that interpretation.”  (</w:t>
      </w:r>
      <w:r w:rsidRPr="00957C6E">
        <w:rPr>
          <w:i/>
          <w:shd w:val="clear" w:color="auto" w:fill="FFFFFF"/>
        </w:rPr>
        <w:t>Alvarado</w:t>
      </w:r>
      <w:r w:rsidRPr="00957C6E">
        <w:rPr>
          <w:shd w:val="clear" w:color="auto" w:fill="FFFFFF"/>
        </w:rPr>
        <w:t>, at p. 572.)</w:t>
      </w:r>
    </w:p>
    <w:p w:rsidR="00027B2C" w:rsidP="00957C6E">
      <w:pPr>
        <w:ind w:firstLine="720"/>
        <w:rPr>
          <w:shd w:val="clear" w:color="auto" w:fill="FFFFFF"/>
        </w:rPr>
      </w:pPr>
      <w:r w:rsidRPr="00957C6E">
        <w:rPr>
          <w:shd w:val="clear" w:color="auto" w:fill="FFFFFF"/>
        </w:rPr>
        <w:t>For the</w:t>
      </w:r>
      <w:r w:rsidR="001A3838">
        <w:rPr>
          <w:shd w:val="clear" w:color="auto" w:fill="FFFFFF"/>
        </w:rPr>
        <w:t>se</w:t>
      </w:r>
      <w:r w:rsidRPr="00957C6E">
        <w:rPr>
          <w:shd w:val="clear" w:color="auto" w:fill="FFFFFF"/>
        </w:rPr>
        <w:t xml:space="preserve"> reasons, we reject Loews’s </w:t>
      </w:r>
      <w:r w:rsidRPr="00957C6E" w:rsidR="00FB0D8A">
        <w:rPr>
          <w:shd w:val="clear" w:color="auto" w:fill="FFFFFF"/>
        </w:rPr>
        <w:t>request that we apply our decision only prospectively.</w:t>
      </w:r>
      <w:r>
        <w:rPr>
          <w:shd w:val="clear" w:color="auto" w:fill="FFFFFF"/>
        </w:rPr>
        <w:br w:type="page"/>
      </w:r>
    </w:p>
    <w:p w:rsidR="00DD60D1" w:rsidRPr="00957C6E" w:rsidP="000275F0">
      <w:pPr>
        <w:keepNext/>
        <w:tabs>
          <w:tab w:val="left" w:pos="1440"/>
        </w:tabs>
        <w:jc w:val="center"/>
        <w:rPr>
          <w:b/>
          <w:bCs/>
        </w:rPr>
      </w:pPr>
      <w:r w:rsidRPr="00957C6E">
        <w:rPr>
          <w:b/>
          <w:bCs/>
        </w:rPr>
        <w:t>CONCLUSION</w:t>
      </w:r>
    </w:p>
    <w:p w:rsidR="00DD60D1" w:rsidRPr="00957C6E" w:rsidP="00957C6E">
      <w:pPr>
        <w:ind w:firstLine="720"/>
        <w:rPr>
          <w:rStyle w:val="cohl"/>
        </w:rPr>
      </w:pPr>
      <w:r>
        <w:rPr>
          <w:rStyle w:val="cohl"/>
        </w:rPr>
        <w:t>We</w:t>
      </w:r>
      <w:r w:rsidRPr="00957C6E" w:rsidR="00BE74A0">
        <w:rPr>
          <w:rStyle w:val="cohl"/>
        </w:rPr>
        <w:t xml:space="preserve"> reverse the judgment of the Court of Appeal and remand for further proceedings consistent with this opinion.</w:t>
      </w:r>
    </w:p>
    <w:p w:rsidR="00FB0D8A" w:rsidRPr="00957C6E" w:rsidP="00957C6E">
      <w:pPr>
        <w:ind w:firstLine="720"/>
        <w:rPr>
          <w:rStyle w:val="cohl"/>
        </w:rPr>
      </w:pPr>
    </w:p>
    <w:p w:rsidR="00FB0D8A" w:rsidRPr="00957C6E" w:rsidP="00A17059">
      <w:pPr>
        <w:ind w:left="6480"/>
        <w:rPr>
          <w:rStyle w:val="cohl"/>
        </w:rPr>
      </w:pPr>
      <w:r w:rsidRPr="00957C6E">
        <w:rPr>
          <w:rStyle w:val="cohl"/>
          <w:b/>
        </w:rPr>
        <w:t>LIU, J.</w:t>
      </w:r>
    </w:p>
    <w:p w:rsidR="00FB0D8A" w:rsidRPr="00957C6E" w:rsidP="00A02F83">
      <w:pPr>
        <w:ind w:left="4320" w:firstLine="720"/>
        <w:jc w:val="left"/>
        <w:rPr>
          <w:rStyle w:val="cohl"/>
        </w:rPr>
      </w:pPr>
    </w:p>
    <w:p w:rsidR="00FB0D8A" w:rsidP="00957C6E">
      <w:pPr>
        <w:rPr>
          <w:rStyle w:val="cohl"/>
          <w:b/>
          <w:bCs/>
        </w:rPr>
      </w:pPr>
      <w:r>
        <w:rPr>
          <w:rStyle w:val="cohl"/>
          <w:b/>
          <w:bCs/>
        </w:rPr>
        <w:t>We Concur:</w:t>
      </w:r>
    </w:p>
    <w:p w:rsidR="00A02F83" w:rsidRPr="00146FD3" w:rsidP="00A02F83">
      <w:pPr>
        <w:spacing w:after="0" w:line="240" w:lineRule="auto"/>
        <w:rPr>
          <w:rFonts w:ascii="Calibri" w:hAnsi="Calibri"/>
          <w:b/>
          <w:sz w:val="22"/>
          <w:lang w:val="it-IT"/>
        </w:rPr>
      </w:pPr>
      <w:r w:rsidRPr="00146FD3">
        <w:rPr>
          <w:b/>
          <w:lang w:val="it-IT"/>
        </w:rPr>
        <w:t>CANTIL-SAKAUYE, C.</w:t>
      </w:r>
      <w:r w:rsidR="009E526B">
        <w:rPr>
          <w:b/>
          <w:lang w:val="it-IT"/>
        </w:rPr>
        <w:t> </w:t>
      </w:r>
      <w:r w:rsidRPr="00146FD3">
        <w:rPr>
          <w:b/>
          <w:lang w:val="it-IT"/>
        </w:rPr>
        <w:t>J.</w:t>
      </w:r>
    </w:p>
    <w:p w:rsidR="00A02F83" w:rsidRPr="00146FD3" w:rsidP="00A02F83">
      <w:pPr>
        <w:spacing w:after="0" w:line="240" w:lineRule="auto"/>
        <w:rPr>
          <w:b/>
          <w:lang w:val="it-IT"/>
        </w:rPr>
      </w:pPr>
      <w:r w:rsidRPr="00146FD3">
        <w:rPr>
          <w:b/>
          <w:lang w:val="it-IT"/>
        </w:rPr>
        <w:t>CORRIGAN, J.</w:t>
      </w:r>
    </w:p>
    <w:p w:rsidR="00A02F83" w:rsidRPr="00146FD3" w:rsidP="00A02F83">
      <w:pPr>
        <w:spacing w:after="0" w:line="240" w:lineRule="auto"/>
        <w:rPr>
          <w:b/>
          <w:lang w:val="it-IT"/>
        </w:rPr>
      </w:pPr>
      <w:r w:rsidRPr="00146FD3">
        <w:rPr>
          <w:b/>
          <w:lang w:val="it-IT"/>
        </w:rPr>
        <w:t>CUÉLLAR, J.</w:t>
      </w:r>
    </w:p>
    <w:p w:rsidR="00A02F83" w:rsidP="00A02F83">
      <w:pPr>
        <w:spacing w:after="0" w:line="240" w:lineRule="auto"/>
        <w:jc w:val="left"/>
        <w:rPr>
          <w:b/>
          <w:lang w:val="it-IT"/>
        </w:rPr>
      </w:pPr>
      <w:r w:rsidRPr="00146FD3">
        <w:rPr>
          <w:b/>
          <w:lang w:val="it-IT"/>
        </w:rPr>
        <w:t>KRUGER, J.</w:t>
      </w:r>
    </w:p>
    <w:p w:rsidR="00A02F83" w:rsidP="00A02F83">
      <w:pPr>
        <w:spacing w:after="0" w:line="240" w:lineRule="auto"/>
        <w:jc w:val="left"/>
        <w:rPr>
          <w:b/>
        </w:rPr>
      </w:pPr>
      <w:r>
        <w:rPr>
          <w:b/>
        </w:rPr>
        <w:t>GROBAN, J.</w:t>
      </w:r>
    </w:p>
    <w:p w:rsidR="00A02F83" w:rsidP="00A02F83">
      <w:pPr>
        <w:spacing w:after="0" w:line="240" w:lineRule="auto"/>
        <w:jc w:val="left"/>
        <w:rPr>
          <w:b/>
        </w:rPr>
      </w:pPr>
      <w:r>
        <w:rPr>
          <w:b/>
        </w:rPr>
        <w:t>JENKINS, J.</w:t>
      </w:r>
    </w:p>
    <w:p w:rsidR="00295139" w:rsidP="00957C6E">
      <w:pPr>
        <w:rPr>
          <w:rStyle w:val="cohl"/>
          <w:b/>
          <w:bCs/>
        </w:rPr>
        <w:sectPr w:rsidSect="00957C6E">
          <w:footerReference w:type="first" r:id="rId10"/>
          <w:pgSz w:w="12240" w:h="15840"/>
          <w:pgMar w:top="1800" w:right="2160" w:bottom="1440" w:left="2160" w:header="720" w:footer="720" w:gutter="0"/>
          <w:pgNumType w:start="1"/>
          <w:cols w:space="720"/>
          <w:titlePg/>
          <w:docGrid w:linePitch="367"/>
        </w:sectPr>
      </w:pPr>
    </w:p>
    <w:p w:rsidR="00295139" w:rsidRPr="00295139" w:rsidP="00295139">
      <w:pPr>
        <w:spacing w:after="0" w:line="240" w:lineRule="auto"/>
        <w:jc w:val="left"/>
        <w:rPr>
          <w:i/>
          <w:sz w:val="24"/>
          <w:szCs w:val="24"/>
        </w:rPr>
      </w:pPr>
      <w:r w:rsidRPr="00295139">
        <w:rPr>
          <w:i/>
          <w:sz w:val="24"/>
          <w:szCs w:val="24"/>
        </w:rPr>
        <w:t>See next page for addresses and telephone numbers for counsel who argued in Supreme Court.</w:t>
      </w:r>
    </w:p>
    <w:p w:rsidR="00295139" w:rsidRPr="00295139" w:rsidP="00295139">
      <w:pPr>
        <w:spacing w:after="0" w:line="240" w:lineRule="auto"/>
        <w:jc w:val="left"/>
        <w:rPr>
          <w:i/>
          <w:sz w:val="24"/>
          <w:szCs w:val="24"/>
        </w:rPr>
      </w:pPr>
    </w:p>
    <w:p w:rsidR="00295139" w:rsidRPr="00295139" w:rsidP="00295139">
      <w:pPr>
        <w:spacing w:after="0" w:line="240" w:lineRule="auto"/>
        <w:jc w:val="left"/>
        <w:rPr>
          <w:b/>
          <w:sz w:val="24"/>
          <w:szCs w:val="24"/>
        </w:rPr>
      </w:pPr>
      <w:r w:rsidRPr="00295139">
        <w:rPr>
          <w:b/>
          <w:sz w:val="24"/>
          <w:szCs w:val="24"/>
        </w:rPr>
        <w:t xml:space="preserve">Name of Opinion </w:t>
      </w:r>
      <w:r w:rsidRPr="00295139">
        <w:rPr>
          <w:bCs/>
          <w:sz w:val="24"/>
          <w:szCs w:val="24"/>
        </w:rPr>
        <w:t xml:space="preserve">Ferra v. Loews Hollywood Hotel, LLC </w:t>
      </w:r>
      <w:r w:rsidRPr="00295139">
        <w:rPr>
          <w:b/>
          <w:sz w:val="24"/>
          <w:szCs w:val="24"/>
        </w:rPr>
        <w:t xml:space="preserve">__________________________________________________________ </w:t>
      </w:r>
    </w:p>
    <w:p w:rsidR="00295139" w:rsidRPr="00295139" w:rsidP="00295139">
      <w:pPr>
        <w:spacing w:after="0" w:line="240" w:lineRule="auto"/>
        <w:jc w:val="left"/>
        <w:rPr>
          <w:b/>
          <w:sz w:val="24"/>
          <w:szCs w:val="24"/>
        </w:rPr>
      </w:pPr>
    </w:p>
    <w:p w:rsidR="00295139" w:rsidRPr="00295139" w:rsidP="00295139">
      <w:pPr>
        <w:spacing w:after="0" w:line="240" w:lineRule="auto"/>
        <w:jc w:val="left"/>
        <w:rPr>
          <w:sz w:val="24"/>
          <w:szCs w:val="24"/>
        </w:rPr>
      </w:pPr>
      <w:r w:rsidRPr="00295139">
        <w:rPr>
          <w:b/>
          <w:bCs/>
          <w:sz w:val="24"/>
          <w:szCs w:val="24"/>
          <w:u w:val="single"/>
        </w:rPr>
        <w:t>Procedural Posture</w:t>
      </w:r>
      <w:r w:rsidRPr="00295139">
        <w:rPr>
          <w:b/>
          <w:bCs/>
          <w:sz w:val="24"/>
          <w:szCs w:val="24"/>
        </w:rPr>
        <w:t xml:space="preserve"> </w:t>
      </w:r>
      <w:r w:rsidRPr="00295139">
        <w:rPr>
          <w:sz w:val="24"/>
          <w:szCs w:val="24"/>
        </w:rPr>
        <w:t>(see XX below)</w:t>
      </w:r>
    </w:p>
    <w:p w:rsidR="00295139" w:rsidRPr="00295139" w:rsidP="00295139">
      <w:pPr>
        <w:spacing w:after="0" w:line="240" w:lineRule="auto"/>
        <w:jc w:val="left"/>
        <w:rPr>
          <w:sz w:val="24"/>
          <w:szCs w:val="24"/>
        </w:rPr>
      </w:pPr>
      <w:r w:rsidRPr="00295139">
        <w:rPr>
          <w:b/>
          <w:bCs/>
          <w:sz w:val="24"/>
          <w:szCs w:val="24"/>
        </w:rPr>
        <w:t>Original Appeal</w:t>
      </w:r>
      <w:r w:rsidRPr="00295139">
        <w:rPr>
          <w:sz w:val="24"/>
          <w:szCs w:val="24"/>
        </w:rPr>
        <w:t xml:space="preserve"> </w:t>
      </w:r>
    </w:p>
    <w:p w:rsidR="00295139" w:rsidRPr="00295139" w:rsidP="00295139">
      <w:pPr>
        <w:spacing w:after="0" w:line="240" w:lineRule="auto"/>
        <w:jc w:val="left"/>
        <w:rPr>
          <w:b/>
          <w:bCs/>
          <w:sz w:val="24"/>
          <w:szCs w:val="24"/>
        </w:rPr>
      </w:pPr>
      <w:r w:rsidRPr="00295139">
        <w:rPr>
          <w:b/>
          <w:bCs/>
          <w:sz w:val="24"/>
          <w:szCs w:val="24"/>
        </w:rPr>
        <w:t>Original Proceeding</w:t>
      </w:r>
    </w:p>
    <w:p w:rsidR="00295139" w:rsidRPr="00295139" w:rsidP="00295139">
      <w:pPr>
        <w:spacing w:after="0" w:line="240" w:lineRule="auto"/>
        <w:jc w:val="left"/>
        <w:rPr>
          <w:sz w:val="24"/>
          <w:szCs w:val="24"/>
        </w:rPr>
      </w:pPr>
      <w:r w:rsidRPr="00295139">
        <w:rPr>
          <w:b/>
          <w:bCs/>
          <w:sz w:val="24"/>
          <w:szCs w:val="24"/>
        </w:rPr>
        <w:t>Review Granted</w:t>
      </w:r>
      <w:r w:rsidRPr="00295139">
        <w:rPr>
          <w:sz w:val="24"/>
          <w:szCs w:val="24"/>
        </w:rPr>
        <w:t xml:space="preserve"> </w:t>
      </w:r>
      <w:r w:rsidRPr="00295139">
        <w:rPr>
          <w:b/>
          <w:bCs/>
          <w:sz w:val="24"/>
          <w:szCs w:val="24"/>
        </w:rPr>
        <w:t xml:space="preserve">(published) </w:t>
      </w:r>
      <w:r w:rsidRPr="00295139">
        <w:rPr>
          <w:sz w:val="24"/>
          <w:szCs w:val="24"/>
        </w:rPr>
        <w:t>XX 40 Cal.App.5th 1239</w:t>
      </w:r>
    </w:p>
    <w:p w:rsidR="00295139" w:rsidRPr="00295139" w:rsidP="00295139">
      <w:pPr>
        <w:spacing w:after="0" w:line="240" w:lineRule="auto"/>
        <w:jc w:val="left"/>
        <w:rPr>
          <w:sz w:val="24"/>
          <w:szCs w:val="24"/>
        </w:rPr>
      </w:pPr>
      <w:r w:rsidRPr="00295139">
        <w:rPr>
          <w:b/>
          <w:bCs/>
          <w:sz w:val="24"/>
          <w:szCs w:val="24"/>
        </w:rPr>
        <w:t xml:space="preserve">Review Granted (unpublished) </w:t>
      </w:r>
    </w:p>
    <w:p w:rsidR="00295139" w:rsidRPr="00295139" w:rsidP="00295139">
      <w:pPr>
        <w:spacing w:after="0" w:line="240" w:lineRule="auto"/>
        <w:jc w:val="left"/>
        <w:rPr>
          <w:b/>
          <w:bCs/>
          <w:sz w:val="24"/>
          <w:szCs w:val="24"/>
        </w:rPr>
      </w:pPr>
      <w:r w:rsidRPr="00295139">
        <w:rPr>
          <w:b/>
          <w:bCs/>
          <w:sz w:val="24"/>
          <w:szCs w:val="24"/>
        </w:rPr>
        <w:t>Rehearing Granted</w:t>
      </w:r>
    </w:p>
    <w:p w:rsidR="00295139" w:rsidRPr="00295139" w:rsidP="00295139">
      <w:pPr>
        <w:spacing w:after="0" w:line="240" w:lineRule="auto"/>
        <w:jc w:val="left"/>
        <w:rPr>
          <w:b/>
          <w:sz w:val="24"/>
          <w:szCs w:val="24"/>
        </w:rPr>
      </w:pPr>
    </w:p>
    <w:p w:rsidR="00295139" w:rsidRPr="00295139" w:rsidP="00295139">
      <w:pPr>
        <w:spacing w:after="0" w:line="240" w:lineRule="auto"/>
        <w:jc w:val="left"/>
        <w:rPr>
          <w:b/>
          <w:sz w:val="24"/>
          <w:szCs w:val="24"/>
        </w:rPr>
      </w:pPr>
      <w:r w:rsidRPr="00295139">
        <w:rPr>
          <w:b/>
          <w:sz w:val="24"/>
          <w:szCs w:val="24"/>
        </w:rPr>
        <w:t xml:space="preserve">__________________________________________________________ </w:t>
      </w:r>
    </w:p>
    <w:p w:rsidR="00295139" w:rsidRPr="00295139" w:rsidP="00295139">
      <w:pPr>
        <w:spacing w:after="0" w:line="240" w:lineRule="auto"/>
        <w:jc w:val="left"/>
        <w:rPr>
          <w:b/>
          <w:sz w:val="24"/>
          <w:szCs w:val="24"/>
        </w:rPr>
      </w:pPr>
    </w:p>
    <w:p w:rsidR="00295139" w:rsidRPr="00295139" w:rsidP="00295139">
      <w:pPr>
        <w:spacing w:after="0" w:line="240" w:lineRule="auto"/>
        <w:jc w:val="left"/>
        <w:rPr>
          <w:bCs/>
          <w:sz w:val="24"/>
          <w:szCs w:val="24"/>
        </w:rPr>
      </w:pPr>
      <w:r w:rsidRPr="00295139">
        <w:rPr>
          <w:b/>
          <w:sz w:val="24"/>
          <w:szCs w:val="24"/>
        </w:rPr>
        <w:t>Opinion No.</w:t>
      </w:r>
      <w:r w:rsidRPr="00295139">
        <w:rPr>
          <w:sz w:val="24"/>
          <w:szCs w:val="24"/>
        </w:rPr>
        <w:t xml:space="preserve"> S259172</w:t>
      </w:r>
    </w:p>
    <w:p w:rsidR="00295139" w:rsidRPr="00295139" w:rsidP="00295139">
      <w:pPr>
        <w:spacing w:after="0" w:line="240" w:lineRule="auto"/>
        <w:jc w:val="left"/>
        <w:rPr>
          <w:bCs/>
          <w:sz w:val="24"/>
          <w:szCs w:val="24"/>
        </w:rPr>
      </w:pPr>
      <w:r w:rsidRPr="00295139">
        <w:rPr>
          <w:b/>
          <w:sz w:val="24"/>
          <w:szCs w:val="24"/>
        </w:rPr>
        <w:t>Date Filed:</w:t>
      </w:r>
      <w:r w:rsidRPr="00295139">
        <w:rPr>
          <w:sz w:val="24"/>
          <w:szCs w:val="24"/>
        </w:rPr>
        <w:t xml:space="preserve">  July 15, 2021</w:t>
      </w:r>
    </w:p>
    <w:p w:rsidR="00295139" w:rsidRPr="00295139" w:rsidP="00295139">
      <w:pPr>
        <w:spacing w:after="0" w:line="240" w:lineRule="auto"/>
        <w:jc w:val="left"/>
        <w:rPr>
          <w:b/>
          <w:sz w:val="24"/>
          <w:szCs w:val="24"/>
        </w:rPr>
      </w:pPr>
      <w:r w:rsidRPr="00295139">
        <w:rPr>
          <w:b/>
          <w:sz w:val="24"/>
          <w:szCs w:val="24"/>
        </w:rPr>
        <w:t xml:space="preserve">__________________________________________________________ </w:t>
      </w:r>
    </w:p>
    <w:p w:rsidR="00295139" w:rsidRPr="00295139" w:rsidP="00295139">
      <w:pPr>
        <w:spacing w:after="0" w:line="240" w:lineRule="auto"/>
        <w:jc w:val="left"/>
        <w:rPr>
          <w:b/>
          <w:sz w:val="24"/>
          <w:szCs w:val="24"/>
        </w:rPr>
      </w:pPr>
    </w:p>
    <w:p w:rsidR="00295139" w:rsidRPr="00295139" w:rsidP="00295139">
      <w:pPr>
        <w:spacing w:after="0" w:line="240" w:lineRule="auto"/>
        <w:jc w:val="left"/>
        <w:rPr>
          <w:bCs/>
          <w:sz w:val="24"/>
          <w:szCs w:val="24"/>
        </w:rPr>
      </w:pPr>
      <w:r w:rsidRPr="00295139">
        <w:rPr>
          <w:b/>
          <w:sz w:val="24"/>
          <w:szCs w:val="24"/>
        </w:rPr>
        <w:t xml:space="preserve">Court:  </w:t>
      </w:r>
      <w:r w:rsidRPr="00295139">
        <w:rPr>
          <w:bCs/>
          <w:sz w:val="24"/>
          <w:szCs w:val="24"/>
        </w:rPr>
        <w:t>Superior</w:t>
      </w:r>
      <w:r w:rsidRPr="00295139">
        <w:rPr>
          <w:b/>
          <w:sz w:val="24"/>
          <w:szCs w:val="24"/>
        </w:rPr>
        <w:t xml:space="preserve"> </w:t>
      </w:r>
    </w:p>
    <w:p w:rsidR="00295139" w:rsidRPr="00295139" w:rsidP="00295139">
      <w:pPr>
        <w:spacing w:after="0" w:line="240" w:lineRule="auto"/>
        <w:jc w:val="left"/>
        <w:rPr>
          <w:bCs/>
          <w:sz w:val="24"/>
          <w:szCs w:val="24"/>
        </w:rPr>
      </w:pPr>
      <w:r w:rsidRPr="00295139">
        <w:rPr>
          <w:b/>
          <w:sz w:val="24"/>
          <w:szCs w:val="24"/>
        </w:rPr>
        <w:t xml:space="preserve">County: </w:t>
      </w:r>
      <w:r w:rsidRPr="00295139">
        <w:rPr>
          <w:bCs/>
          <w:sz w:val="24"/>
          <w:szCs w:val="24"/>
        </w:rPr>
        <w:t>Los Angeles</w:t>
      </w:r>
      <w:r w:rsidRPr="00295139">
        <w:rPr>
          <w:b/>
          <w:sz w:val="24"/>
          <w:szCs w:val="24"/>
        </w:rPr>
        <w:t xml:space="preserve"> </w:t>
      </w:r>
    </w:p>
    <w:p w:rsidR="00295139" w:rsidRPr="00295139" w:rsidP="00295139">
      <w:pPr>
        <w:spacing w:after="0" w:line="240" w:lineRule="auto"/>
        <w:ind w:left="720" w:hanging="720"/>
        <w:jc w:val="left"/>
        <w:rPr>
          <w:bCs/>
          <w:sz w:val="24"/>
          <w:szCs w:val="24"/>
        </w:rPr>
      </w:pPr>
      <w:r w:rsidRPr="00295139">
        <w:rPr>
          <w:b/>
          <w:sz w:val="24"/>
          <w:szCs w:val="24"/>
        </w:rPr>
        <w:t xml:space="preserve">Judge: </w:t>
      </w:r>
      <w:r w:rsidRPr="00295139">
        <w:rPr>
          <w:bCs/>
          <w:sz w:val="24"/>
          <w:szCs w:val="24"/>
        </w:rPr>
        <w:t>Kenneth R. Freeman</w:t>
      </w:r>
    </w:p>
    <w:p w:rsidR="00295139" w:rsidRPr="00295139" w:rsidP="00295139">
      <w:pPr>
        <w:spacing w:after="0" w:line="240" w:lineRule="auto"/>
        <w:jc w:val="left"/>
        <w:rPr>
          <w:b/>
          <w:sz w:val="24"/>
          <w:szCs w:val="24"/>
        </w:rPr>
      </w:pPr>
      <w:r w:rsidRPr="00295139">
        <w:rPr>
          <w:b/>
          <w:sz w:val="24"/>
          <w:szCs w:val="24"/>
        </w:rPr>
        <w:t xml:space="preserve">__________________________________________________________  </w:t>
      </w:r>
    </w:p>
    <w:p w:rsidR="00295139" w:rsidRPr="00295139" w:rsidP="00295139">
      <w:pPr>
        <w:spacing w:after="0" w:line="240" w:lineRule="auto"/>
        <w:jc w:val="left"/>
        <w:rPr>
          <w:b/>
          <w:sz w:val="24"/>
          <w:szCs w:val="24"/>
        </w:rPr>
      </w:pPr>
    </w:p>
    <w:p w:rsidR="00295139" w:rsidRPr="00295139" w:rsidP="00295139">
      <w:pPr>
        <w:spacing w:after="0" w:line="240" w:lineRule="auto"/>
        <w:jc w:val="left"/>
        <w:rPr>
          <w:b/>
          <w:sz w:val="24"/>
          <w:szCs w:val="24"/>
        </w:rPr>
      </w:pPr>
      <w:r w:rsidRPr="00295139">
        <w:rPr>
          <w:b/>
          <w:sz w:val="24"/>
          <w:szCs w:val="24"/>
        </w:rPr>
        <w:t>Counsel:</w:t>
      </w:r>
    </w:p>
    <w:p w:rsidR="00295139" w:rsidRPr="00295139" w:rsidP="00295139">
      <w:pPr>
        <w:spacing w:after="0" w:line="240" w:lineRule="auto"/>
        <w:jc w:val="left"/>
        <w:rPr>
          <w:b/>
          <w:sz w:val="24"/>
          <w:szCs w:val="24"/>
        </w:rPr>
      </w:pPr>
    </w:p>
    <w:p w:rsidR="00295139" w:rsidRPr="00295139" w:rsidP="00295139">
      <w:pPr>
        <w:spacing w:after="0" w:line="240" w:lineRule="auto"/>
        <w:jc w:val="left"/>
        <w:rPr>
          <w:bCs/>
          <w:sz w:val="24"/>
          <w:szCs w:val="24"/>
        </w:rPr>
      </w:pPr>
      <w:r w:rsidRPr="00295139">
        <w:rPr>
          <w:bCs/>
          <w:sz w:val="24"/>
          <w:szCs w:val="24"/>
        </w:rPr>
        <w:t>Moss Bollinger, Dennis F. Moss, Ari E. Moss; Law Offices of Sahag Majarian II and Sahag Majarian II for Plaintiffs and Appellants.</w:t>
      </w:r>
    </w:p>
    <w:p w:rsidR="00295139" w:rsidRPr="00295139" w:rsidP="00295139">
      <w:pPr>
        <w:spacing w:after="0" w:line="240" w:lineRule="auto"/>
        <w:jc w:val="left"/>
        <w:rPr>
          <w:bCs/>
          <w:sz w:val="24"/>
          <w:szCs w:val="24"/>
        </w:rPr>
      </w:pPr>
    </w:p>
    <w:p w:rsidR="00295139" w:rsidRPr="00295139" w:rsidP="00295139">
      <w:pPr>
        <w:spacing w:after="0" w:line="240" w:lineRule="auto"/>
        <w:jc w:val="left"/>
        <w:rPr>
          <w:bCs/>
          <w:sz w:val="24"/>
          <w:szCs w:val="24"/>
        </w:rPr>
      </w:pPr>
      <w:r w:rsidRPr="00295139">
        <w:rPr>
          <w:bCs/>
          <w:sz w:val="24"/>
          <w:szCs w:val="24"/>
        </w:rPr>
        <w:t xml:space="preserve">Altshuler Berzon, Michael Rubin, Eileen B. Goldsmith; Haffner Law, Joshua H. Haffner, Graham G. Lambert; Stevens and Paul D. Stevens for California Employment Lawyers Association </w:t>
      </w:r>
      <w:r w:rsidRPr="00295139">
        <w:rPr>
          <w:bCs/>
          <w:color w:val="000000"/>
          <w:sz w:val="24"/>
          <w:szCs w:val="24"/>
        </w:rPr>
        <w:t>and Jacqueline F. Ibarra</w:t>
      </w:r>
      <w:r w:rsidRPr="00295139">
        <w:rPr>
          <w:bCs/>
          <w:color w:val="FF0000"/>
          <w:sz w:val="24"/>
          <w:szCs w:val="24"/>
        </w:rPr>
        <w:t xml:space="preserve"> </w:t>
      </w:r>
      <w:r w:rsidRPr="00295139">
        <w:rPr>
          <w:bCs/>
          <w:sz w:val="24"/>
          <w:szCs w:val="24"/>
        </w:rPr>
        <w:t>as Amici Curiae on behalf of Plaintiffs and Appellants.</w:t>
      </w:r>
    </w:p>
    <w:p w:rsidR="00295139" w:rsidRPr="00295139" w:rsidP="00295139">
      <w:pPr>
        <w:spacing w:after="0" w:line="240" w:lineRule="auto"/>
        <w:jc w:val="left"/>
        <w:rPr>
          <w:b/>
          <w:sz w:val="24"/>
          <w:szCs w:val="24"/>
        </w:rPr>
      </w:pPr>
    </w:p>
    <w:p w:rsidR="00295139" w:rsidRPr="00295139" w:rsidP="00295139">
      <w:pPr>
        <w:spacing w:after="0" w:line="240" w:lineRule="auto"/>
        <w:jc w:val="left"/>
        <w:rPr>
          <w:bCs/>
          <w:sz w:val="24"/>
          <w:szCs w:val="24"/>
        </w:rPr>
      </w:pPr>
      <w:r w:rsidRPr="00295139">
        <w:rPr>
          <w:bCs/>
          <w:sz w:val="24"/>
          <w:szCs w:val="24"/>
        </w:rPr>
        <w:t>Capstone Law, Melissa Grant, Ryan H. Wu and John E. Stobart for Bet Tzedek as Amicus Curiae on behalf of Plaintiffs and Appellants.</w:t>
      </w:r>
    </w:p>
    <w:p w:rsidR="00295139" w:rsidRPr="00295139" w:rsidP="00295139">
      <w:pPr>
        <w:spacing w:after="0" w:line="240" w:lineRule="auto"/>
        <w:jc w:val="left"/>
        <w:rPr>
          <w:bCs/>
          <w:sz w:val="24"/>
          <w:szCs w:val="24"/>
        </w:rPr>
      </w:pPr>
    </w:p>
    <w:p w:rsidR="00295139" w:rsidRPr="00295139" w:rsidP="00295139">
      <w:pPr>
        <w:spacing w:after="0" w:line="240" w:lineRule="auto"/>
        <w:jc w:val="left"/>
        <w:rPr>
          <w:sz w:val="24"/>
          <w:szCs w:val="24"/>
          <w:bdr w:val="none" w:sz="0" w:space="0" w:color="auto" w:frame="1"/>
        </w:rPr>
      </w:pPr>
      <w:r w:rsidRPr="00295139">
        <w:rPr>
          <w:sz w:val="24"/>
          <w:szCs w:val="24"/>
          <w:bdr w:val="none" w:sz="0" w:space="0" w:color="auto" w:frame="1"/>
        </w:rPr>
        <w:t>Ballard Rosenberg Golper &amp; Savitt, Richard S. Rosenberg, John J. Manier and David Fishman for Defendant and Respondent.</w:t>
      </w:r>
    </w:p>
    <w:p w:rsidR="00295139" w:rsidRPr="00295139" w:rsidP="00295139">
      <w:pPr>
        <w:spacing w:after="0" w:line="240" w:lineRule="auto"/>
        <w:jc w:val="left"/>
        <w:rPr>
          <w:sz w:val="24"/>
          <w:szCs w:val="24"/>
          <w:bdr w:val="none" w:sz="0" w:space="0" w:color="auto" w:frame="1"/>
        </w:rPr>
      </w:pPr>
    </w:p>
    <w:p w:rsidR="00295139" w:rsidRPr="00295139" w:rsidP="00295139">
      <w:pPr>
        <w:spacing w:after="0" w:line="240" w:lineRule="auto"/>
        <w:jc w:val="left"/>
        <w:rPr>
          <w:sz w:val="24"/>
          <w:szCs w:val="24"/>
          <w:bdr w:val="none" w:sz="0" w:space="0" w:color="auto" w:frame="1"/>
        </w:rPr>
      </w:pPr>
      <w:r w:rsidRPr="00295139">
        <w:rPr>
          <w:sz w:val="24"/>
          <w:szCs w:val="24"/>
          <w:bdr w:val="none" w:sz="0" w:space="0" w:color="auto" w:frame="1"/>
        </w:rPr>
        <w:t>Seyfarth Shaw, Jeffrey A. Berman, Brian T. Ashe and Kiran A. Seldon for California Employment Law Counsel, Employers Group and Chamber of Commerce of the United States as Amici Curiae on behalf of Defendant and Respondent.</w:t>
      </w:r>
    </w:p>
    <w:p w:rsidR="00295139" w:rsidRPr="00295139" w:rsidP="00295139">
      <w:pPr>
        <w:spacing w:after="0" w:line="240" w:lineRule="auto"/>
        <w:jc w:val="left"/>
        <w:rPr>
          <w:sz w:val="24"/>
          <w:szCs w:val="24"/>
          <w:bdr w:val="none" w:sz="0" w:space="0" w:color="auto" w:frame="1"/>
        </w:rPr>
      </w:pPr>
    </w:p>
    <w:p w:rsidR="00295139" w:rsidRPr="00295139" w:rsidP="00295139">
      <w:pPr>
        <w:spacing w:after="0" w:line="240" w:lineRule="auto"/>
        <w:jc w:val="left"/>
        <w:rPr>
          <w:sz w:val="24"/>
          <w:szCs w:val="24"/>
          <w:bdr w:val="none" w:sz="0" w:space="0" w:color="auto" w:frame="1"/>
        </w:rPr>
      </w:pPr>
      <w:r w:rsidRPr="00295139">
        <w:rPr>
          <w:sz w:val="24"/>
          <w:szCs w:val="24"/>
          <w:bdr w:val="none" w:sz="0" w:space="0" w:color="auto" w:frame="1"/>
        </w:rPr>
        <w:t>Blank Rome, Brock Seraphin; Lathrop GPM and Laura Reathaford for Association of Southern California Defense Counsel as Amicus Curiae on behalf of Defendant and Respondent.</w:t>
      </w:r>
    </w:p>
    <w:p w:rsidR="00295139" w:rsidRPr="00295139" w:rsidP="00295139">
      <w:pPr>
        <w:spacing w:after="0" w:line="240" w:lineRule="auto"/>
        <w:jc w:val="left"/>
        <w:rPr>
          <w:b/>
          <w:sz w:val="24"/>
          <w:szCs w:val="24"/>
        </w:rPr>
      </w:pPr>
      <w:r w:rsidRPr="00295139">
        <w:rPr>
          <w:color w:val="212121"/>
          <w:sz w:val="24"/>
          <w:szCs w:val="24"/>
          <w:shd w:val="clear" w:color="auto" w:fill="FFFFFF"/>
        </w:rPr>
        <w:br w:type="page"/>
      </w:r>
      <w:r w:rsidRPr="00295139">
        <w:rPr>
          <w:b/>
          <w:sz w:val="24"/>
          <w:szCs w:val="24"/>
        </w:rPr>
        <w:t>Counsel who argued in Supreme Court (not intended for publication with opinion):</w:t>
      </w:r>
    </w:p>
    <w:p w:rsidR="00295139" w:rsidRPr="00295139" w:rsidP="00295139">
      <w:pPr>
        <w:spacing w:after="0" w:line="240" w:lineRule="auto"/>
        <w:jc w:val="left"/>
        <w:rPr>
          <w:b/>
          <w:sz w:val="24"/>
          <w:szCs w:val="24"/>
        </w:rPr>
      </w:pPr>
    </w:p>
    <w:p w:rsidR="00295139" w:rsidRPr="00295139" w:rsidP="00295139">
      <w:pPr>
        <w:spacing w:after="0" w:line="240" w:lineRule="auto"/>
        <w:jc w:val="left"/>
        <w:rPr>
          <w:sz w:val="24"/>
          <w:szCs w:val="24"/>
        </w:rPr>
      </w:pPr>
      <w:r w:rsidRPr="00295139">
        <w:rPr>
          <w:sz w:val="24"/>
          <w:szCs w:val="24"/>
        </w:rPr>
        <w:t>Dennis F. Moss</w:t>
      </w:r>
    </w:p>
    <w:p w:rsidR="00295139" w:rsidRPr="00295139" w:rsidP="00295139">
      <w:pPr>
        <w:spacing w:after="0" w:line="240" w:lineRule="auto"/>
        <w:jc w:val="left"/>
        <w:rPr>
          <w:sz w:val="24"/>
          <w:szCs w:val="24"/>
        </w:rPr>
      </w:pPr>
      <w:r w:rsidRPr="00295139">
        <w:rPr>
          <w:sz w:val="24"/>
          <w:szCs w:val="24"/>
        </w:rPr>
        <w:t>Moss Bollinger LLP</w:t>
      </w:r>
    </w:p>
    <w:p w:rsidR="00295139" w:rsidRPr="00295139" w:rsidP="00295139">
      <w:pPr>
        <w:spacing w:after="0" w:line="240" w:lineRule="auto"/>
        <w:jc w:val="left"/>
        <w:rPr>
          <w:sz w:val="24"/>
          <w:szCs w:val="24"/>
        </w:rPr>
      </w:pPr>
      <w:r w:rsidRPr="00295139">
        <w:rPr>
          <w:sz w:val="24"/>
          <w:szCs w:val="24"/>
        </w:rPr>
        <w:t>15300 Ventura Boulevard, Suite 207</w:t>
      </w:r>
    </w:p>
    <w:p w:rsidR="00295139" w:rsidRPr="00295139" w:rsidP="00295139">
      <w:pPr>
        <w:spacing w:after="0" w:line="240" w:lineRule="auto"/>
        <w:jc w:val="left"/>
        <w:rPr>
          <w:sz w:val="24"/>
          <w:szCs w:val="24"/>
        </w:rPr>
      </w:pPr>
      <w:r w:rsidRPr="00295139">
        <w:rPr>
          <w:sz w:val="24"/>
          <w:szCs w:val="24"/>
        </w:rPr>
        <w:t>Sherman Oaks, CA 91403</w:t>
      </w:r>
    </w:p>
    <w:p w:rsidR="00295139" w:rsidRPr="00295139" w:rsidP="00295139">
      <w:pPr>
        <w:spacing w:after="0" w:line="240" w:lineRule="auto"/>
        <w:jc w:val="left"/>
        <w:rPr>
          <w:sz w:val="24"/>
          <w:szCs w:val="24"/>
        </w:rPr>
      </w:pPr>
      <w:r w:rsidRPr="00295139">
        <w:rPr>
          <w:sz w:val="24"/>
          <w:szCs w:val="24"/>
        </w:rPr>
        <w:t>(310) 773-0323</w:t>
      </w:r>
    </w:p>
    <w:p w:rsidR="00295139" w:rsidRPr="00295139" w:rsidP="00295139">
      <w:pPr>
        <w:spacing w:after="0" w:line="240" w:lineRule="auto"/>
        <w:jc w:val="left"/>
        <w:rPr>
          <w:sz w:val="24"/>
          <w:szCs w:val="24"/>
        </w:rPr>
      </w:pPr>
    </w:p>
    <w:p w:rsidR="00295139" w:rsidRPr="00295139" w:rsidP="00295139">
      <w:pPr>
        <w:spacing w:after="0" w:line="240" w:lineRule="auto"/>
        <w:jc w:val="left"/>
        <w:rPr>
          <w:sz w:val="24"/>
          <w:szCs w:val="24"/>
        </w:rPr>
      </w:pPr>
      <w:r w:rsidRPr="00295139">
        <w:rPr>
          <w:sz w:val="24"/>
          <w:szCs w:val="24"/>
        </w:rPr>
        <w:t>Eileen B. Goldsmith</w:t>
      </w:r>
    </w:p>
    <w:p w:rsidR="00295139" w:rsidRPr="00295139" w:rsidP="00295139">
      <w:pPr>
        <w:spacing w:after="0" w:line="240" w:lineRule="auto"/>
        <w:jc w:val="left"/>
        <w:rPr>
          <w:sz w:val="24"/>
          <w:szCs w:val="24"/>
        </w:rPr>
      </w:pPr>
      <w:r w:rsidRPr="00295139">
        <w:rPr>
          <w:sz w:val="24"/>
          <w:szCs w:val="24"/>
        </w:rPr>
        <w:t>Altshuler Berzon LLP</w:t>
      </w:r>
    </w:p>
    <w:p w:rsidR="00295139" w:rsidRPr="00295139" w:rsidP="00295139">
      <w:pPr>
        <w:spacing w:after="0" w:line="240" w:lineRule="auto"/>
        <w:jc w:val="left"/>
        <w:rPr>
          <w:sz w:val="24"/>
          <w:szCs w:val="24"/>
        </w:rPr>
      </w:pPr>
      <w:r w:rsidRPr="00295139">
        <w:rPr>
          <w:sz w:val="24"/>
          <w:szCs w:val="24"/>
        </w:rPr>
        <w:t>177 Post Street, Suite 300</w:t>
      </w:r>
    </w:p>
    <w:p w:rsidR="00295139" w:rsidRPr="00295139" w:rsidP="00295139">
      <w:pPr>
        <w:spacing w:after="0" w:line="240" w:lineRule="auto"/>
        <w:jc w:val="left"/>
        <w:rPr>
          <w:sz w:val="24"/>
          <w:szCs w:val="24"/>
        </w:rPr>
      </w:pPr>
      <w:r w:rsidRPr="00295139">
        <w:rPr>
          <w:sz w:val="24"/>
          <w:szCs w:val="24"/>
        </w:rPr>
        <w:t>San Francisco, CA 94108</w:t>
      </w:r>
    </w:p>
    <w:p w:rsidR="00295139" w:rsidRPr="00295139" w:rsidP="00295139">
      <w:pPr>
        <w:spacing w:after="0" w:line="240" w:lineRule="auto"/>
        <w:jc w:val="left"/>
        <w:rPr>
          <w:sz w:val="24"/>
          <w:szCs w:val="24"/>
        </w:rPr>
      </w:pPr>
      <w:r w:rsidRPr="00295139">
        <w:rPr>
          <w:sz w:val="24"/>
          <w:szCs w:val="24"/>
        </w:rPr>
        <w:t>(415) 421-7151</w:t>
      </w:r>
    </w:p>
    <w:p w:rsidR="00295139" w:rsidRPr="00295139" w:rsidP="00295139">
      <w:pPr>
        <w:spacing w:after="0" w:line="240" w:lineRule="auto"/>
        <w:jc w:val="left"/>
        <w:rPr>
          <w:sz w:val="24"/>
          <w:szCs w:val="24"/>
        </w:rPr>
      </w:pPr>
    </w:p>
    <w:p w:rsidR="00295139" w:rsidRPr="00295139" w:rsidP="00295139">
      <w:pPr>
        <w:spacing w:after="0" w:line="240" w:lineRule="auto"/>
        <w:jc w:val="left"/>
        <w:rPr>
          <w:sz w:val="24"/>
          <w:szCs w:val="24"/>
        </w:rPr>
      </w:pPr>
      <w:r w:rsidRPr="00295139">
        <w:rPr>
          <w:sz w:val="24"/>
          <w:szCs w:val="24"/>
        </w:rPr>
        <w:t>David J. Fishman</w:t>
      </w:r>
    </w:p>
    <w:p w:rsidR="00295139" w:rsidRPr="00295139" w:rsidP="00295139">
      <w:pPr>
        <w:spacing w:after="0" w:line="240" w:lineRule="auto"/>
        <w:jc w:val="left"/>
        <w:rPr>
          <w:sz w:val="24"/>
          <w:szCs w:val="24"/>
          <w:bdr w:val="none" w:sz="0" w:space="0" w:color="auto" w:frame="1"/>
        </w:rPr>
      </w:pPr>
      <w:r w:rsidRPr="00295139">
        <w:rPr>
          <w:sz w:val="24"/>
          <w:szCs w:val="24"/>
          <w:bdr w:val="none" w:sz="0" w:space="0" w:color="auto" w:frame="1"/>
        </w:rPr>
        <w:t>Ballard Rosenberg Golper &amp; Savitt, LLP</w:t>
      </w:r>
    </w:p>
    <w:p w:rsidR="00295139" w:rsidRPr="00295139" w:rsidP="00295139">
      <w:pPr>
        <w:spacing w:after="0" w:line="240" w:lineRule="auto"/>
        <w:jc w:val="left"/>
        <w:rPr>
          <w:sz w:val="24"/>
          <w:szCs w:val="24"/>
          <w:bdr w:val="none" w:sz="0" w:space="0" w:color="auto" w:frame="1"/>
        </w:rPr>
      </w:pPr>
      <w:r w:rsidRPr="00295139">
        <w:rPr>
          <w:sz w:val="24"/>
          <w:szCs w:val="24"/>
          <w:bdr w:val="none" w:sz="0" w:space="0" w:color="auto" w:frame="1"/>
        </w:rPr>
        <w:t>15760 Ventura Boulevard, 18th Floor</w:t>
      </w:r>
    </w:p>
    <w:p w:rsidR="00295139" w:rsidRPr="00295139" w:rsidP="00295139">
      <w:pPr>
        <w:spacing w:after="0" w:line="240" w:lineRule="auto"/>
        <w:jc w:val="left"/>
        <w:rPr>
          <w:sz w:val="24"/>
          <w:szCs w:val="24"/>
          <w:bdr w:val="none" w:sz="0" w:space="0" w:color="auto" w:frame="1"/>
        </w:rPr>
      </w:pPr>
      <w:r w:rsidRPr="00295139">
        <w:rPr>
          <w:sz w:val="24"/>
          <w:szCs w:val="24"/>
          <w:bdr w:val="none" w:sz="0" w:space="0" w:color="auto" w:frame="1"/>
        </w:rPr>
        <w:t>Encino, CA 91436</w:t>
      </w:r>
    </w:p>
    <w:p w:rsidR="00295139" w:rsidRPr="00295139" w:rsidP="00295139">
      <w:pPr>
        <w:spacing w:after="0" w:line="240" w:lineRule="auto"/>
        <w:jc w:val="left"/>
        <w:rPr>
          <w:sz w:val="24"/>
          <w:szCs w:val="24"/>
        </w:rPr>
      </w:pPr>
      <w:r w:rsidRPr="00295139">
        <w:rPr>
          <w:sz w:val="24"/>
          <w:szCs w:val="24"/>
          <w:bdr w:val="none" w:sz="0" w:space="0" w:color="auto" w:frame="1"/>
        </w:rPr>
        <w:t>(818) 508-3707</w:t>
      </w:r>
    </w:p>
    <w:p w:rsidR="00295139" w:rsidRPr="00295139" w:rsidP="00295139">
      <w:pPr>
        <w:spacing w:after="0" w:line="240" w:lineRule="auto"/>
        <w:jc w:val="left"/>
        <w:rPr>
          <w:sz w:val="24"/>
          <w:szCs w:val="24"/>
        </w:rPr>
      </w:pPr>
    </w:p>
    <w:p w:rsidR="00A02F83" w:rsidP="00957C6E">
      <w:pPr>
        <w:rPr>
          <w:rStyle w:val="cohl"/>
          <w:b/>
          <w:bCs/>
        </w:rPr>
      </w:pPr>
    </w:p>
    <w:sectPr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4B5">
    <w:pPr>
      <w:pStyle w:val="Footer"/>
    </w:pPr>
    <w:r>
      <w:fldChar w:fldCharType="begin"/>
    </w:r>
    <w:r>
      <w:instrText>PAGE</w:instrText>
    </w:r>
    <w:r>
      <w:fldChar w:fldCharType="separate"/>
    </w:r>
    <w:r>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4B5">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5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5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5D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4B5">
    <w:pPr>
      <w:pStyle w:val="Header"/>
    </w:pPr>
    <w:r>
      <w:t>FERRA v. LOEWS HOLLYWOOD HOTEL, LLC</w:t>
    </w:r>
  </w:p>
  <w:p w:rsidR="005734B5">
    <w:pPr>
      <w:pStyle w:val="Header"/>
    </w:pPr>
    <w:r>
      <w:t>Opinion of the Court by Liu, J.</w:t>
    </w:r>
  </w:p>
  <w:p w:rsidR="00573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5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5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F35DA4"/>
    <w:multiLevelType w:val="hybridMultilevel"/>
    <w:tmpl w:val="46ACB5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EDA19A7"/>
    <w:multiLevelType w:val="hybridMultilevel"/>
    <w:tmpl w:val="B75CF00E"/>
    <w:lvl w:ilvl="0">
      <w:start w:val="1"/>
      <w:numFmt w:val="bullet"/>
      <w:lvlText w:val=""/>
      <w:lvlJc w:val="left"/>
      <w:pPr>
        <w:ind w:left="851" w:hanging="360"/>
      </w:pPr>
      <w:rPr>
        <w:rFonts w:ascii="Symbol" w:hAnsi="Symbol" w:hint="default"/>
      </w:rPr>
    </w:lvl>
    <w:lvl w:ilvl="1" w:tentative="1">
      <w:start w:val="1"/>
      <w:numFmt w:val="bullet"/>
      <w:lvlText w:val="o"/>
      <w:lvlJc w:val="left"/>
      <w:pPr>
        <w:ind w:left="1571" w:hanging="360"/>
      </w:pPr>
      <w:rPr>
        <w:rFonts w:ascii="Courier New" w:hAnsi="Courier New" w:cs="Courier New" w:hint="default"/>
      </w:rPr>
    </w:lvl>
    <w:lvl w:ilvl="2" w:tentative="1">
      <w:start w:val="1"/>
      <w:numFmt w:val="bullet"/>
      <w:lvlText w:val=""/>
      <w:lvlJc w:val="left"/>
      <w:pPr>
        <w:ind w:left="2291" w:hanging="360"/>
      </w:pPr>
      <w:rPr>
        <w:rFonts w:ascii="Wingdings" w:hAnsi="Wingdings" w:hint="default"/>
      </w:rPr>
    </w:lvl>
    <w:lvl w:ilvl="3" w:tentative="1">
      <w:start w:val="1"/>
      <w:numFmt w:val="bullet"/>
      <w:lvlText w:val=""/>
      <w:lvlJc w:val="left"/>
      <w:pPr>
        <w:ind w:left="3011" w:hanging="360"/>
      </w:pPr>
      <w:rPr>
        <w:rFonts w:ascii="Symbol" w:hAnsi="Symbol" w:hint="default"/>
      </w:rPr>
    </w:lvl>
    <w:lvl w:ilvl="4" w:tentative="1">
      <w:start w:val="1"/>
      <w:numFmt w:val="bullet"/>
      <w:lvlText w:val="o"/>
      <w:lvlJc w:val="left"/>
      <w:pPr>
        <w:ind w:left="3731" w:hanging="360"/>
      </w:pPr>
      <w:rPr>
        <w:rFonts w:ascii="Courier New" w:hAnsi="Courier New" w:cs="Courier New" w:hint="default"/>
      </w:rPr>
    </w:lvl>
    <w:lvl w:ilvl="5" w:tentative="1">
      <w:start w:val="1"/>
      <w:numFmt w:val="bullet"/>
      <w:lvlText w:val=""/>
      <w:lvlJc w:val="left"/>
      <w:pPr>
        <w:ind w:left="4451" w:hanging="360"/>
      </w:pPr>
      <w:rPr>
        <w:rFonts w:ascii="Wingdings" w:hAnsi="Wingdings" w:hint="default"/>
      </w:rPr>
    </w:lvl>
    <w:lvl w:ilvl="6" w:tentative="1">
      <w:start w:val="1"/>
      <w:numFmt w:val="bullet"/>
      <w:lvlText w:val=""/>
      <w:lvlJc w:val="left"/>
      <w:pPr>
        <w:ind w:left="5171" w:hanging="360"/>
      </w:pPr>
      <w:rPr>
        <w:rFonts w:ascii="Symbol" w:hAnsi="Symbol" w:hint="default"/>
      </w:rPr>
    </w:lvl>
    <w:lvl w:ilvl="7" w:tentative="1">
      <w:start w:val="1"/>
      <w:numFmt w:val="bullet"/>
      <w:lvlText w:val="o"/>
      <w:lvlJc w:val="left"/>
      <w:pPr>
        <w:ind w:left="5891" w:hanging="360"/>
      </w:pPr>
      <w:rPr>
        <w:rFonts w:ascii="Courier New" w:hAnsi="Courier New" w:cs="Courier New" w:hint="default"/>
      </w:rPr>
    </w:lvl>
    <w:lvl w:ilvl="8" w:tentative="1">
      <w:start w:val="1"/>
      <w:numFmt w:val="bullet"/>
      <w:lvlText w:val=""/>
      <w:lvlJc w:val="left"/>
      <w:pPr>
        <w:ind w:left="6611" w:hanging="360"/>
      </w:pPr>
      <w:rPr>
        <w:rFonts w:ascii="Wingdings" w:hAnsi="Wingdings" w:hint="default"/>
      </w:rPr>
    </w:lvl>
  </w:abstractNum>
  <w:abstractNum w:abstractNumId="2">
    <w:nsid w:val="39507307"/>
    <w:multiLevelType w:val="hybridMultilevel"/>
    <w:tmpl w:val="2B0E2F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AE346D1"/>
    <w:multiLevelType w:val="hybridMultilevel"/>
    <w:tmpl w:val="071051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C13419F"/>
    <w:multiLevelType w:val="hybridMultilevel"/>
    <w:tmpl w:val="79563F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A43665"/>
    <w:multiLevelType w:val="hybridMultilevel"/>
    <w:tmpl w:val="0B3AF6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572525"/>
    <w:multiLevelType w:val="hybridMultilevel"/>
    <w:tmpl w:val="493ACD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002468"/>
    <w:multiLevelType w:val="hybridMultilevel"/>
    <w:tmpl w:val="AFFE1E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6F20AB"/>
    <w:multiLevelType w:val="hybridMultilevel"/>
    <w:tmpl w:val="D60E6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74346E"/>
    <w:multiLevelType w:val="hybridMultilevel"/>
    <w:tmpl w:val="CC20835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4"/>
  </w:num>
  <w:num w:numId="6">
    <w:abstractNumId w:val="1"/>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6E"/>
    <w:pPr>
      <w:spacing w:after="100" w:line="400" w:lineRule="exact"/>
      <w:jc w:val="both"/>
    </w:pPr>
    <w:rPr>
      <w:rFonts w:ascii="Century Schoolbook" w:hAnsi="Century Schoolbook"/>
      <w:sz w:val="27"/>
    </w:rPr>
  </w:style>
  <w:style w:type="paragraph" w:styleId="Heading1">
    <w:name w:val="heading 1"/>
    <w:basedOn w:val="Normal"/>
    <w:next w:val="Normal"/>
    <w:qFormat/>
    <w:rsid w:val="00957C6E"/>
    <w:pPr>
      <w:keepNext/>
      <w:spacing w:before="140" w:line="240" w:lineRule="atLeast"/>
      <w:jc w:val="center"/>
      <w:outlineLvl w:val="0"/>
    </w:pPr>
    <w:rPr>
      <w:b/>
      <w:smallCaps/>
    </w:rPr>
  </w:style>
  <w:style w:type="paragraph" w:styleId="Heading2">
    <w:name w:val="heading 2"/>
    <w:basedOn w:val="Normal"/>
    <w:next w:val="Normal"/>
    <w:qFormat/>
    <w:rsid w:val="00957C6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57C6E"/>
    <w:pPr>
      <w:keepNext/>
      <w:tabs>
        <w:tab w:val="left" w:pos="1584"/>
      </w:tabs>
      <w:spacing w:before="140" w:line="240" w:lineRule="atLeast"/>
      <w:ind w:left="1584" w:hanging="432"/>
      <w:jc w:val="left"/>
      <w:outlineLvl w:val="2"/>
    </w:pPr>
    <w:rPr>
      <w:i/>
    </w:rPr>
  </w:style>
  <w:style w:type="paragraph" w:styleId="Heading4">
    <w:name w:val="heading 4"/>
    <w:basedOn w:val="Normal"/>
    <w:rsid w:val="00957C6E"/>
    <w:pPr>
      <w:keepNext/>
      <w:tabs>
        <w:tab w:val="left" w:pos="2016"/>
      </w:tabs>
      <w:spacing w:before="140" w:line="240" w:lineRule="atLeast"/>
      <w:ind w:left="2016" w:hanging="432"/>
      <w:jc w:val="left"/>
      <w:outlineLvl w:val="3"/>
    </w:pPr>
    <w:rPr>
      <w:i/>
    </w:rPr>
  </w:style>
  <w:style w:type="paragraph" w:styleId="Heading5">
    <w:name w:val="heading 5"/>
    <w:basedOn w:val="Normal"/>
    <w:rsid w:val="00957C6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57C6E"/>
    <w:pPr>
      <w:ind w:left="720"/>
    </w:pPr>
  </w:style>
  <w:style w:type="paragraph" w:styleId="Footer">
    <w:name w:val="footer"/>
    <w:basedOn w:val="Normal"/>
    <w:qFormat/>
    <w:rsid w:val="00957C6E"/>
    <w:pPr>
      <w:tabs>
        <w:tab w:val="center" w:pos="3960"/>
        <w:tab w:val="right" w:pos="10080"/>
      </w:tabs>
      <w:spacing w:after="0" w:line="240" w:lineRule="auto"/>
      <w:jc w:val="center"/>
    </w:pPr>
    <w:rPr>
      <w:sz w:val="22"/>
    </w:rPr>
  </w:style>
  <w:style w:type="paragraph" w:styleId="Header">
    <w:name w:val="header"/>
    <w:basedOn w:val="Normal"/>
    <w:qFormat/>
    <w:rsid w:val="00957C6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57C6E"/>
    <w:rPr>
      <w:rFonts w:ascii="Century Schoolbook" w:hAnsi="Century Schoolbook"/>
      <w:b/>
      <w:i w:val="0"/>
      <w:position w:val="4"/>
      <w:sz w:val="27"/>
      <w:vertAlign w:val="superscript"/>
    </w:rPr>
  </w:style>
  <w:style w:type="paragraph" w:styleId="FootnoteText">
    <w:name w:val="footnote text"/>
    <w:basedOn w:val="Normal"/>
    <w:link w:val="FootnoteTextChar"/>
    <w:rsid w:val="00957C6E"/>
    <w:pPr>
      <w:spacing w:line="300" w:lineRule="exact"/>
    </w:pPr>
  </w:style>
  <w:style w:type="paragraph" w:customStyle="1" w:styleId="Title1">
    <w:name w:val="Title1"/>
    <w:basedOn w:val="Normal"/>
    <w:rsid w:val="00957C6E"/>
    <w:pPr>
      <w:tabs>
        <w:tab w:val="left" w:pos="5760"/>
        <w:tab w:val="left" w:pos="6480"/>
      </w:tabs>
      <w:spacing w:line="240" w:lineRule="atLeast"/>
    </w:pPr>
  </w:style>
  <w:style w:type="paragraph" w:customStyle="1" w:styleId="Recommend">
    <w:name w:val="Recommend"/>
    <w:basedOn w:val="Normal"/>
    <w:rsid w:val="00957C6E"/>
  </w:style>
  <w:style w:type="paragraph" w:customStyle="1" w:styleId="Summary">
    <w:name w:val="Summary"/>
    <w:basedOn w:val="Normal"/>
    <w:rsid w:val="00957C6E"/>
    <w:pPr>
      <w:ind w:left="2160" w:hanging="2160"/>
    </w:pPr>
  </w:style>
  <w:style w:type="paragraph" w:customStyle="1" w:styleId="Text">
    <w:name w:val="Text"/>
    <w:basedOn w:val="Normal"/>
    <w:rsid w:val="00957C6E"/>
    <w:pPr>
      <w:tabs>
        <w:tab w:val="left" w:pos="720"/>
        <w:tab w:val="left" w:pos="1440"/>
        <w:tab w:val="left" w:pos="2160"/>
        <w:tab w:val="center" w:pos="4320"/>
      </w:tabs>
      <w:spacing w:line="480" w:lineRule="atLeast"/>
      <w:ind w:firstLine="540"/>
    </w:pPr>
  </w:style>
  <w:style w:type="paragraph" w:styleId="Date">
    <w:name w:val="Date"/>
    <w:basedOn w:val="Normal"/>
    <w:semiHidden/>
    <w:rsid w:val="00957C6E"/>
    <w:pPr>
      <w:jc w:val="right"/>
    </w:pPr>
  </w:style>
  <w:style w:type="character" w:styleId="PageNumber">
    <w:name w:val="page number"/>
    <w:basedOn w:val="DefaultParagraphFont"/>
    <w:rsid w:val="00957C6E"/>
  </w:style>
  <w:style w:type="paragraph" w:customStyle="1" w:styleId="subject">
    <w:name w:val="subject"/>
    <w:basedOn w:val="Normal"/>
    <w:rsid w:val="00957C6E"/>
    <w:pPr>
      <w:tabs>
        <w:tab w:val="left" w:pos="1008"/>
      </w:tabs>
      <w:ind w:left="990" w:hanging="990"/>
    </w:pPr>
    <w:rPr>
      <w:b/>
    </w:rPr>
  </w:style>
  <w:style w:type="paragraph" w:customStyle="1" w:styleId="Titles">
    <w:name w:val="Titles"/>
    <w:basedOn w:val="Normal"/>
    <w:rsid w:val="00957C6E"/>
    <w:pPr>
      <w:tabs>
        <w:tab w:val="left" w:pos="2160"/>
      </w:tabs>
      <w:ind w:left="2160" w:hanging="2160"/>
    </w:pPr>
    <w:rPr>
      <w:b/>
    </w:rPr>
  </w:style>
  <w:style w:type="paragraph" w:styleId="TOAHeading">
    <w:name w:val="toa heading"/>
    <w:basedOn w:val="Normal"/>
    <w:next w:val="Normal"/>
    <w:semiHidden/>
    <w:rsid w:val="00957C6E"/>
    <w:pPr>
      <w:spacing w:before="120"/>
    </w:pPr>
    <w:rPr>
      <w:b/>
    </w:rPr>
  </w:style>
  <w:style w:type="paragraph" w:styleId="TOC1">
    <w:name w:val="toc 1"/>
    <w:basedOn w:val="Normal"/>
    <w:next w:val="Normal"/>
    <w:autoRedefine/>
    <w:semiHidden/>
    <w:rsid w:val="00957C6E"/>
  </w:style>
  <w:style w:type="paragraph" w:styleId="TOC2">
    <w:name w:val="toc 2"/>
    <w:basedOn w:val="Normal"/>
    <w:next w:val="Normal"/>
    <w:autoRedefine/>
    <w:semiHidden/>
    <w:rsid w:val="00957C6E"/>
    <w:pPr>
      <w:ind w:left="259"/>
    </w:pPr>
  </w:style>
  <w:style w:type="paragraph" w:styleId="TOC3">
    <w:name w:val="toc 3"/>
    <w:basedOn w:val="Normal"/>
    <w:next w:val="Normal"/>
    <w:autoRedefine/>
    <w:semiHidden/>
    <w:rsid w:val="00957C6E"/>
    <w:pPr>
      <w:ind w:left="520"/>
    </w:pPr>
  </w:style>
  <w:style w:type="paragraph" w:styleId="TOC4">
    <w:name w:val="toc 4"/>
    <w:basedOn w:val="Normal"/>
    <w:next w:val="Normal"/>
    <w:autoRedefine/>
    <w:semiHidden/>
    <w:rsid w:val="00957C6E"/>
    <w:pPr>
      <w:ind w:left="780"/>
    </w:pPr>
  </w:style>
  <w:style w:type="paragraph" w:styleId="TOC5">
    <w:name w:val="toc 5"/>
    <w:basedOn w:val="Normal"/>
    <w:next w:val="Normal"/>
    <w:autoRedefine/>
    <w:semiHidden/>
    <w:rsid w:val="00957C6E"/>
    <w:pPr>
      <w:ind w:left="1040"/>
    </w:pPr>
  </w:style>
  <w:style w:type="paragraph" w:styleId="TOC6">
    <w:name w:val="toc 6"/>
    <w:basedOn w:val="Normal"/>
    <w:next w:val="Normal"/>
    <w:autoRedefine/>
    <w:semiHidden/>
    <w:rsid w:val="00957C6E"/>
    <w:pPr>
      <w:ind w:left="1300"/>
    </w:pPr>
  </w:style>
  <w:style w:type="paragraph" w:styleId="TOC7">
    <w:name w:val="toc 7"/>
    <w:basedOn w:val="Normal"/>
    <w:next w:val="Normal"/>
    <w:autoRedefine/>
    <w:semiHidden/>
    <w:rsid w:val="00957C6E"/>
    <w:pPr>
      <w:ind w:left="1560"/>
    </w:pPr>
  </w:style>
  <w:style w:type="paragraph" w:styleId="TOC8">
    <w:name w:val="toc 8"/>
    <w:basedOn w:val="Normal"/>
    <w:next w:val="Normal"/>
    <w:autoRedefine/>
    <w:semiHidden/>
    <w:rsid w:val="00957C6E"/>
    <w:pPr>
      <w:ind w:left="1820"/>
    </w:pPr>
  </w:style>
  <w:style w:type="paragraph" w:styleId="TOC9">
    <w:name w:val="toc 9"/>
    <w:basedOn w:val="Normal"/>
    <w:next w:val="Normal"/>
    <w:autoRedefine/>
    <w:semiHidden/>
    <w:rsid w:val="00957C6E"/>
    <w:pPr>
      <w:ind w:left="2080"/>
    </w:pPr>
  </w:style>
  <w:style w:type="paragraph" w:customStyle="1" w:styleId="Contents">
    <w:name w:val="Contents"/>
    <w:basedOn w:val="Normal"/>
    <w:rsid w:val="00957C6E"/>
    <w:pPr>
      <w:jc w:val="center"/>
    </w:pPr>
    <w:rPr>
      <w:b/>
      <w:spacing w:val="100"/>
    </w:rPr>
  </w:style>
  <w:style w:type="character" w:styleId="CommentReference">
    <w:name w:val="annotation reference"/>
    <w:basedOn w:val="DefaultParagraphFont"/>
    <w:uiPriority w:val="99"/>
    <w:semiHidden/>
    <w:unhideWhenUsed/>
    <w:rsid w:val="00B93EFD"/>
    <w:rPr>
      <w:sz w:val="16"/>
      <w:szCs w:val="16"/>
    </w:rPr>
  </w:style>
  <w:style w:type="paragraph" w:styleId="CommentText">
    <w:name w:val="annotation text"/>
    <w:basedOn w:val="Normal"/>
    <w:link w:val="CommentTextChar"/>
    <w:uiPriority w:val="99"/>
    <w:unhideWhenUsed/>
    <w:rsid w:val="00B93EFD"/>
    <w:rPr>
      <w:sz w:val="20"/>
    </w:rPr>
  </w:style>
  <w:style w:type="character" w:customStyle="1" w:styleId="CommentTextChar">
    <w:name w:val="Comment Text Char"/>
    <w:basedOn w:val="DefaultParagraphFont"/>
    <w:link w:val="CommentText"/>
    <w:uiPriority w:val="99"/>
    <w:rsid w:val="00B93EFD"/>
  </w:style>
  <w:style w:type="paragraph" w:styleId="CommentSubject">
    <w:name w:val="annotation subject"/>
    <w:basedOn w:val="CommentText"/>
    <w:next w:val="CommentText"/>
    <w:link w:val="CommentSubjectChar"/>
    <w:uiPriority w:val="99"/>
    <w:semiHidden/>
    <w:unhideWhenUsed/>
    <w:rsid w:val="00B93EFD"/>
    <w:rPr>
      <w:b/>
      <w:bCs/>
    </w:rPr>
  </w:style>
  <w:style w:type="character" w:customStyle="1" w:styleId="CommentSubjectChar">
    <w:name w:val="Comment Subject Char"/>
    <w:basedOn w:val="CommentTextChar"/>
    <w:link w:val="CommentSubject"/>
    <w:uiPriority w:val="99"/>
    <w:semiHidden/>
    <w:rsid w:val="00B93EFD"/>
    <w:rPr>
      <w:b/>
      <w:bCs/>
    </w:rPr>
  </w:style>
  <w:style w:type="paragraph" w:styleId="BalloonText">
    <w:name w:val="Balloon Text"/>
    <w:basedOn w:val="Normal"/>
    <w:link w:val="BalloonTextChar"/>
    <w:uiPriority w:val="99"/>
    <w:semiHidden/>
    <w:unhideWhenUsed/>
    <w:rsid w:val="00B93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FD"/>
    <w:rPr>
      <w:rFonts w:ascii="Segoe UI" w:hAnsi="Segoe UI" w:cs="Segoe UI"/>
      <w:sz w:val="18"/>
      <w:szCs w:val="18"/>
    </w:rPr>
  </w:style>
  <w:style w:type="character" w:styleId="Hyperlink">
    <w:name w:val="Hyperlink"/>
    <w:basedOn w:val="DefaultParagraphFont"/>
    <w:uiPriority w:val="99"/>
    <w:unhideWhenUsed/>
    <w:rsid w:val="00793CC3"/>
    <w:rPr>
      <w:color w:val="0000FF"/>
      <w:u w:val="single"/>
    </w:rPr>
  </w:style>
  <w:style w:type="character" w:styleId="Emphasis">
    <w:name w:val="Emphasis"/>
    <w:basedOn w:val="DefaultParagraphFont"/>
    <w:uiPriority w:val="20"/>
    <w:qFormat/>
    <w:rsid w:val="00793CC3"/>
    <w:rPr>
      <w:i/>
      <w:iCs/>
    </w:rPr>
  </w:style>
  <w:style w:type="paragraph" w:styleId="ListParagraph">
    <w:name w:val="List Paragraph"/>
    <w:basedOn w:val="Normal"/>
    <w:uiPriority w:val="34"/>
    <w:qFormat/>
    <w:rsid w:val="003977F6"/>
    <w:pPr>
      <w:ind w:left="720"/>
      <w:contextualSpacing/>
    </w:pPr>
  </w:style>
  <w:style w:type="character" w:customStyle="1" w:styleId="cohl">
    <w:name w:val="co_hl"/>
    <w:basedOn w:val="DefaultParagraphFont"/>
    <w:rsid w:val="00A07827"/>
  </w:style>
  <w:style w:type="character" w:customStyle="1" w:styleId="coinlinekeyciteflag">
    <w:name w:val="co_inlinekeyciteflag"/>
    <w:basedOn w:val="DefaultParagraphFont"/>
    <w:rsid w:val="00C74985"/>
  </w:style>
  <w:style w:type="character" w:customStyle="1" w:styleId="costarpage">
    <w:name w:val="co_starpage"/>
    <w:basedOn w:val="DefaultParagraphFont"/>
    <w:rsid w:val="00A51894"/>
  </w:style>
  <w:style w:type="paragraph" w:styleId="NormalWeb">
    <w:name w:val="Normal (Web)"/>
    <w:basedOn w:val="Normal"/>
    <w:uiPriority w:val="99"/>
    <w:semiHidden/>
    <w:unhideWhenUsed/>
    <w:rsid w:val="000054C1"/>
    <w:pPr>
      <w:spacing w:before="100" w:beforeAutospacing="1" w:afterAutospacing="1"/>
    </w:pPr>
    <w:rPr>
      <w:sz w:val="24"/>
      <w:szCs w:val="24"/>
    </w:rPr>
  </w:style>
  <w:style w:type="character" w:styleId="FollowedHyperlink">
    <w:name w:val="FollowedHyperlink"/>
    <w:basedOn w:val="DefaultParagraphFont"/>
    <w:uiPriority w:val="99"/>
    <w:semiHidden/>
    <w:unhideWhenUsed/>
    <w:rsid w:val="00AC5058"/>
    <w:rPr>
      <w:color w:val="800080" w:themeColor="followedHyperlink"/>
      <w:u w:val="single"/>
    </w:rPr>
  </w:style>
  <w:style w:type="character" w:customStyle="1" w:styleId="cosearchterm">
    <w:name w:val="co_searchterm"/>
    <w:basedOn w:val="DefaultParagraphFont"/>
    <w:rsid w:val="00026FDA"/>
  </w:style>
  <w:style w:type="character" w:customStyle="1" w:styleId="highlight">
    <w:name w:val="highlight"/>
    <w:basedOn w:val="DefaultParagraphFont"/>
    <w:rsid w:val="00802F5C"/>
  </w:style>
  <w:style w:type="character" w:customStyle="1" w:styleId="UnresolvedMention1">
    <w:name w:val="Unresolved Mention1"/>
    <w:basedOn w:val="DefaultParagraphFont"/>
    <w:uiPriority w:val="99"/>
    <w:semiHidden/>
    <w:unhideWhenUsed/>
    <w:rsid w:val="00B12202"/>
    <w:rPr>
      <w:color w:val="605E5C"/>
      <w:shd w:val="clear" w:color="auto" w:fill="E1DFDD"/>
    </w:rPr>
  </w:style>
  <w:style w:type="character" w:customStyle="1" w:styleId="FootnoteTextChar">
    <w:name w:val="Footnote Text Char"/>
    <w:basedOn w:val="DefaultParagraphFont"/>
    <w:link w:val="FootnoteText"/>
    <w:rsid w:val="001876DD"/>
    <w:rPr>
      <w:rFonts w:ascii="Century Schoolbook" w:hAnsi="Century Schoolbook"/>
      <w:sz w:val="27"/>
    </w:rPr>
  </w:style>
  <w:style w:type="character" w:customStyle="1" w:styleId="copinpointicon">
    <w:name w:val="co_pinpointicon"/>
    <w:basedOn w:val="DefaultParagraphFont"/>
    <w:rsid w:val="00197081"/>
  </w:style>
  <w:style w:type="character" w:customStyle="1" w:styleId="coconcept410">
    <w:name w:val="co_concept_4_10"/>
    <w:basedOn w:val="DefaultParagraphFont"/>
    <w:rsid w:val="0057376F"/>
  </w:style>
  <w:style w:type="character" w:customStyle="1" w:styleId="coconcept3943">
    <w:name w:val="co_concept_39_43"/>
    <w:basedOn w:val="DefaultParagraphFont"/>
    <w:rsid w:val="0057376F"/>
  </w:style>
  <w:style w:type="character" w:customStyle="1" w:styleId="coconcept7783">
    <w:name w:val="co_concept_77_83"/>
    <w:basedOn w:val="DefaultParagraphFont"/>
    <w:rsid w:val="0057376F"/>
  </w:style>
  <w:style w:type="character" w:customStyle="1" w:styleId="coconcept5659">
    <w:name w:val="co_concept_56_59"/>
    <w:basedOn w:val="DefaultParagraphFont"/>
    <w:rsid w:val="0057376F"/>
  </w:style>
  <w:style w:type="character" w:customStyle="1" w:styleId="coconcept9298">
    <w:name w:val="co_concept_92_98"/>
    <w:basedOn w:val="DefaultParagraphFont"/>
    <w:rsid w:val="0057376F"/>
  </w:style>
  <w:style w:type="character" w:customStyle="1" w:styleId="normaltextrun">
    <w:name w:val="normaltextrun"/>
    <w:basedOn w:val="DefaultParagraphFont"/>
    <w:rsid w:val="00E42C77"/>
  </w:style>
  <w:style w:type="character" w:customStyle="1" w:styleId="findhit">
    <w:name w:val="findhit"/>
    <w:basedOn w:val="DefaultParagraphFont"/>
    <w:rsid w:val="00E42C77"/>
  </w:style>
  <w:style w:type="character" w:customStyle="1" w:styleId="coconcept15">
    <w:name w:val="co_concept_1_5"/>
    <w:basedOn w:val="DefaultParagraphFont"/>
    <w:rsid w:val="00E82898"/>
  </w:style>
  <w:style w:type="character" w:customStyle="1" w:styleId="coconcept718">
    <w:name w:val="co_concept_7_18"/>
    <w:basedOn w:val="DefaultParagraphFont"/>
    <w:rsid w:val="00E82898"/>
  </w:style>
  <w:style w:type="character" w:customStyle="1" w:styleId="coconcept2022">
    <w:name w:val="co_concept_20_22"/>
    <w:basedOn w:val="DefaultParagraphFont"/>
    <w:rsid w:val="00E82898"/>
  </w:style>
  <w:style w:type="character" w:customStyle="1" w:styleId="coconcept2740">
    <w:name w:val="co_concept_27_40"/>
    <w:basedOn w:val="DefaultParagraphFont"/>
    <w:rsid w:val="00E82898"/>
  </w:style>
  <w:style w:type="character" w:customStyle="1" w:styleId="coconcept4244">
    <w:name w:val="co_concept_42_44"/>
    <w:basedOn w:val="DefaultParagraphFont"/>
    <w:rsid w:val="00E82898"/>
  </w:style>
  <w:style w:type="paragraph" w:styleId="Revision">
    <w:name w:val="Revision"/>
    <w:hidden/>
    <w:uiPriority w:val="99"/>
    <w:semiHidden/>
    <w:rsid w:val="00456121"/>
    <w:rPr>
      <w:sz w:val="26"/>
    </w:rPr>
  </w:style>
  <w:style w:type="paragraph" w:styleId="BodyText">
    <w:name w:val="Body Text"/>
    <w:basedOn w:val="Normal"/>
    <w:link w:val="BodyTextChar"/>
    <w:qFormat/>
    <w:rsid w:val="00957C6E"/>
  </w:style>
  <w:style w:type="character" w:customStyle="1" w:styleId="BodyTextChar">
    <w:name w:val="Body Text Char"/>
    <w:basedOn w:val="DefaultParagraphFont"/>
    <w:link w:val="BodyText"/>
    <w:rsid w:val="00957C6E"/>
    <w:rPr>
      <w:rFonts w:ascii="Century Schoolbook" w:hAnsi="Century Schoolbook"/>
      <w:sz w:val="27"/>
    </w:rPr>
  </w:style>
  <w:style w:type="character" w:customStyle="1" w:styleId="UnresolvedMention">
    <w:name w:val="Unresolved Mention"/>
    <w:basedOn w:val="DefaultParagraphFont"/>
    <w:uiPriority w:val="99"/>
    <w:semiHidden/>
    <w:unhideWhenUsed/>
    <w:rsid w:val="00E23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7872</Words>
  <Characters>44877</Characters>
  <Application>Microsoft Office Word</Application>
  <DocSecurity>0</DocSecurity>
  <Lines>373</Lines>
  <Paragraphs>105</Paragraphs>
  <ScaleCrop>false</ScaleCrop>
  <Company/>
  <LinksUpToDate>false</LinksUpToDate>
  <CharactersWithSpaces>52644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2021-07-15T15:43:49Z</dcterms:created>
  <dcterms:modified xsi:type="dcterms:W3CDTF">2021-07-15T15:43:49Z</dcterms:modified>
</cp:coreProperties>
</file>