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B5671" w:rsidP="00A2413E" w14:paraId="6471E85E" w14:textId="204A7A8A">
      <w:pPr>
        <w:spacing w:after="0"/>
        <w:jc w:val="center"/>
        <w:rPr>
          <w:sz w:val="36"/>
        </w:rPr>
      </w:pPr>
      <w:bookmarkStart w:id="0" w:name="_Hlk77249969"/>
      <w:r>
        <w:rPr>
          <w:b/>
          <w:sz w:val="36"/>
        </w:rPr>
        <w:t>IN THE SUPREME COURT OF CALIFORNIA</w:t>
      </w:r>
    </w:p>
    <w:p w:rsidR="00A2413E" w:rsidP="00A2413E" w14:paraId="70021242" w14:textId="1A83656B">
      <w:pPr>
        <w:spacing w:after="0"/>
        <w:jc w:val="center"/>
      </w:pPr>
    </w:p>
    <w:p w:rsidR="00A2413E" w:rsidP="00A2413E" w14:paraId="3DD67298" w14:textId="7CAE3997">
      <w:pPr>
        <w:spacing w:after="0"/>
        <w:jc w:val="center"/>
      </w:pPr>
      <w:r>
        <w:t>B</w:t>
      </w:r>
      <w:r w:rsidR="009F6BB7">
        <w:t xml:space="preserve">LAKELY </w:t>
      </w:r>
      <w:r w:rsidRPr="00001076">
        <w:t>M</w:t>
      </w:r>
      <w:r w:rsidRPr="00001076" w:rsidR="006E10EF">
        <w:rPr>
          <w:smallCaps/>
        </w:rPr>
        <w:t>c</w:t>
      </w:r>
      <w:r w:rsidRPr="00001076" w:rsidR="009F6BB7">
        <w:t>HUGH</w:t>
      </w:r>
      <w:r w:rsidRPr="00001076">
        <w:t xml:space="preserve"> </w:t>
      </w:r>
      <w:r w:rsidRPr="00001076" w:rsidR="006E10EF">
        <w:t>et al</w:t>
      </w:r>
      <w:r w:rsidR="009F6BB7">
        <w:t>.,</w:t>
      </w:r>
    </w:p>
    <w:p w:rsidR="00A2413E" w:rsidP="00A2413E" w14:paraId="4403D488" w14:textId="5F78FBDD">
      <w:pPr>
        <w:spacing w:after="0"/>
        <w:jc w:val="center"/>
      </w:pPr>
      <w:r>
        <w:t>Plaintiff</w:t>
      </w:r>
      <w:r w:rsidR="009F6BB7">
        <w:t>s</w:t>
      </w:r>
      <w:r>
        <w:t xml:space="preserve"> and Appellant</w:t>
      </w:r>
      <w:r w:rsidR="009F6BB7">
        <w:t>s,</w:t>
      </w:r>
    </w:p>
    <w:p w:rsidR="00A2413E" w:rsidP="00A2413E" w14:paraId="518590C0" w14:textId="3280773F">
      <w:pPr>
        <w:spacing w:after="0"/>
        <w:jc w:val="center"/>
      </w:pPr>
      <w:r>
        <w:t>v.</w:t>
      </w:r>
    </w:p>
    <w:p w:rsidR="00A2413E" w:rsidP="00A2413E" w14:paraId="056B7A6A" w14:textId="45021EB3">
      <w:pPr>
        <w:spacing w:after="0"/>
        <w:jc w:val="center"/>
      </w:pPr>
      <w:r w:rsidRPr="00FD5812">
        <w:rPr>
          <w:caps/>
        </w:rPr>
        <w:t>Protective Life Ins</w:t>
      </w:r>
      <w:r w:rsidRPr="00FD5812" w:rsidR="009F6BB7">
        <w:rPr>
          <w:caps/>
        </w:rPr>
        <w:t>urance</w:t>
      </w:r>
      <w:r w:rsidRPr="00FD5812">
        <w:rPr>
          <w:caps/>
        </w:rPr>
        <w:t xml:space="preserve"> Co</w:t>
      </w:r>
      <w:r w:rsidRPr="00FD5812" w:rsidR="009F6BB7">
        <w:rPr>
          <w:caps/>
        </w:rPr>
        <w:t>mpany</w:t>
      </w:r>
      <w:r w:rsidR="009F6BB7">
        <w:t>,</w:t>
      </w:r>
    </w:p>
    <w:p w:rsidR="00A2413E" w:rsidP="00A2413E" w14:paraId="700AD99D" w14:textId="7D60830E">
      <w:pPr>
        <w:spacing w:after="0"/>
        <w:jc w:val="center"/>
      </w:pPr>
      <w:r>
        <w:t>Defendant and Respondent</w:t>
      </w:r>
      <w:r w:rsidR="009F6BB7">
        <w:t>.</w:t>
      </w:r>
    </w:p>
    <w:p w:rsidR="00A2413E" w:rsidP="00A2413E" w14:paraId="285EE02A" w14:textId="5ACA6C25">
      <w:pPr>
        <w:spacing w:after="0"/>
        <w:jc w:val="center"/>
      </w:pPr>
    </w:p>
    <w:p w:rsidR="00A2413E" w:rsidP="00A2413E" w14:paraId="22A3ACD2" w14:textId="772D251B">
      <w:pPr>
        <w:spacing w:after="0"/>
        <w:jc w:val="center"/>
      </w:pPr>
      <w:r>
        <w:t>S</w:t>
      </w:r>
      <w:r w:rsidR="00E369BA">
        <w:t>259215</w:t>
      </w:r>
    </w:p>
    <w:p w:rsidR="00A2413E" w:rsidP="00A2413E" w14:paraId="239FE14F" w14:textId="4793612D">
      <w:pPr>
        <w:spacing w:after="0"/>
        <w:jc w:val="center"/>
      </w:pPr>
    </w:p>
    <w:p w:rsidR="00A2413E" w:rsidP="00A2413E" w14:paraId="7C03CE24" w14:textId="0A307DD8">
      <w:pPr>
        <w:spacing w:after="0"/>
        <w:jc w:val="center"/>
      </w:pPr>
      <w:r>
        <w:t>Fourth Appellate District, Division One</w:t>
      </w:r>
    </w:p>
    <w:p w:rsidR="00A2413E" w:rsidP="00A2413E" w14:paraId="0158727B" w14:textId="4C6DF1B6">
      <w:pPr>
        <w:spacing w:after="0"/>
        <w:jc w:val="center"/>
      </w:pPr>
      <w:r>
        <w:t>D072863</w:t>
      </w:r>
    </w:p>
    <w:p w:rsidR="00A2413E" w:rsidP="00A2413E" w14:paraId="35BB56E1" w14:textId="6F00C7C8">
      <w:pPr>
        <w:spacing w:after="0"/>
        <w:jc w:val="center"/>
      </w:pPr>
    </w:p>
    <w:p w:rsidR="00A2413E" w:rsidP="00A2413E" w14:paraId="0BFD3FE4" w14:textId="029074C9">
      <w:pPr>
        <w:spacing w:after="0"/>
        <w:jc w:val="center"/>
      </w:pPr>
      <w:r>
        <w:t>San Diego County Superior Court</w:t>
      </w:r>
    </w:p>
    <w:p w:rsidR="00A2413E" w:rsidP="00EC2192" w14:paraId="19D05C75" w14:textId="4CA3659D">
      <w:pPr>
        <w:spacing w:after="0"/>
        <w:jc w:val="center"/>
      </w:pPr>
      <w:r>
        <w:t>37-2014-00019212-CU-IC-CTL</w:t>
      </w:r>
    </w:p>
    <w:p w:rsidR="00EC2192" w:rsidP="00EC2192" w14:paraId="6977C50D" w14:textId="77777777">
      <w:pPr>
        <w:pBdr>
          <w:bottom w:val="single" w:sz="4" w:space="1" w:color="auto"/>
        </w:pBdr>
        <w:tabs>
          <w:tab w:val="left" w:pos="1440"/>
          <w:tab w:val="left" w:pos="4680"/>
          <w:tab w:val="center" w:pos="7200"/>
        </w:tabs>
        <w:spacing w:after="0"/>
        <w:jc w:val="center"/>
      </w:pPr>
    </w:p>
    <w:p w:rsidR="00EC2192" w:rsidP="00EC2192" w14:paraId="32CF67AE" w14:textId="77777777">
      <w:pPr>
        <w:tabs>
          <w:tab w:val="left" w:pos="1440"/>
          <w:tab w:val="left" w:pos="4680"/>
          <w:tab w:val="center" w:pos="7200"/>
        </w:tabs>
        <w:spacing w:after="0"/>
        <w:jc w:val="center"/>
      </w:pPr>
    </w:p>
    <w:p w:rsidR="00EC2192" w:rsidP="00EC2192" w14:paraId="59C93D86" w14:textId="086C713D">
      <w:pPr>
        <w:tabs>
          <w:tab w:val="left" w:pos="1440"/>
          <w:tab w:val="left" w:pos="4680"/>
          <w:tab w:val="center" w:pos="7200"/>
        </w:tabs>
        <w:spacing w:after="0"/>
        <w:jc w:val="center"/>
      </w:pPr>
      <w:r>
        <w:t>August 30</w:t>
      </w:r>
      <w:r>
        <w:t>, 2021</w:t>
      </w:r>
    </w:p>
    <w:p w:rsidR="00EC2192" w:rsidRPr="00652D6F" w:rsidP="00EC2192" w14:paraId="184A2A2E" w14:textId="77777777">
      <w:pPr>
        <w:tabs>
          <w:tab w:val="left" w:pos="1440"/>
          <w:tab w:val="left" w:pos="4680"/>
          <w:tab w:val="center" w:pos="7200"/>
        </w:tabs>
        <w:spacing w:after="0"/>
        <w:jc w:val="center"/>
      </w:pPr>
    </w:p>
    <w:p w:rsidR="00720D53" w:rsidP="00720D53" w14:paraId="6D0BC340" w14:textId="15F1782F">
      <w:pPr>
        <w:tabs>
          <w:tab w:val="left" w:pos="1440"/>
          <w:tab w:val="left" w:pos="4680"/>
          <w:tab w:val="center" w:pos="7200"/>
        </w:tabs>
        <w:spacing w:after="0"/>
        <w:jc w:val="left"/>
      </w:pPr>
      <w:r>
        <w:t xml:space="preserve">Justice Cuéllar authored the opinion of the Court, </w:t>
      </w:r>
      <w:r w:rsidR="00085E35">
        <w:t>in which Chief Justice Cantil-Sakauye and Justices Liu, Kruger, and Groban concurred.</w:t>
      </w:r>
    </w:p>
    <w:p w:rsidR="00085E35" w:rsidP="00720D53" w14:paraId="6B9C6DB3" w14:textId="77777777">
      <w:pPr>
        <w:tabs>
          <w:tab w:val="left" w:pos="1440"/>
          <w:tab w:val="left" w:pos="4680"/>
          <w:tab w:val="center" w:pos="7200"/>
        </w:tabs>
        <w:spacing w:after="0"/>
        <w:jc w:val="left"/>
      </w:pPr>
    </w:p>
    <w:p w:rsidR="00085E35" w:rsidRPr="00652D6F" w:rsidP="00085E35" w14:paraId="54C57474" w14:textId="0928173F">
      <w:pPr>
        <w:pBdr>
          <w:bottom w:val="single" w:sz="4" w:space="1" w:color="auto"/>
        </w:pBdr>
        <w:tabs>
          <w:tab w:val="left" w:pos="1440"/>
          <w:tab w:val="left" w:pos="4680"/>
          <w:tab w:val="center" w:pos="7200"/>
        </w:tabs>
        <w:spacing w:after="0"/>
        <w:jc w:val="left"/>
      </w:pPr>
      <w:r>
        <w:t>Justice Jenkins filed a concurring opinion, in which Justice Corrigan concurred.</w:t>
      </w:r>
    </w:p>
    <w:p w:rsidR="00720D53" w:rsidP="00FD5812" w14:paraId="774E68E8" w14:textId="77777777">
      <w:pPr>
        <w:pBdr>
          <w:bottom w:val="single" w:sz="4" w:space="1" w:color="auto"/>
        </w:pBdr>
        <w:tabs>
          <w:tab w:val="left" w:pos="1440"/>
          <w:tab w:val="left" w:pos="4680"/>
          <w:tab w:val="center" w:pos="7200"/>
        </w:tabs>
        <w:spacing w:line="480" w:lineRule="atLeast"/>
        <w:jc w:val="left"/>
      </w:pPr>
    </w:p>
    <w:p w:rsidR="00EC2192" w:rsidRPr="00001076" w:rsidP="00CB5671" w14:paraId="35FBA0E9" w14:textId="77777777">
      <w:pPr>
        <w:jc w:val="center"/>
        <w:sectPr w:rsidSect="00A2413E">
          <w:headerReference w:type="default" r:id="rId6"/>
          <w:footerReference w:type="default" r:id="rId7"/>
          <w:pgSz w:w="12240" w:h="15840"/>
          <w:pgMar w:top="1800" w:right="2160" w:bottom="1440" w:left="2160" w:header="720" w:footer="720" w:gutter="0"/>
          <w:cols w:space="720"/>
          <w:titlePg/>
          <w:docGrid w:linePitch="367"/>
        </w:sectPr>
      </w:pPr>
    </w:p>
    <w:p w:rsidR="00A2413E" w:rsidP="00A2413E" w14:paraId="67A1EE7A" w14:textId="12524714">
      <w:pPr>
        <w:jc w:val="center"/>
      </w:pPr>
      <w:r w:rsidRPr="00001076">
        <w:t>M</w:t>
      </w:r>
      <w:r w:rsidRPr="00001076" w:rsidR="00642996">
        <w:rPr>
          <w:smallCaps/>
        </w:rPr>
        <w:t>c</w:t>
      </w:r>
      <w:r w:rsidRPr="00001076">
        <w:t>H</w:t>
      </w:r>
      <w:r w:rsidRPr="00001076" w:rsidR="00A0437E">
        <w:t>UGH</w:t>
      </w:r>
      <w:r>
        <w:t xml:space="preserve"> v.</w:t>
      </w:r>
      <w:r w:rsidR="00A0437E">
        <w:t xml:space="preserve"> PROTECTIVE LIFE INSURANCE COMPANY</w:t>
      </w:r>
    </w:p>
    <w:p w:rsidR="00A2413E" w:rsidP="00A2413E" w14:paraId="2C433FD6" w14:textId="2DE91936">
      <w:pPr>
        <w:jc w:val="center"/>
      </w:pPr>
      <w:r>
        <w:t>S</w:t>
      </w:r>
      <w:r w:rsidR="00BA073B">
        <w:t>259215</w:t>
      </w:r>
    </w:p>
    <w:p w:rsidR="00A2413E" w:rsidP="00A2413E" w14:paraId="4AF31128" w14:textId="69E61840">
      <w:pPr>
        <w:jc w:val="center"/>
      </w:pPr>
    </w:p>
    <w:p w:rsidR="00A2413E" w:rsidP="00A2413E" w14:paraId="3B3D3E98" w14:textId="7C809E76">
      <w:pPr>
        <w:jc w:val="center"/>
      </w:pPr>
      <w:r>
        <w:t xml:space="preserve">Opinion of the Court by </w:t>
      </w:r>
      <w:r w:rsidR="003E1845">
        <w:t>Cuéllar</w:t>
      </w:r>
      <w:r>
        <w:t>, J.</w:t>
      </w:r>
    </w:p>
    <w:p w:rsidR="00A2413E" w:rsidRPr="00A2413E" w:rsidP="00A2413E" w14:paraId="6AFBEB3E" w14:textId="77777777">
      <w:pPr>
        <w:jc w:val="center"/>
      </w:pPr>
    </w:p>
    <w:p w:rsidR="00BD3026" w:rsidRPr="00A2413E" w:rsidP="00A2413E" w14:paraId="00CA1FF2" w14:textId="5AB2231C">
      <w:pPr>
        <w:ind w:firstLine="720"/>
      </w:pPr>
      <w:r w:rsidRPr="00A2413E">
        <w:t>Millions of</w:t>
      </w:r>
      <w:r w:rsidRPr="00A2413E" w:rsidR="00021FB0">
        <w:t xml:space="preserve"> California</w:t>
      </w:r>
      <w:r w:rsidRPr="00A2413E">
        <w:t xml:space="preserve"> consumers </w:t>
      </w:r>
      <w:r w:rsidR="00BC1B31">
        <w:t xml:space="preserve">manage financial risks for their families by purchasing </w:t>
      </w:r>
      <w:r w:rsidRPr="00A2413E" w:rsidR="00021FB0">
        <w:t>life insurance</w:t>
      </w:r>
      <w:r w:rsidRPr="00A2413E">
        <w:t xml:space="preserve">.  </w:t>
      </w:r>
      <w:r w:rsidR="00BC1B31">
        <w:t>Through these policies, Californians</w:t>
      </w:r>
      <w:r w:rsidRPr="00A2413E" w:rsidR="00A63857">
        <w:t xml:space="preserve"> </w:t>
      </w:r>
      <w:r w:rsidR="00BC1B31">
        <w:t>ensure that their families and other designated beneficiaries are protected by a</w:t>
      </w:r>
      <w:r w:rsidRPr="00A2413E" w:rsidR="00F00CAE">
        <w:t xml:space="preserve"> financial safety</w:t>
      </w:r>
      <w:r w:rsidR="00BC1B31">
        <w:t xml:space="preserve"> net</w:t>
      </w:r>
      <w:r w:rsidR="00235B79">
        <w:t xml:space="preserve"> — </w:t>
      </w:r>
      <w:r w:rsidR="00BC1B31">
        <w:t>and are able to plan for contingencies</w:t>
      </w:r>
      <w:r w:rsidR="00235B79">
        <w:t xml:space="preserve"> — </w:t>
      </w:r>
      <w:r w:rsidR="00BC1B31">
        <w:t>in the event of the policy owners’ untimely death</w:t>
      </w:r>
      <w:r w:rsidRPr="00A2413E" w:rsidR="00F12911">
        <w:t xml:space="preserve">.  </w:t>
      </w:r>
      <w:r w:rsidR="00087142">
        <w:t xml:space="preserve">But there’s a cost: </w:t>
      </w:r>
      <w:r w:rsidR="006A5BF4">
        <w:t xml:space="preserve"> </w:t>
      </w:r>
      <w:r w:rsidR="009F7FA3">
        <w:t>I</w:t>
      </w:r>
      <w:r w:rsidR="00CA5A98">
        <w:t>n exchange for continuing coverage, c</w:t>
      </w:r>
      <w:r w:rsidRPr="00A2413E" w:rsidR="00CA5A98">
        <w:t xml:space="preserve">onsumers </w:t>
      </w:r>
      <w:r w:rsidRPr="00A2413E">
        <w:t>pay regular premiums to their insurers</w:t>
      </w:r>
      <w:r w:rsidR="006A5BF4">
        <w:t xml:space="preserve">.  If consumers </w:t>
      </w:r>
      <w:r w:rsidRPr="00A2413E" w:rsidR="004E2890">
        <w:t xml:space="preserve">fail to do so, insurers </w:t>
      </w:r>
      <w:r w:rsidRPr="00A2413E" w:rsidR="00370280">
        <w:t>have the right to</w:t>
      </w:r>
      <w:r w:rsidRPr="00A2413E" w:rsidR="004E2890">
        <w:t xml:space="preserve"> </w:t>
      </w:r>
      <w:r w:rsidR="005E3EE7">
        <w:t>end</w:t>
      </w:r>
      <w:r w:rsidRPr="00A2413E" w:rsidR="007D46B0">
        <w:t xml:space="preserve"> the polic</w:t>
      </w:r>
      <w:r w:rsidRPr="00A2413E" w:rsidR="00B65337">
        <w:t>ies</w:t>
      </w:r>
      <w:r w:rsidRPr="00A2413E" w:rsidR="009135DB">
        <w:t xml:space="preserve">.  </w:t>
      </w:r>
    </w:p>
    <w:p w:rsidR="00985EDE" w:rsidRPr="00A2413E" w:rsidP="00A2413E" w14:paraId="7DFD2218" w14:textId="6A7B5394">
      <w:pPr>
        <w:ind w:firstLine="720"/>
      </w:pPr>
      <w:r w:rsidRPr="00A2413E">
        <w:t xml:space="preserve">In 2012, the Legislature </w:t>
      </w:r>
      <w:r w:rsidR="00CA5A98">
        <w:t xml:space="preserve">created certain protections to </w:t>
      </w:r>
      <w:r w:rsidR="00C0022C">
        <w:t>shield</w:t>
      </w:r>
      <w:r w:rsidR="00CA5A98">
        <w:t xml:space="preserve"> consumers from losing life insurance coverage because of a missed premium payment.  </w:t>
      </w:r>
      <w:r w:rsidR="00BC1B31">
        <w:t>C</w:t>
      </w:r>
      <w:r w:rsidR="00CA5A98">
        <w:t>odified in s</w:t>
      </w:r>
      <w:r w:rsidRPr="00A2413E">
        <w:t>ections 10113.71 and 10113.72</w:t>
      </w:r>
      <w:r w:rsidRPr="00A2413E" w:rsidR="00837BC2">
        <w:t xml:space="preserve"> </w:t>
      </w:r>
      <w:r w:rsidR="00CA5A98">
        <w:t>of the Insurance Code</w:t>
      </w:r>
      <w:r w:rsidR="00BC1B31">
        <w:t>,</w:t>
      </w:r>
      <w:r>
        <w:rPr>
          <w:rStyle w:val="FootnoteReference"/>
        </w:rPr>
        <w:footnoteReference w:id="3"/>
      </w:r>
      <w:r w:rsidR="00CA5A98">
        <w:t xml:space="preserve"> </w:t>
      </w:r>
      <w:r w:rsidR="00BC1B31">
        <w:t xml:space="preserve">these protections </w:t>
      </w:r>
      <w:r w:rsidRPr="00A2413E" w:rsidR="00414EFC">
        <w:t xml:space="preserve">went into effect on January 1, 2013.  </w:t>
      </w:r>
      <w:r w:rsidR="00BC1B31">
        <w:t>Soon thereafter, the defendant</w:t>
      </w:r>
      <w:r w:rsidRPr="00A2413E" w:rsidR="00BB77BE">
        <w:t xml:space="preserve"> </w:t>
      </w:r>
      <w:r w:rsidRPr="00A2413E" w:rsidR="00CE7E3A">
        <w:t>terminated</w:t>
      </w:r>
      <w:r w:rsidRPr="00A2413E" w:rsidR="00BB77BE">
        <w:t xml:space="preserve"> </w:t>
      </w:r>
      <w:r w:rsidR="002D1205">
        <w:t xml:space="preserve">one of </w:t>
      </w:r>
      <w:r w:rsidRPr="00A2413E" w:rsidR="00BB77BE">
        <w:t xml:space="preserve">the life insurance </w:t>
      </w:r>
      <w:r w:rsidR="002D1205">
        <w:t>policies</w:t>
      </w:r>
      <w:r w:rsidRPr="00A2413E" w:rsidR="002D1205">
        <w:t xml:space="preserve"> </w:t>
      </w:r>
      <w:r w:rsidRPr="00A2413E" w:rsidR="00BB77BE">
        <w:t>at issue</w:t>
      </w:r>
      <w:r w:rsidRPr="00A2413E" w:rsidR="00022C4C">
        <w:t xml:space="preserve"> in this </w:t>
      </w:r>
      <w:r w:rsidR="00BC1B31">
        <w:t xml:space="preserve">case </w:t>
      </w:r>
      <w:r w:rsidRPr="00A2413E" w:rsidR="00027539">
        <w:t xml:space="preserve">because the </w:t>
      </w:r>
      <w:r w:rsidR="005D7A7A">
        <w:t>policy owner</w:t>
      </w:r>
      <w:r w:rsidRPr="00A2413E" w:rsidR="005D7A7A">
        <w:t xml:space="preserve"> </w:t>
      </w:r>
      <w:r w:rsidRPr="00A2413E" w:rsidR="00027539">
        <w:t>had failed to make a payment</w:t>
      </w:r>
      <w:r w:rsidRPr="00A2413E" w:rsidR="00F55320">
        <w:t>.</w:t>
      </w:r>
      <w:r w:rsidRPr="00A2413E" w:rsidR="00BB77BE">
        <w:t xml:space="preserve"> </w:t>
      </w:r>
      <w:r w:rsidRPr="00A2413E" w:rsidR="00F55320">
        <w:t xml:space="preserve"> </w:t>
      </w:r>
      <w:r w:rsidR="002D1205">
        <w:t xml:space="preserve">Plaintiffs claim that the defendant had no right to terminate these policies without complying with the </w:t>
      </w:r>
      <w:r w:rsidR="008A07D0">
        <w:t>newly codified</w:t>
      </w:r>
      <w:r w:rsidR="002D1205">
        <w:t xml:space="preserve"> statutory protections against termination.  </w:t>
      </w:r>
      <w:r w:rsidRPr="00A2413E" w:rsidR="00184118">
        <w:t xml:space="preserve">The Court of Appeal reasoned that </w:t>
      </w:r>
      <w:r w:rsidRPr="00A2413E" w:rsidR="00942057">
        <w:t>sections 10113.71 and 10113.72</w:t>
      </w:r>
      <w:r w:rsidRPr="00A2413E" w:rsidR="00184118">
        <w:t xml:space="preserve"> </w:t>
      </w:r>
      <w:r w:rsidRPr="00A2413E" w:rsidR="00942057">
        <w:t>did not apply</w:t>
      </w:r>
      <w:r w:rsidRPr="00A2413E" w:rsidR="00F103FE">
        <w:t xml:space="preserve"> </w:t>
      </w:r>
      <w:r w:rsidRPr="00A2413E" w:rsidR="00942057">
        <w:t xml:space="preserve">because </w:t>
      </w:r>
      <w:r w:rsidRPr="00A2413E" w:rsidR="00F103FE">
        <w:t>they</w:t>
      </w:r>
      <w:r w:rsidRPr="00A2413E" w:rsidR="004163E3">
        <w:t xml:space="preserve"> </w:t>
      </w:r>
      <w:r w:rsidRPr="00A2413E" w:rsidR="000B28F4">
        <w:t xml:space="preserve">appeared to </w:t>
      </w:r>
      <w:r w:rsidRPr="00A2413E" w:rsidR="00CA66CE">
        <w:t xml:space="preserve">affect only </w:t>
      </w:r>
      <w:r w:rsidRPr="00A2413E" w:rsidR="00184118">
        <w:t>policies issued or delivered after th</w:t>
      </w:r>
      <w:r w:rsidRPr="00A2413E" w:rsidR="00942057">
        <w:t xml:space="preserve">e </w:t>
      </w:r>
      <w:r w:rsidRPr="00A2413E" w:rsidR="005571D0">
        <w:t xml:space="preserve">sections’ </w:t>
      </w:r>
      <w:r w:rsidRPr="00A2413E" w:rsidR="00184118">
        <w:t>January 1, 2013 effective date</w:t>
      </w:r>
      <w:r w:rsidRPr="00A2413E" w:rsidR="00255492">
        <w:t xml:space="preserve">, and the policy at issue here predated the sections.  </w:t>
      </w:r>
      <w:r w:rsidRPr="00A2413E" w:rsidR="005D7D00">
        <w:t>I</w:t>
      </w:r>
      <w:r w:rsidRPr="00A2413E">
        <w:t>n reaching this construction of the statutes</w:t>
      </w:r>
      <w:r w:rsidRPr="00A2413E" w:rsidR="00614921">
        <w:t>,</w:t>
      </w:r>
      <w:r w:rsidRPr="00A2413E">
        <w:t xml:space="preserve"> </w:t>
      </w:r>
      <w:r w:rsidRPr="00A2413E" w:rsidR="00614921">
        <w:t>the court</w:t>
      </w:r>
      <w:r w:rsidRPr="00A2413E">
        <w:t xml:space="preserve"> </w:t>
      </w:r>
      <w:r w:rsidRPr="00A2413E" w:rsidR="001277B2">
        <w:t>cited</w:t>
      </w:r>
      <w:r w:rsidR="00235B79">
        <w:t xml:space="preserve"> — </w:t>
      </w:r>
      <w:r w:rsidRPr="00A2413E" w:rsidR="001277B2">
        <w:t>among other considerations</w:t>
      </w:r>
      <w:r w:rsidR="00235B79">
        <w:t xml:space="preserve"> — </w:t>
      </w:r>
      <w:r w:rsidRPr="00A2413E" w:rsidR="001277B2">
        <w:t xml:space="preserve">its </w:t>
      </w:r>
      <w:r w:rsidRPr="00A2413E">
        <w:t>defer</w:t>
      </w:r>
      <w:r w:rsidRPr="00A2413E" w:rsidR="001277B2">
        <w:t>ence</w:t>
      </w:r>
      <w:r w:rsidRPr="00A2413E">
        <w:t xml:space="preserve"> to </w:t>
      </w:r>
      <w:bookmarkStart w:id="1" w:name="_Hlk77338261"/>
      <w:r w:rsidRPr="00A2413E" w:rsidR="00847DEB">
        <w:t xml:space="preserve">Department of Insurance (DOI) </w:t>
      </w:r>
      <w:bookmarkEnd w:id="1"/>
      <w:r w:rsidRPr="00A2413E" w:rsidR="00C64E3C">
        <w:t>staff correspondence</w:t>
      </w:r>
      <w:r w:rsidR="00FA0DC1">
        <w:t xml:space="preserve"> and electronic instructions</w:t>
      </w:r>
      <w:r w:rsidR="00FC166D">
        <w:t xml:space="preserve"> for policy forms</w:t>
      </w:r>
      <w:r w:rsidRPr="00A2413E" w:rsidR="00B96865">
        <w:t>.</w:t>
      </w:r>
    </w:p>
    <w:p w:rsidR="004510DF" w:rsidRPr="00A2413E" w:rsidP="004510DF" w14:paraId="0A200B5E" w14:textId="677C7706">
      <w:pPr>
        <w:ind w:firstLine="720"/>
      </w:pPr>
      <w:r>
        <w:t>W</w:t>
      </w:r>
      <w:r w:rsidRPr="00A2413E" w:rsidR="001E56E7">
        <w:t xml:space="preserve">e conclude that </w:t>
      </w:r>
      <w:r w:rsidRPr="00A2413E" w:rsidR="00503B0A">
        <w:t xml:space="preserve">sections </w:t>
      </w:r>
      <w:r w:rsidRPr="00A2413E" w:rsidR="00041E46">
        <w:t xml:space="preserve">10113.71 and 10113.72 </w:t>
      </w:r>
      <w:r w:rsidRPr="00A2413E" w:rsidR="00503B0A">
        <w:t xml:space="preserve">apply to all life insurance </w:t>
      </w:r>
      <w:r w:rsidRPr="00A2413E" w:rsidR="00BD2E85">
        <w:t xml:space="preserve">policies </w:t>
      </w:r>
      <w:r w:rsidRPr="00A2413E" w:rsidR="00503B0A">
        <w:t xml:space="preserve">in force </w:t>
      </w:r>
      <w:r w:rsidRPr="00A2413E" w:rsidR="00D26AE1">
        <w:t>when these two sections went into effect</w:t>
      </w:r>
      <w:r w:rsidRPr="00A2413E" w:rsidR="00503B0A">
        <w:t xml:space="preserve">, regardless of when the policies were originally issued.  </w:t>
      </w:r>
      <w:bookmarkStart w:id="2" w:name="_Hlk75793181"/>
      <w:r w:rsidRPr="00A2413E" w:rsidR="000A3ADA">
        <w:t>This</w:t>
      </w:r>
      <w:r w:rsidRPr="00A2413E" w:rsidR="00BD5D26">
        <w:t xml:space="preserve"> </w:t>
      </w:r>
      <w:r w:rsidRPr="00A2413E" w:rsidR="00D26AE1">
        <w:t xml:space="preserve">interpretation </w:t>
      </w:r>
      <w:r w:rsidRPr="00A2413E" w:rsidR="00806AD1">
        <w:t>fits the provisions’ language</w:t>
      </w:r>
      <w:r w:rsidR="00815D1F">
        <w:t>,</w:t>
      </w:r>
      <w:r w:rsidR="000774DC">
        <w:t xml:space="preserve"> legislative history</w:t>
      </w:r>
      <w:r w:rsidR="00815D1F">
        <w:t>,</w:t>
      </w:r>
      <w:r w:rsidR="00F82B6D">
        <w:t xml:space="preserve"> </w:t>
      </w:r>
      <w:r w:rsidR="00815D1F">
        <w:t xml:space="preserve">and </w:t>
      </w:r>
      <w:r w:rsidR="00196057">
        <w:t xml:space="preserve">uniform </w:t>
      </w:r>
      <w:r w:rsidR="00F82B6D">
        <w:t>notice scheme, and it</w:t>
      </w:r>
      <w:r w:rsidRPr="00A2413E" w:rsidR="00BD5D26">
        <w:t xml:space="preserve"> </w:t>
      </w:r>
      <w:r w:rsidRPr="00A2413E" w:rsidR="00CD79F7">
        <w:t>protects</w:t>
      </w:r>
      <w:r w:rsidRPr="00A2413E" w:rsidR="00E12557">
        <w:t xml:space="preserve"> policy</w:t>
      </w:r>
      <w:r w:rsidR="002C31DC">
        <w:t xml:space="preserve"> owners</w:t>
      </w:r>
      <w:r w:rsidR="00235B79">
        <w:t xml:space="preserve"> — </w:t>
      </w:r>
      <w:r w:rsidRPr="00A2413E" w:rsidR="00E12557">
        <w:t>including elderly</w:t>
      </w:r>
      <w:r w:rsidR="003D02B6">
        <w:t>, hospitalized, or incapacitated</w:t>
      </w:r>
      <w:r w:rsidRPr="00A2413E" w:rsidR="00E12557">
        <w:t xml:space="preserve"> </w:t>
      </w:r>
      <w:r w:rsidRPr="00A2413E" w:rsidR="00B56246">
        <w:t>ones</w:t>
      </w:r>
      <w:r w:rsidRPr="00A2413E" w:rsidR="00E12557">
        <w:t xml:space="preserve"> who may be particularly </w:t>
      </w:r>
      <w:r w:rsidRPr="00A2413E" w:rsidR="001C1DBC">
        <w:t>vulnerable</w:t>
      </w:r>
      <w:r w:rsidRPr="00A2413E" w:rsidR="00E12557">
        <w:t xml:space="preserve"> to missing a premium payment</w:t>
      </w:r>
      <w:r w:rsidR="00235B79">
        <w:t xml:space="preserve"> — </w:t>
      </w:r>
      <w:r w:rsidRPr="00A2413E" w:rsidR="00E12557">
        <w:t>from losing coverage</w:t>
      </w:r>
      <w:r w:rsidRPr="00A2413E" w:rsidR="003F0EE0">
        <w:t>, consistent with the provisions’ purpose</w:t>
      </w:r>
      <w:r w:rsidRPr="00A2413E" w:rsidR="00CD42BE">
        <w:t>.</w:t>
      </w:r>
      <w:r w:rsidRPr="00A2413E" w:rsidR="00DF0245">
        <w:t xml:space="preserve">  </w:t>
      </w:r>
      <w:bookmarkEnd w:id="2"/>
      <w:r w:rsidRPr="00A2413E" w:rsidR="00AE4E34">
        <w:t xml:space="preserve">This interpretation does not depend on extending </w:t>
      </w:r>
      <w:r w:rsidRPr="00A2413E" w:rsidR="00432475">
        <w:t>deference to</w:t>
      </w:r>
      <w:r w:rsidRPr="00A2413E" w:rsidR="00BD0D2B">
        <w:t xml:space="preserve"> </w:t>
      </w:r>
      <w:r w:rsidRPr="00A2413E" w:rsidR="00AF5133">
        <w:t xml:space="preserve">DOI </w:t>
      </w:r>
      <w:r w:rsidRPr="00A2413E" w:rsidR="005C30A0">
        <w:t>staff correspondence</w:t>
      </w:r>
      <w:r w:rsidR="00802104">
        <w:t xml:space="preserve"> or </w:t>
      </w:r>
      <w:r w:rsidR="0007323E">
        <w:t xml:space="preserve">electronic instructions, neither of which </w:t>
      </w:r>
      <w:r w:rsidRPr="00001076" w:rsidR="005C30A0">
        <w:t>represent</w:t>
      </w:r>
      <w:r w:rsidRPr="00A2413E" w:rsidR="005C30A0">
        <w:t xml:space="preserve"> the agency’s </w:t>
      </w:r>
      <w:r w:rsidRPr="00A2413E" w:rsidR="00A20CFC">
        <w:t xml:space="preserve">official interpretation </w:t>
      </w:r>
      <w:r w:rsidRPr="00A2413E" w:rsidR="00AF5133">
        <w:t>of sections 10113.71 and 10113.72</w:t>
      </w:r>
      <w:r w:rsidRPr="00A2413E" w:rsidR="0002084B">
        <w:t xml:space="preserve"> </w:t>
      </w:r>
      <w:r w:rsidR="00D54DEB">
        <w:t>n</w:t>
      </w:r>
      <w:r w:rsidRPr="00A2413E" w:rsidR="0002084B">
        <w:t xml:space="preserve">or </w:t>
      </w:r>
      <w:r w:rsidRPr="00A2413E" w:rsidR="005C30A0">
        <w:t xml:space="preserve">otherwise </w:t>
      </w:r>
      <w:r w:rsidRPr="00001076" w:rsidR="005C30A0">
        <w:t>reflect</w:t>
      </w:r>
      <w:r w:rsidRPr="00A2413E" w:rsidR="005C30A0">
        <w:t xml:space="preserve"> the agency’s carefully considered,</w:t>
      </w:r>
      <w:r w:rsidRPr="00A2413E" w:rsidR="00A25815">
        <w:t xml:space="preserve"> long-standing, and</w:t>
      </w:r>
      <w:r w:rsidRPr="00A2413E" w:rsidR="005C30A0">
        <w:t xml:space="preserve"> consistent</w:t>
      </w:r>
      <w:r w:rsidRPr="00A2413E" w:rsidR="00A25815">
        <w:t xml:space="preserve"> </w:t>
      </w:r>
      <w:r w:rsidRPr="00A2413E" w:rsidR="005F543F">
        <w:t xml:space="preserve">interpretive </w:t>
      </w:r>
      <w:r w:rsidRPr="00A2413E" w:rsidR="00A25815">
        <w:t>viewpoint</w:t>
      </w:r>
      <w:r w:rsidRPr="00A2413E" w:rsidR="005F543F">
        <w:t xml:space="preserve"> on the sections.</w:t>
      </w:r>
      <w:r w:rsidRPr="00A2413E" w:rsidR="001E56E7">
        <w:t xml:space="preserve">  Accordingly, we reverse the </w:t>
      </w:r>
      <w:r>
        <w:t xml:space="preserve">judgment of the </w:t>
      </w:r>
      <w:r w:rsidRPr="00A2413E" w:rsidR="001E56E7">
        <w:t>Court of Appeal</w:t>
      </w:r>
      <w:r>
        <w:t xml:space="preserve"> and remand for proceedings consistent with this opinion.</w:t>
      </w:r>
    </w:p>
    <w:p w:rsidR="007F04B1" w:rsidRPr="00E00C95" w:rsidP="00E00C95" w14:paraId="41F5495A" w14:textId="594C7D35">
      <w:pPr>
        <w:pStyle w:val="Heading1"/>
      </w:pPr>
      <w:r w:rsidRPr="00E00C95">
        <w:t>I.</w:t>
      </w:r>
    </w:p>
    <w:p w:rsidR="00C5514F" w:rsidRPr="00A2413E" w:rsidP="00A2413E" w14:paraId="7A0BDC5B" w14:textId="6846E02C">
      <w:pPr>
        <w:pStyle w:val="Text"/>
        <w:spacing w:line="400" w:lineRule="exact"/>
        <w:ind w:firstLine="0"/>
      </w:pPr>
      <w:r w:rsidRPr="00A2413E">
        <w:tab/>
      </w:r>
      <w:r w:rsidRPr="00A2413E">
        <w:t xml:space="preserve">In </w:t>
      </w:r>
      <w:r w:rsidRPr="00A2413E" w:rsidR="006E035C">
        <w:t xml:space="preserve">March </w:t>
      </w:r>
      <w:r w:rsidRPr="00A2413E">
        <w:t>2005, Chase Life Insurance Company, the predecessor</w:t>
      </w:r>
      <w:r w:rsidRPr="00001076" w:rsidR="00CF368D">
        <w:t xml:space="preserve"> </w:t>
      </w:r>
      <w:r w:rsidRPr="00A2413E">
        <w:t>in</w:t>
      </w:r>
      <w:r w:rsidRPr="00001076" w:rsidR="00CF368D">
        <w:t xml:space="preserve"> </w:t>
      </w:r>
      <w:r w:rsidRPr="00A2413E">
        <w:t>interest to defendant Protective Life Insurance</w:t>
      </w:r>
      <w:r w:rsidRPr="00A2413E" w:rsidR="001A6595">
        <w:t xml:space="preserve"> Company</w:t>
      </w:r>
      <w:r w:rsidRPr="00A2413E">
        <w:t xml:space="preserve"> (</w:t>
      </w:r>
      <w:bookmarkStart w:id="3" w:name="_Hlk77338315"/>
      <w:r w:rsidRPr="00A2413E">
        <w:t>Protective</w:t>
      </w:r>
      <w:r w:rsidRPr="00A2413E" w:rsidR="001A6595">
        <w:t xml:space="preserve"> Life</w:t>
      </w:r>
      <w:bookmarkEnd w:id="3"/>
      <w:r w:rsidRPr="00A2413E">
        <w:t xml:space="preserve">), issued a </w:t>
      </w:r>
      <w:r w:rsidRPr="00A2413E" w:rsidR="00252A5A">
        <w:t>$1</w:t>
      </w:r>
      <w:r w:rsidRPr="00A2413E" w:rsidR="00955573">
        <w:t xml:space="preserve"> million</w:t>
      </w:r>
      <w:r w:rsidRPr="00A2413E" w:rsidR="00252A5A">
        <w:t xml:space="preserve"> </w:t>
      </w:r>
      <w:r w:rsidRPr="00A2413E">
        <w:t>term life</w:t>
      </w:r>
      <w:r w:rsidRPr="00A2413E" w:rsidR="00212ED6">
        <w:t xml:space="preserve"> insurance</w:t>
      </w:r>
      <w:r w:rsidRPr="00A2413E">
        <w:t xml:space="preserve"> policy to William McHugh</w:t>
      </w:r>
      <w:r w:rsidRPr="00A2413E" w:rsidR="00C450B7">
        <w:t>.</w:t>
      </w:r>
      <w:r w:rsidRPr="00A2413E" w:rsidR="00116361">
        <w:t xml:space="preserve">  </w:t>
      </w:r>
      <w:r w:rsidRPr="00A2413E">
        <w:t>The policy named McHugh’s daughter, Blakely McHugh</w:t>
      </w:r>
      <w:r w:rsidRPr="00A2413E" w:rsidR="0017307B">
        <w:t>,</w:t>
      </w:r>
      <w:r w:rsidRPr="00A2413E">
        <w:t xml:space="preserve"> as the designated beneficiary and Trysta Henselmeie</w:t>
      </w:r>
      <w:r w:rsidRPr="00A2413E" w:rsidR="00252A5A">
        <w:t>r</w:t>
      </w:r>
      <w:r w:rsidRPr="00A2413E">
        <w:t>, Blakely’s mother and McHugh’s successor</w:t>
      </w:r>
      <w:r w:rsidRPr="00001076" w:rsidR="00CF368D">
        <w:t xml:space="preserve"> </w:t>
      </w:r>
      <w:r w:rsidRPr="00A2413E">
        <w:t>in</w:t>
      </w:r>
      <w:r w:rsidRPr="00001076" w:rsidR="00CF368D">
        <w:t xml:space="preserve"> </w:t>
      </w:r>
      <w:r w:rsidRPr="00A2413E">
        <w:t xml:space="preserve">interest, as a contingent beneficiary.  </w:t>
      </w:r>
    </w:p>
    <w:p w:rsidR="002A79C8" w:rsidRPr="00A2413E" w:rsidP="00A2413E" w14:paraId="34118705" w14:textId="5E5344B2">
      <w:pPr>
        <w:pStyle w:val="Text"/>
        <w:spacing w:line="400" w:lineRule="exact"/>
        <w:ind w:firstLine="547"/>
      </w:pPr>
      <w:r w:rsidRPr="00A2413E">
        <w:tab/>
      </w:r>
      <w:r w:rsidRPr="00A2413E" w:rsidR="007F1BEA">
        <w:t>The policy was for a 60-year term, and it set out a schedule of</w:t>
      </w:r>
      <w:r w:rsidRPr="00A2413E" w:rsidR="009E1818">
        <w:t xml:space="preserve"> annual</w:t>
      </w:r>
      <w:r w:rsidRPr="00A2413E" w:rsidR="007F1BEA">
        <w:t xml:space="preserve"> premiums to keep the policy in force. </w:t>
      </w:r>
      <w:r w:rsidRPr="00A2413E" w:rsidR="007B6AEB">
        <w:t xml:space="preserve"> </w:t>
      </w:r>
      <w:r w:rsidRPr="00A2413E" w:rsidR="005F3298">
        <w:t xml:space="preserve">For the first </w:t>
      </w:r>
      <w:r w:rsidRPr="00001076" w:rsidR="004E33BC">
        <w:t>10</w:t>
      </w:r>
      <w:r w:rsidRPr="00A2413E" w:rsidR="005F3298">
        <w:t xml:space="preserve"> years of the policy, the insurance policy set the annual premium at $310</w:t>
      </w:r>
      <w:r w:rsidRPr="00A2413E" w:rsidR="00A60F6F">
        <w:t xml:space="preserve">; after that, the premium </w:t>
      </w:r>
      <w:r w:rsidRPr="00A2413E" w:rsidR="001C54ED">
        <w:t xml:space="preserve">steadily </w:t>
      </w:r>
      <w:r w:rsidRPr="00A2413E" w:rsidR="00A60F6F">
        <w:t xml:space="preserve">increased each year.  </w:t>
      </w:r>
      <w:r w:rsidRPr="00A2413E" w:rsidR="00C5514F">
        <w:t xml:space="preserve">The policy included a provision for a 31-day grace period before the policy could be terminated for the failure to pay the premium.  </w:t>
      </w:r>
    </w:p>
    <w:p w:rsidR="00A1571A" w:rsidRPr="00A2413E" w:rsidP="00A2413E" w14:paraId="1F759D51" w14:textId="2CBD81E4">
      <w:pPr>
        <w:pStyle w:val="Text"/>
        <w:spacing w:line="400" w:lineRule="exact"/>
        <w:ind w:firstLine="547"/>
      </w:pPr>
      <w:r w:rsidRPr="00A2413E">
        <w:tab/>
      </w:r>
      <w:r w:rsidRPr="00A2413E" w:rsidR="000932B8">
        <w:t xml:space="preserve">McHugh paid all </w:t>
      </w:r>
      <w:r w:rsidRPr="00A2413E" w:rsidR="009D792F">
        <w:t xml:space="preserve">the yearly </w:t>
      </w:r>
      <w:r w:rsidRPr="00A2413E" w:rsidR="000932B8">
        <w:t>premiums</w:t>
      </w:r>
      <w:r w:rsidRPr="00A2413E" w:rsidR="00D16590">
        <w:t xml:space="preserve"> through January 2012.  That</w:t>
      </w:r>
      <w:r w:rsidRPr="00A2413E" w:rsidR="000932B8">
        <w:t xml:space="preserve"> mea</w:t>
      </w:r>
      <w:r w:rsidRPr="00A2413E" w:rsidR="00D16590">
        <w:t>nt</w:t>
      </w:r>
      <w:r w:rsidRPr="00A2413E" w:rsidR="000932B8">
        <w:t xml:space="preserve"> his policy was</w:t>
      </w:r>
      <w:r w:rsidRPr="00A2413E" w:rsidR="00071DBC">
        <w:t>, by its terms</w:t>
      </w:r>
      <w:r w:rsidRPr="00A2413E" w:rsidR="002E1E5D">
        <w:t>,</w:t>
      </w:r>
      <w:r w:rsidRPr="00A2413E" w:rsidR="000932B8">
        <w:t xml:space="preserve"> “in force” until </w:t>
      </w:r>
      <w:r w:rsidRPr="00A2413E" w:rsidR="00740234">
        <w:t xml:space="preserve">February 9, 2013, </w:t>
      </w:r>
      <w:r w:rsidRPr="00A2413E" w:rsidR="000932B8">
        <w:t xml:space="preserve">31 days after the January 9, 2013 due date for that year’s payment.  </w:t>
      </w:r>
      <w:r w:rsidRPr="00A2413E" w:rsidR="009B1EDA">
        <w:t>On</w:t>
      </w:r>
      <w:r w:rsidRPr="00A2413E" w:rsidR="000932B8">
        <w:t xml:space="preserve"> December 20, 2012, </w:t>
      </w:r>
      <w:r w:rsidRPr="00A2413E" w:rsidR="00267EA1">
        <w:t>Protective</w:t>
      </w:r>
      <w:r w:rsidRPr="00A2413E" w:rsidR="001A6595">
        <w:t xml:space="preserve"> Life</w:t>
      </w:r>
      <w:r w:rsidRPr="00A2413E" w:rsidR="00267EA1">
        <w:t xml:space="preserve"> </w:t>
      </w:r>
      <w:r w:rsidRPr="00A2413E" w:rsidR="00D87287">
        <w:t xml:space="preserve">sent McHugh a </w:t>
      </w:r>
      <w:r w:rsidRPr="00A2413E" w:rsidR="009B1EDA">
        <w:t>letter</w:t>
      </w:r>
      <w:r w:rsidRPr="00A2413E" w:rsidR="00D87287">
        <w:t xml:space="preserve"> reminding him </w:t>
      </w:r>
      <w:r w:rsidRPr="00A2413E" w:rsidR="00BD7F4F">
        <w:t>of the January 9 deadline and that nonpayment by February 9 would cause his policy to lapse</w:t>
      </w:r>
      <w:r w:rsidRPr="00A2413E" w:rsidR="00BF1DAB">
        <w:t xml:space="preserve"> or terminate</w:t>
      </w:r>
      <w:r w:rsidRPr="00A2413E" w:rsidR="00BD7F4F">
        <w:t xml:space="preserve">.  </w:t>
      </w:r>
      <w:r w:rsidRPr="00A2413E" w:rsidR="00E87BE3">
        <w:t xml:space="preserve">McHugh failed </w:t>
      </w:r>
      <w:r w:rsidRPr="00A2413E" w:rsidR="00C5514F">
        <w:t xml:space="preserve">to pay the premium </w:t>
      </w:r>
      <w:r w:rsidRPr="00A2413E" w:rsidR="00D34552">
        <w:t>by the d</w:t>
      </w:r>
      <w:r w:rsidRPr="00A2413E" w:rsidR="000E0E2B">
        <w:t>ue date</w:t>
      </w:r>
      <w:r w:rsidRPr="00A2413E" w:rsidR="0093773A">
        <w:t>.  Protective</w:t>
      </w:r>
      <w:r w:rsidRPr="00A2413E" w:rsidR="001A6595">
        <w:t xml:space="preserve"> Life</w:t>
      </w:r>
      <w:r w:rsidRPr="00A2413E" w:rsidR="0093773A">
        <w:t xml:space="preserve"> sent him a second letter on January 29, which stated that </w:t>
      </w:r>
      <w:r w:rsidRPr="00A2413E" w:rsidR="001A6595">
        <w:t>it</w:t>
      </w:r>
      <w:r w:rsidRPr="00A2413E" w:rsidR="0093773A">
        <w:t xml:space="preserve"> had not received</w:t>
      </w:r>
      <w:r w:rsidRPr="00A2413E">
        <w:t xml:space="preserve"> his premium payment for the year and warned that his policy would lapse if he did not make the payment by February 9</w:t>
      </w:r>
      <w:r w:rsidRPr="00A2413E" w:rsidR="000E0E2B">
        <w:t>, the end of the grace period</w:t>
      </w:r>
      <w:r w:rsidRPr="00A2413E">
        <w:t>.  McHugh</w:t>
      </w:r>
      <w:r w:rsidRPr="00A2413E" w:rsidR="00CC3299">
        <w:t xml:space="preserve"> again</w:t>
      </w:r>
      <w:r w:rsidRPr="00A2413E">
        <w:t xml:space="preserve"> failed to make the payment, and the policy lapsed.  On February 18, Protective</w:t>
      </w:r>
      <w:r w:rsidRPr="00A2413E" w:rsidR="001A6595">
        <w:t xml:space="preserve"> Life</w:t>
      </w:r>
      <w:r w:rsidRPr="00A2413E">
        <w:t xml:space="preserve"> sent McHugh a letter informing him the grace period had expired, but that he could reinstate the policy if </w:t>
      </w:r>
      <w:r w:rsidRPr="00A2413E" w:rsidR="001A6595">
        <w:t>it</w:t>
      </w:r>
      <w:r w:rsidRPr="00A2413E">
        <w:t xml:space="preserve"> received his payment by March 12, during his lifetime.  </w:t>
      </w:r>
      <w:bookmarkStart w:id="4" w:name="_Hlk62381097"/>
      <w:r w:rsidRPr="00A2413E" w:rsidR="00D877BB">
        <w:t>McHugh did not pay, and Protective</w:t>
      </w:r>
      <w:r w:rsidRPr="00A2413E" w:rsidR="001A6595">
        <w:t xml:space="preserve"> Life</w:t>
      </w:r>
      <w:r w:rsidRPr="00A2413E" w:rsidR="00D877BB">
        <w:t xml:space="preserve"> formally terminated his policy.  </w:t>
      </w:r>
      <w:bookmarkEnd w:id="4"/>
    </w:p>
    <w:p w:rsidR="00392020" w:rsidRPr="00A2413E" w:rsidP="00A2413E" w14:paraId="4E26537F" w14:textId="1E1BF432">
      <w:pPr>
        <w:pStyle w:val="Text"/>
        <w:spacing w:line="400" w:lineRule="exact"/>
        <w:ind w:firstLine="0"/>
      </w:pPr>
      <w:r w:rsidRPr="00A2413E">
        <w:tab/>
      </w:r>
      <w:r w:rsidRPr="00A2413E" w:rsidR="00CA5D86">
        <w:t>At some point close to when</w:t>
      </w:r>
      <w:r w:rsidRPr="00A2413E">
        <w:t xml:space="preserve"> Protective </w:t>
      </w:r>
      <w:r w:rsidRPr="00A2413E" w:rsidR="001A6595">
        <w:t xml:space="preserve">Life </w:t>
      </w:r>
      <w:r w:rsidRPr="00A2413E">
        <w:t>sent its last l</w:t>
      </w:r>
      <w:r w:rsidR="00D375F9">
        <w:t>e</w:t>
      </w:r>
      <w:r w:rsidRPr="00A2413E">
        <w:t>tter, McHugh suffered a serious</w:t>
      </w:r>
      <w:r w:rsidRPr="00A2413E" w:rsidR="003C4E3D">
        <w:t xml:space="preserve"> fall</w:t>
      </w:r>
      <w:r w:rsidRPr="00A2413E">
        <w:t xml:space="preserve"> that left him disabled, caused him continuing physical pain, and required surgery.  </w:t>
      </w:r>
      <w:r w:rsidRPr="00A2413E" w:rsidR="00C5514F">
        <w:t>McHugh passed away in June 2013</w:t>
      </w:r>
      <w:r w:rsidRPr="00A2413E" w:rsidR="005575E2">
        <w:t>.</w:t>
      </w:r>
      <w:r w:rsidRPr="00A2413E" w:rsidR="00C5514F">
        <w:t xml:space="preserve"> </w:t>
      </w:r>
      <w:r w:rsidRPr="00A2413E" w:rsidR="005575E2">
        <w:t xml:space="preserve"> </w:t>
      </w:r>
      <w:r w:rsidRPr="00A2413E" w:rsidR="001A6595">
        <w:t>Henselmeier contacted Protective Life</w:t>
      </w:r>
      <w:r w:rsidRPr="00A2413E" w:rsidR="002F7AF0">
        <w:t xml:space="preserve"> </w:t>
      </w:r>
      <w:r w:rsidRPr="00A2413E" w:rsidR="001A6595">
        <w:t xml:space="preserve">to inquire about the status of McHugh’s policy and whether a claim could be made.  Protective Life </w:t>
      </w:r>
      <w:r w:rsidRPr="00A2413E" w:rsidR="002F7AF0">
        <w:t xml:space="preserve">advised </w:t>
      </w:r>
      <w:r w:rsidRPr="00A2413E" w:rsidR="001A6595">
        <w:t>that the policy had</w:t>
      </w:r>
      <w:r w:rsidRPr="00A2413E" w:rsidR="002F7AF0">
        <w:t xml:space="preserve"> </w:t>
      </w:r>
      <w:r w:rsidRPr="00A2413E" w:rsidR="00216F21">
        <w:t>been terminated</w:t>
      </w:r>
      <w:r w:rsidRPr="00A2413E" w:rsidR="001A6595">
        <w:t xml:space="preserve">. </w:t>
      </w:r>
      <w:r w:rsidRPr="00A2413E" w:rsidR="002F7AF0">
        <w:t xml:space="preserve"> </w:t>
      </w:r>
      <w:r w:rsidRPr="00A2413E" w:rsidR="003C4E3D">
        <w:t xml:space="preserve">Thereafter, </w:t>
      </w:r>
      <w:r w:rsidRPr="00A2413E" w:rsidR="00C5514F">
        <w:t>Henselmeier</w:t>
      </w:r>
      <w:r w:rsidRPr="00A2413E" w:rsidR="008F620C">
        <w:t xml:space="preserve"> and Blakely</w:t>
      </w:r>
      <w:r w:rsidRPr="00A2413E" w:rsidR="00C5514F">
        <w:t xml:space="preserve"> (plaintiffs) sued Protective </w:t>
      </w:r>
      <w:r w:rsidRPr="00A2413E" w:rsidR="008F620C">
        <w:t xml:space="preserve">Life </w:t>
      </w:r>
      <w:r w:rsidRPr="00A2413E" w:rsidR="00C5514F">
        <w:t>for breach of contract and breach of the implied covenant of good faith and fair dealing.  Plaintiffs</w:t>
      </w:r>
      <w:r w:rsidRPr="00A2413E" w:rsidR="00781A34">
        <w:t xml:space="preserve"> argued that</w:t>
      </w:r>
      <w:r w:rsidRPr="00A2413E">
        <w:t xml:space="preserve"> sections 10113.71 and 10113.72, which came into effect on January 1, 2013, applied to policies issued before this effective date, and that Protective Life failed to comply with the statutes’</w:t>
      </w:r>
      <w:r w:rsidRPr="00A2413E" w:rsidR="00D04CD9">
        <w:t xml:space="preserve"> </w:t>
      </w:r>
      <w:r w:rsidRPr="00A2413E">
        <w:t xml:space="preserve">requirements before it terminated </w:t>
      </w:r>
      <w:r w:rsidRPr="00A2413E" w:rsidR="00CF2459">
        <w:t>McHugh’s</w:t>
      </w:r>
      <w:r w:rsidRPr="00A2413E">
        <w:t xml:space="preserve"> policy.  </w:t>
      </w:r>
    </w:p>
    <w:p w:rsidR="00F31186" w:rsidRPr="00A2413E" w:rsidP="00A2413E" w14:paraId="05EE50B5" w14:textId="3C36801C">
      <w:pPr>
        <w:pStyle w:val="Text"/>
        <w:spacing w:line="400" w:lineRule="exact"/>
        <w:ind w:firstLine="547"/>
      </w:pPr>
      <w:r w:rsidRPr="00A2413E">
        <w:tab/>
      </w:r>
      <w:r w:rsidRPr="00A2413E" w:rsidR="00C5514F">
        <w:t xml:space="preserve">In various </w:t>
      </w:r>
      <w:r w:rsidRPr="00A2413E" w:rsidR="009C0CFB">
        <w:t>filings</w:t>
      </w:r>
      <w:r w:rsidRPr="00A2413E" w:rsidR="00C5514F">
        <w:t xml:space="preserve">, including its motion for a directed verdict, Protective </w:t>
      </w:r>
      <w:r w:rsidRPr="00A2413E" w:rsidR="00E94E13">
        <w:t xml:space="preserve">Life </w:t>
      </w:r>
      <w:r w:rsidRPr="00A2413E" w:rsidR="00C5514F">
        <w:t xml:space="preserve">argued the statutes did not apply to </w:t>
      </w:r>
      <w:r w:rsidRPr="00A2413E" w:rsidR="00CF2459">
        <w:t>policies</w:t>
      </w:r>
      <w:r w:rsidRPr="00A2413E" w:rsidR="00C5514F">
        <w:t xml:space="preserve"> issued before January 1, 2013.  </w:t>
      </w:r>
      <w:r w:rsidRPr="00A2413E" w:rsidR="004B200E">
        <w:t xml:space="preserve">In making this argument, </w:t>
      </w:r>
      <w:r w:rsidRPr="00A2413E" w:rsidR="00363DF6">
        <w:t xml:space="preserve">Protective Life </w:t>
      </w:r>
      <w:r w:rsidRPr="00A2413E" w:rsidR="004B200E">
        <w:t xml:space="preserve">relied </w:t>
      </w:r>
      <w:r w:rsidRPr="00A2413E" w:rsidR="00EB4B4C">
        <w:t>at times</w:t>
      </w:r>
      <w:r w:rsidRPr="00A2413E" w:rsidR="004B200E">
        <w:t xml:space="preserve"> on</w:t>
      </w:r>
      <w:r w:rsidRPr="00A2413E" w:rsidR="006E78CB">
        <w:t xml:space="preserve"> purported</w:t>
      </w:r>
      <w:r w:rsidRPr="00A2413E" w:rsidR="004B200E">
        <w:t xml:space="preserve"> </w:t>
      </w:r>
      <w:r w:rsidR="00805C3C">
        <w:t xml:space="preserve">agency </w:t>
      </w:r>
      <w:r w:rsidRPr="00A2413E" w:rsidR="004B200E">
        <w:t xml:space="preserve">interpretations of the statutes.  </w:t>
      </w:r>
      <w:r w:rsidRPr="00A2413E" w:rsidR="00C5514F">
        <w:t xml:space="preserve">The trial court </w:t>
      </w:r>
      <w:r w:rsidRPr="00A2413E" w:rsidR="00337195">
        <w:t>rejected</w:t>
      </w:r>
      <w:r w:rsidRPr="00A2413E" w:rsidR="006076F8">
        <w:t xml:space="preserve"> </w:t>
      </w:r>
      <w:r w:rsidRPr="00A2413E" w:rsidR="007A3C6B">
        <w:t>Protective Life’s</w:t>
      </w:r>
      <w:r w:rsidRPr="00A2413E" w:rsidR="00C5514F">
        <w:t xml:space="preserve"> </w:t>
      </w:r>
      <w:r w:rsidRPr="00A2413E" w:rsidR="00337195">
        <w:t>argument</w:t>
      </w:r>
      <w:r w:rsidRPr="00A2413E" w:rsidR="006261D4">
        <w:t xml:space="preserve">, </w:t>
      </w:r>
      <w:r w:rsidRPr="00A2413E" w:rsidR="00C5514F">
        <w:t>conclud</w:t>
      </w:r>
      <w:r w:rsidRPr="00A2413E" w:rsidR="006261D4">
        <w:t>ing that</w:t>
      </w:r>
      <w:r w:rsidRPr="00A2413E" w:rsidR="00C5514F">
        <w:t xml:space="preserve"> the statutes </w:t>
      </w:r>
      <w:r w:rsidRPr="00A2413E" w:rsidR="006076F8">
        <w:t>applied to McHugh’s policy</w:t>
      </w:r>
      <w:r w:rsidRPr="00A2413E" w:rsidR="006261D4">
        <w:t xml:space="preserve">.  </w:t>
      </w:r>
      <w:r w:rsidRPr="00A2413E" w:rsidR="00F87E70">
        <w:t>Ultimately</w:t>
      </w:r>
      <w:r w:rsidRPr="00A2413E" w:rsidR="00B42839">
        <w:t>, t</w:t>
      </w:r>
      <w:r w:rsidRPr="00A2413E" w:rsidR="009C6A6C">
        <w:t>he jury found for</w:t>
      </w:r>
      <w:r w:rsidRPr="00A2413E" w:rsidR="006261D4">
        <w:t xml:space="preserve"> Protective Life</w:t>
      </w:r>
      <w:r w:rsidRPr="00A2413E" w:rsidR="00023C51">
        <w:t xml:space="preserve">.  </w:t>
      </w:r>
      <w:r w:rsidRPr="00A2413E">
        <w:t xml:space="preserve">It </w:t>
      </w:r>
      <w:r w:rsidR="00B41AA5">
        <w:t>conclud</w:t>
      </w:r>
      <w:r w:rsidR="00E62B56">
        <w:t>ed that</w:t>
      </w:r>
      <w:r w:rsidRPr="00A2413E" w:rsidR="0074597B">
        <w:t>:  (1)</w:t>
      </w:r>
      <w:r w:rsidRPr="00A2413E">
        <w:t xml:space="preserve"> Protective Life </w:t>
      </w:r>
      <w:r w:rsidRPr="00A2413E" w:rsidR="0074597B">
        <w:t>and McHugh entered into a</w:t>
      </w:r>
      <w:r w:rsidRPr="00A2413E" w:rsidR="004E2940">
        <w:t>n insurance</w:t>
      </w:r>
      <w:r w:rsidRPr="00A2413E" w:rsidR="0074597B">
        <w:t xml:space="preserve"> contract; (2) McHugh failed to do </w:t>
      </w:r>
      <w:r w:rsidRPr="00A2413E" w:rsidR="0021245A">
        <w:t xml:space="preserve">all, or substantially all, of </w:t>
      </w:r>
      <w:r w:rsidRPr="00A2413E" w:rsidR="0074597B">
        <w:t xml:space="preserve">what the </w:t>
      </w:r>
      <w:r w:rsidRPr="00A2413E" w:rsidR="0021245A">
        <w:t xml:space="preserve">contract </w:t>
      </w:r>
      <w:r w:rsidRPr="00A2413E" w:rsidR="0074597B">
        <w:t xml:space="preserve">required him to do, but </w:t>
      </w:r>
      <w:r w:rsidRPr="00A2413E" w:rsidR="00426AF5">
        <w:t xml:space="preserve">he </w:t>
      </w:r>
      <w:r w:rsidRPr="00A2413E" w:rsidR="0074597B">
        <w:t xml:space="preserve">was excused from </w:t>
      </w:r>
      <w:r w:rsidRPr="00A2413E" w:rsidR="0021245A">
        <w:t>doing so</w:t>
      </w:r>
      <w:r w:rsidRPr="00A2413E" w:rsidR="0074597B">
        <w:t>; (3) all conditions required for Protective Life’s performance occurred and were not excused; (4) Protective Life did something the contract prohibited; but (5) plaintiffs were not harmed by Protective Life’s failure.</w:t>
      </w:r>
    </w:p>
    <w:p w:rsidR="00146063" w:rsidP="00F33BBD" w14:paraId="440FC190" w14:textId="5878E56D">
      <w:pPr>
        <w:pStyle w:val="Text"/>
        <w:spacing w:line="400" w:lineRule="exact"/>
        <w:ind w:firstLine="547"/>
      </w:pPr>
      <w:r w:rsidRPr="00A2413E">
        <w:tab/>
      </w:r>
      <w:r w:rsidRPr="00A2413E" w:rsidR="00597C6A">
        <w:t>Plaintiffs appealed from the</w:t>
      </w:r>
      <w:r w:rsidRPr="00A2413E" w:rsidR="00F85AEA">
        <w:t xml:space="preserve"> special</w:t>
      </w:r>
      <w:r w:rsidRPr="00A2413E" w:rsidR="00597C6A">
        <w:t xml:space="preserve"> verdict in favor of Protective Life and the denial of </w:t>
      </w:r>
      <w:r w:rsidR="00D9680C">
        <w:t>plaintiffs’</w:t>
      </w:r>
      <w:r w:rsidRPr="00A2413E" w:rsidR="00597C6A">
        <w:t xml:space="preserve"> </w:t>
      </w:r>
      <w:r w:rsidRPr="00A2413E" w:rsidR="00493FBE">
        <w:t>judgment notwithstanding the verdict</w:t>
      </w:r>
      <w:r w:rsidRPr="00A2413E" w:rsidR="00597C6A">
        <w:t xml:space="preserve"> motion.  </w:t>
      </w:r>
      <w:r w:rsidRPr="00A2413E" w:rsidR="003B53C8">
        <w:t>What they</w:t>
      </w:r>
      <w:r w:rsidRPr="00A2413E">
        <w:t xml:space="preserve"> argued, among other things, </w:t>
      </w:r>
      <w:r w:rsidRPr="00A2413E" w:rsidR="003B53C8">
        <w:t xml:space="preserve">is </w:t>
      </w:r>
      <w:r w:rsidRPr="00A2413E">
        <w:t xml:space="preserve">that the trial court erred by declining to decide as a matter of law whether </w:t>
      </w:r>
      <w:r w:rsidRPr="00A2413E" w:rsidR="00C5514F">
        <w:t>Protective</w:t>
      </w:r>
      <w:r w:rsidRPr="00A2413E">
        <w:t xml:space="preserve"> Life had</w:t>
      </w:r>
      <w:r w:rsidRPr="00A2413E" w:rsidR="00C5514F">
        <w:t xml:space="preserve"> complied with </w:t>
      </w:r>
      <w:r w:rsidR="00E22BA0">
        <w:t xml:space="preserve">Insurance Code </w:t>
      </w:r>
      <w:r w:rsidRPr="00A2413E" w:rsidR="00C5514F">
        <w:t>sections 10113.71 and 10113.72</w:t>
      </w:r>
      <w:r w:rsidRPr="00A2413E">
        <w:t>,</w:t>
      </w:r>
      <w:r w:rsidRPr="00A2413E" w:rsidR="00C5514F">
        <w:t xml:space="preserve"> and instead permitting the jury to decide that issue</w:t>
      </w:r>
      <w:r w:rsidRPr="00A2413E" w:rsidR="003E66F5">
        <w:t xml:space="preserve">.  </w:t>
      </w:r>
      <w:bookmarkStart w:id="5" w:name="_Hlk77254380"/>
      <w:r w:rsidRPr="00A2413E" w:rsidR="00DF0421">
        <w:t>(</w:t>
      </w:r>
      <w:r w:rsidRPr="00A2413E" w:rsidR="00DF0421">
        <w:rPr>
          <w:i/>
          <w:iCs/>
        </w:rPr>
        <w:t>McHugh v. Protective Life Ins.</w:t>
      </w:r>
      <w:r w:rsidRPr="00A2413E" w:rsidR="00DF0421">
        <w:t xml:space="preserve"> (2019) 40 Cal.App.5th 1166, 1171, fn. 4 (</w:t>
      </w:r>
      <w:r w:rsidRPr="00A2413E" w:rsidR="00DF0421">
        <w:rPr>
          <w:i/>
          <w:iCs/>
        </w:rPr>
        <w:t>McHugh</w:t>
      </w:r>
      <w:r w:rsidRPr="00A2413E" w:rsidR="00DF0421">
        <w:t xml:space="preserve">).)  </w:t>
      </w:r>
      <w:bookmarkEnd w:id="5"/>
      <w:r w:rsidR="00881AC7">
        <w:t>Under</w:t>
      </w:r>
      <w:r w:rsidRPr="00A2413E" w:rsidR="0073305E">
        <w:t xml:space="preserve"> </w:t>
      </w:r>
      <w:r w:rsidRPr="00A2413E" w:rsidR="00C5514F">
        <w:t xml:space="preserve">Code of Civil Procedure section 906, </w:t>
      </w:r>
      <w:r w:rsidRPr="00A2413E" w:rsidR="007A4450">
        <w:t>Protective Life</w:t>
      </w:r>
      <w:r w:rsidRPr="00A2413E" w:rsidR="0073305E">
        <w:t xml:space="preserve"> requested the Court of Appeal </w:t>
      </w:r>
      <w:r w:rsidRPr="00A2413E" w:rsidR="00C5514F">
        <w:t xml:space="preserve">affirm the judgment on </w:t>
      </w:r>
      <w:r w:rsidRPr="00A2413E" w:rsidR="005177D9">
        <w:t>the additional ground that</w:t>
      </w:r>
      <w:r w:rsidRPr="00001076" w:rsidR="004E33BC">
        <w:t xml:space="preserve"> Insurance Code</w:t>
      </w:r>
      <w:r w:rsidRPr="00A2413E" w:rsidR="0073305E">
        <w:t xml:space="preserve"> sections 10113.71 and 10113.72 do not apply retroactively to</w:t>
      </w:r>
      <w:r w:rsidR="00037F66">
        <w:t xml:space="preserve"> McHugh’s</w:t>
      </w:r>
      <w:r w:rsidRPr="00A2413E" w:rsidR="0073305E">
        <w:t xml:space="preserve"> policy, </w:t>
      </w:r>
      <w:r w:rsidRPr="00A2413E" w:rsidR="00C5514F">
        <w:t xml:space="preserve">and the trial court erred </w:t>
      </w:r>
      <w:r w:rsidRPr="00A2413E" w:rsidR="00AA2BC7">
        <w:t xml:space="preserve">as a matter of law </w:t>
      </w:r>
      <w:r w:rsidRPr="00A2413E" w:rsidR="00C5514F">
        <w:t xml:space="preserve">when it ruled otherwise in denying </w:t>
      </w:r>
      <w:r w:rsidRPr="00A2413E" w:rsidR="009025C2">
        <w:t xml:space="preserve">the </w:t>
      </w:r>
      <w:r w:rsidRPr="00A2413E" w:rsidR="00C5514F">
        <w:t>directed verdict</w:t>
      </w:r>
      <w:r w:rsidRPr="00A2413E" w:rsidR="00CE5684">
        <w:t xml:space="preserve"> motion</w:t>
      </w:r>
      <w:r w:rsidRPr="00A2413E" w:rsidR="00C5514F">
        <w:t>.</w:t>
      </w:r>
      <w:r w:rsidRPr="00A2413E" w:rsidR="00BB180B">
        <w:t xml:space="preserve">  </w:t>
      </w:r>
      <w:r w:rsidRPr="00A2413E" w:rsidR="00716F0D">
        <w:t>(</w:t>
      </w:r>
      <w:r w:rsidRPr="00A2413E" w:rsidR="009605C5">
        <w:rPr>
          <w:i/>
          <w:iCs/>
        </w:rPr>
        <w:t>McHugh</w:t>
      </w:r>
      <w:r w:rsidRPr="00A2413E" w:rsidR="009605C5">
        <w:t>,</w:t>
      </w:r>
      <w:r w:rsidR="00C21311">
        <w:t xml:space="preserve"> </w:t>
      </w:r>
      <w:r w:rsidRPr="00A2413E" w:rsidR="009605C5">
        <w:t>at pp.</w:t>
      </w:r>
      <w:r w:rsidRPr="00A2413E" w:rsidR="001A475B">
        <w:t xml:space="preserve"> 1170–1171.</w:t>
      </w:r>
      <w:r w:rsidRPr="00A2413E" w:rsidR="00716F0D">
        <w:t>)</w:t>
      </w:r>
      <w:r w:rsidRPr="00A2413E" w:rsidR="00BB180B">
        <w:t xml:space="preserve">  </w:t>
      </w:r>
      <w:r w:rsidRPr="00A2413E" w:rsidR="00AC7374">
        <w:t xml:space="preserve">The Court of Appeal affirmed </w:t>
      </w:r>
      <w:r w:rsidRPr="00A2413E" w:rsidR="00723B2C">
        <w:t xml:space="preserve">the judgment </w:t>
      </w:r>
      <w:r w:rsidRPr="00A2413E" w:rsidR="00AC7374">
        <w:t xml:space="preserve">on this </w:t>
      </w:r>
      <w:r w:rsidRPr="00A2413E" w:rsidR="00723B2C">
        <w:t>additional</w:t>
      </w:r>
      <w:r w:rsidRPr="00A2413E" w:rsidR="00AC7374">
        <w:t xml:space="preserve"> ground.  </w:t>
      </w:r>
      <w:r w:rsidRPr="00A2413E" w:rsidR="00723B2C">
        <w:t>(</w:t>
      </w:r>
      <w:r w:rsidRPr="00A2413E" w:rsidR="00D03A23">
        <w:rPr>
          <w:i/>
          <w:iCs/>
        </w:rPr>
        <w:t>Id</w:t>
      </w:r>
      <w:r w:rsidRPr="00A2413E" w:rsidR="00723B2C">
        <w:t>.</w:t>
      </w:r>
      <w:r w:rsidRPr="00A2413E" w:rsidR="00D03A23">
        <w:t xml:space="preserve"> at p. 1171.</w:t>
      </w:r>
      <w:r w:rsidRPr="00A2413E" w:rsidR="00723B2C">
        <w:t>)</w:t>
      </w:r>
      <w:r w:rsidRPr="00A2413E">
        <w:t xml:space="preserve">  </w:t>
      </w:r>
      <w:r w:rsidRPr="00A2413E" w:rsidR="00395159">
        <w:t>I</w:t>
      </w:r>
      <w:r w:rsidRPr="00A2413E" w:rsidR="00266321">
        <w:t xml:space="preserve">n reaching this holding, the </w:t>
      </w:r>
      <w:r w:rsidRPr="00A2413E" w:rsidR="00FB2A99">
        <w:t>court</w:t>
      </w:r>
      <w:r w:rsidRPr="00A2413E" w:rsidR="00266321">
        <w:t xml:space="preserve"> first relied on </w:t>
      </w:r>
      <w:r w:rsidR="001A33C2">
        <w:t xml:space="preserve">two sets of DOI documents </w:t>
      </w:r>
      <w:r w:rsidRPr="00A2413E" w:rsidR="00107AE4">
        <w:t xml:space="preserve">that it held </w:t>
      </w:r>
      <w:r w:rsidRPr="00A2413E" w:rsidR="00266321">
        <w:t>indicat</w:t>
      </w:r>
      <w:r w:rsidRPr="00A2413E" w:rsidR="00107AE4">
        <w:t>ed</w:t>
      </w:r>
      <w:r w:rsidRPr="00A2413E" w:rsidR="00266321">
        <w:t xml:space="preserve"> that sections 10113.71 and 10113.72 applied only to policies issued after </w:t>
      </w:r>
      <w:r w:rsidRPr="00A2413E" w:rsidR="007B1172">
        <w:t>January 1, 2013</w:t>
      </w:r>
      <w:r w:rsidR="00EA1B56">
        <w:t xml:space="preserve">:  private </w:t>
      </w:r>
      <w:r w:rsidR="007D0F8E">
        <w:t xml:space="preserve">correspondence </w:t>
      </w:r>
      <w:r w:rsidR="00EA1B56">
        <w:t xml:space="preserve">between DOI counsel and insurers, and </w:t>
      </w:r>
      <w:bookmarkStart w:id="6" w:name="_Hlk77338196"/>
      <w:r w:rsidR="00EA1B56">
        <w:t xml:space="preserve">DOI’s </w:t>
      </w:r>
      <w:r w:rsidRPr="00A2413E" w:rsidR="00EA1B56">
        <w:rPr>
          <w:color w:val="000000"/>
          <w:szCs w:val="26"/>
          <w:shd w:val="clear" w:color="auto" w:fill="FFFFFF"/>
        </w:rPr>
        <w:t xml:space="preserve">System for Electronic and Form Filing (SERFF) </w:t>
      </w:r>
      <w:bookmarkEnd w:id="6"/>
      <w:r w:rsidRPr="00A2413E" w:rsidR="00EA1B56">
        <w:rPr>
          <w:color w:val="000000"/>
          <w:szCs w:val="26"/>
          <w:shd w:val="clear" w:color="auto" w:fill="FFFFFF"/>
        </w:rPr>
        <w:t>“</w:t>
      </w:r>
      <w:r w:rsidR="001649B3">
        <w:rPr>
          <w:color w:val="000000"/>
          <w:szCs w:val="26"/>
          <w:shd w:val="clear" w:color="auto" w:fill="FFFFFF"/>
        </w:rPr>
        <w:t> </w:t>
      </w:r>
      <w:r w:rsidRPr="00A2413E" w:rsidR="00EA1B56">
        <w:rPr>
          <w:color w:val="000000"/>
          <w:szCs w:val="26"/>
          <w:shd w:val="clear" w:color="auto" w:fill="FFFFFF"/>
        </w:rPr>
        <w:t>‘Instructions for Complying with [Assembly Bill No.] 1747.’</w:t>
      </w:r>
      <w:r w:rsidR="001649B3">
        <w:rPr>
          <w:color w:val="000000"/>
          <w:szCs w:val="26"/>
          <w:shd w:val="clear" w:color="auto" w:fill="FFFFFF"/>
        </w:rPr>
        <w:t> </w:t>
      </w:r>
      <w:r w:rsidRPr="00A2413E" w:rsidR="00EA1B56">
        <w:rPr>
          <w:color w:val="000000"/>
          <w:szCs w:val="26"/>
          <w:shd w:val="clear" w:color="auto" w:fill="FFFFFF"/>
        </w:rPr>
        <w:t>”  (</w:t>
      </w:r>
      <w:r w:rsidRPr="00A2413E" w:rsidR="00EA1B56">
        <w:rPr>
          <w:i/>
          <w:iCs/>
          <w:color w:val="000000"/>
          <w:szCs w:val="26"/>
          <w:shd w:val="clear" w:color="auto" w:fill="FFFFFF"/>
        </w:rPr>
        <w:t>McHugh</w:t>
      </w:r>
      <w:r w:rsidRPr="00A2413E" w:rsidR="00EA1B56">
        <w:rPr>
          <w:color w:val="000000"/>
          <w:szCs w:val="26"/>
          <w:shd w:val="clear" w:color="auto" w:fill="FFFFFF"/>
        </w:rPr>
        <w:t>,</w:t>
      </w:r>
      <w:r w:rsidR="00D673DA">
        <w:rPr>
          <w:color w:val="000000"/>
          <w:szCs w:val="26"/>
          <w:shd w:val="clear" w:color="auto" w:fill="FFFFFF"/>
        </w:rPr>
        <w:t xml:space="preserve"> </w:t>
      </w:r>
      <w:r w:rsidRPr="00A2413E" w:rsidR="00EA1B56">
        <w:rPr>
          <w:color w:val="000000"/>
          <w:szCs w:val="26"/>
          <w:shd w:val="clear" w:color="auto" w:fill="FFFFFF"/>
        </w:rPr>
        <w:t xml:space="preserve">at p. 1172.)  </w:t>
      </w:r>
      <w:r w:rsidR="005444EC">
        <w:t>It</w:t>
      </w:r>
      <w:r w:rsidR="006C2269">
        <w:t xml:space="preserve"> </w:t>
      </w:r>
      <w:r w:rsidRPr="00A2413E" w:rsidR="00FB2A99">
        <w:t>then determined that the statutes</w:t>
      </w:r>
      <w:r w:rsidRPr="00A2413E" w:rsidR="00700ED2">
        <w:t>’ language</w:t>
      </w:r>
      <w:r w:rsidRPr="00A2413E" w:rsidR="00FB2A99">
        <w:t xml:space="preserve"> </w:t>
      </w:r>
      <w:r w:rsidRPr="00A2413E" w:rsidR="002F7161">
        <w:t>supported D</w:t>
      </w:r>
      <w:r w:rsidRPr="00A2413E" w:rsidR="002670A8">
        <w:t>OI</w:t>
      </w:r>
      <w:r w:rsidRPr="00A2413E" w:rsidR="002F7161">
        <w:t xml:space="preserve">’s </w:t>
      </w:r>
      <w:r w:rsidRPr="00A2413E" w:rsidR="00221B78">
        <w:t xml:space="preserve">purported </w:t>
      </w:r>
      <w:r w:rsidRPr="00A2413E" w:rsidR="002F7161">
        <w:t>interpretation.</w:t>
      </w:r>
      <w:r w:rsidRPr="00A2413E" w:rsidR="00163A67">
        <w:t xml:space="preserve">  (</w:t>
      </w:r>
      <w:r w:rsidRPr="00A2413E" w:rsidR="00163A67">
        <w:rPr>
          <w:i/>
          <w:iCs/>
        </w:rPr>
        <w:t>Id.</w:t>
      </w:r>
      <w:r w:rsidRPr="00A2413E" w:rsidR="00163A67">
        <w:t xml:space="preserve"> at </w:t>
      </w:r>
      <w:r w:rsidRPr="00A2413E" w:rsidR="00290C2F">
        <w:t>p</w:t>
      </w:r>
      <w:r w:rsidRPr="00A2413E" w:rsidR="00163A67">
        <w:t xml:space="preserve">p. </w:t>
      </w:r>
      <w:r w:rsidRPr="00A2413E" w:rsidR="00290C2F">
        <w:t>1175–1177.</w:t>
      </w:r>
      <w:r w:rsidRPr="00A2413E" w:rsidR="00163A67">
        <w:t>)</w:t>
      </w:r>
    </w:p>
    <w:p w:rsidR="006757AE" w:rsidRPr="00A2413E" w:rsidP="008A7685" w14:paraId="51EC17EE" w14:textId="55E25EF9">
      <w:pPr>
        <w:pStyle w:val="Text"/>
        <w:spacing w:line="400" w:lineRule="exact"/>
        <w:ind w:firstLine="0"/>
      </w:pPr>
      <w:r>
        <w:tab/>
      </w:r>
      <w:r w:rsidRPr="00A2413E">
        <w:t xml:space="preserve">We granted </w:t>
      </w:r>
      <w:r w:rsidRPr="00A2413E" w:rsidR="00892768">
        <w:t>review</w:t>
      </w:r>
      <w:r w:rsidRPr="00A2413E" w:rsidR="00A0114C">
        <w:t xml:space="preserve"> </w:t>
      </w:r>
      <w:r w:rsidRPr="00A2413E">
        <w:t xml:space="preserve">to </w:t>
      </w:r>
      <w:r w:rsidRPr="00A2413E" w:rsidR="00A0114C">
        <w:t>r</w:t>
      </w:r>
      <w:r w:rsidRPr="00A2413E" w:rsidR="00892768">
        <w:t>esolve</w:t>
      </w:r>
      <w:r w:rsidRPr="00A2413E">
        <w:t xml:space="preserve"> whether (1) sections 10113.71 and 10113.72 apply to all life insurance policies in force as of January 1, 2013</w:t>
      </w:r>
      <w:r w:rsidR="00235B79">
        <w:t xml:space="preserve"> — </w:t>
      </w:r>
      <w:r w:rsidRPr="00A2413E">
        <w:t xml:space="preserve">regardless of when those policies had </w:t>
      </w:r>
      <w:r w:rsidRPr="0015076C">
        <w:t>originally been issued</w:t>
      </w:r>
      <w:r w:rsidR="00235B79">
        <w:t xml:space="preserve"> — </w:t>
      </w:r>
      <w:r w:rsidRPr="0015076C">
        <w:t xml:space="preserve">or only to policies that went into effect after this date; and (2) the Court of Appeal properly </w:t>
      </w:r>
      <w:r w:rsidR="000D6C9C">
        <w:t>deferred to DOI</w:t>
      </w:r>
      <w:r w:rsidRPr="0015076C">
        <w:t xml:space="preserve"> </w:t>
      </w:r>
      <w:r w:rsidR="000A2206">
        <w:t xml:space="preserve">guidance </w:t>
      </w:r>
      <w:r w:rsidRPr="0015076C">
        <w:t xml:space="preserve">in </w:t>
      </w:r>
      <w:r w:rsidRPr="00A2413E">
        <w:t xml:space="preserve">its analysis.  </w:t>
      </w:r>
    </w:p>
    <w:p w:rsidR="007F04B1" w:rsidRPr="00B75D44" w:rsidP="00E00C95" w14:paraId="2B819199" w14:textId="0219423A">
      <w:pPr>
        <w:pStyle w:val="Heading1"/>
      </w:pPr>
      <w:r w:rsidRPr="00B75D44">
        <w:t>II.</w:t>
      </w:r>
    </w:p>
    <w:p w:rsidR="007354C4" w:rsidRPr="00A2413E" w:rsidP="00A2413E" w14:paraId="42848281" w14:textId="4269D9A2">
      <w:pPr>
        <w:pStyle w:val="Text"/>
        <w:spacing w:line="400" w:lineRule="exact"/>
      </w:pPr>
      <w:r w:rsidRPr="00A2413E">
        <w:tab/>
      </w:r>
      <w:r w:rsidRPr="00A2413E" w:rsidR="00395E12">
        <w:t>The grace period</w:t>
      </w:r>
      <w:r w:rsidRPr="00A2413E">
        <w:t xml:space="preserve"> and notice requirements</w:t>
      </w:r>
      <w:r w:rsidRPr="00A2413E" w:rsidR="00395E12">
        <w:t xml:space="preserve"> governing life insurance policies issued before January 1, 2013 depend on </w:t>
      </w:r>
      <w:r w:rsidRPr="00A2413E" w:rsidR="004C225A">
        <w:t xml:space="preserve">whether </w:t>
      </w:r>
      <w:r w:rsidRPr="00A2413E" w:rsidR="00395E12">
        <w:t>sections 10113.71 and 10113.72</w:t>
      </w:r>
      <w:r w:rsidRPr="00A2413E" w:rsidR="004C225A">
        <w:t xml:space="preserve"> apply to such policies</w:t>
      </w:r>
      <w:r w:rsidRPr="00A2413E" w:rsidR="00395E12">
        <w:t xml:space="preserve">.  </w:t>
      </w:r>
      <w:r w:rsidRPr="00A2413E" w:rsidR="00721325">
        <w:t>T</w:t>
      </w:r>
      <w:r w:rsidRPr="00A2413E" w:rsidR="00211B3F">
        <w:t>o</w:t>
      </w:r>
      <w:r w:rsidRPr="00A2413E" w:rsidR="003B4178">
        <w:t xml:space="preserve"> understand the effe</w:t>
      </w:r>
      <w:r w:rsidRPr="00A2413E" w:rsidR="009F11DA">
        <w:t>cts of these provisions</w:t>
      </w:r>
      <w:r w:rsidRPr="00A2413E" w:rsidR="00211B3F">
        <w:t xml:space="preserve">, </w:t>
      </w:r>
      <w:r w:rsidR="00881AC7">
        <w:t>we begin by</w:t>
      </w:r>
      <w:r w:rsidRPr="00A2413E" w:rsidR="00211B3F">
        <w:t xml:space="preserve"> </w:t>
      </w:r>
      <w:r w:rsidR="00881AC7">
        <w:t>surveying</w:t>
      </w:r>
      <w:r w:rsidRPr="00A2413E" w:rsidR="00881AC7">
        <w:t xml:space="preserve"> </w:t>
      </w:r>
      <w:r w:rsidRPr="00A2413E" w:rsidR="00211B3F">
        <w:t xml:space="preserve">the mechanics of life insurance and the broad legal framework governing such policies.  </w:t>
      </w:r>
      <w:bookmarkStart w:id="7" w:name="_Hlk56891258"/>
      <w:r w:rsidRPr="00A2413E" w:rsidR="004C3731">
        <w:tab/>
      </w:r>
      <w:r w:rsidRPr="00A2413E" w:rsidR="004C3731">
        <w:tab/>
      </w:r>
    </w:p>
    <w:p w:rsidR="00401440" w:rsidRPr="00DA673B" w:rsidP="00DA673B" w14:paraId="28F23D1E" w14:textId="1AAA6F3D">
      <w:pPr>
        <w:pStyle w:val="Heading2"/>
        <w:tabs>
          <w:tab w:val="left" w:pos="0"/>
          <w:tab w:val="clear" w:pos="1152"/>
        </w:tabs>
        <w:ind w:left="0" w:firstLine="0"/>
        <w:jc w:val="center"/>
      </w:pPr>
      <w:r w:rsidRPr="00B75D44">
        <w:t>A.</w:t>
      </w:r>
    </w:p>
    <w:p w:rsidR="00711B61" w:rsidRPr="008608C4" w:rsidP="00A2413E" w14:paraId="43F5943B" w14:textId="19744D26">
      <w:pPr>
        <w:widowControl w:val="0"/>
        <w:ind w:firstLine="720"/>
        <w:rPr>
          <w:color w:val="000000"/>
        </w:rPr>
      </w:pPr>
      <w:r w:rsidRPr="00A2413E">
        <w:t>A life insurance policy “is a contract of indemnity under which, in exchange for the payment of premiums, the insurer promises to pay a sum of money to the designated beneficiary upon the death of the named insured.”  (</w:t>
      </w:r>
      <w:r w:rsidRPr="00A2413E">
        <w:rPr>
          <w:i/>
          <w:iCs/>
        </w:rPr>
        <w:t>Fairbanks v. Superior Court</w:t>
      </w:r>
      <w:r w:rsidRPr="00A2413E">
        <w:t xml:space="preserve"> (2009) 46 Cal.4th 56, 61</w:t>
      </w:r>
      <w:r w:rsidRPr="00A2413E" w:rsidR="00F5489F">
        <w:t>.)</w:t>
      </w:r>
      <w:r w:rsidRPr="00A2413E" w:rsidR="009F72D7">
        <w:t xml:space="preserve">  </w:t>
      </w:r>
      <w:r w:rsidRPr="00A2413E">
        <w:t>There are</w:t>
      </w:r>
      <w:r w:rsidRPr="00A2413E" w:rsidR="002E3F76">
        <w:t xml:space="preserve"> two main categories of life insurance</w:t>
      </w:r>
      <w:r w:rsidRPr="00A2413E" w:rsidR="00B92270">
        <w:t>.</w:t>
      </w:r>
      <w:r w:rsidRPr="00A2413E" w:rsidR="009358B5">
        <w:t xml:space="preserve">  (</w:t>
      </w:r>
      <w:bookmarkStart w:id="8" w:name="_Hlk77254566"/>
      <w:r w:rsidRPr="00A2413E" w:rsidR="009358B5">
        <w:t xml:space="preserve">See </w:t>
      </w:r>
      <w:r w:rsidRPr="00A2413E" w:rsidR="000550EA">
        <w:rPr>
          <w:i/>
          <w:iCs/>
          <w:color w:val="000000"/>
          <w:szCs w:val="26"/>
        </w:rPr>
        <w:t xml:space="preserve">Fairbanks v. </w:t>
      </w:r>
      <w:r w:rsidRPr="00A2413E" w:rsidR="000550EA">
        <w:rPr>
          <w:i/>
          <w:iCs/>
        </w:rPr>
        <w:t xml:space="preserve">Farmers New World Life Ins. Co. </w:t>
      </w:r>
      <w:r w:rsidRPr="00A2413E" w:rsidR="000550EA">
        <w:t xml:space="preserve">(2011) 197 Cal.App.4th 544, </w:t>
      </w:r>
      <w:r w:rsidRPr="00A2413E" w:rsidR="00AB52D2">
        <w:t>547–548 &amp; fn. 3</w:t>
      </w:r>
      <w:r w:rsidRPr="00A2413E" w:rsidR="000550EA">
        <w:t xml:space="preserve"> (</w:t>
      </w:r>
      <w:r w:rsidRPr="00A2413E" w:rsidR="000550EA">
        <w:rPr>
          <w:i/>
          <w:iCs/>
        </w:rPr>
        <w:t>Fairbanks</w:t>
      </w:r>
      <w:r w:rsidRPr="00A2413E" w:rsidR="000550EA">
        <w:t>)</w:t>
      </w:r>
      <w:r w:rsidRPr="00A2413E" w:rsidR="006874CE">
        <w:t xml:space="preserve">; </w:t>
      </w:r>
      <w:bookmarkEnd w:id="8"/>
      <w:r w:rsidRPr="00A2413E" w:rsidR="006874CE">
        <w:rPr>
          <w:i/>
          <w:iCs/>
        </w:rPr>
        <w:t xml:space="preserve">Kaldenbach v. </w:t>
      </w:r>
      <w:r w:rsidRPr="00001076" w:rsidR="006874CE">
        <w:rPr>
          <w:i/>
          <w:iCs/>
        </w:rPr>
        <w:t>Mut</w:t>
      </w:r>
      <w:r w:rsidRPr="00001076" w:rsidR="00CF368D">
        <w:rPr>
          <w:i/>
          <w:iCs/>
        </w:rPr>
        <w:t>ual</w:t>
      </w:r>
      <w:r w:rsidRPr="00A2413E" w:rsidR="006874CE">
        <w:rPr>
          <w:i/>
          <w:iCs/>
        </w:rPr>
        <w:t xml:space="preserve"> of Omaha Life Ins. Co.</w:t>
      </w:r>
      <w:r w:rsidRPr="00A2413E" w:rsidR="006874CE">
        <w:t xml:space="preserve"> (2009) 178 Cal.App.4th 830, 834.)</w:t>
      </w:r>
      <w:r w:rsidRPr="00A2413E" w:rsidR="00C7723E">
        <w:t xml:space="preserve">  </w:t>
      </w:r>
      <w:bookmarkEnd w:id="7"/>
      <w:r w:rsidRPr="00A2413E">
        <w:t>Cash value life insurance</w:t>
      </w:r>
      <w:r w:rsidRPr="00A2413E" w:rsidR="00C7723E">
        <w:t xml:space="preserve"> </w:t>
      </w:r>
      <w:r w:rsidRPr="00A2413E">
        <w:t>provides “</w:t>
      </w:r>
      <w:r w:rsidR="005F1F09">
        <w:t> </w:t>
      </w:r>
      <w:r w:rsidRPr="00A2413E" w:rsidR="006E3672">
        <w:t>‘</w:t>
      </w:r>
      <w:r w:rsidRPr="00A2413E">
        <w:t>insurance</w:t>
      </w:r>
      <w:r w:rsidRPr="00A2413E" w:rsidR="006E3672">
        <w:t>’</w:t>
      </w:r>
      <w:r w:rsidR="005F1F09">
        <w:t> </w:t>
      </w:r>
      <w:r w:rsidRPr="00A2413E">
        <w:t xml:space="preserve">” in the form of a death benefit </w:t>
      </w:r>
      <w:r w:rsidRPr="00A2413E" w:rsidR="00B6169D">
        <w:t>for</w:t>
      </w:r>
      <w:r w:rsidRPr="00A2413E">
        <w:t xml:space="preserve"> designated beneficiaries upon the policy</w:t>
      </w:r>
      <w:r w:rsidR="002C31DC">
        <w:t xml:space="preserve"> owner</w:t>
      </w:r>
      <w:r w:rsidRPr="00A2413E">
        <w:t>’s death, as well as “</w:t>
      </w:r>
      <w:r w:rsidRPr="00001076" w:rsidR="00570AD9">
        <w:t> ‘</w:t>
      </w:r>
      <w:r w:rsidRPr="00A2413E">
        <w:t xml:space="preserve">cash </w:t>
      </w:r>
      <w:r w:rsidRPr="00001076">
        <w:t>value</w:t>
      </w:r>
      <w:r w:rsidRPr="00001076" w:rsidR="00570AD9">
        <w:t>’ </w:t>
      </w:r>
      <w:r w:rsidRPr="00A2413E">
        <w:t xml:space="preserve">” savings </w:t>
      </w:r>
      <w:r w:rsidRPr="00A2413E" w:rsidR="007E49A5">
        <w:t xml:space="preserve">that accumulate and are </w:t>
      </w:r>
      <w:r w:rsidRPr="00A2413E">
        <w:t>available durin</w:t>
      </w:r>
      <w:r w:rsidRPr="00A2413E" w:rsidR="002C14A8">
        <w:t>g the policy</w:t>
      </w:r>
      <w:r w:rsidR="002C31DC">
        <w:t xml:space="preserve"> owner</w:t>
      </w:r>
      <w:r w:rsidRPr="00A2413E" w:rsidR="002C14A8">
        <w:t>’s</w:t>
      </w:r>
      <w:r w:rsidRPr="00A2413E">
        <w:t xml:space="preserve"> lifetime.  (</w:t>
      </w:r>
      <w:r w:rsidRPr="00A2413E">
        <w:rPr>
          <w:i/>
          <w:iCs/>
        </w:rPr>
        <w:t>Kaldenbach</w:t>
      </w:r>
      <w:r w:rsidRPr="00A2413E">
        <w:t>,</w:t>
      </w:r>
      <w:r w:rsidR="00EC4107">
        <w:t xml:space="preserve"> </w:t>
      </w:r>
      <w:r w:rsidRPr="00A2413E">
        <w:t xml:space="preserve">at p. 834.)  </w:t>
      </w:r>
      <w:r w:rsidRPr="00A2413E" w:rsidR="007278B7">
        <w:t>T</w:t>
      </w:r>
      <w:r w:rsidRPr="00A2413E">
        <w:t>erm life insurance, which McHugh purchased, provides only a death benefit, and it does so only for a set duration of years.  (</w:t>
      </w:r>
      <w:r w:rsidRPr="00A2413E">
        <w:rPr>
          <w:i/>
          <w:iCs/>
          <w:color w:val="000000"/>
          <w:szCs w:val="26"/>
          <w:bdr w:val="none" w:sz="0" w:space="0" w:color="auto" w:frame="1"/>
          <w:shd w:val="clear" w:color="auto" w:fill="FFFFFF"/>
        </w:rPr>
        <w:t>Fa</w:t>
      </w:r>
      <w:r w:rsidRPr="00A2413E" w:rsidR="00BB492E">
        <w:rPr>
          <w:i/>
          <w:iCs/>
          <w:color w:val="000000"/>
          <w:szCs w:val="26"/>
          <w:bdr w:val="none" w:sz="0" w:space="0" w:color="auto" w:frame="1"/>
          <w:shd w:val="clear" w:color="auto" w:fill="FFFFFF"/>
        </w:rPr>
        <w:t>irbanks</w:t>
      </w:r>
      <w:r w:rsidRPr="00A2413E">
        <w:rPr>
          <w:color w:val="000000"/>
          <w:szCs w:val="26"/>
          <w:bdr w:val="none" w:sz="0" w:space="0" w:color="auto" w:frame="1"/>
          <w:shd w:val="clear" w:color="auto" w:fill="FFFFFF"/>
        </w:rPr>
        <w:t>,</w:t>
      </w:r>
      <w:r w:rsidR="008A7685">
        <w:rPr>
          <w:color w:val="000000"/>
          <w:szCs w:val="26"/>
          <w:bdr w:val="none" w:sz="0" w:space="0" w:color="auto" w:frame="1"/>
          <w:shd w:val="clear" w:color="auto" w:fill="FFFFFF"/>
        </w:rPr>
        <w:t xml:space="preserve"> </w:t>
      </w:r>
      <w:r w:rsidRPr="00A2413E">
        <w:rPr>
          <w:color w:val="000000"/>
          <w:szCs w:val="26"/>
        </w:rPr>
        <w:t>at p. 547</w:t>
      </w:r>
      <w:r w:rsidRPr="00A2413E" w:rsidR="00B8449F">
        <w:rPr>
          <w:color w:val="000000"/>
          <w:szCs w:val="26"/>
        </w:rPr>
        <w:t>.</w:t>
      </w:r>
      <w:r w:rsidRPr="00A2413E">
        <w:rPr>
          <w:color w:val="000000"/>
          <w:szCs w:val="26"/>
        </w:rPr>
        <w:t xml:space="preserve">)  It does not accrue and pay out a cash value.  </w:t>
      </w:r>
      <w:bookmarkStart w:id="9" w:name="_Hlk77254932"/>
      <w:r w:rsidRPr="00A2413E">
        <w:rPr>
          <w:color w:val="000000"/>
          <w:szCs w:val="26"/>
        </w:rPr>
        <w:t>(</w:t>
      </w:r>
      <w:r w:rsidRPr="00A2413E">
        <w:rPr>
          <w:i/>
          <w:iCs/>
          <w:color w:val="000000"/>
          <w:szCs w:val="26"/>
        </w:rPr>
        <w:t>Estate of Logan</w:t>
      </w:r>
      <w:r w:rsidRPr="00A2413E">
        <w:rPr>
          <w:color w:val="000000"/>
          <w:szCs w:val="26"/>
        </w:rPr>
        <w:t xml:space="preserve"> (1987) 191 Cal.App.3d 319, 324</w:t>
      </w:r>
      <w:r w:rsidRPr="00001076" w:rsidR="00240CCE">
        <w:rPr>
          <w:color w:val="000000"/>
          <w:szCs w:val="26"/>
        </w:rPr>
        <w:t>;</w:t>
      </w:r>
      <w:r w:rsidRPr="00A2413E" w:rsidR="00240CCE">
        <w:rPr>
          <w:color w:val="000000"/>
          <w:szCs w:val="26"/>
        </w:rPr>
        <w:t xml:space="preserve"> </w:t>
      </w:r>
      <w:bookmarkEnd w:id="9"/>
      <w:r w:rsidRPr="00A2413E" w:rsidR="00240CCE">
        <w:rPr>
          <w:color w:val="000000"/>
          <w:szCs w:val="26"/>
        </w:rPr>
        <w:t xml:space="preserve">see also </w:t>
      </w:r>
      <w:r w:rsidRPr="00A2413E">
        <w:rPr>
          <w:color w:val="000000"/>
          <w:szCs w:val="26"/>
        </w:rPr>
        <w:t>Logue, </w:t>
      </w:r>
      <w:r w:rsidRPr="00A2413E">
        <w:rPr>
          <w:i/>
          <w:iCs/>
          <w:color w:val="000000"/>
          <w:szCs w:val="26"/>
          <w:bdr w:val="none" w:sz="0" w:space="0" w:color="auto" w:frame="1"/>
        </w:rPr>
        <w:t>The Current Life Insurance Crisis: How the Law Should Respond</w:t>
      </w:r>
      <w:r w:rsidRPr="00A2413E">
        <w:rPr>
          <w:color w:val="000000"/>
          <w:szCs w:val="26"/>
        </w:rPr>
        <w:t xml:space="preserve"> (2002) 32 Cumb. L.Rev. 1, 17 [“</w:t>
      </w:r>
      <w:r w:rsidRPr="00A2413E">
        <w:rPr>
          <w:color w:val="000000"/>
          <w:szCs w:val="26"/>
          <w:shd w:val="clear" w:color="auto" w:fill="FFFFFF"/>
        </w:rPr>
        <w:t>A characteristic of term life insurance is that if the insured fails to renew or cancels his policy, the coverage will cease and any premiums that have been paid (and earned) will not be refunded”].)</w:t>
      </w:r>
      <w:r w:rsidRPr="00A2413E">
        <w:rPr>
          <w:color w:val="000000"/>
          <w:szCs w:val="26"/>
        </w:rPr>
        <w:t xml:space="preserve">  </w:t>
      </w:r>
    </w:p>
    <w:p w:rsidR="00383449" w:rsidRPr="008608C4" w:rsidP="00EA1785" w14:paraId="23B2A857" w14:textId="32923098">
      <w:pPr>
        <w:ind w:firstLine="720"/>
        <w:rPr>
          <w:color w:val="000000"/>
          <w:shd w:val="clear" w:color="auto" w:fill="FFFFFF"/>
        </w:rPr>
      </w:pPr>
      <w:r w:rsidRPr="00A2413E">
        <w:rPr>
          <w:color w:val="000000"/>
          <w:szCs w:val="26"/>
          <w:shd w:val="clear" w:color="auto" w:fill="FFFFFF"/>
        </w:rPr>
        <w:t xml:space="preserve">Despite the </w:t>
      </w:r>
      <w:r w:rsidRPr="00A2413E" w:rsidR="00F72E99">
        <w:rPr>
          <w:color w:val="000000"/>
          <w:szCs w:val="26"/>
          <w:shd w:val="clear" w:color="auto" w:fill="FFFFFF"/>
        </w:rPr>
        <w:t>differences between term and cash value</w:t>
      </w:r>
      <w:r w:rsidRPr="00A2413E" w:rsidR="001F014F">
        <w:rPr>
          <w:color w:val="000000"/>
          <w:szCs w:val="26"/>
          <w:shd w:val="clear" w:color="auto" w:fill="FFFFFF"/>
        </w:rPr>
        <w:t xml:space="preserve"> </w:t>
      </w:r>
      <w:r w:rsidRPr="00A2413E" w:rsidR="00E11BA5">
        <w:rPr>
          <w:color w:val="000000"/>
          <w:szCs w:val="26"/>
          <w:shd w:val="clear" w:color="auto" w:fill="FFFFFF"/>
        </w:rPr>
        <w:t>life insurance</w:t>
      </w:r>
      <w:r w:rsidRPr="00A2413E" w:rsidR="00AF24ED">
        <w:rPr>
          <w:color w:val="000000"/>
          <w:szCs w:val="26"/>
          <w:shd w:val="clear" w:color="auto" w:fill="FFFFFF"/>
        </w:rPr>
        <w:t xml:space="preserve">, </w:t>
      </w:r>
      <w:r w:rsidR="005A2FD6">
        <w:rPr>
          <w:color w:val="000000"/>
          <w:szCs w:val="26"/>
          <w:shd w:val="clear" w:color="auto" w:fill="FFFFFF"/>
        </w:rPr>
        <w:t xml:space="preserve">the importance of </w:t>
      </w:r>
      <w:r w:rsidRPr="00A2413E" w:rsidR="00E11BA5">
        <w:rPr>
          <w:color w:val="000000"/>
          <w:szCs w:val="26"/>
          <w:shd w:val="clear" w:color="auto" w:fill="FFFFFF"/>
        </w:rPr>
        <w:t xml:space="preserve">one </w:t>
      </w:r>
      <w:r w:rsidR="00D9680C">
        <w:rPr>
          <w:color w:val="000000"/>
          <w:szCs w:val="26"/>
          <w:shd w:val="clear" w:color="auto" w:fill="FFFFFF"/>
        </w:rPr>
        <w:t xml:space="preserve">aspect of insurance </w:t>
      </w:r>
      <w:r w:rsidR="005A2FD6">
        <w:rPr>
          <w:color w:val="000000"/>
          <w:szCs w:val="26"/>
          <w:shd w:val="clear" w:color="auto" w:fill="FFFFFF"/>
        </w:rPr>
        <w:t xml:space="preserve">for the larger public </w:t>
      </w:r>
      <w:r w:rsidRPr="00A2413E" w:rsidR="00654377">
        <w:rPr>
          <w:color w:val="000000"/>
          <w:szCs w:val="26"/>
          <w:shd w:val="clear" w:color="auto" w:fill="FFFFFF"/>
        </w:rPr>
        <w:t xml:space="preserve">remains </w:t>
      </w:r>
      <w:r w:rsidR="005A2FD6">
        <w:rPr>
          <w:color w:val="000000"/>
          <w:szCs w:val="26"/>
          <w:shd w:val="clear" w:color="auto" w:fill="FFFFFF"/>
        </w:rPr>
        <w:t xml:space="preserve">relatively </w:t>
      </w:r>
      <w:r w:rsidRPr="00A2413E" w:rsidR="00654377">
        <w:rPr>
          <w:color w:val="000000"/>
          <w:szCs w:val="26"/>
          <w:shd w:val="clear" w:color="auto" w:fill="FFFFFF"/>
        </w:rPr>
        <w:t>consta</w:t>
      </w:r>
      <w:r w:rsidRPr="00A2413E" w:rsidR="007F59DF">
        <w:rPr>
          <w:color w:val="000000"/>
          <w:szCs w:val="26"/>
          <w:shd w:val="clear" w:color="auto" w:fill="FFFFFF"/>
        </w:rPr>
        <w:t>n</w:t>
      </w:r>
      <w:r w:rsidRPr="00A2413E" w:rsidR="00654377">
        <w:rPr>
          <w:color w:val="000000"/>
          <w:szCs w:val="26"/>
          <w:shd w:val="clear" w:color="auto" w:fill="FFFFFF"/>
        </w:rPr>
        <w:t>t</w:t>
      </w:r>
      <w:r w:rsidRPr="00A2413E" w:rsidR="006B3DA0">
        <w:rPr>
          <w:color w:val="000000"/>
          <w:szCs w:val="26"/>
          <w:shd w:val="clear" w:color="auto" w:fill="FFFFFF"/>
        </w:rPr>
        <w:t xml:space="preserve"> across</w:t>
      </w:r>
      <w:r w:rsidRPr="00A2413E" w:rsidR="00F72E99">
        <w:rPr>
          <w:color w:val="000000"/>
          <w:szCs w:val="26"/>
          <w:shd w:val="clear" w:color="auto" w:fill="FFFFFF"/>
        </w:rPr>
        <w:t xml:space="preserve"> policy types:  </w:t>
      </w:r>
      <w:r w:rsidR="00786108">
        <w:rPr>
          <w:color w:val="000000"/>
          <w:szCs w:val="26"/>
          <w:shd w:val="clear" w:color="auto" w:fill="FFFFFF"/>
        </w:rPr>
        <w:t xml:space="preserve">Consumers </w:t>
      </w:r>
      <w:r w:rsidR="007A0988">
        <w:rPr>
          <w:color w:val="000000"/>
          <w:szCs w:val="26"/>
          <w:shd w:val="clear" w:color="auto" w:fill="FFFFFF"/>
        </w:rPr>
        <w:t xml:space="preserve">often </w:t>
      </w:r>
      <w:r w:rsidR="00786108">
        <w:rPr>
          <w:color w:val="000000"/>
          <w:szCs w:val="26"/>
          <w:shd w:val="clear" w:color="auto" w:fill="FFFFFF"/>
        </w:rPr>
        <w:t>find it</w:t>
      </w:r>
      <w:r w:rsidR="007A0988">
        <w:rPr>
          <w:color w:val="000000"/>
          <w:szCs w:val="26"/>
          <w:shd w:val="clear" w:color="auto" w:fill="FFFFFF"/>
        </w:rPr>
        <w:t xml:space="preserve"> </w:t>
      </w:r>
      <w:r w:rsidR="00EA1785">
        <w:rPr>
          <w:color w:val="000000"/>
          <w:szCs w:val="26"/>
          <w:shd w:val="clear" w:color="auto" w:fill="FFFFFF"/>
        </w:rPr>
        <w:t>very difficult and costly to replace a policy, including one that has been cancelled because of a missed premium payment.</w:t>
      </w:r>
      <w:r w:rsidRPr="00A2413E" w:rsidR="006B5769">
        <w:rPr>
          <w:szCs w:val="26"/>
        </w:rPr>
        <w:t xml:space="preserve">  They may </w:t>
      </w:r>
      <w:r w:rsidR="0073713F">
        <w:rPr>
          <w:szCs w:val="26"/>
        </w:rPr>
        <w:t>need to spend money so they can</w:t>
      </w:r>
      <w:r w:rsidRPr="00A2413E" w:rsidR="006B5769">
        <w:rPr>
          <w:szCs w:val="26"/>
        </w:rPr>
        <w:t xml:space="preserve"> purchase a new policy; </w:t>
      </w:r>
      <w:r w:rsidR="0073713F">
        <w:rPr>
          <w:szCs w:val="26"/>
        </w:rPr>
        <w:t xml:space="preserve">they may be forced to </w:t>
      </w:r>
      <w:r w:rsidRPr="00A2413E" w:rsidR="006B5769">
        <w:rPr>
          <w:szCs w:val="26"/>
        </w:rPr>
        <w:t>pay more expensive</w:t>
      </w:r>
      <w:r w:rsidR="0073713F">
        <w:rPr>
          <w:szCs w:val="26"/>
        </w:rPr>
        <w:t xml:space="preserve"> </w:t>
      </w:r>
      <w:r w:rsidRPr="00A2413E" w:rsidR="006B5769">
        <w:rPr>
          <w:szCs w:val="26"/>
        </w:rPr>
        <w:t xml:space="preserve">premiums because they are being insured at an older age and possibly after </w:t>
      </w:r>
      <w:r w:rsidR="00A37049">
        <w:rPr>
          <w:szCs w:val="26"/>
        </w:rPr>
        <w:t>having</w:t>
      </w:r>
      <w:r w:rsidRPr="00A2413E" w:rsidR="006B5769">
        <w:rPr>
          <w:szCs w:val="26"/>
        </w:rPr>
        <w:t xml:space="preserve"> developed health conditions; </w:t>
      </w:r>
      <w:r w:rsidR="0073713F">
        <w:rPr>
          <w:szCs w:val="26"/>
        </w:rPr>
        <w:t>they may need to pay</w:t>
      </w:r>
      <w:r w:rsidRPr="00A2413E" w:rsidR="006B5769">
        <w:rPr>
          <w:szCs w:val="26"/>
        </w:rPr>
        <w:t xml:space="preserve"> commission charges</w:t>
      </w:r>
      <w:r w:rsidR="0073713F">
        <w:rPr>
          <w:szCs w:val="26"/>
        </w:rPr>
        <w:t xml:space="preserve"> and similar fees</w:t>
      </w:r>
      <w:r w:rsidRPr="00A2413E" w:rsidR="006B5769">
        <w:rPr>
          <w:szCs w:val="26"/>
        </w:rPr>
        <w:t xml:space="preserve">; </w:t>
      </w:r>
      <w:r w:rsidR="0073713F">
        <w:rPr>
          <w:szCs w:val="26"/>
        </w:rPr>
        <w:t xml:space="preserve">they may be forced to live with </w:t>
      </w:r>
      <w:r w:rsidRPr="00A2413E" w:rsidR="006B5769">
        <w:rPr>
          <w:szCs w:val="26"/>
        </w:rPr>
        <w:t xml:space="preserve">new incontestability or suicide clauses; and </w:t>
      </w:r>
      <w:r w:rsidR="00A3380C">
        <w:rPr>
          <w:szCs w:val="26"/>
        </w:rPr>
        <w:t xml:space="preserve">they may </w:t>
      </w:r>
      <w:r w:rsidR="00315ED1">
        <w:rPr>
          <w:szCs w:val="26"/>
        </w:rPr>
        <w:t xml:space="preserve">be barred from </w:t>
      </w:r>
      <w:r w:rsidRPr="00A2413E" w:rsidR="006B5769">
        <w:rPr>
          <w:szCs w:val="26"/>
        </w:rPr>
        <w:t>access</w:t>
      </w:r>
      <w:r w:rsidR="00315ED1">
        <w:rPr>
          <w:szCs w:val="26"/>
        </w:rPr>
        <w:t>ing</w:t>
      </w:r>
      <w:r w:rsidRPr="00A2413E" w:rsidR="006B5769">
        <w:rPr>
          <w:szCs w:val="26"/>
        </w:rPr>
        <w:t xml:space="preserve"> the cash value in their new policy for a considerable time</w:t>
      </w:r>
      <w:r w:rsidRPr="00A2413E" w:rsidR="00D31000">
        <w:rPr>
          <w:color w:val="000000"/>
          <w:szCs w:val="26"/>
          <w:shd w:val="clear" w:color="auto" w:fill="FFFFFF"/>
        </w:rPr>
        <w:t>.</w:t>
      </w:r>
      <w:r w:rsidRPr="00A2413E" w:rsidR="00183473">
        <w:rPr>
          <w:color w:val="000000"/>
          <w:szCs w:val="26"/>
          <w:shd w:val="clear" w:color="auto" w:fill="FFFFFF"/>
        </w:rPr>
        <w:t xml:space="preserve">  </w:t>
      </w:r>
      <w:r w:rsidRPr="00A2413E" w:rsidR="0045748F">
        <w:rPr>
          <w:szCs w:val="26"/>
        </w:rPr>
        <w:t>(</w:t>
      </w:r>
      <w:r w:rsidR="00A37049">
        <w:rPr>
          <w:szCs w:val="26"/>
        </w:rPr>
        <w:t xml:space="preserve">See, e.g., </w:t>
      </w:r>
      <w:r w:rsidRPr="00A2413E" w:rsidR="0045748F">
        <w:rPr>
          <w:i/>
          <w:iCs/>
          <w:szCs w:val="26"/>
        </w:rPr>
        <w:t>In re Prudential Ins. Co. of Am. Sales Practice Litig.</w:t>
      </w:r>
      <w:r w:rsidRPr="00A2413E" w:rsidR="0045748F">
        <w:rPr>
          <w:szCs w:val="26"/>
        </w:rPr>
        <w:t xml:space="preserve"> (3d Cir. 2001) 261 F.3d 355, 359</w:t>
      </w:r>
      <w:r w:rsidRPr="00A2413E" w:rsidR="00172FD4">
        <w:rPr>
          <w:szCs w:val="26"/>
        </w:rPr>
        <w:t>, fn. 2</w:t>
      </w:r>
      <w:r w:rsidRPr="00A2413E" w:rsidR="0045748F">
        <w:rPr>
          <w:szCs w:val="26"/>
        </w:rPr>
        <w:t xml:space="preserve">; </w:t>
      </w:r>
      <w:r w:rsidRPr="00A2413E" w:rsidR="003D726E">
        <w:rPr>
          <w:i/>
          <w:iCs/>
          <w:szCs w:val="26"/>
        </w:rPr>
        <w:t>Mahan v. Charles W. Chan Ins. Agency, Inc.</w:t>
      </w:r>
      <w:r w:rsidRPr="00A2413E" w:rsidR="003D726E">
        <w:rPr>
          <w:szCs w:val="26"/>
        </w:rPr>
        <w:t xml:space="preserve"> (2017) 14 Cal.App.5th 841, 867, fn. 25; </w:t>
      </w:r>
      <w:r w:rsidR="00DA2E41">
        <w:rPr>
          <w:szCs w:val="26"/>
        </w:rPr>
        <w:t>DOI</w:t>
      </w:r>
      <w:r w:rsidRPr="00A2413E" w:rsidR="00A37049">
        <w:rPr>
          <w:szCs w:val="26"/>
        </w:rPr>
        <w:t xml:space="preserve">, </w:t>
      </w:r>
      <w:r w:rsidRPr="00DA2E41" w:rsidR="00A37049">
        <w:rPr>
          <w:szCs w:val="26"/>
        </w:rPr>
        <w:t xml:space="preserve">Life </w:t>
      </w:r>
      <w:r w:rsidR="00DA2E41">
        <w:rPr>
          <w:szCs w:val="26"/>
        </w:rPr>
        <w:t>Insurance Guide</w:t>
      </w:r>
      <w:r w:rsidR="00E61C90">
        <w:rPr>
          <w:szCs w:val="26"/>
        </w:rPr>
        <w:t> </w:t>
      </w:r>
      <w:r w:rsidR="00DA2E41">
        <w:rPr>
          <w:szCs w:val="26"/>
        </w:rPr>
        <w:t>&lt;</w:t>
      </w:r>
      <w:r w:rsidRPr="00A2413E" w:rsidR="00A37049">
        <w:rPr>
          <w:szCs w:val="26"/>
        </w:rPr>
        <w:t>http://</w:t>
      </w:r>
      <w:r w:rsidR="00DA2E41">
        <w:rPr>
          <w:szCs w:val="26"/>
        </w:rPr>
        <w:t>‌</w:t>
      </w:r>
      <w:r w:rsidRPr="00A2413E" w:rsidR="00A37049">
        <w:rPr>
          <w:szCs w:val="26"/>
        </w:rPr>
        <w:t>www.insurance.ca.</w:t>
      </w:r>
      <w:r w:rsidR="00DA2E41">
        <w:rPr>
          <w:szCs w:val="26"/>
        </w:rPr>
        <w:t>‌</w:t>
      </w:r>
      <w:r w:rsidRPr="00A2413E" w:rsidR="00A37049">
        <w:rPr>
          <w:szCs w:val="26"/>
        </w:rPr>
        <w:t>gov/01-</w:t>
      </w:r>
      <w:r w:rsidR="00DA2E41">
        <w:rPr>
          <w:szCs w:val="26"/>
        </w:rPr>
        <w:t>‌</w:t>
      </w:r>
      <w:r w:rsidRPr="00A2413E" w:rsidR="00A37049">
        <w:rPr>
          <w:szCs w:val="26"/>
        </w:rPr>
        <w:t>consumers</w:t>
      </w:r>
      <w:r w:rsidR="00DA2E41">
        <w:rPr>
          <w:szCs w:val="26"/>
        </w:rPr>
        <w:t>‌</w:t>
      </w:r>
      <w:r w:rsidRPr="00A2413E" w:rsidR="00A37049">
        <w:rPr>
          <w:szCs w:val="26"/>
        </w:rPr>
        <w:t>/105-</w:t>
      </w:r>
      <w:r w:rsidR="00DA2E41">
        <w:rPr>
          <w:szCs w:val="26"/>
        </w:rPr>
        <w:t>‌</w:t>
      </w:r>
      <w:r w:rsidRPr="00A2413E" w:rsidR="00A37049">
        <w:rPr>
          <w:szCs w:val="26"/>
        </w:rPr>
        <w:t>type/</w:t>
      </w:r>
      <w:r w:rsidR="003104D2">
        <w:rPr>
          <w:szCs w:val="26"/>
        </w:rPr>
        <w:t>‌‌</w:t>
      </w:r>
      <w:r w:rsidRPr="00A2413E" w:rsidR="00A37049">
        <w:rPr>
          <w:szCs w:val="26"/>
        </w:rPr>
        <w:t>95-</w:t>
      </w:r>
      <w:r w:rsidR="00DA2E41">
        <w:rPr>
          <w:szCs w:val="26"/>
        </w:rPr>
        <w:t>‌</w:t>
      </w:r>
      <w:r w:rsidR="003104D2">
        <w:rPr>
          <w:szCs w:val="26"/>
        </w:rPr>
        <w:t>‌</w:t>
      </w:r>
      <w:r w:rsidRPr="00A2413E" w:rsidR="00A37049">
        <w:rPr>
          <w:szCs w:val="26"/>
        </w:rPr>
        <w:t>guides</w:t>
      </w:r>
      <w:r w:rsidR="003104D2">
        <w:rPr>
          <w:szCs w:val="26"/>
        </w:rPr>
        <w:t>‌</w:t>
      </w:r>
      <w:r w:rsidRPr="00A2413E" w:rsidR="00A37049">
        <w:rPr>
          <w:szCs w:val="26"/>
        </w:rPr>
        <w:t>/07-life/</w:t>
      </w:r>
      <w:r w:rsidR="00DA2E41">
        <w:rPr>
          <w:szCs w:val="26"/>
        </w:rPr>
        <w:t>‌</w:t>
      </w:r>
      <w:r w:rsidRPr="00A2413E" w:rsidR="00A37049">
        <w:rPr>
          <w:szCs w:val="26"/>
        </w:rPr>
        <w:t>life-ins-guide.</w:t>
      </w:r>
      <w:r w:rsidR="00DA2E41">
        <w:rPr>
          <w:szCs w:val="26"/>
        </w:rPr>
        <w:t>‌</w:t>
      </w:r>
      <w:r w:rsidRPr="00A2413E" w:rsidR="00A37049">
        <w:rPr>
          <w:szCs w:val="26"/>
        </w:rPr>
        <w:t>cfm&gt;</w:t>
      </w:r>
      <w:r>
        <w:rPr>
          <w:rStyle w:val="FootnoteReference"/>
          <w:szCs w:val="26"/>
        </w:rPr>
        <w:footnoteReference w:id="4"/>
      </w:r>
      <w:r w:rsidRPr="00A2413E" w:rsidR="00A37049">
        <w:rPr>
          <w:szCs w:val="26"/>
        </w:rPr>
        <w:t xml:space="preserve"> [as of </w:t>
      </w:r>
      <w:r w:rsidR="004D7CA9">
        <w:rPr>
          <w:szCs w:val="26"/>
        </w:rPr>
        <w:t xml:space="preserve">Aug. </w:t>
      </w:r>
      <w:r w:rsidR="00155326">
        <w:rPr>
          <w:szCs w:val="26"/>
        </w:rPr>
        <w:t>30</w:t>
      </w:r>
      <w:r w:rsidRPr="00A2413E" w:rsidR="00A37049">
        <w:rPr>
          <w:szCs w:val="26"/>
        </w:rPr>
        <w:t>, 2021</w:t>
      </w:r>
      <w:r w:rsidR="00A37049">
        <w:rPr>
          <w:szCs w:val="26"/>
        </w:rPr>
        <w:t xml:space="preserve">]; cf. </w:t>
      </w:r>
      <w:r w:rsidRPr="00A2413E" w:rsidR="00A37049">
        <w:rPr>
          <w:i/>
          <w:iCs/>
          <w:szCs w:val="26"/>
        </w:rPr>
        <w:t>Wilner v. Sunset Life Ins. Co.</w:t>
      </w:r>
      <w:r w:rsidRPr="00A2413E" w:rsidR="00A37049">
        <w:rPr>
          <w:szCs w:val="26"/>
        </w:rPr>
        <w:t xml:space="preserve"> (2000) 78 Cal.App.4th 952, 965–967</w:t>
      </w:r>
      <w:r w:rsidRPr="00A2413E" w:rsidR="001A62B7">
        <w:rPr>
          <w:szCs w:val="26"/>
        </w:rPr>
        <w:t>.)</w:t>
      </w:r>
    </w:p>
    <w:p w:rsidR="006F1C30" w:rsidRPr="00A2413E" w:rsidP="00A2413E" w14:paraId="3BB7DA61" w14:textId="4547DE7B">
      <w:pPr>
        <w:rPr>
          <w:color w:val="000000"/>
          <w:szCs w:val="26"/>
        </w:rPr>
      </w:pPr>
      <w:r w:rsidRPr="00A2413E">
        <w:rPr>
          <w:color w:val="000000"/>
          <w:szCs w:val="26"/>
          <w:shd w:val="clear" w:color="auto" w:fill="FFFFFF"/>
        </w:rPr>
        <w:tab/>
      </w:r>
      <w:r w:rsidR="0073713F">
        <w:rPr>
          <w:color w:val="000000"/>
          <w:szCs w:val="26"/>
        </w:rPr>
        <w:t>In part because of these consequences, the</w:t>
      </w:r>
      <w:r w:rsidRPr="00A2413E" w:rsidR="0073713F">
        <w:rPr>
          <w:color w:val="000000"/>
          <w:szCs w:val="26"/>
        </w:rPr>
        <w:t xml:space="preserve"> </w:t>
      </w:r>
      <w:r w:rsidRPr="00A2413E" w:rsidR="00AB77F2">
        <w:rPr>
          <w:color w:val="000000"/>
          <w:szCs w:val="26"/>
        </w:rPr>
        <w:t>insurance business is a matter of public interes</w:t>
      </w:r>
      <w:r w:rsidR="0073713F">
        <w:rPr>
          <w:color w:val="000000"/>
          <w:szCs w:val="26"/>
        </w:rPr>
        <w:t>t.</w:t>
      </w:r>
      <w:r w:rsidRPr="00A2413E" w:rsidR="00AB77F2">
        <w:rPr>
          <w:color w:val="000000"/>
          <w:szCs w:val="26"/>
        </w:rPr>
        <w:t xml:space="preserve"> </w:t>
      </w:r>
      <w:r w:rsidR="0073713F">
        <w:rPr>
          <w:color w:val="000000"/>
          <w:szCs w:val="26"/>
        </w:rPr>
        <w:t xml:space="preserve"> </w:t>
      </w:r>
      <w:bookmarkStart w:id="10" w:name="_Hlk77255133"/>
      <w:r w:rsidRPr="00A2413E" w:rsidR="00D63E22">
        <w:rPr>
          <w:color w:val="000000"/>
          <w:szCs w:val="26"/>
        </w:rPr>
        <w:t>(</w:t>
      </w:r>
      <w:r w:rsidRPr="00A2413E" w:rsidR="00D63E22">
        <w:rPr>
          <w:i/>
          <w:iCs/>
          <w:color w:val="000000"/>
          <w:szCs w:val="26"/>
          <w:bdr w:val="none" w:sz="0" w:space="0" w:color="auto" w:frame="1"/>
        </w:rPr>
        <w:t>Calfarm Ins. Co. v. Deukmejian</w:t>
      </w:r>
      <w:r w:rsidRPr="00A2413E" w:rsidR="00D63E22">
        <w:rPr>
          <w:color w:val="000000"/>
          <w:szCs w:val="26"/>
        </w:rPr>
        <w:t xml:space="preserve"> (1989) 48 Cal.3d 805, 830 (</w:t>
      </w:r>
      <w:r w:rsidRPr="00A2413E" w:rsidR="00D63E22">
        <w:rPr>
          <w:i/>
          <w:iCs/>
          <w:color w:val="000000"/>
          <w:szCs w:val="26"/>
        </w:rPr>
        <w:t>Calfarm</w:t>
      </w:r>
      <w:r w:rsidRPr="00A2413E" w:rsidR="00D63E22">
        <w:rPr>
          <w:color w:val="000000"/>
          <w:szCs w:val="26"/>
        </w:rPr>
        <w:t>)</w:t>
      </w:r>
      <w:r w:rsidR="00D63E22">
        <w:rPr>
          <w:color w:val="000000"/>
          <w:szCs w:val="26"/>
        </w:rPr>
        <w:t xml:space="preserve">; </w:t>
      </w:r>
      <w:bookmarkEnd w:id="10"/>
      <w:r w:rsidR="00D63E22">
        <w:rPr>
          <w:color w:val="000000"/>
          <w:szCs w:val="26"/>
        </w:rPr>
        <w:t xml:space="preserve">see also </w:t>
      </w:r>
      <w:r w:rsidRPr="00D63E22" w:rsidR="00D63E22">
        <w:rPr>
          <w:i/>
          <w:iCs/>
          <w:color w:val="000000"/>
          <w:szCs w:val="26"/>
        </w:rPr>
        <w:t>20th Century Ins. Co.</w:t>
      </w:r>
      <w:r w:rsidRPr="008608C4" w:rsidR="00D63E22">
        <w:rPr>
          <w:i/>
          <w:color w:val="000000"/>
        </w:rPr>
        <w:t xml:space="preserve"> v. </w:t>
      </w:r>
      <w:r w:rsidRPr="00D63E22" w:rsidR="00D63E22">
        <w:rPr>
          <w:i/>
          <w:iCs/>
          <w:color w:val="000000"/>
          <w:szCs w:val="26"/>
        </w:rPr>
        <w:t xml:space="preserve">Superior </w:t>
      </w:r>
      <w:r w:rsidRPr="00001076" w:rsidR="00D63E22">
        <w:rPr>
          <w:i/>
          <w:iCs/>
          <w:color w:val="000000"/>
          <w:szCs w:val="26"/>
        </w:rPr>
        <w:t>C</w:t>
      </w:r>
      <w:r w:rsidRPr="00001076" w:rsidR="00CF368D">
        <w:rPr>
          <w:i/>
          <w:iCs/>
          <w:color w:val="000000"/>
          <w:szCs w:val="26"/>
        </w:rPr>
        <w:t>ourt</w:t>
      </w:r>
      <w:r w:rsidR="00D63E22">
        <w:rPr>
          <w:color w:val="000000"/>
          <w:szCs w:val="26"/>
        </w:rPr>
        <w:t xml:space="preserve"> (2001) </w:t>
      </w:r>
      <w:r w:rsidRPr="00D63E22" w:rsidR="00D63E22">
        <w:rPr>
          <w:color w:val="000000"/>
          <w:szCs w:val="26"/>
        </w:rPr>
        <w:t>90 Cal.App.4th 1247, 1265</w:t>
      </w:r>
      <w:r w:rsidR="00D63E22">
        <w:rPr>
          <w:color w:val="000000"/>
          <w:szCs w:val="26"/>
        </w:rPr>
        <w:t xml:space="preserve"> &amp; fn.</w:t>
      </w:r>
      <w:r w:rsidRPr="00001076" w:rsidR="00D31697">
        <w:rPr>
          <w:color w:val="000000"/>
          <w:szCs w:val="26"/>
        </w:rPr>
        <w:t xml:space="preserve"> </w:t>
      </w:r>
      <w:r w:rsidR="00D63E22">
        <w:rPr>
          <w:color w:val="000000"/>
          <w:szCs w:val="26"/>
        </w:rPr>
        <w:t>9.</w:t>
      </w:r>
      <w:r w:rsidRPr="00A2413E" w:rsidR="00D63E22">
        <w:rPr>
          <w:color w:val="000000"/>
          <w:szCs w:val="26"/>
        </w:rPr>
        <w:t xml:space="preserve">)  </w:t>
      </w:r>
      <w:r w:rsidR="0073713F">
        <w:rPr>
          <w:color w:val="000000"/>
          <w:szCs w:val="26"/>
        </w:rPr>
        <w:t>So</w:t>
      </w:r>
      <w:r w:rsidRPr="00A2413E" w:rsidR="00AB77F2">
        <w:rPr>
          <w:color w:val="000000"/>
          <w:szCs w:val="26"/>
          <w:shd w:val="clear" w:color="auto" w:fill="FFFFFF"/>
        </w:rPr>
        <w:t xml:space="preserve"> </w:t>
      </w:r>
      <w:r w:rsidRPr="00A2413E" w:rsidR="00AB77F2">
        <w:rPr>
          <w:color w:val="000000"/>
          <w:szCs w:val="26"/>
        </w:rPr>
        <w:t>i</w:t>
      </w:r>
      <w:r w:rsidRPr="00A2413E" w:rsidR="00022B7D">
        <w:rPr>
          <w:color w:val="000000"/>
          <w:szCs w:val="26"/>
        </w:rPr>
        <w:t>nsurance</w:t>
      </w:r>
      <w:r w:rsidRPr="00A2413E" w:rsidR="008D6653">
        <w:rPr>
          <w:color w:val="000000"/>
          <w:szCs w:val="26"/>
        </w:rPr>
        <w:t xml:space="preserve"> contracts are</w:t>
      </w:r>
      <w:r w:rsidRPr="00A2413E" w:rsidR="00CC51CC">
        <w:rPr>
          <w:color w:val="000000"/>
          <w:szCs w:val="26"/>
        </w:rPr>
        <w:t xml:space="preserve"> subject to </w:t>
      </w:r>
      <w:r w:rsidR="005A2FD6">
        <w:rPr>
          <w:color w:val="000000"/>
          <w:szCs w:val="26"/>
        </w:rPr>
        <w:t xml:space="preserve">substantial </w:t>
      </w:r>
      <w:r w:rsidRPr="00A2413E" w:rsidR="006C1CB3">
        <w:rPr>
          <w:color w:val="000000"/>
          <w:szCs w:val="26"/>
        </w:rPr>
        <w:t xml:space="preserve">regulation under the </w:t>
      </w:r>
      <w:r w:rsidRPr="00A2413E" w:rsidR="000D1BB5">
        <w:rPr>
          <w:color w:val="000000"/>
          <w:szCs w:val="26"/>
        </w:rPr>
        <w:t>s</w:t>
      </w:r>
      <w:r w:rsidRPr="00A2413E" w:rsidR="006C1CB3">
        <w:rPr>
          <w:color w:val="000000"/>
          <w:szCs w:val="26"/>
        </w:rPr>
        <w:t>tate’s police power</w:t>
      </w:r>
      <w:r w:rsidRPr="00A2413E" w:rsidR="008D6653">
        <w:rPr>
          <w:color w:val="000000"/>
          <w:szCs w:val="26"/>
        </w:rPr>
        <w:t>.</w:t>
      </w:r>
      <w:r w:rsidRPr="00A2413E" w:rsidR="006C1CB3">
        <w:rPr>
          <w:color w:val="000000"/>
          <w:szCs w:val="26"/>
        </w:rPr>
        <w:t xml:space="preserve">  </w:t>
      </w:r>
      <w:r w:rsidR="00D63E22">
        <w:rPr>
          <w:color w:val="000000"/>
          <w:szCs w:val="26"/>
        </w:rPr>
        <w:t>(</w:t>
      </w:r>
      <w:r w:rsidRPr="008608C4" w:rsidR="00D63E22">
        <w:rPr>
          <w:i/>
          <w:color w:val="000000"/>
        </w:rPr>
        <w:t>Calfarm</w:t>
      </w:r>
      <w:r w:rsidR="00D63E22">
        <w:rPr>
          <w:color w:val="000000"/>
          <w:szCs w:val="26"/>
        </w:rPr>
        <w:t xml:space="preserve">, at p. 830.)  </w:t>
      </w:r>
      <w:r w:rsidRPr="00A2413E" w:rsidR="0029460D">
        <w:rPr>
          <w:color w:val="000000"/>
          <w:szCs w:val="26"/>
        </w:rPr>
        <w:t xml:space="preserve">The </w:t>
      </w:r>
      <w:r w:rsidRPr="00A2413E" w:rsidR="000D1BB5">
        <w:rPr>
          <w:color w:val="000000"/>
          <w:szCs w:val="26"/>
        </w:rPr>
        <w:t>s</w:t>
      </w:r>
      <w:r w:rsidRPr="00A2413E" w:rsidR="0029460D">
        <w:rPr>
          <w:color w:val="000000"/>
          <w:szCs w:val="26"/>
        </w:rPr>
        <w:t>tate regulate</w:t>
      </w:r>
      <w:r w:rsidRPr="00A2413E" w:rsidR="0055142D">
        <w:rPr>
          <w:color w:val="000000"/>
          <w:szCs w:val="26"/>
        </w:rPr>
        <w:t>s</w:t>
      </w:r>
      <w:r w:rsidRPr="00A2413E" w:rsidR="0029460D">
        <w:rPr>
          <w:color w:val="000000"/>
          <w:szCs w:val="26"/>
        </w:rPr>
        <w:t xml:space="preserve"> insurance contracts </w:t>
      </w:r>
      <w:r w:rsidR="0073713F">
        <w:rPr>
          <w:color w:val="000000"/>
          <w:szCs w:val="26"/>
        </w:rPr>
        <w:t xml:space="preserve">primarily </w:t>
      </w:r>
      <w:r w:rsidRPr="00A2413E" w:rsidR="00E458C2">
        <w:rPr>
          <w:color w:val="000000"/>
          <w:szCs w:val="26"/>
        </w:rPr>
        <w:t>through</w:t>
      </w:r>
      <w:r w:rsidRPr="00A2413E" w:rsidR="0029460D">
        <w:rPr>
          <w:color w:val="000000"/>
          <w:szCs w:val="26"/>
        </w:rPr>
        <w:t xml:space="preserve"> the Insurance Code</w:t>
      </w:r>
      <w:r w:rsidRPr="00A2413E" w:rsidR="00693424">
        <w:rPr>
          <w:color w:val="000000"/>
          <w:szCs w:val="26"/>
        </w:rPr>
        <w:t>.</w:t>
      </w:r>
      <w:r w:rsidRPr="00A2413E" w:rsidR="00155D03">
        <w:rPr>
          <w:color w:val="000000"/>
          <w:szCs w:val="26"/>
        </w:rPr>
        <w:t xml:space="preserve">  </w:t>
      </w:r>
      <w:r w:rsidRPr="00A2413E" w:rsidR="005677E4">
        <w:t xml:space="preserve">Policies may be </w:t>
      </w:r>
      <w:r w:rsidRPr="00A2413E" w:rsidR="005677E4">
        <w:rPr>
          <w:szCs w:val="26"/>
        </w:rPr>
        <w:t xml:space="preserve">required by the </w:t>
      </w:r>
      <w:r w:rsidRPr="00001076" w:rsidR="00570AD9">
        <w:rPr>
          <w:szCs w:val="26"/>
        </w:rPr>
        <w:t>c</w:t>
      </w:r>
      <w:r w:rsidRPr="00001076" w:rsidR="005677E4">
        <w:rPr>
          <w:szCs w:val="26"/>
        </w:rPr>
        <w:t>ode</w:t>
      </w:r>
      <w:r w:rsidRPr="00A2413E" w:rsidR="005677E4">
        <w:rPr>
          <w:szCs w:val="26"/>
        </w:rPr>
        <w:t xml:space="preserve"> to include certain provisions</w:t>
      </w:r>
      <w:r w:rsidRPr="00A2413E" w:rsidR="00AF181B">
        <w:rPr>
          <w:szCs w:val="26"/>
        </w:rPr>
        <w:t>, and these provisions are deemed to be incorporated into every policy to which they pertain.  (</w:t>
      </w:r>
      <w:r w:rsidRPr="00A2413E" w:rsidR="00AF181B">
        <w:rPr>
          <w:i/>
          <w:iCs/>
          <w:szCs w:val="26"/>
        </w:rPr>
        <w:t>California Fair Plan Assn. v. Garnes</w:t>
      </w:r>
      <w:r w:rsidRPr="00A2413E" w:rsidR="00AF181B">
        <w:rPr>
          <w:szCs w:val="26"/>
        </w:rPr>
        <w:t xml:space="preserve"> (2017) 11 Cal.App.5th 1276, 1305, 1309</w:t>
      </w:r>
      <w:r w:rsidRPr="00A2413E" w:rsidR="001D76B3">
        <w:rPr>
          <w:szCs w:val="26"/>
        </w:rPr>
        <w:t xml:space="preserve">.)  </w:t>
      </w:r>
      <w:r w:rsidRPr="00A2413E" w:rsidR="00877AD7">
        <w:rPr>
          <w:szCs w:val="26"/>
        </w:rPr>
        <w:t>The</w:t>
      </w:r>
      <w:r w:rsidRPr="00A2413E" w:rsidR="00786BDA">
        <w:rPr>
          <w:szCs w:val="26"/>
        </w:rPr>
        <w:t xml:space="preserve"> law</w:t>
      </w:r>
      <w:r w:rsidRPr="00A2413E" w:rsidR="004E65B9">
        <w:rPr>
          <w:szCs w:val="26"/>
        </w:rPr>
        <w:t>s in effect</w:t>
      </w:r>
      <w:r w:rsidRPr="00A2413E" w:rsidR="00786BDA">
        <w:rPr>
          <w:szCs w:val="26"/>
        </w:rPr>
        <w:t xml:space="preserve"> at the time of a policy’s issuance generally govern</w:t>
      </w:r>
      <w:r w:rsidRPr="00A2413E" w:rsidR="004E65B9">
        <w:rPr>
          <w:szCs w:val="26"/>
        </w:rPr>
        <w:t xml:space="preserve"> the policy</w:t>
      </w:r>
      <w:r w:rsidRPr="00A2413E" w:rsidR="00A66AF4">
        <w:rPr>
          <w:szCs w:val="26"/>
        </w:rPr>
        <w:t>.</w:t>
      </w:r>
      <w:r w:rsidRPr="00A2413E" w:rsidR="00FF10B7">
        <w:rPr>
          <w:szCs w:val="26"/>
        </w:rPr>
        <w:t xml:space="preserve"> </w:t>
      </w:r>
      <w:r w:rsidRPr="00A2413E" w:rsidR="00A66AF4">
        <w:rPr>
          <w:szCs w:val="26"/>
        </w:rPr>
        <w:t xml:space="preserve"> </w:t>
      </w:r>
      <w:r w:rsidRPr="00A2413E" w:rsidR="00FF10B7">
        <w:rPr>
          <w:szCs w:val="26"/>
        </w:rPr>
        <w:t>(</w:t>
      </w:r>
      <w:r w:rsidRPr="00A2413E" w:rsidR="00A66AF4">
        <w:rPr>
          <w:color w:val="000000"/>
          <w:szCs w:val="26"/>
          <w:shd w:val="clear" w:color="auto" w:fill="FFFFFF"/>
        </w:rPr>
        <w:t>S</w:t>
      </w:r>
      <w:r w:rsidRPr="00A2413E" w:rsidR="00FF10B7">
        <w:rPr>
          <w:color w:val="000000"/>
          <w:szCs w:val="26"/>
          <w:shd w:val="clear" w:color="auto" w:fill="FFFFFF"/>
        </w:rPr>
        <w:t xml:space="preserve">ee </w:t>
      </w:r>
      <w:bookmarkStart w:id="11" w:name="_Hlk77256899"/>
      <w:r w:rsidRPr="00A2413E" w:rsidR="000B433C">
        <w:rPr>
          <w:i/>
          <w:iCs/>
          <w:color w:val="000000"/>
          <w:szCs w:val="26"/>
          <w:shd w:val="clear" w:color="auto" w:fill="FFFFFF"/>
        </w:rPr>
        <w:t>Interinsurance Exchange of the Auto. Club of Southern Calif. v. Ohio Cas. Ins. Co.</w:t>
      </w:r>
      <w:r w:rsidRPr="00A2413E" w:rsidR="000B433C">
        <w:rPr>
          <w:color w:val="000000"/>
          <w:szCs w:val="26"/>
          <w:shd w:val="clear" w:color="auto" w:fill="FFFFFF"/>
        </w:rPr>
        <w:t xml:space="preserve"> (1962) 58 C</w:t>
      </w:r>
      <w:r w:rsidRPr="00A2413E" w:rsidR="00FF10B7">
        <w:rPr>
          <w:color w:val="000000"/>
          <w:szCs w:val="26"/>
          <w:shd w:val="clear" w:color="auto" w:fill="FFFFFF"/>
        </w:rPr>
        <w:t>al</w:t>
      </w:r>
      <w:r w:rsidRPr="00A2413E" w:rsidR="000B433C">
        <w:rPr>
          <w:color w:val="000000"/>
          <w:szCs w:val="26"/>
          <w:shd w:val="clear" w:color="auto" w:fill="FFFFFF"/>
        </w:rPr>
        <w:t>.2d 142, 148</w:t>
      </w:r>
      <w:r w:rsidRPr="00A2413E" w:rsidR="00F80CE8">
        <w:rPr>
          <w:color w:val="000000"/>
          <w:szCs w:val="26"/>
          <w:shd w:val="clear" w:color="auto" w:fill="FFFFFF"/>
        </w:rPr>
        <w:t xml:space="preserve"> (</w:t>
      </w:r>
      <w:r w:rsidRPr="00A2413E" w:rsidR="00F80CE8">
        <w:rPr>
          <w:i/>
          <w:iCs/>
          <w:color w:val="000000"/>
          <w:szCs w:val="26"/>
          <w:shd w:val="clear" w:color="auto" w:fill="FFFFFF"/>
        </w:rPr>
        <w:t>Interinsurance Exchange</w:t>
      </w:r>
      <w:r w:rsidRPr="00A2413E" w:rsidR="00F80CE8">
        <w:rPr>
          <w:color w:val="000000"/>
          <w:szCs w:val="26"/>
          <w:shd w:val="clear" w:color="auto" w:fill="FFFFFF"/>
        </w:rPr>
        <w:t>)</w:t>
      </w:r>
      <w:bookmarkEnd w:id="11"/>
      <w:r w:rsidRPr="00A2413E" w:rsidR="000B433C">
        <w:rPr>
          <w:color w:val="000000"/>
          <w:szCs w:val="26"/>
          <w:shd w:val="clear" w:color="auto" w:fill="FFFFFF"/>
        </w:rPr>
        <w:t>;</w:t>
      </w:r>
      <w:r w:rsidRPr="00A2413E" w:rsidR="00FF10B7">
        <w:rPr>
          <w:color w:val="000000"/>
          <w:szCs w:val="26"/>
          <w:shd w:val="clear" w:color="auto" w:fill="FFFFFF"/>
        </w:rPr>
        <w:t xml:space="preserve"> </w:t>
      </w:r>
      <w:bookmarkStart w:id="12" w:name="_Hlk77341548"/>
      <w:r w:rsidRPr="00A2413E" w:rsidR="000B433C">
        <w:rPr>
          <w:color w:val="000000"/>
          <w:szCs w:val="26"/>
        </w:rPr>
        <w:t>2 Witkin, Summary</w:t>
      </w:r>
      <w:r w:rsidRPr="00A2413E" w:rsidR="00C53BE5">
        <w:rPr>
          <w:color w:val="000000"/>
          <w:szCs w:val="26"/>
        </w:rPr>
        <w:t xml:space="preserve"> of Cal. Law</w:t>
      </w:r>
      <w:r w:rsidRPr="00A2413E" w:rsidR="000B433C">
        <w:rPr>
          <w:color w:val="000000"/>
          <w:szCs w:val="26"/>
        </w:rPr>
        <w:t xml:space="preserve"> </w:t>
      </w:r>
      <w:r w:rsidRPr="00A2413E" w:rsidR="00C53BE5">
        <w:rPr>
          <w:color w:val="000000"/>
          <w:szCs w:val="26"/>
        </w:rPr>
        <w:t>(</w:t>
      </w:r>
      <w:r w:rsidRPr="00A2413E" w:rsidR="000B433C">
        <w:rPr>
          <w:color w:val="000000"/>
          <w:szCs w:val="26"/>
        </w:rPr>
        <w:t>11th</w:t>
      </w:r>
      <w:r w:rsidRPr="00A2413E" w:rsidR="00C53BE5">
        <w:rPr>
          <w:color w:val="000000"/>
          <w:szCs w:val="26"/>
        </w:rPr>
        <w:t xml:space="preserve"> ed.</w:t>
      </w:r>
      <w:r w:rsidRPr="00A2413E" w:rsidR="000B433C">
        <w:rPr>
          <w:color w:val="000000"/>
          <w:szCs w:val="26"/>
        </w:rPr>
        <w:t xml:space="preserve"> </w:t>
      </w:r>
      <w:r w:rsidRPr="00001076" w:rsidR="000844CD">
        <w:rPr>
          <w:color w:val="000000"/>
          <w:szCs w:val="26"/>
        </w:rPr>
        <w:t>2017</w:t>
      </w:r>
      <w:r w:rsidRPr="00A2413E" w:rsidR="00C53BE5">
        <w:rPr>
          <w:color w:val="000000"/>
          <w:szCs w:val="26"/>
        </w:rPr>
        <w:t xml:space="preserve">) Insurance, </w:t>
      </w:r>
      <w:r w:rsidRPr="00A2413E" w:rsidR="000B433C">
        <w:rPr>
          <w:color w:val="000000"/>
          <w:szCs w:val="26"/>
        </w:rPr>
        <w:t>§ 10</w:t>
      </w:r>
      <w:r w:rsidRPr="00A2413E" w:rsidR="00C53BE5">
        <w:rPr>
          <w:color w:val="000000"/>
          <w:szCs w:val="26"/>
        </w:rPr>
        <w:t xml:space="preserve">, p. </w:t>
      </w:r>
      <w:r w:rsidRPr="00001076" w:rsidR="0056613D">
        <w:rPr>
          <w:color w:val="000000"/>
          <w:szCs w:val="26"/>
        </w:rPr>
        <w:t>44</w:t>
      </w:r>
      <w:r w:rsidRPr="00A2413E" w:rsidR="00322CB7">
        <w:rPr>
          <w:color w:val="000000"/>
          <w:szCs w:val="26"/>
        </w:rPr>
        <w:t>.</w:t>
      </w:r>
      <w:r w:rsidRPr="00A2413E" w:rsidR="00FF10B7">
        <w:rPr>
          <w:color w:val="000000"/>
          <w:szCs w:val="26"/>
        </w:rPr>
        <w:t>)</w:t>
      </w:r>
      <w:bookmarkEnd w:id="12"/>
      <w:r w:rsidRPr="00A2413E" w:rsidR="00FF10B7">
        <w:rPr>
          <w:color w:val="000000"/>
          <w:szCs w:val="26"/>
        </w:rPr>
        <w:t xml:space="preserve"> </w:t>
      </w:r>
      <w:r w:rsidRPr="00A2413E" w:rsidR="00FF1478">
        <w:rPr>
          <w:color w:val="000000"/>
          <w:szCs w:val="26"/>
        </w:rPr>
        <w:t xml:space="preserve"> This general rule </w:t>
      </w:r>
      <w:r w:rsidRPr="00A2413E" w:rsidR="00831954">
        <w:rPr>
          <w:color w:val="000000"/>
          <w:szCs w:val="26"/>
        </w:rPr>
        <w:t xml:space="preserve">promotes certainty in the commercial and legal relationship between insurers and insureds.  </w:t>
      </w:r>
      <w:r w:rsidRPr="00A2413E" w:rsidR="00831954">
        <w:rPr>
          <w:szCs w:val="26"/>
        </w:rPr>
        <w:t>(</w:t>
      </w:r>
      <w:r w:rsidRPr="00A2413E" w:rsidR="007C1E01">
        <w:rPr>
          <w:szCs w:val="26"/>
        </w:rPr>
        <w:t xml:space="preserve">See </w:t>
      </w:r>
      <w:r w:rsidRPr="00A2413E" w:rsidR="00831954">
        <w:rPr>
          <w:i/>
          <w:iCs/>
          <w:szCs w:val="26"/>
        </w:rPr>
        <w:t xml:space="preserve">Swenson v. File </w:t>
      </w:r>
      <w:r w:rsidRPr="00A2413E" w:rsidR="00831954">
        <w:rPr>
          <w:szCs w:val="26"/>
        </w:rPr>
        <w:t>(1970) 3 Cal.3d 389, 394</w:t>
      </w:r>
      <w:r w:rsidRPr="00A2413E" w:rsidR="00F2008C">
        <w:rPr>
          <w:szCs w:val="26"/>
        </w:rPr>
        <w:t>–3</w:t>
      </w:r>
      <w:r w:rsidRPr="00A2413E" w:rsidR="00831954">
        <w:rPr>
          <w:szCs w:val="26"/>
        </w:rPr>
        <w:t>95</w:t>
      </w:r>
      <w:r w:rsidRPr="00A2413E" w:rsidR="008A7883">
        <w:rPr>
          <w:szCs w:val="26"/>
        </w:rPr>
        <w:t>.</w:t>
      </w:r>
      <w:r w:rsidRPr="00A2413E" w:rsidR="00831954">
        <w:rPr>
          <w:szCs w:val="26"/>
        </w:rPr>
        <w:t>)</w:t>
      </w:r>
      <w:r w:rsidRPr="00A2413E" w:rsidR="007C1E01">
        <w:rPr>
          <w:color w:val="000000"/>
          <w:szCs w:val="26"/>
        </w:rPr>
        <w:t xml:space="preserve">  </w:t>
      </w:r>
      <w:r w:rsidR="005A2FD6">
        <w:rPr>
          <w:color w:val="000000"/>
          <w:szCs w:val="26"/>
        </w:rPr>
        <w:t>Subject to</w:t>
      </w:r>
      <w:r w:rsidRPr="00A2413E" w:rsidR="00001C5C">
        <w:rPr>
          <w:color w:val="000000"/>
          <w:szCs w:val="26"/>
        </w:rPr>
        <w:t xml:space="preserve"> certain constitutional guardrails,</w:t>
      </w:r>
      <w:r w:rsidRPr="00A2413E" w:rsidR="00FA6324">
        <w:rPr>
          <w:color w:val="000000"/>
          <w:szCs w:val="26"/>
        </w:rPr>
        <w:t xml:space="preserve"> the </w:t>
      </w:r>
      <w:r w:rsidRPr="00A2413E" w:rsidR="000D1BB5">
        <w:rPr>
          <w:color w:val="000000"/>
          <w:szCs w:val="26"/>
        </w:rPr>
        <w:t>s</w:t>
      </w:r>
      <w:r w:rsidRPr="00A2413E" w:rsidR="00FA6324">
        <w:rPr>
          <w:color w:val="000000"/>
          <w:szCs w:val="26"/>
        </w:rPr>
        <w:t xml:space="preserve">tate may </w:t>
      </w:r>
      <w:r w:rsidRPr="00A2413E" w:rsidR="00B47F2A">
        <w:rPr>
          <w:color w:val="000000"/>
          <w:szCs w:val="26"/>
        </w:rPr>
        <w:t>exercise its police power to</w:t>
      </w:r>
      <w:r w:rsidRPr="00A2413E" w:rsidR="008A2BB5">
        <w:rPr>
          <w:color w:val="000000"/>
          <w:szCs w:val="26"/>
        </w:rPr>
        <w:t xml:space="preserve"> </w:t>
      </w:r>
      <w:r w:rsidRPr="00A2413E" w:rsidR="00F1553F">
        <w:rPr>
          <w:color w:val="000000"/>
          <w:szCs w:val="26"/>
        </w:rPr>
        <w:t>enact</w:t>
      </w:r>
      <w:r w:rsidRPr="00A2413E" w:rsidR="00417CD1">
        <w:rPr>
          <w:color w:val="000000"/>
          <w:szCs w:val="26"/>
        </w:rPr>
        <w:t xml:space="preserve"> </w:t>
      </w:r>
      <w:r w:rsidRPr="00A2413E" w:rsidR="00F1553F">
        <w:rPr>
          <w:color w:val="000000"/>
          <w:szCs w:val="26"/>
        </w:rPr>
        <w:t xml:space="preserve">legislation </w:t>
      </w:r>
      <w:r w:rsidRPr="00A2413E" w:rsidR="00B47F2A">
        <w:rPr>
          <w:color w:val="000000"/>
          <w:szCs w:val="26"/>
        </w:rPr>
        <w:t>that affects existing policies</w:t>
      </w:r>
      <w:r w:rsidRPr="00A2413E" w:rsidR="00EB4B75">
        <w:rPr>
          <w:color w:val="000000"/>
          <w:szCs w:val="26"/>
        </w:rPr>
        <w:t>.</w:t>
      </w:r>
      <w:r w:rsidRPr="00A2413E" w:rsidR="00B47F2A">
        <w:rPr>
          <w:color w:val="000000"/>
          <w:szCs w:val="26"/>
        </w:rPr>
        <w:t xml:space="preserve"> </w:t>
      </w:r>
      <w:r w:rsidRPr="00A2413E" w:rsidR="00EB4B75">
        <w:rPr>
          <w:color w:val="000000"/>
          <w:szCs w:val="26"/>
        </w:rPr>
        <w:t xml:space="preserve"> </w:t>
      </w:r>
      <w:r w:rsidRPr="00A2413E" w:rsidR="00B47F2A">
        <w:rPr>
          <w:color w:val="000000"/>
          <w:szCs w:val="26"/>
        </w:rPr>
        <w:t>(</w:t>
      </w:r>
      <w:r w:rsidRPr="00A2413E" w:rsidR="00D906CF">
        <w:rPr>
          <w:i/>
          <w:iCs/>
          <w:color w:val="000000"/>
          <w:szCs w:val="26"/>
        </w:rPr>
        <w:t>Calfarm</w:t>
      </w:r>
      <w:r w:rsidRPr="00A2413E" w:rsidR="00D906CF">
        <w:rPr>
          <w:color w:val="000000"/>
          <w:szCs w:val="26"/>
        </w:rPr>
        <w:t xml:space="preserve">, at pp. </w:t>
      </w:r>
      <w:r w:rsidRPr="00A2413E" w:rsidR="00001C5C">
        <w:rPr>
          <w:color w:val="000000"/>
          <w:szCs w:val="26"/>
        </w:rPr>
        <w:t xml:space="preserve">814–815, </w:t>
      </w:r>
      <w:r w:rsidRPr="00A2413E" w:rsidR="00D906CF">
        <w:rPr>
          <w:color w:val="000000"/>
          <w:szCs w:val="26"/>
        </w:rPr>
        <w:t>8</w:t>
      </w:r>
      <w:r w:rsidRPr="00A2413E" w:rsidR="00703B3D">
        <w:rPr>
          <w:color w:val="000000"/>
          <w:szCs w:val="26"/>
        </w:rPr>
        <w:t>29</w:t>
      </w:r>
      <w:r w:rsidRPr="00A2413E" w:rsidR="00D906CF">
        <w:rPr>
          <w:color w:val="000000"/>
          <w:szCs w:val="26"/>
        </w:rPr>
        <w:t>–831</w:t>
      </w:r>
      <w:r w:rsidRPr="00A2413E" w:rsidR="00EB4B75">
        <w:rPr>
          <w:color w:val="000000"/>
          <w:szCs w:val="26"/>
        </w:rPr>
        <w:t>.</w:t>
      </w:r>
      <w:r w:rsidRPr="00A2413E" w:rsidR="00411932">
        <w:rPr>
          <w:color w:val="000000"/>
          <w:szCs w:val="26"/>
        </w:rPr>
        <w:t>)</w:t>
      </w:r>
      <w:r w:rsidRPr="00A2413E">
        <w:rPr>
          <w:color w:val="000000"/>
          <w:szCs w:val="26"/>
        </w:rPr>
        <w:t xml:space="preserve">  </w:t>
      </w:r>
    </w:p>
    <w:p w:rsidR="006B1126" w:rsidRPr="00A2413E" w:rsidP="00A2413E" w14:paraId="7A737D00" w14:textId="207B7488">
      <w:pPr>
        <w:ind w:firstLine="720"/>
        <w:rPr>
          <w:color w:val="000000"/>
          <w:szCs w:val="26"/>
        </w:rPr>
      </w:pPr>
      <w:r w:rsidRPr="00A2413E">
        <w:rPr>
          <w:color w:val="000000"/>
          <w:szCs w:val="26"/>
        </w:rPr>
        <w:t xml:space="preserve">At the time Protective Life issued McHugh’s policy, </w:t>
      </w:r>
      <w:r w:rsidRPr="00A2413E" w:rsidR="00F734D5">
        <w:rPr>
          <w:color w:val="000000"/>
          <w:szCs w:val="26"/>
        </w:rPr>
        <w:t xml:space="preserve">the Insurance Code </w:t>
      </w:r>
      <w:r w:rsidRPr="00A2413E" w:rsidR="00AF6739">
        <w:rPr>
          <w:color w:val="000000"/>
          <w:szCs w:val="26"/>
        </w:rPr>
        <w:t xml:space="preserve">provided </w:t>
      </w:r>
      <w:r w:rsidRPr="00A2413E" w:rsidR="00B225B1">
        <w:rPr>
          <w:color w:val="000000"/>
          <w:szCs w:val="26"/>
        </w:rPr>
        <w:t xml:space="preserve">(and continues to provide) </w:t>
      </w:r>
      <w:r w:rsidRPr="00A2413E" w:rsidR="00AF6739">
        <w:rPr>
          <w:color w:val="000000"/>
          <w:szCs w:val="26"/>
        </w:rPr>
        <w:t xml:space="preserve">that </w:t>
      </w:r>
      <w:r w:rsidRPr="00A2413E" w:rsidR="004516BD">
        <w:rPr>
          <w:color w:val="000000"/>
          <w:szCs w:val="26"/>
        </w:rPr>
        <w:t xml:space="preserve">insurers can cancel policies when </w:t>
      </w:r>
      <w:r w:rsidR="002C31DC">
        <w:rPr>
          <w:color w:val="000000"/>
          <w:szCs w:val="26"/>
        </w:rPr>
        <w:t>policy owners</w:t>
      </w:r>
      <w:r w:rsidRPr="00A2413E" w:rsidR="004516BD">
        <w:rPr>
          <w:color w:val="000000"/>
          <w:szCs w:val="26"/>
        </w:rPr>
        <w:t xml:space="preserve"> fail to pay the premium owed.</w:t>
      </w:r>
      <w:r w:rsidRPr="00A2413E" w:rsidR="00AF6739">
        <w:rPr>
          <w:color w:val="000000"/>
          <w:szCs w:val="26"/>
        </w:rPr>
        <w:t xml:space="preserve"> </w:t>
      </w:r>
      <w:r w:rsidRPr="00A2413E" w:rsidR="00FF00D7">
        <w:rPr>
          <w:color w:val="000000"/>
          <w:szCs w:val="26"/>
        </w:rPr>
        <w:t xml:space="preserve"> </w:t>
      </w:r>
      <w:r w:rsidRPr="00A2413E" w:rsidR="00AF6739">
        <w:rPr>
          <w:color w:val="000000"/>
          <w:szCs w:val="26"/>
        </w:rPr>
        <w:t>(§</w:t>
      </w:r>
      <w:r w:rsidRPr="00A2413E" w:rsidR="00FE086F">
        <w:rPr>
          <w:color w:val="000000"/>
          <w:szCs w:val="26"/>
        </w:rPr>
        <w:t> </w:t>
      </w:r>
      <w:r w:rsidRPr="00A2413E" w:rsidR="00AF6739">
        <w:rPr>
          <w:color w:val="000000"/>
          <w:szCs w:val="26"/>
        </w:rPr>
        <w:t>484</w:t>
      </w:r>
      <w:r w:rsidRPr="00A2413E" w:rsidR="002F21AB">
        <w:rPr>
          <w:color w:val="000000"/>
          <w:szCs w:val="26"/>
        </w:rPr>
        <w:t>.)</w:t>
      </w:r>
      <w:r w:rsidRPr="00A2413E" w:rsidR="004E4EB2">
        <w:rPr>
          <w:color w:val="000000"/>
          <w:szCs w:val="26"/>
        </w:rPr>
        <w:t xml:space="preserve">  </w:t>
      </w:r>
      <w:r w:rsidRPr="00A2413E" w:rsidR="00B225B1">
        <w:rPr>
          <w:color w:val="000000"/>
          <w:szCs w:val="26"/>
        </w:rPr>
        <w:t xml:space="preserve">The </w:t>
      </w:r>
      <w:r w:rsidRPr="00001076" w:rsidR="00CF368D">
        <w:rPr>
          <w:color w:val="000000"/>
          <w:szCs w:val="26"/>
        </w:rPr>
        <w:t>c</w:t>
      </w:r>
      <w:r w:rsidRPr="00001076" w:rsidR="00B225B1">
        <w:rPr>
          <w:color w:val="000000"/>
          <w:szCs w:val="26"/>
        </w:rPr>
        <w:t>ode</w:t>
      </w:r>
      <w:r w:rsidRPr="00A2413E" w:rsidR="00B225B1">
        <w:rPr>
          <w:color w:val="000000"/>
          <w:szCs w:val="26"/>
        </w:rPr>
        <w:t xml:space="preserve"> </w:t>
      </w:r>
      <w:r w:rsidRPr="00A2413E" w:rsidR="0073336B">
        <w:rPr>
          <w:color w:val="000000"/>
          <w:szCs w:val="26"/>
        </w:rPr>
        <w:t xml:space="preserve">did not require </w:t>
      </w:r>
      <w:r w:rsidRPr="00A2413E" w:rsidR="003C367D">
        <w:rPr>
          <w:color w:val="000000"/>
          <w:szCs w:val="26"/>
        </w:rPr>
        <w:t xml:space="preserve">life insurers to provide notice when cancelling a </w:t>
      </w:r>
      <w:r w:rsidRPr="00A2413E" w:rsidR="004616C1">
        <w:rPr>
          <w:color w:val="000000"/>
          <w:szCs w:val="26"/>
        </w:rPr>
        <w:t>policy, including</w:t>
      </w:r>
      <w:r w:rsidRPr="00A2413E" w:rsidR="003C367D">
        <w:rPr>
          <w:color w:val="000000"/>
          <w:szCs w:val="26"/>
        </w:rPr>
        <w:t xml:space="preserve"> for </w:t>
      </w:r>
      <w:r w:rsidRPr="00A2413E" w:rsidR="004E69D0">
        <w:rPr>
          <w:color w:val="000000"/>
          <w:szCs w:val="26"/>
        </w:rPr>
        <w:t xml:space="preserve">nonpayment of </w:t>
      </w:r>
      <w:r w:rsidRPr="00A2413E" w:rsidR="003C367D">
        <w:rPr>
          <w:color w:val="000000"/>
          <w:szCs w:val="26"/>
        </w:rPr>
        <w:t>a premium</w:t>
      </w:r>
      <w:r w:rsidRPr="00A2413E" w:rsidR="00CF5D86">
        <w:rPr>
          <w:color w:val="000000"/>
          <w:szCs w:val="26"/>
        </w:rPr>
        <w:t xml:space="preserve"> (see</w:t>
      </w:r>
      <w:r w:rsidRPr="00A2413E" w:rsidR="008B7C24">
        <w:rPr>
          <w:color w:val="000000"/>
          <w:szCs w:val="26"/>
        </w:rPr>
        <w:t xml:space="preserve"> </w:t>
      </w:r>
      <w:r w:rsidRPr="00A2413E" w:rsidR="008B7C24">
        <w:rPr>
          <w:i/>
          <w:iCs/>
          <w:color w:val="000000"/>
          <w:szCs w:val="26"/>
        </w:rPr>
        <w:t>Stewart v. Life Ins. Co. of North America</w:t>
      </w:r>
      <w:r w:rsidRPr="00A2413E" w:rsidR="007043FE">
        <w:rPr>
          <w:color w:val="000000"/>
          <w:szCs w:val="26"/>
        </w:rPr>
        <w:t xml:space="preserve"> (E.D. Cal. 2005)</w:t>
      </w:r>
      <w:r w:rsidRPr="00A2413E" w:rsidR="008B7C24">
        <w:rPr>
          <w:color w:val="000000"/>
          <w:szCs w:val="26"/>
        </w:rPr>
        <w:t xml:space="preserve"> 388 F.Supp.2d 1138</w:t>
      </w:r>
      <w:r w:rsidRPr="00A2413E" w:rsidR="007043FE">
        <w:rPr>
          <w:color w:val="000000"/>
          <w:szCs w:val="26"/>
        </w:rPr>
        <w:t>, 1142</w:t>
      </w:r>
      <w:r w:rsidRPr="00A2413E" w:rsidR="00CF5D86">
        <w:rPr>
          <w:color w:val="000000"/>
          <w:szCs w:val="26"/>
        </w:rPr>
        <w:t>)</w:t>
      </w:r>
      <w:r w:rsidRPr="00A2413E" w:rsidR="007043FE">
        <w:rPr>
          <w:color w:val="000000"/>
          <w:szCs w:val="26"/>
        </w:rPr>
        <w:t>,</w:t>
      </w:r>
      <w:r w:rsidRPr="00A2413E" w:rsidR="008B7C24">
        <w:rPr>
          <w:color w:val="000000"/>
          <w:szCs w:val="26"/>
        </w:rPr>
        <w:t xml:space="preserve"> </w:t>
      </w:r>
      <w:r w:rsidRPr="00A2413E" w:rsidR="0073336B">
        <w:rPr>
          <w:color w:val="000000"/>
          <w:szCs w:val="26"/>
        </w:rPr>
        <w:t xml:space="preserve">even though </w:t>
      </w:r>
      <w:r w:rsidRPr="00A2413E" w:rsidR="00425B4E">
        <w:rPr>
          <w:color w:val="000000"/>
          <w:szCs w:val="26"/>
        </w:rPr>
        <w:t xml:space="preserve">insurers </w:t>
      </w:r>
      <w:r w:rsidR="0073713F">
        <w:rPr>
          <w:color w:val="000000"/>
          <w:szCs w:val="26"/>
        </w:rPr>
        <w:t>were responsible for providing</w:t>
      </w:r>
      <w:r w:rsidRPr="00A2413E" w:rsidR="0073713F">
        <w:rPr>
          <w:color w:val="000000"/>
          <w:szCs w:val="26"/>
        </w:rPr>
        <w:t xml:space="preserve"> </w:t>
      </w:r>
      <w:r w:rsidRPr="00A2413E" w:rsidR="00834FCD">
        <w:rPr>
          <w:color w:val="000000"/>
          <w:szCs w:val="26"/>
        </w:rPr>
        <w:t xml:space="preserve">notice </w:t>
      </w:r>
      <w:r w:rsidRPr="00A2413E" w:rsidR="006110AE">
        <w:rPr>
          <w:color w:val="000000"/>
          <w:szCs w:val="26"/>
        </w:rPr>
        <w:t>when</w:t>
      </w:r>
      <w:r w:rsidRPr="00A2413E" w:rsidR="0059480E">
        <w:rPr>
          <w:color w:val="000000"/>
          <w:szCs w:val="26"/>
        </w:rPr>
        <w:t xml:space="preserve"> cance</w:t>
      </w:r>
      <w:r w:rsidRPr="00A2413E" w:rsidR="006110AE">
        <w:rPr>
          <w:color w:val="000000"/>
          <w:szCs w:val="26"/>
        </w:rPr>
        <w:t>l</w:t>
      </w:r>
      <w:r w:rsidRPr="00A2413E" w:rsidR="0059480E">
        <w:rPr>
          <w:color w:val="000000"/>
          <w:szCs w:val="26"/>
        </w:rPr>
        <w:t>l</w:t>
      </w:r>
      <w:r w:rsidRPr="00A2413E" w:rsidR="006110AE">
        <w:rPr>
          <w:color w:val="000000"/>
          <w:szCs w:val="26"/>
        </w:rPr>
        <w:t>ing</w:t>
      </w:r>
      <w:r w:rsidRPr="00A2413E" w:rsidR="0059480E">
        <w:rPr>
          <w:color w:val="000000"/>
          <w:szCs w:val="26"/>
        </w:rPr>
        <w:t xml:space="preserve"> </w:t>
      </w:r>
      <w:r w:rsidRPr="00A2413E" w:rsidR="00834FCD">
        <w:rPr>
          <w:color w:val="000000"/>
          <w:szCs w:val="26"/>
        </w:rPr>
        <w:t>other forms of insurance</w:t>
      </w:r>
      <w:r w:rsidRPr="00A2413E" w:rsidR="003C367D">
        <w:rPr>
          <w:color w:val="000000"/>
          <w:szCs w:val="26"/>
        </w:rPr>
        <w:t xml:space="preserve"> </w:t>
      </w:r>
      <w:r w:rsidRPr="00A2413E" w:rsidR="005E775D">
        <w:rPr>
          <w:color w:val="000000"/>
          <w:szCs w:val="26"/>
        </w:rPr>
        <w:t>(see, e.g., § 662</w:t>
      </w:r>
      <w:r w:rsidRPr="00A2413E" w:rsidR="00704332">
        <w:rPr>
          <w:color w:val="000000"/>
          <w:szCs w:val="26"/>
        </w:rPr>
        <w:t>,</w:t>
      </w:r>
      <w:r w:rsidRPr="00A2413E" w:rsidR="005E775D">
        <w:rPr>
          <w:color w:val="000000"/>
          <w:szCs w:val="26"/>
        </w:rPr>
        <w:t xml:space="preserve"> subd. (a) [for automobile policies]</w:t>
      </w:r>
      <w:r w:rsidRPr="00A2413E" w:rsidR="00805AE2">
        <w:rPr>
          <w:color w:val="000000"/>
          <w:szCs w:val="26"/>
        </w:rPr>
        <w:t xml:space="preserve">; </w:t>
      </w:r>
      <w:r w:rsidRPr="00A2413E" w:rsidR="002437DE">
        <w:rPr>
          <w:color w:val="000000"/>
          <w:szCs w:val="26"/>
        </w:rPr>
        <w:t xml:space="preserve">2 Witkin, Summary of Cal. Law, </w:t>
      </w:r>
      <w:r w:rsidRPr="00A2413E" w:rsidR="002437DE">
        <w:rPr>
          <w:i/>
          <w:iCs/>
          <w:color w:val="000000"/>
          <w:szCs w:val="26"/>
        </w:rPr>
        <w:t>supra</w:t>
      </w:r>
      <w:r w:rsidRPr="00A2413E" w:rsidR="002437DE">
        <w:rPr>
          <w:color w:val="000000"/>
          <w:szCs w:val="26"/>
        </w:rPr>
        <w:t xml:space="preserve">, Insurance, § 319, </w:t>
      </w:r>
      <w:r w:rsidRPr="00001076" w:rsidR="00065239">
        <w:rPr>
          <w:color w:val="000000"/>
          <w:szCs w:val="26"/>
        </w:rPr>
        <w:t>p</w:t>
      </w:r>
      <w:r w:rsidRPr="00001076" w:rsidR="002437DE">
        <w:rPr>
          <w:color w:val="000000"/>
          <w:szCs w:val="26"/>
        </w:rPr>
        <w:t>p.</w:t>
      </w:r>
      <w:r w:rsidRPr="00001076" w:rsidR="00065239">
        <w:rPr>
          <w:color w:val="000000"/>
          <w:szCs w:val="26"/>
        </w:rPr>
        <w:t xml:space="preserve"> 493–494</w:t>
      </w:r>
      <w:r w:rsidRPr="00A2413E" w:rsidR="00377E20">
        <w:rPr>
          <w:color w:val="000000"/>
          <w:szCs w:val="26"/>
        </w:rPr>
        <w:t>).</w:t>
      </w:r>
      <w:r w:rsidRPr="00A2413E" w:rsidR="0078754B">
        <w:rPr>
          <w:color w:val="000000"/>
          <w:szCs w:val="26"/>
        </w:rPr>
        <w:t xml:space="preserve">  </w:t>
      </w:r>
      <w:r w:rsidRPr="00A2413E" w:rsidR="00263642">
        <w:rPr>
          <w:color w:val="000000"/>
          <w:szCs w:val="26"/>
        </w:rPr>
        <w:t>But</w:t>
      </w:r>
      <w:r w:rsidRPr="00A2413E" w:rsidR="001C4475">
        <w:rPr>
          <w:color w:val="000000"/>
          <w:szCs w:val="26"/>
        </w:rPr>
        <w:t xml:space="preserve"> </w:t>
      </w:r>
      <w:r w:rsidR="002F22E1">
        <w:rPr>
          <w:color w:val="000000"/>
          <w:szCs w:val="26"/>
        </w:rPr>
        <w:t>the terms of the policy may create a duty for insurers to provide cancellation notices</w:t>
      </w:r>
      <w:r w:rsidRPr="00A2413E" w:rsidR="00AF1394">
        <w:rPr>
          <w:color w:val="000000"/>
          <w:szCs w:val="26"/>
        </w:rPr>
        <w:t>,</w:t>
      </w:r>
      <w:r w:rsidRPr="00A2413E" w:rsidR="00531F5D">
        <w:rPr>
          <w:color w:val="000000"/>
          <w:szCs w:val="26"/>
        </w:rPr>
        <w:t xml:space="preserve"> or</w:t>
      </w:r>
      <w:r w:rsidR="002F22E1">
        <w:rPr>
          <w:color w:val="000000"/>
          <w:szCs w:val="26"/>
        </w:rPr>
        <w:t xml:space="preserve"> insurers may</w:t>
      </w:r>
      <w:r w:rsidRPr="00A2413E" w:rsidR="00107824">
        <w:rPr>
          <w:color w:val="000000"/>
          <w:szCs w:val="26"/>
        </w:rPr>
        <w:t xml:space="preserve"> </w:t>
      </w:r>
      <w:r w:rsidRPr="00A2413E" w:rsidR="007A7EBF">
        <w:rPr>
          <w:color w:val="000000"/>
          <w:szCs w:val="26"/>
        </w:rPr>
        <w:t xml:space="preserve">provide </w:t>
      </w:r>
      <w:r w:rsidR="002F22E1">
        <w:rPr>
          <w:color w:val="000000"/>
          <w:szCs w:val="26"/>
        </w:rPr>
        <w:t>such notices</w:t>
      </w:r>
      <w:r w:rsidRPr="00A2413E" w:rsidR="001C4475">
        <w:rPr>
          <w:color w:val="000000"/>
          <w:szCs w:val="26"/>
        </w:rPr>
        <w:t xml:space="preserve"> </w:t>
      </w:r>
      <w:r w:rsidRPr="00A2413E" w:rsidR="003D67AA">
        <w:rPr>
          <w:color w:val="000000"/>
          <w:szCs w:val="26"/>
        </w:rPr>
        <w:t xml:space="preserve">as </w:t>
      </w:r>
      <w:r w:rsidRPr="00A2413E" w:rsidR="00AE7F9F">
        <w:rPr>
          <w:color w:val="000000"/>
          <w:szCs w:val="26"/>
        </w:rPr>
        <w:t xml:space="preserve">a </w:t>
      </w:r>
      <w:r w:rsidRPr="00A2413E" w:rsidR="00197BD3">
        <w:rPr>
          <w:color w:val="000000"/>
          <w:szCs w:val="26"/>
        </w:rPr>
        <w:t>general business practice</w:t>
      </w:r>
      <w:r w:rsidRPr="00A2413E" w:rsidR="00107824">
        <w:rPr>
          <w:color w:val="000000"/>
          <w:szCs w:val="26"/>
        </w:rPr>
        <w:t>, as Protective Life did</w:t>
      </w:r>
      <w:r w:rsidRPr="00A2413E" w:rsidR="003D67AA">
        <w:rPr>
          <w:color w:val="000000"/>
          <w:szCs w:val="26"/>
        </w:rPr>
        <w:t>.</w:t>
      </w:r>
      <w:r w:rsidRPr="00A2413E" w:rsidR="00BB4DF5">
        <w:rPr>
          <w:color w:val="000000"/>
          <w:szCs w:val="26"/>
        </w:rPr>
        <w:t xml:space="preserve">  (</w:t>
      </w:r>
      <w:r w:rsidRPr="00A2413E" w:rsidR="00313590">
        <w:rPr>
          <w:color w:val="000000"/>
          <w:szCs w:val="26"/>
        </w:rPr>
        <w:t xml:space="preserve">See </w:t>
      </w:r>
      <w:bookmarkStart w:id="13" w:name="_Hlk77341686"/>
      <w:r w:rsidRPr="00A2413E" w:rsidR="00313590">
        <w:rPr>
          <w:color w:val="000000"/>
          <w:szCs w:val="26"/>
        </w:rPr>
        <w:t xml:space="preserve">16 Williston on Contracts </w:t>
      </w:r>
      <w:r w:rsidRPr="00A2413E" w:rsidR="00AE64B0">
        <w:rPr>
          <w:color w:val="000000"/>
          <w:szCs w:val="26"/>
        </w:rPr>
        <w:t xml:space="preserve">(4th ed. </w:t>
      </w:r>
      <w:r w:rsidRPr="00001076" w:rsidR="007B4BF7">
        <w:rPr>
          <w:color w:val="000000"/>
          <w:szCs w:val="26"/>
        </w:rPr>
        <w:t>2014</w:t>
      </w:r>
      <w:r w:rsidRPr="00A2413E" w:rsidR="00AE64B0">
        <w:rPr>
          <w:color w:val="000000"/>
          <w:szCs w:val="26"/>
        </w:rPr>
        <w:t xml:space="preserve">) </w:t>
      </w:r>
      <w:r w:rsidRPr="00A2413E" w:rsidR="00313590">
        <w:rPr>
          <w:color w:val="000000"/>
          <w:szCs w:val="26"/>
        </w:rPr>
        <w:t>§ 49:85</w:t>
      </w:r>
      <w:r w:rsidRPr="00A2413E" w:rsidR="00AE64B0">
        <w:rPr>
          <w:color w:val="000000"/>
          <w:szCs w:val="26"/>
        </w:rPr>
        <w:t xml:space="preserve">, </w:t>
      </w:r>
      <w:r w:rsidRPr="00001076" w:rsidR="00850C87">
        <w:rPr>
          <w:color w:val="000000"/>
          <w:szCs w:val="26"/>
        </w:rPr>
        <w:t>p</w:t>
      </w:r>
      <w:r w:rsidRPr="00001076" w:rsidR="00AE64B0">
        <w:rPr>
          <w:color w:val="000000"/>
          <w:szCs w:val="26"/>
        </w:rPr>
        <w:t>p.</w:t>
      </w:r>
      <w:r w:rsidRPr="00001076" w:rsidR="00850C87">
        <w:rPr>
          <w:color w:val="000000"/>
          <w:szCs w:val="26"/>
        </w:rPr>
        <w:t xml:space="preserve"> 72</w:t>
      </w:r>
      <w:r w:rsidRPr="00001076" w:rsidR="00EF70AC">
        <w:rPr>
          <w:color w:val="000000"/>
          <w:szCs w:val="26"/>
        </w:rPr>
        <w:t>8</w:t>
      </w:r>
      <w:r w:rsidRPr="00001076" w:rsidR="00850C87">
        <w:rPr>
          <w:color w:val="000000"/>
          <w:szCs w:val="26"/>
        </w:rPr>
        <w:t>–731</w:t>
      </w:r>
      <w:bookmarkEnd w:id="13"/>
      <w:r w:rsidRPr="00A2413E" w:rsidR="00AE64B0">
        <w:rPr>
          <w:color w:val="000000"/>
          <w:szCs w:val="26"/>
        </w:rPr>
        <w:t>.</w:t>
      </w:r>
      <w:r w:rsidRPr="00A2413E" w:rsidR="00BB4DF5">
        <w:rPr>
          <w:color w:val="000000"/>
          <w:szCs w:val="26"/>
        </w:rPr>
        <w:t>)</w:t>
      </w:r>
      <w:r w:rsidRPr="00A2413E" w:rsidR="00D60232">
        <w:rPr>
          <w:color w:val="000000"/>
          <w:szCs w:val="26"/>
        </w:rPr>
        <w:t xml:space="preserve">  </w:t>
      </w:r>
      <w:r w:rsidRPr="00A2413E" w:rsidR="00EE72AF">
        <w:rPr>
          <w:color w:val="000000"/>
          <w:szCs w:val="26"/>
        </w:rPr>
        <w:t>S</w:t>
      </w:r>
      <w:r w:rsidRPr="00A2413E" w:rsidR="00B01AFE">
        <w:rPr>
          <w:color w:val="000000"/>
          <w:szCs w:val="26"/>
        </w:rPr>
        <w:t xml:space="preserve">uch notice </w:t>
      </w:r>
      <w:r w:rsidRPr="00A2413E" w:rsidR="001C3C02">
        <w:rPr>
          <w:color w:val="000000"/>
          <w:szCs w:val="26"/>
        </w:rPr>
        <w:t>protect</w:t>
      </w:r>
      <w:r w:rsidRPr="00A2413E" w:rsidR="00EE72AF">
        <w:rPr>
          <w:color w:val="000000"/>
          <w:szCs w:val="26"/>
        </w:rPr>
        <w:t>s</w:t>
      </w:r>
      <w:r w:rsidRPr="00A2413E" w:rsidR="001C3C02">
        <w:rPr>
          <w:color w:val="000000"/>
          <w:szCs w:val="26"/>
        </w:rPr>
        <w:t xml:space="preserve"> policy</w:t>
      </w:r>
      <w:r w:rsidR="002C31DC">
        <w:rPr>
          <w:color w:val="000000"/>
          <w:szCs w:val="26"/>
        </w:rPr>
        <w:t xml:space="preserve"> owners</w:t>
      </w:r>
      <w:r w:rsidRPr="00A2413E" w:rsidR="001C3C02">
        <w:rPr>
          <w:color w:val="000000"/>
          <w:szCs w:val="26"/>
        </w:rPr>
        <w:t xml:space="preserve"> from losing coverage due to their </w:t>
      </w:r>
      <w:r w:rsidRPr="00A2413E" w:rsidR="00A11F48">
        <w:rPr>
          <w:color w:val="000000"/>
          <w:szCs w:val="26"/>
        </w:rPr>
        <w:t xml:space="preserve">neglect </w:t>
      </w:r>
      <w:bookmarkStart w:id="14" w:name="_Hlk77341734"/>
      <w:r w:rsidRPr="00A2413E" w:rsidR="00A11F48">
        <w:rPr>
          <w:color w:val="000000"/>
          <w:szCs w:val="26"/>
        </w:rPr>
        <w:t>(5 Couch on Ins</w:t>
      </w:r>
      <w:r w:rsidRPr="00A2413E" w:rsidR="00322CB7">
        <w:rPr>
          <w:color w:val="000000"/>
          <w:szCs w:val="26"/>
        </w:rPr>
        <w:t>urance</w:t>
      </w:r>
      <w:r w:rsidRPr="00A2413E" w:rsidR="009D77D3">
        <w:rPr>
          <w:color w:val="000000"/>
          <w:szCs w:val="26"/>
        </w:rPr>
        <w:t xml:space="preserve"> (3d ed.</w:t>
      </w:r>
      <w:r w:rsidRPr="00357EB9" w:rsidR="009D77D3">
        <w:t xml:space="preserve"> </w:t>
      </w:r>
      <w:r w:rsidRPr="00001076" w:rsidR="001A07BF">
        <w:t>2012</w:t>
      </w:r>
      <w:r w:rsidRPr="00A2413E" w:rsidR="009D77D3">
        <w:rPr>
          <w:color w:val="000000"/>
          <w:szCs w:val="26"/>
        </w:rPr>
        <w:t>)</w:t>
      </w:r>
      <w:r w:rsidRPr="00A2413E" w:rsidR="00A11F48">
        <w:rPr>
          <w:color w:val="000000"/>
          <w:szCs w:val="26"/>
        </w:rPr>
        <w:t xml:space="preserve"> §</w:t>
      </w:r>
      <w:r w:rsidR="00CF4F0E">
        <w:rPr>
          <w:color w:val="000000"/>
          <w:szCs w:val="26"/>
        </w:rPr>
        <w:t> </w:t>
      </w:r>
      <w:r w:rsidRPr="00A2413E" w:rsidR="00A11F48">
        <w:rPr>
          <w:color w:val="000000"/>
          <w:szCs w:val="26"/>
        </w:rPr>
        <w:t>76:23</w:t>
      </w:r>
      <w:r w:rsidRPr="00A2413E" w:rsidR="00326142">
        <w:rPr>
          <w:color w:val="000000"/>
          <w:szCs w:val="26"/>
        </w:rPr>
        <w:t xml:space="preserve">, p. </w:t>
      </w:r>
      <w:r w:rsidRPr="00001076" w:rsidR="00302091">
        <w:rPr>
          <w:color w:val="000000"/>
          <w:szCs w:val="26"/>
        </w:rPr>
        <w:t>76</w:t>
      </w:r>
      <w:r w:rsidR="000555B3">
        <w:rPr>
          <w:color w:val="000000"/>
          <w:szCs w:val="26"/>
        </w:rPr>
        <w:t>-</w:t>
      </w:r>
      <w:r w:rsidRPr="00001076" w:rsidR="001A07BF">
        <w:rPr>
          <w:color w:val="000000"/>
          <w:szCs w:val="26"/>
        </w:rPr>
        <w:t>52</w:t>
      </w:r>
      <w:r w:rsidRPr="00A2413E" w:rsidR="00A11F48">
        <w:rPr>
          <w:color w:val="000000"/>
          <w:szCs w:val="26"/>
        </w:rPr>
        <w:t xml:space="preserve">) </w:t>
      </w:r>
      <w:bookmarkEnd w:id="14"/>
      <w:r w:rsidRPr="00A2413E" w:rsidR="003A6161">
        <w:rPr>
          <w:color w:val="000000"/>
          <w:szCs w:val="26"/>
        </w:rPr>
        <w:t>or</w:t>
      </w:r>
      <w:r w:rsidRPr="00A2413E" w:rsidR="00A11F48">
        <w:rPr>
          <w:color w:val="000000"/>
          <w:szCs w:val="26"/>
        </w:rPr>
        <w:t xml:space="preserve"> enable</w:t>
      </w:r>
      <w:r w:rsidRPr="00A2413E" w:rsidR="003A6161">
        <w:rPr>
          <w:color w:val="000000"/>
          <w:szCs w:val="26"/>
        </w:rPr>
        <w:t>s</w:t>
      </w:r>
      <w:r w:rsidRPr="00A2413E" w:rsidR="00A11F48">
        <w:rPr>
          <w:color w:val="000000"/>
          <w:szCs w:val="26"/>
        </w:rPr>
        <w:t xml:space="preserve"> them to obtain insurance elsewhere before being subject to risk without protection </w:t>
      </w:r>
      <w:bookmarkStart w:id="15" w:name="_Hlk77341905"/>
      <w:r w:rsidRPr="00A2413E" w:rsidR="00A11F48">
        <w:rPr>
          <w:color w:val="000000"/>
          <w:szCs w:val="26"/>
        </w:rPr>
        <w:t>(2 Couch on Ins</w:t>
      </w:r>
      <w:r w:rsidRPr="00A2413E" w:rsidR="00285B60">
        <w:rPr>
          <w:color w:val="000000"/>
          <w:szCs w:val="26"/>
        </w:rPr>
        <w:t>urance</w:t>
      </w:r>
      <w:r w:rsidRPr="00001076" w:rsidR="008677FD">
        <w:rPr>
          <w:color w:val="000000"/>
          <w:szCs w:val="26"/>
        </w:rPr>
        <w:t xml:space="preserve"> (3d ed.</w:t>
      </w:r>
      <w:r w:rsidRPr="00001076" w:rsidR="008677FD">
        <w:t xml:space="preserve"> 2010</w:t>
      </w:r>
      <w:r w:rsidRPr="00001076" w:rsidR="008677FD">
        <w:rPr>
          <w:color w:val="000000"/>
          <w:szCs w:val="26"/>
        </w:rPr>
        <w:t>)</w:t>
      </w:r>
      <w:r w:rsidRPr="00A2413E" w:rsidR="00A11F48">
        <w:rPr>
          <w:color w:val="000000"/>
          <w:szCs w:val="26"/>
        </w:rPr>
        <w:t xml:space="preserve"> § 32:1</w:t>
      </w:r>
      <w:r w:rsidRPr="00A2413E" w:rsidR="00285B60">
        <w:rPr>
          <w:color w:val="000000"/>
          <w:szCs w:val="26"/>
        </w:rPr>
        <w:t xml:space="preserve">, p. </w:t>
      </w:r>
      <w:r w:rsidRPr="00001076" w:rsidR="00B50315">
        <w:rPr>
          <w:color w:val="000000"/>
          <w:szCs w:val="26"/>
        </w:rPr>
        <w:t>32</w:t>
      </w:r>
      <w:r w:rsidR="000555B3">
        <w:rPr>
          <w:color w:val="000000"/>
          <w:szCs w:val="26"/>
        </w:rPr>
        <w:t>-</w:t>
      </w:r>
      <w:r w:rsidRPr="00001076" w:rsidR="00AA2A79">
        <w:rPr>
          <w:color w:val="000000"/>
          <w:szCs w:val="26"/>
        </w:rPr>
        <w:t>7</w:t>
      </w:r>
      <w:r w:rsidRPr="00A2413E" w:rsidR="00A11F48">
        <w:rPr>
          <w:color w:val="000000"/>
          <w:szCs w:val="26"/>
        </w:rPr>
        <w:t>).</w:t>
      </w:r>
      <w:r w:rsidRPr="00A2413E" w:rsidR="00FB1604">
        <w:rPr>
          <w:color w:val="000000"/>
          <w:szCs w:val="26"/>
        </w:rPr>
        <w:t xml:space="preserve">  </w:t>
      </w:r>
      <w:bookmarkEnd w:id="15"/>
    </w:p>
    <w:p w:rsidR="00CB45C7" w:rsidRPr="00A2413E" w:rsidP="00A2413E" w14:paraId="2F33E702" w14:textId="58786BB8">
      <w:pPr>
        <w:ind w:firstLine="720"/>
        <w:rPr>
          <w:color w:val="000000"/>
          <w:szCs w:val="26"/>
        </w:rPr>
      </w:pPr>
      <w:r w:rsidRPr="00A2413E">
        <w:rPr>
          <w:color w:val="000000"/>
          <w:szCs w:val="26"/>
        </w:rPr>
        <w:t>Moreover, a</w:t>
      </w:r>
      <w:r w:rsidRPr="00A2413E" w:rsidR="00E27D85">
        <w:rPr>
          <w:color w:val="000000"/>
          <w:szCs w:val="26"/>
        </w:rPr>
        <w:t>t the time Protective Life issued McHugh’s policy, t</w:t>
      </w:r>
      <w:r w:rsidRPr="00A2413E" w:rsidR="00FF2772">
        <w:rPr>
          <w:color w:val="000000"/>
          <w:szCs w:val="26"/>
        </w:rPr>
        <w:t>he</w:t>
      </w:r>
      <w:r w:rsidRPr="00001076" w:rsidR="00FF2772">
        <w:rPr>
          <w:color w:val="000000"/>
          <w:szCs w:val="26"/>
        </w:rPr>
        <w:t xml:space="preserve"> </w:t>
      </w:r>
      <w:r w:rsidRPr="00001076" w:rsidR="00952815">
        <w:rPr>
          <w:color w:val="000000"/>
          <w:szCs w:val="26"/>
        </w:rPr>
        <w:t>Insurance</w:t>
      </w:r>
      <w:r w:rsidRPr="00A2413E" w:rsidR="00FF2772">
        <w:rPr>
          <w:color w:val="000000"/>
          <w:szCs w:val="26"/>
        </w:rPr>
        <w:t xml:space="preserve"> Code</w:t>
      </w:r>
      <w:r w:rsidRPr="00A2413E" w:rsidR="00B346E3">
        <w:rPr>
          <w:color w:val="000000"/>
          <w:szCs w:val="26"/>
        </w:rPr>
        <w:t xml:space="preserve"> </w:t>
      </w:r>
      <w:r w:rsidRPr="00A2413E" w:rsidR="006B5E8B">
        <w:rPr>
          <w:color w:val="000000"/>
          <w:szCs w:val="26"/>
        </w:rPr>
        <w:t xml:space="preserve">did not </w:t>
      </w:r>
      <w:r w:rsidRPr="00A2413E" w:rsidR="00C10AA5">
        <w:rPr>
          <w:color w:val="000000"/>
          <w:szCs w:val="26"/>
        </w:rPr>
        <w:t xml:space="preserve">require </w:t>
      </w:r>
      <w:r w:rsidRPr="00A2413E" w:rsidR="00CA3448">
        <w:rPr>
          <w:color w:val="000000"/>
          <w:szCs w:val="26"/>
        </w:rPr>
        <w:t xml:space="preserve">life </w:t>
      </w:r>
      <w:r w:rsidRPr="00A2413E" w:rsidR="00350521">
        <w:rPr>
          <w:color w:val="000000"/>
          <w:szCs w:val="26"/>
        </w:rPr>
        <w:t>insurer</w:t>
      </w:r>
      <w:r w:rsidRPr="00A2413E" w:rsidR="00C10AA5">
        <w:rPr>
          <w:color w:val="000000"/>
          <w:szCs w:val="26"/>
        </w:rPr>
        <w:t>s to provide a grace period before</w:t>
      </w:r>
      <w:r w:rsidRPr="00A2413E" w:rsidR="00350521">
        <w:rPr>
          <w:color w:val="000000"/>
          <w:szCs w:val="26"/>
        </w:rPr>
        <w:t xml:space="preserve"> cance</w:t>
      </w:r>
      <w:r w:rsidRPr="00A2413E" w:rsidR="00C10AA5">
        <w:rPr>
          <w:color w:val="000000"/>
          <w:szCs w:val="26"/>
        </w:rPr>
        <w:t>l</w:t>
      </w:r>
      <w:r w:rsidRPr="00A2413E" w:rsidR="00DD7D7E">
        <w:rPr>
          <w:color w:val="000000"/>
          <w:szCs w:val="26"/>
        </w:rPr>
        <w:t>ling</w:t>
      </w:r>
      <w:r w:rsidRPr="00A2413E" w:rsidR="00350521">
        <w:rPr>
          <w:color w:val="000000"/>
          <w:szCs w:val="26"/>
        </w:rPr>
        <w:t xml:space="preserve"> a life insurance policy</w:t>
      </w:r>
      <w:r w:rsidRPr="00A2413E" w:rsidR="006962DF">
        <w:rPr>
          <w:color w:val="000000"/>
          <w:szCs w:val="26"/>
        </w:rPr>
        <w:t xml:space="preserve"> </w:t>
      </w:r>
      <w:r w:rsidRPr="00A2413E" w:rsidR="00350521">
        <w:rPr>
          <w:color w:val="000000"/>
          <w:szCs w:val="26"/>
        </w:rPr>
        <w:t>for premium</w:t>
      </w:r>
      <w:r w:rsidRPr="00A2413E" w:rsidR="00313F69">
        <w:rPr>
          <w:color w:val="000000"/>
          <w:szCs w:val="26"/>
        </w:rPr>
        <w:t xml:space="preserve"> nonpayment</w:t>
      </w:r>
      <w:r w:rsidRPr="00A2413E" w:rsidR="00350521">
        <w:rPr>
          <w:color w:val="000000"/>
          <w:szCs w:val="26"/>
        </w:rPr>
        <w:t xml:space="preserve">. </w:t>
      </w:r>
      <w:r w:rsidRPr="00A2413E" w:rsidR="006962DF">
        <w:rPr>
          <w:color w:val="000000"/>
          <w:szCs w:val="26"/>
        </w:rPr>
        <w:t xml:space="preserve"> </w:t>
      </w:r>
      <w:r w:rsidRPr="00A2413E" w:rsidR="00F71F55">
        <w:rPr>
          <w:color w:val="000000"/>
          <w:szCs w:val="26"/>
        </w:rPr>
        <w:t xml:space="preserve">But </w:t>
      </w:r>
      <w:r w:rsidRPr="00A2413E" w:rsidR="00CA3448">
        <w:rPr>
          <w:color w:val="000000"/>
          <w:szCs w:val="26"/>
        </w:rPr>
        <w:t>life insurers</w:t>
      </w:r>
      <w:r w:rsidRPr="00A2413E" w:rsidR="00EB7D47">
        <w:rPr>
          <w:color w:val="000000"/>
          <w:szCs w:val="26"/>
        </w:rPr>
        <w:t xml:space="preserve"> c</w:t>
      </w:r>
      <w:r w:rsidRPr="00A2413E" w:rsidR="00833B23">
        <w:rPr>
          <w:color w:val="000000"/>
          <w:szCs w:val="26"/>
        </w:rPr>
        <w:t>ould</w:t>
      </w:r>
      <w:r w:rsidRPr="00A2413E" w:rsidR="00EB7D47">
        <w:rPr>
          <w:color w:val="000000"/>
          <w:szCs w:val="26"/>
        </w:rPr>
        <w:t>, as Protective Life did, provide</w:t>
      </w:r>
      <w:r w:rsidRPr="00A2413E" w:rsidR="00DF7A54">
        <w:rPr>
          <w:color w:val="000000"/>
          <w:szCs w:val="26"/>
        </w:rPr>
        <w:t xml:space="preserve"> </w:t>
      </w:r>
      <w:r w:rsidRPr="00A2413E" w:rsidR="00EB7D47">
        <w:rPr>
          <w:color w:val="000000"/>
          <w:szCs w:val="26"/>
        </w:rPr>
        <w:t>a grace period as a contractual provision</w:t>
      </w:r>
      <w:r w:rsidRPr="00A2413E" w:rsidR="00850F1B">
        <w:rPr>
          <w:color w:val="000000"/>
          <w:szCs w:val="26"/>
        </w:rPr>
        <w:t xml:space="preserve"> </w:t>
      </w:r>
      <w:r w:rsidRPr="00A2413E" w:rsidR="002B59F2">
        <w:rPr>
          <w:color w:val="000000"/>
          <w:szCs w:val="26"/>
        </w:rPr>
        <w:t>and</w:t>
      </w:r>
      <w:r w:rsidRPr="00A2413E" w:rsidR="00850F1B">
        <w:rPr>
          <w:color w:val="000000"/>
          <w:szCs w:val="26"/>
        </w:rPr>
        <w:t xml:space="preserve"> business practice</w:t>
      </w:r>
      <w:r w:rsidRPr="00A2413E" w:rsidR="00EB7D47">
        <w:rPr>
          <w:color w:val="000000"/>
          <w:szCs w:val="26"/>
        </w:rPr>
        <w:t xml:space="preserve">. </w:t>
      </w:r>
      <w:r w:rsidRPr="00A2413E" w:rsidR="00276546">
        <w:rPr>
          <w:color w:val="000000"/>
          <w:szCs w:val="26"/>
        </w:rPr>
        <w:t xml:space="preserve"> </w:t>
      </w:r>
      <w:r w:rsidRPr="00A2413E" w:rsidR="00C64375">
        <w:rPr>
          <w:color w:val="000000"/>
          <w:szCs w:val="26"/>
        </w:rPr>
        <w:t>(</w:t>
      </w:r>
      <w:r w:rsidRPr="00A2413E" w:rsidR="00E34B08">
        <w:rPr>
          <w:color w:val="000000"/>
          <w:szCs w:val="26"/>
        </w:rPr>
        <w:t>See</w:t>
      </w:r>
      <w:r w:rsidRPr="00A2413E" w:rsidR="00C64375">
        <w:rPr>
          <w:color w:val="000000"/>
          <w:szCs w:val="26"/>
        </w:rPr>
        <w:t xml:space="preserve"> 5 Couch on Ins</w:t>
      </w:r>
      <w:r w:rsidRPr="00A2413E" w:rsidR="00D77D76">
        <w:rPr>
          <w:color w:val="000000"/>
          <w:szCs w:val="26"/>
        </w:rPr>
        <w:t xml:space="preserve">urance, </w:t>
      </w:r>
      <w:r w:rsidRPr="00A2413E" w:rsidR="00D77D76">
        <w:rPr>
          <w:i/>
          <w:iCs/>
          <w:color w:val="000000"/>
          <w:szCs w:val="26"/>
        </w:rPr>
        <w:t>supra</w:t>
      </w:r>
      <w:r w:rsidRPr="00A2413E" w:rsidR="00D77D76">
        <w:rPr>
          <w:color w:val="000000"/>
          <w:szCs w:val="26"/>
        </w:rPr>
        <w:t>,</w:t>
      </w:r>
      <w:r w:rsidRPr="00A2413E" w:rsidR="00C64375">
        <w:rPr>
          <w:color w:val="000000"/>
          <w:szCs w:val="26"/>
        </w:rPr>
        <w:t xml:space="preserve"> § 76:47</w:t>
      </w:r>
      <w:r w:rsidRPr="00A2413E" w:rsidR="00D77D76">
        <w:rPr>
          <w:color w:val="000000"/>
          <w:szCs w:val="26"/>
        </w:rPr>
        <w:t xml:space="preserve">, p. </w:t>
      </w:r>
      <w:r w:rsidRPr="00001076" w:rsidR="00302091">
        <w:rPr>
          <w:color w:val="000000"/>
          <w:szCs w:val="26"/>
        </w:rPr>
        <w:t>76</w:t>
      </w:r>
      <w:r w:rsidR="00B358AE">
        <w:rPr>
          <w:color w:val="000000"/>
          <w:szCs w:val="26"/>
        </w:rPr>
        <w:t>-</w:t>
      </w:r>
      <w:r w:rsidRPr="00001076" w:rsidR="00AA2A79">
        <w:rPr>
          <w:color w:val="000000"/>
          <w:szCs w:val="26"/>
        </w:rPr>
        <w:t>90</w:t>
      </w:r>
      <w:r w:rsidRPr="00A2413E" w:rsidR="001E5171">
        <w:rPr>
          <w:color w:val="000000"/>
          <w:szCs w:val="26"/>
        </w:rPr>
        <w:t>.)</w:t>
      </w:r>
      <w:r>
        <w:rPr>
          <w:rStyle w:val="FootnoteReference"/>
          <w:color w:val="000000"/>
          <w:szCs w:val="26"/>
        </w:rPr>
        <w:footnoteReference w:id="5"/>
      </w:r>
      <w:r w:rsidRPr="00A2413E" w:rsidR="00FB5FCC">
        <w:rPr>
          <w:color w:val="000000"/>
          <w:szCs w:val="26"/>
        </w:rPr>
        <w:t xml:space="preserve"> </w:t>
      </w:r>
      <w:r w:rsidR="00BB5F4B">
        <w:rPr>
          <w:color w:val="000000"/>
          <w:szCs w:val="26"/>
        </w:rPr>
        <w:t xml:space="preserve"> </w:t>
      </w:r>
      <w:r w:rsidRPr="00A2413E" w:rsidR="00615FB7">
        <w:rPr>
          <w:color w:val="000000"/>
          <w:szCs w:val="26"/>
        </w:rPr>
        <w:t>A</w:t>
      </w:r>
      <w:r w:rsidRPr="00A2413E" w:rsidR="0070011E">
        <w:rPr>
          <w:color w:val="000000"/>
          <w:szCs w:val="26"/>
        </w:rPr>
        <w:t xml:space="preserve"> grace period </w:t>
      </w:r>
      <w:r w:rsidRPr="00A2413E" w:rsidR="008847BD">
        <w:rPr>
          <w:color w:val="000000"/>
          <w:szCs w:val="26"/>
        </w:rPr>
        <w:t xml:space="preserve">offers </w:t>
      </w:r>
      <w:r w:rsidRPr="00A2413E" w:rsidR="00615FB7">
        <w:rPr>
          <w:color w:val="000000"/>
          <w:szCs w:val="26"/>
        </w:rPr>
        <w:t>an obvious benefit to</w:t>
      </w:r>
      <w:r w:rsidRPr="00A2413E" w:rsidR="0070011E">
        <w:rPr>
          <w:color w:val="000000"/>
          <w:szCs w:val="26"/>
        </w:rPr>
        <w:t xml:space="preserve"> </w:t>
      </w:r>
      <w:r w:rsidRPr="00A2413E" w:rsidR="004623DB">
        <w:rPr>
          <w:color w:val="000000"/>
          <w:szCs w:val="26"/>
        </w:rPr>
        <w:t>policy</w:t>
      </w:r>
      <w:r w:rsidR="002C31DC">
        <w:rPr>
          <w:color w:val="000000"/>
          <w:szCs w:val="26"/>
        </w:rPr>
        <w:t xml:space="preserve"> owners</w:t>
      </w:r>
      <w:r w:rsidRPr="00A2413E" w:rsidR="0070011E">
        <w:rPr>
          <w:color w:val="000000"/>
          <w:szCs w:val="26"/>
        </w:rPr>
        <w:t xml:space="preserve">:  </w:t>
      </w:r>
      <w:r w:rsidRPr="00A2413E" w:rsidR="00A64A39">
        <w:rPr>
          <w:color w:val="000000"/>
          <w:szCs w:val="26"/>
        </w:rPr>
        <w:t xml:space="preserve">time to pay </w:t>
      </w:r>
      <w:r w:rsidRPr="00A2413E" w:rsidR="002A4206">
        <w:rPr>
          <w:color w:val="000000"/>
          <w:szCs w:val="26"/>
        </w:rPr>
        <w:t>a</w:t>
      </w:r>
      <w:r w:rsidRPr="00A2413E" w:rsidR="00A64A39">
        <w:rPr>
          <w:color w:val="000000"/>
          <w:szCs w:val="26"/>
        </w:rPr>
        <w:t xml:space="preserve"> missed premium without </w:t>
      </w:r>
      <w:r w:rsidRPr="00A2413E" w:rsidR="003C237F">
        <w:rPr>
          <w:color w:val="000000"/>
          <w:szCs w:val="26"/>
        </w:rPr>
        <w:t xml:space="preserve">an interruption in </w:t>
      </w:r>
      <w:r w:rsidRPr="00A2413E" w:rsidR="006E2018">
        <w:rPr>
          <w:color w:val="000000"/>
          <w:szCs w:val="26"/>
        </w:rPr>
        <w:t>coverage</w:t>
      </w:r>
      <w:r w:rsidRPr="00A2413E" w:rsidR="003C237F">
        <w:rPr>
          <w:color w:val="000000"/>
          <w:szCs w:val="26"/>
        </w:rPr>
        <w:t xml:space="preserve">.  </w:t>
      </w:r>
      <w:r w:rsidRPr="00A2413E" w:rsidR="003B19D6">
        <w:rPr>
          <w:color w:val="000000"/>
          <w:szCs w:val="26"/>
        </w:rPr>
        <w:t>(16 Williston on Contracts</w:t>
      </w:r>
      <w:r w:rsidRPr="00A2413E" w:rsidR="00DD1972">
        <w:rPr>
          <w:color w:val="000000"/>
          <w:szCs w:val="26"/>
        </w:rPr>
        <w:t xml:space="preserve">, </w:t>
      </w:r>
      <w:r w:rsidRPr="00A2413E" w:rsidR="00DD1972">
        <w:rPr>
          <w:i/>
          <w:iCs/>
          <w:color w:val="000000"/>
          <w:szCs w:val="26"/>
        </w:rPr>
        <w:t>supra</w:t>
      </w:r>
      <w:r w:rsidRPr="00A2413E" w:rsidR="00DD1972">
        <w:rPr>
          <w:color w:val="000000"/>
          <w:szCs w:val="26"/>
        </w:rPr>
        <w:t>,</w:t>
      </w:r>
      <w:r w:rsidRPr="00A2413E" w:rsidR="003B19D6">
        <w:rPr>
          <w:color w:val="000000"/>
          <w:szCs w:val="26"/>
        </w:rPr>
        <w:t xml:space="preserve"> § 49:80</w:t>
      </w:r>
      <w:r w:rsidRPr="00A2413E" w:rsidR="00DD1972">
        <w:rPr>
          <w:color w:val="000000"/>
          <w:szCs w:val="26"/>
        </w:rPr>
        <w:t xml:space="preserve">, p. </w:t>
      </w:r>
      <w:r w:rsidRPr="00001076" w:rsidR="009A5056">
        <w:rPr>
          <w:color w:val="000000"/>
          <w:szCs w:val="26"/>
        </w:rPr>
        <w:t>699</w:t>
      </w:r>
      <w:r w:rsidRPr="00A2413E" w:rsidR="00D20FD9">
        <w:rPr>
          <w:color w:val="000000"/>
          <w:szCs w:val="26"/>
        </w:rPr>
        <w:t xml:space="preserve">; see </w:t>
      </w:r>
      <w:r w:rsidRPr="00A2413E" w:rsidR="00D20FD9">
        <w:rPr>
          <w:i/>
          <w:iCs/>
          <w:color w:val="000000"/>
          <w:szCs w:val="26"/>
        </w:rPr>
        <w:t>Pediatricians, Inc. v. Provident Life &amp; Acc. Ins. Co.</w:t>
      </w:r>
      <w:r w:rsidRPr="00A2413E" w:rsidR="00D20FD9">
        <w:rPr>
          <w:color w:val="000000"/>
          <w:szCs w:val="26"/>
        </w:rPr>
        <w:t xml:space="preserve"> (1st Cir. 1992) 965 F.2d 1164, 1168</w:t>
      </w:r>
      <w:r w:rsidR="0091132A">
        <w:rPr>
          <w:color w:val="000000"/>
          <w:szCs w:val="26"/>
        </w:rPr>
        <w:t xml:space="preserve"> (</w:t>
      </w:r>
      <w:r w:rsidRPr="0091132A" w:rsidR="0091132A">
        <w:rPr>
          <w:i/>
          <w:iCs/>
          <w:color w:val="000000"/>
          <w:szCs w:val="26"/>
        </w:rPr>
        <w:t>Pediatricians</w:t>
      </w:r>
      <w:r w:rsidR="0091132A">
        <w:rPr>
          <w:color w:val="000000"/>
          <w:szCs w:val="26"/>
        </w:rPr>
        <w:t>)</w:t>
      </w:r>
      <w:r w:rsidRPr="00001076" w:rsidR="00D20FD9">
        <w:rPr>
          <w:color w:val="000000"/>
          <w:szCs w:val="26"/>
        </w:rPr>
        <w:t>.)</w:t>
      </w:r>
      <w:r w:rsidRPr="00A2413E" w:rsidR="00615FB7">
        <w:rPr>
          <w:color w:val="000000"/>
          <w:szCs w:val="26"/>
        </w:rPr>
        <w:t xml:space="preserve">  </w:t>
      </w:r>
      <w:r w:rsidRPr="00A2413E" w:rsidR="00FD0472">
        <w:rPr>
          <w:color w:val="000000"/>
          <w:szCs w:val="26"/>
        </w:rPr>
        <w:t xml:space="preserve">Grace periods </w:t>
      </w:r>
      <w:r w:rsidRPr="00A2413E" w:rsidR="00FF3C39">
        <w:rPr>
          <w:color w:val="000000"/>
          <w:szCs w:val="26"/>
        </w:rPr>
        <w:t xml:space="preserve">can </w:t>
      </w:r>
      <w:r w:rsidRPr="00A2413E" w:rsidR="00FD0472">
        <w:rPr>
          <w:color w:val="000000"/>
          <w:szCs w:val="26"/>
        </w:rPr>
        <w:t>also provide a business advantage to insur</w:t>
      </w:r>
      <w:r w:rsidRPr="00A2413E" w:rsidR="009450F0">
        <w:rPr>
          <w:color w:val="000000"/>
          <w:szCs w:val="26"/>
        </w:rPr>
        <w:t>ers</w:t>
      </w:r>
      <w:r w:rsidRPr="00A2413E" w:rsidR="0041017A">
        <w:rPr>
          <w:color w:val="000000"/>
          <w:szCs w:val="26"/>
        </w:rPr>
        <w:t xml:space="preserve">.  </w:t>
      </w:r>
      <w:r w:rsidRPr="00A2413E" w:rsidR="000942B4">
        <w:rPr>
          <w:color w:val="000000"/>
          <w:szCs w:val="26"/>
        </w:rPr>
        <w:t xml:space="preserve">Of course, </w:t>
      </w:r>
      <w:r w:rsidRPr="00A2413E" w:rsidR="000D420E">
        <w:rPr>
          <w:color w:val="000000"/>
          <w:szCs w:val="26"/>
        </w:rPr>
        <w:t xml:space="preserve">insurers depend on the regular, timely payment of premiums in order to pay death benefits and </w:t>
      </w:r>
      <w:r w:rsidRPr="00A2413E" w:rsidR="000D420E">
        <w:rPr>
          <w:szCs w:val="26"/>
        </w:rPr>
        <w:t>cover the cost of administering policies</w:t>
      </w:r>
      <w:r w:rsidRPr="00A2413E" w:rsidR="00785FAC">
        <w:rPr>
          <w:szCs w:val="26"/>
        </w:rPr>
        <w:t>.  (</w:t>
      </w:r>
      <w:r w:rsidRPr="00A2413E" w:rsidR="00127F34">
        <w:rPr>
          <w:szCs w:val="26"/>
        </w:rPr>
        <w:t>See</w:t>
      </w:r>
      <w:r w:rsidR="00ED453A">
        <w:rPr>
          <w:szCs w:val="26"/>
        </w:rPr>
        <w:t xml:space="preserve"> </w:t>
      </w:r>
      <w:r w:rsidRPr="00A2413E" w:rsidR="00785FAC">
        <w:rPr>
          <w:i/>
          <w:iCs/>
          <w:szCs w:val="26"/>
          <w:bdr w:val="none" w:sz="0" w:space="0" w:color="auto" w:frame="1"/>
        </w:rPr>
        <w:t>New York Life Ins. Co. v. Statham</w:t>
      </w:r>
      <w:r w:rsidRPr="00A2413E" w:rsidR="00B26AC1">
        <w:rPr>
          <w:szCs w:val="26"/>
          <w:bdr w:val="none" w:sz="0" w:space="0" w:color="auto" w:frame="1"/>
        </w:rPr>
        <w:t xml:space="preserve"> (1876)</w:t>
      </w:r>
      <w:r w:rsidRPr="00A2413E" w:rsidR="00785FAC">
        <w:rPr>
          <w:szCs w:val="26"/>
          <w:bdr w:val="none" w:sz="0" w:space="0" w:color="auto" w:frame="1"/>
        </w:rPr>
        <w:t xml:space="preserve"> 93 U.S. 24,</w:t>
      </w:r>
      <w:r w:rsidRPr="00A2413E" w:rsidR="00B26AC1">
        <w:rPr>
          <w:szCs w:val="26"/>
          <w:bdr w:val="none" w:sz="0" w:space="0" w:color="auto" w:frame="1"/>
        </w:rPr>
        <w:t xml:space="preserve"> 30</w:t>
      </w:r>
      <w:r w:rsidRPr="00A2413E" w:rsidR="00785FAC">
        <w:rPr>
          <w:szCs w:val="26"/>
          <w:bdr w:val="none" w:sz="0" w:space="0" w:color="auto" w:frame="1"/>
        </w:rPr>
        <w:t xml:space="preserve"> </w:t>
      </w:r>
      <w:r w:rsidRPr="00A2413E" w:rsidR="00B26AC1">
        <w:rPr>
          <w:szCs w:val="26"/>
          <w:bdr w:val="none" w:sz="0" w:space="0" w:color="auto" w:frame="1"/>
        </w:rPr>
        <w:t>[</w:t>
      </w:r>
      <w:r w:rsidRPr="00A2413E" w:rsidR="00B26AC1">
        <w:rPr>
          <w:szCs w:val="26"/>
        </w:rPr>
        <w:t>“</w:t>
      </w:r>
      <w:r w:rsidRPr="00A2413E" w:rsidR="00FB5F2C">
        <w:rPr>
          <w:szCs w:val="26"/>
        </w:rPr>
        <w:t>[</w:t>
      </w:r>
      <w:r w:rsidRPr="00A2413E" w:rsidR="00785FAC">
        <w:rPr>
          <w:szCs w:val="26"/>
        </w:rPr>
        <w:t>I</w:t>
      </w:r>
      <w:r w:rsidRPr="00A2413E" w:rsidR="00FB5F2C">
        <w:rPr>
          <w:szCs w:val="26"/>
        </w:rPr>
        <w:t>]</w:t>
      </w:r>
      <w:r w:rsidRPr="00A2413E" w:rsidR="00785FAC">
        <w:rPr>
          <w:szCs w:val="26"/>
        </w:rPr>
        <w:t xml:space="preserve">t must be conceded that promptness of payment is essential in the business of life insurance. </w:t>
      </w:r>
      <w:r w:rsidRPr="00A2413E" w:rsidR="00F134C4">
        <w:rPr>
          <w:szCs w:val="26"/>
        </w:rPr>
        <w:t xml:space="preserve"> </w:t>
      </w:r>
      <w:r w:rsidRPr="00A2413E" w:rsidR="00785FAC">
        <w:rPr>
          <w:szCs w:val="26"/>
        </w:rPr>
        <w:t>All the calculations of the insurance company are based on the hypothesis of prompt payments</w:t>
      </w:r>
      <w:r w:rsidRPr="00A2413E" w:rsidR="002C74C5">
        <w:rPr>
          <w:szCs w:val="26"/>
        </w:rPr>
        <w:t>”</w:t>
      </w:r>
      <w:r w:rsidRPr="00A2413E" w:rsidR="00B26AC1">
        <w:rPr>
          <w:szCs w:val="26"/>
        </w:rPr>
        <w:t>]</w:t>
      </w:r>
      <w:r w:rsidRPr="00A2413E" w:rsidR="00127F34">
        <w:rPr>
          <w:szCs w:val="26"/>
        </w:rPr>
        <w:t>; 16 Williston on Contracts</w:t>
      </w:r>
      <w:r w:rsidRPr="00A2413E" w:rsidR="00226AAB">
        <w:rPr>
          <w:szCs w:val="26"/>
        </w:rPr>
        <w:t xml:space="preserve">, </w:t>
      </w:r>
      <w:r w:rsidRPr="00A2413E" w:rsidR="00226AAB">
        <w:rPr>
          <w:i/>
          <w:iCs/>
          <w:szCs w:val="26"/>
        </w:rPr>
        <w:t>supra</w:t>
      </w:r>
      <w:r w:rsidRPr="00A2413E" w:rsidR="00226AAB">
        <w:rPr>
          <w:szCs w:val="26"/>
        </w:rPr>
        <w:t>,</w:t>
      </w:r>
      <w:r w:rsidRPr="00A2413E" w:rsidR="00127F34">
        <w:rPr>
          <w:szCs w:val="26"/>
        </w:rPr>
        <w:t xml:space="preserve"> § 49:75</w:t>
      </w:r>
      <w:r w:rsidRPr="00A2413E" w:rsidR="00226AAB">
        <w:rPr>
          <w:szCs w:val="26"/>
        </w:rPr>
        <w:t xml:space="preserve">, </w:t>
      </w:r>
      <w:r w:rsidRPr="00A2413E" w:rsidR="00226AAB">
        <w:rPr>
          <w:color w:val="000000"/>
          <w:szCs w:val="26"/>
        </w:rPr>
        <w:t xml:space="preserve">p. </w:t>
      </w:r>
      <w:r w:rsidRPr="00001076" w:rsidR="00E95EF1">
        <w:rPr>
          <w:color w:val="000000"/>
          <w:szCs w:val="26"/>
        </w:rPr>
        <w:t>655</w:t>
      </w:r>
      <w:r w:rsidRPr="00A2413E" w:rsidR="00226AAB">
        <w:rPr>
          <w:color w:val="000000"/>
          <w:szCs w:val="26"/>
        </w:rPr>
        <w:t>.</w:t>
      </w:r>
      <w:r w:rsidRPr="00A2413E" w:rsidR="00BA2755">
        <w:rPr>
          <w:szCs w:val="26"/>
        </w:rPr>
        <w:t>)</w:t>
      </w:r>
      <w:r w:rsidRPr="00A2413E" w:rsidR="00127F34">
        <w:rPr>
          <w:szCs w:val="26"/>
        </w:rPr>
        <w:t xml:space="preserve">  But grace periods </w:t>
      </w:r>
      <w:r w:rsidRPr="00A2413E" w:rsidR="0020730F">
        <w:rPr>
          <w:color w:val="000000"/>
          <w:szCs w:val="26"/>
        </w:rPr>
        <w:t>decrease</w:t>
      </w:r>
      <w:r w:rsidRPr="00A2413E" w:rsidR="00FD0472">
        <w:rPr>
          <w:color w:val="000000"/>
          <w:szCs w:val="26"/>
        </w:rPr>
        <w:t xml:space="preserve"> the probability that </w:t>
      </w:r>
      <w:r w:rsidRPr="00A2413E" w:rsidR="00FD1F2B">
        <w:rPr>
          <w:color w:val="000000"/>
          <w:szCs w:val="26"/>
        </w:rPr>
        <w:t>policy</w:t>
      </w:r>
      <w:r w:rsidR="002C31DC">
        <w:rPr>
          <w:color w:val="000000"/>
          <w:szCs w:val="26"/>
        </w:rPr>
        <w:t xml:space="preserve"> owners</w:t>
      </w:r>
      <w:r w:rsidRPr="00A2413E" w:rsidR="00FD0472">
        <w:rPr>
          <w:color w:val="000000"/>
          <w:szCs w:val="26"/>
        </w:rPr>
        <w:t xml:space="preserve"> will </w:t>
      </w:r>
      <w:r w:rsidRPr="00A2413E" w:rsidR="00F75B47">
        <w:rPr>
          <w:color w:val="000000"/>
          <w:szCs w:val="26"/>
        </w:rPr>
        <w:t xml:space="preserve">terminate </w:t>
      </w:r>
      <w:r w:rsidRPr="00A2413E" w:rsidR="00FD0472">
        <w:rPr>
          <w:color w:val="000000"/>
          <w:szCs w:val="26"/>
        </w:rPr>
        <w:t xml:space="preserve">the policy </w:t>
      </w:r>
      <w:r w:rsidRPr="00A2413E" w:rsidR="00F75B47">
        <w:rPr>
          <w:color w:val="000000"/>
          <w:szCs w:val="26"/>
        </w:rPr>
        <w:t xml:space="preserve">accidentally or </w:t>
      </w:r>
      <w:r w:rsidRPr="00A2413E" w:rsidR="00FD0472">
        <w:rPr>
          <w:color w:val="000000"/>
          <w:szCs w:val="26"/>
        </w:rPr>
        <w:t>because of temporary financial difficulties, and th</w:t>
      </w:r>
      <w:r w:rsidRPr="00A2413E" w:rsidR="00052107">
        <w:rPr>
          <w:color w:val="000000"/>
          <w:szCs w:val="26"/>
        </w:rPr>
        <w:t>us</w:t>
      </w:r>
      <w:r w:rsidRPr="00A2413E" w:rsidR="00FD0472">
        <w:rPr>
          <w:color w:val="000000"/>
          <w:szCs w:val="26"/>
        </w:rPr>
        <w:t xml:space="preserve"> increase the likelihood that </w:t>
      </w:r>
      <w:r w:rsidRPr="00A2413E" w:rsidR="00AF3BD4">
        <w:rPr>
          <w:color w:val="000000"/>
          <w:szCs w:val="26"/>
        </w:rPr>
        <w:t>policy</w:t>
      </w:r>
      <w:r w:rsidR="002C31DC">
        <w:rPr>
          <w:color w:val="000000"/>
          <w:szCs w:val="26"/>
        </w:rPr>
        <w:t xml:space="preserve"> owners </w:t>
      </w:r>
      <w:r w:rsidRPr="00A2413E" w:rsidR="00FD0472">
        <w:rPr>
          <w:color w:val="000000"/>
          <w:szCs w:val="26"/>
        </w:rPr>
        <w:t xml:space="preserve">will continue the insurance in effect, providing the insurer not just with the premium then due but also future premiums.  </w:t>
      </w:r>
      <w:r w:rsidRPr="00A2413E" w:rsidR="00AD2FF6">
        <w:rPr>
          <w:color w:val="000000"/>
          <w:szCs w:val="26"/>
        </w:rPr>
        <w:t>(16 Williston on Contracts</w:t>
      </w:r>
      <w:r w:rsidRPr="00A2413E" w:rsidR="00226AAB">
        <w:rPr>
          <w:color w:val="000000"/>
          <w:szCs w:val="26"/>
        </w:rPr>
        <w:t xml:space="preserve">, </w:t>
      </w:r>
      <w:r w:rsidRPr="00A2413E" w:rsidR="00226AAB">
        <w:rPr>
          <w:i/>
          <w:iCs/>
          <w:color w:val="000000"/>
          <w:szCs w:val="26"/>
        </w:rPr>
        <w:t>supra</w:t>
      </w:r>
      <w:r w:rsidRPr="00A2413E" w:rsidR="00226AAB">
        <w:rPr>
          <w:color w:val="000000"/>
          <w:szCs w:val="26"/>
        </w:rPr>
        <w:t>,</w:t>
      </w:r>
      <w:r w:rsidRPr="00A2413E" w:rsidR="00AD2FF6">
        <w:rPr>
          <w:color w:val="000000"/>
          <w:szCs w:val="26"/>
        </w:rPr>
        <w:t xml:space="preserve"> § 49:80</w:t>
      </w:r>
      <w:r w:rsidRPr="00A2413E" w:rsidR="00226AAB">
        <w:rPr>
          <w:color w:val="000000"/>
          <w:szCs w:val="26"/>
        </w:rPr>
        <w:t xml:space="preserve">, </w:t>
      </w:r>
      <w:r w:rsidRPr="00001076" w:rsidR="0026496F">
        <w:rPr>
          <w:color w:val="000000"/>
          <w:szCs w:val="26"/>
        </w:rPr>
        <w:t>p</w:t>
      </w:r>
      <w:r w:rsidRPr="00001076" w:rsidR="00226AAB">
        <w:rPr>
          <w:color w:val="000000"/>
          <w:szCs w:val="26"/>
        </w:rPr>
        <w:t>p.</w:t>
      </w:r>
      <w:r w:rsidRPr="00001076" w:rsidR="0026496F">
        <w:rPr>
          <w:color w:val="000000"/>
          <w:szCs w:val="26"/>
        </w:rPr>
        <w:t xml:space="preserve"> 699–700</w:t>
      </w:r>
      <w:r w:rsidRPr="00A2413E" w:rsidR="00AD2FF6">
        <w:rPr>
          <w:color w:val="000000"/>
          <w:szCs w:val="26"/>
        </w:rPr>
        <w:t xml:space="preserve">; </w:t>
      </w:r>
      <w:r w:rsidRPr="00A2413E" w:rsidR="004010CC">
        <w:rPr>
          <w:i/>
          <w:iCs/>
          <w:color w:val="000000"/>
          <w:szCs w:val="26"/>
        </w:rPr>
        <w:t>Pickens v. State Farm Mut. Auto. Ins. Co.</w:t>
      </w:r>
      <w:r w:rsidRPr="00A2413E" w:rsidR="004010CC">
        <w:rPr>
          <w:color w:val="000000"/>
          <w:szCs w:val="26"/>
        </w:rPr>
        <w:t xml:space="preserve"> (</w:t>
      </w:r>
      <w:r w:rsidRPr="00A2413E" w:rsidR="00B642EA">
        <w:rPr>
          <w:color w:val="000000"/>
          <w:szCs w:val="26"/>
        </w:rPr>
        <w:t xml:space="preserve">S.C. </w:t>
      </w:r>
      <w:r w:rsidRPr="00A2413E" w:rsidR="004010CC">
        <w:rPr>
          <w:color w:val="000000"/>
          <w:szCs w:val="26"/>
        </w:rPr>
        <w:t xml:space="preserve">1965) </w:t>
      </w:r>
      <w:r w:rsidRPr="00A2413E" w:rsidR="00B642EA">
        <w:rPr>
          <w:color w:val="000000"/>
          <w:szCs w:val="26"/>
        </w:rPr>
        <w:t>144 S.E.2d 68, 71</w:t>
      </w:r>
      <w:r w:rsidRPr="00A2413E" w:rsidR="00052204">
        <w:rPr>
          <w:color w:val="000000"/>
          <w:szCs w:val="26"/>
        </w:rPr>
        <w:t>;</w:t>
      </w:r>
      <w:r w:rsidRPr="00A2413E" w:rsidR="004010CC">
        <w:rPr>
          <w:color w:val="000000"/>
          <w:szCs w:val="26"/>
        </w:rPr>
        <w:t xml:space="preserve"> </w:t>
      </w:r>
      <w:r w:rsidRPr="00A2413E">
        <w:rPr>
          <w:i/>
          <w:iCs/>
          <w:color w:val="000000"/>
          <w:szCs w:val="26"/>
        </w:rPr>
        <w:t>Pediatricians</w:t>
      </w:r>
      <w:r w:rsidRPr="00A2413E" w:rsidR="00D20FD9">
        <w:rPr>
          <w:color w:val="000000"/>
          <w:szCs w:val="26"/>
        </w:rPr>
        <w:t>,</w:t>
      </w:r>
      <w:r w:rsidR="008748D1">
        <w:rPr>
          <w:color w:val="000000"/>
          <w:szCs w:val="26"/>
        </w:rPr>
        <w:t xml:space="preserve"> </w:t>
      </w:r>
      <w:r w:rsidRPr="00A2413E" w:rsidR="00D20FD9">
        <w:rPr>
          <w:color w:val="000000"/>
          <w:szCs w:val="26"/>
        </w:rPr>
        <w:t xml:space="preserve">at </w:t>
      </w:r>
      <w:r w:rsidRPr="00A2413E" w:rsidR="0055648D">
        <w:rPr>
          <w:color w:val="000000"/>
          <w:szCs w:val="26"/>
        </w:rPr>
        <w:t>pp. 1168–1169.)</w:t>
      </w:r>
    </w:p>
    <w:p w:rsidR="00042983" w:rsidRPr="003E163C" w:rsidP="00DA673B" w14:paraId="2D8BCEB4" w14:textId="464C662C">
      <w:pPr>
        <w:pStyle w:val="Heading2"/>
        <w:tabs>
          <w:tab w:val="left" w:pos="720"/>
          <w:tab w:val="clear" w:pos="1152"/>
        </w:tabs>
        <w:ind w:left="0" w:firstLine="0"/>
        <w:jc w:val="center"/>
      </w:pPr>
      <w:r>
        <w:t>B</w:t>
      </w:r>
      <w:r w:rsidRPr="003E163C" w:rsidR="00703A49">
        <w:t>.</w:t>
      </w:r>
    </w:p>
    <w:p w:rsidR="008D4477" w:rsidRPr="00A2413E" w:rsidP="00A2413E" w14:paraId="54312CF4" w14:textId="0F4C9CEA">
      <w:pPr>
        <w:keepNext/>
        <w:ind w:firstLine="720"/>
      </w:pPr>
      <w:r w:rsidRPr="00A2413E">
        <w:rPr>
          <w:color w:val="000000"/>
          <w:szCs w:val="26"/>
        </w:rPr>
        <w:t>In 201</w:t>
      </w:r>
      <w:r w:rsidRPr="00A2413E" w:rsidR="005D204E">
        <w:rPr>
          <w:color w:val="000000"/>
          <w:szCs w:val="26"/>
        </w:rPr>
        <w:t>2</w:t>
      </w:r>
      <w:r w:rsidRPr="00A2413E">
        <w:rPr>
          <w:color w:val="000000"/>
          <w:szCs w:val="26"/>
        </w:rPr>
        <w:t>,</w:t>
      </w:r>
      <w:r w:rsidRPr="00A2413E" w:rsidR="00575C09">
        <w:rPr>
          <w:color w:val="000000"/>
          <w:szCs w:val="26"/>
        </w:rPr>
        <w:t xml:space="preserve"> the Legislature </w:t>
      </w:r>
      <w:r w:rsidR="005A2FD6">
        <w:rPr>
          <w:color w:val="000000"/>
          <w:szCs w:val="26"/>
        </w:rPr>
        <w:t>enacted</w:t>
      </w:r>
      <w:r w:rsidRPr="00A2413E" w:rsidR="005A2FD6">
        <w:rPr>
          <w:color w:val="000000"/>
          <w:szCs w:val="26"/>
        </w:rPr>
        <w:t xml:space="preserve"> </w:t>
      </w:r>
      <w:r w:rsidRPr="00A2413E" w:rsidR="00E63D6E">
        <w:rPr>
          <w:color w:val="000000"/>
          <w:szCs w:val="26"/>
        </w:rPr>
        <w:t xml:space="preserve">Assembly Bill </w:t>
      </w:r>
      <w:r w:rsidRPr="00A2413E" w:rsidR="00F41E8F">
        <w:rPr>
          <w:color w:val="000000"/>
          <w:szCs w:val="26"/>
        </w:rPr>
        <w:t xml:space="preserve">No. </w:t>
      </w:r>
      <w:r w:rsidRPr="00A2413E" w:rsidR="00E63D6E">
        <w:rPr>
          <w:color w:val="000000"/>
          <w:szCs w:val="26"/>
        </w:rPr>
        <w:t>1747</w:t>
      </w:r>
      <w:r w:rsidRPr="00001076" w:rsidR="00CF368D">
        <w:rPr>
          <w:color w:val="000000"/>
          <w:szCs w:val="26"/>
        </w:rPr>
        <w:t xml:space="preserve"> (2011–2012 Reg. Sess.)</w:t>
      </w:r>
      <w:r w:rsidRPr="00001076" w:rsidR="00AE7802">
        <w:rPr>
          <w:color w:val="000000"/>
          <w:szCs w:val="26"/>
        </w:rPr>
        <w:t>,</w:t>
      </w:r>
      <w:r w:rsidRPr="00A2413E" w:rsidR="00AE7802">
        <w:rPr>
          <w:color w:val="000000"/>
          <w:szCs w:val="26"/>
        </w:rPr>
        <w:t xml:space="preserve"> </w:t>
      </w:r>
      <w:r w:rsidR="005A2FD6">
        <w:rPr>
          <w:color w:val="000000"/>
          <w:szCs w:val="26"/>
        </w:rPr>
        <w:t>grafting</w:t>
      </w:r>
      <w:r w:rsidRPr="00A2413E" w:rsidR="005A2FD6">
        <w:rPr>
          <w:color w:val="000000"/>
          <w:szCs w:val="26"/>
        </w:rPr>
        <w:t xml:space="preserve"> </w:t>
      </w:r>
      <w:r w:rsidRPr="00A2413E" w:rsidR="00575C09">
        <w:rPr>
          <w:color w:val="000000"/>
          <w:szCs w:val="26"/>
        </w:rPr>
        <w:t>sections 10113.71 and 10113.72</w:t>
      </w:r>
      <w:r w:rsidRPr="00A2413E" w:rsidR="007147B4">
        <w:rPr>
          <w:color w:val="000000"/>
          <w:szCs w:val="26"/>
        </w:rPr>
        <w:t xml:space="preserve"> </w:t>
      </w:r>
      <w:r w:rsidR="005A2FD6">
        <w:rPr>
          <w:color w:val="000000"/>
          <w:szCs w:val="26"/>
        </w:rPr>
        <w:t>on</w:t>
      </w:r>
      <w:r w:rsidRPr="00A2413E" w:rsidR="007147B4">
        <w:rPr>
          <w:color w:val="000000"/>
          <w:szCs w:val="26"/>
        </w:rPr>
        <w:t xml:space="preserve">to </w:t>
      </w:r>
      <w:r w:rsidRPr="00A2413E" w:rsidR="00E63D6E">
        <w:rPr>
          <w:color w:val="000000"/>
          <w:szCs w:val="26"/>
        </w:rPr>
        <w:t>the Insurance Cod</w:t>
      </w:r>
      <w:r w:rsidRPr="00A2413E" w:rsidR="00845CC0">
        <w:rPr>
          <w:color w:val="000000"/>
          <w:szCs w:val="26"/>
        </w:rPr>
        <w:t>e</w:t>
      </w:r>
      <w:r w:rsidRPr="00357EB9" w:rsidR="007147B4">
        <w:rPr>
          <w:color w:val="000000"/>
        </w:rPr>
        <w:t>.</w:t>
      </w:r>
      <w:r w:rsidRPr="00001076" w:rsidR="00CF368D">
        <w:rPr>
          <w:color w:val="000000"/>
          <w:szCs w:val="26"/>
        </w:rPr>
        <w:t xml:space="preserve">  (Stats. 2012, ch. 315, §§ 1, 2</w:t>
      </w:r>
      <w:r w:rsidRPr="00001076" w:rsidR="007147B4">
        <w:t>.</w:t>
      </w:r>
      <w:r w:rsidRPr="00001076" w:rsidR="00CF368D">
        <w:t>)</w:t>
      </w:r>
      <w:r w:rsidRPr="00A2413E" w:rsidR="007147B4">
        <w:t xml:space="preserve">  </w:t>
      </w:r>
      <w:r w:rsidRPr="00A2413E" w:rsidR="00AE7802">
        <w:t>These provisions</w:t>
      </w:r>
      <w:r w:rsidRPr="00A2413E" w:rsidR="00820FD3">
        <w:t>, enacted</w:t>
      </w:r>
      <w:r w:rsidRPr="00A2413E" w:rsidR="005533ED">
        <w:t xml:space="preserve"> after Protective Life issued McHugh’s policy but before it cancelled the policy,</w:t>
      </w:r>
      <w:r w:rsidRPr="00A2413E" w:rsidR="00AE7802">
        <w:t xml:space="preserve"> changed the </w:t>
      </w:r>
      <w:r w:rsidRPr="00A2413E" w:rsidR="00976315">
        <w:t xml:space="preserve">grace period and notice requirements for life insurance policies in California.  </w:t>
      </w:r>
    </w:p>
    <w:p w:rsidR="007B2413" w:rsidRPr="00A2413E" w:rsidP="00A2413E" w14:paraId="0A6ABFF2" w14:textId="0E5723DE">
      <w:pPr>
        <w:keepNext/>
        <w:rPr>
          <w:szCs w:val="26"/>
        </w:rPr>
      </w:pPr>
      <w:r w:rsidRPr="00A2413E">
        <w:tab/>
      </w:r>
      <w:r w:rsidRPr="00A2413E" w:rsidR="00FB413E">
        <w:t>S</w:t>
      </w:r>
      <w:r w:rsidRPr="00A2413E">
        <w:t>ection 10113.71</w:t>
      </w:r>
      <w:r w:rsidRPr="00A2413E" w:rsidR="009206E4">
        <w:t xml:space="preserve"> establishe</w:t>
      </w:r>
      <w:r w:rsidRPr="00A2413E" w:rsidR="00E37C56">
        <w:t>d</w:t>
      </w:r>
      <w:r w:rsidRPr="00A2413E" w:rsidR="009206E4">
        <w:t xml:space="preserve"> a 60-day grace period after</w:t>
      </w:r>
      <w:r w:rsidRPr="00A2413E" w:rsidR="00D54FC3">
        <w:t xml:space="preserve"> a</w:t>
      </w:r>
      <w:r w:rsidRPr="00A2413E" w:rsidR="009206E4">
        <w:t xml:space="preserve"> missed</w:t>
      </w:r>
      <w:r w:rsidRPr="00A2413E" w:rsidR="00D54FC3">
        <w:t xml:space="preserve"> premium</w:t>
      </w:r>
      <w:r w:rsidRPr="00A2413E" w:rsidR="003932AB">
        <w:t>.</w:t>
      </w:r>
      <w:r w:rsidRPr="00A2413E" w:rsidR="009206E4">
        <w:t xml:space="preserve"> </w:t>
      </w:r>
      <w:r w:rsidRPr="00A2413E" w:rsidR="003932AB">
        <w:t xml:space="preserve"> </w:t>
      </w:r>
      <w:r w:rsidRPr="00A2413E" w:rsidR="00CA5CCA">
        <w:t>Subdivision (a) states:  “</w:t>
      </w:r>
      <w:r w:rsidRPr="00A2413E" w:rsidR="00CA5CCA">
        <w:rPr>
          <w:szCs w:val="26"/>
        </w:rPr>
        <w:t xml:space="preserve">Each life insurance policy issued or delivered in this state shall contain a provision for a grace period of not less than 60 days from the premium due date. </w:t>
      </w:r>
      <w:r w:rsidR="00AC4C15">
        <w:rPr>
          <w:szCs w:val="26"/>
        </w:rPr>
        <w:t xml:space="preserve"> </w:t>
      </w:r>
      <w:r w:rsidRPr="00A2413E" w:rsidR="00CA5CCA">
        <w:rPr>
          <w:szCs w:val="26"/>
        </w:rPr>
        <w:t xml:space="preserve">The 60-day grace period shall not run concurrently with the period of paid coverage. </w:t>
      </w:r>
      <w:r w:rsidRPr="00001076" w:rsidR="00B6171A">
        <w:rPr>
          <w:szCs w:val="26"/>
        </w:rPr>
        <w:t xml:space="preserve"> </w:t>
      </w:r>
      <w:r w:rsidRPr="00A2413E" w:rsidR="00CA5CCA">
        <w:rPr>
          <w:szCs w:val="26"/>
        </w:rPr>
        <w:t>The provision shall provide that the policy shall remain in force during the grace period.”</w:t>
      </w:r>
      <w:r>
        <w:rPr>
          <w:rStyle w:val="FootnoteReference"/>
          <w:szCs w:val="26"/>
        </w:rPr>
        <w:footnoteReference w:id="6"/>
      </w:r>
      <w:r w:rsidRPr="00A2413E" w:rsidR="00CA5CCA">
        <w:rPr>
          <w:szCs w:val="26"/>
        </w:rPr>
        <w:t xml:space="preserve">  </w:t>
      </w:r>
      <w:r w:rsidRPr="00A2413E">
        <w:rPr>
          <w:color w:val="000000"/>
          <w:szCs w:val="26"/>
        </w:rPr>
        <w:t>(§ 10113.7</w:t>
      </w:r>
      <w:r>
        <w:rPr>
          <w:color w:val="000000"/>
          <w:szCs w:val="26"/>
        </w:rPr>
        <w:t>1</w:t>
      </w:r>
      <w:r w:rsidRPr="00A2413E">
        <w:rPr>
          <w:color w:val="000000"/>
          <w:szCs w:val="26"/>
        </w:rPr>
        <w:t>, subd. (</w:t>
      </w:r>
      <w:r>
        <w:rPr>
          <w:color w:val="000000"/>
          <w:szCs w:val="26"/>
        </w:rPr>
        <w:t>a</w:t>
      </w:r>
      <w:r w:rsidRPr="00A2413E">
        <w:rPr>
          <w:color w:val="000000"/>
          <w:szCs w:val="26"/>
        </w:rPr>
        <w:t>).)</w:t>
      </w:r>
      <w:r>
        <w:rPr>
          <w:color w:val="000000"/>
          <w:szCs w:val="26"/>
        </w:rPr>
        <w:t xml:space="preserve">  </w:t>
      </w:r>
      <w:r w:rsidR="000D0886">
        <w:rPr>
          <w:szCs w:val="26"/>
        </w:rPr>
        <w:t>The section</w:t>
      </w:r>
      <w:r w:rsidRPr="00A2413E" w:rsidR="00CA5CCA">
        <w:rPr>
          <w:szCs w:val="26"/>
        </w:rPr>
        <w:t xml:space="preserve"> </w:t>
      </w:r>
      <w:r w:rsidRPr="00A2413E" w:rsidR="009206E4">
        <w:t>also require</w:t>
      </w:r>
      <w:r w:rsidRPr="00A2413E" w:rsidR="00CA5CCA">
        <w:t>s</w:t>
      </w:r>
      <w:r w:rsidRPr="00A2413E" w:rsidR="009206E4">
        <w:t xml:space="preserve"> </w:t>
      </w:r>
      <w:r w:rsidRPr="00A2413E" w:rsidR="00D71A32">
        <w:t>insurers</w:t>
      </w:r>
      <w:r w:rsidRPr="00A2413E" w:rsidR="009206E4">
        <w:t xml:space="preserve"> to notify</w:t>
      </w:r>
      <w:r w:rsidRPr="00A2413E" w:rsidR="00D71A32">
        <w:t xml:space="preserve"> </w:t>
      </w:r>
      <w:r w:rsidRPr="00A2413E" w:rsidR="009206E4">
        <w:t>policy</w:t>
      </w:r>
      <w:r w:rsidR="00176B70">
        <w:t xml:space="preserve"> owners</w:t>
      </w:r>
      <w:r w:rsidRPr="00A2413E" w:rsidR="009206E4">
        <w:t>, as well as</w:t>
      </w:r>
      <w:r w:rsidRPr="00A2413E" w:rsidR="00D71A32">
        <w:t xml:space="preserve"> </w:t>
      </w:r>
      <w:r w:rsidRPr="00A2413E" w:rsidR="009206E4">
        <w:t>person</w:t>
      </w:r>
      <w:r w:rsidRPr="00A2413E" w:rsidR="00D71A32">
        <w:t>s</w:t>
      </w:r>
      <w:r w:rsidRPr="00A2413E" w:rsidR="009206E4">
        <w:t xml:space="preserve"> designated</w:t>
      </w:r>
      <w:r w:rsidR="00B011DE">
        <w:t xml:space="preserve"> by the policy</w:t>
      </w:r>
      <w:r w:rsidR="00176B70">
        <w:t xml:space="preserve"> owners</w:t>
      </w:r>
      <w:r w:rsidRPr="00A2413E" w:rsidR="009206E4">
        <w:t xml:space="preserve"> to receive notice</w:t>
      </w:r>
      <w:r w:rsidRPr="00A2413E" w:rsidR="00EC6A58">
        <w:t xml:space="preserve"> (under section 10113.72)</w:t>
      </w:r>
      <w:r w:rsidRPr="00A2413E" w:rsidR="009206E4">
        <w:t xml:space="preserve">, </w:t>
      </w:r>
      <w:r w:rsidRPr="00A2413E" w:rsidR="00EC6A58">
        <w:t xml:space="preserve">at least 30 days </w:t>
      </w:r>
      <w:r w:rsidRPr="00A2413E" w:rsidR="009206E4">
        <w:t xml:space="preserve">before </w:t>
      </w:r>
      <w:r w:rsidRPr="00A2413E" w:rsidR="00B447D2">
        <w:t>terminating a policy</w:t>
      </w:r>
      <w:r w:rsidRPr="00A2413E" w:rsidR="009206E4">
        <w:t xml:space="preserve"> due to a payment</w:t>
      </w:r>
      <w:r w:rsidRPr="00A2413E" w:rsidR="000F31B6">
        <w:t xml:space="preserve"> lapse</w:t>
      </w:r>
      <w:r w:rsidRPr="00A2413E" w:rsidR="009206E4">
        <w:t xml:space="preserve">.  </w:t>
      </w:r>
      <w:r w:rsidRPr="00A2413E">
        <w:rPr>
          <w:color w:val="000000"/>
          <w:szCs w:val="26"/>
        </w:rPr>
        <w:t>(§ 10113.7</w:t>
      </w:r>
      <w:r>
        <w:rPr>
          <w:color w:val="000000"/>
          <w:szCs w:val="26"/>
        </w:rPr>
        <w:t>1</w:t>
      </w:r>
      <w:r w:rsidRPr="00A2413E">
        <w:rPr>
          <w:color w:val="000000"/>
          <w:szCs w:val="26"/>
        </w:rPr>
        <w:t>, subd. (</w:t>
      </w:r>
      <w:r>
        <w:rPr>
          <w:color w:val="000000"/>
          <w:szCs w:val="26"/>
        </w:rPr>
        <w:t>b</w:t>
      </w:r>
      <w:r w:rsidRPr="00A2413E">
        <w:rPr>
          <w:color w:val="000000"/>
          <w:szCs w:val="26"/>
        </w:rPr>
        <w:t>)</w:t>
      </w:r>
      <w:r>
        <w:rPr>
          <w:color w:val="000000"/>
          <w:szCs w:val="26"/>
        </w:rPr>
        <w:t>(1)</w:t>
      </w:r>
      <w:r w:rsidRPr="00A2413E">
        <w:rPr>
          <w:color w:val="000000"/>
          <w:szCs w:val="26"/>
        </w:rPr>
        <w:t>.)</w:t>
      </w:r>
      <w:r w:rsidRPr="00001076" w:rsidR="00CE15D0">
        <w:rPr>
          <w:color w:val="000000"/>
          <w:szCs w:val="26"/>
        </w:rPr>
        <w:t xml:space="preserve">  </w:t>
      </w:r>
      <w:r w:rsidRPr="00A2413E" w:rsidR="00C54450">
        <w:t>S</w:t>
      </w:r>
      <w:r w:rsidRPr="00A2413E" w:rsidR="00CA5CCA">
        <w:t xml:space="preserve">ubdivision (b)(1) </w:t>
      </w:r>
      <w:r w:rsidRPr="00A2413E" w:rsidR="002E08C8">
        <w:t>states</w:t>
      </w:r>
      <w:r w:rsidRPr="00A2413E" w:rsidR="00CA5CCA">
        <w:t>:  “</w:t>
      </w:r>
      <w:r w:rsidRPr="00A2413E" w:rsidR="00E63D6E">
        <w:rPr>
          <w:szCs w:val="26"/>
        </w:rPr>
        <w:t>A notice of pending lapse and termination of a life insurance policy shall not be effective unless mailed by the insurer to the named policy owner, a designee named pursuant to Section 10113.72 for an individual life insurance policy, and a known assignee or other person having an interest in the individual life insurance policy, at least 30 days prior to the effective date of termination if termination is for nonpayment of premium.</w:t>
      </w:r>
      <w:r w:rsidRPr="00A2413E" w:rsidR="00CA5CCA">
        <w:rPr>
          <w:szCs w:val="26"/>
        </w:rPr>
        <w:t xml:space="preserve">”  </w:t>
      </w:r>
      <w:r w:rsidRPr="00357EB9" w:rsidR="003C7F80">
        <w:rPr>
          <w:color w:val="000000"/>
        </w:rPr>
        <w:t>(</w:t>
      </w:r>
      <w:r w:rsidRPr="00357EB9" w:rsidR="003C7F80">
        <w:rPr>
          <w:i/>
          <w:color w:val="000000"/>
        </w:rPr>
        <w:t>Ibid.</w:t>
      </w:r>
      <w:r w:rsidRPr="00357EB9" w:rsidR="003C7F80">
        <w:rPr>
          <w:color w:val="000000"/>
        </w:rPr>
        <w:t>)</w:t>
      </w:r>
      <w:r w:rsidR="00AC4C15">
        <w:rPr>
          <w:color w:val="000000"/>
        </w:rPr>
        <w:t xml:space="preserve"> </w:t>
      </w:r>
      <w:r>
        <w:rPr>
          <w:color w:val="000000"/>
          <w:szCs w:val="26"/>
        </w:rPr>
        <w:t xml:space="preserve"> </w:t>
      </w:r>
      <w:r w:rsidRPr="00A2413E" w:rsidR="00CA5CCA">
        <w:rPr>
          <w:szCs w:val="26"/>
        </w:rPr>
        <w:t xml:space="preserve">And subdivision (b)(3) mandates that </w:t>
      </w:r>
      <w:r w:rsidRPr="00A2413E" w:rsidR="007C4282">
        <w:rPr>
          <w:szCs w:val="26"/>
        </w:rPr>
        <w:t xml:space="preserve">the </w:t>
      </w:r>
      <w:r w:rsidRPr="00A2413E" w:rsidR="00CA5CCA">
        <w:rPr>
          <w:szCs w:val="26"/>
        </w:rPr>
        <w:t>“[n]otice</w:t>
      </w:r>
      <w:r w:rsidRPr="00A2413E" w:rsidR="00E63D6E">
        <w:rPr>
          <w:szCs w:val="26"/>
        </w:rPr>
        <w:t xml:space="preserve"> shall be given to the policy owner and to the designee by first-class United States mail within 30 days after a premium is due and unpaid.</w:t>
      </w:r>
      <w:r w:rsidRPr="00A2413E" w:rsidR="00910E34">
        <w:rPr>
          <w:szCs w:val="26"/>
        </w:rPr>
        <w:t>”</w:t>
      </w:r>
      <w:r>
        <w:rPr>
          <w:szCs w:val="26"/>
        </w:rPr>
        <w:t xml:space="preserve"> </w:t>
      </w:r>
      <w:r w:rsidRPr="00A2413E" w:rsidR="00F026F2">
        <w:rPr>
          <w:color w:val="000000"/>
          <w:szCs w:val="26"/>
        </w:rPr>
        <w:t>(§ 10113.7</w:t>
      </w:r>
      <w:r w:rsidR="00F026F2">
        <w:rPr>
          <w:color w:val="000000"/>
          <w:szCs w:val="26"/>
        </w:rPr>
        <w:t>1</w:t>
      </w:r>
      <w:r w:rsidRPr="00A2413E" w:rsidR="00F026F2">
        <w:rPr>
          <w:color w:val="000000"/>
          <w:szCs w:val="26"/>
        </w:rPr>
        <w:t>, subd. (</w:t>
      </w:r>
      <w:r w:rsidR="00F026F2">
        <w:rPr>
          <w:color w:val="000000"/>
          <w:szCs w:val="26"/>
        </w:rPr>
        <w:t>b</w:t>
      </w:r>
      <w:r w:rsidRPr="00A2413E" w:rsidR="00F026F2">
        <w:rPr>
          <w:color w:val="000000"/>
          <w:szCs w:val="26"/>
        </w:rPr>
        <w:t>)</w:t>
      </w:r>
      <w:r w:rsidR="00F026F2">
        <w:rPr>
          <w:color w:val="000000"/>
          <w:szCs w:val="26"/>
        </w:rPr>
        <w:t>(3)</w:t>
      </w:r>
      <w:r w:rsidRPr="00A2413E" w:rsidR="00F026F2">
        <w:rPr>
          <w:color w:val="000000"/>
          <w:szCs w:val="26"/>
        </w:rPr>
        <w:t>.)</w:t>
      </w:r>
    </w:p>
    <w:p w:rsidR="00AD5DC8" w:rsidRPr="00A2413E" w:rsidP="00A2413E" w14:paraId="1D5BBD5C" w14:textId="07D33C35">
      <w:pPr>
        <w:keepNext/>
        <w:rPr>
          <w:szCs w:val="26"/>
        </w:rPr>
      </w:pPr>
      <w:r w:rsidRPr="00A2413E">
        <w:rPr>
          <w:szCs w:val="26"/>
        </w:rPr>
        <w:tab/>
      </w:r>
      <w:r w:rsidRPr="00A2413E" w:rsidR="00031F46">
        <w:rPr>
          <w:szCs w:val="26"/>
        </w:rPr>
        <w:t xml:space="preserve">Section 10113.72 </w:t>
      </w:r>
      <w:r w:rsidRPr="00A2413E" w:rsidR="00CB6C1B">
        <w:rPr>
          <w:szCs w:val="26"/>
        </w:rPr>
        <w:t xml:space="preserve">requires </w:t>
      </w:r>
      <w:r w:rsidRPr="00A2413E" w:rsidR="003753A0">
        <w:rPr>
          <w:szCs w:val="26"/>
        </w:rPr>
        <w:t xml:space="preserve">life </w:t>
      </w:r>
      <w:r w:rsidRPr="00A2413E" w:rsidR="00CB6C1B">
        <w:rPr>
          <w:szCs w:val="26"/>
        </w:rPr>
        <w:t>insurance policies to grant</w:t>
      </w:r>
      <w:r w:rsidR="00A64DC5">
        <w:rPr>
          <w:szCs w:val="26"/>
        </w:rPr>
        <w:t xml:space="preserve"> </w:t>
      </w:r>
      <w:r w:rsidR="007200EA">
        <w:rPr>
          <w:szCs w:val="26"/>
        </w:rPr>
        <w:t>policy</w:t>
      </w:r>
      <w:r w:rsidR="00544DB6">
        <w:rPr>
          <w:szCs w:val="26"/>
        </w:rPr>
        <w:t xml:space="preserve"> owners</w:t>
      </w:r>
      <w:r w:rsidRPr="00A2413E" w:rsidR="00CB6C1B">
        <w:rPr>
          <w:szCs w:val="26"/>
        </w:rPr>
        <w:t xml:space="preserve"> the right to designate at least one other person to receive a notice </w:t>
      </w:r>
      <w:r w:rsidRPr="00A2413E" w:rsidR="00BD24BD">
        <w:rPr>
          <w:szCs w:val="26"/>
        </w:rPr>
        <w:t>of an overdue</w:t>
      </w:r>
      <w:r w:rsidRPr="00A2413E" w:rsidR="00CB6C1B">
        <w:rPr>
          <w:szCs w:val="26"/>
        </w:rPr>
        <w:t xml:space="preserve"> premium </w:t>
      </w:r>
      <w:r w:rsidRPr="00A2413E" w:rsidR="00BD24BD">
        <w:rPr>
          <w:szCs w:val="26"/>
        </w:rPr>
        <w:t>and impending</w:t>
      </w:r>
      <w:r w:rsidRPr="00A2413E" w:rsidR="00B72295">
        <w:rPr>
          <w:szCs w:val="26"/>
        </w:rPr>
        <w:t xml:space="preserve"> </w:t>
      </w:r>
      <w:r w:rsidRPr="00A2413E" w:rsidR="00CB6C1B">
        <w:rPr>
          <w:szCs w:val="26"/>
        </w:rPr>
        <w:t xml:space="preserve">lapse or termination of the policy. </w:t>
      </w:r>
      <w:r w:rsidRPr="00A2413E" w:rsidR="00B72295">
        <w:rPr>
          <w:szCs w:val="26"/>
        </w:rPr>
        <w:t xml:space="preserve"> </w:t>
      </w:r>
      <w:r w:rsidRPr="00A2413E" w:rsidR="00565B45">
        <w:rPr>
          <w:szCs w:val="26"/>
        </w:rPr>
        <w:t>In</w:t>
      </w:r>
      <w:r w:rsidRPr="00A2413E" w:rsidR="00B72295">
        <w:rPr>
          <w:szCs w:val="26"/>
        </w:rPr>
        <w:t xml:space="preserve"> sub</w:t>
      </w:r>
      <w:r w:rsidRPr="00A2413E" w:rsidR="0036135D">
        <w:rPr>
          <w:szCs w:val="26"/>
        </w:rPr>
        <w:t>division</w:t>
      </w:r>
      <w:r w:rsidRPr="00A2413E" w:rsidR="00B72295">
        <w:rPr>
          <w:szCs w:val="26"/>
        </w:rPr>
        <w:t xml:space="preserve"> (a), it </w:t>
      </w:r>
      <w:r w:rsidRPr="00A2413E" w:rsidR="002855A4">
        <w:rPr>
          <w:szCs w:val="26"/>
        </w:rPr>
        <w:t xml:space="preserve">provides that “[a]n individual life insurance policy shall not be issued or delivered in this state until the applicant has been given the right to designate at least one person, in addition to the applicant, to receive notice of lapse or termination of a policy for nonpayment of premium.”  </w:t>
      </w:r>
      <w:r w:rsidRPr="00A2413E" w:rsidR="00475F24">
        <w:rPr>
          <w:color w:val="000000"/>
          <w:szCs w:val="26"/>
        </w:rPr>
        <w:t>(§ 10113.72, subd. (a).)</w:t>
      </w:r>
      <w:r w:rsidR="00475F24">
        <w:rPr>
          <w:color w:val="000000"/>
          <w:szCs w:val="26"/>
        </w:rPr>
        <w:t xml:space="preserve">  </w:t>
      </w:r>
      <w:r w:rsidRPr="00A2413E" w:rsidR="002855A4">
        <w:rPr>
          <w:szCs w:val="26"/>
        </w:rPr>
        <w:t>It also explains that “the insurer shall provide each applicant with a form to make the designation</w:t>
      </w:r>
      <w:r w:rsidR="005F65DE">
        <w:rPr>
          <w:szCs w:val="26"/>
        </w:rPr>
        <w:t>,</w:t>
      </w:r>
      <w:r w:rsidRPr="00A2413E" w:rsidR="002855A4">
        <w:rPr>
          <w:szCs w:val="26"/>
        </w:rPr>
        <w:t xml:space="preserve">” and that this form </w:t>
      </w:r>
      <w:r w:rsidRPr="00A2413E" w:rsidR="00C256C9">
        <w:rPr>
          <w:szCs w:val="26"/>
        </w:rPr>
        <w:t xml:space="preserve">must provide the applicant with the opportunity “to </w:t>
      </w:r>
      <w:r w:rsidRPr="00A2413E" w:rsidR="002855A4">
        <w:rPr>
          <w:szCs w:val="26"/>
        </w:rPr>
        <w:t>submit the name, address, and telephone number of at least one person, in addition to the applicant, who is to receive notice of lapse or termination of the policy for nonpayment of premium.”</w:t>
      </w:r>
      <w:r w:rsidRPr="00A2413E" w:rsidR="00833947">
        <w:rPr>
          <w:szCs w:val="26"/>
        </w:rPr>
        <w:t xml:space="preserve">  </w:t>
      </w:r>
      <w:r w:rsidR="00475F24">
        <w:rPr>
          <w:color w:val="000000"/>
          <w:szCs w:val="26"/>
        </w:rPr>
        <w:t>(</w:t>
      </w:r>
      <w:r w:rsidRPr="00475F24" w:rsidR="00475F24">
        <w:rPr>
          <w:i/>
          <w:iCs/>
          <w:color w:val="000000"/>
          <w:szCs w:val="26"/>
        </w:rPr>
        <w:t>Ibid</w:t>
      </w:r>
      <w:r w:rsidRPr="00A2413E" w:rsidR="002141DF">
        <w:rPr>
          <w:color w:val="000000"/>
          <w:szCs w:val="26"/>
        </w:rPr>
        <w:t xml:space="preserve">.)  </w:t>
      </w:r>
      <w:r w:rsidRPr="00001076" w:rsidR="00CE15D0">
        <w:rPr>
          <w:szCs w:val="26"/>
        </w:rPr>
        <w:t>S</w:t>
      </w:r>
      <w:r w:rsidRPr="00001076" w:rsidR="0036135D">
        <w:rPr>
          <w:szCs w:val="26"/>
        </w:rPr>
        <w:t xml:space="preserve">ubdivision </w:t>
      </w:r>
      <w:r w:rsidRPr="00001076" w:rsidR="00BD7187">
        <w:rPr>
          <w:szCs w:val="26"/>
        </w:rPr>
        <w:t>(b)</w:t>
      </w:r>
      <w:r w:rsidRPr="00A2413E" w:rsidR="00BD7187">
        <w:rPr>
          <w:szCs w:val="26"/>
        </w:rPr>
        <w:t xml:space="preserve"> provides that insurers “shall notify </w:t>
      </w:r>
      <w:r w:rsidRPr="00A2413E" w:rsidR="00CB6C1B">
        <w:rPr>
          <w:szCs w:val="26"/>
        </w:rPr>
        <w:t>the policy owner annually of the right to change the written designation or designate one or more persons</w:t>
      </w:r>
      <w:r w:rsidRPr="00A2413E" w:rsidR="00BD7187">
        <w:rPr>
          <w:szCs w:val="26"/>
        </w:rPr>
        <w:t xml:space="preserve">,” and </w:t>
      </w:r>
      <w:r w:rsidR="00DC469A">
        <w:rPr>
          <w:szCs w:val="26"/>
        </w:rPr>
        <w:t xml:space="preserve">that </w:t>
      </w:r>
      <w:r w:rsidRPr="00A2413E" w:rsidR="00BD7187">
        <w:rPr>
          <w:szCs w:val="26"/>
        </w:rPr>
        <w:t xml:space="preserve">policy owners may elect to change the designation more often if they choose to do so.  </w:t>
      </w:r>
      <w:r w:rsidRPr="00A2413E" w:rsidR="00155347">
        <w:rPr>
          <w:color w:val="000000"/>
          <w:szCs w:val="26"/>
        </w:rPr>
        <w:t>(§ 10113.72, subd. (</w:t>
      </w:r>
      <w:r w:rsidR="00155347">
        <w:rPr>
          <w:color w:val="000000"/>
          <w:szCs w:val="26"/>
        </w:rPr>
        <w:t>b</w:t>
      </w:r>
      <w:r w:rsidRPr="00A2413E" w:rsidR="00155347">
        <w:rPr>
          <w:color w:val="000000"/>
          <w:szCs w:val="26"/>
        </w:rPr>
        <w:t>).)</w:t>
      </w:r>
      <w:r w:rsidR="00155347">
        <w:rPr>
          <w:color w:val="000000"/>
          <w:szCs w:val="26"/>
        </w:rPr>
        <w:t xml:space="preserve">  </w:t>
      </w:r>
      <w:r w:rsidRPr="00A2413E" w:rsidR="001E2DFB">
        <w:rPr>
          <w:szCs w:val="26"/>
        </w:rPr>
        <w:t>Finally,</w:t>
      </w:r>
      <w:r w:rsidRPr="00A2413E" w:rsidR="00FC4786">
        <w:rPr>
          <w:szCs w:val="26"/>
        </w:rPr>
        <w:t xml:space="preserve"> sub</w:t>
      </w:r>
      <w:r w:rsidRPr="00A2413E" w:rsidR="00C432A6">
        <w:rPr>
          <w:szCs w:val="26"/>
        </w:rPr>
        <w:t>division</w:t>
      </w:r>
      <w:r w:rsidRPr="00A2413E" w:rsidR="00FC4786">
        <w:rPr>
          <w:szCs w:val="26"/>
        </w:rPr>
        <w:t xml:space="preserve"> (c</w:t>
      </w:r>
      <w:r w:rsidRPr="00A2413E" w:rsidR="00586571">
        <w:rPr>
          <w:szCs w:val="26"/>
        </w:rPr>
        <w:t>)</w:t>
      </w:r>
      <w:r w:rsidRPr="00A2413E" w:rsidR="00FC4786">
        <w:rPr>
          <w:szCs w:val="26"/>
        </w:rPr>
        <w:t xml:space="preserve"> </w:t>
      </w:r>
      <w:r w:rsidR="00B03BD7">
        <w:t xml:space="preserve">prevents an insurer from </w:t>
      </w:r>
      <w:r w:rsidR="005A2FD6">
        <w:t xml:space="preserve">ending </w:t>
      </w:r>
      <w:r w:rsidR="00B03BD7">
        <w:t>a policy for an unpaid premium</w:t>
      </w:r>
      <w:r w:rsidR="00653454">
        <w:t xml:space="preserve"> without giving </w:t>
      </w:r>
      <w:r w:rsidR="005A2FD6">
        <w:t xml:space="preserve">policy owners </w:t>
      </w:r>
      <w:r w:rsidR="00653454">
        <w:t>at least 30</w:t>
      </w:r>
      <w:r w:rsidR="00C64638">
        <w:t xml:space="preserve"> days’ notice</w:t>
      </w:r>
      <w:r w:rsidR="00B03BD7">
        <w:t>.  It mandates that no policy “shall</w:t>
      </w:r>
      <w:r w:rsidRPr="00001076">
        <w:t xml:space="preserve"> </w:t>
      </w:r>
      <w:r w:rsidRPr="00001076" w:rsidR="00CE15D0">
        <w:t>lapse or</w:t>
      </w:r>
      <w:r>
        <w:t xml:space="preserve"> </w:t>
      </w:r>
      <w:r w:rsidR="00B03BD7">
        <w:t>be terminated” for an unpaid premium “unless the insurer</w:t>
      </w:r>
      <w:r w:rsidRPr="00AD5DC8">
        <w:rPr>
          <w:szCs w:val="26"/>
        </w:rPr>
        <w:t>, at least 30 days prior to the effective date of the lapse or termination, gives notice to the policy owner and to the person or persons designated pursuant to subdivision (a</w:t>
      </w:r>
      <w:r w:rsidRPr="00001076">
        <w:rPr>
          <w:szCs w:val="26"/>
        </w:rPr>
        <w:t>)</w:t>
      </w:r>
      <w:r w:rsidRPr="00001076" w:rsidR="00CE15D0">
        <w:rPr>
          <w:szCs w:val="26"/>
        </w:rPr>
        <w:t> . . . </w:t>
      </w:r>
      <w:r w:rsidRPr="00001076">
        <w:rPr>
          <w:szCs w:val="26"/>
        </w:rPr>
        <w:t>.”</w:t>
      </w:r>
      <w:r w:rsidR="00223D07">
        <w:rPr>
          <w:szCs w:val="26"/>
        </w:rPr>
        <w:t xml:space="preserve">  </w:t>
      </w:r>
      <w:r w:rsidRPr="00A2413E" w:rsidR="00A858D2">
        <w:rPr>
          <w:color w:val="000000"/>
          <w:szCs w:val="26"/>
        </w:rPr>
        <w:t>(§ 10113.72, subd. (</w:t>
      </w:r>
      <w:r w:rsidR="00A858D2">
        <w:rPr>
          <w:color w:val="000000"/>
          <w:szCs w:val="26"/>
        </w:rPr>
        <w:t>c</w:t>
      </w:r>
      <w:r w:rsidRPr="00A2413E" w:rsidR="00A858D2">
        <w:rPr>
          <w:color w:val="000000"/>
          <w:szCs w:val="26"/>
        </w:rPr>
        <w:t>).)</w:t>
      </w:r>
    </w:p>
    <w:p w:rsidR="00891839" w:rsidRPr="00A2413E" w:rsidP="00A2413E" w14:paraId="09657BC5" w14:textId="606DF482">
      <w:pPr>
        <w:ind w:firstLine="720"/>
      </w:pPr>
      <w:r>
        <w:t xml:space="preserve">Both of these sections </w:t>
      </w:r>
      <w:r w:rsidRPr="00A2413E" w:rsidR="0093746A">
        <w:t>went into effect on January 1, 2013</w:t>
      </w:r>
      <w:r w:rsidRPr="00A2413E" w:rsidR="00417EF5">
        <w:t>.</w:t>
      </w:r>
      <w:r w:rsidRPr="00A2413E" w:rsidR="0093746A">
        <w:t xml:space="preserve">  </w:t>
      </w:r>
    </w:p>
    <w:p w:rsidR="0085628F" w:rsidRPr="008632EC" w:rsidP="00DA673B" w14:paraId="69CF57CC" w14:textId="2BE3F3A9">
      <w:pPr>
        <w:pStyle w:val="Heading1"/>
      </w:pPr>
      <w:r>
        <w:t>III</w:t>
      </w:r>
      <w:r w:rsidRPr="008632EC" w:rsidR="008632EC">
        <w:t>.</w:t>
      </w:r>
    </w:p>
    <w:p w:rsidR="00C30305" w:rsidRPr="00096F7B" w:rsidP="00096F7B" w14:paraId="709B24F4" w14:textId="792CAF13">
      <w:pPr>
        <w:ind w:firstLine="720"/>
      </w:pPr>
      <w:r>
        <w:rPr>
          <w:szCs w:val="26"/>
        </w:rPr>
        <w:t xml:space="preserve">Protective Life maintains that the two new statutes have no effect on insurance contracts </w:t>
      </w:r>
      <w:r w:rsidR="001362BF">
        <w:rPr>
          <w:szCs w:val="26"/>
        </w:rPr>
        <w:t xml:space="preserve">issued or delivered </w:t>
      </w:r>
      <w:r>
        <w:rPr>
          <w:szCs w:val="26"/>
        </w:rPr>
        <w:t xml:space="preserve">before January </w:t>
      </w:r>
      <w:r w:rsidR="001362BF">
        <w:rPr>
          <w:szCs w:val="26"/>
        </w:rPr>
        <w:t>1</w:t>
      </w:r>
      <w:r>
        <w:rPr>
          <w:szCs w:val="26"/>
        </w:rPr>
        <w:t xml:space="preserve">, 2013.  This case turns on whether the appellate court was right to embrace that conclusion.  To resolve this question, we begin by </w:t>
      </w:r>
      <w:r w:rsidRPr="00A2413E" w:rsidR="00D67E8C">
        <w:rPr>
          <w:szCs w:val="26"/>
        </w:rPr>
        <w:t>review</w:t>
      </w:r>
      <w:r>
        <w:rPr>
          <w:szCs w:val="26"/>
        </w:rPr>
        <w:t>ing</w:t>
      </w:r>
      <w:r w:rsidRPr="00A2413E" w:rsidR="00D67E8C">
        <w:rPr>
          <w:szCs w:val="26"/>
        </w:rPr>
        <w:t xml:space="preserve"> de novo the Court of Appeal’s interpretation of sections 10113.71 and 10113.72.  (</w:t>
      </w:r>
      <w:r w:rsidRPr="00A2413E" w:rsidR="00D67E8C">
        <w:rPr>
          <w:i/>
          <w:iCs/>
          <w:szCs w:val="26"/>
        </w:rPr>
        <w:t>Kirby v. Immoos Fire Protection, Inc.</w:t>
      </w:r>
      <w:r w:rsidRPr="00A2413E" w:rsidR="00D67E8C">
        <w:rPr>
          <w:szCs w:val="26"/>
        </w:rPr>
        <w:t xml:space="preserve"> (2012) 53 Cal.4th 1244, 1250.)  As with </w:t>
      </w:r>
      <w:r w:rsidRPr="00A2413E" w:rsidR="004370A2">
        <w:rPr>
          <w:szCs w:val="26"/>
        </w:rPr>
        <w:t>any question</w:t>
      </w:r>
      <w:r w:rsidRPr="00A2413E" w:rsidR="00B06264">
        <w:rPr>
          <w:szCs w:val="26"/>
        </w:rPr>
        <w:t xml:space="preserve"> of statutory </w:t>
      </w:r>
      <w:r w:rsidRPr="00A2413E" w:rsidR="00DD5AD9">
        <w:rPr>
          <w:szCs w:val="26"/>
        </w:rPr>
        <w:t>construction</w:t>
      </w:r>
      <w:r w:rsidRPr="00A2413E" w:rsidR="00B06264">
        <w:rPr>
          <w:szCs w:val="26"/>
        </w:rPr>
        <w:t xml:space="preserve">, </w:t>
      </w:r>
      <w:r w:rsidRPr="00A2413E" w:rsidR="008213A4">
        <w:rPr>
          <w:szCs w:val="26"/>
        </w:rPr>
        <w:t xml:space="preserve">our </w:t>
      </w:r>
      <w:r w:rsidRPr="00A2413E" w:rsidR="0064743E">
        <w:rPr>
          <w:szCs w:val="26"/>
        </w:rPr>
        <w:t>core</w:t>
      </w:r>
      <w:r w:rsidRPr="00A2413E" w:rsidR="008213A4">
        <w:rPr>
          <w:szCs w:val="26"/>
        </w:rPr>
        <w:t xml:space="preserve"> task</w:t>
      </w:r>
      <w:r w:rsidRPr="00A2413E" w:rsidR="004370A2">
        <w:rPr>
          <w:szCs w:val="26"/>
        </w:rPr>
        <w:t xml:space="preserve"> </w:t>
      </w:r>
      <w:r w:rsidRPr="00A2413E" w:rsidR="00962186">
        <w:rPr>
          <w:szCs w:val="26"/>
        </w:rPr>
        <w:t>h</w:t>
      </w:r>
      <w:r w:rsidRPr="00A2413E" w:rsidR="004370A2">
        <w:rPr>
          <w:szCs w:val="26"/>
        </w:rPr>
        <w:t>ere</w:t>
      </w:r>
      <w:r w:rsidRPr="00A2413E" w:rsidR="008213A4">
        <w:rPr>
          <w:szCs w:val="26"/>
        </w:rPr>
        <w:t xml:space="preserve"> is to determine and give effect to the Legislature’s </w:t>
      </w:r>
      <w:r w:rsidRPr="00A2413E" w:rsidR="008C1B9B">
        <w:rPr>
          <w:szCs w:val="26"/>
        </w:rPr>
        <w:t>underlying purpose</w:t>
      </w:r>
      <w:r w:rsidRPr="00A2413E" w:rsidR="008213A4">
        <w:rPr>
          <w:szCs w:val="26"/>
        </w:rPr>
        <w:t xml:space="preserve"> in enacting </w:t>
      </w:r>
      <w:r w:rsidRPr="00A2413E" w:rsidR="00661AF4">
        <w:rPr>
          <w:szCs w:val="26"/>
        </w:rPr>
        <w:t>the statutes at issue</w:t>
      </w:r>
      <w:r w:rsidRPr="00A2413E" w:rsidR="008213A4">
        <w:rPr>
          <w:szCs w:val="26"/>
        </w:rPr>
        <w:t xml:space="preserve">.  </w:t>
      </w:r>
      <w:r w:rsidRPr="00A2413E" w:rsidR="00B256B9">
        <w:rPr>
          <w:szCs w:val="26"/>
        </w:rPr>
        <w:t>(</w:t>
      </w:r>
      <w:r w:rsidRPr="00A2413E" w:rsidR="00B256B9">
        <w:rPr>
          <w:i/>
          <w:iCs/>
          <w:szCs w:val="26"/>
        </w:rPr>
        <w:t>California Teachers Assn. v. San Diego Community College Dist.</w:t>
      </w:r>
      <w:r w:rsidRPr="00A2413E" w:rsidR="00B256B9">
        <w:rPr>
          <w:szCs w:val="26"/>
        </w:rPr>
        <w:t xml:space="preserve"> (1981) 28 Cal.3d 692, 698</w:t>
      </w:r>
      <w:r w:rsidRPr="00A2413E" w:rsidR="00115829">
        <w:rPr>
          <w:szCs w:val="26"/>
        </w:rPr>
        <w:t xml:space="preserve">; </w:t>
      </w:r>
      <w:r w:rsidRPr="00A2413E" w:rsidR="00AC5DE7">
        <w:rPr>
          <w:i/>
          <w:iCs/>
          <w:szCs w:val="26"/>
        </w:rPr>
        <w:t xml:space="preserve">Calatayud v. State of California </w:t>
      </w:r>
      <w:r w:rsidRPr="00A2413E" w:rsidR="00AC5DE7">
        <w:rPr>
          <w:szCs w:val="26"/>
        </w:rPr>
        <w:t xml:space="preserve">(1998) 18 Cal.4th 1057, 1065; </w:t>
      </w:r>
      <w:r w:rsidRPr="00A2413E" w:rsidR="0061173A">
        <w:rPr>
          <w:i/>
          <w:iCs/>
          <w:szCs w:val="26"/>
        </w:rPr>
        <w:t>Goodman v. Lozano</w:t>
      </w:r>
      <w:r w:rsidRPr="00A2413E" w:rsidR="0061173A">
        <w:rPr>
          <w:szCs w:val="26"/>
        </w:rPr>
        <w:t xml:space="preserve"> (2010) 47 Cal.4th 1327, 1332</w:t>
      </w:r>
      <w:r w:rsidRPr="00A2413E" w:rsidR="00092957">
        <w:rPr>
          <w:szCs w:val="26"/>
        </w:rPr>
        <w:t xml:space="preserve">.) </w:t>
      </w:r>
      <w:r w:rsidRPr="00A2413E" w:rsidR="00047757">
        <w:rPr>
          <w:szCs w:val="26"/>
        </w:rPr>
        <w:t xml:space="preserve"> We </w:t>
      </w:r>
      <w:r w:rsidRPr="00A2413E" w:rsidR="00661AF4">
        <w:rPr>
          <w:szCs w:val="26"/>
        </w:rPr>
        <w:t xml:space="preserve">first </w:t>
      </w:r>
      <w:r w:rsidRPr="00A2413E" w:rsidR="00AC5DE7">
        <w:rPr>
          <w:szCs w:val="26"/>
        </w:rPr>
        <w:t>consider</w:t>
      </w:r>
      <w:r w:rsidRPr="00A2413E" w:rsidR="00661AF4">
        <w:rPr>
          <w:szCs w:val="26"/>
        </w:rPr>
        <w:t xml:space="preserve"> the words</w:t>
      </w:r>
      <w:r w:rsidRPr="00A2413E" w:rsidR="00151E5C">
        <w:rPr>
          <w:szCs w:val="26"/>
        </w:rPr>
        <w:t xml:space="preserve"> of the statutes, as </w:t>
      </w:r>
      <w:r w:rsidRPr="00A2413E" w:rsidR="002A417A">
        <w:rPr>
          <w:szCs w:val="26"/>
        </w:rPr>
        <w:t>statutory language</w:t>
      </w:r>
      <w:r w:rsidRPr="00A2413E" w:rsidR="00F47CB8">
        <w:rPr>
          <w:szCs w:val="26"/>
        </w:rPr>
        <w:t xml:space="preserve"> is generally</w:t>
      </w:r>
      <w:r w:rsidRPr="00A2413E" w:rsidR="00151E5C">
        <w:rPr>
          <w:szCs w:val="26"/>
        </w:rPr>
        <w:t xml:space="preserve"> </w:t>
      </w:r>
      <w:r w:rsidRPr="00A2413E" w:rsidR="00CE5923">
        <w:rPr>
          <w:szCs w:val="26"/>
        </w:rPr>
        <w:t xml:space="preserve">the most reliable indicator of legislation’s </w:t>
      </w:r>
      <w:r w:rsidRPr="00A2413E" w:rsidR="00002F56">
        <w:rPr>
          <w:szCs w:val="26"/>
        </w:rPr>
        <w:t xml:space="preserve">intended </w:t>
      </w:r>
      <w:r w:rsidRPr="00A2413E" w:rsidR="00CE5923">
        <w:rPr>
          <w:szCs w:val="26"/>
        </w:rPr>
        <w:t>purpose</w:t>
      </w:r>
      <w:r w:rsidRPr="00A2413E" w:rsidR="00002F56">
        <w:rPr>
          <w:szCs w:val="26"/>
        </w:rPr>
        <w:t xml:space="preserve">.  </w:t>
      </w:r>
      <w:bookmarkStart w:id="16" w:name="_Hlk77258768"/>
      <w:r w:rsidRPr="00A2413E" w:rsidR="00410080">
        <w:rPr>
          <w:szCs w:val="26"/>
        </w:rPr>
        <w:t>(</w:t>
      </w:r>
      <w:r w:rsidRPr="00A2413E" w:rsidR="00B959CC">
        <w:rPr>
          <w:i/>
          <w:iCs/>
          <w:szCs w:val="26"/>
        </w:rPr>
        <w:t>In re H.W.</w:t>
      </w:r>
      <w:r w:rsidRPr="00A2413E" w:rsidR="00B959CC">
        <w:rPr>
          <w:szCs w:val="26"/>
        </w:rPr>
        <w:t xml:space="preserve"> (2019) 6 Cal.5th 1068, 1073</w:t>
      </w:r>
      <w:r w:rsidRPr="00A2413E" w:rsidR="00E67BD7">
        <w:rPr>
          <w:szCs w:val="26"/>
        </w:rPr>
        <w:t xml:space="preserve"> (</w:t>
      </w:r>
      <w:r w:rsidRPr="00A2413E" w:rsidR="00E67BD7">
        <w:rPr>
          <w:i/>
          <w:iCs/>
          <w:szCs w:val="26"/>
        </w:rPr>
        <w:t>H.W</w:t>
      </w:r>
      <w:r w:rsidRPr="00A2413E" w:rsidR="00791284">
        <w:rPr>
          <w:szCs w:val="26"/>
        </w:rPr>
        <w:t>.</w:t>
      </w:r>
      <w:r w:rsidRPr="00A2413E" w:rsidR="00B959CC">
        <w:rPr>
          <w:szCs w:val="26"/>
        </w:rPr>
        <w:t>)</w:t>
      </w:r>
      <w:r w:rsidRPr="00A2413E" w:rsidR="001B7B6D">
        <w:rPr>
          <w:szCs w:val="26"/>
        </w:rPr>
        <w:t>.)</w:t>
      </w:r>
      <w:bookmarkEnd w:id="16"/>
      <w:r w:rsidRPr="00A2413E" w:rsidR="00B959CC">
        <w:rPr>
          <w:szCs w:val="26"/>
        </w:rPr>
        <w:t xml:space="preserve">  </w:t>
      </w:r>
      <w:r w:rsidRPr="00A2413E" w:rsidR="00751C30">
        <w:rPr>
          <w:szCs w:val="26"/>
        </w:rPr>
        <w:t>W</w:t>
      </w:r>
      <w:r w:rsidRPr="00A2413E" w:rsidR="00A34264">
        <w:rPr>
          <w:szCs w:val="26"/>
        </w:rPr>
        <w:t xml:space="preserve">e consider the ordinary meaning of the relevant terms, related provisions, terms used in other parts of the statute, and the structure of the statutory scheme.  </w:t>
      </w:r>
      <w:r w:rsidRPr="00A2413E" w:rsidR="00303C5A">
        <w:rPr>
          <w:szCs w:val="26"/>
        </w:rPr>
        <w:t>(</w:t>
      </w:r>
      <w:r w:rsidRPr="00A2413E" w:rsidR="00303C5A">
        <w:rPr>
          <w:i/>
          <w:iCs/>
          <w:szCs w:val="26"/>
        </w:rPr>
        <w:t>Larkin v. Workers’ Comp. Appeals Bd.</w:t>
      </w:r>
      <w:r w:rsidRPr="00A2413E" w:rsidR="00303C5A">
        <w:rPr>
          <w:szCs w:val="26"/>
        </w:rPr>
        <w:t xml:space="preserve"> (2015) 62 Cal.4th 152, 157.)  </w:t>
      </w:r>
      <w:r w:rsidRPr="00A2413E" w:rsidR="00484190">
        <w:rPr>
          <w:szCs w:val="26"/>
        </w:rPr>
        <w:t xml:space="preserve">If the relevant statutory language </w:t>
      </w:r>
      <w:r w:rsidRPr="00A2413E" w:rsidR="00823D10">
        <w:rPr>
          <w:szCs w:val="26"/>
        </w:rPr>
        <w:t>is ambiguous</w:t>
      </w:r>
      <w:r w:rsidRPr="00A2413E" w:rsidR="00BB4309">
        <w:rPr>
          <w:szCs w:val="26"/>
        </w:rPr>
        <w:t xml:space="preserve">, we </w:t>
      </w:r>
      <w:r w:rsidRPr="00A2413E" w:rsidR="00130B9F">
        <w:rPr>
          <w:szCs w:val="26"/>
        </w:rPr>
        <w:t xml:space="preserve">look to </w:t>
      </w:r>
      <w:r w:rsidRPr="00A2413E" w:rsidR="00BB4309">
        <w:rPr>
          <w:szCs w:val="26"/>
        </w:rPr>
        <w:t>appropriate extrinsic sources,</w:t>
      </w:r>
      <w:r w:rsidRPr="00A2413E" w:rsidR="00823D10">
        <w:rPr>
          <w:szCs w:val="26"/>
        </w:rPr>
        <w:t xml:space="preserve"> </w:t>
      </w:r>
      <w:r w:rsidRPr="00A2413E" w:rsidR="00130B9F">
        <w:rPr>
          <w:szCs w:val="26"/>
        </w:rPr>
        <w:t xml:space="preserve">including the legislative history, for further insights.  </w:t>
      </w:r>
      <w:r w:rsidRPr="00A2413E" w:rsidR="00B329A2">
        <w:rPr>
          <w:szCs w:val="26"/>
        </w:rPr>
        <w:t>(</w:t>
      </w:r>
      <w:r w:rsidRPr="00A2413E" w:rsidR="00B329A2">
        <w:rPr>
          <w:i/>
          <w:iCs/>
          <w:szCs w:val="26"/>
        </w:rPr>
        <w:t>H.W.</w:t>
      </w:r>
      <w:r w:rsidRPr="00A2413E" w:rsidR="00791284">
        <w:rPr>
          <w:szCs w:val="26"/>
        </w:rPr>
        <w:t>,</w:t>
      </w:r>
      <w:r w:rsidR="001C4E91">
        <w:rPr>
          <w:szCs w:val="26"/>
        </w:rPr>
        <w:t xml:space="preserve"> </w:t>
      </w:r>
      <w:r w:rsidRPr="00A2413E" w:rsidR="00791284">
        <w:rPr>
          <w:szCs w:val="26"/>
        </w:rPr>
        <w:t xml:space="preserve">at p. </w:t>
      </w:r>
      <w:r w:rsidRPr="00A2413E" w:rsidR="00B329A2">
        <w:rPr>
          <w:szCs w:val="26"/>
        </w:rPr>
        <w:t>1073</w:t>
      </w:r>
      <w:r w:rsidRPr="00A2413E" w:rsidR="00A149EA">
        <w:rPr>
          <w:szCs w:val="26"/>
        </w:rPr>
        <w:t>.)</w:t>
      </w:r>
      <w:r w:rsidRPr="00A2413E" w:rsidR="00E06C6D">
        <w:rPr>
          <w:szCs w:val="26"/>
        </w:rPr>
        <w:t xml:space="preserve">  </w:t>
      </w:r>
      <w:r w:rsidRPr="00A2413E" w:rsidR="006810B3">
        <w:rPr>
          <w:szCs w:val="26"/>
        </w:rPr>
        <w:t xml:space="preserve">We also </w:t>
      </w:r>
      <w:r w:rsidR="0073713F">
        <w:rPr>
          <w:szCs w:val="26"/>
        </w:rPr>
        <w:t>extend</w:t>
      </w:r>
      <w:r w:rsidRPr="00A2413E" w:rsidR="0073713F">
        <w:rPr>
          <w:szCs w:val="26"/>
        </w:rPr>
        <w:t xml:space="preserve"> </w:t>
      </w:r>
      <w:r w:rsidRPr="00A2413E" w:rsidR="006810B3">
        <w:rPr>
          <w:szCs w:val="26"/>
        </w:rPr>
        <w:t>some deference to DOI’s interpretation</w:t>
      </w:r>
      <w:r w:rsidRPr="00A2413E" w:rsidR="00E82927">
        <w:rPr>
          <w:szCs w:val="26"/>
        </w:rPr>
        <w:t>s</w:t>
      </w:r>
      <w:r w:rsidRPr="00A2413E" w:rsidR="006810B3">
        <w:rPr>
          <w:szCs w:val="26"/>
        </w:rPr>
        <w:t xml:space="preserve"> of the Insurance Cod</w:t>
      </w:r>
      <w:r w:rsidRPr="00A2413E" w:rsidR="005E4B0B">
        <w:rPr>
          <w:szCs w:val="26"/>
        </w:rPr>
        <w:t xml:space="preserve">e, to the extent that those interpretations </w:t>
      </w:r>
      <w:r w:rsidRPr="00A2413E" w:rsidR="00751C30">
        <w:rPr>
          <w:szCs w:val="26"/>
        </w:rPr>
        <w:t>are embodied in</w:t>
      </w:r>
      <w:r w:rsidRPr="00A2413E" w:rsidR="00BE2D10">
        <w:rPr>
          <w:szCs w:val="26"/>
        </w:rPr>
        <w:t xml:space="preserve"> </w:t>
      </w:r>
      <w:r w:rsidRPr="00A2413E" w:rsidR="00FF6A32">
        <w:rPr>
          <w:szCs w:val="26"/>
        </w:rPr>
        <w:t>quasi-legislative</w:t>
      </w:r>
      <w:r w:rsidRPr="00A2413E" w:rsidR="00BE2D10">
        <w:rPr>
          <w:szCs w:val="26"/>
        </w:rPr>
        <w:t xml:space="preserve"> regulation</w:t>
      </w:r>
      <w:r w:rsidRPr="00A2413E" w:rsidR="00FF6A32">
        <w:rPr>
          <w:rStyle w:val="CommentReference"/>
          <w:sz w:val="27"/>
          <w:szCs w:val="26"/>
        </w:rPr>
        <w:t>s</w:t>
      </w:r>
      <w:r w:rsidRPr="00A2413E" w:rsidR="00BE2D10">
        <w:rPr>
          <w:szCs w:val="26"/>
        </w:rPr>
        <w:t xml:space="preserve"> or constitute long-standing, consistent, and contemporaneous interpretations</w:t>
      </w:r>
      <w:r w:rsidRPr="00A2413E" w:rsidR="001E367E">
        <w:rPr>
          <w:szCs w:val="26"/>
        </w:rPr>
        <w:t>.  (</w:t>
      </w:r>
      <w:r w:rsidRPr="00A2413E" w:rsidR="00A26CE7">
        <w:rPr>
          <w:szCs w:val="26"/>
        </w:rPr>
        <w:t xml:space="preserve">See, e.g., </w:t>
      </w:r>
      <w:bookmarkStart w:id="17" w:name="_Hlk77259837"/>
      <w:r w:rsidRPr="00A2413E" w:rsidR="00BF4BBB">
        <w:rPr>
          <w:i/>
          <w:iCs/>
        </w:rPr>
        <w:t>Yamaha Corp. of America v. State Bd. of Equalization</w:t>
      </w:r>
      <w:r w:rsidRPr="00A2413E" w:rsidR="00BF4BBB">
        <w:t xml:space="preserve"> (1998) 19 Cal.4th 1, 12–13</w:t>
      </w:r>
      <w:r w:rsidRPr="00A2413E" w:rsidR="00D039E1">
        <w:t xml:space="preserve"> (</w:t>
      </w:r>
      <w:r w:rsidRPr="00A2413E" w:rsidR="00D039E1">
        <w:rPr>
          <w:i/>
          <w:iCs/>
        </w:rPr>
        <w:t>Yamaha</w:t>
      </w:r>
      <w:r w:rsidRPr="00A2413E" w:rsidR="00D039E1">
        <w:t>)</w:t>
      </w:r>
      <w:r w:rsidRPr="00A2413E" w:rsidR="007823B9">
        <w:t>;</w:t>
      </w:r>
      <w:bookmarkEnd w:id="17"/>
      <w:r w:rsidRPr="00A2413E" w:rsidR="007823B9">
        <w:t xml:space="preserve"> </w:t>
      </w:r>
      <w:r w:rsidRPr="00A2413E" w:rsidR="00BB492E">
        <w:rPr>
          <w:i/>
          <w:iCs/>
        </w:rPr>
        <w:t>Farmers Ins. Exch. v. Superior Court</w:t>
      </w:r>
      <w:r w:rsidRPr="00A2413E" w:rsidR="00BB492E">
        <w:t xml:space="preserve"> (2006) 137 Cal.App.4th 842, </w:t>
      </w:r>
      <w:r w:rsidRPr="00A2413E" w:rsidR="007823B9">
        <w:rPr>
          <w:szCs w:val="26"/>
        </w:rPr>
        <w:t>859.)</w:t>
      </w:r>
      <w:r w:rsidRPr="00A2413E" w:rsidR="00D039E1">
        <w:rPr>
          <w:szCs w:val="26"/>
        </w:rPr>
        <w:t xml:space="preserve">  </w:t>
      </w:r>
    </w:p>
    <w:p w:rsidR="00C30305" w:rsidRPr="00C30305" w:rsidP="00DC2CA2" w14:paraId="228AF6EA" w14:textId="60C8994F">
      <w:pPr>
        <w:pStyle w:val="Heading2"/>
        <w:tabs>
          <w:tab w:val="left" w:pos="720"/>
          <w:tab w:val="clear" w:pos="1152"/>
        </w:tabs>
        <w:ind w:left="0" w:firstLine="0"/>
        <w:jc w:val="center"/>
      </w:pPr>
      <w:r>
        <w:t>A</w:t>
      </w:r>
      <w:r w:rsidRPr="00C30305">
        <w:t>.</w:t>
      </w:r>
    </w:p>
    <w:p w:rsidR="00954A71" w:rsidP="00D24C27" w14:paraId="4D3E13A3" w14:textId="2C515D11">
      <w:pPr>
        <w:ind w:firstLine="720"/>
        <w:rPr>
          <w:color w:val="000000"/>
          <w:szCs w:val="27"/>
          <w:shd w:val="clear" w:color="auto" w:fill="FFFFFF"/>
        </w:rPr>
      </w:pPr>
      <w:r>
        <w:rPr>
          <w:szCs w:val="26"/>
        </w:rPr>
        <w:t xml:space="preserve">The Court of Appeal framed its analysis </w:t>
      </w:r>
      <w:r w:rsidR="003558EE">
        <w:rPr>
          <w:szCs w:val="26"/>
        </w:rPr>
        <w:t>by relying on a</w:t>
      </w:r>
      <w:r w:rsidR="008D733C">
        <w:rPr>
          <w:szCs w:val="26"/>
        </w:rPr>
        <w:t xml:space="preserve"> general</w:t>
      </w:r>
      <w:r w:rsidR="00E145C5">
        <w:rPr>
          <w:szCs w:val="26"/>
        </w:rPr>
        <w:t xml:space="preserve"> interpretive</w:t>
      </w:r>
      <w:r w:rsidR="008D733C">
        <w:rPr>
          <w:szCs w:val="26"/>
        </w:rPr>
        <w:t xml:space="preserve"> principle</w:t>
      </w:r>
      <w:r w:rsidR="00E145C5">
        <w:rPr>
          <w:szCs w:val="26"/>
        </w:rPr>
        <w:t>:</w:t>
      </w:r>
      <w:r w:rsidR="002C367E">
        <w:rPr>
          <w:szCs w:val="26"/>
        </w:rPr>
        <w:t xml:space="preserve"> </w:t>
      </w:r>
      <w:r w:rsidR="00E145C5">
        <w:rPr>
          <w:szCs w:val="26"/>
        </w:rPr>
        <w:t xml:space="preserve"> </w:t>
      </w:r>
      <w:r w:rsidR="005A2FD6">
        <w:rPr>
          <w:szCs w:val="26"/>
        </w:rPr>
        <w:t>the rebuttable presumption</w:t>
      </w:r>
      <w:r w:rsidR="002C367E">
        <w:rPr>
          <w:szCs w:val="26"/>
        </w:rPr>
        <w:t xml:space="preserve"> </w:t>
      </w:r>
      <w:r w:rsidR="00913717">
        <w:rPr>
          <w:szCs w:val="26"/>
        </w:rPr>
        <w:t xml:space="preserve">that </w:t>
      </w:r>
      <w:r w:rsidR="0042165B">
        <w:rPr>
          <w:szCs w:val="26"/>
        </w:rPr>
        <w:t xml:space="preserve">a </w:t>
      </w:r>
      <w:r w:rsidRPr="00A2413E" w:rsidR="00522821">
        <w:rPr>
          <w:szCs w:val="26"/>
        </w:rPr>
        <w:t xml:space="preserve">statute </w:t>
      </w:r>
      <w:r w:rsidRPr="00A2413E" w:rsidR="009B2F72">
        <w:rPr>
          <w:szCs w:val="26"/>
        </w:rPr>
        <w:t>do</w:t>
      </w:r>
      <w:r w:rsidRPr="00A2413E" w:rsidR="00447EF3">
        <w:rPr>
          <w:szCs w:val="26"/>
        </w:rPr>
        <w:t>es</w:t>
      </w:r>
      <w:r w:rsidRPr="00A2413E" w:rsidR="009B2F72">
        <w:rPr>
          <w:szCs w:val="26"/>
        </w:rPr>
        <w:t xml:space="preserve"> not </w:t>
      </w:r>
      <w:r w:rsidRPr="00A2413E" w:rsidR="00EC6798">
        <w:rPr>
          <w:szCs w:val="26"/>
        </w:rPr>
        <w:t>operate</w:t>
      </w:r>
      <w:r w:rsidRPr="00A2413E" w:rsidR="00522821">
        <w:rPr>
          <w:szCs w:val="26"/>
        </w:rPr>
        <w:t xml:space="preserve"> r</w:t>
      </w:r>
      <w:r w:rsidR="00135951">
        <w:rPr>
          <w:szCs w:val="26"/>
        </w:rPr>
        <w:t>etroactively</w:t>
      </w:r>
      <w:r w:rsidR="008213F7">
        <w:rPr>
          <w:szCs w:val="26"/>
        </w:rPr>
        <w:t>, and instead operates on a prospective basis only</w:t>
      </w:r>
      <w:r w:rsidRPr="00A2413E" w:rsidR="00522821">
        <w:rPr>
          <w:szCs w:val="26"/>
        </w:rPr>
        <w:t xml:space="preserve">.  </w:t>
      </w:r>
      <w:bookmarkStart w:id="18" w:name="_Hlk77259892"/>
      <w:r w:rsidR="00071183">
        <w:rPr>
          <w:szCs w:val="26"/>
        </w:rPr>
        <w:t>(</w:t>
      </w:r>
      <w:r w:rsidRPr="00A2413E" w:rsidR="00006612">
        <w:rPr>
          <w:i/>
          <w:iCs/>
          <w:color w:val="000000"/>
          <w:szCs w:val="26"/>
        </w:rPr>
        <w:t>Myers v. Philip Morris Companies, Inc.</w:t>
      </w:r>
      <w:r w:rsidRPr="00A2413E" w:rsidR="00006612">
        <w:rPr>
          <w:color w:val="000000"/>
          <w:szCs w:val="26"/>
        </w:rPr>
        <w:t xml:space="preserve"> (2002) 28 Cal.4th 828, 84</w:t>
      </w:r>
      <w:r w:rsidR="00006612">
        <w:rPr>
          <w:color w:val="000000"/>
          <w:szCs w:val="26"/>
        </w:rPr>
        <w:t>4</w:t>
      </w:r>
      <w:r w:rsidRPr="00A2413E" w:rsidR="00006612">
        <w:rPr>
          <w:color w:val="000000"/>
          <w:szCs w:val="26"/>
        </w:rPr>
        <w:t xml:space="preserve"> (</w:t>
      </w:r>
      <w:r w:rsidRPr="00A2413E" w:rsidR="00006612">
        <w:rPr>
          <w:i/>
          <w:iCs/>
          <w:color w:val="000000"/>
          <w:szCs w:val="26"/>
        </w:rPr>
        <w:t>Myers</w:t>
      </w:r>
      <w:r w:rsidRPr="00071183" w:rsidR="00071183">
        <w:rPr>
          <w:color w:val="000000"/>
          <w:szCs w:val="26"/>
        </w:rPr>
        <w:t>)</w:t>
      </w:r>
      <w:r w:rsidR="00787DC2">
        <w:rPr>
          <w:color w:val="000000"/>
          <w:szCs w:val="26"/>
        </w:rPr>
        <w:t>.)</w:t>
      </w:r>
      <w:r w:rsidR="00A22CE0">
        <w:rPr>
          <w:szCs w:val="26"/>
        </w:rPr>
        <w:t xml:space="preserve">  </w:t>
      </w:r>
      <w:bookmarkEnd w:id="18"/>
      <w:r w:rsidR="00512A89">
        <w:rPr>
          <w:szCs w:val="26"/>
        </w:rPr>
        <w:t xml:space="preserve">The Court of Appeal </w:t>
      </w:r>
      <w:r w:rsidR="0096225C">
        <w:rPr>
          <w:szCs w:val="26"/>
        </w:rPr>
        <w:t>presupposed</w:t>
      </w:r>
      <w:r w:rsidR="00B217BD">
        <w:rPr>
          <w:szCs w:val="26"/>
        </w:rPr>
        <w:t xml:space="preserve"> </w:t>
      </w:r>
      <w:r w:rsidR="000E66E5">
        <w:rPr>
          <w:szCs w:val="26"/>
        </w:rPr>
        <w:t>that applying sections 10113.71 and 10113.72</w:t>
      </w:r>
      <w:r w:rsidR="00B217BD">
        <w:rPr>
          <w:szCs w:val="26"/>
        </w:rPr>
        <w:t xml:space="preserve"> to McHugh’s policy</w:t>
      </w:r>
      <w:r w:rsidR="000E66E5">
        <w:rPr>
          <w:szCs w:val="26"/>
        </w:rPr>
        <w:t xml:space="preserve"> was</w:t>
      </w:r>
      <w:r w:rsidR="00C85FB7">
        <w:rPr>
          <w:szCs w:val="26"/>
        </w:rPr>
        <w:t>, in fact,</w:t>
      </w:r>
      <w:r w:rsidR="000E66E5">
        <w:rPr>
          <w:szCs w:val="26"/>
        </w:rPr>
        <w:t xml:space="preserve"> retroactive</w:t>
      </w:r>
      <w:r w:rsidR="009C2579">
        <w:rPr>
          <w:szCs w:val="26"/>
        </w:rPr>
        <w:t xml:space="preserve"> for purposes of applying the presumption against retroactivity</w:t>
      </w:r>
      <w:r w:rsidR="000E66E5">
        <w:rPr>
          <w:szCs w:val="26"/>
        </w:rPr>
        <w:t xml:space="preserve">.  </w:t>
      </w:r>
      <w:r w:rsidR="0094046B">
        <w:rPr>
          <w:szCs w:val="26"/>
        </w:rPr>
        <w:t xml:space="preserve">Its only </w:t>
      </w:r>
      <w:r w:rsidR="0044178C">
        <w:rPr>
          <w:szCs w:val="26"/>
        </w:rPr>
        <w:t>brush with this</w:t>
      </w:r>
      <w:r w:rsidR="003032A9">
        <w:rPr>
          <w:szCs w:val="26"/>
        </w:rPr>
        <w:t xml:space="preserve"> threshold question</w:t>
      </w:r>
      <w:r w:rsidR="0094046B">
        <w:rPr>
          <w:szCs w:val="26"/>
        </w:rPr>
        <w:t xml:space="preserve"> came toward the end of its </w:t>
      </w:r>
      <w:r w:rsidR="007929F3">
        <w:rPr>
          <w:szCs w:val="26"/>
        </w:rPr>
        <w:t>analysis</w:t>
      </w:r>
      <w:r w:rsidR="003032A9">
        <w:rPr>
          <w:szCs w:val="26"/>
        </w:rPr>
        <w:t>, wh</w:t>
      </w:r>
      <w:r w:rsidR="00AA29F6">
        <w:rPr>
          <w:szCs w:val="26"/>
        </w:rPr>
        <w:t>ere</w:t>
      </w:r>
      <w:r w:rsidR="00675A30">
        <w:rPr>
          <w:szCs w:val="26"/>
        </w:rPr>
        <w:t> </w:t>
      </w:r>
      <w:r w:rsidR="00AA29F6">
        <w:rPr>
          <w:szCs w:val="26"/>
        </w:rPr>
        <w:t>—</w:t>
      </w:r>
      <w:r w:rsidR="004F25D3">
        <w:rPr>
          <w:szCs w:val="26"/>
        </w:rPr>
        <w:t xml:space="preserve"> </w:t>
      </w:r>
      <w:r w:rsidR="0044178C">
        <w:rPr>
          <w:szCs w:val="26"/>
        </w:rPr>
        <w:t xml:space="preserve">seeking to tether </w:t>
      </w:r>
      <w:r w:rsidR="00AA29F6">
        <w:rPr>
          <w:szCs w:val="26"/>
        </w:rPr>
        <w:t xml:space="preserve">its </w:t>
      </w:r>
      <w:r w:rsidR="0044178C">
        <w:rPr>
          <w:szCs w:val="26"/>
        </w:rPr>
        <w:t>statutory analysis to</w:t>
      </w:r>
      <w:r w:rsidR="006E3B6F">
        <w:rPr>
          <w:szCs w:val="26"/>
        </w:rPr>
        <w:t xml:space="preserve"> constitutional principles</w:t>
      </w:r>
      <w:r w:rsidR="00675A30">
        <w:rPr>
          <w:szCs w:val="26"/>
        </w:rPr>
        <w:t> </w:t>
      </w:r>
      <w:r w:rsidR="00AA29F6">
        <w:rPr>
          <w:szCs w:val="26"/>
        </w:rPr>
        <w:t>—</w:t>
      </w:r>
      <w:r w:rsidR="004F25D3">
        <w:rPr>
          <w:szCs w:val="26"/>
        </w:rPr>
        <w:t xml:space="preserve"> </w:t>
      </w:r>
      <w:r w:rsidR="0044178C">
        <w:rPr>
          <w:szCs w:val="26"/>
        </w:rPr>
        <w:t xml:space="preserve">the appellate court </w:t>
      </w:r>
      <w:r w:rsidR="00080913">
        <w:rPr>
          <w:szCs w:val="26"/>
        </w:rPr>
        <w:t>explained that well-settled law dictated that</w:t>
      </w:r>
      <w:r w:rsidR="004D1A30">
        <w:rPr>
          <w:szCs w:val="26"/>
        </w:rPr>
        <w:t xml:space="preserve"> </w:t>
      </w:r>
      <w:r w:rsidR="00080913">
        <w:rPr>
          <w:szCs w:val="26"/>
        </w:rPr>
        <w:t>“</w:t>
      </w:r>
      <w:r w:rsidRPr="00AA29F6" w:rsidR="00AA29F6">
        <w:rPr>
          <w:color w:val="000000"/>
          <w:szCs w:val="27"/>
          <w:shd w:val="clear" w:color="auto" w:fill="FFFFFF"/>
        </w:rPr>
        <w:t>McHugh</w:t>
      </w:r>
      <w:r w:rsidR="00080913">
        <w:rPr>
          <w:color w:val="000000"/>
          <w:szCs w:val="27"/>
          <w:shd w:val="clear" w:color="auto" w:fill="FFFFFF"/>
        </w:rPr>
        <w:t>’</w:t>
      </w:r>
      <w:r w:rsidRPr="00AA29F6" w:rsidR="00AA29F6">
        <w:rPr>
          <w:color w:val="000000"/>
          <w:szCs w:val="27"/>
          <w:shd w:val="clear" w:color="auto" w:fill="FFFFFF"/>
        </w:rPr>
        <w:t>s policy is governed by the regulations in effect when it was issued in 2005, and the subsequently enacted sections 10113.71 and 10113.72 are not incorporated into the policy</w:t>
      </w:r>
      <w:r w:rsidR="004D1A30">
        <w:rPr>
          <w:color w:val="000000"/>
          <w:szCs w:val="27"/>
          <w:shd w:val="clear" w:color="auto" w:fill="FFFFFF"/>
        </w:rPr>
        <w:t>.”</w:t>
      </w:r>
      <w:r w:rsidR="00776856">
        <w:rPr>
          <w:color w:val="000000"/>
          <w:szCs w:val="27"/>
          <w:shd w:val="clear" w:color="auto" w:fill="FFFFFF"/>
        </w:rPr>
        <w:t xml:space="preserve">  (</w:t>
      </w:r>
      <w:r w:rsidRPr="004A1418" w:rsidR="00776856">
        <w:rPr>
          <w:i/>
          <w:iCs/>
          <w:color w:val="000000"/>
          <w:szCs w:val="27"/>
          <w:shd w:val="clear" w:color="auto" w:fill="FFFFFF"/>
        </w:rPr>
        <w:t>McHugh</w:t>
      </w:r>
      <w:r w:rsidR="00776856">
        <w:rPr>
          <w:color w:val="000000"/>
          <w:szCs w:val="27"/>
          <w:shd w:val="clear" w:color="auto" w:fill="FFFFFF"/>
        </w:rPr>
        <w:t xml:space="preserve">, </w:t>
      </w:r>
      <w:r w:rsidRPr="004A1418" w:rsidR="00776856">
        <w:rPr>
          <w:i/>
          <w:iCs/>
          <w:color w:val="000000"/>
          <w:szCs w:val="27"/>
          <w:shd w:val="clear" w:color="auto" w:fill="FFFFFF"/>
        </w:rPr>
        <w:t>supra</w:t>
      </w:r>
      <w:r w:rsidR="00776856">
        <w:rPr>
          <w:color w:val="000000"/>
          <w:szCs w:val="27"/>
          <w:shd w:val="clear" w:color="auto" w:fill="FFFFFF"/>
        </w:rPr>
        <w:t xml:space="preserve">, </w:t>
      </w:r>
      <w:r w:rsidRPr="00A2413E" w:rsidR="007A6A3C">
        <w:t xml:space="preserve">40 Cal.App.5th </w:t>
      </w:r>
      <w:r w:rsidR="00776856">
        <w:rPr>
          <w:color w:val="000000"/>
          <w:szCs w:val="27"/>
          <w:shd w:val="clear" w:color="auto" w:fill="FFFFFF"/>
        </w:rPr>
        <w:t>at p. 1177.)</w:t>
      </w:r>
      <w:r w:rsidR="00D2007D">
        <w:rPr>
          <w:color w:val="000000"/>
          <w:szCs w:val="27"/>
          <w:shd w:val="clear" w:color="auto" w:fill="FFFFFF"/>
        </w:rPr>
        <w:t xml:space="preserve">  </w:t>
      </w:r>
      <w:r w:rsidRPr="00836E65" w:rsidR="00F7496C">
        <w:rPr>
          <w:color w:val="000000"/>
          <w:szCs w:val="27"/>
          <w:shd w:val="clear" w:color="auto" w:fill="FFFFFF"/>
        </w:rPr>
        <w:t xml:space="preserve">The </w:t>
      </w:r>
      <w:r w:rsidRPr="00836E65" w:rsidR="00F94B82">
        <w:rPr>
          <w:color w:val="000000"/>
          <w:szCs w:val="27"/>
          <w:shd w:val="clear" w:color="auto" w:fill="FFFFFF"/>
        </w:rPr>
        <w:t>court’s</w:t>
      </w:r>
      <w:r w:rsidRPr="00836E65" w:rsidR="00D2007D">
        <w:rPr>
          <w:color w:val="000000"/>
          <w:szCs w:val="27"/>
          <w:shd w:val="clear" w:color="auto" w:fill="FFFFFF"/>
        </w:rPr>
        <w:t xml:space="preserve"> </w:t>
      </w:r>
      <w:r w:rsidR="0044178C">
        <w:rPr>
          <w:color w:val="000000"/>
          <w:szCs w:val="27"/>
          <w:shd w:val="clear" w:color="auto" w:fill="FFFFFF"/>
        </w:rPr>
        <w:t>assumption</w:t>
      </w:r>
      <w:r w:rsidRPr="00836E65" w:rsidR="00D2007D">
        <w:rPr>
          <w:color w:val="000000"/>
          <w:szCs w:val="27"/>
          <w:shd w:val="clear" w:color="auto" w:fill="FFFFFF"/>
        </w:rPr>
        <w:t xml:space="preserve"> </w:t>
      </w:r>
      <w:r w:rsidRPr="00836E65" w:rsidR="00F7496C">
        <w:rPr>
          <w:color w:val="000000"/>
          <w:szCs w:val="27"/>
          <w:shd w:val="clear" w:color="auto" w:fill="FFFFFF"/>
        </w:rPr>
        <w:t xml:space="preserve">appears to have been that </w:t>
      </w:r>
      <w:r w:rsidRPr="00836E65" w:rsidR="000C194E">
        <w:rPr>
          <w:color w:val="000000"/>
          <w:szCs w:val="27"/>
          <w:shd w:val="clear" w:color="auto" w:fill="FFFFFF"/>
        </w:rPr>
        <w:t xml:space="preserve">applying the sections </w:t>
      </w:r>
      <w:r w:rsidRPr="00836E65" w:rsidR="009461E0">
        <w:rPr>
          <w:color w:val="000000"/>
          <w:szCs w:val="27"/>
          <w:shd w:val="clear" w:color="auto" w:fill="FFFFFF"/>
        </w:rPr>
        <w:t xml:space="preserve">here was retroactive because they imposed new </w:t>
      </w:r>
      <w:r w:rsidRPr="00836E65">
        <w:rPr>
          <w:color w:val="000000"/>
          <w:szCs w:val="27"/>
          <w:shd w:val="clear" w:color="auto" w:fill="FFFFFF"/>
        </w:rPr>
        <w:t xml:space="preserve">grace period and notice obligations </w:t>
      </w:r>
      <w:r w:rsidR="0044178C">
        <w:rPr>
          <w:color w:val="000000"/>
          <w:szCs w:val="27"/>
          <w:shd w:val="clear" w:color="auto" w:fill="FFFFFF"/>
        </w:rPr>
        <w:t>nowhere found in the 2005 regulations,</w:t>
      </w:r>
      <w:r w:rsidR="00C15563">
        <w:rPr>
          <w:color w:val="000000"/>
          <w:szCs w:val="27"/>
          <w:shd w:val="clear" w:color="auto" w:fill="FFFFFF"/>
        </w:rPr>
        <w:t xml:space="preserve"> which </w:t>
      </w:r>
      <w:r w:rsidR="0044178C">
        <w:rPr>
          <w:color w:val="000000"/>
          <w:szCs w:val="27"/>
          <w:shd w:val="clear" w:color="auto" w:fill="FFFFFF"/>
        </w:rPr>
        <w:t>govern</w:t>
      </w:r>
      <w:r w:rsidR="00C15563">
        <w:rPr>
          <w:color w:val="000000"/>
          <w:szCs w:val="27"/>
          <w:shd w:val="clear" w:color="auto" w:fill="FFFFFF"/>
        </w:rPr>
        <w:t>ed</w:t>
      </w:r>
      <w:r w:rsidRPr="00836E65">
        <w:rPr>
          <w:color w:val="000000"/>
          <w:szCs w:val="27"/>
          <w:shd w:val="clear" w:color="auto" w:fill="FFFFFF"/>
        </w:rPr>
        <w:t xml:space="preserve"> </w:t>
      </w:r>
      <w:r w:rsidRPr="00836E65" w:rsidR="000C194E">
        <w:rPr>
          <w:color w:val="000000"/>
          <w:szCs w:val="27"/>
          <w:shd w:val="clear" w:color="auto" w:fill="FFFFFF"/>
        </w:rPr>
        <w:t xml:space="preserve">already-existing </w:t>
      </w:r>
      <w:r w:rsidR="0044178C">
        <w:rPr>
          <w:color w:val="000000"/>
          <w:szCs w:val="27"/>
          <w:shd w:val="clear" w:color="auto" w:fill="FFFFFF"/>
        </w:rPr>
        <w:t>policies</w:t>
      </w:r>
      <w:r w:rsidRPr="00836E65" w:rsidR="0044178C">
        <w:rPr>
          <w:color w:val="000000"/>
          <w:szCs w:val="27"/>
          <w:shd w:val="clear" w:color="auto" w:fill="FFFFFF"/>
        </w:rPr>
        <w:t xml:space="preserve"> </w:t>
      </w:r>
      <w:r w:rsidR="00C15563">
        <w:rPr>
          <w:color w:val="000000"/>
          <w:szCs w:val="27"/>
          <w:shd w:val="clear" w:color="auto" w:fill="FFFFFF"/>
        </w:rPr>
        <w:t xml:space="preserve">and </w:t>
      </w:r>
      <w:r w:rsidRPr="00836E65" w:rsidR="000E6A9B">
        <w:rPr>
          <w:color w:val="000000"/>
          <w:szCs w:val="27"/>
          <w:shd w:val="clear" w:color="auto" w:fill="FFFFFF"/>
        </w:rPr>
        <w:t>lacked</w:t>
      </w:r>
      <w:r w:rsidRPr="00836E65" w:rsidR="00401D19">
        <w:rPr>
          <w:color w:val="000000"/>
          <w:szCs w:val="27"/>
          <w:shd w:val="clear" w:color="auto" w:fill="FFFFFF"/>
        </w:rPr>
        <w:t xml:space="preserve"> </w:t>
      </w:r>
      <w:r w:rsidR="0044178C">
        <w:rPr>
          <w:color w:val="000000"/>
          <w:szCs w:val="27"/>
          <w:shd w:val="clear" w:color="auto" w:fill="FFFFFF"/>
        </w:rPr>
        <w:t>these grace period and notice</w:t>
      </w:r>
      <w:r w:rsidRPr="00836E65" w:rsidR="0044178C">
        <w:rPr>
          <w:color w:val="000000"/>
          <w:szCs w:val="27"/>
          <w:shd w:val="clear" w:color="auto" w:fill="FFFFFF"/>
        </w:rPr>
        <w:t xml:space="preserve"> </w:t>
      </w:r>
      <w:r w:rsidRPr="00836E65" w:rsidR="00401D19">
        <w:rPr>
          <w:color w:val="000000"/>
          <w:szCs w:val="27"/>
          <w:shd w:val="clear" w:color="auto" w:fill="FFFFFF"/>
        </w:rPr>
        <w:t>requirements.</w:t>
      </w:r>
    </w:p>
    <w:p w:rsidR="002B217D" w:rsidP="00954A71" w14:paraId="180DE20A" w14:textId="7501CFEA">
      <w:pPr>
        <w:ind w:firstLine="720"/>
        <w:rPr>
          <w:color w:val="000000"/>
          <w:szCs w:val="27"/>
          <w:shd w:val="clear" w:color="auto" w:fill="FFFFFF"/>
        </w:rPr>
      </w:pPr>
      <w:r>
        <w:rPr>
          <w:color w:val="000000"/>
          <w:szCs w:val="27"/>
          <w:shd w:val="clear" w:color="auto" w:fill="FFFFFF"/>
        </w:rPr>
        <w:t>Applying the presumption</w:t>
      </w:r>
      <w:r w:rsidR="00057162">
        <w:rPr>
          <w:color w:val="000000"/>
          <w:szCs w:val="27"/>
          <w:shd w:val="clear" w:color="auto" w:fill="FFFFFF"/>
        </w:rPr>
        <w:t xml:space="preserve"> against retroactivity, the court </w:t>
      </w:r>
      <w:r w:rsidR="0044178C">
        <w:rPr>
          <w:color w:val="000000"/>
          <w:szCs w:val="27"/>
          <w:shd w:val="clear" w:color="auto" w:fill="FFFFFF"/>
        </w:rPr>
        <w:t xml:space="preserve">emphasized what it took to be the principle’s </w:t>
      </w:r>
      <w:r w:rsidR="00566B29">
        <w:rPr>
          <w:color w:val="000000"/>
          <w:szCs w:val="27"/>
          <w:shd w:val="clear" w:color="auto" w:fill="FFFFFF"/>
        </w:rPr>
        <w:t>requirements</w:t>
      </w:r>
      <w:r w:rsidR="00DE7A31">
        <w:rPr>
          <w:color w:val="000000"/>
          <w:szCs w:val="27"/>
          <w:shd w:val="clear" w:color="auto" w:fill="FFFFFF"/>
        </w:rPr>
        <w:t> </w:t>
      </w:r>
      <w:r w:rsidR="00566B29">
        <w:rPr>
          <w:color w:val="000000"/>
          <w:szCs w:val="27"/>
          <w:shd w:val="clear" w:color="auto" w:fill="FFFFFF"/>
        </w:rPr>
        <w:t>—</w:t>
      </w:r>
      <w:r w:rsidR="004F25D3">
        <w:rPr>
          <w:color w:val="000000"/>
          <w:szCs w:val="27"/>
          <w:shd w:val="clear" w:color="auto" w:fill="FFFFFF"/>
        </w:rPr>
        <w:t xml:space="preserve"> </w:t>
      </w:r>
      <w:r w:rsidR="00566B29">
        <w:rPr>
          <w:color w:val="000000"/>
          <w:szCs w:val="27"/>
          <w:shd w:val="clear" w:color="auto" w:fill="FFFFFF"/>
        </w:rPr>
        <w:t xml:space="preserve">that </w:t>
      </w:r>
      <w:r w:rsidRPr="004A3DBA" w:rsidR="005A2D83">
        <w:rPr>
          <w:color w:val="000000"/>
          <w:szCs w:val="27"/>
          <w:shd w:val="clear" w:color="auto" w:fill="FFFFFF"/>
        </w:rPr>
        <w:t>“</w:t>
      </w:r>
      <w:r w:rsidR="005F1F09">
        <w:rPr>
          <w:color w:val="000000"/>
          <w:szCs w:val="27"/>
          <w:shd w:val="clear" w:color="auto" w:fill="FFFFFF"/>
        </w:rPr>
        <w:t> </w:t>
      </w:r>
      <w:r w:rsidR="00071183">
        <w:rPr>
          <w:color w:val="000000"/>
          <w:szCs w:val="27"/>
          <w:shd w:val="clear" w:color="auto" w:fill="FFFFFF"/>
        </w:rPr>
        <w:t>‘</w:t>
      </w:r>
      <w:r w:rsidRPr="004A3DBA" w:rsidR="005A2D83">
        <w:rPr>
          <w:color w:val="000000"/>
          <w:szCs w:val="27"/>
          <w:shd w:val="clear" w:color="auto" w:fill="FFFFFF"/>
        </w:rPr>
        <w:t xml:space="preserve">a statute may be applied retroactively only if it contains express language of retroactivity </w:t>
      </w:r>
      <w:r w:rsidRPr="00357EB9" w:rsidR="005A2D83">
        <w:rPr>
          <w:i/>
          <w:color w:val="000000"/>
          <w:shd w:val="clear" w:color="auto" w:fill="FFFFFF"/>
        </w:rPr>
        <w:t>or</w:t>
      </w:r>
      <w:r w:rsidRPr="00071183" w:rsidR="005A2D83">
        <w:rPr>
          <w:i/>
          <w:iCs/>
          <w:color w:val="000000"/>
          <w:szCs w:val="27"/>
          <w:shd w:val="clear" w:color="auto" w:fill="FFFFFF"/>
        </w:rPr>
        <w:t xml:space="preserve"> </w:t>
      </w:r>
      <w:r w:rsidRPr="004A3DBA" w:rsidR="005A2D83">
        <w:rPr>
          <w:color w:val="000000"/>
          <w:szCs w:val="27"/>
          <w:shd w:val="clear" w:color="auto" w:fill="FFFFFF"/>
        </w:rPr>
        <w:t>if other sources provide a clear and unavoidable implication that the Legislature intended retroactive application</w:t>
      </w:r>
      <w:r w:rsidR="0044178C">
        <w:rPr>
          <w:color w:val="000000"/>
          <w:szCs w:val="27"/>
          <w:shd w:val="clear" w:color="auto" w:fill="FFFFFF"/>
        </w:rPr>
        <w:t>.</w:t>
      </w:r>
      <w:r w:rsidR="00071183">
        <w:rPr>
          <w:color w:val="000000"/>
          <w:szCs w:val="27"/>
          <w:shd w:val="clear" w:color="auto" w:fill="FFFFFF"/>
        </w:rPr>
        <w:t>’</w:t>
      </w:r>
      <w:r w:rsidR="005F1F09">
        <w:rPr>
          <w:color w:val="000000"/>
          <w:szCs w:val="27"/>
          <w:shd w:val="clear" w:color="auto" w:fill="FFFFFF"/>
        </w:rPr>
        <w:t> </w:t>
      </w:r>
      <w:r w:rsidRPr="004A3DBA" w:rsidR="005A2D83">
        <w:rPr>
          <w:color w:val="000000"/>
          <w:szCs w:val="27"/>
          <w:shd w:val="clear" w:color="auto" w:fill="FFFFFF"/>
        </w:rPr>
        <w:t>”</w:t>
      </w:r>
      <w:r w:rsidR="001362BF">
        <w:rPr>
          <w:color w:val="000000"/>
          <w:szCs w:val="27"/>
          <w:shd w:val="clear" w:color="auto" w:fill="FFFFFF"/>
        </w:rPr>
        <w:t xml:space="preserve">  (</w:t>
      </w:r>
      <w:r w:rsidRPr="00612B43" w:rsidR="001362BF">
        <w:rPr>
          <w:i/>
          <w:iCs/>
          <w:szCs w:val="26"/>
        </w:rPr>
        <w:t>McHugh</w:t>
      </w:r>
      <w:r w:rsidR="001362BF">
        <w:rPr>
          <w:szCs w:val="26"/>
        </w:rPr>
        <w:t xml:space="preserve">, </w:t>
      </w:r>
      <w:r w:rsidRPr="00612B43" w:rsidR="001362BF">
        <w:rPr>
          <w:i/>
          <w:iCs/>
          <w:szCs w:val="26"/>
        </w:rPr>
        <w:t>supra</w:t>
      </w:r>
      <w:r w:rsidR="001362BF">
        <w:rPr>
          <w:szCs w:val="26"/>
        </w:rPr>
        <w:t xml:space="preserve">, 40 Cal.App.5th at p. 1174, quoting </w:t>
      </w:r>
      <w:r w:rsidRPr="00071183" w:rsidR="001362BF">
        <w:rPr>
          <w:i/>
          <w:iCs/>
          <w:szCs w:val="26"/>
        </w:rPr>
        <w:t>Myers</w:t>
      </w:r>
      <w:r w:rsidR="001362BF">
        <w:rPr>
          <w:szCs w:val="26"/>
        </w:rPr>
        <w:t xml:space="preserve">, </w:t>
      </w:r>
      <w:r w:rsidRPr="00613BFE" w:rsidR="001362BF">
        <w:rPr>
          <w:i/>
          <w:iCs/>
          <w:szCs w:val="26"/>
        </w:rPr>
        <w:t>supra</w:t>
      </w:r>
      <w:r w:rsidR="001362BF">
        <w:rPr>
          <w:szCs w:val="26"/>
        </w:rPr>
        <w:t>, 28 Cal.4th at p. 844</w:t>
      </w:r>
      <w:r w:rsidRPr="00001076" w:rsidR="001362BF">
        <w:rPr>
          <w:szCs w:val="26"/>
        </w:rPr>
        <w:t xml:space="preserve">, italics added by </w:t>
      </w:r>
      <w:r w:rsidRPr="00001076" w:rsidR="001362BF">
        <w:rPr>
          <w:i/>
          <w:iCs/>
          <w:szCs w:val="26"/>
        </w:rPr>
        <w:t>Myers</w:t>
      </w:r>
      <w:r w:rsidR="001362BF">
        <w:rPr>
          <w:szCs w:val="26"/>
        </w:rPr>
        <w:t>.)</w:t>
      </w:r>
      <w:r w:rsidR="00DE7A31">
        <w:rPr>
          <w:color w:val="000000"/>
          <w:szCs w:val="27"/>
          <w:shd w:val="clear" w:color="auto" w:fill="FFFFFF"/>
        </w:rPr>
        <w:t> </w:t>
      </w:r>
      <w:r w:rsidR="0044178C">
        <w:rPr>
          <w:color w:val="000000"/>
          <w:szCs w:val="27"/>
          <w:shd w:val="clear" w:color="auto" w:fill="FFFFFF"/>
        </w:rPr>
        <w:t xml:space="preserve"> It then concluded that there was no basis to rebut the presumption</w:t>
      </w:r>
      <w:r w:rsidR="005A2D83">
        <w:rPr>
          <w:color w:val="000000"/>
          <w:szCs w:val="27"/>
          <w:shd w:val="clear" w:color="auto" w:fill="FFFFFF"/>
        </w:rPr>
        <w:t xml:space="preserve">.  </w:t>
      </w:r>
      <w:r w:rsidR="001362BF">
        <w:rPr>
          <w:color w:val="000000"/>
          <w:szCs w:val="27"/>
          <w:shd w:val="clear" w:color="auto" w:fill="FFFFFF"/>
        </w:rPr>
        <w:t>(</w:t>
      </w:r>
      <w:r w:rsidRPr="001362BF" w:rsidR="001362BF">
        <w:rPr>
          <w:i/>
          <w:iCs/>
          <w:color w:val="000000"/>
          <w:szCs w:val="27"/>
          <w:shd w:val="clear" w:color="auto" w:fill="FFFFFF"/>
        </w:rPr>
        <w:t>McHugh</w:t>
      </w:r>
      <w:r w:rsidR="001362BF">
        <w:rPr>
          <w:color w:val="000000"/>
          <w:szCs w:val="27"/>
          <w:shd w:val="clear" w:color="auto" w:fill="FFFFFF"/>
        </w:rPr>
        <w:t>, at p. 1174.)</w:t>
      </w:r>
    </w:p>
    <w:p w:rsidR="004D4147" w:rsidP="00D80A49" w14:paraId="3E1C3B5B" w14:textId="6E463845">
      <w:pPr>
        <w:ind w:firstLine="720"/>
      </w:pPr>
      <w:r>
        <w:rPr>
          <w:color w:val="000000"/>
          <w:szCs w:val="27"/>
          <w:shd w:val="clear" w:color="auto" w:fill="FFFFFF"/>
        </w:rPr>
        <w:t xml:space="preserve">Protective Life </w:t>
      </w:r>
      <w:r w:rsidR="001D6170">
        <w:rPr>
          <w:color w:val="000000"/>
          <w:szCs w:val="27"/>
          <w:shd w:val="clear" w:color="auto" w:fill="FFFFFF"/>
        </w:rPr>
        <w:t xml:space="preserve">reiterates </w:t>
      </w:r>
      <w:r w:rsidR="00DA1D06">
        <w:rPr>
          <w:color w:val="000000"/>
          <w:szCs w:val="27"/>
          <w:shd w:val="clear" w:color="auto" w:fill="FFFFFF"/>
        </w:rPr>
        <w:t xml:space="preserve">and expands upon </w:t>
      </w:r>
      <w:r w:rsidR="001D6170">
        <w:rPr>
          <w:color w:val="000000"/>
          <w:szCs w:val="27"/>
          <w:shd w:val="clear" w:color="auto" w:fill="FFFFFF"/>
        </w:rPr>
        <w:t>th</w:t>
      </w:r>
      <w:r w:rsidR="0038769B">
        <w:rPr>
          <w:color w:val="000000"/>
          <w:szCs w:val="27"/>
          <w:shd w:val="clear" w:color="auto" w:fill="FFFFFF"/>
        </w:rPr>
        <w:t>e Court of Appeal’s</w:t>
      </w:r>
      <w:r w:rsidR="001D6170">
        <w:rPr>
          <w:color w:val="000000"/>
          <w:szCs w:val="27"/>
          <w:shd w:val="clear" w:color="auto" w:fill="FFFFFF"/>
        </w:rPr>
        <w:t xml:space="preserve"> </w:t>
      </w:r>
      <w:r w:rsidR="0038769B">
        <w:rPr>
          <w:color w:val="000000"/>
          <w:szCs w:val="27"/>
          <w:shd w:val="clear" w:color="auto" w:fill="FFFFFF"/>
        </w:rPr>
        <w:t xml:space="preserve">analysis. </w:t>
      </w:r>
      <w:r w:rsidR="001D6170">
        <w:rPr>
          <w:color w:val="000000"/>
          <w:szCs w:val="27"/>
          <w:shd w:val="clear" w:color="auto" w:fill="FFFFFF"/>
        </w:rPr>
        <w:t xml:space="preserve"> </w:t>
      </w:r>
      <w:r w:rsidR="00DC47A8">
        <w:rPr>
          <w:color w:val="000000"/>
          <w:szCs w:val="27"/>
          <w:shd w:val="clear" w:color="auto" w:fill="FFFFFF"/>
        </w:rPr>
        <w:t xml:space="preserve">Regarding </w:t>
      </w:r>
      <w:r w:rsidR="00433472">
        <w:rPr>
          <w:color w:val="000000"/>
          <w:szCs w:val="27"/>
          <w:shd w:val="clear" w:color="auto" w:fill="FFFFFF"/>
        </w:rPr>
        <w:t>whether we face a question of “retroactivity”:</w:t>
      </w:r>
      <w:r w:rsidR="00DC47A8">
        <w:rPr>
          <w:color w:val="000000"/>
          <w:szCs w:val="27"/>
          <w:shd w:val="clear" w:color="auto" w:fill="FFFFFF"/>
        </w:rPr>
        <w:t xml:space="preserve"> </w:t>
      </w:r>
      <w:r w:rsidR="00167352">
        <w:rPr>
          <w:color w:val="000000"/>
          <w:szCs w:val="27"/>
          <w:shd w:val="clear" w:color="auto" w:fill="FFFFFF"/>
        </w:rPr>
        <w:t xml:space="preserve"> </w:t>
      </w:r>
      <w:r w:rsidR="00433472">
        <w:rPr>
          <w:color w:val="000000"/>
          <w:szCs w:val="27"/>
          <w:shd w:val="clear" w:color="auto" w:fill="FFFFFF"/>
        </w:rPr>
        <w:t>Protective Life i</w:t>
      </w:r>
      <w:r w:rsidR="0018075F">
        <w:rPr>
          <w:color w:val="000000"/>
          <w:szCs w:val="27"/>
          <w:shd w:val="clear" w:color="auto" w:fill="FFFFFF"/>
        </w:rPr>
        <w:t>nvok</w:t>
      </w:r>
      <w:r w:rsidR="00433472">
        <w:rPr>
          <w:color w:val="000000"/>
          <w:szCs w:val="27"/>
          <w:shd w:val="clear" w:color="auto" w:fill="FFFFFF"/>
        </w:rPr>
        <w:t>es</w:t>
      </w:r>
      <w:r w:rsidR="0018075F">
        <w:rPr>
          <w:color w:val="000000"/>
          <w:szCs w:val="27"/>
          <w:shd w:val="clear" w:color="auto" w:fill="FFFFFF"/>
        </w:rPr>
        <w:t xml:space="preserve"> </w:t>
      </w:r>
      <w:r w:rsidRPr="00DA1D06" w:rsidR="0018075F">
        <w:rPr>
          <w:i/>
          <w:iCs/>
          <w:color w:val="000000"/>
          <w:szCs w:val="27"/>
          <w:shd w:val="clear" w:color="auto" w:fill="FFFFFF"/>
        </w:rPr>
        <w:t>Interinsurance</w:t>
      </w:r>
      <w:r w:rsidRPr="00DA1D06" w:rsidR="00DA1D06">
        <w:rPr>
          <w:i/>
          <w:iCs/>
          <w:color w:val="000000"/>
          <w:szCs w:val="27"/>
          <w:shd w:val="clear" w:color="auto" w:fill="FFFFFF"/>
        </w:rPr>
        <w:t xml:space="preserve"> Exchange</w:t>
      </w:r>
      <w:r w:rsidR="00DA1D06">
        <w:rPr>
          <w:color w:val="000000"/>
          <w:szCs w:val="27"/>
          <w:shd w:val="clear" w:color="auto" w:fill="FFFFFF"/>
        </w:rPr>
        <w:t xml:space="preserve">, </w:t>
      </w:r>
      <w:r w:rsidRPr="00DA1D06" w:rsidR="00DA1D06">
        <w:rPr>
          <w:i/>
          <w:iCs/>
          <w:color w:val="000000"/>
          <w:szCs w:val="27"/>
          <w:shd w:val="clear" w:color="auto" w:fill="FFFFFF"/>
        </w:rPr>
        <w:t>supra</w:t>
      </w:r>
      <w:r w:rsidR="00DA1D06">
        <w:rPr>
          <w:color w:val="000000"/>
          <w:szCs w:val="27"/>
          <w:shd w:val="clear" w:color="auto" w:fill="FFFFFF"/>
        </w:rPr>
        <w:t xml:space="preserve">, 58 Cal.2d at page 148 </w:t>
      </w:r>
      <w:r w:rsidRPr="00836E65" w:rsidR="00433472">
        <w:rPr>
          <w:color w:val="000000"/>
          <w:szCs w:val="27"/>
          <w:shd w:val="clear" w:color="auto" w:fill="FFFFFF"/>
        </w:rPr>
        <w:t>to urge</w:t>
      </w:r>
      <w:r w:rsidRPr="00836E65" w:rsidR="00DA1D06">
        <w:rPr>
          <w:color w:val="000000"/>
          <w:szCs w:val="27"/>
          <w:shd w:val="clear" w:color="auto" w:fill="FFFFFF"/>
        </w:rPr>
        <w:t xml:space="preserve"> that </w:t>
      </w:r>
      <w:r w:rsidRPr="00836E65" w:rsidR="00DA1D06">
        <w:t>reading the grace period and notice protections into McHugh’s policy would be a retroactive application</w:t>
      </w:r>
      <w:r w:rsidRPr="00836E65" w:rsidR="00CF2D15">
        <w:t xml:space="preserve">, since </w:t>
      </w:r>
      <w:r w:rsidRPr="00836E65" w:rsidR="00DA1D06">
        <w:t xml:space="preserve">insurance policies are </w:t>
      </w:r>
      <w:r w:rsidR="0044178C">
        <w:t xml:space="preserve">putatively </w:t>
      </w:r>
      <w:r w:rsidRPr="00836E65" w:rsidR="00DA1D06">
        <w:t xml:space="preserve">governed by the law in effect when they are issued.  </w:t>
      </w:r>
      <w:bookmarkStart w:id="19" w:name="_Hlk74832038"/>
      <w:r w:rsidRPr="00836E65" w:rsidR="00DA1D06">
        <w:t xml:space="preserve">Because no statutory law pre-2013 </w:t>
      </w:r>
      <w:r w:rsidRPr="00836E65" w:rsidR="00B87BA5">
        <w:t>created</w:t>
      </w:r>
      <w:r w:rsidRPr="00836E65" w:rsidR="00DA1D06">
        <w:t xml:space="preserve"> grace period and notice requirements related to missed life insurance premiums, </w:t>
      </w:r>
      <w:r w:rsidRPr="00836E65" w:rsidR="00EA021F">
        <w:t>what Pro</w:t>
      </w:r>
      <w:r w:rsidRPr="00836E65" w:rsidR="00A97629">
        <w:t>tective Life</w:t>
      </w:r>
      <w:r w:rsidRPr="00836E65" w:rsidR="00EA021F">
        <w:t xml:space="preserve"> is arguing, then, is that the </w:t>
      </w:r>
      <w:r w:rsidRPr="00836E65" w:rsidR="00EA021F">
        <w:rPr>
          <w:i/>
          <w:iCs/>
        </w:rPr>
        <w:t>absence</w:t>
      </w:r>
      <w:r w:rsidRPr="00836E65" w:rsidR="00EA021F">
        <w:t xml:space="preserve"> of regulation should be read into McHugh’s policy</w:t>
      </w:r>
      <w:bookmarkStart w:id="20" w:name="_Hlk74832068"/>
      <w:r w:rsidRPr="00836E65" w:rsidR="004B1191">
        <w:t xml:space="preserve">, and that holding otherwise would be to rewrite </w:t>
      </w:r>
      <w:r w:rsidRPr="00836E65" w:rsidR="007F7CF6">
        <w:t>the</w:t>
      </w:r>
      <w:r w:rsidRPr="00836E65" w:rsidR="004B1191">
        <w:t xml:space="preserve"> policy</w:t>
      </w:r>
      <w:r w:rsidRPr="00836E65" w:rsidR="00EA021F">
        <w:t>.</w:t>
      </w:r>
      <w:r w:rsidR="0037774D">
        <w:t xml:space="preserve">  </w:t>
      </w:r>
    </w:p>
    <w:p w:rsidR="004D4147" w:rsidP="00D80A49" w14:paraId="2114B22C" w14:textId="11694820">
      <w:pPr>
        <w:ind w:firstLine="720"/>
        <w:rPr>
          <w:szCs w:val="26"/>
        </w:rPr>
      </w:pPr>
      <w:r>
        <w:rPr>
          <w:szCs w:val="26"/>
        </w:rPr>
        <w:t xml:space="preserve">Plaintiffs </w:t>
      </w:r>
      <w:r w:rsidR="00287ABD">
        <w:rPr>
          <w:szCs w:val="26"/>
        </w:rPr>
        <w:t xml:space="preserve">argue, however, </w:t>
      </w:r>
      <w:r>
        <w:rPr>
          <w:szCs w:val="26"/>
        </w:rPr>
        <w:t xml:space="preserve">that </w:t>
      </w:r>
      <w:r w:rsidR="005C795C">
        <w:rPr>
          <w:szCs w:val="26"/>
        </w:rPr>
        <w:t xml:space="preserve">this </w:t>
      </w:r>
      <w:r w:rsidR="002E2247">
        <w:rPr>
          <w:szCs w:val="26"/>
        </w:rPr>
        <w:t xml:space="preserve">case </w:t>
      </w:r>
      <w:r w:rsidR="005C795C">
        <w:rPr>
          <w:szCs w:val="26"/>
        </w:rPr>
        <w:t xml:space="preserve">involves </w:t>
      </w:r>
      <w:r w:rsidR="00611954">
        <w:rPr>
          <w:szCs w:val="26"/>
        </w:rPr>
        <w:t>an entirely prospective statutory application</w:t>
      </w:r>
      <w:r w:rsidR="00546CD2">
        <w:rPr>
          <w:szCs w:val="26"/>
        </w:rPr>
        <w:t xml:space="preserve"> because</w:t>
      </w:r>
      <w:r w:rsidR="00CE3D72">
        <w:rPr>
          <w:szCs w:val="26"/>
        </w:rPr>
        <w:t xml:space="preserve"> </w:t>
      </w:r>
      <w:r w:rsidR="00546CD2">
        <w:rPr>
          <w:szCs w:val="26"/>
        </w:rPr>
        <w:t xml:space="preserve">they </w:t>
      </w:r>
      <w:r w:rsidR="003558EE">
        <w:rPr>
          <w:szCs w:val="26"/>
        </w:rPr>
        <w:t>seek no more than application of</w:t>
      </w:r>
      <w:r w:rsidR="00A13F94">
        <w:rPr>
          <w:szCs w:val="26"/>
        </w:rPr>
        <w:t xml:space="preserve"> the </w:t>
      </w:r>
      <w:r w:rsidR="007E3DA5">
        <w:rPr>
          <w:szCs w:val="26"/>
        </w:rPr>
        <w:t xml:space="preserve">grace period and notice </w:t>
      </w:r>
      <w:r w:rsidR="009966BB">
        <w:rPr>
          <w:szCs w:val="26"/>
        </w:rPr>
        <w:t xml:space="preserve">requirements </w:t>
      </w:r>
      <w:r w:rsidR="005B31F4">
        <w:rPr>
          <w:szCs w:val="26"/>
        </w:rPr>
        <w:t xml:space="preserve">to </w:t>
      </w:r>
      <w:r w:rsidR="008978E6">
        <w:rPr>
          <w:szCs w:val="26"/>
        </w:rPr>
        <w:t>missed premium payments occurring</w:t>
      </w:r>
      <w:r w:rsidR="00F07531">
        <w:rPr>
          <w:szCs w:val="26"/>
        </w:rPr>
        <w:t xml:space="preserve"> </w:t>
      </w:r>
      <w:r w:rsidRPr="00AF7782" w:rsidR="005B31F4">
        <w:rPr>
          <w:i/>
          <w:iCs/>
          <w:szCs w:val="26"/>
        </w:rPr>
        <w:t>after</w:t>
      </w:r>
      <w:r w:rsidR="005B31F4">
        <w:rPr>
          <w:szCs w:val="26"/>
        </w:rPr>
        <w:t xml:space="preserve"> </w:t>
      </w:r>
      <w:r w:rsidRPr="00B64ED7" w:rsidR="005B31F4">
        <w:rPr>
          <w:szCs w:val="26"/>
        </w:rPr>
        <w:t>sections</w:t>
      </w:r>
      <w:r w:rsidR="00AF7782">
        <w:rPr>
          <w:szCs w:val="26"/>
        </w:rPr>
        <w:t xml:space="preserve"> 10113.71 and 10113.72</w:t>
      </w:r>
      <w:r w:rsidRPr="00B64ED7" w:rsidR="005B31F4">
        <w:rPr>
          <w:szCs w:val="26"/>
        </w:rPr>
        <w:t xml:space="preserve"> went into effect.</w:t>
      </w:r>
      <w:r w:rsidRPr="00B64ED7" w:rsidR="009966BB">
        <w:rPr>
          <w:szCs w:val="26"/>
        </w:rPr>
        <w:t xml:space="preserve"> </w:t>
      </w:r>
      <w:r w:rsidRPr="00B64ED7" w:rsidR="00D222F9">
        <w:rPr>
          <w:szCs w:val="26"/>
        </w:rPr>
        <w:t xml:space="preserve"> </w:t>
      </w:r>
      <w:bookmarkEnd w:id="19"/>
      <w:r w:rsidR="00F959F4">
        <w:rPr>
          <w:szCs w:val="26"/>
        </w:rPr>
        <w:t>In other words</w:t>
      </w:r>
      <w:r w:rsidR="007B2D96">
        <w:rPr>
          <w:szCs w:val="26"/>
        </w:rPr>
        <w:t xml:space="preserve">, </w:t>
      </w:r>
      <w:r w:rsidR="0066674A">
        <w:rPr>
          <w:szCs w:val="26"/>
        </w:rPr>
        <w:t>plaintiffs</w:t>
      </w:r>
      <w:r w:rsidR="007B2D96">
        <w:rPr>
          <w:szCs w:val="26"/>
        </w:rPr>
        <w:t xml:space="preserve"> argue that </w:t>
      </w:r>
      <w:r w:rsidR="00E05C8F">
        <w:rPr>
          <w:szCs w:val="26"/>
        </w:rPr>
        <w:t>this case merely concerns</w:t>
      </w:r>
      <w:r w:rsidR="00152EAB">
        <w:rPr>
          <w:szCs w:val="26"/>
        </w:rPr>
        <w:t xml:space="preserve"> Protective Life’s </w:t>
      </w:r>
      <w:r w:rsidRPr="00001076" w:rsidR="00E05C8F">
        <w:rPr>
          <w:i/>
          <w:iCs/>
          <w:szCs w:val="26"/>
        </w:rPr>
        <w:t>postenactment</w:t>
      </w:r>
      <w:r w:rsidRPr="00636797" w:rsidR="00E05C8F">
        <w:rPr>
          <w:i/>
          <w:iCs/>
          <w:szCs w:val="26"/>
        </w:rPr>
        <w:t xml:space="preserve"> </w:t>
      </w:r>
      <w:r w:rsidRPr="00636797" w:rsidR="00152EAB">
        <w:rPr>
          <w:i/>
          <w:iCs/>
          <w:szCs w:val="26"/>
        </w:rPr>
        <w:t>conduct</w:t>
      </w:r>
      <w:r w:rsidR="00152EAB">
        <w:rPr>
          <w:szCs w:val="26"/>
        </w:rPr>
        <w:t xml:space="preserve"> with respect to policies in force as of January 1, 2013.</w:t>
      </w:r>
      <w:r w:rsidR="00B117F6">
        <w:rPr>
          <w:szCs w:val="26"/>
        </w:rPr>
        <w:t xml:space="preserve">  </w:t>
      </w:r>
      <w:r w:rsidR="002B28E8">
        <w:t xml:space="preserve">They contend that this </w:t>
      </w:r>
      <w:r w:rsidR="00E05C8F">
        <w:t xml:space="preserve">statutory </w:t>
      </w:r>
      <w:r w:rsidR="002B28E8">
        <w:t xml:space="preserve">application is not “retroactive” </w:t>
      </w:r>
      <w:r w:rsidR="00AB406B">
        <w:t xml:space="preserve">at all </w:t>
      </w:r>
      <w:r w:rsidR="002B28E8">
        <w:t>because it does not materially alter the contractual agreement memorialized in McHugh’s policy</w:t>
      </w:r>
      <w:r w:rsidR="002F639F">
        <w:t>, and similarly situated policies,</w:t>
      </w:r>
      <w:r w:rsidR="002B28E8">
        <w:t xml:space="preserve"> in a way that unfairly undermines the parties’ reliance interests.</w:t>
      </w:r>
      <w:r w:rsidR="00D80A49">
        <w:rPr>
          <w:szCs w:val="26"/>
        </w:rPr>
        <w:t xml:space="preserve">  </w:t>
      </w:r>
      <w:r>
        <w:rPr>
          <w:szCs w:val="26"/>
        </w:rPr>
        <w:t>In the alternative, plaintiffs argue that this statutory application does not implicate principles of retroactivity because any retroactive effect</w:t>
      </w:r>
      <w:r w:rsidR="00EA7259">
        <w:rPr>
          <w:szCs w:val="26"/>
        </w:rPr>
        <w:t xml:space="preserve"> here</w:t>
      </w:r>
      <w:r>
        <w:rPr>
          <w:szCs w:val="26"/>
        </w:rPr>
        <w:t xml:space="preserve"> is minimal and will not substantially impair any vested contractual rights.  </w:t>
      </w:r>
    </w:p>
    <w:p w:rsidR="00D24C27" w:rsidRPr="00647B36" w:rsidP="00D80A49" w14:paraId="792FFB45" w14:textId="57BC6FD7">
      <w:pPr>
        <w:ind w:firstLine="720"/>
        <w:rPr>
          <w:szCs w:val="26"/>
        </w:rPr>
      </w:pPr>
      <w:r>
        <w:rPr>
          <w:szCs w:val="26"/>
        </w:rPr>
        <w:t xml:space="preserve">We </w:t>
      </w:r>
      <w:bookmarkEnd w:id="20"/>
      <w:r w:rsidR="0044178C">
        <w:rPr>
          <w:szCs w:val="26"/>
        </w:rPr>
        <w:t xml:space="preserve">find support for both of plaintiffs’ arguments. </w:t>
      </w:r>
      <w:r w:rsidR="004D0E1A">
        <w:rPr>
          <w:szCs w:val="26"/>
        </w:rPr>
        <w:t xml:space="preserve"> </w:t>
      </w:r>
      <w:r w:rsidR="0044178C">
        <w:rPr>
          <w:szCs w:val="26"/>
        </w:rPr>
        <w:t xml:space="preserve">Our previous decisions buttress plaintiffs’ understanding of the </w:t>
      </w:r>
      <w:r w:rsidRPr="00647B36" w:rsidR="00657FED">
        <w:rPr>
          <w:szCs w:val="26"/>
        </w:rPr>
        <w:t>presumption against retroactivity</w:t>
      </w:r>
      <w:r w:rsidR="0044178C">
        <w:rPr>
          <w:szCs w:val="26"/>
        </w:rPr>
        <w:t xml:space="preserve">, </w:t>
      </w:r>
      <w:r w:rsidRPr="00647B36" w:rsidR="00EA7259">
        <w:rPr>
          <w:szCs w:val="26"/>
        </w:rPr>
        <w:t xml:space="preserve"> and </w:t>
      </w:r>
      <w:r w:rsidR="0044178C">
        <w:rPr>
          <w:szCs w:val="26"/>
        </w:rPr>
        <w:t>whether</w:t>
      </w:r>
      <w:r w:rsidRPr="00647B36" w:rsidR="0044178C">
        <w:rPr>
          <w:szCs w:val="26"/>
        </w:rPr>
        <w:t xml:space="preserve"> </w:t>
      </w:r>
      <w:r w:rsidRPr="00647B36" w:rsidR="002E61A0">
        <w:rPr>
          <w:szCs w:val="26"/>
        </w:rPr>
        <w:t>it</w:t>
      </w:r>
      <w:r w:rsidR="0044178C">
        <w:rPr>
          <w:szCs w:val="26"/>
        </w:rPr>
        <w:t xml:space="preserve"> even applies</w:t>
      </w:r>
      <w:r w:rsidRPr="00647B36" w:rsidR="009F04DD">
        <w:rPr>
          <w:szCs w:val="26"/>
        </w:rPr>
        <w:t>.</w:t>
      </w:r>
      <w:r w:rsidR="00333290">
        <w:rPr>
          <w:szCs w:val="26"/>
        </w:rPr>
        <w:t xml:space="preserve">  </w:t>
      </w:r>
      <w:r w:rsidR="00996DA5">
        <w:rPr>
          <w:szCs w:val="26"/>
        </w:rPr>
        <w:t xml:space="preserve">We conclude that under either </w:t>
      </w:r>
      <w:r w:rsidR="002E199D">
        <w:rPr>
          <w:szCs w:val="26"/>
        </w:rPr>
        <w:t xml:space="preserve">alternative </w:t>
      </w:r>
      <w:r w:rsidR="00996DA5">
        <w:rPr>
          <w:szCs w:val="26"/>
        </w:rPr>
        <w:t xml:space="preserve">theory, the </w:t>
      </w:r>
      <w:r w:rsidR="00C83518">
        <w:rPr>
          <w:szCs w:val="26"/>
        </w:rPr>
        <w:t xml:space="preserve">interpretive presumption does not </w:t>
      </w:r>
      <w:r w:rsidR="005867C9">
        <w:rPr>
          <w:szCs w:val="26"/>
        </w:rPr>
        <w:t>vindicate Protective Life’s position</w:t>
      </w:r>
      <w:r w:rsidR="00C83518">
        <w:rPr>
          <w:szCs w:val="26"/>
        </w:rPr>
        <w:t>.</w:t>
      </w:r>
    </w:p>
    <w:p w:rsidR="00E00C95" w:rsidRPr="00CF27EA" w:rsidP="00287ABD" w14:paraId="6E22CB87" w14:textId="448ABFC4">
      <w:pPr>
        <w:pStyle w:val="Heading3"/>
        <w:keepNext/>
      </w:pPr>
      <w:r w:rsidRPr="00CF27EA">
        <w:t>1</w:t>
      </w:r>
      <w:r w:rsidRPr="00CF27EA">
        <w:t>.</w:t>
      </w:r>
    </w:p>
    <w:p w:rsidR="000233DC" w:rsidRPr="008B3BEE" w:rsidP="004E0DF7" w14:paraId="70E5C415" w14:textId="72F7CCBA">
      <w:pPr>
        <w:keepNext/>
        <w:ind w:firstLine="720"/>
      </w:pPr>
      <w:r>
        <w:t>T</w:t>
      </w:r>
      <w:r w:rsidR="00DB27B3">
        <w:t>he presumption against retroactivity is</w:t>
      </w:r>
      <w:r w:rsidR="00814D78">
        <w:t xml:space="preserve">, at </w:t>
      </w:r>
      <w:r w:rsidR="003558EE">
        <w:t>core</w:t>
      </w:r>
      <w:r w:rsidR="00814D78">
        <w:t>,</w:t>
      </w:r>
      <w:r w:rsidR="00D537F8">
        <w:t xml:space="preserve"> </w:t>
      </w:r>
      <w:r w:rsidR="00B67D52">
        <w:t xml:space="preserve">a canon </w:t>
      </w:r>
      <w:r w:rsidR="005867C9">
        <w:t xml:space="preserve">to facilitate </w:t>
      </w:r>
      <w:r w:rsidR="004B10E9">
        <w:t>interpretation</w:t>
      </w:r>
      <w:r w:rsidR="003558EE">
        <w:t xml:space="preserve"> rather than</w:t>
      </w:r>
      <w:r w:rsidR="00EC01A4">
        <w:t xml:space="preserve"> an inexorable command.  </w:t>
      </w:r>
      <w:r w:rsidR="00B2392E">
        <w:t>(</w:t>
      </w:r>
      <w:r w:rsidRPr="000F725F" w:rsidR="00EA5C6E">
        <w:rPr>
          <w:i/>
          <w:iCs/>
        </w:rPr>
        <w:t>People v. Superior Ct.</w:t>
      </w:r>
      <w:r w:rsidRPr="00EA5C6E" w:rsidR="00EA5C6E">
        <w:t xml:space="preserve"> (</w:t>
      </w:r>
      <w:r w:rsidRPr="000F725F" w:rsidR="00EA5C6E">
        <w:rPr>
          <w:i/>
          <w:iCs/>
        </w:rPr>
        <w:t>Lara</w:t>
      </w:r>
      <w:r w:rsidRPr="00EA5C6E" w:rsidR="00EA5C6E">
        <w:t>)</w:t>
      </w:r>
      <w:r w:rsidR="000F725F">
        <w:t xml:space="preserve"> (2018) </w:t>
      </w:r>
      <w:r w:rsidRPr="00EA5C6E" w:rsidR="00EA5C6E">
        <w:t>4 Cal.5th 299, 307</w:t>
      </w:r>
      <w:r w:rsidR="00C32281">
        <w:t>; see</w:t>
      </w:r>
      <w:r w:rsidR="004E0DF7">
        <w:t xml:space="preserve"> </w:t>
      </w:r>
      <w:r w:rsidRPr="00001076" w:rsidR="004E0DF7">
        <w:rPr>
          <w:i/>
          <w:iCs/>
        </w:rPr>
        <w:t>Med</w:t>
      </w:r>
      <w:r w:rsidRPr="00001076" w:rsidR="00CF368D">
        <w:rPr>
          <w:i/>
          <w:iCs/>
        </w:rPr>
        <w:t>ical</w:t>
      </w:r>
      <w:r w:rsidRPr="00001076" w:rsidR="004E0DF7">
        <w:rPr>
          <w:i/>
          <w:iCs/>
        </w:rPr>
        <w:t xml:space="preserve"> B</w:t>
      </w:r>
      <w:r w:rsidRPr="00001076" w:rsidR="00CF368D">
        <w:rPr>
          <w:i/>
          <w:iCs/>
        </w:rPr>
        <w:t>oar</w:t>
      </w:r>
      <w:r w:rsidRPr="00001076" w:rsidR="004E0DF7">
        <w:rPr>
          <w:i/>
          <w:iCs/>
        </w:rPr>
        <w:t xml:space="preserve">d </w:t>
      </w:r>
      <w:r w:rsidRPr="004E0DF7" w:rsidR="004E0DF7">
        <w:rPr>
          <w:i/>
          <w:iCs/>
        </w:rPr>
        <w:t xml:space="preserve"> v. Superior </w:t>
      </w:r>
      <w:r w:rsidRPr="00001076" w:rsidR="004E0DF7">
        <w:rPr>
          <w:i/>
          <w:iCs/>
        </w:rPr>
        <w:t>C</w:t>
      </w:r>
      <w:r w:rsidRPr="00001076" w:rsidR="00CF368D">
        <w:rPr>
          <w:i/>
          <w:iCs/>
        </w:rPr>
        <w:t>ourt</w:t>
      </w:r>
      <w:r w:rsidR="004E0DF7">
        <w:t xml:space="preserve"> (2001) 88 Cal.App.4th 1001, 1013.</w:t>
      </w:r>
      <w:r w:rsidR="00B2392E">
        <w:t>)</w:t>
      </w:r>
      <w:r w:rsidR="005B77B9">
        <w:t xml:space="preserve">  In cases where the presumption </w:t>
      </w:r>
      <w:r w:rsidR="003558EE">
        <w:t xml:space="preserve">is </w:t>
      </w:r>
      <w:r w:rsidR="005B77B9">
        <w:t xml:space="preserve">potentially </w:t>
      </w:r>
      <w:r w:rsidR="0015286E">
        <w:t>implicated</w:t>
      </w:r>
      <w:r w:rsidR="005B77B9">
        <w:t>, we must</w:t>
      </w:r>
      <w:r w:rsidR="005B5126">
        <w:t xml:space="preserve"> </w:t>
      </w:r>
      <w:r w:rsidR="003558EE">
        <w:t>consider both</w:t>
      </w:r>
      <w:r w:rsidR="005B77B9">
        <w:t xml:space="preserve"> its overall role</w:t>
      </w:r>
      <w:r w:rsidR="00104A30">
        <w:t> </w:t>
      </w:r>
      <w:r w:rsidR="005B77B9">
        <w:t>—</w:t>
      </w:r>
      <w:r w:rsidR="004F25D3">
        <w:t xml:space="preserve"> </w:t>
      </w:r>
      <w:r w:rsidR="005B77B9">
        <w:t xml:space="preserve">helping guide us in our core endeavor of determining </w:t>
      </w:r>
      <w:r w:rsidR="005B77B9">
        <w:rPr>
          <w:szCs w:val="26"/>
        </w:rPr>
        <w:t>and giving full effect to a statute’s underlying purpose</w:t>
      </w:r>
      <w:r w:rsidR="00104A30">
        <w:rPr>
          <w:szCs w:val="26"/>
        </w:rPr>
        <w:t> </w:t>
      </w:r>
      <w:r w:rsidR="005B77B9">
        <w:rPr>
          <w:szCs w:val="26"/>
        </w:rPr>
        <w:t>—</w:t>
      </w:r>
      <w:r w:rsidR="004F25D3">
        <w:rPr>
          <w:szCs w:val="26"/>
        </w:rPr>
        <w:t xml:space="preserve"> </w:t>
      </w:r>
      <w:r w:rsidR="003558EE">
        <w:rPr>
          <w:szCs w:val="26"/>
        </w:rPr>
        <w:t>and the specific premise for applying it in that particular case</w:t>
      </w:r>
      <w:r w:rsidR="005B77B9">
        <w:rPr>
          <w:szCs w:val="26"/>
        </w:rPr>
        <w:t>.</w:t>
      </w:r>
      <w:r w:rsidR="005B77B9">
        <w:t xml:space="preserve">  (</w:t>
      </w:r>
      <w:r w:rsidRPr="004366C9" w:rsidR="005B77B9">
        <w:rPr>
          <w:i/>
          <w:iCs/>
        </w:rPr>
        <w:t>People v. Garcia</w:t>
      </w:r>
      <w:r w:rsidR="005B77B9">
        <w:t xml:space="preserve"> (2016) 62 Cal.4th 1116, 1124</w:t>
      </w:r>
      <w:r w:rsidR="007E6B62">
        <w:t xml:space="preserve">; </w:t>
      </w:r>
      <w:bookmarkStart w:id="21" w:name="_Hlk77260100"/>
      <w:r w:rsidR="0008107B">
        <w:t xml:space="preserve">see </w:t>
      </w:r>
      <w:r w:rsidRPr="00B227E6" w:rsidR="00B227E6">
        <w:rPr>
          <w:i/>
          <w:iCs/>
          <w:szCs w:val="26"/>
          <w:shd w:val="clear" w:color="auto" w:fill="FFFFFF"/>
        </w:rPr>
        <w:t>Tapia v. Superior Ct.</w:t>
      </w:r>
      <w:r w:rsidR="00B227E6">
        <w:rPr>
          <w:szCs w:val="26"/>
          <w:shd w:val="clear" w:color="auto" w:fill="FFFFFF"/>
        </w:rPr>
        <w:t xml:space="preserve"> (1991)</w:t>
      </w:r>
      <w:r w:rsidRPr="00B227E6" w:rsidR="00B227E6">
        <w:rPr>
          <w:szCs w:val="26"/>
          <w:shd w:val="clear" w:color="auto" w:fill="FFFFFF"/>
        </w:rPr>
        <w:t xml:space="preserve"> 53 Cal.3d 282, 301</w:t>
      </w:r>
      <w:r w:rsidR="00B227E6">
        <w:rPr>
          <w:szCs w:val="26"/>
          <w:shd w:val="clear" w:color="auto" w:fill="FFFFFF"/>
        </w:rPr>
        <w:t xml:space="preserve"> (</w:t>
      </w:r>
      <w:r w:rsidRPr="00B227E6" w:rsidR="00B227E6">
        <w:rPr>
          <w:i/>
          <w:iCs/>
          <w:szCs w:val="26"/>
          <w:shd w:val="clear" w:color="auto" w:fill="FFFFFF"/>
        </w:rPr>
        <w:t>Tapia</w:t>
      </w:r>
      <w:r w:rsidR="00B227E6">
        <w:rPr>
          <w:szCs w:val="26"/>
          <w:shd w:val="clear" w:color="auto" w:fill="FFFFFF"/>
        </w:rPr>
        <w:t>);</w:t>
      </w:r>
      <w:r w:rsidR="00B227E6">
        <w:t xml:space="preserve"> </w:t>
      </w:r>
      <w:bookmarkEnd w:id="21"/>
      <w:r w:rsidRPr="00A2413E" w:rsidR="00166416">
        <w:rPr>
          <w:i/>
          <w:iCs/>
          <w:szCs w:val="26"/>
          <w:shd w:val="clear" w:color="auto" w:fill="FFFFFF"/>
        </w:rPr>
        <w:t>Fox v. Alexis</w:t>
      </w:r>
      <w:r w:rsidRPr="00A2413E" w:rsidR="00166416">
        <w:rPr>
          <w:szCs w:val="26"/>
          <w:shd w:val="clear" w:color="auto" w:fill="FFFFFF"/>
        </w:rPr>
        <w:t xml:space="preserve"> (1985) 38 Cal.3d 621, 629</w:t>
      </w:r>
      <w:r w:rsidR="009F16CC">
        <w:rPr>
          <w:szCs w:val="26"/>
          <w:shd w:val="clear" w:color="auto" w:fill="FFFFFF"/>
        </w:rPr>
        <w:t xml:space="preserve">.)  </w:t>
      </w:r>
      <w:r w:rsidRPr="00D16765" w:rsidR="00EA70AF">
        <w:rPr>
          <w:szCs w:val="27"/>
        </w:rPr>
        <w:t xml:space="preserve">We apply the presumption in the absence of </w:t>
      </w:r>
      <w:r w:rsidRPr="00D16765" w:rsidR="009315A1">
        <w:rPr>
          <w:szCs w:val="27"/>
        </w:rPr>
        <w:t xml:space="preserve">explicit </w:t>
      </w:r>
      <w:r w:rsidRPr="00D16765" w:rsidR="00EA70AF">
        <w:rPr>
          <w:szCs w:val="27"/>
        </w:rPr>
        <w:t xml:space="preserve">legislative </w:t>
      </w:r>
      <w:r w:rsidRPr="00D16765" w:rsidR="00E55552">
        <w:rPr>
          <w:szCs w:val="27"/>
        </w:rPr>
        <w:t>indications of</w:t>
      </w:r>
      <w:r w:rsidRPr="00D16765" w:rsidR="00EA70AF">
        <w:rPr>
          <w:szCs w:val="27"/>
        </w:rPr>
        <w:t xml:space="preserve"> retroactivity</w:t>
      </w:r>
      <w:r w:rsidR="003B46F3">
        <w:rPr>
          <w:szCs w:val="27"/>
        </w:rPr>
        <w:t>,</w:t>
      </w:r>
      <w:r w:rsidR="008800C5">
        <w:rPr>
          <w:szCs w:val="27"/>
        </w:rPr>
        <w:t xml:space="preserve"> doing so </w:t>
      </w:r>
      <w:r w:rsidRPr="00D16765" w:rsidR="00EA70AF">
        <w:rPr>
          <w:szCs w:val="27"/>
        </w:rPr>
        <w:t xml:space="preserve">based on </w:t>
      </w:r>
      <w:r w:rsidR="003B46F3">
        <w:rPr>
          <w:szCs w:val="27"/>
        </w:rPr>
        <w:t xml:space="preserve">the </w:t>
      </w:r>
      <w:r w:rsidRPr="00D16765" w:rsidR="00EA70AF">
        <w:rPr>
          <w:szCs w:val="27"/>
        </w:rPr>
        <w:t>fundamental fairness considerations</w:t>
      </w:r>
      <w:r w:rsidRPr="00D16765" w:rsidR="00577391">
        <w:rPr>
          <w:szCs w:val="27"/>
        </w:rPr>
        <w:t xml:space="preserve"> raised by “</w:t>
      </w:r>
      <w:r w:rsidR="005F1F09">
        <w:rPr>
          <w:szCs w:val="27"/>
        </w:rPr>
        <w:t> </w:t>
      </w:r>
      <w:r w:rsidRPr="00D16765" w:rsidR="00577391">
        <w:rPr>
          <w:szCs w:val="27"/>
        </w:rPr>
        <w:t>‘imposing new burdens on persons after the fact.’</w:t>
      </w:r>
      <w:r w:rsidR="005F1F09">
        <w:rPr>
          <w:szCs w:val="27"/>
        </w:rPr>
        <w:t> </w:t>
      </w:r>
      <w:r w:rsidRPr="00D16765" w:rsidR="00577391">
        <w:rPr>
          <w:szCs w:val="27"/>
        </w:rPr>
        <w:t xml:space="preserve">”  </w:t>
      </w:r>
      <w:bookmarkStart w:id="22" w:name="_Hlk77260189"/>
      <w:r w:rsidRPr="00D16765" w:rsidR="002D4555">
        <w:rPr>
          <w:szCs w:val="27"/>
        </w:rPr>
        <w:t>(</w:t>
      </w:r>
      <w:r w:rsidRPr="00D16765">
        <w:rPr>
          <w:i/>
          <w:iCs/>
          <w:szCs w:val="27"/>
        </w:rPr>
        <w:t>McClung v. Employment Development Dept.</w:t>
      </w:r>
      <w:r w:rsidRPr="00D16765">
        <w:rPr>
          <w:szCs w:val="27"/>
        </w:rPr>
        <w:t xml:space="preserve"> (2004) 34 Cal.4th 467, 47</w:t>
      </w:r>
      <w:r w:rsidRPr="00D16765" w:rsidR="00577391">
        <w:rPr>
          <w:szCs w:val="27"/>
        </w:rPr>
        <w:t>5</w:t>
      </w:r>
      <w:r w:rsidR="008800C5">
        <w:rPr>
          <w:szCs w:val="27"/>
        </w:rPr>
        <w:t xml:space="preserve"> (</w:t>
      </w:r>
      <w:r w:rsidRPr="008800C5" w:rsidR="008800C5">
        <w:rPr>
          <w:i/>
          <w:iCs/>
          <w:szCs w:val="27"/>
        </w:rPr>
        <w:t>McClung</w:t>
      </w:r>
      <w:r w:rsidR="008800C5">
        <w:rPr>
          <w:szCs w:val="27"/>
        </w:rPr>
        <w:t>)</w:t>
      </w:r>
      <w:r w:rsidRPr="00D16765" w:rsidR="00577391">
        <w:rPr>
          <w:szCs w:val="27"/>
        </w:rPr>
        <w:t>;</w:t>
      </w:r>
      <w:bookmarkEnd w:id="22"/>
      <w:r w:rsidRPr="00D16765" w:rsidR="00577391">
        <w:rPr>
          <w:szCs w:val="27"/>
        </w:rPr>
        <w:t xml:space="preserve"> </w:t>
      </w:r>
      <w:r w:rsidRPr="00001076" w:rsidR="00087E46">
        <w:rPr>
          <w:szCs w:val="27"/>
        </w:rPr>
        <w:t xml:space="preserve">see </w:t>
      </w:r>
      <w:r w:rsidRPr="00D16765" w:rsidR="00577391">
        <w:rPr>
          <w:i/>
          <w:iCs/>
          <w:szCs w:val="27"/>
        </w:rPr>
        <w:t>id.</w:t>
      </w:r>
      <w:r w:rsidRPr="00D16765" w:rsidR="00577391">
        <w:rPr>
          <w:szCs w:val="27"/>
        </w:rPr>
        <w:t xml:space="preserve"> at p. 476</w:t>
      </w:r>
      <w:r w:rsidRPr="00D16765">
        <w:rPr>
          <w:szCs w:val="27"/>
        </w:rPr>
        <w:t xml:space="preserve"> [“</w:t>
      </w:r>
      <w:r w:rsidR="005F1F09">
        <w:rPr>
          <w:szCs w:val="27"/>
        </w:rPr>
        <w:t> </w:t>
      </w:r>
      <w:r w:rsidRPr="00D16765">
        <w:rPr>
          <w:szCs w:val="27"/>
        </w:rPr>
        <w:t>‘Requiring clear intent assures that [the legislative body] itsel</w:t>
      </w:r>
      <w:r w:rsidR="00D537F8">
        <w:rPr>
          <w:szCs w:val="27"/>
        </w:rPr>
        <w:t>f</w:t>
      </w:r>
      <w:r w:rsidRPr="00D16765">
        <w:rPr>
          <w:szCs w:val="27"/>
        </w:rPr>
        <w:t xml:space="preserve"> has affirmatively considered the potential unfairness of retroactive application and determined that it is an acceptable price to pay for the countervailing benefits’</w:t>
      </w:r>
      <w:r w:rsidR="005F1F09">
        <w:rPr>
          <w:szCs w:val="27"/>
        </w:rPr>
        <w:t> </w:t>
      </w:r>
      <w:r w:rsidRPr="00D16765">
        <w:rPr>
          <w:szCs w:val="27"/>
        </w:rPr>
        <w:t>”]</w:t>
      </w:r>
      <w:r w:rsidRPr="00D16765" w:rsidR="00FA1D46">
        <w:rPr>
          <w:szCs w:val="27"/>
        </w:rPr>
        <w:t>.</w:t>
      </w:r>
      <w:r w:rsidRPr="00D16765">
        <w:rPr>
          <w:szCs w:val="27"/>
        </w:rPr>
        <w:t xml:space="preserve">)  </w:t>
      </w:r>
    </w:p>
    <w:p w:rsidR="00091572" w:rsidRPr="005867C9" w:rsidP="005867C9" w14:paraId="39CBC525" w14:textId="057926C0">
      <w:pPr>
        <w:ind w:firstLine="720"/>
      </w:pPr>
      <w:r>
        <w:t xml:space="preserve">These considerations influence the threshold question courts must answer before </w:t>
      </w:r>
      <w:r w:rsidR="003558EE">
        <w:t xml:space="preserve">even </w:t>
      </w:r>
      <w:r>
        <w:t xml:space="preserve">applying the presumption against retroactivity:  </w:t>
      </w:r>
      <w:r w:rsidR="00355574">
        <w:t>I</w:t>
      </w:r>
      <w:r>
        <w:t>s the statutory change in question “</w:t>
      </w:r>
      <w:r w:rsidRPr="00001076" w:rsidR="00087E46">
        <w:t> ‘</w:t>
      </w:r>
      <w:r w:rsidRPr="00001076">
        <w:t>retroactive</w:t>
      </w:r>
      <w:r w:rsidRPr="00001076" w:rsidR="00087E46">
        <w:t>’ </w:t>
      </w:r>
      <w:r>
        <w:t>”</w:t>
      </w:r>
      <w:r w:rsidR="00715490">
        <w:t xml:space="preserve"> or “</w:t>
      </w:r>
      <w:r w:rsidRPr="00001076" w:rsidR="00087E46">
        <w:t> ‘</w:t>
      </w:r>
      <w:r w:rsidRPr="00001076" w:rsidR="00715490">
        <w:t>prospective</w:t>
      </w:r>
      <w:r w:rsidRPr="00001076" w:rsidR="00087E46">
        <w:t>’ </w:t>
      </w:r>
      <w:r w:rsidRPr="00001076" w:rsidR="00715490">
        <w:t>”</w:t>
      </w:r>
      <w:r w:rsidRPr="00001076">
        <w:t>?</w:t>
      </w:r>
      <w:r>
        <w:t xml:space="preserve"> </w:t>
      </w:r>
      <w:r w:rsidR="005A6296">
        <w:t xml:space="preserve"> </w:t>
      </w:r>
      <w:r w:rsidR="006A391E">
        <w:t>(</w:t>
      </w:r>
      <w:bookmarkStart w:id="23" w:name="_Hlk77260234"/>
      <w:r w:rsidRPr="007A0C27" w:rsidR="006A391E">
        <w:rPr>
          <w:i/>
          <w:iCs/>
        </w:rPr>
        <w:t xml:space="preserve">Californians for Disability </w:t>
      </w:r>
      <w:r w:rsidRPr="00001076" w:rsidR="006A391E">
        <w:rPr>
          <w:i/>
          <w:iCs/>
        </w:rPr>
        <w:t>R</w:t>
      </w:r>
      <w:r w:rsidRPr="00001076" w:rsidR="00CF368D">
        <w:rPr>
          <w:i/>
          <w:iCs/>
        </w:rPr>
        <w:t>ights</w:t>
      </w:r>
      <w:r w:rsidRPr="007A0C27" w:rsidR="006A391E">
        <w:rPr>
          <w:i/>
          <w:iCs/>
        </w:rPr>
        <w:t xml:space="preserve"> v. Mervyn’s, LLC</w:t>
      </w:r>
      <w:r w:rsidR="006A391E">
        <w:t xml:space="preserve"> (2006) 39 Cal.4th 223, 230 (</w:t>
      </w:r>
      <w:r w:rsidRPr="00012FC2" w:rsidR="006A391E">
        <w:rPr>
          <w:i/>
          <w:iCs/>
        </w:rPr>
        <w:t>Mervyn’s</w:t>
      </w:r>
      <w:r w:rsidR="006A391E">
        <w:t xml:space="preserve">).)  </w:t>
      </w:r>
      <w:bookmarkEnd w:id="23"/>
      <w:r w:rsidR="005867C9">
        <w:t>In theory</w:t>
      </w:r>
      <w:r w:rsidR="004D0E1A">
        <w:t>,</w:t>
      </w:r>
      <w:r w:rsidR="005867C9">
        <w:t xml:space="preserve"> these concepts are simple; in practice</w:t>
      </w:r>
      <w:r w:rsidR="004D0E1A">
        <w:t>,</w:t>
      </w:r>
      <w:r w:rsidR="005867C9">
        <w:t xml:space="preserve"> they often prove more elusive</w:t>
      </w:r>
      <w:r w:rsidR="00A1613A">
        <w:t xml:space="preserve">.  </w:t>
      </w:r>
      <w:r w:rsidR="00715490">
        <w:t xml:space="preserve">To distinguish between </w:t>
      </w:r>
      <w:r w:rsidR="009A643E">
        <w:t>“retroactive” and “prospective”</w:t>
      </w:r>
      <w:r w:rsidR="00715490">
        <w:t xml:space="preserve"> </w:t>
      </w:r>
      <w:r w:rsidR="006A391E">
        <w:t>statutory applications</w:t>
      </w:r>
      <w:r w:rsidR="00715490">
        <w:t xml:space="preserve">, </w:t>
      </w:r>
      <w:r w:rsidR="005867C9">
        <w:t xml:space="preserve">we explained the need to deploy the following standard:  </w:t>
      </w:r>
      <w:r w:rsidR="00E6739D">
        <w:t>“</w:t>
      </w:r>
      <w:r w:rsidR="003A4967">
        <w:t>W</w:t>
      </w:r>
      <w:r w:rsidR="00E6739D">
        <w:t>e must consider ‘</w:t>
      </w:r>
      <w:r w:rsidR="000A57F1">
        <w:t> </w:t>
      </w:r>
      <w:r w:rsidR="00E6739D">
        <w:t>“</w:t>
      </w:r>
      <w:r w:rsidR="000A57F1">
        <w:t> </w:t>
      </w:r>
      <w:r w:rsidR="00E6739D">
        <w:t>‘the nature and extent of the change in the law and the degree of connection between the operation of the new rule and a relevant past event’</w:t>
      </w:r>
      <w:r w:rsidRPr="00001076" w:rsidR="00087E46">
        <w:t> </w:t>
      </w:r>
      <w:r w:rsidRPr="00001076" w:rsidR="0088782D">
        <w:t>”</w:t>
      </w:r>
      <w:r w:rsidR="000A57F1">
        <w:t> </w:t>
      </w:r>
      <w:r w:rsidR="0088782D">
        <w:t>’</w:t>
      </w:r>
      <w:r w:rsidR="000A57F1">
        <w:t> </w:t>
      </w:r>
      <w:r w:rsidR="0088782D">
        <w:t>”</w:t>
      </w:r>
      <w:r w:rsidR="005E446F">
        <w:t>;</w:t>
      </w:r>
      <w:r w:rsidR="008467C6">
        <w:t xml:space="preserve"> “</w:t>
      </w:r>
      <w:r w:rsidR="000A57F1">
        <w:t> </w:t>
      </w:r>
      <w:r w:rsidR="008467C6">
        <w:t>‘</w:t>
      </w:r>
      <w:r w:rsidR="000A57F1">
        <w:t> </w:t>
      </w:r>
      <w:r w:rsidR="008467C6">
        <w:t>“</w:t>
      </w:r>
      <w:r w:rsidRPr="00001076" w:rsidR="00617A82">
        <w:t> ‘</w:t>
      </w:r>
      <w:r w:rsidR="00E6739D">
        <w:t>familiar considerations of fair notice, reasonable reliance, and settled expectations offer sound guidance.’</w:t>
      </w:r>
      <w:r w:rsidR="00C91F2E">
        <w:t> </w:t>
      </w:r>
      <w:r w:rsidRPr="00001076" w:rsidR="00617A82">
        <w:t>”</w:t>
      </w:r>
      <w:r w:rsidR="00C91F2E">
        <w:t> </w:t>
      </w:r>
      <w:r w:rsidR="00E6739D">
        <w:t>’</w:t>
      </w:r>
      <w:r w:rsidR="00C91F2E">
        <w:t> </w:t>
      </w:r>
      <w:r w:rsidR="00E6739D">
        <w:t xml:space="preserve">”  </w:t>
      </w:r>
      <w:bookmarkStart w:id="24" w:name="_Hlk77317618"/>
      <w:r w:rsidR="00E6739D">
        <w:t>(</w:t>
      </w:r>
      <w:r w:rsidRPr="009F24DB" w:rsidR="00AD51B7">
        <w:rPr>
          <w:i/>
          <w:iCs/>
          <w:szCs w:val="26"/>
          <w:shd w:val="clear" w:color="auto" w:fill="FFFFFF"/>
        </w:rPr>
        <w:t xml:space="preserve">Quarry v. Doe I </w:t>
      </w:r>
      <w:r w:rsidRPr="009F24DB" w:rsidR="00AD51B7">
        <w:rPr>
          <w:szCs w:val="26"/>
          <w:shd w:val="clear" w:color="auto" w:fill="FFFFFF"/>
        </w:rPr>
        <w:t>(2012) 53 Cal.4th 945,</w:t>
      </w:r>
      <w:r w:rsidRPr="009F24DB" w:rsidR="00AD51B7">
        <w:rPr>
          <w:color w:val="000000"/>
          <w:szCs w:val="26"/>
        </w:rPr>
        <w:t xml:space="preserve"> 955</w:t>
      </w:r>
      <w:r w:rsidR="00AD51B7">
        <w:rPr>
          <w:color w:val="000000"/>
          <w:szCs w:val="26"/>
        </w:rPr>
        <w:t xml:space="preserve"> (</w:t>
      </w:r>
      <w:r w:rsidRPr="00AD51B7" w:rsidR="00AD51B7">
        <w:rPr>
          <w:i/>
          <w:iCs/>
          <w:color w:val="000000"/>
          <w:szCs w:val="26"/>
        </w:rPr>
        <w:t>Quarry</w:t>
      </w:r>
      <w:r w:rsidR="00AD51B7">
        <w:rPr>
          <w:color w:val="000000"/>
          <w:szCs w:val="26"/>
        </w:rPr>
        <w:t>).)</w:t>
      </w:r>
      <w:bookmarkEnd w:id="24"/>
      <w:r w:rsidR="00AD51B7">
        <w:t xml:space="preserve">  </w:t>
      </w:r>
      <w:r w:rsidR="000246A5">
        <w:t xml:space="preserve">In keeping </w:t>
      </w:r>
      <w:r w:rsidR="00997C8B">
        <w:t>with these principles, we have</w:t>
      </w:r>
      <w:r w:rsidR="00680A5B">
        <w:t xml:space="preserve"> </w:t>
      </w:r>
      <w:r w:rsidR="00640775">
        <w:t>generally</w:t>
      </w:r>
      <w:r w:rsidR="00997C8B">
        <w:t xml:space="preserve"> explained that </w:t>
      </w:r>
      <w:r w:rsidR="00997298">
        <w:t xml:space="preserve">a </w:t>
      </w:r>
      <w:r w:rsidR="0086115F">
        <w:t>new law operate</w:t>
      </w:r>
      <w:r w:rsidR="00997298">
        <w:t>s</w:t>
      </w:r>
      <w:r w:rsidR="00997C8B">
        <w:t xml:space="preserve"> “retroactive</w:t>
      </w:r>
      <w:r w:rsidR="0086115F">
        <w:t>ly</w:t>
      </w:r>
      <w:r w:rsidR="00997C8B">
        <w:t>”</w:t>
      </w:r>
      <w:r w:rsidR="00800F91">
        <w:t xml:space="preserve"> </w:t>
      </w:r>
      <w:r w:rsidR="00997298">
        <w:t xml:space="preserve">when it </w:t>
      </w:r>
      <w:r w:rsidR="00C36A33">
        <w:t>changes “</w:t>
      </w:r>
      <w:r w:rsidR="00A046FC">
        <w:t> ‘ “</w:t>
      </w:r>
      <w:r w:rsidRPr="00640775" w:rsidR="00640775">
        <w:rPr>
          <w:color w:val="000000"/>
          <w:szCs w:val="27"/>
          <w:shd w:val="clear" w:color="auto" w:fill="FFFFFF"/>
        </w:rPr>
        <w:t>the legal consequences of past conduct by imposing new or different liabilities based upon such conduct</w:t>
      </w:r>
      <w:r w:rsidR="00A936E9">
        <w:rPr>
          <w:color w:val="000000"/>
          <w:szCs w:val="27"/>
          <w:shd w:val="clear" w:color="auto" w:fill="FFFFFF"/>
        </w:rPr>
        <w:t>.</w:t>
      </w:r>
      <w:r w:rsidRPr="00640775" w:rsidR="00640775">
        <w:rPr>
          <w:color w:val="000000"/>
          <w:szCs w:val="27"/>
          <w:shd w:val="clear" w:color="auto" w:fill="FFFFFF"/>
        </w:rPr>
        <w:t>”</w:t>
      </w:r>
      <w:r w:rsidR="009F6720">
        <w:rPr>
          <w:color w:val="000000"/>
          <w:szCs w:val="27"/>
          <w:shd w:val="clear" w:color="auto" w:fill="FFFFFF"/>
        </w:rPr>
        <w:t> </w:t>
      </w:r>
      <w:r w:rsidRPr="00640775" w:rsidR="00640775">
        <w:rPr>
          <w:color w:val="000000"/>
          <w:szCs w:val="27"/>
          <w:shd w:val="clear" w:color="auto" w:fill="FFFFFF"/>
        </w:rPr>
        <w:t>’</w:t>
      </w:r>
      <w:r w:rsidR="009F6720">
        <w:rPr>
          <w:color w:val="000000"/>
          <w:szCs w:val="27"/>
          <w:shd w:val="clear" w:color="auto" w:fill="FFFFFF"/>
        </w:rPr>
        <w:t> ”</w:t>
      </w:r>
      <w:r w:rsidR="00510BDE">
        <w:rPr>
          <w:color w:val="000000"/>
          <w:szCs w:val="27"/>
          <w:shd w:val="clear" w:color="auto" w:fill="FFFFFF"/>
        </w:rPr>
        <w:t xml:space="preserve"> </w:t>
      </w:r>
      <w:r w:rsidR="00A936E9">
        <w:rPr>
          <w:color w:val="000000"/>
          <w:szCs w:val="27"/>
          <w:shd w:val="clear" w:color="auto" w:fill="FFFFFF"/>
        </w:rPr>
        <w:t xml:space="preserve"> (</w:t>
      </w:r>
      <w:r w:rsidRPr="00510BDE" w:rsidR="00A936E9">
        <w:rPr>
          <w:i/>
          <w:iCs/>
          <w:color w:val="000000"/>
          <w:szCs w:val="27"/>
          <w:shd w:val="clear" w:color="auto" w:fill="FFFFFF"/>
        </w:rPr>
        <w:t>Mervyn’s</w:t>
      </w:r>
      <w:r w:rsidR="00A936E9">
        <w:rPr>
          <w:color w:val="000000"/>
          <w:szCs w:val="27"/>
          <w:shd w:val="clear" w:color="auto" w:fill="FFFFFF"/>
        </w:rPr>
        <w:t>, at p. 231.)</w:t>
      </w:r>
      <w:r w:rsidR="0028234E">
        <w:rPr>
          <w:color w:val="000000"/>
          <w:szCs w:val="27"/>
          <w:shd w:val="clear" w:color="auto" w:fill="FFFFFF"/>
        </w:rPr>
        <w:t xml:space="preserve"> </w:t>
      </w:r>
      <w:r w:rsidR="00A936E9">
        <w:rPr>
          <w:color w:val="000000"/>
          <w:szCs w:val="27"/>
          <w:shd w:val="clear" w:color="auto" w:fill="FFFFFF"/>
        </w:rPr>
        <w:t xml:space="preserve"> </w:t>
      </w:r>
      <w:r w:rsidR="00780DAC">
        <w:rPr>
          <w:color w:val="000000"/>
          <w:szCs w:val="27"/>
          <w:shd w:val="clear" w:color="auto" w:fill="FFFFFF"/>
        </w:rPr>
        <w:t xml:space="preserve">We have asked whether the new law </w:t>
      </w:r>
      <w:r w:rsidRPr="00640775" w:rsidR="00640775">
        <w:rPr>
          <w:color w:val="000000"/>
          <w:szCs w:val="27"/>
          <w:shd w:val="clear" w:color="auto" w:fill="FFFFFF"/>
        </w:rPr>
        <w:t>“</w:t>
      </w:r>
      <w:r w:rsidR="00EE559C">
        <w:rPr>
          <w:color w:val="000000"/>
          <w:szCs w:val="27"/>
          <w:shd w:val="clear" w:color="auto" w:fill="FFFFFF"/>
        </w:rPr>
        <w:t> </w:t>
      </w:r>
      <w:r w:rsidRPr="00640775" w:rsidR="00640775">
        <w:rPr>
          <w:color w:val="000000"/>
          <w:szCs w:val="27"/>
          <w:shd w:val="clear" w:color="auto" w:fill="FFFFFF"/>
        </w:rPr>
        <w:t>‘</w:t>
      </w:r>
      <w:r w:rsidR="00EE559C">
        <w:rPr>
          <w:color w:val="000000"/>
          <w:szCs w:val="27"/>
          <w:shd w:val="clear" w:color="auto" w:fill="FFFFFF"/>
        </w:rPr>
        <w:t> </w:t>
      </w:r>
      <w:r w:rsidRPr="00640775" w:rsidR="00640775">
        <w:rPr>
          <w:color w:val="000000"/>
          <w:szCs w:val="27"/>
          <w:shd w:val="clear" w:color="auto" w:fill="FFFFFF"/>
        </w:rPr>
        <w:t>“</w:t>
      </w:r>
      <w:r w:rsidRPr="00640775" w:rsidR="00640775">
        <w:rPr>
          <w:i/>
          <w:iCs/>
          <w:color w:val="000000"/>
          <w:szCs w:val="27"/>
          <w:shd w:val="clear" w:color="auto" w:fill="FFFFFF"/>
        </w:rPr>
        <w:t>substantially</w:t>
      </w:r>
      <w:r w:rsidRPr="00640775" w:rsidR="00640775">
        <w:rPr>
          <w:color w:val="000000"/>
          <w:szCs w:val="27"/>
          <w:shd w:val="clear" w:color="auto" w:fill="FFFFFF"/>
        </w:rPr>
        <w:t xml:space="preserve"> affect[s] existing rights </w:t>
      </w:r>
      <w:r w:rsidR="00510BDE">
        <w:rPr>
          <w:color w:val="000000"/>
          <w:szCs w:val="27"/>
          <w:shd w:val="clear" w:color="auto" w:fill="FFFFFF"/>
        </w:rPr>
        <w:t>and obligations</w:t>
      </w:r>
      <w:r w:rsidRPr="00001076" w:rsidR="00510BDE">
        <w:rPr>
          <w:color w:val="000000"/>
          <w:szCs w:val="27"/>
          <w:shd w:val="clear" w:color="auto" w:fill="FFFFFF"/>
        </w:rPr>
        <w:t>.</w:t>
      </w:r>
      <w:r w:rsidRPr="00001076" w:rsidR="00EE559C">
        <w:rPr>
          <w:color w:val="000000"/>
          <w:szCs w:val="27"/>
          <w:shd w:val="clear" w:color="auto" w:fill="FFFFFF"/>
        </w:rPr>
        <w:t>”</w:t>
      </w:r>
      <w:r w:rsidR="00EE559C">
        <w:rPr>
          <w:color w:val="000000"/>
          <w:szCs w:val="27"/>
          <w:shd w:val="clear" w:color="auto" w:fill="FFFFFF"/>
        </w:rPr>
        <w:t> ’ </w:t>
      </w:r>
      <w:r w:rsidR="00510BDE">
        <w:rPr>
          <w:color w:val="000000"/>
          <w:szCs w:val="27"/>
          <w:shd w:val="clear" w:color="auto" w:fill="FFFFFF"/>
        </w:rPr>
        <w:t>”  (</w:t>
      </w:r>
      <w:r w:rsidR="00780DAC">
        <w:rPr>
          <w:i/>
          <w:iCs/>
          <w:color w:val="000000"/>
          <w:szCs w:val="27"/>
          <w:shd w:val="clear" w:color="auto" w:fill="FFFFFF"/>
        </w:rPr>
        <w:t>Ibid.</w:t>
      </w:r>
      <w:r w:rsidR="00FE2918">
        <w:rPr>
          <w:color w:val="000000"/>
          <w:szCs w:val="27"/>
          <w:shd w:val="clear" w:color="auto" w:fill="FFFFFF"/>
        </w:rPr>
        <w:t>, italics added</w:t>
      </w:r>
      <w:r w:rsidR="003924A0">
        <w:rPr>
          <w:color w:val="000000"/>
          <w:szCs w:val="27"/>
          <w:shd w:val="clear" w:color="auto" w:fill="FFFFFF"/>
        </w:rPr>
        <w:t>.)</w:t>
      </w:r>
      <w:r w:rsidR="00C6554F">
        <w:rPr>
          <w:color w:val="000000"/>
          <w:szCs w:val="27"/>
          <w:shd w:val="clear" w:color="auto" w:fill="FFFFFF"/>
        </w:rPr>
        <w:t xml:space="preserve"> </w:t>
      </w:r>
      <w:r w:rsidR="008D46ED">
        <w:rPr>
          <w:color w:val="000000"/>
          <w:szCs w:val="27"/>
          <w:shd w:val="clear" w:color="auto" w:fill="FFFFFF"/>
        </w:rPr>
        <w:t xml:space="preserve"> </w:t>
      </w:r>
      <w:r w:rsidR="00696A1B">
        <w:rPr>
          <w:color w:val="000000"/>
          <w:szCs w:val="27"/>
          <w:shd w:val="clear" w:color="auto" w:fill="FFFFFF"/>
        </w:rPr>
        <w:t xml:space="preserve">Plaintiffs advance this </w:t>
      </w:r>
      <w:r w:rsidR="00672621">
        <w:rPr>
          <w:color w:val="000000"/>
          <w:szCs w:val="27"/>
          <w:shd w:val="clear" w:color="auto" w:fill="FFFFFF"/>
        </w:rPr>
        <w:t xml:space="preserve">understanding of retroactivity.  </w:t>
      </w:r>
      <w:r w:rsidR="004D12D7">
        <w:rPr>
          <w:color w:val="000000"/>
          <w:szCs w:val="27"/>
          <w:shd w:val="clear" w:color="auto" w:fill="FFFFFF"/>
        </w:rPr>
        <w:t>Yet s</w:t>
      </w:r>
      <w:r w:rsidR="00E50190">
        <w:rPr>
          <w:color w:val="000000"/>
          <w:szCs w:val="27"/>
          <w:shd w:val="clear" w:color="auto" w:fill="FFFFFF"/>
        </w:rPr>
        <w:t xml:space="preserve">ome of our </w:t>
      </w:r>
      <w:r w:rsidR="00BA2F5B">
        <w:rPr>
          <w:color w:val="000000"/>
          <w:szCs w:val="27"/>
          <w:shd w:val="clear" w:color="auto" w:fill="FFFFFF"/>
        </w:rPr>
        <w:t>cases</w:t>
      </w:r>
      <w:r w:rsidR="00E50190">
        <w:rPr>
          <w:color w:val="000000"/>
          <w:szCs w:val="27"/>
          <w:shd w:val="clear" w:color="auto" w:fill="FFFFFF"/>
        </w:rPr>
        <w:t xml:space="preserve"> </w:t>
      </w:r>
      <w:r w:rsidR="00FF5343">
        <w:rPr>
          <w:color w:val="000000"/>
          <w:szCs w:val="27"/>
          <w:shd w:val="clear" w:color="auto" w:fill="FFFFFF"/>
        </w:rPr>
        <w:t>can</w:t>
      </w:r>
      <w:r w:rsidR="00CB2C2C">
        <w:rPr>
          <w:color w:val="000000"/>
          <w:szCs w:val="27"/>
          <w:shd w:val="clear" w:color="auto" w:fill="FFFFFF"/>
        </w:rPr>
        <w:t xml:space="preserve"> potentially</w:t>
      </w:r>
      <w:r w:rsidR="00FF5343">
        <w:rPr>
          <w:color w:val="000000"/>
          <w:szCs w:val="27"/>
          <w:shd w:val="clear" w:color="auto" w:fill="FFFFFF"/>
        </w:rPr>
        <w:t xml:space="preserve"> be read to</w:t>
      </w:r>
      <w:r w:rsidR="006A21AE">
        <w:rPr>
          <w:color w:val="000000"/>
          <w:szCs w:val="27"/>
          <w:shd w:val="clear" w:color="auto" w:fill="FFFFFF"/>
        </w:rPr>
        <w:t xml:space="preserve"> </w:t>
      </w:r>
      <w:r w:rsidR="009F7EEC">
        <w:rPr>
          <w:color w:val="000000"/>
          <w:szCs w:val="27"/>
          <w:shd w:val="clear" w:color="auto" w:fill="FFFFFF"/>
        </w:rPr>
        <w:t>articulate</w:t>
      </w:r>
      <w:r w:rsidR="00BA2F5B">
        <w:rPr>
          <w:color w:val="000000"/>
          <w:szCs w:val="27"/>
          <w:shd w:val="clear" w:color="auto" w:fill="FFFFFF"/>
        </w:rPr>
        <w:t xml:space="preserve"> a broader definition of</w:t>
      </w:r>
      <w:r w:rsidR="00E50190">
        <w:rPr>
          <w:color w:val="000000"/>
          <w:szCs w:val="27"/>
          <w:shd w:val="clear" w:color="auto" w:fill="FFFFFF"/>
        </w:rPr>
        <w:t xml:space="preserve"> retroactivity</w:t>
      </w:r>
      <w:r w:rsidR="00DB05CB">
        <w:rPr>
          <w:color w:val="000000"/>
          <w:szCs w:val="27"/>
          <w:shd w:val="clear" w:color="auto" w:fill="FFFFFF"/>
        </w:rPr>
        <w:t xml:space="preserve">, which Protective Life </w:t>
      </w:r>
      <w:r w:rsidR="004D12D7">
        <w:rPr>
          <w:color w:val="000000"/>
          <w:szCs w:val="27"/>
          <w:shd w:val="clear" w:color="auto" w:fill="FFFFFF"/>
        </w:rPr>
        <w:t>argues we should</w:t>
      </w:r>
      <w:r w:rsidR="00DB05CB">
        <w:rPr>
          <w:color w:val="000000"/>
          <w:szCs w:val="27"/>
          <w:shd w:val="clear" w:color="auto" w:fill="FFFFFF"/>
        </w:rPr>
        <w:t xml:space="preserve"> apply.</w:t>
      </w:r>
      <w:r w:rsidR="006D0049">
        <w:rPr>
          <w:color w:val="000000"/>
          <w:szCs w:val="27"/>
          <w:shd w:val="clear" w:color="auto" w:fill="FFFFFF"/>
        </w:rPr>
        <w:t xml:space="preserve"> </w:t>
      </w:r>
      <w:r w:rsidRPr="0066284E" w:rsidR="006D0049">
        <w:rPr>
          <w:szCs w:val="27"/>
          <w:shd w:val="clear" w:color="auto" w:fill="FFFFFF"/>
        </w:rPr>
        <w:t xml:space="preserve"> </w:t>
      </w:r>
      <w:r w:rsidRPr="0066284E" w:rsidR="00273E44">
        <w:rPr>
          <w:szCs w:val="27"/>
          <w:shd w:val="clear" w:color="auto" w:fill="FFFFFF"/>
        </w:rPr>
        <w:t>I</w:t>
      </w:r>
      <w:r w:rsidRPr="0066284E" w:rsidR="00EC3DBB">
        <w:rPr>
          <w:szCs w:val="27"/>
          <w:shd w:val="clear" w:color="auto" w:fill="FFFFFF"/>
        </w:rPr>
        <w:t xml:space="preserve">n </w:t>
      </w:r>
      <w:r w:rsidRPr="0066284E" w:rsidR="00EC3DBB">
        <w:rPr>
          <w:i/>
          <w:iCs/>
          <w:szCs w:val="26"/>
        </w:rPr>
        <w:t>Myers</w:t>
      </w:r>
      <w:r w:rsidRPr="0066284E" w:rsidR="00EC3DBB">
        <w:rPr>
          <w:szCs w:val="26"/>
        </w:rPr>
        <w:t>,</w:t>
      </w:r>
      <w:r w:rsidR="0043001D">
        <w:rPr>
          <w:szCs w:val="26"/>
        </w:rPr>
        <w:t xml:space="preserve"> </w:t>
      </w:r>
      <w:r w:rsidRPr="0066284E" w:rsidR="00EC3DBB">
        <w:rPr>
          <w:szCs w:val="26"/>
        </w:rPr>
        <w:t xml:space="preserve">for example, </w:t>
      </w:r>
      <w:r w:rsidRPr="0066284E" w:rsidR="00273E44">
        <w:rPr>
          <w:szCs w:val="26"/>
        </w:rPr>
        <w:t xml:space="preserve">we stated that </w:t>
      </w:r>
      <w:r w:rsidRPr="0066284E" w:rsidR="00EC0116">
        <w:rPr>
          <w:szCs w:val="26"/>
        </w:rPr>
        <w:t>a statute operates retroactively when it “</w:t>
      </w:r>
      <w:r w:rsidR="005A0552">
        <w:rPr>
          <w:szCs w:val="26"/>
        </w:rPr>
        <w:t> </w:t>
      </w:r>
      <w:r w:rsidRPr="0066284E" w:rsidR="00EC0116">
        <w:rPr>
          <w:szCs w:val="26"/>
        </w:rPr>
        <w:t>‘</w:t>
      </w:r>
      <w:r w:rsidR="005A0552">
        <w:rPr>
          <w:szCs w:val="26"/>
        </w:rPr>
        <w:t> </w:t>
      </w:r>
      <w:r w:rsidRPr="0066284E" w:rsidR="00EC0116">
        <w:rPr>
          <w:szCs w:val="26"/>
        </w:rPr>
        <w:t>“affects rights, obligations, acts, transactions and conditions which are performed or exist prior to the adoption of the statute.”</w:t>
      </w:r>
      <w:r w:rsidR="005A0552">
        <w:rPr>
          <w:szCs w:val="26"/>
        </w:rPr>
        <w:t> </w:t>
      </w:r>
      <w:r w:rsidRPr="0066284E" w:rsidR="00EC0116">
        <w:rPr>
          <w:szCs w:val="26"/>
        </w:rPr>
        <w:t>’</w:t>
      </w:r>
      <w:r w:rsidR="005A0552">
        <w:rPr>
          <w:szCs w:val="26"/>
        </w:rPr>
        <w:t> </w:t>
      </w:r>
      <w:r w:rsidRPr="0066284E" w:rsidR="00EC0116">
        <w:rPr>
          <w:szCs w:val="26"/>
        </w:rPr>
        <w:t>”</w:t>
      </w:r>
      <w:r w:rsidRPr="0066284E" w:rsidR="007C5EE5">
        <w:rPr>
          <w:szCs w:val="26"/>
        </w:rPr>
        <w:t xml:space="preserve"> </w:t>
      </w:r>
      <w:r w:rsidRPr="0066284E" w:rsidR="00196A44">
        <w:rPr>
          <w:szCs w:val="26"/>
        </w:rPr>
        <w:t xml:space="preserve"> (</w:t>
      </w:r>
      <w:r w:rsidRPr="000320D7" w:rsidR="000320D7">
        <w:rPr>
          <w:i/>
          <w:iCs/>
          <w:szCs w:val="26"/>
        </w:rPr>
        <w:t>Myers</w:t>
      </w:r>
      <w:r w:rsidR="000320D7">
        <w:rPr>
          <w:szCs w:val="26"/>
        </w:rPr>
        <w:t xml:space="preserve">, </w:t>
      </w:r>
      <w:r w:rsidRPr="000320D7" w:rsidR="000320D7">
        <w:rPr>
          <w:i/>
          <w:iCs/>
          <w:szCs w:val="26"/>
        </w:rPr>
        <w:t>supra</w:t>
      </w:r>
      <w:r w:rsidR="000320D7">
        <w:rPr>
          <w:szCs w:val="26"/>
        </w:rPr>
        <w:t xml:space="preserve">, </w:t>
      </w:r>
      <w:r w:rsidRPr="0066284E" w:rsidR="008443BB">
        <w:rPr>
          <w:szCs w:val="26"/>
        </w:rPr>
        <w:t xml:space="preserve">28 Cal.4th </w:t>
      </w:r>
      <w:r w:rsidR="0043001D">
        <w:rPr>
          <w:szCs w:val="26"/>
        </w:rPr>
        <w:t xml:space="preserve">at p. </w:t>
      </w:r>
      <w:r w:rsidRPr="0066284E" w:rsidR="008443BB">
        <w:rPr>
          <w:szCs w:val="26"/>
        </w:rPr>
        <w:t>839</w:t>
      </w:r>
      <w:r w:rsidR="00C81CF8">
        <w:rPr>
          <w:szCs w:val="26"/>
        </w:rPr>
        <w:t xml:space="preserve">, </w:t>
      </w:r>
      <w:r w:rsidR="008443BB">
        <w:rPr>
          <w:szCs w:val="26"/>
        </w:rPr>
        <w:t xml:space="preserve">quoting </w:t>
      </w:r>
      <w:bookmarkStart w:id="25" w:name="_Hlk77317845"/>
      <w:r w:rsidRPr="0066284E" w:rsidR="00196A44">
        <w:rPr>
          <w:i/>
          <w:iCs/>
          <w:szCs w:val="26"/>
        </w:rPr>
        <w:t xml:space="preserve">Aetna Cas. &amp; Sur. Co. v. </w:t>
      </w:r>
      <w:r w:rsidRPr="00001076" w:rsidR="00196A44">
        <w:rPr>
          <w:i/>
          <w:iCs/>
          <w:szCs w:val="26"/>
        </w:rPr>
        <w:t>Ind</w:t>
      </w:r>
      <w:r w:rsidRPr="0066284E" w:rsidR="00196A44">
        <w:rPr>
          <w:i/>
          <w:iCs/>
          <w:szCs w:val="26"/>
        </w:rPr>
        <w:t xml:space="preserve">. Acc. </w:t>
      </w:r>
      <w:r w:rsidRPr="00001076" w:rsidR="00196A44">
        <w:rPr>
          <w:i/>
          <w:iCs/>
          <w:szCs w:val="26"/>
        </w:rPr>
        <w:t>Com</w:t>
      </w:r>
      <w:r w:rsidRPr="00001076" w:rsidR="003F6A44">
        <w:rPr>
          <w:i/>
          <w:iCs/>
          <w:szCs w:val="26"/>
        </w:rPr>
        <w:t>.</w:t>
      </w:r>
      <w:r w:rsidRPr="0066284E" w:rsidR="00196A44">
        <w:rPr>
          <w:szCs w:val="26"/>
        </w:rPr>
        <w:t xml:space="preserve"> (1947) 30 Cal.2d 388, 391</w:t>
      </w:r>
      <w:r w:rsidR="00DD0CD5">
        <w:rPr>
          <w:szCs w:val="26"/>
        </w:rPr>
        <w:t xml:space="preserve"> (</w:t>
      </w:r>
      <w:r w:rsidRPr="00DD0CD5" w:rsidR="00DD0CD5">
        <w:rPr>
          <w:i/>
          <w:iCs/>
          <w:szCs w:val="26"/>
        </w:rPr>
        <w:t>Aetna</w:t>
      </w:r>
      <w:r w:rsidRPr="0066284E" w:rsidR="00124820">
        <w:rPr>
          <w:szCs w:val="26"/>
        </w:rPr>
        <w:t>)</w:t>
      </w:r>
      <w:r w:rsidR="008443BB">
        <w:rPr>
          <w:szCs w:val="26"/>
        </w:rPr>
        <w:t>.)</w:t>
      </w:r>
      <w:bookmarkEnd w:id="25"/>
      <w:r w:rsidRPr="0066284E" w:rsidR="00CC2DAB">
        <w:rPr>
          <w:szCs w:val="26"/>
        </w:rPr>
        <w:t xml:space="preserve">  </w:t>
      </w:r>
      <w:r w:rsidR="004D12D7">
        <w:rPr>
          <w:color w:val="000000"/>
          <w:szCs w:val="27"/>
          <w:shd w:val="clear" w:color="auto" w:fill="FFFFFF"/>
        </w:rPr>
        <w:t xml:space="preserve">This broader definition </w:t>
      </w:r>
      <w:r w:rsidR="005867C9">
        <w:rPr>
          <w:color w:val="000000"/>
          <w:szCs w:val="27"/>
          <w:shd w:val="clear" w:color="auto" w:fill="FFFFFF"/>
        </w:rPr>
        <w:t>seems to embrace</w:t>
      </w:r>
      <w:r w:rsidR="004D12D7">
        <w:rPr>
          <w:color w:val="000000"/>
          <w:szCs w:val="27"/>
          <w:shd w:val="clear" w:color="auto" w:fill="FFFFFF"/>
        </w:rPr>
        <w:t xml:space="preserve"> </w:t>
      </w:r>
      <w:r w:rsidRPr="00DB05CB" w:rsidR="004D12D7">
        <w:rPr>
          <w:i/>
          <w:iCs/>
          <w:color w:val="000000"/>
          <w:szCs w:val="27"/>
          <w:shd w:val="clear" w:color="auto" w:fill="FFFFFF"/>
        </w:rPr>
        <w:t>any</w:t>
      </w:r>
      <w:r w:rsidR="005867C9">
        <w:rPr>
          <w:color w:val="000000"/>
          <w:szCs w:val="27"/>
          <w:shd w:val="clear" w:color="auto" w:fill="FFFFFF"/>
        </w:rPr>
        <w:t xml:space="preserve"> conceivable </w:t>
      </w:r>
      <w:r w:rsidR="004D12D7">
        <w:rPr>
          <w:color w:val="000000"/>
          <w:szCs w:val="26"/>
        </w:rPr>
        <w:t>s</w:t>
      </w:r>
      <w:r w:rsidR="004D12D7">
        <w:rPr>
          <w:color w:val="000000"/>
          <w:szCs w:val="27"/>
          <w:shd w:val="clear" w:color="auto" w:fill="FFFFFF"/>
        </w:rPr>
        <w:t xml:space="preserve">tatutory impact on </w:t>
      </w:r>
      <w:r w:rsidR="00E7123A">
        <w:rPr>
          <w:color w:val="000000"/>
          <w:szCs w:val="27"/>
          <w:shd w:val="clear" w:color="auto" w:fill="FFFFFF"/>
        </w:rPr>
        <w:t>the terms of an</w:t>
      </w:r>
      <w:r w:rsidR="004D12D7">
        <w:rPr>
          <w:color w:val="000000"/>
          <w:szCs w:val="27"/>
          <w:shd w:val="clear" w:color="auto" w:fill="FFFFFF"/>
        </w:rPr>
        <w:t xml:space="preserve"> existing </w:t>
      </w:r>
      <w:r w:rsidR="003558EE">
        <w:rPr>
          <w:color w:val="000000"/>
          <w:szCs w:val="27"/>
          <w:shd w:val="clear" w:color="auto" w:fill="FFFFFF"/>
        </w:rPr>
        <w:t>contract</w:t>
      </w:r>
      <w:r w:rsidR="00AB4455">
        <w:rPr>
          <w:color w:val="000000"/>
          <w:szCs w:val="27"/>
          <w:shd w:val="clear" w:color="auto" w:fill="FFFFFF"/>
        </w:rPr>
        <w:t> </w:t>
      </w:r>
      <w:r w:rsidRPr="00001076" w:rsidR="00AB4455">
        <w:rPr>
          <w:szCs w:val="26"/>
        </w:rPr>
        <w:t>—</w:t>
      </w:r>
      <w:r w:rsidR="004F25D3">
        <w:rPr>
          <w:szCs w:val="26"/>
        </w:rPr>
        <w:t xml:space="preserve"> </w:t>
      </w:r>
      <w:r w:rsidR="003558EE">
        <w:rPr>
          <w:color w:val="000000"/>
          <w:szCs w:val="27"/>
          <w:shd w:val="clear" w:color="auto" w:fill="FFFFFF"/>
        </w:rPr>
        <w:t xml:space="preserve">including an </w:t>
      </w:r>
      <w:r w:rsidR="004D12D7">
        <w:rPr>
          <w:color w:val="000000"/>
          <w:szCs w:val="27"/>
          <w:shd w:val="clear" w:color="auto" w:fill="FFFFFF"/>
        </w:rPr>
        <w:t>insurance contract</w:t>
      </w:r>
      <w:r w:rsidR="00AB4455">
        <w:rPr>
          <w:color w:val="000000"/>
          <w:szCs w:val="27"/>
          <w:shd w:val="clear" w:color="auto" w:fill="FFFFFF"/>
        </w:rPr>
        <w:t> </w:t>
      </w:r>
      <w:r w:rsidRPr="00001076" w:rsidR="00AB4455">
        <w:rPr>
          <w:szCs w:val="26"/>
        </w:rPr>
        <w:t>—</w:t>
      </w:r>
      <w:r w:rsidR="004F25D3">
        <w:rPr>
          <w:szCs w:val="26"/>
        </w:rPr>
        <w:t xml:space="preserve"> </w:t>
      </w:r>
      <w:r w:rsidR="004D12D7">
        <w:rPr>
          <w:color w:val="000000"/>
          <w:szCs w:val="27"/>
          <w:shd w:val="clear" w:color="auto" w:fill="FFFFFF"/>
        </w:rPr>
        <w:t>as Protective Life urges.</w:t>
      </w:r>
      <w:r>
        <w:rPr>
          <w:color w:val="000000"/>
          <w:szCs w:val="27"/>
          <w:shd w:val="clear" w:color="auto" w:fill="FFFFFF"/>
        </w:rPr>
        <w:t xml:space="preserve">  </w:t>
      </w:r>
    </w:p>
    <w:p w:rsidR="00091572" w:rsidRPr="00926155" w:rsidP="00926155" w14:paraId="28E0400F" w14:textId="50C9562E">
      <w:pPr>
        <w:ind w:firstLine="720"/>
        <w:rPr>
          <w:szCs w:val="26"/>
        </w:rPr>
      </w:pPr>
      <w:r w:rsidRPr="0066284E">
        <w:rPr>
          <w:szCs w:val="26"/>
        </w:rPr>
        <w:t>Th</w:t>
      </w:r>
      <w:r w:rsidR="00BA7054">
        <w:rPr>
          <w:szCs w:val="26"/>
        </w:rPr>
        <w:t>e</w:t>
      </w:r>
      <w:r>
        <w:rPr>
          <w:szCs w:val="26"/>
        </w:rPr>
        <w:t xml:space="preserve"> two</w:t>
      </w:r>
      <w:r w:rsidR="004D12D7">
        <w:rPr>
          <w:szCs w:val="26"/>
        </w:rPr>
        <w:t xml:space="preserve"> </w:t>
      </w:r>
      <w:r w:rsidRPr="0066284E">
        <w:rPr>
          <w:szCs w:val="26"/>
        </w:rPr>
        <w:t>differ</w:t>
      </w:r>
      <w:r w:rsidRPr="0066284E" w:rsidR="00AD51B7">
        <w:rPr>
          <w:szCs w:val="26"/>
        </w:rPr>
        <w:t>ing</w:t>
      </w:r>
      <w:r w:rsidR="00BA7054">
        <w:rPr>
          <w:szCs w:val="26"/>
        </w:rPr>
        <w:t xml:space="preserve"> </w:t>
      </w:r>
      <w:r w:rsidR="003558EE">
        <w:rPr>
          <w:szCs w:val="26"/>
        </w:rPr>
        <w:t>conceptions</w:t>
      </w:r>
      <w:r w:rsidRPr="0066284E" w:rsidR="003558EE">
        <w:rPr>
          <w:szCs w:val="26"/>
        </w:rPr>
        <w:t xml:space="preserve"> </w:t>
      </w:r>
      <w:r w:rsidRPr="0066284E">
        <w:rPr>
          <w:szCs w:val="26"/>
        </w:rPr>
        <w:t xml:space="preserve">of </w:t>
      </w:r>
      <w:r w:rsidRPr="0066284E" w:rsidR="00AD51B7">
        <w:rPr>
          <w:szCs w:val="26"/>
        </w:rPr>
        <w:t>“retroactivity”</w:t>
      </w:r>
      <w:r w:rsidR="00336123">
        <w:rPr>
          <w:szCs w:val="26"/>
        </w:rPr>
        <w:t xml:space="preserve"> at play</w:t>
      </w:r>
      <w:r w:rsidRPr="0066284E" w:rsidR="00AD51B7">
        <w:rPr>
          <w:szCs w:val="26"/>
        </w:rPr>
        <w:t xml:space="preserve"> </w:t>
      </w:r>
      <w:r w:rsidR="003558EE">
        <w:rPr>
          <w:szCs w:val="26"/>
        </w:rPr>
        <w:t>underscore</w:t>
      </w:r>
      <w:r w:rsidRPr="0066284E" w:rsidR="003558EE">
        <w:rPr>
          <w:szCs w:val="26"/>
        </w:rPr>
        <w:t xml:space="preserve"> </w:t>
      </w:r>
      <w:r w:rsidR="004445F8">
        <w:rPr>
          <w:szCs w:val="26"/>
        </w:rPr>
        <w:t>why</w:t>
      </w:r>
      <w:r w:rsidR="003558EE">
        <w:rPr>
          <w:szCs w:val="26"/>
        </w:rPr>
        <w:t xml:space="preserve"> </w:t>
      </w:r>
      <w:r w:rsidRPr="0066284E" w:rsidR="00AD51B7">
        <w:t>the term</w:t>
      </w:r>
      <w:r w:rsidR="00F2426C">
        <w:t xml:space="preserve"> and its antonym</w:t>
      </w:r>
      <w:r w:rsidRPr="0066284E" w:rsidR="00AD51B7">
        <w:t xml:space="preserve"> “are not always easy to apply to a given statute.”  (</w:t>
      </w:r>
      <w:r w:rsidRPr="0066284E" w:rsidR="00AD51B7">
        <w:rPr>
          <w:i/>
          <w:iCs/>
          <w:szCs w:val="26"/>
          <w:shd w:val="clear" w:color="auto" w:fill="FFFFFF"/>
        </w:rPr>
        <w:t>Quarry</w:t>
      </w:r>
      <w:r w:rsidRPr="0066284E" w:rsidR="00256161">
        <w:rPr>
          <w:szCs w:val="26"/>
          <w:shd w:val="clear" w:color="auto" w:fill="FFFFFF"/>
        </w:rPr>
        <w:t xml:space="preserve">, </w:t>
      </w:r>
      <w:r w:rsidRPr="002101B3" w:rsidR="002101B3">
        <w:rPr>
          <w:i/>
          <w:iCs/>
          <w:szCs w:val="26"/>
          <w:shd w:val="clear" w:color="auto" w:fill="FFFFFF"/>
        </w:rPr>
        <w:t>supra</w:t>
      </w:r>
      <w:r w:rsidR="002101B3">
        <w:rPr>
          <w:szCs w:val="26"/>
          <w:shd w:val="clear" w:color="auto" w:fill="FFFFFF"/>
        </w:rPr>
        <w:t xml:space="preserve">, </w:t>
      </w:r>
      <w:r w:rsidRPr="009F24DB" w:rsidR="002101B3">
        <w:rPr>
          <w:szCs w:val="26"/>
          <w:shd w:val="clear" w:color="auto" w:fill="FFFFFF"/>
        </w:rPr>
        <w:t>53 Cal.4th</w:t>
      </w:r>
      <w:r w:rsidRPr="0066284E" w:rsidR="002101B3">
        <w:rPr>
          <w:szCs w:val="26"/>
          <w:shd w:val="clear" w:color="auto" w:fill="FFFFFF"/>
        </w:rPr>
        <w:t xml:space="preserve"> </w:t>
      </w:r>
      <w:r w:rsidRPr="0066284E" w:rsidR="00256161">
        <w:rPr>
          <w:szCs w:val="26"/>
          <w:shd w:val="clear" w:color="auto" w:fill="FFFFFF"/>
        </w:rPr>
        <w:t xml:space="preserve">at p. </w:t>
      </w:r>
      <w:r w:rsidRPr="0066284E" w:rsidR="00AD51B7">
        <w:rPr>
          <w:szCs w:val="26"/>
        </w:rPr>
        <w:t>955</w:t>
      </w:r>
      <w:r w:rsidR="00926155">
        <w:rPr>
          <w:szCs w:val="26"/>
        </w:rPr>
        <w:t xml:space="preserve">; see </w:t>
      </w:r>
      <w:bookmarkStart w:id="26" w:name="_Hlk77586293"/>
      <w:r w:rsidRPr="00926155" w:rsidR="00926155">
        <w:rPr>
          <w:szCs w:val="26"/>
        </w:rPr>
        <w:t>2 Sutherland</w:t>
      </w:r>
      <w:r w:rsidRPr="00001076" w:rsidR="003C28F0">
        <w:rPr>
          <w:szCs w:val="26"/>
        </w:rPr>
        <w:t>, Statutes and</w:t>
      </w:r>
      <w:r w:rsidRPr="00926155" w:rsidR="00926155">
        <w:rPr>
          <w:szCs w:val="26"/>
        </w:rPr>
        <w:t xml:space="preserve"> Statutory Construction (7th ed.</w:t>
      </w:r>
      <w:r w:rsidR="00926155">
        <w:rPr>
          <w:szCs w:val="26"/>
        </w:rPr>
        <w:t xml:space="preserve"> </w:t>
      </w:r>
      <w:r w:rsidRPr="00001076" w:rsidR="00684C06">
        <w:rPr>
          <w:szCs w:val="26"/>
        </w:rPr>
        <w:t xml:space="preserve">2009) </w:t>
      </w:r>
      <w:r w:rsidRPr="00001076" w:rsidR="00926155">
        <w:rPr>
          <w:szCs w:val="26"/>
        </w:rPr>
        <w:t>§</w:t>
      </w:r>
      <w:r w:rsidRPr="00001076" w:rsidR="00684C06">
        <w:rPr>
          <w:szCs w:val="26"/>
        </w:rPr>
        <w:t> </w:t>
      </w:r>
      <w:r w:rsidRPr="00001076" w:rsidR="00926155">
        <w:rPr>
          <w:szCs w:val="26"/>
        </w:rPr>
        <w:t>41:1</w:t>
      </w:r>
      <w:r w:rsidRPr="00001076" w:rsidR="00684C06">
        <w:rPr>
          <w:szCs w:val="26"/>
        </w:rPr>
        <w:t xml:space="preserve">, </w:t>
      </w:r>
      <w:r w:rsidRPr="00001076" w:rsidR="00684C06">
        <w:rPr>
          <w:color w:val="000000"/>
          <w:szCs w:val="26"/>
        </w:rPr>
        <w:t>p.</w:t>
      </w:r>
      <w:r w:rsidRPr="00001076" w:rsidR="00A86150">
        <w:rPr>
          <w:color w:val="000000"/>
          <w:szCs w:val="26"/>
        </w:rPr>
        <w:t xml:space="preserve"> 385</w:t>
      </w:r>
      <w:r w:rsidRPr="00001076" w:rsidR="00926155">
        <w:rPr>
          <w:szCs w:val="26"/>
        </w:rPr>
        <w:t>.)</w:t>
      </w:r>
      <w:r w:rsidR="00926155">
        <w:rPr>
          <w:szCs w:val="26"/>
        </w:rPr>
        <w:t xml:space="preserve"> </w:t>
      </w:r>
      <w:bookmarkEnd w:id="26"/>
      <w:r w:rsidR="00926155">
        <w:rPr>
          <w:szCs w:val="26"/>
        </w:rPr>
        <w:t xml:space="preserve"> </w:t>
      </w:r>
      <w:r w:rsidR="005867C9">
        <w:t>E</w:t>
      </w:r>
      <w:r w:rsidR="00386147">
        <w:t xml:space="preserve">stablished </w:t>
      </w:r>
      <w:r w:rsidR="00876866">
        <w:t xml:space="preserve">precedent </w:t>
      </w:r>
      <w:r w:rsidR="005867C9">
        <w:t xml:space="preserve">nonetheless </w:t>
      </w:r>
      <w:r w:rsidR="00200CBC">
        <w:t xml:space="preserve">helps </w:t>
      </w:r>
      <w:r w:rsidR="005867C9">
        <w:t xml:space="preserve">us </w:t>
      </w:r>
      <w:r w:rsidR="00336123">
        <w:t>clarif</w:t>
      </w:r>
      <w:r w:rsidR="00200CBC">
        <w:t>y</w:t>
      </w:r>
      <w:r w:rsidR="00336123">
        <w:t xml:space="preserve"> any potential ambiguity</w:t>
      </w:r>
      <w:r w:rsidR="00CA0C8D">
        <w:t xml:space="preserve"> and </w:t>
      </w:r>
      <w:r w:rsidR="000643CE">
        <w:t>strongly favors</w:t>
      </w:r>
      <w:r w:rsidR="00CA0C8D">
        <w:t xml:space="preserve"> plaintiffs’ </w:t>
      </w:r>
      <w:r w:rsidR="00415103">
        <w:t>retroactivity approach.</w:t>
      </w:r>
    </w:p>
    <w:p w:rsidR="003558EE" w:rsidP="00857802" w14:paraId="170920F4" w14:textId="60038D81">
      <w:pPr>
        <w:ind w:firstLine="720"/>
        <w:rPr>
          <w:color w:val="000000"/>
          <w:szCs w:val="26"/>
        </w:rPr>
      </w:pPr>
      <w:r w:rsidRPr="00A718FA">
        <w:rPr>
          <w:color w:val="000000"/>
          <w:szCs w:val="26"/>
        </w:rPr>
        <w:t>C</w:t>
      </w:r>
      <w:r w:rsidRPr="00A718FA" w:rsidR="00B2221E">
        <w:rPr>
          <w:color w:val="000000"/>
          <w:szCs w:val="26"/>
        </w:rPr>
        <w:t xml:space="preserve">onsistent with the </w:t>
      </w:r>
      <w:r w:rsidR="005867C9">
        <w:rPr>
          <w:color w:val="000000"/>
          <w:szCs w:val="26"/>
        </w:rPr>
        <w:t>presumption’s</w:t>
      </w:r>
      <w:r w:rsidRPr="00A718FA" w:rsidR="00EA281B">
        <w:rPr>
          <w:color w:val="000000"/>
          <w:szCs w:val="26"/>
        </w:rPr>
        <w:t xml:space="preserve"> </w:t>
      </w:r>
      <w:r w:rsidRPr="00A718FA" w:rsidR="00BC0036">
        <w:rPr>
          <w:color w:val="000000"/>
          <w:szCs w:val="26"/>
        </w:rPr>
        <w:t>underlying logic</w:t>
      </w:r>
      <w:r w:rsidRPr="00A718FA" w:rsidR="00270C8D">
        <w:rPr>
          <w:color w:val="000000"/>
          <w:szCs w:val="26"/>
        </w:rPr>
        <w:t xml:space="preserve">, </w:t>
      </w:r>
      <w:r w:rsidRPr="00A718FA" w:rsidR="00FF2CC2">
        <w:rPr>
          <w:color w:val="000000"/>
          <w:szCs w:val="26"/>
        </w:rPr>
        <w:t>our cases</w:t>
      </w:r>
      <w:r w:rsidRPr="00A718FA" w:rsidR="008D46ED">
        <w:rPr>
          <w:color w:val="000000"/>
          <w:szCs w:val="26"/>
        </w:rPr>
        <w:t xml:space="preserve"> </w:t>
      </w:r>
      <w:r w:rsidRPr="00A718FA" w:rsidR="00CC5E5C">
        <w:rPr>
          <w:color w:val="000000"/>
          <w:szCs w:val="26"/>
        </w:rPr>
        <w:t>defining</w:t>
      </w:r>
      <w:r w:rsidRPr="00A718FA" w:rsidR="008D46ED">
        <w:rPr>
          <w:color w:val="000000"/>
          <w:szCs w:val="26"/>
        </w:rPr>
        <w:t xml:space="preserve"> “retroactivity” have </w:t>
      </w:r>
      <w:r w:rsidRPr="00A718FA" w:rsidR="00DA0A46">
        <w:rPr>
          <w:color w:val="000000"/>
          <w:szCs w:val="26"/>
        </w:rPr>
        <w:t xml:space="preserve">principally </w:t>
      </w:r>
      <w:r w:rsidRPr="00A718FA" w:rsidR="008D46ED">
        <w:rPr>
          <w:color w:val="000000"/>
          <w:szCs w:val="26"/>
        </w:rPr>
        <w:t>focus</w:t>
      </w:r>
      <w:r w:rsidRPr="00A718FA" w:rsidR="000E75C5">
        <w:rPr>
          <w:color w:val="000000"/>
          <w:szCs w:val="26"/>
        </w:rPr>
        <w:t>ed</w:t>
      </w:r>
      <w:r w:rsidRPr="00A718FA" w:rsidR="008D46ED">
        <w:rPr>
          <w:color w:val="000000"/>
          <w:szCs w:val="26"/>
        </w:rPr>
        <w:t xml:space="preserve"> on whether the statutory change in question </w:t>
      </w:r>
      <w:r w:rsidRPr="00A718FA" w:rsidR="008D46ED">
        <w:rPr>
          <w:i/>
          <w:iCs/>
          <w:color w:val="000000"/>
          <w:szCs w:val="26"/>
        </w:rPr>
        <w:t>significantly</w:t>
      </w:r>
      <w:r w:rsidRPr="00A718FA" w:rsidR="008D46ED">
        <w:rPr>
          <w:color w:val="000000"/>
          <w:szCs w:val="26"/>
        </w:rPr>
        <w:t xml:space="preserve"> alters settled expectations:  by changing the legal consequences of past events</w:t>
      </w:r>
      <w:r w:rsidRPr="00A718FA">
        <w:rPr>
          <w:color w:val="000000"/>
          <w:szCs w:val="26"/>
        </w:rPr>
        <w:t>,</w:t>
      </w:r>
      <w:r w:rsidRPr="00A718FA" w:rsidR="008D46ED">
        <w:rPr>
          <w:color w:val="000000"/>
          <w:szCs w:val="26"/>
        </w:rPr>
        <w:t xml:space="preserve"> or vitiating substantial rights established by prior law.</w:t>
      </w:r>
      <w:r w:rsidR="008D46ED">
        <w:rPr>
          <w:color w:val="000000"/>
          <w:szCs w:val="26"/>
        </w:rPr>
        <w:t xml:space="preserve">  </w:t>
      </w:r>
      <w:r w:rsidR="00C70737">
        <w:rPr>
          <w:color w:val="000000"/>
          <w:szCs w:val="26"/>
        </w:rPr>
        <w:t>(</w:t>
      </w:r>
      <w:r w:rsidR="005A14D1">
        <w:rPr>
          <w:color w:val="000000"/>
          <w:szCs w:val="26"/>
        </w:rPr>
        <w:t xml:space="preserve">See, e.g., </w:t>
      </w:r>
      <w:r w:rsidRPr="00C0034A" w:rsidR="00EE76E0">
        <w:rPr>
          <w:i/>
          <w:iCs/>
          <w:color w:val="000000"/>
          <w:szCs w:val="26"/>
        </w:rPr>
        <w:t>Quarry</w:t>
      </w:r>
      <w:r w:rsidR="00C0034A">
        <w:rPr>
          <w:color w:val="000000"/>
          <w:szCs w:val="26"/>
        </w:rPr>
        <w:t xml:space="preserve">, </w:t>
      </w:r>
      <w:r w:rsidRPr="005A14D1" w:rsidR="00C0034A">
        <w:rPr>
          <w:i/>
          <w:iCs/>
          <w:color w:val="000000"/>
          <w:szCs w:val="26"/>
        </w:rPr>
        <w:t>sup</w:t>
      </w:r>
      <w:r w:rsidRPr="005A14D1" w:rsidR="005A14D1">
        <w:rPr>
          <w:i/>
          <w:iCs/>
          <w:color w:val="000000"/>
          <w:szCs w:val="26"/>
        </w:rPr>
        <w:t>r</w:t>
      </w:r>
      <w:r w:rsidRPr="005A14D1" w:rsidR="00C0034A">
        <w:rPr>
          <w:i/>
          <w:iCs/>
          <w:color w:val="000000"/>
          <w:szCs w:val="26"/>
        </w:rPr>
        <w:t>a</w:t>
      </w:r>
      <w:r w:rsidR="00C0034A">
        <w:rPr>
          <w:color w:val="000000"/>
          <w:szCs w:val="26"/>
        </w:rPr>
        <w:t>,</w:t>
      </w:r>
      <w:r w:rsidR="005A14D1">
        <w:rPr>
          <w:color w:val="000000"/>
          <w:szCs w:val="26"/>
        </w:rPr>
        <w:t xml:space="preserve"> 53 Cal.4th at p. 956; </w:t>
      </w:r>
      <w:r w:rsidRPr="007B6D67" w:rsidR="003F6425">
        <w:rPr>
          <w:i/>
          <w:iCs/>
          <w:szCs w:val="26"/>
        </w:rPr>
        <w:t>Strauss v. Horton</w:t>
      </w:r>
      <w:r w:rsidRPr="007B6D67" w:rsidR="003F6425">
        <w:rPr>
          <w:szCs w:val="26"/>
        </w:rPr>
        <w:t> (2009) 46 Cal.4th 364, 472</w:t>
      </w:r>
      <w:r w:rsidR="003F6425">
        <w:rPr>
          <w:color w:val="000000"/>
          <w:szCs w:val="26"/>
        </w:rPr>
        <w:t xml:space="preserve">; </w:t>
      </w:r>
      <w:r w:rsidRPr="00817494" w:rsidR="0096757C">
        <w:rPr>
          <w:i/>
          <w:iCs/>
        </w:rPr>
        <w:t>Elsner</w:t>
      </w:r>
      <w:r w:rsidR="0096757C">
        <w:rPr>
          <w:i/>
          <w:iCs/>
        </w:rPr>
        <w:t xml:space="preserve"> v. Uveges</w:t>
      </w:r>
      <w:r w:rsidR="0096757C">
        <w:t xml:space="preserve"> (2004) 34 Cal.4th 915, 937;</w:t>
      </w:r>
      <w:r w:rsidR="00C2428C">
        <w:rPr>
          <w:color w:val="000000"/>
          <w:szCs w:val="26"/>
        </w:rPr>
        <w:t xml:space="preserve"> </w:t>
      </w:r>
      <w:r w:rsidRPr="00DC60B3" w:rsidR="00DC60B3">
        <w:rPr>
          <w:i/>
          <w:iCs/>
          <w:color w:val="000000"/>
          <w:szCs w:val="26"/>
        </w:rPr>
        <w:t>McClung</w:t>
      </w:r>
      <w:r w:rsidR="00DC60B3">
        <w:rPr>
          <w:color w:val="000000"/>
          <w:szCs w:val="26"/>
        </w:rPr>
        <w:t xml:space="preserve">, </w:t>
      </w:r>
      <w:r w:rsidRPr="00DC60B3" w:rsidR="00DC60B3">
        <w:rPr>
          <w:i/>
          <w:iCs/>
          <w:color w:val="000000"/>
          <w:szCs w:val="26"/>
        </w:rPr>
        <w:t>supra</w:t>
      </w:r>
      <w:r w:rsidR="00DC60B3">
        <w:rPr>
          <w:color w:val="000000"/>
          <w:szCs w:val="26"/>
        </w:rPr>
        <w:t>, 34 Cal.4th at p. 472;</w:t>
      </w:r>
      <w:r w:rsidR="00C86F1C">
        <w:rPr>
          <w:color w:val="000000"/>
          <w:szCs w:val="26"/>
        </w:rPr>
        <w:t xml:space="preserve"> </w:t>
      </w:r>
      <w:r w:rsidRPr="00F40D61" w:rsidR="008B4123">
        <w:rPr>
          <w:i/>
          <w:iCs/>
        </w:rPr>
        <w:t>Tapia</w:t>
      </w:r>
      <w:r w:rsidRPr="00C253B1" w:rsidR="00C253B1">
        <w:t>,</w:t>
      </w:r>
      <w:r w:rsidR="00C253B1">
        <w:rPr>
          <w:i/>
          <w:iCs/>
        </w:rPr>
        <w:t xml:space="preserve"> supra, </w:t>
      </w:r>
      <w:r w:rsidR="008B4123">
        <w:t xml:space="preserve">53 Cal.3d </w:t>
      </w:r>
      <w:r w:rsidR="00C253B1">
        <w:t>at p.</w:t>
      </w:r>
      <w:r w:rsidR="008B4123">
        <w:t xml:space="preserve"> 290</w:t>
      </w:r>
      <w:r w:rsidR="000E6326">
        <w:t>; see</w:t>
      </w:r>
      <w:r w:rsidR="000E6326">
        <w:rPr>
          <w:color w:val="000000"/>
          <w:szCs w:val="27"/>
          <w:shd w:val="clear" w:color="auto" w:fill="FFFFFF"/>
        </w:rPr>
        <w:t xml:space="preserve"> also </w:t>
      </w:r>
      <w:bookmarkStart w:id="27" w:name="_Hlk77318195"/>
      <w:r w:rsidRPr="00A2413E" w:rsidR="00857802">
        <w:rPr>
          <w:i/>
          <w:iCs/>
          <w:color w:val="000000"/>
          <w:szCs w:val="26"/>
        </w:rPr>
        <w:t>W</w:t>
      </w:r>
      <w:r w:rsidR="00857802">
        <w:rPr>
          <w:i/>
          <w:iCs/>
          <w:color w:val="000000"/>
          <w:szCs w:val="26"/>
        </w:rPr>
        <w:t>estern</w:t>
      </w:r>
      <w:r w:rsidRPr="00A2413E" w:rsidR="00857802">
        <w:rPr>
          <w:i/>
          <w:iCs/>
          <w:color w:val="000000"/>
          <w:szCs w:val="26"/>
        </w:rPr>
        <w:t xml:space="preserve"> Sec</w:t>
      </w:r>
      <w:r w:rsidR="00857802">
        <w:rPr>
          <w:i/>
          <w:iCs/>
          <w:color w:val="000000"/>
          <w:szCs w:val="26"/>
        </w:rPr>
        <w:t>urity</w:t>
      </w:r>
      <w:r w:rsidRPr="00A2413E" w:rsidR="00857802">
        <w:rPr>
          <w:i/>
          <w:iCs/>
          <w:color w:val="000000"/>
          <w:szCs w:val="26"/>
        </w:rPr>
        <w:t xml:space="preserve"> Bank v. Superior Court</w:t>
      </w:r>
      <w:r w:rsidRPr="00A2413E" w:rsidR="00857802">
        <w:rPr>
          <w:color w:val="000000"/>
          <w:szCs w:val="26"/>
        </w:rPr>
        <w:t xml:space="preserve"> (1997) 15 Cal.4th 232, 243</w:t>
      </w:r>
      <w:r w:rsidR="00857802">
        <w:rPr>
          <w:color w:val="000000"/>
          <w:szCs w:val="26"/>
        </w:rPr>
        <w:t xml:space="preserve"> (</w:t>
      </w:r>
      <w:r w:rsidRPr="00F95628" w:rsidR="00857802">
        <w:rPr>
          <w:i/>
          <w:iCs/>
          <w:color w:val="000000"/>
          <w:szCs w:val="26"/>
        </w:rPr>
        <w:t>Western</w:t>
      </w:r>
      <w:r w:rsidR="00857802">
        <w:rPr>
          <w:color w:val="000000"/>
          <w:szCs w:val="26"/>
        </w:rPr>
        <w:t>)</w:t>
      </w:r>
      <w:r w:rsidR="001F5B2D">
        <w:rPr>
          <w:color w:val="000000"/>
          <w:szCs w:val="27"/>
          <w:shd w:val="clear" w:color="auto" w:fill="FFFFFF"/>
        </w:rPr>
        <w:t xml:space="preserve"> </w:t>
      </w:r>
      <w:bookmarkEnd w:id="27"/>
      <w:r w:rsidR="000E6326">
        <w:rPr>
          <w:color w:val="000000"/>
          <w:szCs w:val="27"/>
          <w:shd w:val="clear" w:color="auto" w:fill="FFFFFF"/>
        </w:rPr>
        <w:t xml:space="preserve">[a </w:t>
      </w:r>
      <w:r w:rsidRPr="003924A0" w:rsidR="000E6326">
        <w:rPr>
          <w:color w:val="000000"/>
          <w:szCs w:val="27"/>
          <w:shd w:val="clear" w:color="auto" w:fill="FFFFFF"/>
        </w:rPr>
        <w:t>r</w:t>
      </w:r>
      <w:r w:rsidR="000E6326">
        <w:rPr>
          <w:color w:val="000000"/>
          <w:szCs w:val="27"/>
          <w:shd w:val="clear" w:color="auto" w:fill="FFFFFF"/>
        </w:rPr>
        <w:t>etroactive statute</w:t>
      </w:r>
      <w:r w:rsidRPr="003924A0" w:rsidR="000E6326">
        <w:rPr>
          <w:color w:val="000000"/>
          <w:szCs w:val="27"/>
          <w:shd w:val="clear" w:color="auto" w:fill="FFFFFF"/>
        </w:rPr>
        <w:t xml:space="preserve"> </w:t>
      </w:r>
      <w:r w:rsidR="000E6326">
        <w:rPr>
          <w:color w:val="000000"/>
          <w:szCs w:val="27"/>
          <w:shd w:val="clear" w:color="auto" w:fill="FFFFFF"/>
        </w:rPr>
        <w:t>“</w:t>
      </w:r>
      <w:r w:rsidRPr="003924A0" w:rsidR="000E6326">
        <w:rPr>
          <w:color w:val="000000"/>
          <w:szCs w:val="27"/>
          <w:shd w:val="clear" w:color="auto" w:fill="FFFFFF"/>
        </w:rPr>
        <w:t>substantially changes the legal consequences of past events</w:t>
      </w:r>
      <w:r w:rsidR="000E6326">
        <w:rPr>
          <w:color w:val="000000"/>
          <w:szCs w:val="27"/>
          <w:shd w:val="clear" w:color="auto" w:fill="FFFFFF"/>
        </w:rPr>
        <w:t>,” and</w:t>
      </w:r>
      <w:r w:rsidRPr="003924A0" w:rsidR="000E6326">
        <w:rPr>
          <w:color w:val="000000"/>
          <w:szCs w:val="27"/>
          <w:shd w:val="clear" w:color="auto" w:fill="FFFFFF"/>
        </w:rPr>
        <w:t xml:space="preserve"> </w:t>
      </w:r>
      <w:r w:rsidRPr="00001076" w:rsidR="000E6326">
        <w:rPr>
          <w:color w:val="000000"/>
          <w:szCs w:val="27"/>
          <w:shd w:val="clear" w:color="auto" w:fill="FFFFFF"/>
        </w:rPr>
        <w:t>“</w:t>
      </w:r>
      <w:r w:rsidRPr="00001076" w:rsidR="001B1761">
        <w:rPr>
          <w:color w:val="000000"/>
          <w:szCs w:val="27"/>
          <w:shd w:val="clear" w:color="auto" w:fill="FFFFFF"/>
        </w:rPr>
        <w:t>[</w:t>
      </w:r>
      <w:r w:rsidR="000E6326">
        <w:rPr>
          <w:color w:val="000000"/>
          <w:szCs w:val="27"/>
          <w:shd w:val="clear" w:color="auto" w:fill="FFFFFF"/>
        </w:rPr>
        <w:t>a</w:t>
      </w:r>
      <w:r w:rsidRPr="00001076" w:rsidR="001B1761">
        <w:rPr>
          <w:color w:val="000000"/>
          <w:szCs w:val="27"/>
          <w:shd w:val="clear" w:color="auto" w:fill="FFFFFF"/>
        </w:rPr>
        <w:t>]</w:t>
      </w:r>
      <w:r w:rsidRPr="003924A0" w:rsidR="000E6326">
        <w:rPr>
          <w:color w:val="000000"/>
          <w:szCs w:val="27"/>
          <w:shd w:val="clear" w:color="auto" w:fill="FFFFFF"/>
        </w:rPr>
        <w:t xml:space="preserve"> statute does not operate retrospectively simply because its application depends on facts or conditions existing before its enactment</w:t>
      </w:r>
      <w:r w:rsidR="000E6326">
        <w:rPr>
          <w:color w:val="000000"/>
          <w:szCs w:val="27"/>
          <w:shd w:val="clear" w:color="auto" w:fill="FFFFFF"/>
        </w:rPr>
        <w:t xml:space="preserve">”]; </w:t>
      </w:r>
      <w:bookmarkStart w:id="28" w:name="_Hlk77318299"/>
      <w:r w:rsidRPr="000E6326" w:rsidR="000E6326">
        <w:rPr>
          <w:i/>
          <w:iCs/>
          <w:color w:val="000000"/>
          <w:szCs w:val="26"/>
        </w:rPr>
        <w:t xml:space="preserve">Landgraf v. USI Film </w:t>
      </w:r>
      <w:r w:rsidRPr="00001076" w:rsidR="000E6326">
        <w:rPr>
          <w:i/>
          <w:iCs/>
          <w:color w:val="000000"/>
          <w:szCs w:val="26"/>
        </w:rPr>
        <w:t>Prod</w:t>
      </w:r>
      <w:r w:rsidRPr="00001076" w:rsidR="003F6A44">
        <w:rPr>
          <w:i/>
          <w:iCs/>
          <w:color w:val="000000"/>
          <w:szCs w:val="26"/>
        </w:rPr>
        <w:t>ucts</w:t>
      </w:r>
      <w:r w:rsidRPr="000E6326" w:rsidR="000E6326">
        <w:rPr>
          <w:i/>
          <w:iCs/>
          <w:color w:val="000000"/>
          <w:szCs w:val="26"/>
        </w:rPr>
        <w:t xml:space="preserve"> </w:t>
      </w:r>
      <w:r w:rsidR="000E6326">
        <w:rPr>
          <w:color w:val="000000"/>
          <w:szCs w:val="26"/>
        </w:rPr>
        <w:t>(1994)</w:t>
      </w:r>
      <w:r w:rsidRPr="000E6326" w:rsidR="000E6326">
        <w:rPr>
          <w:color w:val="000000"/>
          <w:szCs w:val="26"/>
        </w:rPr>
        <w:t xml:space="preserve"> 511 U.S. 244, </w:t>
      </w:r>
      <w:r w:rsidR="0073104E">
        <w:rPr>
          <w:color w:val="000000"/>
          <w:szCs w:val="26"/>
        </w:rPr>
        <w:t xml:space="preserve">266, </w:t>
      </w:r>
      <w:r w:rsidRPr="000E6326" w:rsidR="000E6326">
        <w:rPr>
          <w:color w:val="000000"/>
          <w:szCs w:val="26"/>
        </w:rPr>
        <w:t>269–</w:t>
      </w:r>
      <w:r w:rsidR="000E6326">
        <w:rPr>
          <w:color w:val="000000"/>
          <w:szCs w:val="26"/>
        </w:rPr>
        <w:t>2</w:t>
      </w:r>
      <w:r w:rsidRPr="000E6326" w:rsidR="000E6326">
        <w:rPr>
          <w:color w:val="000000"/>
          <w:szCs w:val="26"/>
        </w:rPr>
        <w:t>70</w:t>
      </w:r>
      <w:r w:rsidR="006629B9">
        <w:rPr>
          <w:color w:val="000000"/>
          <w:szCs w:val="26"/>
        </w:rPr>
        <w:t xml:space="preserve"> (</w:t>
      </w:r>
      <w:r w:rsidRPr="006629B9" w:rsidR="006629B9">
        <w:rPr>
          <w:i/>
          <w:iCs/>
          <w:color w:val="000000"/>
          <w:szCs w:val="26"/>
        </w:rPr>
        <w:t>Landgraf</w:t>
      </w:r>
      <w:r w:rsidR="006629B9">
        <w:rPr>
          <w:color w:val="000000"/>
          <w:szCs w:val="26"/>
        </w:rPr>
        <w:t>)</w:t>
      </w:r>
      <w:bookmarkEnd w:id="28"/>
      <w:r w:rsidR="000E6326">
        <w:rPr>
          <w:color w:val="000000"/>
          <w:szCs w:val="26"/>
        </w:rPr>
        <w:t xml:space="preserve"> [similar]</w:t>
      </w:r>
      <w:r w:rsidR="001D446E">
        <w:rPr>
          <w:color w:val="000000"/>
          <w:szCs w:val="26"/>
        </w:rPr>
        <w:t>.)</w:t>
      </w:r>
      <w:r w:rsidRPr="00001076" w:rsidR="004A4D00">
        <w:rPr>
          <w:color w:val="000000"/>
          <w:szCs w:val="26"/>
        </w:rPr>
        <w:t xml:space="preserve"> </w:t>
      </w:r>
      <w:r w:rsidR="000E6326">
        <w:rPr>
          <w:color w:val="000000"/>
          <w:szCs w:val="26"/>
        </w:rPr>
        <w:t xml:space="preserve"> </w:t>
      </w:r>
      <w:r w:rsidR="001D446E">
        <w:rPr>
          <w:color w:val="000000"/>
          <w:szCs w:val="26"/>
        </w:rPr>
        <w:t>Even</w:t>
      </w:r>
      <w:r w:rsidR="000E6326">
        <w:rPr>
          <w:color w:val="000000"/>
          <w:szCs w:val="26"/>
        </w:rPr>
        <w:t xml:space="preserve"> </w:t>
      </w:r>
      <w:r w:rsidRPr="00741F27" w:rsidR="000E6326">
        <w:rPr>
          <w:i/>
          <w:iCs/>
          <w:color w:val="000000"/>
          <w:szCs w:val="26"/>
        </w:rPr>
        <w:t>Myers</w:t>
      </w:r>
      <w:r w:rsidR="000E6326">
        <w:rPr>
          <w:color w:val="000000"/>
          <w:szCs w:val="26"/>
        </w:rPr>
        <w:t xml:space="preserve">, </w:t>
      </w:r>
      <w:r w:rsidRPr="00741F27" w:rsidR="000E6326">
        <w:rPr>
          <w:i/>
          <w:iCs/>
          <w:color w:val="000000"/>
          <w:szCs w:val="26"/>
        </w:rPr>
        <w:t>supra</w:t>
      </w:r>
      <w:r w:rsidR="000E6326">
        <w:rPr>
          <w:color w:val="000000"/>
          <w:szCs w:val="26"/>
        </w:rPr>
        <w:t>, 28 Cal.4th at p</w:t>
      </w:r>
      <w:r w:rsidR="001D446E">
        <w:rPr>
          <w:color w:val="000000"/>
          <w:szCs w:val="26"/>
        </w:rPr>
        <w:t>age</w:t>
      </w:r>
      <w:r w:rsidR="000E6326">
        <w:rPr>
          <w:color w:val="000000"/>
          <w:szCs w:val="26"/>
        </w:rPr>
        <w:t xml:space="preserve"> 839 </w:t>
      </w:r>
      <w:r w:rsidR="001D446E">
        <w:rPr>
          <w:color w:val="000000"/>
          <w:szCs w:val="26"/>
        </w:rPr>
        <w:t>followed</w:t>
      </w:r>
      <w:r w:rsidR="000E6326">
        <w:rPr>
          <w:color w:val="000000"/>
          <w:szCs w:val="26"/>
        </w:rPr>
        <w:t xml:space="preserve"> up its </w:t>
      </w:r>
      <w:r w:rsidR="001D446E">
        <w:rPr>
          <w:color w:val="000000"/>
          <w:szCs w:val="26"/>
        </w:rPr>
        <w:t xml:space="preserve">potentially </w:t>
      </w:r>
      <w:r w:rsidR="000E6326">
        <w:rPr>
          <w:color w:val="000000"/>
          <w:szCs w:val="26"/>
        </w:rPr>
        <w:t>more expansive articulation of “retroactivity” by explaining that, “[p]hrased another way, a statute that operates to ‘increase a party’s liability for past conduct’ is retroactive</w:t>
      </w:r>
      <w:r w:rsidR="001D446E">
        <w:rPr>
          <w:color w:val="000000"/>
          <w:szCs w:val="26"/>
        </w:rPr>
        <w:t>.</w:t>
      </w:r>
      <w:r w:rsidR="000E6326">
        <w:rPr>
          <w:color w:val="000000"/>
          <w:szCs w:val="26"/>
        </w:rPr>
        <w:t xml:space="preserve">”  </w:t>
      </w:r>
      <w:r w:rsidR="003752D5">
        <w:rPr>
          <w:color w:val="000000"/>
          <w:szCs w:val="26"/>
        </w:rPr>
        <w:t>L</w:t>
      </w:r>
      <w:r w:rsidR="00FF2CC2">
        <w:rPr>
          <w:color w:val="000000"/>
          <w:szCs w:val="26"/>
        </w:rPr>
        <w:t xml:space="preserve">eading cases </w:t>
      </w:r>
      <w:r w:rsidR="00D133FF">
        <w:rPr>
          <w:color w:val="000000"/>
          <w:szCs w:val="26"/>
        </w:rPr>
        <w:t xml:space="preserve">addressing “retroactive” legislation have confronted such </w:t>
      </w:r>
      <w:r w:rsidR="00977D3E">
        <w:rPr>
          <w:color w:val="000000"/>
          <w:szCs w:val="26"/>
        </w:rPr>
        <w:t>changes in settled expectations.</w:t>
      </w:r>
      <w:r w:rsidR="002B219A">
        <w:rPr>
          <w:color w:val="000000"/>
          <w:szCs w:val="26"/>
        </w:rPr>
        <w:t xml:space="preserve">  </w:t>
      </w:r>
    </w:p>
    <w:p w:rsidR="003B63DA" w:rsidRPr="00E610CE" w:rsidP="00A7559E" w14:paraId="4E21B194" w14:textId="37CAD36F">
      <w:pPr>
        <w:ind w:firstLine="720"/>
      </w:pPr>
      <w:r>
        <w:t xml:space="preserve">This was true, for example, of the </w:t>
      </w:r>
      <w:r w:rsidRPr="00001076" w:rsidR="008A1CA0">
        <w:t>amendments to t</w:t>
      </w:r>
      <w:r w:rsidRPr="00001076">
        <w:t xml:space="preserve">itle VII </w:t>
      </w:r>
      <w:r w:rsidRPr="00001076" w:rsidR="008A1CA0">
        <w:t xml:space="preserve">of the Civil Rights Act of 1964 </w:t>
      </w:r>
      <w:r w:rsidRPr="00001076" w:rsidR="001B1761">
        <w:t xml:space="preserve">(42 U.S.C. </w:t>
      </w:r>
      <w:r w:rsidRPr="00001076" w:rsidR="001B1761">
        <w:rPr>
          <w:color w:val="000000"/>
        </w:rPr>
        <w:t>§ 2000e et seq.)</w:t>
      </w:r>
      <w:r>
        <w:t xml:space="preserve"> at issue in</w:t>
      </w:r>
      <w:r w:rsidRPr="0070233B">
        <w:rPr>
          <w:i/>
          <w:iCs/>
        </w:rPr>
        <w:t xml:space="preserve"> </w:t>
      </w:r>
      <w:r w:rsidRPr="008D46ED">
        <w:rPr>
          <w:i/>
          <w:iCs/>
        </w:rPr>
        <w:t>Landgraf</w:t>
      </w:r>
      <w:r w:rsidR="008D46ED">
        <w:t xml:space="preserve">, </w:t>
      </w:r>
      <w:r w:rsidRPr="006D70CA" w:rsidR="008D46ED">
        <w:rPr>
          <w:i/>
          <w:iCs/>
        </w:rPr>
        <w:t>supra</w:t>
      </w:r>
      <w:r w:rsidR="008D46ED">
        <w:t xml:space="preserve">, </w:t>
      </w:r>
      <w:r w:rsidRPr="008D46ED">
        <w:t>511</w:t>
      </w:r>
      <w:r w:rsidRPr="00410393">
        <w:t xml:space="preserve"> U.S. 244</w:t>
      </w:r>
      <w:r w:rsidR="005867C9">
        <w:t>.  The changes</w:t>
      </w:r>
      <w:r>
        <w:t xml:space="preserve"> </w:t>
      </w:r>
      <w:r w:rsidR="00950897">
        <w:t>matched</w:t>
      </w:r>
      <w:r w:rsidR="005867C9">
        <w:t xml:space="preserve"> </w:t>
      </w:r>
      <w:r>
        <w:t xml:space="preserve">new remedies </w:t>
      </w:r>
      <w:r w:rsidR="00950897">
        <w:t xml:space="preserve">to </w:t>
      </w:r>
      <w:r>
        <w:t>certain statutory violations</w:t>
      </w:r>
      <w:r w:rsidR="00950897">
        <w:t>.</w:t>
      </w:r>
      <w:r w:rsidR="00783358">
        <w:t xml:space="preserve">  (</w:t>
      </w:r>
      <w:r w:rsidRPr="00783358" w:rsidR="00783358">
        <w:rPr>
          <w:i/>
          <w:iCs/>
        </w:rPr>
        <w:t>Ibid</w:t>
      </w:r>
      <w:r w:rsidR="00783358">
        <w:t>.)</w:t>
      </w:r>
      <w:r w:rsidR="00B00734">
        <w:t xml:space="preserve">  </w:t>
      </w:r>
      <w:r w:rsidR="00950897">
        <w:t>Courts have also turned to drawing the retroactivity-no retroactivity line with respect to</w:t>
      </w:r>
      <w:r>
        <w:t xml:space="preserve"> </w:t>
      </w:r>
      <w:r w:rsidR="00ED7171">
        <w:t xml:space="preserve">the </w:t>
      </w:r>
      <w:r>
        <w:t xml:space="preserve">new certificate requirement for Chinese nationals’ reentry in </w:t>
      </w:r>
      <w:r w:rsidRPr="005B6B1C">
        <w:rPr>
          <w:i/>
          <w:iCs/>
        </w:rPr>
        <w:t xml:space="preserve">Chew </w:t>
      </w:r>
      <w:r>
        <w:rPr>
          <w:i/>
          <w:iCs/>
        </w:rPr>
        <w:t xml:space="preserve">Heong </w:t>
      </w:r>
      <w:r w:rsidRPr="005B6B1C">
        <w:rPr>
          <w:i/>
          <w:iCs/>
        </w:rPr>
        <w:t>v. U</w:t>
      </w:r>
      <w:r>
        <w:rPr>
          <w:i/>
          <w:iCs/>
        </w:rPr>
        <w:t>nited States</w:t>
      </w:r>
      <w:r w:rsidRPr="005B6B1C">
        <w:t> (1884) 112 U.S. 536</w:t>
      </w:r>
      <w:r>
        <w:t xml:space="preserve"> (discussed in </w:t>
      </w:r>
      <w:r>
        <w:rPr>
          <w:i/>
          <w:iCs/>
        </w:rPr>
        <w:t>Landgraf</w:t>
      </w:r>
      <w:r w:rsidR="0067048C">
        <w:t xml:space="preserve">, </w:t>
      </w:r>
      <w:r>
        <w:t xml:space="preserve">at </w:t>
      </w:r>
      <w:r w:rsidRPr="00001076">
        <w:t>p</w:t>
      </w:r>
      <w:r w:rsidRPr="00001076" w:rsidR="003F6A44">
        <w:t>p.</w:t>
      </w:r>
      <w:r>
        <w:t> 271</w:t>
      </w:r>
      <w:r w:rsidR="008D46ED">
        <w:t>–</w:t>
      </w:r>
      <w:r>
        <w:t xml:space="preserve">272); the </w:t>
      </w:r>
      <w:r w:rsidR="00950897">
        <w:t xml:space="preserve">new </w:t>
      </w:r>
      <w:r>
        <w:t xml:space="preserve">liability rule added by Proposition 51 </w:t>
      </w:r>
      <w:r w:rsidRPr="00001076" w:rsidR="001E0280">
        <w:t xml:space="preserve">(adopted by voters in June 1986) </w:t>
      </w:r>
      <w:r>
        <w:t xml:space="preserve">in </w:t>
      </w:r>
      <w:r w:rsidRPr="008542C2">
        <w:rPr>
          <w:i/>
          <w:iCs/>
        </w:rPr>
        <w:t>Evangelatos v. Superior Court</w:t>
      </w:r>
      <w:r w:rsidRPr="008542C2">
        <w:t xml:space="preserve"> (1988) 44 Cal.3d 1188</w:t>
      </w:r>
      <w:r>
        <w:t xml:space="preserve">; </w:t>
      </w:r>
      <w:r w:rsidR="000D2593">
        <w:t xml:space="preserve">the increased worker compensation benefits in </w:t>
      </w:r>
      <w:r w:rsidRPr="00C63C9A" w:rsidR="000D2593">
        <w:rPr>
          <w:i/>
          <w:iCs/>
          <w:color w:val="000000"/>
          <w:szCs w:val="26"/>
        </w:rPr>
        <w:t>Aetna</w:t>
      </w:r>
      <w:r w:rsidR="00C63C9A">
        <w:rPr>
          <w:color w:val="000000"/>
          <w:szCs w:val="26"/>
        </w:rPr>
        <w:t xml:space="preserve">, </w:t>
      </w:r>
      <w:r w:rsidRPr="00C63C9A" w:rsidR="00C63C9A">
        <w:rPr>
          <w:i/>
          <w:iCs/>
          <w:color w:val="000000"/>
          <w:szCs w:val="26"/>
        </w:rPr>
        <w:t>supra</w:t>
      </w:r>
      <w:r w:rsidR="00C63C9A">
        <w:rPr>
          <w:color w:val="000000"/>
          <w:szCs w:val="26"/>
        </w:rPr>
        <w:t xml:space="preserve">, </w:t>
      </w:r>
      <w:r w:rsidRPr="00C63C9A" w:rsidR="000D2593">
        <w:rPr>
          <w:color w:val="000000"/>
          <w:szCs w:val="26"/>
        </w:rPr>
        <w:t>30</w:t>
      </w:r>
      <w:r w:rsidRPr="00F05AE6" w:rsidR="000D2593">
        <w:rPr>
          <w:color w:val="000000"/>
          <w:szCs w:val="26"/>
        </w:rPr>
        <w:t xml:space="preserve"> Cal.2d 388</w:t>
      </w:r>
      <w:r w:rsidR="004D73E3">
        <w:rPr>
          <w:color w:val="000000"/>
          <w:szCs w:val="26"/>
        </w:rPr>
        <w:t xml:space="preserve">; </w:t>
      </w:r>
      <w:r w:rsidR="004D73E3">
        <w:t xml:space="preserve">and, finally, the repeal of statutory tort immunity </w:t>
      </w:r>
      <w:r w:rsidR="00725B13">
        <w:t xml:space="preserve">for tobacco companies </w:t>
      </w:r>
      <w:r w:rsidR="004D73E3">
        <w:t xml:space="preserve">in </w:t>
      </w:r>
      <w:r w:rsidRPr="00C10571" w:rsidR="004D73E3">
        <w:rPr>
          <w:i/>
          <w:iCs/>
        </w:rPr>
        <w:t>Myers</w:t>
      </w:r>
      <w:r w:rsidR="004D73E3">
        <w:t xml:space="preserve">, </w:t>
      </w:r>
      <w:r w:rsidRPr="00C10571" w:rsidR="004D73E3">
        <w:rPr>
          <w:i/>
          <w:iCs/>
        </w:rPr>
        <w:t>supra</w:t>
      </w:r>
      <w:r w:rsidR="004D73E3">
        <w:t xml:space="preserve">, </w:t>
      </w:r>
      <w:r w:rsidRPr="00C10571" w:rsidR="004D73E3">
        <w:t>28</w:t>
      </w:r>
      <w:r w:rsidRPr="00CC62D9" w:rsidR="004D73E3">
        <w:t xml:space="preserve"> Cal.4th 828</w:t>
      </w:r>
      <w:r w:rsidRPr="009A606B" w:rsidR="006A3747">
        <w:t>.</w:t>
      </w:r>
      <w:r w:rsidRPr="009A606B" w:rsidR="00C10189">
        <w:t xml:space="preserve">  </w:t>
      </w:r>
      <w:r w:rsidRPr="009A606B" w:rsidR="006C119B">
        <w:t>T</w:t>
      </w:r>
      <w:r w:rsidRPr="009A606B" w:rsidR="00CE445D">
        <w:rPr>
          <w:color w:val="000000"/>
          <w:szCs w:val="26"/>
        </w:rPr>
        <w:t>he changes wrought by sections 10113.71 and 10113.72</w:t>
      </w:r>
      <w:r w:rsidRPr="009A606B" w:rsidR="006C119B">
        <w:rPr>
          <w:color w:val="000000"/>
          <w:szCs w:val="26"/>
        </w:rPr>
        <w:t>, by contrast,</w:t>
      </w:r>
      <w:r w:rsidRPr="009A606B" w:rsidR="00B31EA1">
        <w:rPr>
          <w:color w:val="000000"/>
          <w:szCs w:val="26"/>
        </w:rPr>
        <w:t xml:space="preserve"> do not </w:t>
      </w:r>
      <w:r w:rsidRPr="009A606B" w:rsidR="00C10189">
        <w:rPr>
          <w:color w:val="000000"/>
          <w:szCs w:val="26"/>
        </w:rPr>
        <w:t xml:space="preserve">disrupt </w:t>
      </w:r>
      <w:r w:rsidR="00950897">
        <w:rPr>
          <w:color w:val="000000"/>
          <w:szCs w:val="26"/>
        </w:rPr>
        <w:t xml:space="preserve">clearly </w:t>
      </w:r>
      <w:r w:rsidRPr="009A606B" w:rsidR="00C10189">
        <w:rPr>
          <w:color w:val="000000"/>
          <w:szCs w:val="26"/>
        </w:rPr>
        <w:t xml:space="preserve">settled expectations </w:t>
      </w:r>
      <w:r w:rsidRPr="009A606B" w:rsidR="00724DCD">
        <w:rPr>
          <w:color w:val="000000"/>
          <w:szCs w:val="26"/>
        </w:rPr>
        <w:t>in such fashion</w:t>
      </w:r>
      <w:r w:rsidR="00A7559E">
        <w:rPr>
          <w:color w:val="000000"/>
          <w:szCs w:val="26"/>
        </w:rPr>
        <w:t> </w:t>
      </w:r>
      <w:r w:rsidRPr="00836E65" w:rsidR="009C0CB4">
        <w:t>—</w:t>
      </w:r>
      <w:r w:rsidR="004F25D3">
        <w:t xml:space="preserve"> </w:t>
      </w:r>
      <w:r w:rsidR="002D1205">
        <w:rPr>
          <w:color w:val="000000"/>
          <w:szCs w:val="26"/>
        </w:rPr>
        <w:t>so it’s not clear they</w:t>
      </w:r>
      <w:r w:rsidRPr="009A606B" w:rsidR="00C10189">
        <w:rPr>
          <w:color w:val="000000"/>
          <w:szCs w:val="26"/>
        </w:rPr>
        <w:t xml:space="preserve"> operate</w:t>
      </w:r>
      <w:r w:rsidRPr="009A606B" w:rsidR="005214B1">
        <w:rPr>
          <w:color w:val="000000"/>
          <w:szCs w:val="26"/>
        </w:rPr>
        <w:t xml:space="preserve"> “retroactively”</w:t>
      </w:r>
      <w:r w:rsidRPr="009A606B" w:rsidR="00D057A4">
        <w:rPr>
          <w:color w:val="000000"/>
          <w:szCs w:val="26"/>
        </w:rPr>
        <w:t xml:space="preserve"> at all.</w:t>
      </w:r>
      <w:r w:rsidRPr="009A606B" w:rsidR="009B3236">
        <w:rPr>
          <w:color w:val="000000"/>
          <w:szCs w:val="26"/>
        </w:rPr>
        <w:t xml:space="preserve">  </w:t>
      </w:r>
    </w:p>
    <w:p w:rsidR="00212F48" w:rsidRPr="006B16A3" w:rsidP="00D537F8" w14:paraId="602721DF" w14:textId="5B54FDD1">
      <w:pPr>
        <w:tabs>
          <w:tab w:val="left" w:pos="2599"/>
        </w:tabs>
        <w:ind w:firstLine="720"/>
        <w:rPr>
          <w:szCs w:val="26"/>
        </w:rPr>
      </w:pPr>
      <w:r w:rsidRPr="00D54DEB">
        <w:rPr>
          <w:szCs w:val="26"/>
        </w:rPr>
        <w:t>To wit:</w:t>
      </w:r>
      <w:r w:rsidRPr="009A606B">
        <w:rPr>
          <w:szCs w:val="26"/>
        </w:rPr>
        <w:t xml:space="preserve">  </w:t>
      </w:r>
      <w:r w:rsidRPr="009A606B" w:rsidR="00DF0AB8">
        <w:rPr>
          <w:szCs w:val="26"/>
        </w:rPr>
        <w:t>T</w:t>
      </w:r>
      <w:r w:rsidRPr="009A606B" w:rsidR="001F0FDE">
        <w:rPr>
          <w:szCs w:val="26"/>
        </w:rPr>
        <w:t xml:space="preserve">he grace period and notice </w:t>
      </w:r>
      <w:r w:rsidRPr="009A606B" w:rsidR="00703194">
        <w:rPr>
          <w:szCs w:val="26"/>
        </w:rPr>
        <w:t>obligations</w:t>
      </w:r>
      <w:r w:rsidRPr="009A606B" w:rsidR="001F0FDE">
        <w:rPr>
          <w:szCs w:val="26"/>
        </w:rPr>
        <w:t xml:space="preserve"> added by s</w:t>
      </w:r>
      <w:r w:rsidRPr="009A606B" w:rsidR="00574ABC">
        <w:rPr>
          <w:szCs w:val="26"/>
        </w:rPr>
        <w:t xml:space="preserve">ections 10113.71 and 10113.72 </w:t>
      </w:r>
      <w:r w:rsidRPr="009A606B" w:rsidR="001F0FDE">
        <w:rPr>
          <w:szCs w:val="26"/>
        </w:rPr>
        <w:t>do not impact</w:t>
      </w:r>
      <w:r w:rsidRPr="009A606B" w:rsidR="003D20DE">
        <w:rPr>
          <w:szCs w:val="26"/>
        </w:rPr>
        <w:t xml:space="preserve"> </w:t>
      </w:r>
      <w:r w:rsidRPr="009A606B" w:rsidR="009533EC">
        <w:rPr>
          <w:szCs w:val="26"/>
        </w:rPr>
        <w:t xml:space="preserve">a </w:t>
      </w:r>
      <w:r w:rsidRPr="009A606B" w:rsidR="004E4689">
        <w:rPr>
          <w:szCs w:val="26"/>
        </w:rPr>
        <w:t>life</w:t>
      </w:r>
      <w:r w:rsidRPr="009A606B" w:rsidR="001F0FDE">
        <w:rPr>
          <w:szCs w:val="26"/>
        </w:rPr>
        <w:t xml:space="preserve"> </w:t>
      </w:r>
      <w:r w:rsidRPr="009A606B" w:rsidR="00FC30F1">
        <w:rPr>
          <w:szCs w:val="26"/>
        </w:rPr>
        <w:t>insurer</w:t>
      </w:r>
      <w:r w:rsidRPr="009A606B" w:rsidR="00C54D8C">
        <w:rPr>
          <w:szCs w:val="26"/>
        </w:rPr>
        <w:t>’</w:t>
      </w:r>
      <w:r w:rsidRPr="009A606B" w:rsidR="00114821">
        <w:rPr>
          <w:szCs w:val="26"/>
        </w:rPr>
        <w:t>s</w:t>
      </w:r>
      <w:r w:rsidRPr="009A606B" w:rsidR="001F0FDE">
        <w:rPr>
          <w:szCs w:val="26"/>
        </w:rPr>
        <w:t xml:space="preserve"> liability for past</w:t>
      </w:r>
      <w:r w:rsidRPr="009A606B" w:rsidR="0063773A">
        <w:rPr>
          <w:szCs w:val="26"/>
        </w:rPr>
        <w:t xml:space="preserve">, </w:t>
      </w:r>
      <w:r w:rsidRPr="00001076" w:rsidR="0063773A">
        <w:rPr>
          <w:szCs w:val="26"/>
        </w:rPr>
        <w:t>preenactment</w:t>
      </w:r>
      <w:r w:rsidRPr="009A606B" w:rsidR="0063773A">
        <w:rPr>
          <w:szCs w:val="26"/>
        </w:rPr>
        <w:t xml:space="preserve"> defaults</w:t>
      </w:r>
      <w:r w:rsidRPr="009A606B" w:rsidR="00FC30F1">
        <w:rPr>
          <w:szCs w:val="26"/>
        </w:rPr>
        <w:t xml:space="preserve">. </w:t>
      </w:r>
      <w:r w:rsidRPr="009A606B" w:rsidR="006C119B">
        <w:rPr>
          <w:szCs w:val="26"/>
        </w:rPr>
        <w:t xml:space="preserve"> </w:t>
      </w:r>
      <w:r w:rsidRPr="009A606B">
        <w:rPr>
          <w:szCs w:val="26"/>
        </w:rPr>
        <w:t xml:space="preserve">Nothing in these sections compels </w:t>
      </w:r>
      <w:r w:rsidRPr="009A606B">
        <w:t xml:space="preserve">insurers to reinstate </w:t>
      </w:r>
      <w:r w:rsidRPr="009A606B" w:rsidR="006C119B">
        <w:t xml:space="preserve">any policy </w:t>
      </w:r>
      <w:r w:rsidRPr="009A606B" w:rsidR="006B16A3">
        <w:t xml:space="preserve">cancelled </w:t>
      </w:r>
      <w:r w:rsidRPr="00001076" w:rsidR="006B16A3">
        <w:t>preenactment</w:t>
      </w:r>
      <w:r w:rsidRPr="009A606B" w:rsidR="006B16A3">
        <w:t xml:space="preserve"> </w:t>
      </w:r>
      <w:r w:rsidRPr="009A606B" w:rsidR="006C119B">
        <w:t>less than 60 days after a missed premium payment.</w:t>
      </w:r>
      <w:r w:rsidRPr="009A606B" w:rsidR="00515465">
        <w:rPr>
          <w:szCs w:val="26"/>
        </w:rPr>
        <w:t xml:space="preserve"> </w:t>
      </w:r>
      <w:r w:rsidRPr="009A606B" w:rsidR="006B16A3">
        <w:rPr>
          <w:szCs w:val="26"/>
        </w:rPr>
        <w:t xml:space="preserve"> </w:t>
      </w:r>
      <w:r w:rsidRPr="009A606B" w:rsidR="00FC30F1">
        <w:rPr>
          <w:szCs w:val="26"/>
        </w:rPr>
        <w:t xml:space="preserve">Nor do </w:t>
      </w:r>
      <w:r w:rsidR="00950897">
        <w:rPr>
          <w:szCs w:val="26"/>
        </w:rPr>
        <w:t>the changes</w:t>
      </w:r>
      <w:r w:rsidRPr="009A606B" w:rsidR="00950897">
        <w:rPr>
          <w:szCs w:val="26"/>
        </w:rPr>
        <w:t xml:space="preserve"> </w:t>
      </w:r>
      <w:r w:rsidRPr="009A606B" w:rsidR="001F0FDE">
        <w:rPr>
          <w:szCs w:val="26"/>
        </w:rPr>
        <w:t xml:space="preserve">otherwise </w:t>
      </w:r>
      <w:r w:rsidRPr="009A606B" w:rsidR="00FC30F1">
        <w:rPr>
          <w:szCs w:val="26"/>
        </w:rPr>
        <w:t xml:space="preserve">impinge on a contracting party’s substantial rights </w:t>
      </w:r>
      <w:r w:rsidRPr="009A606B" w:rsidR="009733E1">
        <w:rPr>
          <w:szCs w:val="26"/>
        </w:rPr>
        <w:t>or</w:t>
      </w:r>
      <w:r w:rsidRPr="009A606B" w:rsidR="00C54D8C">
        <w:rPr>
          <w:szCs w:val="26"/>
        </w:rPr>
        <w:t xml:space="preserve"> </w:t>
      </w:r>
      <w:r w:rsidRPr="009A606B" w:rsidR="00FC30F1">
        <w:rPr>
          <w:szCs w:val="26"/>
        </w:rPr>
        <w:t xml:space="preserve">unfairly upset the bargain memorialized in the insurance </w:t>
      </w:r>
      <w:r w:rsidRPr="009A606B" w:rsidR="003D20DE">
        <w:rPr>
          <w:szCs w:val="26"/>
        </w:rPr>
        <w:t>policy</w:t>
      </w:r>
      <w:r w:rsidRPr="009A606B" w:rsidR="00FC30F1">
        <w:rPr>
          <w:szCs w:val="26"/>
        </w:rPr>
        <w:t xml:space="preserve">, </w:t>
      </w:r>
      <w:r w:rsidRPr="00001076" w:rsidR="00DF15FD">
        <w:rPr>
          <w:szCs w:val="26"/>
        </w:rPr>
        <w:t>for example</w:t>
      </w:r>
      <w:r w:rsidRPr="00001076" w:rsidR="00FC30F1">
        <w:rPr>
          <w:szCs w:val="26"/>
        </w:rPr>
        <w:t>,</w:t>
      </w:r>
      <w:r w:rsidRPr="009A606B" w:rsidR="00FC30F1">
        <w:rPr>
          <w:szCs w:val="26"/>
        </w:rPr>
        <w:t xml:space="preserve"> by requiring an insurer to provide substantially expanded coverage without also giving it an opportunity to raise premiums</w:t>
      </w:r>
      <w:r w:rsidRPr="009A606B" w:rsidR="00C52FCF">
        <w:rPr>
          <w:szCs w:val="26"/>
        </w:rPr>
        <w:t>.</w:t>
      </w:r>
      <w:r w:rsidRPr="009A606B" w:rsidR="00BC3EB8">
        <w:rPr>
          <w:szCs w:val="26"/>
        </w:rPr>
        <w:t xml:space="preserve"> </w:t>
      </w:r>
      <w:r w:rsidRPr="00001076" w:rsidR="00DF15FD">
        <w:rPr>
          <w:szCs w:val="26"/>
        </w:rPr>
        <w:t xml:space="preserve"> </w:t>
      </w:r>
      <w:r w:rsidRPr="009A606B" w:rsidR="00F41FCA">
        <w:rPr>
          <w:szCs w:val="26"/>
        </w:rPr>
        <w:t xml:space="preserve">(Cf. </w:t>
      </w:r>
      <w:r w:rsidRPr="009A606B" w:rsidR="000756F2">
        <w:rPr>
          <w:i/>
          <w:iCs/>
          <w:szCs w:val="26"/>
        </w:rPr>
        <w:t>Interinsurance Exchange</w:t>
      </w:r>
      <w:r w:rsidRPr="009A606B" w:rsidR="000756F2">
        <w:rPr>
          <w:szCs w:val="26"/>
        </w:rPr>
        <w:t xml:space="preserve">, </w:t>
      </w:r>
      <w:r w:rsidRPr="009A606B" w:rsidR="000756F2">
        <w:rPr>
          <w:i/>
          <w:iCs/>
          <w:szCs w:val="26"/>
        </w:rPr>
        <w:t>supra</w:t>
      </w:r>
      <w:r w:rsidRPr="009A606B" w:rsidR="000756F2">
        <w:rPr>
          <w:szCs w:val="26"/>
        </w:rPr>
        <w:t>, 58 Cal.2d at p. 148 [</w:t>
      </w:r>
      <w:r w:rsidRPr="009A606B" w:rsidR="00D62F3F">
        <w:t>“retroactive” statutory change would have repealed a rule requiring a mandatory provision in automobile insurance policies covering certain permittees; if applied to previously negotiated contracts, this change would have upended the bargain struck].)</w:t>
      </w:r>
      <w:r w:rsidRPr="009A606B" w:rsidR="007C6EFA">
        <w:rPr>
          <w:szCs w:val="26"/>
          <w:shd w:val="clear" w:color="auto" w:fill="FFFFFF"/>
        </w:rPr>
        <w:t xml:space="preserve">  </w:t>
      </w:r>
      <w:r w:rsidRPr="009A606B">
        <w:rPr>
          <w:szCs w:val="26"/>
        </w:rPr>
        <w:t>The</w:t>
      </w:r>
      <w:r w:rsidRPr="009A606B" w:rsidR="00BC3EB8">
        <w:rPr>
          <w:szCs w:val="26"/>
        </w:rPr>
        <w:t xml:space="preserve"> grace period and notice rules </w:t>
      </w:r>
      <w:r w:rsidRPr="009A606B" w:rsidR="007C2897">
        <w:rPr>
          <w:szCs w:val="26"/>
        </w:rPr>
        <w:t>make relatively</w:t>
      </w:r>
      <w:r w:rsidRPr="00001076" w:rsidR="00CD0455">
        <w:rPr>
          <w:szCs w:val="26"/>
        </w:rPr>
        <w:t xml:space="preserve"> </w:t>
      </w:r>
      <w:r w:rsidRPr="009A606B" w:rsidR="007C2897">
        <w:rPr>
          <w:szCs w:val="26"/>
        </w:rPr>
        <w:t>cabined</w:t>
      </w:r>
      <w:r w:rsidRPr="009A606B" w:rsidR="007500C1">
        <w:rPr>
          <w:szCs w:val="26"/>
        </w:rPr>
        <w:t>,</w:t>
      </w:r>
      <w:r w:rsidRPr="009A606B" w:rsidR="007C2897">
        <w:rPr>
          <w:szCs w:val="26"/>
        </w:rPr>
        <w:t xml:space="preserve"> </w:t>
      </w:r>
      <w:r w:rsidRPr="009A606B" w:rsidR="007F7993">
        <w:rPr>
          <w:color w:val="000000"/>
          <w:szCs w:val="26"/>
        </w:rPr>
        <w:t>procedural changes</w:t>
      </w:r>
      <w:r w:rsidRPr="009A606B" w:rsidR="00CD6C2D">
        <w:rPr>
          <w:color w:val="000000"/>
          <w:szCs w:val="26"/>
        </w:rPr>
        <w:t xml:space="preserve"> to how insurers administer policies</w:t>
      </w:r>
      <w:r w:rsidR="00C840B1">
        <w:rPr>
          <w:color w:val="000000"/>
          <w:szCs w:val="26"/>
        </w:rPr>
        <w:t xml:space="preserve"> </w:t>
      </w:r>
      <w:r w:rsidR="00950897">
        <w:rPr>
          <w:color w:val="000000"/>
          <w:szCs w:val="26"/>
        </w:rPr>
        <w:t>routinely subject to public regulation</w:t>
      </w:r>
      <w:r w:rsidR="003E1F6D">
        <w:rPr>
          <w:color w:val="000000"/>
          <w:szCs w:val="26"/>
        </w:rPr>
        <w:t> </w:t>
      </w:r>
      <w:r w:rsidRPr="009A606B" w:rsidR="007C2897">
        <w:rPr>
          <w:color w:val="000000"/>
          <w:szCs w:val="26"/>
        </w:rPr>
        <w:t>—</w:t>
      </w:r>
      <w:r w:rsidR="004F25D3">
        <w:rPr>
          <w:color w:val="000000"/>
          <w:szCs w:val="26"/>
        </w:rPr>
        <w:t xml:space="preserve"> </w:t>
      </w:r>
      <w:r w:rsidRPr="009A606B" w:rsidR="0000649C">
        <w:rPr>
          <w:color w:val="000000"/>
          <w:szCs w:val="26"/>
        </w:rPr>
        <w:t xml:space="preserve">they require insurers to </w:t>
      </w:r>
      <w:r w:rsidRPr="009A606B" w:rsidR="007C2897">
        <w:rPr>
          <w:color w:val="000000"/>
          <w:szCs w:val="26"/>
        </w:rPr>
        <w:t>provi</w:t>
      </w:r>
      <w:r w:rsidRPr="009A606B" w:rsidR="0000649C">
        <w:rPr>
          <w:color w:val="000000"/>
          <w:szCs w:val="26"/>
        </w:rPr>
        <w:t>de</w:t>
      </w:r>
      <w:r w:rsidRPr="009A606B" w:rsidR="007C2897">
        <w:rPr>
          <w:color w:val="000000"/>
          <w:szCs w:val="26"/>
        </w:rPr>
        <w:t xml:space="preserve"> policy</w:t>
      </w:r>
      <w:r w:rsidRPr="009A606B" w:rsidR="00F86138">
        <w:rPr>
          <w:color w:val="000000"/>
          <w:szCs w:val="26"/>
        </w:rPr>
        <w:t xml:space="preserve"> owners</w:t>
      </w:r>
      <w:r w:rsidRPr="009A606B" w:rsidR="007C2897">
        <w:rPr>
          <w:color w:val="000000"/>
          <w:szCs w:val="26"/>
        </w:rPr>
        <w:t xml:space="preserve"> with limited but critical safeguards to avoid</w:t>
      </w:r>
      <w:r w:rsidRPr="009A606B" w:rsidR="00DD208A">
        <w:rPr>
          <w:color w:val="000000"/>
          <w:szCs w:val="26"/>
        </w:rPr>
        <w:t xml:space="preserve"> </w:t>
      </w:r>
      <w:r w:rsidRPr="009A606B" w:rsidR="007C2897">
        <w:rPr>
          <w:color w:val="000000"/>
          <w:szCs w:val="26"/>
        </w:rPr>
        <w:t>default</w:t>
      </w:r>
      <w:r w:rsidRPr="009A606B" w:rsidR="00DD208A">
        <w:rPr>
          <w:color w:val="000000"/>
          <w:szCs w:val="26"/>
        </w:rPr>
        <w:t>ing</w:t>
      </w:r>
      <w:r w:rsidRPr="009A606B" w:rsidR="009F0F43">
        <w:rPr>
          <w:color w:val="000000"/>
          <w:szCs w:val="26"/>
        </w:rPr>
        <w:t>.</w:t>
      </w:r>
      <w:r w:rsidRPr="009A606B" w:rsidR="007748E6">
        <w:rPr>
          <w:color w:val="000000"/>
          <w:szCs w:val="26"/>
        </w:rPr>
        <w:t xml:space="preserve"> </w:t>
      </w:r>
      <w:r w:rsidRPr="009A606B" w:rsidR="009F0F43">
        <w:rPr>
          <w:color w:val="000000"/>
          <w:szCs w:val="26"/>
        </w:rPr>
        <w:t xml:space="preserve"> These new rules affect </w:t>
      </w:r>
      <w:r w:rsidRPr="009A606B" w:rsidR="0006636B">
        <w:rPr>
          <w:szCs w:val="26"/>
        </w:rPr>
        <w:t>contractual relationships in a</w:t>
      </w:r>
      <w:r w:rsidRPr="009A606B" w:rsidR="0058642C">
        <w:rPr>
          <w:szCs w:val="26"/>
        </w:rPr>
        <w:t xml:space="preserve"> field</w:t>
      </w:r>
      <w:r w:rsidRPr="009A606B" w:rsidR="0006636B">
        <w:rPr>
          <w:szCs w:val="26"/>
        </w:rPr>
        <w:t xml:space="preserve"> </w:t>
      </w:r>
      <w:r w:rsidRPr="009A606B" w:rsidR="003558EE">
        <w:rPr>
          <w:szCs w:val="26"/>
        </w:rPr>
        <w:t xml:space="preserve">pervasively </w:t>
      </w:r>
      <w:r w:rsidRPr="009A606B" w:rsidR="00CC3942">
        <w:rPr>
          <w:szCs w:val="26"/>
        </w:rPr>
        <w:t>“</w:t>
      </w:r>
      <w:r w:rsidRPr="009A606B" w:rsidR="0069095A">
        <w:rPr>
          <w:szCs w:val="26"/>
        </w:rPr>
        <w:t> </w:t>
      </w:r>
      <w:r w:rsidRPr="009A606B" w:rsidR="00316BC9">
        <w:rPr>
          <w:szCs w:val="26"/>
        </w:rPr>
        <w:t>‘</w:t>
      </w:r>
      <w:r w:rsidRPr="009A606B" w:rsidR="00CC3942">
        <w:rPr>
          <w:szCs w:val="26"/>
        </w:rPr>
        <w:t>affected with</w:t>
      </w:r>
      <w:r w:rsidRPr="009A606B" w:rsidR="00316BC9">
        <w:rPr>
          <w:szCs w:val="26"/>
        </w:rPr>
        <w:t xml:space="preserve"> a public interest,’</w:t>
      </w:r>
      <w:r w:rsidRPr="009A606B" w:rsidR="0069095A">
        <w:rPr>
          <w:szCs w:val="26"/>
        </w:rPr>
        <w:t> </w:t>
      </w:r>
      <w:r w:rsidRPr="009A606B" w:rsidR="00316BC9">
        <w:rPr>
          <w:szCs w:val="26"/>
        </w:rPr>
        <w:t>” and thereby already heavily regulated by the state.</w:t>
      </w:r>
      <w:r w:rsidRPr="009A606B" w:rsidR="009F0F43">
        <w:rPr>
          <w:szCs w:val="26"/>
        </w:rPr>
        <w:t xml:space="preserve"> </w:t>
      </w:r>
      <w:r w:rsidRPr="009A606B" w:rsidR="00E46CE2">
        <w:rPr>
          <w:szCs w:val="26"/>
        </w:rPr>
        <w:t xml:space="preserve"> </w:t>
      </w:r>
      <w:r w:rsidRPr="009A606B" w:rsidR="0006636B">
        <w:rPr>
          <w:szCs w:val="26"/>
        </w:rPr>
        <w:t>(</w:t>
      </w:r>
      <w:r w:rsidRPr="009A606B" w:rsidR="00D537F8">
        <w:rPr>
          <w:i/>
          <w:iCs/>
          <w:color w:val="000000"/>
          <w:szCs w:val="26"/>
          <w:bdr w:val="none" w:sz="0" w:space="0" w:color="auto" w:frame="1"/>
        </w:rPr>
        <w:t>Calfarm</w:t>
      </w:r>
      <w:r w:rsidRPr="009A606B" w:rsidR="00D537F8">
        <w:rPr>
          <w:color w:val="000000"/>
          <w:szCs w:val="26"/>
          <w:bdr w:val="none" w:sz="0" w:space="0" w:color="auto" w:frame="1"/>
        </w:rPr>
        <w:t xml:space="preserve">, </w:t>
      </w:r>
      <w:r w:rsidRPr="009A606B" w:rsidR="00D537F8">
        <w:rPr>
          <w:i/>
          <w:iCs/>
          <w:color w:val="000000"/>
          <w:szCs w:val="26"/>
          <w:bdr w:val="none" w:sz="0" w:space="0" w:color="auto" w:frame="1"/>
        </w:rPr>
        <w:t>supra</w:t>
      </w:r>
      <w:r w:rsidRPr="009A606B" w:rsidR="00D537F8">
        <w:rPr>
          <w:color w:val="000000"/>
          <w:szCs w:val="26"/>
          <w:bdr w:val="none" w:sz="0" w:space="0" w:color="auto" w:frame="1"/>
        </w:rPr>
        <w:t xml:space="preserve">, </w:t>
      </w:r>
      <w:r w:rsidRPr="009A606B" w:rsidR="00D537F8">
        <w:rPr>
          <w:color w:val="000000"/>
          <w:szCs w:val="26"/>
        </w:rPr>
        <w:t>48 Cal.3d at p. 830</w:t>
      </w:r>
      <w:r w:rsidRPr="009A606B" w:rsidR="0006636B">
        <w:rPr>
          <w:szCs w:val="26"/>
        </w:rPr>
        <w:t xml:space="preserve">.)  </w:t>
      </w:r>
      <w:r w:rsidRPr="009A606B" w:rsidR="00086959">
        <w:rPr>
          <w:szCs w:val="26"/>
        </w:rPr>
        <w:t>And t</w:t>
      </w:r>
      <w:r w:rsidRPr="009A606B" w:rsidR="00051E2F">
        <w:rPr>
          <w:szCs w:val="26"/>
        </w:rPr>
        <w:t>hese</w:t>
      </w:r>
      <w:r w:rsidRPr="009A606B" w:rsidR="00471904">
        <w:rPr>
          <w:szCs w:val="26"/>
        </w:rPr>
        <w:t xml:space="preserve"> </w:t>
      </w:r>
      <w:r w:rsidRPr="009A606B" w:rsidR="00051E2F">
        <w:rPr>
          <w:szCs w:val="26"/>
        </w:rPr>
        <w:t xml:space="preserve">rules do not </w:t>
      </w:r>
      <w:r w:rsidR="009D47E7">
        <w:rPr>
          <w:szCs w:val="26"/>
        </w:rPr>
        <w:t xml:space="preserve">unfairly </w:t>
      </w:r>
      <w:r w:rsidRPr="009A606B" w:rsidR="00086959">
        <w:rPr>
          <w:szCs w:val="26"/>
        </w:rPr>
        <w:t xml:space="preserve">“rewrite” </w:t>
      </w:r>
      <w:r w:rsidRPr="009A606B" w:rsidR="00801106">
        <w:rPr>
          <w:szCs w:val="26"/>
        </w:rPr>
        <w:t>existing policies</w:t>
      </w:r>
      <w:r w:rsidRPr="009A606B" w:rsidR="00AF102E">
        <w:rPr>
          <w:szCs w:val="26"/>
        </w:rPr>
        <w:t>, as Protective Life sugge</w:t>
      </w:r>
      <w:r w:rsidRPr="009A606B" w:rsidR="008B19CD">
        <w:rPr>
          <w:szCs w:val="26"/>
        </w:rPr>
        <w:t>sts</w:t>
      </w:r>
      <w:r w:rsidRPr="009A606B" w:rsidR="0041435B">
        <w:rPr>
          <w:szCs w:val="26"/>
        </w:rPr>
        <w:t>.</w:t>
      </w:r>
      <w:r w:rsidRPr="009A606B" w:rsidR="004D34D6">
        <w:rPr>
          <w:szCs w:val="26"/>
        </w:rPr>
        <w:t xml:space="preserve"> </w:t>
      </w:r>
      <w:r w:rsidRPr="009A606B" w:rsidR="0041435B">
        <w:rPr>
          <w:szCs w:val="26"/>
        </w:rPr>
        <w:t xml:space="preserve"> T</w:t>
      </w:r>
      <w:r w:rsidRPr="009A606B" w:rsidR="004D34D6">
        <w:rPr>
          <w:szCs w:val="26"/>
        </w:rPr>
        <w:t xml:space="preserve">hey </w:t>
      </w:r>
      <w:r w:rsidRPr="009A606B" w:rsidR="006040C1">
        <w:rPr>
          <w:szCs w:val="26"/>
        </w:rPr>
        <w:t xml:space="preserve">instead </w:t>
      </w:r>
      <w:r w:rsidRPr="009A606B">
        <w:t xml:space="preserve">merely </w:t>
      </w:r>
      <w:r w:rsidRPr="009A606B" w:rsidR="0041435B">
        <w:t xml:space="preserve">impose additional </w:t>
      </w:r>
      <w:r w:rsidRPr="009A606B" w:rsidR="007A2B85">
        <w:t>rules</w:t>
      </w:r>
      <w:r w:rsidRPr="009A606B" w:rsidR="0041435B">
        <w:t xml:space="preserve"> on insurers as a condition of doing business in California</w:t>
      </w:r>
      <w:r w:rsidRPr="009A606B" w:rsidR="00326C68">
        <w:t> </w:t>
      </w:r>
      <w:r w:rsidRPr="009A606B" w:rsidR="007A2B85">
        <w:t>—</w:t>
      </w:r>
      <w:r w:rsidR="004F25D3">
        <w:t xml:space="preserve"> </w:t>
      </w:r>
      <w:r w:rsidRPr="009A606B" w:rsidR="007A2B85">
        <w:t>rules that</w:t>
      </w:r>
      <w:r w:rsidRPr="009A606B" w:rsidR="0041435B">
        <w:t xml:space="preserve"> govern </w:t>
      </w:r>
      <w:r w:rsidR="00633242">
        <w:t>insurers’</w:t>
      </w:r>
      <w:r w:rsidRPr="009A606B" w:rsidR="0041435B">
        <w:t xml:space="preserve"> conduct </w:t>
      </w:r>
      <w:r w:rsidRPr="00001076" w:rsidR="00EF70B2">
        <w:t>postenactment</w:t>
      </w:r>
      <w:r w:rsidRPr="009A606B" w:rsidR="00EF70B2">
        <w:t xml:space="preserve"> </w:t>
      </w:r>
      <w:r w:rsidRPr="009A606B">
        <w:t xml:space="preserve">when, in the future, one of </w:t>
      </w:r>
      <w:r w:rsidRPr="009A606B" w:rsidR="00637C80">
        <w:t>their</w:t>
      </w:r>
      <w:r w:rsidRPr="009A606B">
        <w:t xml:space="preserve"> </w:t>
      </w:r>
      <w:r w:rsidRPr="009A606B" w:rsidR="00A6749F">
        <w:t>policy</w:t>
      </w:r>
      <w:r w:rsidRPr="009A606B" w:rsidR="00995873">
        <w:t xml:space="preserve"> owners</w:t>
      </w:r>
      <w:r w:rsidRPr="009A606B">
        <w:t xml:space="preserve"> misses a premium payment</w:t>
      </w:r>
      <w:r w:rsidRPr="009A606B" w:rsidR="00891219">
        <w:t>.</w:t>
      </w:r>
      <w:r>
        <w:rPr>
          <w:rStyle w:val="FootnoteReference"/>
        </w:rPr>
        <w:footnoteReference w:id="7"/>
      </w:r>
      <w:r w:rsidR="00E45101">
        <w:t xml:space="preserve"> </w:t>
      </w:r>
    </w:p>
    <w:p w:rsidR="00C83789" w:rsidRPr="00363D61" w:rsidP="0053538C" w14:paraId="152A3060" w14:textId="1F71C29A">
      <w:pPr>
        <w:ind w:firstLine="720"/>
      </w:pPr>
      <w:r>
        <w:t>The context matters</w:t>
      </w:r>
      <w:r w:rsidR="00B71865">
        <w:t xml:space="preserve">.  </w:t>
      </w:r>
      <w:r w:rsidRPr="00A6182A" w:rsidR="00A6182A">
        <w:t>Where</w:t>
      </w:r>
      <w:r w:rsidR="00B71865">
        <w:t xml:space="preserve"> </w:t>
      </w:r>
      <w:r w:rsidR="003A51F6">
        <w:t>a</w:t>
      </w:r>
      <w:r w:rsidRPr="00A6182A" w:rsidR="00A6182A">
        <w:t xml:space="preserve"> new law </w:t>
      </w:r>
      <w:r w:rsidR="0032740C">
        <w:t xml:space="preserve">makes only </w:t>
      </w:r>
      <w:r w:rsidR="00755380">
        <w:t>moderate</w:t>
      </w:r>
      <w:r w:rsidR="0032740C">
        <w:t xml:space="preserve">, procedural-type </w:t>
      </w:r>
      <w:r w:rsidRPr="00A6182A" w:rsidR="00A6182A">
        <w:t>adjus</w:t>
      </w:r>
      <w:r w:rsidR="0032740C">
        <w:t>tments to</w:t>
      </w:r>
      <w:r w:rsidRPr="00A6182A" w:rsidR="00A6182A">
        <w:t xml:space="preserve"> the rules for conduct</w:t>
      </w:r>
      <w:r w:rsidR="00844B80">
        <w:t xml:space="preserve"> </w:t>
      </w:r>
      <w:r>
        <w:t>that will apply in the event of some future circumstance</w:t>
      </w:r>
      <w:r w:rsidR="00503113">
        <w:t>,</w:t>
      </w:r>
      <w:r w:rsidRPr="00A6182A" w:rsidR="00A6182A">
        <w:t xml:space="preserve"> in an already </w:t>
      </w:r>
      <w:r w:rsidR="005B15E0">
        <w:t>highly</w:t>
      </w:r>
      <w:r w:rsidRPr="00A6182A" w:rsidR="00A6182A">
        <w:t xml:space="preserve"> regulated contractual relationship,</w:t>
      </w:r>
      <w:r w:rsidR="00E46FA6">
        <w:t xml:space="preserve"> </w:t>
      </w:r>
      <w:r w:rsidRPr="00836E65" w:rsidR="00DF5FBF">
        <w:t>the new law</w:t>
      </w:r>
      <w:r w:rsidR="001759B8">
        <w:t xml:space="preserve">’s application to existing contracts could be regarded as </w:t>
      </w:r>
      <w:r w:rsidR="003C6540">
        <w:t>prospective rather than retroactive</w:t>
      </w:r>
      <w:r w:rsidR="001C2477">
        <w:t xml:space="preserve"> for purposes of the presumption</w:t>
      </w:r>
      <w:r w:rsidRPr="00836E65" w:rsidR="00DF5FBF">
        <w:t>.</w:t>
      </w:r>
      <w:r w:rsidRPr="00363D61" w:rsidR="00EF6800">
        <w:t xml:space="preserve">  </w:t>
      </w:r>
      <w:r w:rsidR="002D3810">
        <w:t>To say the least, t</w:t>
      </w:r>
      <w:r w:rsidRPr="00836E65" w:rsidR="00FE0678">
        <w:t>his type of</w:t>
      </w:r>
      <w:r w:rsidRPr="00836E65" w:rsidR="00EF6800">
        <w:t xml:space="preserve"> statutory application </w:t>
      </w:r>
      <w:r w:rsidRPr="00836E65" w:rsidR="003D299E">
        <w:t>falls well short</w:t>
      </w:r>
      <w:r w:rsidRPr="00836E65" w:rsidR="00077ABB">
        <w:t xml:space="preserve"> of</w:t>
      </w:r>
      <w:r w:rsidRPr="00836E65" w:rsidR="003D299E">
        <w:t xml:space="preserve"> </w:t>
      </w:r>
      <w:r w:rsidRPr="00836E65" w:rsidR="008627A8">
        <w:t xml:space="preserve">the </w:t>
      </w:r>
      <w:r w:rsidRPr="00836E65" w:rsidR="00CE648B">
        <w:t>quintessential</w:t>
      </w:r>
      <w:r w:rsidRPr="00836E65" w:rsidR="00D0370C">
        <w:t xml:space="preserve"> </w:t>
      </w:r>
      <w:r w:rsidRPr="00836E65" w:rsidR="00F72654">
        <w:t>understanding</w:t>
      </w:r>
      <w:r w:rsidRPr="00836E65" w:rsidR="008627A8">
        <w:t xml:space="preserve"> of “retroactivity”</w:t>
      </w:r>
      <w:r w:rsidR="00235B79">
        <w:t xml:space="preserve"> — </w:t>
      </w:r>
      <w:r w:rsidRPr="00836E65" w:rsidR="007B4635">
        <w:t xml:space="preserve">the </w:t>
      </w:r>
      <w:r w:rsidR="0053538C">
        <w:t>disruption</w:t>
      </w:r>
      <w:r w:rsidRPr="00836E65" w:rsidR="0053538C">
        <w:t xml:space="preserve"> of settled expectations</w:t>
      </w:r>
      <w:r w:rsidRPr="00363D61" w:rsidR="0053538C">
        <w:t> </w:t>
      </w:r>
      <w:r w:rsidR="0053538C">
        <w:t>because a statutory change</w:t>
      </w:r>
      <w:r w:rsidRPr="00363D61" w:rsidR="0053538C">
        <w:t xml:space="preserve"> “ ‘imposes a new or additional liability and substantially affects existing rights and obligations’ ”</w:t>
      </w:r>
      <w:r w:rsidR="00235B79">
        <w:t xml:space="preserve"> — </w:t>
      </w:r>
      <w:r w:rsidR="004C50EE">
        <w:t>that can be reasonably gleaned from</w:t>
      </w:r>
      <w:r w:rsidRPr="001759B8" w:rsidR="00984C59">
        <w:t xml:space="preserve"> </w:t>
      </w:r>
      <w:r w:rsidRPr="001759B8" w:rsidR="00415F11">
        <w:t xml:space="preserve">leading </w:t>
      </w:r>
      <w:r w:rsidRPr="003C6540" w:rsidR="00984C59">
        <w:t>cases</w:t>
      </w:r>
      <w:r w:rsidRPr="003C6540" w:rsidR="008627A8">
        <w:t xml:space="preserve"> such as </w:t>
      </w:r>
      <w:r w:rsidRPr="00844B80" w:rsidR="008627A8">
        <w:rPr>
          <w:i/>
          <w:iCs/>
        </w:rPr>
        <w:t>Tapia</w:t>
      </w:r>
      <w:r w:rsidRPr="002D3810" w:rsidR="008627A8">
        <w:t xml:space="preserve">, </w:t>
      </w:r>
      <w:r w:rsidRPr="00732C3B" w:rsidR="008627A8">
        <w:rPr>
          <w:i/>
          <w:iCs/>
        </w:rPr>
        <w:t>supra</w:t>
      </w:r>
      <w:r w:rsidRPr="00732C3B" w:rsidR="008627A8">
        <w:t>, 53 Cal.3d at page 290</w:t>
      </w:r>
      <w:r w:rsidR="00D423A0">
        <w:t>.</w:t>
      </w:r>
      <w:r w:rsidR="00786832">
        <w:t xml:space="preserve">  The concurrence fails </w:t>
      </w:r>
      <w:r w:rsidR="009A78E8">
        <w:t xml:space="preserve">to fully grapple with </w:t>
      </w:r>
      <w:r w:rsidR="00261ABE">
        <w:t>this established body of law</w:t>
      </w:r>
      <w:r w:rsidR="009A78E8">
        <w:t>.  (Conc. opn.</w:t>
      </w:r>
      <w:r w:rsidR="00491689">
        <w:t xml:space="preserve">, </w:t>
      </w:r>
      <w:r w:rsidRPr="009A78E8" w:rsidR="009A78E8">
        <w:rPr>
          <w:i/>
          <w:iCs/>
        </w:rPr>
        <w:t>post</w:t>
      </w:r>
      <w:r w:rsidR="009A78E8">
        <w:t xml:space="preserve">, at </w:t>
      </w:r>
      <w:r w:rsidR="00BD4473">
        <w:t>p</w:t>
      </w:r>
      <w:r w:rsidR="009A78E8">
        <w:t xml:space="preserve">p. </w:t>
      </w:r>
      <w:r w:rsidR="00BD4473">
        <w:t>8–9</w:t>
      </w:r>
      <w:r w:rsidR="009A78E8">
        <w:t xml:space="preserve"> [contending only that the majority fails to identify a sufficiently analogous case].)</w:t>
      </w:r>
    </w:p>
    <w:p w:rsidR="00FD5EE3" w:rsidP="00FD5EE3" w14:paraId="66B7D721" w14:textId="47DDD6D4">
      <w:pPr>
        <w:ind w:firstLine="720"/>
      </w:pPr>
      <w:r w:rsidRPr="00363D61">
        <w:t>A</w:t>
      </w:r>
      <w:r w:rsidRPr="00363D61" w:rsidR="00B71865">
        <w:t xml:space="preserve">n </w:t>
      </w:r>
      <w:r w:rsidRPr="00836E65" w:rsidR="00B71865">
        <w:t>analogous</w:t>
      </w:r>
      <w:r w:rsidR="00B71865">
        <w:t xml:space="preserve"> case </w:t>
      </w:r>
      <w:r>
        <w:t>drives</w:t>
      </w:r>
      <w:r w:rsidRPr="006B675C" w:rsidR="000357FC">
        <w:t xml:space="preserve"> </w:t>
      </w:r>
      <w:r>
        <w:t xml:space="preserve">home our conclusion.  In </w:t>
      </w:r>
      <w:bookmarkStart w:id="29" w:name="_Hlk77319754"/>
      <w:r w:rsidRPr="006B675C" w:rsidR="00A73BE2">
        <w:rPr>
          <w:i/>
          <w:iCs/>
        </w:rPr>
        <w:t>Mervyn</w:t>
      </w:r>
      <w:r w:rsidRPr="006B675C" w:rsidR="00A73BE2">
        <w:t>’</w:t>
      </w:r>
      <w:r w:rsidRPr="00C57168" w:rsidR="00A73BE2">
        <w:rPr>
          <w:i/>
          <w:iCs/>
        </w:rPr>
        <w:t>s</w:t>
      </w:r>
      <w:r w:rsidRPr="006B675C" w:rsidR="00A73BE2">
        <w:t xml:space="preserve">, </w:t>
      </w:r>
      <w:r w:rsidRPr="006B675C" w:rsidR="00A73BE2">
        <w:rPr>
          <w:i/>
          <w:iCs/>
        </w:rPr>
        <w:t>supra</w:t>
      </w:r>
      <w:r w:rsidRPr="006B675C" w:rsidR="00A73BE2">
        <w:t>, 39 Cal.4th 223</w:t>
      </w:r>
      <w:bookmarkEnd w:id="29"/>
      <w:r w:rsidRPr="006B675C" w:rsidR="00A73BE2">
        <w:t xml:space="preserve">, </w:t>
      </w:r>
      <w:r w:rsidRPr="006B675C" w:rsidR="00D1672E">
        <w:t>we addressed</w:t>
      </w:r>
      <w:r w:rsidRPr="006B675C" w:rsidR="00A73C52">
        <w:t xml:space="preserve"> </w:t>
      </w:r>
      <w:r w:rsidR="00EC5A1D">
        <w:t xml:space="preserve">whether </w:t>
      </w:r>
      <w:r w:rsidRPr="006B675C" w:rsidR="00A73C52">
        <w:rPr>
          <w:szCs w:val="26"/>
        </w:rPr>
        <w:t>Proposition 64’s rule</w:t>
      </w:r>
      <w:r w:rsidR="00EC5A1D">
        <w:rPr>
          <w:szCs w:val="26"/>
        </w:rPr>
        <w:t xml:space="preserve">, which </w:t>
      </w:r>
      <w:r w:rsidRPr="006B675C" w:rsidR="00A73C52">
        <w:rPr>
          <w:szCs w:val="26"/>
        </w:rPr>
        <w:t>restrict</w:t>
      </w:r>
      <w:r w:rsidR="00EC5A1D">
        <w:rPr>
          <w:szCs w:val="26"/>
        </w:rPr>
        <w:t>ed</w:t>
      </w:r>
      <w:r w:rsidRPr="006B675C" w:rsidR="00A73C52">
        <w:rPr>
          <w:szCs w:val="26"/>
        </w:rPr>
        <w:t xml:space="preserve"> standing to bring an </w:t>
      </w:r>
      <w:r w:rsidRPr="00001076" w:rsidR="00A51102">
        <w:rPr>
          <w:szCs w:val="26"/>
        </w:rPr>
        <w:t>u</w:t>
      </w:r>
      <w:r w:rsidRPr="00001076" w:rsidR="00A73C52">
        <w:rPr>
          <w:szCs w:val="26"/>
        </w:rPr>
        <w:t xml:space="preserve">nfair </w:t>
      </w:r>
      <w:r w:rsidRPr="00001076" w:rsidR="00A51102">
        <w:rPr>
          <w:szCs w:val="26"/>
        </w:rPr>
        <w:t>c</w:t>
      </w:r>
      <w:r w:rsidRPr="00001076" w:rsidR="00A73C52">
        <w:rPr>
          <w:szCs w:val="26"/>
        </w:rPr>
        <w:t xml:space="preserve">ompetition </w:t>
      </w:r>
      <w:r w:rsidRPr="00001076" w:rsidR="00A51102">
        <w:rPr>
          <w:szCs w:val="26"/>
        </w:rPr>
        <w:t>l</w:t>
      </w:r>
      <w:r w:rsidRPr="00001076" w:rsidR="00A73C52">
        <w:rPr>
          <w:szCs w:val="26"/>
        </w:rPr>
        <w:t>aw</w:t>
      </w:r>
      <w:r w:rsidRPr="006B675C" w:rsidR="00A73C52">
        <w:rPr>
          <w:szCs w:val="26"/>
        </w:rPr>
        <w:t xml:space="preserve"> </w:t>
      </w:r>
      <w:r w:rsidR="009E7CFC">
        <w:rPr>
          <w:szCs w:val="26"/>
        </w:rPr>
        <w:t>c</w:t>
      </w:r>
      <w:r w:rsidRPr="006B675C" w:rsidR="00A73C52">
        <w:rPr>
          <w:szCs w:val="26"/>
        </w:rPr>
        <w:t>laim</w:t>
      </w:r>
      <w:r w:rsidR="009E7CFC">
        <w:rPr>
          <w:szCs w:val="26"/>
        </w:rPr>
        <w:t xml:space="preserve"> </w:t>
      </w:r>
      <w:r w:rsidR="009E7CFC">
        <w:rPr>
          <w:color w:val="000000"/>
          <w:szCs w:val="26"/>
          <w:shd w:val="clear" w:color="auto" w:fill="FFFFFF"/>
        </w:rPr>
        <w:t>to plaintiffs who have suffered an injury in fact and have lost money or property</w:t>
      </w:r>
      <w:r w:rsidR="00EC5A1D">
        <w:rPr>
          <w:szCs w:val="26"/>
        </w:rPr>
        <w:t>, applied</w:t>
      </w:r>
      <w:r w:rsidRPr="006B675C" w:rsidR="00A73C52">
        <w:rPr>
          <w:szCs w:val="26"/>
        </w:rPr>
        <w:t xml:space="preserve"> to pending cases</w:t>
      </w:r>
      <w:r w:rsidR="009E7CFC">
        <w:rPr>
          <w:szCs w:val="26"/>
        </w:rPr>
        <w:t xml:space="preserve">.  </w:t>
      </w:r>
      <w:r w:rsidR="009E7CFC">
        <w:rPr>
          <w:color w:val="000000"/>
          <w:szCs w:val="26"/>
          <w:shd w:val="clear" w:color="auto" w:fill="FFFFFF"/>
        </w:rPr>
        <w:t>(</w:t>
      </w:r>
      <w:r w:rsidR="009E7CFC">
        <w:rPr>
          <w:i/>
          <w:iCs/>
          <w:color w:val="000000"/>
          <w:szCs w:val="26"/>
          <w:shd w:val="clear" w:color="auto" w:fill="FFFFFF"/>
        </w:rPr>
        <w:t>Mervyn’s</w:t>
      </w:r>
      <w:r w:rsidR="009E7CFC">
        <w:rPr>
          <w:color w:val="000000"/>
          <w:szCs w:val="26"/>
          <w:shd w:val="clear" w:color="auto" w:fill="FFFFFF"/>
        </w:rPr>
        <w:t>,</w:t>
      </w:r>
      <w:r w:rsidR="00CB0130">
        <w:rPr>
          <w:color w:val="000000"/>
          <w:szCs w:val="26"/>
          <w:shd w:val="clear" w:color="auto" w:fill="FFFFFF"/>
        </w:rPr>
        <w:t xml:space="preserve"> </w:t>
      </w:r>
      <w:r w:rsidR="009E7CFC">
        <w:t>at pp. 227–228</w:t>
      </w:r>
      <w:r w:rsidR="00D25928">
        <w:t xml:space="preserve"> </w:t>
      </w:r>
      <w:r w:rsidRPr="00D25928" w:rsidR="00D25928">
        <w:t xml:space="preserve">[law had previously authorized any person acting for the general public to sue, and </w:t>
      </w:r>
      <w:r w:rsidRPr="00001076" w:rsidR="00D25928">
        <w:t>Prop</w:t>
      </w:r>
      <w:r w:rsidRPr="00001076" w:rsidR="00A51102">
        <w:t>.</w:t>
      </w:r>
      <w:r w:rsidRPr="00D25928" w:rsidR="00D25928">
        <w:t xml:space="preserve"> 64</w:t>
      </w:r>
      <w:r w:rsidRPr="00001076" w:rsidR="00A51102">
        <w:t xml:space="preserve">, </w:t>
      </w:r>
      <w:r w:rsidRPr="00001076" w:rsidR="00D25928">
        <w:t xml:space="preserve"> </w:t>
      </w:r>
      <w:r w:rsidRPr="00001076" w:rsidR="00A51102">
        <w:t>approved by voters in Nov</w:t>
      </w:r>
      <w:r w:rsidRPr="00001076" w:rsidR="00E22303">
        <w:t>ember</w:t>
      </w:r>
      <w:r w:rsidRPr="00001076" w:rsidR="00A51102">
        <w:t xml:space="preserve"> 2, 2004,</w:t>
      </w:r>
      <w:r w:rsidRPr="00D25928" w:rsidR="00D25928">
        <w:t xml:space="preserve"> deleted this language]</w:t>
      </w:r>
      <w:r w:rsidR="009E7CFC">
        <w:rPr>
          <w:szCs w:val="26"/>
          <w:shd w:val="clear" w:color="auto" w:fill="FFFFFF"/>
        </w:rPr>
        <w:t xml:space="preserve">.)  </w:t>
      </w:r>
      <w:r w:rsidR="00CB0130">
        <w:rPr>
          <w:color w:val="000000"/>
          <w:szCs w:val="26"/>
          <w:shd w:val="clear" w:color="auto" w:fill="FFFFFF"/>
        </w:rPr>
        <w:t xml:space="preserve">We held that applying the proposition to </w:t>
      </w:r>
      <w:r w:rsidR="000B2C1E">
        <w:rPr>
          <w:color w:val="000000"/>
          <w:szCs w:val="26"/>
          <w:shd w:val="clear" w:color="auto" w:fill="FFFFFF"/>
        </w:rPr>
        <w:t>pending</w:t>
      </w:r>
      <w:r w:rsidR="00CB0130">
        <w:rPr>
          <w:color w:val="000000"/>
          <w:szCs w:val="26"/>
          <w:shd w:val="clear" w:color="auto" w:fill="FFFFFF"/>
        </w:rPr>
        <w:t xml:space="preserve"> cases “is not to apply [it] ‘retroactively,’ as we have defined that term, because the measure does not change the lega</w:t>
      </w:r>
      <w:r w:rsidRPr="006D6D72" w:rsidR="00CB0130">
        <w:rPr>
          <w:szCs w:val="26"/>
          <w:shd w:val="clear" w:color="auto" w:fill="FFFFFF"/>
        </w:rPr>
        <w:t>l consequences of past conduct by imposing new or different liabilities based on such conduct.”  (</w:t>
      </w:r>
      <w:r w:rsidRPr="006D6D72" w:rsidR="00CB0130">
        <w:rPr>
          <w:i/>
          <w:iCs/>
          <w:szCs w:val="26"/>
          <w:shd w:val="clear" w:color="auto" w:fill="FFFFFF"/>
        </w:rPr>
        <w:t>Mervyn’s</w:t>
      </w:r>
      <w:r w:rsidRPr="006D6D72" w:rsidR="00CB0130">
        <w:rPr>
          <w:szCs w:val="26"/>
          <w:shd w:val="clear" w:color="auto" w:fill="FFFFFF"/>
        </w:rPr>
        <w:t xml:space="preserve">, </w:t>
      </w:r>
      <w:r w:rsidRPr="006D6D72" w:rsidR="00CB0130">
        <w:t>at p. 232</w:t>
      </w:r>
      <w:r w:rsidR="005600FD">
        <w:rPr>
          <w:szCs w:val="26"/>
          <w:shd w:val="clear" w:color="auto" w:fill="FFFFFF"/>
        </w:rPr>
        <w:t xml:space="preserve">; see </w:t>
      </w:r>
      <w:r w:rsidR="005600FD">
        <w:rPr>
          <w:i/>
          <w:iCs/>
          <w:szCs w:val="26"/>
          <w:shd w:val="clear" w:color="auto" w:fill="FFFFFF"/>
        </w:rPr>
        <w:t>id</w:t>
      </w:r>
      <w:r w:rsidR="009657A3">
        <w:rPr>
          <w:i/>
          <w:iCs/>
          <w:szCs w:val="26"/>
          <w:shd w:val="clear" w:color="auto" w:fill="FFFFFF"/>
        </w:rPr>
        <w:t xml:space="preserve">. </w:t>
      </w:r>
      <w:r>
        <w:t>at p. 231 [</w:t>
      </w:r>
      <w:r w:rsidR="00A22C6F">
        <w:t xml:space="preserve">distinguishing </w:t>
      </w:r>
      <w:r w:rsidRPr="00FD5EE3">
        <w:rPr>
          <w:i/>
          <w:iCs/>
        </w:rPr>
        <w:t>Myers</w:t>
      </w:r>
      <w:r w:rsidR="00A22C6F">
        <w:t>,</w:t>
      </w:r>
      <w:r w:rsidR="00E47FA6">
        <w:t xml:space="preserve"> </w:t>
      </w:r>
      <w:r w:rsidRPr="00E47FA6" w:rsidR="00E47FA6">
        <w:rPr>
          <w:i/>
          <w:iCs/>
        </w:rPr>
        <w:t>supra</w:t>
      </w:r>
      <w:r w:rsidR="00E47FA6">
        <w:t xml:space="preserve">, 28 Cal.4th at p. 240, </w:t>
      </w:r>
      <w:r w:rsidR="00A22C6F">
        <w:t xml:space="preserve"> where</w:t>
      </w:r>
      <w:r>
        <w:t xml:space="preserve"> </w:t>
      </w:r>
      <w:r w:rsidR="009657A3">
        <w:t>the new law</w:t>
      </w:r>
      <w:r w:rsidR="00E23F6D">
        <w:t xml:space="preserve"> </w:t>
      </w:r>
      <w:r w:rsidR="009B1BF5">
        <w:t>“</w:t>
      </w:r>
      <w:r>
        <w:t xml:space="preserve">subjected tobacco sellers to </w:t>
      </w:r>
      <w:r w:rsidRPr="00FD5EE3">
        <w:t>tort liability for acts performed at a time when they enjoyed the protection of an immunity statute</w:t>
      </w:r>
      <w:r w:rsidR="009B1BF5">
        <w:t>”].)</w:t>
      </w:r>
    </w:p>
    <w:p w:rsidR="00F63EAC" w:rsidRPr="006F010D" w:rsidP="006F010D" w14:paraId="69F8EC51" w14:textId="4E1F4302">
      <w:pPr>
        <w:ind w:firstLine="720"/>
      </w:pPr>
      <w:r w:rsidRPr="00236CEC">
        <w:t xml:space="preserve">  </w:t>
      </w:r>
      <w:r w:rsidR="002B150B">
        <w:t xml:space="preserve">So too here.  </w:t>
      </w:r>
      <w:r w:rsidRPr="00236CEC">
        <w:rPr>
          <w:szCs w:val="26"/>
        </w:rPr>
        <w:t xml:space="preserve">The grace period and notice provisions </w:t>
      </w:r>
      <w:r w:rsidR="00236CEC">
        <w:rPr>
          <w:szCs w:val="26"/>
        </w:rPr>
        <w:t xml:space="preserve">at issue here </w:t>
      </w:r>
      <w:r w:rsidRPr="00236CEC">
        <w:rPr>
          <w:szCs w:val="26"/>
        </w:rPr>
        <w:t xml:space="preserve">simply dictate the procedures for terminating policies after January 1, 2013.  </w:t>
      </w:r>
      <w:r w:rsidRPr="00836E65">
        <w:rPr>
          <w:szCs w:val="26"/>
        </w:rPr>
        <w:t>Applying the provisions to policies already in effect on that date does not appear to impose new or different liabilities based on earlier conduct</w:t>
      </w:r>
      <w:r w:rsidRPr="00236CEC">
        <w:rPr>
          <w:szCs w:val="26"/>
        </w:rPr>
        <w:t>.</w:t>
      </w:r>
      <w:r w:rsidRPr="006D6D72">
        <w:rPr>
          <w:szCs w:val="26"/>
        </w:rPr>
        <w:t xml:space="preserve">  </w:t>
      </w:r>
      <w:r w:rsidR="008B4B66">
        <w:rPr>
          <w:szCs w:val="26"/>
        </w:rPr>
        <w:t xml:space="preserve">(See also </w:t>
      </w:r>
      <w:bookmarkStart w:id="30" w:name="_Hlk77319921"/>
      <w:r w:rsidRPr="00FC741E" w:rsidR="008B4B66">
        <w:rPr>
          <w:i/>
          <w:iCs/>
        </w:rPr>
        <w:t>Pitts v. Perluss</w:t>
      </w:r>
      <w:r w:rsidR="008B4B66">
        <w:t xml:space="preserve"> (1962)</w:t>
      </w:r>
      <w:r w:rsidRPr="00FC741E" w:rsidR="008B4B66">
        <w:t xml:space="preserve"> 58 Cal.2d 824, 835</w:t>
      </w:r>
      <w:r w:rsidR="008B4B66">
        <w:t xml:space="preserve"> </w:t>
      </w:r>
      <w:r w:rsidR="0008684E">
        <w:t>(</w:t>
      </w:r>
      <w:r w:rsidRPr="0008684E" w:rsidR="0008684E">
        <w:rPr>
          <w:i/>
          <w:iCs/>
        </w:rPr>
        <w:t>Pitts</w:t>
      </w:r>
      <w:r w:rsidR="0008684E">
        <w:t xml:space="preserve">) </w:t>
      </w:r>
      <w:bookmarkEnd w:id="30"/>
      <w:r w:rsidR="008B4B66">
        <w:t>[</w:t>
      </w:r>
      <w:r w:rsidR="006F0B61">
        <w:t xml:space="preserve">similar reasoning </w:t>
      </w:r>
      <w:r w:rsidR="00D21EFC">
        <w:t>w</w:t>
      </w:r>
      <w:r w:rsidR="005C0DCA">
        <w:t>ith respect to</w:t>
      </w:r>
      <w:r w:rsidR="0087125F">
        <w:t xml:space="preserve"> a</w:t>
      </w:r>
      <w:r w:rsidR="005C0DCA">
        <w:t xml:space="preserve"> regulation preventing </w:t>
      </w:r>
      <w:r w:rsidRPr="005C0DCA" w:rsidR="005C0DCA">
        <w:t>substantial adverse selection of risks by</w:t>
      </w:r>
      <w:r w:rsidR="00D8453E">
        <w:t xml:space="preserve"> </w:t>
      </w:r>
      <w:r w:rsidRPr="005C0DCA" w:rsidR="005C0DCA">
        <w:t>private insurance companies</w:t>
      </w:r>
      <w:r w:rsidR="0017732D">
        <w:t xml:space="preserve">, </w:t>
      </w:r>
      <w:r w:rsidR="000F3679">
        <w:t xml:space="preserve">as </w:t>
      </w:r>
      <w:r w:rsidR="005C0DCA">
        <w:t xml:space="preserve">the </w:t>
      </w:r>
      <w:r w:rsidR="008D34C8">
        <w:t>“</w:t>
      </w:r>
      <w:r w:rsidRPr="008D34C8" w:rsidR="008D34C8">
        <w:t xml:space="preserve">regulation looks solely to the future; it provides that the future operation of the plans comply with the standards. </w:t>
      </w:r>
      <w:r w:rsidR="00850D99">
        <w:t xml:space="preserve"> </w:t>
      </w:r>
      <w:r w:rsidRPr="008D34C8" w:rsidR="008D34C8">
        <w:t>No sanction or penalty attaches to any past act of the companies; the companies need only discontinue one or more existing noncomplying plans or establish complying ones</w:t>
      </w:r>
      <w:r w:rsidR="008D34C8">
        <w:t xml:space="preserve">”]; see </w:t>
      </w:r>
      <w:r w:rsidRPr="00324403" w:rsidR="008D34C8">
        <w:rPr>
          <w:i/>
          <w:iCs/>
        </w:rPr>
        <w:t xml:space="preserve">id. </w:t>
      </w:r>
      <w:r w:rsidR="008D34C8">
        <w:t>at p.</w:t>
      </w:r>
      <w:r w:rsidR="0008684E">
        <w:t xml:space="preserve"> </w:t>
      </w:r>
      <w:r w:rsidR="00D62F3F">
        <w:t>836</w:t>
      </w:r>
      <w:r w:rsidR="008D34C8">
        <w:t xml:space="preserve"> [distinguishing</w:t>
      </w:r>
      <w:r w:rsidR="00D62F3F">
        <w:t xml:space="preserve">, </w:t>
      </w:r>
      <w:r w:rsidRPr="00324403" w:rsidR="00D62F3F">
        <w:t>inter alia</w:t>
      </w:r>
      <w:r w:rsidR="00D62F3F">
        <w:t xml:space="preserve">, </w:t>
      </w:r>
      <w:r w:rsidRPr="00324403" w:rsidR="00D62F3F">
        <w:rPr>
          <w:i/>
          <w:iCs/>
        </w:rPr>
        <w:t>Interinsurance Exchange</w:t>
      </w:r>
      <w:r w:rsidR="00D62F3F">
        <w:t xml:space="preserve">, </w:t>
      </w:r>
      <w:r w:rsidRPr="00294C19" w:rsidR="00D62F3F">
        <w:rPr>
          <w:i/>
          <w:iCs/>
        </w:rPr>
        <w:t>supra</w:t>
      </w:r>
      <w:r w:rsidR="00D62F3F">
        <w:t>, 58 Cal.2d</w:t>
      </w:r>
      <w:r w:rsidR="006D7B1E">
        <w:t xml:space="preserve"> 142</w:t>
      </w:r>
      <w:r w:rsidR="00D62F3F">
        <w:t xml:space="preserve"> and </w:t>
      </w:r>
      <w:r w:rsidRPr="00294C19" w:rsidR="00D62F3F">
        <w:rPr>
          <w:i/>
          <w:iCs/>
        </w:rPr>
        <w:t>Aetna</w:t>
      </w:r>
      <w:r w:rsidR="00277A2C">
        <w:t xml:space="preserve">, </w:t>
      </w:r>
      <w:r w:rsidRPr="00294C19" w:rsidR="00277A2C">
        <w:rPr>
          <w:i/>
          <w:iCs/>
        </w:rPr>
        <w:t>supra</w:t>
      </w:r>
      <w:r w:rsidR="00277A2C">
        <w:t xml:space="preserve">, </w:t>
      </w:r>
      <w:r w:rsidRPr="00294C19" w:rsidR="00294C19">
        <w:t>30 Cal.2d 388</w:t>
      </w:r>
      <w:r w:rsidR="00294C19">
        <w:t xml:space="preserve">, because those cases involved </w:t>
      </w:r>
      <w:r w:rsidRPr="00D62F3F" w:rsidR="00D62F3F">
        <w:t xml:space="preserve">attempts </w:t>
      </w:r>
      <w:r w:rsidR="00294C19">
        <w:t>“to</w:t>
      </w:r>
      <w:r w:rsidRPr="00294C19" w:rsidR="00294C19">
        <w:t xml:space="preserve"> apply the new law of today to the conduct of yesterday</w:t>
      </w:r>
      <w:r w:rsidR="00294C19">
        <w:t>”].)</w:t>
      </w:r>
    </w:p>
    <w:p w:rsidR="008861F9" w:rsidRPr="003D299E" w:rsidP="00CD5728" w14:paraId="7F7F4017" w14:textId="34A6F613">
      <w:pPr>
        <w:ind w:firstLine="720"/>
      </w:pPr>
      <w:r w:rsidRPr="00836E65">
        <w:t xml:space="preserve">Protective Life </w:t>
      </w:r>
      <w:r w:rsidRPr="00836E65" w:rsidR="00B05BB8">
        <w:t>contends</w:t>
      </w:r>
      <w:r w:rsidRPr="00836E65">
        <w:t xml:space="preserve"> </w:t>
      </w:r>
      <w:r w:rsidRPr="00836E65" w:rsidR="00A46B87">
        <w:t>that</w:t>
      </w:r>
      <w:r w:rsidRPr="00836E65" w:rsidR="00953117">
        <w:t xml:space="preserve"> </w:t>
      </w:r>
      <w:r w:rsidRPr="00836E65">
        <w:t>s</w:t>
      </w:r>
      <w:r w:rsidRPr="00836E65" w:rsidR="009169D9">
        <w:t xml:space="preserve">ome of our </w:t>
      </w:r>
      <w:r w:rsidR="002D1205">
        <w:t xml:space="preserve">cases support a different conclusion:  </w:t>
      </w:r>
      <w:r w:rsidRPr="00836E65" w:rsidR="009169D9">
        <w:t xml:space="preserve">that </w:t>
      </w:r>
      <w:r w:rsidRPr="00836E65" w:rsidR="009359BB">
        <w:t>any</w:t>
      </w:r>
      <w:r w:rsidRPr="00836E65" w:rsidR="009359BB">
        <w:rPr>
          <w:i/>
          <w:iCs/>
        </w:rPr>
        <w:t xml:space="preserve"> </w:t>
      </w:r>
      <w:r w:rsidRPr="00836E65" w:rsidR="009169D9">
        <w:t xml:space="preserve">impact on </w:t>
      </w:r>
      <w:r w:rsidRPr="00836E65" w:rsidR="00A46B87">
        <w:t xml:space="preserve">the terms of an </w:t>
      </w:r>
      <w:r w:rsidRPr="00836E65" w:rsidR="009169D9">
        <w:t>existing contract represents a retroactive change</w:t>
      </w:r>
      <w:r w:rsidR="005B15B5">
        <w:t xml:space="preserve"> for purposes of applying the presumption</w:t>
      </w:r>
      <w:r w:rsidRPr="00836E65" w:rsidR="009169D9">
        <w:t xml:space="preserve">.  </w:t>
      </w:r>
      <w:r w:rsidR="002D1205">
        <w:t>O</w:t>
      </w:r>
      <w:r w:rsidRPr="00836E65" w:rsidR="00B05BB8">
        <w:t>ur precedent more readily establishes a different proposition</w:t>
      </w:r>
      <w:r w:rsidR="002D1205">
        <w:t xml:space="preserve">.  </w:t>
      </w:r>
      <w:r w:rsidRPr="00836E65" w:rsidR="00FF4561">
        <w:t>T</w:t>
      </w:r>
      <w:r w:rsidRPr="00836E65" w:rsidR="00CD5728">
        <w:t xml:space="preserve">he </w:t>
      </w:r>
      <w:r w:rsidRPr="00836E65" w:rsidR="005D5D1C">
        <w:t xml:space="preserve">mere fact that a new law </w:t>
      </w:r>
      <w:r w:rsidRPr="00836E65" w:rsidR="00F152B4">
        <w:t xml:space="preserve">somehow </w:t>
      </w:r>
      <w:r w:rsidRPr="00836E65" w:rsidR="005D5D1C">
        <w:t xml:space="preserve">implicates an existing contract does not, by itself, make the law retroactive.  </w:t>
      </w:r>
      <w:r w:rsidRPr="00836E65" w:rsidR="00F152B4">
        <w:t xml:space="preserve">(See </w:t>
      </w:r>
      <w:r w:rsidRPr="00836E65" w:rsidR="00F152B4">
        <w:rPr>
          <w:i/>
          <w:iCs/>
        </w:rPr>
        <w:t>Western</w:t>
      </w:r>
      <w:r w:rsidRPr="00836E65" w:rsidR="00F152B4">
        <w:t xml:space="preserve">, </w:t>
      </w:r>
      <w:r w:rsidRPr="00836E65" w:rsidR="00F152B4">
        <w:rPr>
          <w:i/>
          <w:iCs/>
        </w:rPr>
        <w:t>supra</w:t>
      </w:r>
      <w:r w:rsidRPr="00836E65" w:rsidR="00F152B4">
        <w:t xml:space="preserve">, 15 Cal.4th at p. 243.)  </w:t>
      </w:r>
      <w:r w:rsidRPr="00836E65" w:rsidR="00D25013">
        <w:t xml:space="preserve">The key is the nature of the </w:t>
      </w:r>
      <w:r w:rsidRPr="00836E65" w:rsidR="004A768B">
        <w:t xml:space="preserve">new law’s </w:t>
      </w:r>
      <w:r w:rsidRPr="00836E65" w:rsidR="00D25013">
        <w:t>impact</w:t>
      </w:r>
      <w:r w:rsidR="00235B79">
        <w:t xml:space="preserve"> — </w:t>
      </w:r>
      <w:r w:rsidRPr="00836E65" w:rsidR="00C70601">
        <w:t xml:space="preserve">whether it </w:t>
      </w:r>
      <w:r w:rsidRPr="00836E65" w:rsidR="001417DC">
        <w:t xml:space="preserve">works a </w:t>
      </w:r>
      <w:r w:rsidRPr="00836E65" w:rsidR="003D299E">
        <w:t xml:space="preserve">substantial </w:t>
      </w:r>
      <w:r w:rsidRPr="00836E65" w:rsidR="001417DC">
        <w:t>change in the contracting parties’</w:t>
      </w:r>
      <w:r w:rsidRPr="00836E65" w:rsidR="003D299E">
        <w:t xml:space="preserve"> </w:t>
      </w:r>
      <w:r w:rsidRPr="00836E65" w:rsidR="001417DC">
        <w:t>rights</w:t>
      </w:r>
      <w:r w:rsidRPr="00836E65" w:rsidR="003D299E">
        <w:t xml:space="preserve"> or obligations</w:t>
      </w:r>
      <w:r w:rsidRPr="00836E65" w:rsidR="00BF200C">
        <w:t>.</w:t>
      </w:r>
      <w:r w:rsidRPr="00836E65" w:rsidR="00D221E0">
        <w:t xml:space="preserve">  </w:t>
      </w:r>
      <w:r w:rsidRPr="00836E65" w:rsidR="003D299E">
        <w:t xml:space="preserve">(See, e.g., </w:t>
      </w:r>
      <w:r w:rsidRPr="00836E65" w:rsidR="003D299E">
        <w:rPr>
          <w:i/>
          <w:iCs/>
        </w:rPr>
        <w:t>Tapia</w:t>
      </w:r>
      <w:r w:rsidRPr="00836E65" w:rsidR="003D299E">
        <w:t xml:space="preserve">, </w:t>
      </w:r>
      <w:r w:rsidRPr="00836E65" w:rsidR="003D299E">
        <w:rPr>
          <w:i/>
          <w:iCs/>
        </w:rPr>
        <w:t>supra</w:t>
      </w:r>
      <w:r w:rsidRPr="00836E65" w:rsidR="003D299E">
        <w:t xml:space="preserve">, 53 Cal.3d at p. 290.)  </w:t>
      </w:r>
      <w:r w:rsidRPr="00D62C14" w:rsidR="00CC38CD">
        <w:t>It</w:t>
      </w:r>
      <w:r w:rsidRPr="00D62C14" w:rsidR="00EB7FAE">
        <w:t>’s</w:t>
      </w:r>
      <w:r w:rsidR="00CC38CD">
        <w:t xml:space="preserve"> </w:t>
      </w:r>
      <w:r w:rsidR="00AC4C5E">
        <w:t>far from clear</w:t>
      </w:r>
      <w:r w:rsidR="00CC38CD">
        <w:t xml:space="preserve"> </w:t>
      </w:r>
      <w:r w:rsidR="00FD0E76">
        <w:t xml:space="preserve">that </w:t>
      </w:r>
      <w:r w:rsidR="00AC4C5E">
        <w:t>any of the</w:t>
      </w:r>
      <w:r w:rsidR="00CC38CD">
        <w:t xml:space="preserve"> </w:t>
      </w:r>
      <w:r w:rsidR="00FD0E76">
        <w:t xml:space="preserve">effects </w:t>
      </w:r>
      <w:r w:rsidR="00AC4C5E">
        <w:t xml:space="preserve">identified by </w:t>
      </w:r>
      <w:r w:rsidRPr="00836E65" w:rsidR="00B67A95">
        <w:rPr>
          <w:szCs w:val="26"/>
        </w:rPr>
        <w:t>Protective Life</w:t>
      </w:r>
      <w:r w:rsidRPr="00836E65" w:rsidR="00E60E87">
        <w:rPr>
          <w:szCs w:val="26"/>
        </w:rPr>
        <w:t xml:space="preserve"> and industry amici</w:t>
      </w:r>
      <w:r w:rsidRPr="00836E65">
        <w:rPr>
          <w:szCs w:val="26"/>
        </w:rPr>
        <w:t xml:space="preserve"> </w:t>
      </w:r>
      <w:r w:rsidRPr="00001076" w:rsidR="00E22303">
        <w:rPr>
          <w:szCs w:val="26"/>
        </w:rPr>
        <w:t xml:space="preserve">curiae </w:t>
      </w:r>
      <w:r w:rsidRPr="00836E65" w:rsidR="006D7F5C">
        <w:rPr>
          <w:szCs w:val="26"/>
        </w:rPr>
        <w:t>rise to this level.</w:t>
      </w:r>
      <w:r w:rsidRPr="00866D4F">
        <w:rPr>
          <w:szCs w:val="26"/>
        </w:rPr>
        <w:t xml:space="preserve"> </w:t>
      </w:r>
    </w:p>
    <w:p w:rsidR="0089728A" w:rsidP="006D7F5C" w14:paraId="0962EC8B" w14:textId="05D32570">
      <w:pPr>
        <w:ind w:firstLine="720"/>
        <w:rPr>
          <w:color w:val="000000"/>
          <w:szCs w:val="26"/>
        </w:rPr>
      </w:pPr>
      <w:r w:rsidRPr="00A2413E">
        <w:rPr>
          <w:color w:val="000000"/>
          <w:szCs w:val="26"/>
        </w:rPr>
        <w:t xml:space="preserve">Protective Life </w:t>
      </w:r>
      <w:r w:rsidR="00114149">
        <w:rPr>
          <w:color w:val="000000"/>
          <w:szCs w:val="26"/>
        </w:rPr>
        <w:t>argues simply</w:t>
      </w:r>
      <w:r w:rsidRPr="00A2413E">
        <w:rPr>
          <w:color w:val="000000"/>
          <w:szCs w:val="26"/>
        </w:rPr>
        <w:t xml:space="preserve"> that </w:t>
      </w:r>
      <w:r w:rsidR="00B37231">
        <w:rPr>
          <w:color w:val="000000"/>
          <w:szCs w:val="26"/>
        </w:rPr>
        <w:t>applying the grace period and notice requirements to McHugh’s policy</w:t>
      </w:r>
      <w:r w:rsidR="00B16C5A">
        <w:rPr>
          <w:color w:val="000000"/>
          <w:szCs w:val="26"/>
        </w:rPr>
        <w:t xml:space="preserve"> and others </w:t>
      </w:r>
      <w:r w:rsidRPr="006D7F5C" w:rsidR="00B16C5A">
        <w:rPr>
          <w:szCs w:val="26"/>
        </w:rPr>
        <w:t>like it</w:t>
      </w:r>
      <w:r w:rsidRPr="006D7F5C">
        <w:rPr>
          <w:szCs w:val="26"/>
        </w:rPr>
        <w:t xml:space="preserve"> goes against contractual counterparties’ strong interests in avoiding unexpected shifts in their legal relationship.  </w:t>
      </w:r>
      <w:r w:rsidRPr="006D7F5C" w:rsidR="006D7F5C">
        <w:rPr>
          <w:szCs w:val="26"/>
        </w:rPr>
        <w:t xml:space="preserve">It asserts, as </w:t>
      </w:r>
      <w:r w:rsidR="000D02F1">
        <w:rPr>
          <w:szCs w:val="26"/>
        </w:rPr>
        <w:t xml:space="preserve">a </w:t>
      </w:r>
      <w:r w:rsidRPr="006D7F5C" w:rsidR="006D7F5C">
        <w:rPr>
          <w:szCs w:val="26"/>
        </w:rPr>
        <w:t xml:space="preserve">general matter, that “[t]he agreed-to premium pricing reflected, among other things, the grace period and notice provisions in the policies.”  </w:t>
      </w:r>
      <w:r w:rsidRPr="006D7F5C">
        <w:rPr>
          <w:szCs w:val="26"/>
        </w:rPr>
        <w:t xml:space="preserve">Protective Life’s argument ultimately boils down to an assertion of its expectations that sections 10113.71 and 10113.72 would not apply </w:t>
      </w:r>
      <w:r w:rsidR="00DA789D">
        <w:rPr>
          <w:szCs w:val="26"/>
        </w:rPr>
        <w:t>to previously enacted policies</w:t>
      </w:r>
      <w:r w:rsidRPr="006D7F5C">
        <w:rPr>
          <w:szCs w:val="26"/>
        </w:rPr>
        <w:t xml:space="preserve">:  It expected </w:t>
      </w:r>
      <w:r w:rsidR="00D100CE">
        <w:rPr>
          <w:szCs w:val="26"/>
        </w:rPr>
        <w:t>these</w:t>
      </w:r>
      <w:r w:rsidRPr="006D7F5C">
        <w:rPr>
          <w:szCs w:val="26"/>
        </w:rPr>
        <w:t xml:space="preserve"> policies to be governed by “the old rules</w:t>
      </w:r>
      <w:r w:rsidRPr="00A2413E">
        <w:rPr>
          <w:color w:val="000000"/>
          <w:szCs w:val="26"/>
        </w:rPr>
        <w:t xml:space="preserve">” and can’t now change premiums to account for the new rules.  </w:t>
      </w:r>
      <w:r w:rsidR="00F11E00">
        <w:rPr>
          <w:color w:val="000000"/>
          <w:szCs w:val="26"/>
        </w:rPr>
        <w:t>We question the prudence of this expectation, since, as we have previously observed, the “highly regulated” nature of the insurance industry means that “further regulation” on policies by the Legislature “can reasonably be anticipated</w:t>
      </w:r>
      <w:r w:rsidR="00DA5592">
        <w:rPr>
          <w:color w:val="000000"/>
          <w:szCs w:val="26"/>
        </w:rPr>
        <w:t>.</w:t>
      </w:r>
      <w:r w:rsidR="00F11E00">
        <w:rPr>
          <w:color w:val="000000"/>
          <w:szCs w:val="26"/>
        </w:rPr>
        <w:t>”</w:t>
      </w:r>
      <w:r w:rsidR="00DA5592">
        <w:rPr>
          <w:color w:val="000000"/>
          <w:szCs w:val="26"/>
        </w:rPr>
        <w:t xml:space="preserve">  </w:t>
      </w:r>
      <w:r w:rsidRPr="00A2413E" w:rsidR="00DA5592">
        <w:rPr>
          <w:color w:val="000000"/>
          <w:szCs w:val="26"/>
        </w:rPr>
        <w:t>(</w:t>
      </w:r>
      <w:r w:rsidRPr="00A2413E" w:rsidR="00DA5592">
        <w:rPr>
          <w:i/>
          <w:iCs/>
          <w:color w:val="000000"/>
          <w:szCs w:val="26"/>
        </w:rPr>
        <w:t>Calfarm</w:t>
      </w:r>
      <w:r w:rsidRPr="00A2413E" w:rsidR="00DA5592">
        <w:rPr>
          <w:color w:val="000000"/>
          <w:szCs w:val="26"/>
        </w:rPr>
        <w:t xml:space="preserve">, </w:t>
      </w:r>
      <w:r w:rsidRPr="00A2413E" w:rsidR="00DA5592">
        <w:rPr>
          <w:i/>
          <w:iCs/>
          <w:color w:val="000000"/>
          <w:szCs w:val="26"/>
        </w:rPr>
        <w:t>supra</w:t>
      </w:r>
      <w:r w:rsidRPr="00A2413E" w:rsidR="00DA5592">
        <w:rPr>
          <w:color w:val="000000"/>
          <w:szCs w:val="26"/>
        </w:rPr>
        <w:t xml:space="preserve">, 48 Cal.3d at p. 830.)  </w:t>
      </w:r>
      <w:r w:rsidR="00DA5592">
        <w:rPr>
          <w:color w:val="000000"/>
          <w:szCs w:val="26"/>
        </w:rPr>
        <w:t xml:space="preserve">Even setting this aside, </w:t>
      </w:r>
      <w:r w:rsidR="007F2DD1">
        <w:rPr>
          <w:color w:val="000000"/>
          <w:szCs w:val="26"/>
        </w:rPr>
        <w:t xml:space="preserve">though, </w:t>
      </w:r>
      <w:r w:rsidR="00DA5592">
        <w:rPr>
          <w:color w:val="000000"/>
          <w:szCs w:val="26"/>
        </w:rPr>
        <w:t xml:space="preserve">Protective Life’s argument fails to </w:t>
      </w:r>
      <w:r w:rsidRPr="00D230B1" w:rsidR="00DA5592">
        <w:rPr>
          <w:szCs w:val="26"/>
        </w:rPr>
        <w:t xml:space="preserve">persuade.  </w:t>
      </w:r>
      <w:r w:rsidRPr="00836E65" w:rsidR="00DA5592">
        <w:rPr>
          <w:szCs w:val="26"/>
        </w:rPr>
        <w:t xml:space="preserve">The insurer’s generalized, amorphous </w:t>
      </w:r>
      <w:r w:rsidRPr="00836E65" w:rsidR="00C80510">
        <w:rPr>
          <w:szCs w:val="26"/>
        </w:rPr>
        <w:t>allusion</w:t>
      </w:r>
      <w:r w:rsidRPr="00836E65">
        <w:rPr>
          <w:szCs w:val="26"/>
        </w:rPr>
        <w:t xml:space="preserve"> to financial impact does not specifically</w:t>
      </w:r>
      <w:r w:rsidRPr="00836E65" w:rsidR="0098589D">
        <w:rPr>
          <w:szCs w:val="26"/>
        </w:rPr>
        <w:t xml:space="preserve"> identify </w:t>
      </w:r>
      <w:r w:rsidRPr="00836E65">
        <w:rPr>
          <w:szCs w:val="26"/>
        </w:rPr>
        <w:t xml:space="preserve">any way in which the bargain memorialized in the insurance contract would be substantially upset by applying the grace period and notice provisions to </w:t>
      </w:r>
      <w:r w:rsidR="006C4E33">
        <w:rPr>
          <w:szCs w:val="26"/>
        </w:rPr>
        <w:t xml:space="preserve">future cancellations </w:t>
      </w:r>
      <w:r w:rsidR="00565B44">
        <w:rPr>
          <w:szCs w:val="26"/>
        </w:rPr>
        <w:t xml:space="preserve">of </w:t>
      </w:r>
      <w:r w:rsidRPr="00836E65">
        <w:rPr>
          <w:szCs w:val="26"/>
        </w:rPr>
        <w:t>policies issued before January 1, 2013.</w:t>
      </w:r>
      <w:r w:rsidRPr="00D230B1">
        <w:rPr>
          <w:szCs w:val="26"/>
        </w:rPr>
        <w:t xml:space="preserve">  </w:t>
      </w:r>
    </w:p>
    <w:p w:rsidR="00792A59" w:rsidP="00457F1E" w14:paraId="054F86A8" w14:textId="25AF2830">
      <w:pPr>
        <w:ind w:firstLine="720"/>
        <w:rPr>
          <w:szCs w:val="26"/>
        </w:rPr>
      </w:pPr>
      <w:r>
        <w:t xml:space="preserve">Industry </w:t>
      </w:r>
      <w:r w:rsidRPr="00001076">
        <w:t>amici</w:t>
      </w:r>
      <w:r w:rsidRPr="00001076" w:rsidR="0076441F">
        <w:t xml:space="preserve"> curiae</w:t>
      </w:r>
      <w:r w:rsidRPr="00001076">
        <w:t>’s</w:t>
      </w:r>
      <w:r>
        <w:t xml:space="preserve"> </w:t>
      </w:r>
      <w:r w:rsidR="00E70151">
        <w:t xml:space="preserve">further </w:t>
      </w:r>
      <w:r>
        <w:t xml:space="preserve">arguments, though more substantiated, </w:t>
      </w:r>
      <w:r w:rsidR="00F90D31">
        <w:t xml:space="preserve">also </w:t>
      </w:r>
      <w:r>
        <w:t>fail</w:t>
      </w:r>
      <w:r w:rsidR="00E70151">
        <w:t xml:space="preserve"> to persuade</w:t>
      </w:r>
      <w:r>
        <w:t xml:space="preserve">.  </w:t>
      </w:r>
      <w:r w:rsidRPr="002557F5">
        <w:rPr>
          <w:szCs w:val="26"/>
        </w:rPr>
        <w:t>The Chamber of Commerce emphasizes that insurers will have to “devote resources” to complying with the notice provisions.  But any such resources would seem to be minimal.  Notice of the designation right need only be provided annually and can be sent together with a billing statement.</w:t>
      </w:r>
      <w:r w:rsidRPr="00D74550" w:rsidR="00372647">
        <w:t xml:space="preserve"> </w:t>
      </w:r>
      <w:r w:rsidRPr="002557F5">
        <w:rPr>
          <w:szCs w:val="26"/>
        </w:rPr>
        <w:t xml:space="preserve"> As to pretermination notice, it is standard industry practice to provide </w:t>
      </w:r>
      <w:r w:rsidRPr="002557F5">
        <w:rPr>
          <w:i/>
          <w:iCs/>
          <w:szCs w:val="26"/>
        </w:rPr>
        <w:t>some</w:t>
      </w:r>
      <w:r w:rsidRPr="002557F5">
        <w:rPr>
          <w:szCs w:val="26"/>
        </w:rPr>
        <w:t xml:space="preserve"> notice before terminating an insurance policy for nonpayment of a premium.  </w:t>
      </w:r>
      <w:r w:rsidR="00A53D3A">
        <w:rPr>
          <w:szCs w:val="26"/>
        </w:rPr>
        <w:t>(</w:t>
      </w:r>
      <w:r w:rsidRPr="000D6BC3" w:rsidR="00F90D31">
        <w:rPr>
          <w:i/>
          <w:iCs/>
          <w:szCs w:val="26"/>
        </w:rPr>
        <w:t>Ante</w:t>
      </w:r>
      <w:r w:rsidR="00F90D31">
        <w:rPr>
          <w:szCs w:val="26"/>
        </w:rPr>
        <w:t>, at</w:t>
      </w:r>
      <w:r w:rsidR="00374F2A">
        <w:rPr>
          <w:szCs w:val="26"/>
        </w:rPr>
        <w:t xml:space="preserve"> p</w:t>
      </w:r>
      <w:r w:rsidR="00A53D3A">
        <w:rPr>
          <w:szCs w:val="26"/>
        </w:rPr>
        <w:t>.</w:t>
      </w:r>
      <w:r w:rsidR="00374F2A">
        <w:rPr>
          <w:szCs w:val="26"/>
        </w:rPr>
        <w:t xml:space="preserve"> </w:t>
      </w:r>
      <w:r w:rsidR="00C92716">
        <w:rPr>
          <w:szCs w:val="26"/>
        </w:rPr>
        <w:t>8</w:t>
      </w:r>
      <w:r w:rsidR="00374F2A">
        <w:rPr>
          <w:szCs w:val="26"/>
        </w:rPr>
        <w:t>.</w:t>
      </w:r>
      <w:r w:rsidR="00A53D3A">
        <w:rPr>
          <w:szCs w:val="26"/>
        </w:rPr>
        <w:t xml:space="preserve">)  </w:t>
      </w:r>
      <w:r w:rsidRPr="002557F5">
        <w:rPr>
          <w:szCs w:val="26"/>
        </w:rPr>
        <w:t xml:space="preserve">Indeed, although McHugh’s policy did not require any pretermination notice, </w:t>
      </w:r>
      <w:r w:rsidR="006F6A99">
        <w:rPr>
          <w:szCs w:val="26"/>
        </w:rPr>
        <w:t xml:space="preserve">Protective Life </w:t>
      </w:r>
      <w:r w:rsidRPr="002557F5">
        <w:rPr>
          <w:szCs w:val="26"/>
        </w:rPr>
        <w:t>sent McHugh letters reminding him that his payment was due, informing him that his payment was late, and then informing him that his policy had lapse</w:t>
      </w:r>
      <w:r w:rsidR="00840C3D">
        <w:rPr>
          <w:szCs w:val="26"/>
        </w:rPr>
        <w:t>d</w:t>
      </w:r>
      <w:r w:rsidRPr="002557F5">
        <w:rPr>
          <w:szCs w:val="26"/>
        </w:rPr>
        <w:t xml:space="preserve"> but could be reinstated.  The American Council of Life Insurers points out that if the insured dies during the extended grace period, the insurer will be required to pay benefits for which it has not received a premium.  But this </w:t>
      </w:r>
      <w:r w:rsidR="002A2D3C">
        <w:rPr>
          <w:szCs w:val="26"/>
        </w:rPr>
        <w:t>burden is at least somewhat offset</w:t>
      </w:r>
      <w:r w:rsidRPr="002557F5">
        <w:rPr>
          <w:szCs w:val="26"/>
        </w:rPr>
        <w:t xml:space="preserve">, since the insurer would be entitled to deduct the unpaid premium payment from any life insurance benefits it pays out.  </w:t>
      </w:r>
    </w:p>
    <w:p w:rsidR="0055103F" w:rsidRPr="00C922D1" w:rsidP="00C922D1" w14:paraId="7E1D004D" w14:textId="686E6129">
      <w:pPr>
        <w:ind w:firstLine="720"/>
      </w:pPr>
      <w:r w:rsidRPr="00F87A04">
        <w:rPr>
          <w:szCs w:val="26"/>
        </w:rPr>
        <w:t xml:space="preserve">Under the circumstances presented, </w:t>
      </w:r>
      <w:r w:rsidR="00F87A04">
        <w:rPr>
          <w:szCs w:val="26"/>
        </w:rPr>
        <w:t>there</w:t>
      </w:r>
      <w:r w:rsidRPr="00F87A04" w:rsidR="004A1C18">
        <w:rPr>
          <w:szCs w:val="26"/>
        </w:rPr>
        <w:t xml:space="preserve"> appears </w:t>
      </w:r>
      <w:r w:rsidR="00F87A04">
        <w:rPr>
          <w:szCs w:val="26"/>
        </w:rPr>
        <w:t xml:space="preserve">to be only one way </w:t>
      </w:r>
      <w:r w:rsidRPr="00F87A04" w:rsidR="004A1C18">
        <w:rPr>
          <w:szCs w:val="26"/>
        </w:rPr>
        <w:t xml:space="preserve">an insurer could incur a significant </w:t>
      </w:r>
      <w:r w:rsidRPr="000E3BF3" w:rsidR="004A1C18">
        <w:rPr>
          <w:szCs w:val="26"/>
        </w:rPr>
        <w:t>unaccounted-for loss</w:t>
      </w:r>
      <w:r w:rsidRPr="000E3BF3" w:rsidR="002A4001">
        <w:rPr>
          <w:szCs w:val="26"/>
        </w:rPr>
        <w:t xml:space="preserve"> </w:t>
      </w:r>
      <w:r w:rsidR="00B05BB8">
        <w:rPr>
          <w:szCs w:val="26"/>
        </w:rPr>
        <w:t>because of</w:t>
      </w:r>
      <w:r w:rsidRPr="000E3BF3" w:rsidR="002A4001">
        <w:rPr>
          <w:szCs w:val="26"/>
        </w:rPr>
        <w:t xml:space="preserve"> sections 10113.71 and 10113.72</w:t>
      </w:r>
      <w:r w:rsidRPr="000E3BF3" w:rsidR="00F87A04">
        <w:rPr>
          <w:szCs w:val="26"/>
        </w:rPr>
        <w:t>:  I</w:t>
      </w:r>
      <w:r w:rsidRPr="000E3BF3" w:rsidR="004A1C18">
        <w:rPr>
          <w:szCs w:val="26"/>
        </w:rPr>
        <w:t xml:space="preserve">f the grace period and notice provisions prevent inadvertent defaults that the insurer had anticipated and </w:t>
      </w:r>
      <w:r w:rsidR="00B05BB8">
        <w:rPr>
          <w:szCs w:val="26"/>
        </w:rPr>
        <w:t xml:space="preserve">baked into </w:t>
      </w:r>
      <w:r w:rsidRPr="00605361" w:rsidR="004A1C18">
        <w:rPr>
          <w:szCs w:val="26"/>
        </w:rPr>
        <w:t>its rates</w:t>
      </w:r>
      <w:r w:rsidR="00235B79">
        <w:rPr>
          <w:szCs w:val="26"/>
        </w:rPr>
        <w:t xml:space="preserve"> — </w:t>
      </w:r>
      <w:r w:rsidRPr="00605361" w:rsidR="004A1C18">
        <w:rPr>
          <w:szCs w:val="26"/>
        </w:rPr>
        <w:t xml:space="preserve">that, after all, is the problem the provisions were designed to address.  If, however, insurers did not specifically </w:t>
      </w:r>
      <w:r w:rsidRPr="00C2026E" w:rsidR="004A1C18">
        <w:rPr>
          <w:szCs w:val="26"/>
        </w:rPr>
        <w:t xml:space="preserve">account for a projected rate of inadvertent default when setting their rates, then any such default would result in a windfall to the insurer. </w:t>
      </w:r>
      <w:r w:rsidR="00A13DB4">
        <w:rPr>
          <w:szCs w:val="26"/>
        </w:rPr>
        <w:t xml:space="preserve"> As </w:t>
      </w:r>
      <w:r w:rsidRPr="00C2026E" w:rsidR="004A1C18">
        <w:rPr>
          <w:szCs w:val="26"/>
        </w:rPr>
        <w:t xml:space="preserve"> </w:t>
      </w:r>
      <w:r w:rsidR="00A13DB4">
        <w:t>a</w:t>
      </w:r>
      <w:r>
        <w:t xml:space="preserve">micus </w:t>
      </w:r>
      <w:r w:rsidRPr="00001076" w:rsidR="0076441F">
        <w:t xml:space="preserve">curiae </w:t>
      </w:r>
      <w:r>
        <w:t>California Advocates for Nursing Home Reform, Inc</w:t>
      </w:r>
      <w:r w:rsidRPr="00001076">
        <w:t>.</w:t>
      </w:r>
      <w:r w:rsidRPr="00001076" w:rsidR="0076441F">
        <w:t>,</w:t>
      </w:r>
      <w:r>
        <w:t xml:space="preserve"> </w:t>
      </w:r>
      <w:r w:rsidR="00191E33">
        <w:t>explains</w:t>
      </w:r>
      <w:r w:rsidR="00BD0B31">
        <w:t>:</w:t>
      </w:r>
      <w:r w:rsidR="00191E33">
        <w:t xml:space="preserve"> </w:t>
      </w:r>
      <w:r w:rsidR="00BD0B31">
        <w:t xml:space="preserve"> </w:t>
      </w:r>
      <w:r w:rsidR="00107A72">
        <w:t>A</w:t>
      </w:r>
      <w:r w:rsidR="00191E33">
        <w:t xml:space="preserve"> windfall</w:t>
      </w:r>
      <w:r w:rsidR="00BD0B31">
        <w:t>, or “</w:t>
      </w:r>
      <w:r w:rsidR="004F0FC2">
        <w:t> </w:t>
      </w:r>
      <w:r w:rsidR="00BD0B31">
        <w:t>‘Lapse Profit,’</w:t>
      </w:r>
      <w:r w:rsidR="004F0FC2">
        <w:t> </w:t>
      </w:r>
      <w:r w:rsidR="00BD0B31">
        <w:t>”</w:t>
      </w:r>
      <w:r w:rsidR="00191E33">
        <w:t xml:space="preserve"> </w:t>
      </w:r>
      <w:r w:rsidR="00B05BB8">
        <w:t>arises</w:t>
      </w:r>
      <w:r w:rsidR="00BD0B31">
        <w:t xml:space="preserve"> when</w:t>
      </w:r>
      <w:r w:rsidR="00107A72">
        <w:t xml:space="preserve"> a policy</w:t>
      </w:r>
      <w:r w:rsidR="00C91CA1">
        <w:t xml:space="preserve"> owner</w:t>
      </w:r>
      <w:r w:rsidR="00107A72">
        <w:t>’s missed premium payment allows the</w:t>
      </w:r>
      <w:r w:rsidR="00BD0B31">
        <w:t xml:space="preserve"> insurers to “</w:t>
      </w:r>
      <w:r w:rsidR="004F0FC2">
        <w:t> </w:t>
      </w:r>
      <w:r w:rsidR="00BD0B31">
        <w:t>‘pocket’ years of premium</w:t>
      </w:r>
      <w:r w:rsidR="00107A72">
        <w:t>[</w:t>
      </w:r>
      <w:r w:rsidR="00BD0B31">
        <w:t>s</w:t>
      </w:r>
      <w:r w:rsidR="00107A72">
        <w:t>],</w:t>
      </w:r>
      <w:r w:rsidR="00BD0B31">
        <w:t xml:space="preserve">” </w:t>
      </w:r>
      <w:r w:rsidR="00107A72">
        <w:t>potentially totaling several</w:t>
      </w:r>
      <w:r w:rsidR="00BD0B31">
        <w:t xml:space="preserve"> thousands of dollars, and “simply walk away </w:t>
      </w:r>
      <w:r w:rsidRPr="00BD0B31" w:rsidR="00BD0B31">
        <w:t xml:space="preserve">from any obligation </w:t>
      </w:r>
      <w:r w:rsidR="003F1419">
        <w:t xml:space="preserve">[to] </w:t>
      </w:r>
      <w:r w:rsidRPr="00BD0B31" w:rsidR="00BD0B31">
        <w:t xml:space="preserve">pay anything to </w:t>
      </w:r>
      <w:r w:rsidR="00107A72">
        <w:t>[its]</w:t>
      </w:r>
      <w:r w:rsidRPr="00BD0B31" w:rsidR="00BD0B31">
        <w:t xml:space="preserve"> </w:t>
      </w:r>
      <w:r w:rsidR="00107A72">
        <w:t>‘</w:t>
      </w:r>
      <w:r w:rsidRPr="00BD0B31" w:rsidR="00BD0B31">
        <w:t>former client</w:t>
      </w:r>
      <w:r w:rsidR="00107A72">
        <w:t>[]</w:t>
      </w:r>
      <w:r w:rsidRPr="00BD0B31" w:rsidR="00BD0B31">
        <w:t>.</w:t>
      </w:r>
      <w:r w:rsidR="00107A72">
        <w:t>’</w:t>
      </w:r>
      <w:r w:rsidR="004F0FC2">
        <w:t> </w:t>
      </w:r>
      <w:r w:rsidRPr="00BD0B31" w:rsidR="00BD0B31">
        <w:t>”</w:t>
      </w:r>
      <w:r w:rsidR="00C922D1">
        <w:t xml:space="preserve">  </w:t>
      </w:r>
      <w:r>
        <w:t xml:space="preserve">One additional consideration for why a windfall may occur:  Premiums in a </w:t>
      </w:r>
      <w:r w:rsidRPr="00A2413E">
        <w:rPr>
          <w:color w:val="000000"/>
          <w:szCs w:val="26"/>
        </w:rPr>
        <w:t>policy’s</w:t>
      </w:r>
      <w:r>
        <w:rPr>
          <w:color w:val="000000"/>
          <w:szCs w:val="26"/>
        </w:rPr>
        <w:t xml:space="preserve"> </w:t>
      </w:r>
      <w:r w:rsidRPr="00A2413E">
        <w:rPr>
          <w:color w:val="000000"/>
          <w:szCs w:val="26"/>
        </w:rPr>
        <w:t>earlier years exceed the cost of providing coverage</w:t>
      </w:r>
      <w:r>
        <w:rPr>
          <w:color w:val="000000"/>
          <w:szCs w:val="26"/>
        </w:rPr>
        <w:t>.</w:t>
      </w:r>
      <w:r w:rsidRPr="00A2413E">
        <w:rPr>
          <w:color w:val="000000"/>
          <w:szCs w:val="26"/>
        </w:rPr>
        <w:t xml:space="preserve"> </w:t>
      </w:r>
      <w:r>
        <w:rPr>
          <w:color w:val="000000"/>
          <w:szCs w:val="26"/>
        </w:rPr>
        <w:t xml:space="preserve"> </w:t>
      </w:r>
      <w:r w:rsidRPr="00A2413E">
        <w:rPr>
          <w:color w:val="000000"/>
          <w:szCs w:val="26"/>
        </w:rPr>
        <w:t>(</w:t>
      </w:r>
      <w:r w:rsidRPr="00A2413E">
        <w:rPr>
          <w:i/>
          <w:iCs/>
          <w:color w:val="000000"/>
          <w:szCs w:val="26"/>
        </w:rPr>
        <w:t>Fairbanks</w:t>
      </w:r>
      <w:r w:rsidRPr="00A2413E">
        <w:rPr>
          <w:color w:val="000000"/>
          <w:szCs w:val="26"/>
        </w:rPr>
        <w:t xml:space="preserve">, </w:t>
      </w:r>
      <w:r w:rsidRPr="00A2413E">
        <w:rPr>
          <w:i/>
          <w:iCs/>
          <w:color w:val="000000"/>
          <w:szCs w:val="26"/>
        </w:rPr>
        <w:t>supra</w:t>
      </w:r>
      <w:r w:rsidRPr="00A2413E">
        <w:rPr>
          <w:color w:val="000000"/>
          <w:szCs w:val="26"/>
        </w:rPr>
        <w:t>, 197 Cal.App.4th at pp. 547–548</w:t>
      </w:r>
      <w:r>
        <w:rPr>
          <w:color w:val="000000"/>
          <w:szCs w:val="26"/>
        </w:rPr>
        <w:t>.</w:t>
      </w:r>
      <w:r w:rsidRPr="00A2413E">
        <w:rPr>
          <w:color w:val="000000"/>
          <w:szCs w:val="26"/>
        </w:rPr>
        <w:t>)</w:t>
      </w:r>
      <w:r>
        <w:rPr>
          <w:rStyle w:val="FootnoteReference"/>
          <w:color w:val="000000"/>
          <w:szCs w:val="26"/>
        </w:rPr>
        <w:footnoteReference w:id="8"/>
      </w:r>
    </w:p>
    <w:p w:rsidR="007902F5" w:rsidRPr="00576268" w:rsidP="005A1724" w14:paraId="29E1A4E5" w14:textId="2386AB53">
      <w:pPr>
        <w:widowControl w:val="0"/>
        <w:ind w:firstLine="720"/>
        <w:rPr>
          <w:szCs w:val="27"/>
        </w:rPr>
      </w:pPr>
      <w:r w:rsidRPr="00836E65">
        <w:rPr>
          <w:szCs w:val="26"/>
        </w:rPr>
        <w:t>Here, n</w:t>
      </w:r>
      <w:r w:rsidRPr="00836E65" w:rsidR="004A1C18">
        <w:rPr>
          <w:szCs w:val="26"/>
        </w:rPr>
        <w:t xml:space="preserve">either Protective Life nor amici </w:t>
      </w:r>
      <w:r w:rsidRPr="00001076" w:rsidR="0076441F">
        <w:rPr>
          <w:szCs w:val="26"/>
        </w:rPr>
        <w:t xml:space="preserve">curiae </w:t>
      </w:r>
      <w:r w:rsidRPr="00001076" w:rsidR="005B2F86">
        <w:rPr>
          <w:szCs w:val="26"/>
        </w:rPr>
        <w:t>argue</w:t>
      </w:r>
      <w:r w:rsidRPr="00836E65" w:rsidR="004A1C18">
        <w:rPr>
          <w:szCs w:val="26"/>
        </w:rPr>
        <w:t xml:space="preserve"> that</w:t>
      </w:r>
      <w:r w:rsidRPr="00836E65" w:rsidR="00B05BB8">
        <w:rPr>
          <w:szCs w:val="26"/>
        </w:rPr>
        <w:t xml:space="preserve"> </w:t>
      </w:r>
      <w:r w:rsidRPr="00836E65" w:rsidR="004A1C18">
        <w:rPr>
          <w:szCs w:val="26"/>
        </w:rPr>
        <w:t>insurers accounted for a particular rate of inadvertent default</w:t>
      </w:r>
      <w:r w:rsidRPr="00836E65" w:rsidR="00B05BB8">
        <w:rPr>
          <w:szCs w:val="26"/>
        </w:rPr>
        <w:t xml:space="preserve"> in setting premiums before January 1, 2013</w:t>
      </w:r>
      <w:r w:rsidRPr="00836E65" w:rsidR="004A1C18">
        <w:rPr>
          <w:szCs w:val="26"/>
        </w:rPr>
        <w:t>.</w:t>
      </w:r>
      <w:r w:rsidRPr="00280FC4" w:rsidR="004A1C18">
        <w:rPr>
          <w:szCs w:val="26"/>
        </w:rPr>
        <w:t xml:space="preserve">  </w:t>
      </w:r>
      <w:r w:rsidRPr="00280FC4" w:rsidR="00674277">
        <w:rPr>
          <w:szCs w:val="26"/>
        </w:rPr>
        <w:t xml:space="preserve">Though </w:t>
      </w:r>
      <w:r w:rsidRPr="00280FC4" w:rsidR="00E66058">
        <w:rPr>
          <w:szCs w:val="26"/>
        </w:rPr>
        <w:t>they generally reference premium pricing</w:t>
      </w:r>
      <w:r w:rsidR="00916C4F">
        <w:rPr>
          <w:szCs w:val="26"/>
        </w:rPr>
        <w:t xml:space="preserve"> and </w:t>
      </w:r>
      <w:r w:rsidR="0073737F">
        <w:rPr>
          <w:szCs w:val="26"/>
        </w:rPr>
        <w:t xml:space="preserve">financial </w:t>
      </w:r>
      <w:r w:rsidR="00916C4F">
        <w:rPr>
          <w:szCs w:val="26"/>
        </w:rPr>
        <w:t>projections</w:t>
      </w:r>
      <w:r w:rsidRPr="00280FC4" w:rsidR="00E66058">
        <w:rPr>
          <w:szCs w:val="26"/>
        </w:rPr>
        <w:t>,</w:t>
      </w:r>
      <w:r w:rsidRPr="00280FC4" w:rsidR="00C2026E">
        <w:rPr>
          <w:szCs w:val="26"/>
        </w:rPr>
        <w:t xml:space="preserve"> they do not specifically claim to have included in their rate-setting calculations a</w:t>
      </w:r>
      <w:r>
        <w:rPr>
          <w:szCs w:val="26"/>
        </w:rPr>
        <w:t>n</w:t>
      </w:r>
      <w:r w:rsidRPr="00280FC4" w:rsidR="00C2026E">
        <w:rPr>
          <w:szCs w:val="26"/>
        </w:rPr>
        <w:t xml:space="preserve"> </w:t>
      </w:r>
      <w:r w:rsidRPr="00280FC4">
        <w:rPr>
          <w:szCs w:val="26"/>
        </w:rPr>
        <w:t>anticipated</w:t>
      </w:r>
      <w:r w:rsidRPr="00280FC4" w:rsidR="00C2026E">
        <w:rPr>
          <w:szCs w:val="26"/>
        </w:rPr>
        <w:t xml:space="preserve"> percentage of policy</w:t>
      </w:r>
      <w:r w:rsidR="00C91CA1">
        <w:rPr>
          <w:szCs w:val="26"/>
        </w:rPr>
        <w:t xml:space="preserve"> owner</w:t>
      </w:r>
      <w:r w:rsidRPr="00280FC4" w:rsidR="00C2026E">
        <w:rPr>
          <w:szCs w:val="26"/>
        </w:rPr>
        <w:t>s who, due to illness</w:t>
      </w:r>
      <w:r w:rsidR="004A1BBC">
        <w:rPr>
          <w:szCs w:val="26"/>
        </w:rPr>
        <w:t xml:space="preserve">, </w:t>
      </w:r>
      <w:r w:rsidRPr="00280FC4" w:rsidR="00C2026E">
        <w:rPr>
          <w:szCs w:val="26"/>
        </w:rPr>
        <w:t>incapacity,</w:t>
      </w:r>
      <w:r w:rsidR="004A1BBC">
        <w:rPr>
          <w:szCs w:val="26"/>
        </w:rPr>
        <w:t xml:space="preserve"> or other factors,</w:t>
      </w:r>
      <w:r w:rsidRPr="00280FC4" w:rsidR="00C2026E">
        <w:rPr>
          <w:szCs w:val="26"/>
        </w:rPr>
        <w:t xml:space="preserve"> would fail to pay their </w:t>
      </w:r>
      <w:r w:rsidRPr="00576268" w:rsidR="00C2026E">
        <w:rPr>
          <w:szCs w:val="27"/>
        </w:rPr>
        <w:t>premiums and lose coverage, thereby relieving the insurers from the obligation to pay out death benefits.</w:t>
      </w:r>
      <w:r w:rsidRPr="00576268" w:rsidR="00BC27A6">
        <w:rPr>
          <w:rStyle w:val="CommentReference"/>
          <w:sz w:val="27"/>
          <w:szCs w:val="27"/>
        </w:rPr>
        <w:t xml:space="preserve"> </w:t>
      </w:r>
      <w:r w:rsidRPr="00576268" w:rsidR="002961ED">
        <w:rPr>
          <w:szCs w:val="27"/>
        </w:rPr>
        <w:t xml:space="preserve"> </w:t>
      </w:r>
      <w:r w:rsidRPr="00576268" w:rsidR="00943B44">
        <w:rPr>
          <w:szCs w:val="27"/>
        </w:rPr>
        <w:t xml:space="preserve">In fact, Protective Life argued </w:t>
      </w:r>
      <w:r w:rsidRPr="00576268" w:rsidR="005A1724">
        <w:rPr>
          <w:szCs w:val="27"/>
        </w:rPr>
        <w:t>at trial</w:t>
      </w:r>
      <w:r w:rsidR="00235B79">
        <w:rPr>
          <w:szCs w:val="27"/>
        </w:rPr>
        <w:t xml:space="preserve"> — </w:t>
      </w:r>
      <w:r w:rsidRPr="00576268" w:rsidR="005A1724">
        <w:rPr>
          <w:szCs w:val="27"/>
        </w:rPr>
        <w:t>and the jury accepted</w:t>
      </w:r>
      <w:r w:rsidR="00235B79">
        <w:rPr>
          <w:szCs w:val="27"/>
        </w:rPr>
        <w:t xml:space="preserve"> — </w:t>
      </w:r>
      <w:r w:rsidRPr="00576268" w:rsidR="005A1724">
        <w:rPr>
          <w:szCs w:val="27"/>
        </w:rPr>
        <w:t xml:space="preserve">that </w:t>
      </w:r>
      <w:r w:rsidRPr="00576268" w:rsidR="003F469E">
        <w:rPr>
          <w:szCs w:val="27"/>
        </w:rPr>
        <w:t xml:space="preserve">the notices and grace period it actually provided to McHugh </w:t>
      </w:r>
      <w:r w:rsidR="00002711">
        <w:rPr>
          <w:szCs w:val="27"/>
        </w:rPr>
        <w:t xml:space="preserve">substantially </w:t>
      </w:r>
      <w:r w:rsidRPr="00576268" w:rsidR="005A1724">
        <w:rPr>
          <w:szCs w:val="27"/>
        </w:rPr>
        <w:t xml:space="preserve">complied with </w:t>
      </w:r>
      <w:r w:rsidR="00002711">
        <w:rPr>
          <w:szCs w:val="27"/>
        </w:rPr>
        <w:t xml:space="preserve">and </w:t>
      </w:r>
      <w:r w:rsidRPr="00576268" w:rsidR="003F469E">
        <w:rPr>
          <w:szCs w:val="27"/>
        </w:rPr>
        <w:t xml:space="preserve">largely replicated </w:t>
      </w:r>
      <w:r w:rsidRPr="00576268" w:rsidR="005A1724">
        <w:rPr>
          <w:szCs w:val="27"/>
        </w:rPr>
        <w:t>sections 10113.71 and 10113.72.</w:t>
      </w:r>
      <w:r w:rsidR="00AC4C5E">
        <w:rPr>
          <w:szCs w:val="27"/>
        </w:rPr>
        <w:t xml:space="preserve">  Taken together, t</w:t>
      </w:r>
      <w:r w:rsidR="00131DFC">
        <w:rPr>
          <w:szCs w:val="27"/>
        </w:rPr>
        <w:t>he arguments offered fall short o</w:t>
      </w:r>
      <w:r w:rsidR="0044441F">
        <w:rPr>
          <w:szCs w:val="27"/>
        </w:rPr>
        <w:t>f</w:t>
      </w:r>
      <w:r w:rsidR="00131DFC">
        <w:rPr>
          <w:szCs w:val="27"/>
        </w:rPr>
        <w:t xml:space="preserve"> clearly showing how </w:t>
      </w:r>
      <w:r w:rsidR="00756B85">
        <w:rPr>
          <w:szCs w:val="27"/>
        </w:rPr>
        <w:t>the</w:t>
      </w:r>
      <w:r w:rsidRPr="00576268" w:rsidR="003F469E">
        <w:rPr>
          <w:szCs w:val="27"/>
        </w:rPr>
        <w:t xml:space="preserve"> </w:t>
      </w:r>
      <w:r w:rsidR="00CA081E">
        <w:rPr>
          <w:szCs w:val="27"/>
        </w:rPr>
        <w:t xml:space="preserve">sections’ </w:t>
      </w:r>
      <w:r w:rsidRPr="00576268" w:rsidR="003F469E">
        <w:rPr>
          <w:szCs w:val="27"/>
        </w:rPr>
        <w:t>new protections constituted a</w:t>
      </w:r>
      <w:r w:rsidRPr="00576268" w:rsidR="005A1724">
        <w:rPr>
          <w:szCs w:val="27"/>
        </w:rPr>
        <w:t xml:space="preserve"> disruptive</w:t>
      </w:r>
      <w:r w:rsidRPr="00576268" w:rsidR="003F469E">
        <w:rPr>
          <w:szCs w:val="27"/>
        </w:rPr>
        <w:t xml:space="preserve"> </w:t>
      </w:r>
      <w:r w:rsidR="007511B3">
        <w:rPr>
          <w:szCs w:val="27"/>
        </w:rPr>
        <w:t xml:space="preserve">contract </w:t>
      </w:r>
      <w:r w:rsidRPr="00576268" w:rsidR="003F469E">
        <w:rPr>
          <w:szCs w:val="27"/>
        </w:rPr>
        <w:t xml:space="preserve">change of the sort that would </w:t>
      </w:r>
      <w:r w:rsidRPr="00576268" w:rsidR="005A1724">
        <w:rPr>
          <w:szCs w:val="27"/>
        </w:rPr>
        <w:t>qualify as “retroactive” under our precedent</w:t>
      </w:r>
      <w:r w:rsidRPr="00576268" w:rsidR="003F469E">
        <w:rPr>
          <w:szCs w:val="27"/>
        </w:rPr>
        <w:t xml:space="preserve">.  </w:t>
      </w:r>
    </w:p>
    <w:p w:rsidR="00CF27EA" w:rsidRPr="00280FC4" w:rsidP="00BC27A6" w14:paraId="6A4C4672" w14:textId="5984FE3C">
      <w:pPr>
        <w:pStyle w:val="Heading3"/>
        <w:keepNext/>
        <w:widowControl w:val="0"/>
      </w:pPr>
      <w:r>
        <w:t>2.</w:t>
      </w:r>
    </w:p>
    <w:p w:rsidR="00B429DC" w:rsidRPr="00711E2B" w:rsidP="00763384" w14:paraId="1295A837" w14:textId="756EF5DB">
      <w:pPr>
        <w:keepNext/>
        <w:widowControl w:val="0"/>
        <w:ind w:firstLine="720"/>
        <w:rPr>
          <w:szCs w:val="26"/>
        </w:rPr>
      </w:pPr>
      <w:r>
        <w:rPr>
          <w:szCs w:val="26"/>
        </w:rPr>
        <w:t xml:space="preserve">If </w:t>
      </w:r>
      <w:r w:rsidRPr="00D62C14">
        <w:rPr>
          <w:szCs w:val="26"/>
        </w:rPr>
        <w:t>it’s</w:t>
      </w:r>
      <w:r>
        <w:rPr>
          <w:szCs w:val="26"/>
        </w:rPr>
        <w:t xml:space="preserve"> far from obvious</w:t>
      </w:r>
      <w:r w:rsidR="008207F8">
        <w:rPr>
          <w:szCs w:val="26"/>
        </w:rPr>
        <w:t xml:space="preserve"> </w:t>
      </w:r>
      <w:r>
        <w:rPr>
          <w:szCs w:val="26"/>
        </w:rPr>
        <w:t xml:space="preserve">that applying </w:t>
      </w:r>
      <w:r w:rsidRPr="00615CCD" w:rsidR="007043F7">
        <w:rPr>
          <w:szCs w:val="26"/>
        </w:rPr>
        <w:t xml:space="preserve">sections 10113.71 and 10113.72 </w:t>
      </w:r>
      <w:r w:rsidR="00D83A6A">
        <w:rPr>
          <w:szCs w:val="26"/>
        </w:rPr>
        <w:t xml:space="preserve">to existing life insurance policies </w:t>
      </w:r>
      <w:r>
        <w:rPr>
          <w:szCs w:val="26"/>
        </w:rPr>
        <w:t>is retroactive</w:t>
      </w:r>
      <w:r w:rsidR="00305BE5">
        <w:rPr>
          <w:szCs w:val="26"/>
        </w:rPr>
        <w:t xml:space="preserve"> </w:t>
      </w:r>
      <w:r w:rsidR="000744CB">
        <w:rPr>
          <w:szCs w:val="26"/>
        </w:rPr>
        <w:t xml:space="preserve">under </w:t>
      </w:r>
      <w:r w:rsidR="00BA0DD3">
        <w:rPr>
          <w:szCs w:val="26"/>
        </w:rPr>
        <w:t>well</w:t>
      </w:r>
      <w:r w:rsidR="00D54DEB">
        <w:rPr>
          <w:szCs w:val="26"/>
        </w:rPr>
        <w:t>-</w:t>
      </w:r>
      <w:r w:rsidR="00BA0DD3">
        <w:rPr>
          <w:szCs w:val="26"/>
        </w:rPr>
        <w:t xml:space="preserve">settled </w:t>
      </w:r>
      <w:r w:rsidR="000744CB">
        <w:rPr>
          <w:szCs w:val="26"/>
        </w:rPr>
        <w:t xml:space="preserve">case </w:t>
      </w:r>
      <w:r w:rsidRPr="00836E65" w:rsidR="00D51E2B">
        <w:rPr>
          <w:szCs w:val="26"/>
        </w:rPr>
        <w:t>law</w:t>
      </w:r>
      <w:r>
        <w:rPr>
          <w:szCs w:val="26"/>
        </w:rPr>
        <w:t xml:space="preserve">, </w:t>
      </w:r>
      <w:r w:rsidRPr="00D62C14">
        <w:rPr>
          <w:szCs w:val="26"/>
        </w:rPr>
        <w:t>it’s</w:t>
      </w:r>
      <w:r>
        <w:rPr>
          <w:szCs w:val="26"/>
        </w:rPr>
        <w:t xml:space="preserve"> also clear that Protective Life’s argument about the scope of these two new sections still fails to persuade</w:t>
      </w:r>
      <w:r w:rsidRPr="00836E65" w:rsidR="00D51E2B">
        <w:rPr>
          <w:szCs w:val="26"/>
        </w:rPr>
        <w:t xml:space="preserve"> </w:t>
      </w:r>
      <w:r>
        <w:rPr>
          <w:szCs w:val="26"/>
        </w:rPr>
        <w:t xml:space="preserve">us even if one considered the </w:t>
      </w:r>
      <w:r w:rsidR="00B807BF">
        <w:rPr>
          <w:szCs w:val="26"/>
        </w:rPr>
        <w:t>provisions in question to have some retroactive effect</w:t>
      </w:r>
      <w:r>
        <w:rPr>
          <w:szCs w:val="26"/>
        </w:rPr>
        <w:t>.</w:t>
      </w:r>
      <w:r w:rsidRPr="00836E65" w:rsidR="00403F3E">
        <w:rPr>
          <w:szCs w:val="26"/>
        </w:rPr>
        <w:t xml:space="preserve">  </w:t>
      </w:r>
      <w:r>
        <w:rPr>
          <w:szCs w:val="26"/>
        </w:rPr>
        <w:t>For some observers, the statutory</w:t>
      </w:r>
      <w:r w:rsidR="006A25E8">
        <w:rPr>
          <w:szCs w:val="26"/>
        </w:rPr>
        <w:t xml:space="preserve"> changes </w:t>
      </w:r>
      <w:r>
        <w:rPr>
          <w:szCs w:val="26"/>
        </w:rPr>
        <w:t>in question might be considered to go</w:t>
      </w:r>
      <w:r w:rsidR="00F17AAE">
        <w:rPr>
          <w:szCs w:val="26"/>
        </w:rPr>
        <w:t xml:space="preserve"> beyond nominal or trivial </w:t>
      </w:r>
      <w:r w:rsidR="00615290">
        <w:rPr>
          <w:szCs w:val="26"/>
        </w:rPr>
        <w:t xml:space="preserve">alterations to existing </w:t>
      </w:r>
      <w:r>
        <w:rPr>
          <w:szCs w:val="26"/>
        </w:rPr>
        <w:t>contracts</w:t>
      </w:r>
      <w:r w:rsidR="00615290">
        <w:rPr>
          <w:szCs w:val="26"/>
        </w:rPr>
        <w:t xml:space="preserve">.  To </w:t>
      </w:r>
      <w:r w:rsidR="00796078">
        <w:rPr>
          <w:szCs w:val="26"/>
        </w:rPr>
        <w:t>the extent</w:t>
      </w:r>
      <w:r w:rsidRPr="00836E65" w:rsidR="00744814">
        <w:rPr>
          <w:szCs w:val="26"/>
        </w:rPr>
        <w:t xml:space="preserve"> </w:t>
      </w:r>
      <w:r w:rsidRPr="00836E65" w:rsidR="003D2EFC">
        <w:rPr>
          <w:szCs w:val="26"/>
        </w:rPr>
        <w:t xml:space="preserve">some of our cases </w:t>
      </w:r>
      <w:r w:rsidRPr="00836E65" w:rsidR="00320CAA">
        <w:rPr>
          <w:szCs w:val="26"/>
        </w:rPr>
        <w:t xml:space="preserve">can be read to </w:t>
      </w:r>
      <w:r w:rsidRPr="00836E65" w:rsidR="005A0564">
        <w:rPr>
          <w:szCs w:val="26"/>
        </w:rPr>
        <w:t>suggest a broader understanding of “retroactivity”</w:t>
      </w:r>
      <w:r w:rsidR="00235B79">
        <w:rPr>
          <w:szCs w:val="26"/>
        </w:rPr>
        <w:t xml:space="preserve"> — </w:t>
      </w:r>
      <w:r w:rsidRPr="00836E65" w:rsidR="005A0564">
        <w:rPr>
          <w:szCs w:val="26"/>
        </w:rPr>
        <w:t xml:space="preserve">one </w:t>
      </w:r>
      <w:r w:rsidRPr="00836E65" w:rsidR="00F5109B">
        <w:rPr>
          <w:szCs w:val="26"/>
        </w:rPr>
        <w:t xml:space="preserve">potentially </w:t>
      </w:r>
      <w:r w:rsidRPr="00836E65" w:rsidR="005A0564">
        <w:rPr>
          <w:szCs w:val="26"/>
        </w:rPr>
        <w:t xml:space="preserve">embracing </w:t>
      </w:r>
      <w:r w:rsidRPr="00836E65" w:rsidR="005A0564">
        <w:rPr>
          <w:i/>
          <w:iCs/>
          <w:szCs w:val="26"/>
        </w:rPr>
        <w:t>any</w:t>
      </w:r>
      <w:r w:rsidRPr="00836E65" w:rsidR="005A0564">
        <w:rPr>
          <w:szCs w:val="26"/>
        </w:rPr>
        <w:t xml:space="preserve"> </w:t>
      </w:r>
      <w:r w:rsidRPr="00836E65" w:rsidR="00D77B01">
        <w:rPr>
          <w:szCs w:val="26"/>
        </w:rPr>
        <w:t xml:space="preserve">statutory </w:t>
      </w:r>
      <w:r w:rsidRPr="00836E65" w:rsidR="005A0564">
        <w:rPr>
          <w:szCs w:val="26"/>
        </w:rPr>
        <w:t xml:space="preserve">impact </w:t>
      </w:r>
      <w:r w:rsidRPr="00836E65" w:rsidR="00437E3C">
        <w:rPr>
          <w:szCs w:val="26"/>
        </w:rPr>
        <w:t xml:space="preserve">on </w:t>
      </w:r>
      <w:r w:rsidRPr="00836E65" w:rsidR="005A0564">
        <w:rPr>
          <w:szCs w:val="26"/>
        </w:rPr>
        <w:t xml:space="preserve">an existing </w:t>
      </w:r>
      <w:r w:rsidRPr="00836E65" w:rsidR="004443A8">
        <w:rPr>
          <w:szCs w:val="26"/>
        </w:rPr>
        <w:t xml:space="preserve">insurance </w:t>
      </w:r>
      <w:r w:rsidRPr="00836E65" w:rsidR="005A0564">
        <w:rPr>
          <w:szCs w:val="26"/>
        </w:rPr>
        <w:t xml:space="preserve">contract </w:t>
      </w:r>
      <w:r w:rsidRPr="00836E65" w:rsidR="004443A8">
        <w:rPr>
          <w:szCs w:val="26"/>
        </w:rPr>
        <w:t xml:space="preserve">(see </w:t>
      </w:r>
      <w:r w:rsidRPr="00836E65" w:rsidR="004443A8">
        <w:rPr>
          <w:i/>
          <w:iCs/>
          <w:szCs w:val="26"/>
        </w:rPr>
        <w:t>Myers</w:t>
      </w:r>
      <w:r w:rsidRPr="00836E65" w:rsidR="004443A8">
        <w:rPr>
          <w:szCs w:val="26"/>
        </w:rPr>
        <w:t xml:space="preserve">, </w:t>
      </w:r>
      <w:r w:rsidRPr="00836E65" w:rsidR="004443A8">
        <w:rPr>
          <w:i/>
          <w:iCs/>
          <w:szCs w:val="26"/>
        </w:rPr>
        <w:t>supra</w:t>
      </w:r>
      <w:r w:rsidRPr="00836E65" w:rsidR="004443A8">
        <w:rPr>
          <w:szCs w:val="26"/>
        </w:rPr>
        <w:t>, 28 Cal.4th at p. 839)</w:t>
      </w:r>
      <w:r w:rsidR="00235B79">
        <w:rPr>
          <w:szCs w:val="26"/>
        </w:rPr>
        <w:t xml:space="preserve"> — </w:t>
      </w:r>
      <w:r w:rsidRPr="00836E65" w:rsidR="002054EC">
        <w:rPr>
          <w:szCs w:val="26"/>
        </w:rPr>
        <w:t xml:space="preserve">our precedent </w:t>
      </w:r>
      <w:r w:rsidRPr="00836E65" w:rsidR="00574B44">
        <w:rPr>
          <w:szCs w:val="26"/>
        </w:rPr>
        <w:t xml:space="preserve">nonetheless still </w:t>
      </w:r>
      <w:r>
        <w:rPr>
          <w:szCs w:val="26"/>
        </w:rPr>
        <w:t>supports a conclusion in plaintiffs’ favor</w:t>
      </w:r>
      <w:r w:rsidRPr="00836E65" w:rsidR="00B50454">
        <w:rPr>
          <w:szCs w:val="26"/>
        </w:rPr>
        <w:t>.</w:t>
      </w:r>
    </w:p>
    <w:p w:rsidR="00333193" w:rsidP="00763384" w14:paraId="7917DB9D" w14:textId="6400983D">
      <w:pPr>
        <w:ind w:firstLine="720"/>
        <w:rPr>
          <w:color w:val="000000"/>
          <w:szCs w:val="26"/>
        </w:rPr>
      </w:pPr>
      <w:r w:rsidRPr="00836E65">
        <w:rPr>
          <w:szCs w:val="26"/>
        </w:rPr>
        <w:t xml:space="preserve">As plaintiffs argue, </w:t>
      </w:r>
      <w:r w:rsidRPr="00836E65" w:rsidR="00D85773">
        <w:rPr>
          <w:szCs w:val="26"/>
        </w:rPr>
        <w:t xml:space="preserve">even if applying sections 10113.71 and 10113.72 </w:t>
      </w:r>
      <w:r w:rsidRPr="00836E65" w:rsidR="00100DD7">
        <w:rPr>
          <w:szCs w:val="26"/>
        </w:rPr>
        <w:t>in this case</w:t>
      </w:r>
      <w:r w:rsidRPr="00836E65" w:rsidR="00D85773">
        <w:rPr>
          <w:szCs w:val="26"/>
        </w:rPr>
        <w:t xml:space="preserve"> is retroactive, it is retroactive only in a </w:t>
      </w:r>
      <w:r w:rsidR="00B807BF">
        <w:rPr>
          <w:szCs w:val="26"/>
        </w:rPr>
        <w:t xml:space="preserve">relatively </w:t>
      </w:r>
      <w:r w:rsidRPr="00836E65" w:rsidR="00F629DB">
        <w:rPr>
          <w:szCs w:val="26"/>
        </w:rPr>
        <w:t>narrow</w:t>
      </w:r>
      <w:r w:rsidRPr="00836E65" w:rsidR="00D85773">
        <w:rPr>
          <w:szCs w:val="26"/>
        </w:rPr>
        <w:t xml:space="preserve"> sense</w:t>
      </w:r>
      <w:r w:rsidRPr="00711E2B" w:rsidR="00F240A9">
        <w:rPr>
          <w:szCs w:val="26"/>
        </w:rPr>
        <w:t>.</w:t>
      </w:r>
      <w:r w:rsidRPr="00711E2B" w:rsidR="00100DD7">
        <w:rPr>
          <w:szCs w:val="26"/>
        </w:rPr>
        <w:t xml:space="preserve">  </w:t>
      </w:r>
      <w:r w:rsidR="00B807BF">
        <w:rPr>
          <w:szCs w:val="26"/>
        </w:rPr>
        <w:t>True:</w:t>
      </w:r>
      <w:r w:rsidRPr="00836E65" w:rsidR="00F240A9">
        <w:rPr>
          <w:szCs w:val="26"/>
        </w:rPr>
        <w:t xml:space="preserve"> </w:t>
      </w:r>
      <w:r w:rsidR="00D54DEB">
        <w:rPr>
          <w:szCs w:val="26"/>
        </w:rPr>
        <w:t xml:space="preserve"> </w:t>
      </w:r>
      <w:r w:rsidR="003224C9">
        <w:rPr>
          <w:szCs w:val="26"/>
        </w:rPr>
        <w:t>T</w:t>
      </w:r>
      <w:r w:rsidRPr="00836E65" w:rsidR="00F240A9">
        <w:rPr>
          <w:szCs w:val="26"/>
        </w:rPr>
        <w:t>he sections</w:t>
      </w:r>
      <w:r w:rsidRPr="00836E65" w:rsidR="00F51EC8">
        <w:rPr>
          <w:szCs w:val="26"/>
        </w:rPr>
        <w:t xml:space="preserve">, if applied to </w:t>
      </w:r>
      <w:r w:rsidRPr="00001076" w:rsidR="00F51EC8">
        <w:rPr>
          <w:szCs w:val="26"/>
        </w:rPr>
        <w:t>preenactment</w:t>
      </w:r>
      <w:r w:rsidRPr="00836E65" w:rsidR="00F51EC8">
        <w:rPr>
          <w:szCs w:val="26"/>
        </w:rPr>
        <w:t xml:space="preserve"> policies, do create </w:t>
      </w:r>
      <w:r w:rsidRPr="00836E65" w:rsidR="006618FE">
        <w:rPr>
          <w:szCs w:val="26"/>
        </w:rPr>
        <w:t xml:space="preserve">new </w:t>
      </w:r>
      <w:r w:rsidRPr="00836E65" w:rsidR="00B969D9">
        <w:rPr>
          <w:szCs w:val="26"/>
        </w:rPr>
        <w:t xml:space="preserve">rules </w:t>
      </w:r>
      <w:r w:rsidRPr="00836E65" w:rsidR="006618FE">
        <w:rPr>
          <w:szCs w:val="26"/>
        </w:rPr>
        <w:t>for</w:t>
      </w:r>
      <w:r w:rsidRPr="00836E65" w:rsidR="00F51EC8">
        <w:rPr>
          <w:szCs w:val="26"/>
        </w:rPr>
        <w:t xml:space="preserve"> </w:t>
      </w:r>
      <w:r w:rsidR="000313BC">
        <w:rPr>
          <w:szCs w:val="26"/>
        </w:rPr>
        <w:t>insurers</w:t>
      </w:r>
      <w:r w:rsidRPr="00836E65" w:rsidR="000313BC">
        <w:rPr>
          <w:szCs w:val="26"/>
        </w:rPr>
        <w:t xml:space="preserve"> </w:t>
      </w:r>
      <w:r w:rsidRPr="00836E65" w:rsidR="00F51EC8">
        <w:rPr>
          <w:szCs w:val="26"/>
        </w:rPr>
        <w:t>in</w:t>
      </w:r>
      <w:r w:rsidRPr="00836E65" w:rsidR="006618FE">
        <w:rPr>
          <w:szCs w:val="26"/>
        </w:rPr>
        <w:t xml:space="preserve"> administ</w:t>
      </w:r>
      <w:r w:rsidRPr="00836E65" w:rsidR="00F51EC8">
        <w:rPr>
          <w:szCs w:val="26"/>
        </w:rPr>
        <w:t>ering these policies</w:t>
      </w:r>
      <w:r w:rsidRPr="00836E65" w:rsidR="00CE7A22">
        <w:rPr>
          <w:szCs w:val="26"/>
        </w:rPr>
        <w:t>.</w:t>
      </w:r>
      <w:r w:rsidRPr="00836E65" w:rsidR="00B969D9">
        <w:rPr>
          <w:szCs w:val="26"/>
        </w:rPr>
        <w:t xml:space="preserve">  Because </w:t>
      </w:r>
      <w:r w:rsidRPr="00836E65" w:rsidR="009E6814">
        <w:rPr>
          <w:szCs w:val="26"/>
        </w:rPr>
        <w:t xml:space="preserve">the </w:t>
      </w:r>
      <w:r w:rsidRPr="00836E65" w:rsidR="009E6814">
        <w:rPr>
          <w:color w:val="000000"/>
          <w:szCs w:val="26"/>
        </w:rPr>
        <w:t>grace period and notice provisions</w:t>
      </w:r>
      <w:r w:rsidRPr="00836E65" w:rsidR="009E6814">
        <w:rPr>
          <w:szCs w:val="26"/>
        </w:rPr>
        <w:t xml:space="preserve"> </w:t>
      </w:r>
      <w:r w:rsidRPr="00836E65" w:rsidR="00B969D9">
        <w:rPr>
          <w:szCs w:val="26"/>
        </w:rPr>
        <w:t xml:space="preserve">expand insurers’ </w:t>
      </w:r>
      <w:r w:rsidRPr="00001076" w:rsidR="009E6814">
        <w:rPr>
          <w:szCs w:val="26"/>
        </w:rPr>
        <w:t>pretermination</w:t>
      </w:r>
      <w:r w:rsidRPr="00836E65" w:rsidR="009E6814">
        <w:rPr>
          <w:szCs w:val="26"/>
        </w:rPr>
        <w:t xml:space="preserve"> </w:t>
      </w:r>
      <w:r w:rsidRPr="00836E65" w:rsidR="00B969D9">
        <w:rPr>
          <w:szCs w:val="26"/>
        </w:rPr>
        <w:t xml:space="preserve">requirements beyond the bargained-for policy terms, </w:t>
      </w:r>
      <w:r w:rsidRPr="00836E65" w:rsidR="009E6814">
        <w:rPr>
          <w:szCs w:val="26"/>
        </w:rPr>
        <w:t xml:space="preserve">they </w:t>
      </w:r>
      <w:r w:rsidRPr="00836E65" w:rsidR="00F629DB">
        <w:rPr>
          <w:szCs w:val="26"/>
        </w:rPr>
        <w:t xml:space="preserve">technically </w:t>
      </w:r>
      <w:r w:rsidRPr="00836E65" w:rsidR="00D75EF5">
        <w:rPr>
          <w:szCs w:val="26"/>
        </w:rPr>
        <w:t>affect “</w:t>
      </w:r>
      <w:r w:rsidRPr="00836E65" w:rsidR="00612590">
        <w:rPr>
          <w:szCs w:val="26"/>
        </w:rPr>
        <w:t> </w:t>
      </w:r>
      <w:r w:rsidRPr="00836E65" w:rsidR="00D75EF5">
        <w:rPr>
          <w:szCs w:val="26"/>
        </w:rPr>
        <w:t>‘</w:t>
      </w:r>
      <w:r w:rsidRPr="00836E65" w:rsidR="00612590">
        <w:rPr>
          <w:szCs w:val="26"/>
        </w:rPr>
        <w:t> </w:t>
      </w:r>
      <w:r w:rsidRPr="00836E65" w:rsidR="00D75EF5">
        <w:rPr>
          <w:szCs w:val="26"/>
        </w:rPr>
        <w:t>“</w:t>
      </w:r>
      <w:r w:rsidRPr="00836E65" w:rsidR="00D75EF5">
        <w:rPr>
          <w:color w:val="000000"/>
          <w:szCs w:val="26"/>
        </w:rPr>
        <w:t xml:space="preserve">rights, obligations, acts, transactions and conditions” in existence “prior to the adoption of the </w:t>
      </w:r>
      <w:r w:rsidRPr="00836E65" w:rsidR="00BE02A9">
        <w:rPr>
          <w:color w:val="000000"/>
          <w:szCs w:val="26"/>
        </w:rPr>
        <w:t>[sections]</w:t>
      </w:r>
      <w:r w:rsidRPr="00836E65" w:rsidR="00D75EF5">
        <w:rPr>
          <w:color w:val="000000"/>
          <w:szCs w:val="26"/>
        </w:rPr>
        <w:t>.”</w:t>
      </w:r>
      <w:r w:rsidRPr="00836E65" w:rsidR="00612590">
        <w:rPr>
          <w:color w:val="000000"/>
          <w:szCs w:val="26"/>
        </w:rPr>
        <w:t> </w:t>
      </w:r>
      <w:r w:rsidRPr="00836E65" w:rsidR="00D75EF5">
        <w:rPr>
          <w:color w:val="000000"/>
          <w:szCs w:val="26"/>
        </w:rPr>
        <w:t>’</w:t>
      </w:r>
      <w:r w:rsidRPr="00836E65" w:rsidR="00612590">
        <w:rPr>
          <w:color w:val="000000"/>
          <w:szCs w:val="26"/>
        </w:rPr>
        <w:t> </w:t>
      </w:r>
      <w:r w:rsidRPr="00836E65" w:rsidR="00D75EF5">
        <w:rPr>
          <w:color w:val="000000"/>
          <w:szCs w:val="26"/>
        </w:rPr>
        <w:t>”</w:t>
      </w:r>
      <w:r w:rsidRPr="00836E65" w:rsidR="00F240A9">
        <w:rPr>
          <w:color w:val="000000"/>
          <w:szCs w:val="26"/>
        </w:rPr>
        <w:t xml:space="preserve">  (</w:t>
      </w:r>
      <w:r w:rsidRPr="00836E65" w:rsidR="007C6C0E">
        <w:rPr>
          <w:i/>
          <w:iCs/>
          <w:szCs w:val="26"/>
        </w:rPr>
        <w:t>Myers</w:t>
      </w:r>
      <w:r w:rsidRPr="00836E65" w:rsidR="007C6C0E">
        <w:rPr>
          <w:szCs w:val="26"/>
        </w:rPr>
        <w:t xml:space="preserve">, </w:t>
      </w:r>
      <w:r w:rsidRPr="00836E65" w:rsidR="007C6C0E">
        <w:rPr>
          <w:i/>
          <w:iCs/>
          <w:szCs w:val="26"/>
        </w:rPr>
        <w:t>supra</w:t>
      </w:r>
      <w:r w:rsidRPr="00836E65" w:rsidR="007C6C0E">
        <w:rPr>
          <w:szCs w:val="26"/>
        </w:rPr>
        <w:t>, 28 Cal.4th at p. 839</w:t>
      </w:r>
      <w:r w:rsidRPr="00836E65" w:rsidR="00F240A9">
        <w:rPr>
          <w:color w:val="000000"/>
          <w:szCs w:val="26"/>
        </w:rPr>
        <w:t>.)</w:t>
      </w:r>
      <w:r w:rsidRPr="00711E2B" w:rsidR="0039272C">
        <w:rPr>
          <w:color w:val="000000"/>
          <w:szCs w:val="26"/>
        </w:rPr>
        <w:t xml:space="preserve">  </w:t>
      </w:r>
      <w:r w:rsidRPr="00836E65" w:rsidR="0039272C">
        <w:rPr>
          <w:color w:val="000000"/>
          <w:szCs w:val="26"/>
        </w:rPr>
        <w:t>But</w:t>
      </w:r>
      <w:r w:rsidRPr="00836E65" w:rsidR="007950E3">
        <w:rPr>
          <w:color w:val="000000"/>
          <w:szCs w:val="26"/>
        </w:rPr>
        <w:t>,</w:t>
      </w:r>
      <w:r w:rsidRPr="00836E65" w:rsidR="000F508D">
        <w:rPr>
          <w:color w:val="000000"/>
          <w:szCs w:val="26"/>
        </w:rPr>
        <w:t xml:space="preserve"> for</w:t>
      </w:r>
      <w:r w:rsidRPr="00836E65" w:rsidR="00623D51">
        <w:rPr>
          <w:color w:val="000000"/>
          <w:szCs w:val="26"/>
        </w:rPr>
        <w:t xml:space="preserve"> the same reasons </w:t>
      </w:r>
      <w:r w:rsidRPr="00836E65" w:rsidR="00F629DB">
        <w:rPr>
          <w:color w:val="000000"/>
          <w:szCs w:val="26"/>
        </w:rPr>
        <w:t xml:space="preserve">that </w:t>
      </w:r>
      <w:r w:rsidR="007D731A">
        <w:rPr>
          <w:color w:val="000000"/>
          <w:szCs w:val="26"/>
        </w:rPr>
        <w:t>one could conclude</w:t>
      </w:r>
      <w:r w:rsidRPr="00836E65" w:rsidR="004843C6">
        <w:rPr>
          <w:color w:val="000000"/>
          <w:szCs w:val="26"/>
        </w:rPr>
        <w:t xml:space="preserve"> this case</w:t>
      </w:r>
      <w:r w:rsidRPr="00836E65" w:rsidR="00F51EC8">
        <w:rPr>
          <w:color w:val="000000"/>
          <w:szCs w:val="26"/>
        </w:rPr>
        <w:t xml:space="preserve"> </w:t>
      </w:r>
      <w:r w:rsidRPr="00836E65" w:rsidR="004843C6">
        <w:rPr>
          <w:color w:val="000000"/>
          <w:szCs w:val="26"/>
        </w:rPr>
        <w:t xml:space="preserve">does </w:t>
      </w:r>
      <w:r w:rsidRPr="00836E65" w:rsidR="00F51EC8">
        <w:rPr>
          <w:color w:val="000000"/>
          <w:szCs w:val="26"/>
        </w:rPr>
        <w:t>not</w:t>
      </w:r>
      <w:r w:rsidRPr="00836E65" w:rsidR="00AA2C77">
        <w:rPr>
          <w:color w:val="000000"/>
          <w:szCs w:val="26"/>
        </w:rPr>
        <w:t xml:space="preserve"> </w:t>
      </w:r>
      <w:r w:rsidRPr="00836E65" w:rsidR="004843C6">
        <w:rPr>
          <w:color w:val="000000"/>
          <w:szCs w:val="26"/>
        </w:rPr>
        <w:t xml:space="preserve">present a question of </w:t>
      </w:r>
      <w:r w:rsidRPr="00836E65" w:rsidR="00F629DB">
        <w:rPr>
          <w:color w:val="000000"/>
          <w:szCs w:val="26"/>
        </w:rPr>
        <w:t>retroactiv</w:t>
      </w:r>
      <w:r w:rsidRPr="00836E65" w:rsidR="004843C6">
        <w:rPr>
          <w:color w:val="000000"/>
          <w:szCs w:val="26"/>
        </w:rPr>
        <w:t>ity</w:t>
      </w:r>
      <w:r w:rsidRPr="00001076" w:rsidR="00F629DB">
        <w:rPr>
          <w:color w:val="000000"/>
          <w:szCs w:val="26"/>
        </w:rPr>
        <w:t>,</w:t>
      </w:r>
      <w:r w:rsidRPr="00836E65" w:rsidR="00F629DB">
        <w:rPr>
          <w:color w:val="000000"/>
          <w:szCs w:val="26"/>
        </w:rPr>
        <w:t xml:space="preserve"> we</w:t>
      </w:r>
      <w:r w:rsidRPr="00836E65" w:rsidR="000F508D">
        <w:rPr>
          <w:color w:val="000000"/>
          <w:szCs w:val="26"/>
        </w:rPr>
        <w:t xml:space="preserve"> determine that </w:t>
      </w:r>
      <w:r w:rsidRPr="00836E65" w:rsidR="00F51EC8">
        <w:rPr>
          <w:color w:val="000000"/>
          <w:szCs w:val="26"/>
        </w:rPr>
        <w:t xml:space="preserve">any </w:t>
      </w:r>
      <w:r w:rsidRPr="00836E65" w:rsidR="007950E3">
        <w:rPr>
          <w:color w:val="000000"/>
          <w:szCs w:val="26"/>
        </w:rPr>
        <w:t xml:space="preserve">nominal </w:t>
      </w:r>
      <w:r w:rsidRPr="00836E65" w:rsidR="00AA2C77">
        <w:rPr>
          <w:color w:val="000000"/>
          <w:szCs w:val="26"/>
        </w:rPr>
        <w:t xml:space="preserve">retroactive effect </w:t>
      </w:r>
      <w:r w:rsidRPr="00836E65" w:rsidR="00CE7A22">
        <w:rPr>
          <w:color w:val="000000"/>
          <w:szCs w:val="26"/>
        </w:rPr>
        <w:t xml:space="preserve">arguably </w:t>
      </w:r>
      <w:r w:rsidRPr="00836E65" w:rsidR="004843C6">
        <w:rPr>
          <w:color w:val="000000"/>
          <w:szCs w:val="26"/>
        </w:rPr>
        <w:t>at issue</w:t>
      </w:r>
      <w:r w:rsidRPr="00836E65" w:rsidR="004E573B">
        <w:rPr>
          <w:color w:val="000000"/>
          <w:szCs w:val="26"/>
        </w:rPr>
        <w:t xml:space="preserve"> here</w:t>
      </w:r>
      <w:r w:rsidRPr="00836E65" w:rsidR="00B429DC">
        <w:rPr>
          <w:color w:val="000000"/>
          <w:szCs w:val="26"/>
        </w:rPr>
        <w:t xml:space="preserve"> </w:t>
      </w:r>
      <w:r w:rsidRPr="00836E65" w:rsidR="007937BA">
        <w:rPr>
          <w:color w:val="000000"/>
          <w:szCs w:val="26"/>
        </w:rPr>
        <w:t xml:space="preserve">plainly </w:t>
      </w:r>
      <w:r w:rsidRPr="00836E65" w:rsidR="00CE7A22">
        <w:rPr>
          <w:color w:val="000000"/>
          <w:szCs w:val="26"/>
        </w:rPr>
        <w:t xml:space="preserve">fails to </w:t>
      </w:r>
      <w:r w:rsidRPr="00836E65" w:rsidR="00611639">
        <w:rPr>
          <w:color w:val="000000"/>
          <w:szCs w:val="26"/>
        </w:rPr>
        <w:t>present the</w:t>
      </w:r>
      <w:r w:rsidRPr="00836E65" w:rsidR="00F22DA0">
        <w:rPr>
          <w:color w:val="000000"/>
          <w:szCs w:val="26"/>
        </w:rPr>
        <w:t xml:space="preserve"> </w:t>
      </w:r>
      <w:r w:rsidRPr="00836E65" w:rsidR="004843C6">
        <w:rPr>
          <w:color w:val="000000"/>
          <w:szCs w:val="26"/>
        </w:rPr>
        <w:t xml:space="preserve">type </w:t>
      </w:r>
      <w:r w:rsidRPr="00836E65" w:rsidR="00865139">
        <w:rPr>
          <w:color w:val="000000"/>
          <w:szCs w:val="26"/>
        </w:rPr>
        <w:t xml:space="preserve">of </w:t>
      </w:r>
      <w:r w:rsidRPr="00836E65" w:rsidR="001140F3">
        <w:rPr>
          <w:color w:val="000000"/>
          <w:szCs w:val="26"/>
        </w:rPr>
        <w:t>concern underlying the</w:t>
      </w:r>
      <w:r w:rsidRPr="00836E65" w:rsidR="004843C6">
        <w:rPr>
          <w:color w:val="000000"/>
          <w:szCs w:val="26"/>
        </w:rPr>
        <w:t xml:space="preserve"> application of the presumption</w:t>
      </w:r>
      <w:r w:rsidR="00834C6C">
        <w:rPr>
          <w:color w:val="000000"/>
          <w:szCs w:val="26"/>
        </w:rPr>
        <w:t xml:space="preserve"> as we have ordinarily understood it</w:t>
      </w:r>
      <w:r w:rsidRPr="00836E65" w:rsidR="00544428">
        <w:rPr>
          <w:color w:val="000000"/>
          <w:szCs w:val="26"/>
        </w:rPr>
        <w:t>.</w:t>
      </w:r>
      <w:r w:rsidR="00544428">
        <w:rPr>
          <w:color w:val="000000"/>
          <w:szCs w:val="26"/>
        </w:rPr>
        <w:t xml:space="preserve">  </w:t>
      </w:r>
    </w:p>
    <w:p w:rsidR="00EE6D4D" w:rsidRPr="00FD57B6" w:rsidP="00FD57B6" w14:paraId="3E0DE40F" w14:textId="0ADACA77">
      <w:pPr>
        <w:widowControl w:val="0"/>
        <w:ind w:firstLine="720"/>
        <w:rPr>
          <w:color w:val="000000"/>
          <w:szCs w:val="26"/>
        </w:rPr>
      </w:pPr>
      <w:r>
        <w:rPr>
          <w:color w:val="000000"/>
          <w:szCs w:val="26"/>
        </w:rPr>
        <w:t>The retroactivity presumption is not a “straitjacket</w:t>
      </w:r>
      <w:r w:rsidR="00C974FF">
        <w:rPr>
          <w:color w:val="000000"/>
          <w:szCs w:val="26"/>
        </w:rPr>
        <w:t>.</w:t>
      </w:r>
      <w:r>
        <w:rPr>
          <w:color w:val="000000"/>
          <w:szCs w:val="26"/>
        </w:rPr>
        <w:t xml:space="preserve">” </w:t>
      </w:r>
      <w:r w:rsidR="00763384">
        <w:rPr>
          <w:color w:val="000000"/>
          <w:szCs w:val="26"/>
        </w:rPr>
        <w:t xml:space="preserve"> </w:t>
      </w:r>
      <w:r w:rsidRPr="00A2413E" w:rsidR="00763384">
        <w:rPr>
          <w:szCs w:val="26"/>
          <w:shd w:val="clear" w:color="auto" w:fill="FFFFFF"/>
        </w:rPr>
        <w:t>(</w:t>
      </w:r>
      <w:r w:rsidRPr="00A2413E" w:rsidR="00763384">
        <w:rPr>
          <w:i/>
          <w:iCs/>
          <w:szCs w:val="26"/>
          <w:shd w:val="clear" w:color="auto" w:fill="FFFFFF"/>
        </w:rPr>
        <w:t>In re Estrada</w:t>
      </w:r>
      <w:r w:rsidRPr="00A2413E" w:rsidR="00763384">
        <w:rPr>
          <w:szCs w:val="26"/>
          <w:shd w:val="clear" w:color="auto" w:fill="FFFFFF"/>
        </w:rPr>
        <w:t xml:space="preserve"> (1965) 63 Cal.2d 740, 746</w:t>
      </w:r>
      <w:r w:rsidR="00763384">
        <w:rPr>
          <w:szCs w:val="26"/>
          <w:shd w:val="clear" w:color="auto" w:fill="FFFFFF"/>
        </w:rPr>
        <w:t xml:space="preserve">.)  </w:t>
      </w:r>
      <w:r w:rsidRPr="00836E65" w:rsidR="00C974FF">
        <w:rPr>
          <w:color w:val="000000"/>
          <w:szCs w:val="26"/>
        </w:rPr>
        <w:t xml:space="preserve">Nothing in </w:t>
      </w:r>
      <w:r w:rsidRPr="00836E65">
        <w:rPr>
          <w:color w:val="000000"/>
          <w:szCs w:val="26"/>
        </w:rPr>
        <w:t xml:space="preserve">our </w:t>
      </w:r>
      <w:r w:rsidRPr="00836E65" w:rsidR="00E86D6A">
        <w:rPr>
          <w:color w:val="000000"/>
          <w:szCs w:val="26"/>
        </w:rPr>
        <w:t xml:space="preserve">cases </w:t>
      </w:r>
      <w:r w:rsidRPr="00836E65" w:rsidR="00C974FF">
        <w:rPr>
          <w:color w:val="000000"/>
          <w:szCs w:val="26"/>
        </w:rPr>
        <w:t>calls on</w:t>
      </w:r>
      <w:r w:rsidRPr="00836E65" w:rsidR="00FD57B6">
        <w:rPr>
          <w:color w:val="000000"/>
          <w:szCs w:val="26"/>
        </w:rPr>
        <w:t xml:space="preserve"> us to apply</w:t>
      </w:r>
      <w:r w:rsidRPr="00836E65" w:rsidR="00E86D6A">
        <w:rPr>
          <w:color w:val="000000"/>
          <w:szCs w:val="26"/>
        </w:rPr>
        <w:t xml:space="preserve"> the presumption for </w:t>
      </w:r>
      <w:r w:rsidRPr="00836E65" w:rsidR="00E86D6A">
        <w:rPr>
          <w:i/>
          <w:iCs/>
          <w:color w:val="000000"/>
          <w:szCs w:val="26"/>
        </w:rPr>
        <w:t>any</w:t>
      </w:r>
      <w:r w:rsidRPr="00836E65" w:rsidR="00E86D6A">
        <w:rPr>
          <w:color w:val="000000"/>
          <w:szCs w:val="26"/>
        </w:rPr>
        <w:t xml:space="preserve"> </w:t>
      </w:r>
      <w:r w:rsidRPr="00836E65" w:rsidR="00C974FF">
        <w:rPr>
          <w:color w:val="000000"/>
          <w:szCs w:val="26"/>
        </w:rPr>
        <w:t xml:space="preserve">conceivable </w:t>
      </w:r>
      <w:r w:rsidRPr="00836E65" w:rsidR="008E68E0">
        <w:rPr>
          <w:color w:val="000000"/>
          <w:szCs w:val="26"/>
        </w:rPr>
        <w:t xml:space="preserve">type of </w:t>
      </w:r>
      <w:r w:rsidRPr="00001076" w:rsidR="005E63D1">
        <w:rPr>
          <w:color w:val="000000"/>
          <w:szCs w:val="26"/>
        </w:rPr>
        <w:t>preenactment</w:t>
      </w:r>
      <w:r w:rsidRPr="00836E65" w:rsidR="005E63D1">
        <w:rPr>
          <w:color w:val="000000"/>
          <w:szCs w:val="26"/>
        </w:rPr>
        <w:t xml:space="preserve"> impact</w:t>
      </w:r>
      <w:r w:rsidRPr="00836E65" w:rsidR="00E86D6A">
        <w:rPr>
          <w:color w:val="000000"/>
          <w:szCs w:val="26"/>
        </w:rPr>
        <w:t xml:space="preserve">, however </w:t>
      </w:r>
      <w:r w:rsidRPr="00836E65" w:rsidR="00C974FF">
        <w:rPr>
          <w:color w:val="000000"/>
          <w:szCs w:val="26"/>
        </w:rPr>
        <w:t>slight</w:t>
      </w:r>
      <w:r w:rsidRPr="00836E65" w:rsidR="00E86D6A">
        <w:rPr>
          <w:color w:val="000000"/>
          <w:szCs w:val="26"/>
        </w:rPr>
        <w:t xml:space="preserve">.  </w:t>
      </w:r>
      <w:r w:rsidRPr="00836E65" w:rsidR="00347114">
        <w:rPr>
          <w:szCs w:val="26"/>
          <w:shd w:val="clear" w:color="auto" w:fill="FFFFFF"/>
        </w:rPr>
        <w:t>Instead, our case law</w:t>
      </w:r>
      <w:r w:rsidRPr="00836E65" w:rsidR="00FD57B6">
        <w:rPr>
          <w:szCs w:val="26"/>
          <w:shd w:val="clear" w:color="auto" w:fill="FFFFFF"/>
        </w:rPr>
        <w:t xml:space="preserve"> </w:t>
      </w:r>
      <w:r w:rsidRPr="00836E65">
        <w:rPr>
          <w:szCs w:val="26"/>
          <w:shd w:val="clear" w:color="auto" w:fill="FFFFFF"/>
        </w:rPr>
        <w:t xml:space="preserve">calls for </w:t>
      </w:r>
      <w:r w:rsidRPr="00836E65" w:rsidR="00FD57B6">
        <w:rPr>
          <w:szCs w:val="26"/>
          <w:shd w:val="clear" w:color="auto" w:fill="FFFFFF"/>
        </w:rPr>
        <w:t xml:space="preserve">application of the presumption </w:t>
      </w:r>
      <w:r w:rsidRPr="00836E65" w:rsidR="00544428">
        <w:rPr>
          <w:color w:val="000000"/>
          <w:szCs w:val="26"/>
        </w:rPr>
        <w:t xml:space="preserve">where </w:t>
      </w:r>
      <w:r w:rsidRPr="00836E65">
        <w:rPr>
          <w:color w:val="000000"/>
          <w:szCs w:val="26"/>
        </w:rPr>
        <w:t>applying the new law implicates</w:t>
      </w:r>
      <w:r w:rsidRPr="00836E65" w:rsidR="00544428">
        <w:rPr>
          <w:color w:val="000000"/>
          <w:szCs w:val="26"/>
        </w:rPr>
        <w:t xml:space="preserve"> fundamental fairness concerns</w:t>
      </w:r>
      <w:r w:rsidRPr="00836E65" w:rsidR="002071EB">
        <w:rPr>
          <w:color w:val="000000"/>
          <w:szCs w:val="26"/>
        </w:rPr>
        <w:t>, including</w:t>
      </w:r>
      <w:r w:rsidRPr="00836E65" w:rsidR="001F4301">
        <w:rPr>
          <w:color w:val="000000"/>
          <w:szCs w:val="26"/>
        </w:rPr>
        <w:t xml:space="preserve"> by “</w:t>
      </w:r>
      <w:r w:rsidRPr="00836E65" w:rsidR="00544428">
        <w:t>foist</w:t>
      </w:r>
      <w:r w:rsidRPr="00836E65" w:rsidR="001F4301">
        <w:t>[ing]</w:t>
      </w:r>
      <w:r w:rsidRPr="00836E65" w:rsidR="00544428">
        <w:t xml:space="preserve"> upon past conduct new and onerous legal consequences</w:t>
      </w:r>
      <w:r w:rsidRPr="00836E65" w:rsidR="0008684E">
        <w:t>.</w:t>
      </w:r>
      <w:r w:rsidRPr="00836E65" w:rsidR="00544428">
        <w:t>”</w:t>
      </w:r>
      <w:r w:rsidR="00162B49">
        <w:t xml:space="preserve">  (</w:t>
      </w:r>
      <w:r w:rsidRPr="00162B49" w:rsidR="00162B49">
        <w:rPr>
          <w:i/>
          <w:iCs/>
        </w:rPr>
        <w:t>Pitts</w:t>
      </w:r>
      <w:r w:rsidR="00162B49">
        <w:t xml:space="preserve">, </w:t>
      </w:r>
      <w:r w:rsidRPr="00162B49" w:rsidR="00162B49">
        <w:rPr>
          <w:i/>
          <w:iCs/>
        </w:rPr>
        <w:t>supra</w:t>
      </w:r>
      <w:r w:rsidR="00162B49">
        <w:t xml:space="preserve">, 58 Cal.2d at </w:t>
      </w:r>
      <w:r w:rsidRPr="00001076" w:rsidR="0076441F">
        <w:t>p</w:t>
      </w:r>
      <w:r w:rsidRPr="00001076" w:rsidR="00162B49">
        <w:t>p. 83</w:t>
      </w:r>
      <w:r w:rsidRPr="00001076" w:rsidR="0076441F">
        <w:t>5–</w:t>
      </w:r>
      <w:r w:rsidR="00162B49">
        <w:t>836.)</w:t>
      </w:r>
      <w:r w:rsidR="00FA3307">
        <w:t xml:space="preserve">  In </w:t>
      </w:r>
      <w:r w:rsidRPr="00FA3307" w:rsidR="00FA3307">
        <w:rPr>
          <w:i/>
          <w:iCs/>
        </w:rPr>
        <w:t>Myers</w:t>
      </w:r>
      <w:r w:rsidR="00FA3307">
        <w:t xml:space="preserve">, </w:t>
      </w:r>
      <w:r w:rsidRPr="008069B4" w:rsidR="007774FF">
        <w:rPr>
          <w:i/>
          <w:iCs/>
        </w:rPr>
        <w:t>supra</w:t>
      </w:r>
      <w:r w:rsidR="007774FF">
        <w:t xml:space="preserve">, 28 Cal.4th 828, </w:t>
      </w:r>
      <w:r w:rsidR="00FA3307">
        <w:t xml:space="preserve">for instance, the retroactive legal change in question </w:t>
      </w:r>
      <w:r w:rsidRPr="00FA3307" w:rsidR="00FA3307">
        <w:t xml:space="preserve">subjected tobacco sellers to tort liability for </w:t>
      </w:r>
      <w:r w:rsidR="00FA3307">
        <w:t xml:space="preserve">prior </w:t>
      </w:r>
      <w:r w:rsidRPr="00FA3307" w:rsidR="00FA3307">
        <w:t>acts performed when they enjoyed the protection of an immunity statute</w:t>
      </w:r>
      <w:r w:rsidR="00FA3307">
        <w:t xml:space="preserve">.  (See also </w:t>
      </w:r>
      <w:r w:rsidRPr="00FA3307" w:rsidR="00FA3307">
        <w:rPr>
          <w:i/>
          <w:iCs/>
        </w:rPr>
        <w:t>Tapia</w:t>
      </w:r>
      <w:r w:rsidR="00FA3307">
        <w:t xml:space="preserve">, </w:t>
      </w:r>
      <w:r w:rsidRPr="00FA3307" w:rsidR="00FA3307">
        <w:rPr>
          <w:i/>
          <w:iCs/>
        </w:rPr>
        <w:t>supra</w:t>
      </w:r>
      <w:r w:rsidR="00FA3307">
        <w:t xml:space="preserve">, 53 Cal.3d at pp. 297–299 [retroactive legal change </w:t>
      </w:r>
      <w:r w:rsidRPr="00FA3307" w:rsidR="00FA3307">
        <w:t>subjected persons to increased punishment for past criminal conduct, or to punishment for past conduct not formerly defined as criminal</w:t>
      </w:r>
      <w:r w:rsidR="00540764">
        <w:t>]</w:t>
      </w:r>
      <w:r w:rsidR="008F279F">
        <w:t>.)</w:t>
      </w:r>
      <w:r w:rsidR="008069B4">
        <w:t xml:space="preserve">  </w:t>
      </w:r>
      <w:r w:rsidRPr="00777BE7" w:rsidR="008069B4">
        <w:t xml:space="preserve">By contrast, </w:t>
      </w:r>
      <w:r w:rsidRPr="00777BE7" w:rsidR="008069B4">
        <w:rPr>
          <w:color w:val="000000"/>
          <w:szCs w:val="26"/>
        </w:rPr>
        <w:t>t</w:t>
      </w:r>
      <w:r w:rsidRPr="00777BE7" w:rsidR="00F22DA0">
        <w:rPr>
          <w:color w:val="000000"/>
          <w:szCs w:val="26"/>
        </w:rPr>
        <w:t xml:space="preserve">he new grace period and notice requirements </w:t>
      </w:r>
      <w:r w:rsidRPr="00777BE7" w:rsidR="00F22DA0">
        <w:rPr>
          <w:szCs w:val="26"/>
        </w:rPr>
        <w:t xml:space="preserve">do not thrust new legal consequences onto Protective Life’s </w:t>
      </w:r>
      <w:r w:rsidRPr="00001076" w:rsidR="00F22DA0">
        <w:rPr>
          <w:szCs w:val="26"/>
        </w:rPr>
        <w:t>preenactment</w:t>
      </w:r>
      <w:r w:rsidRPr="00777BE7" w:rsidR="00F22DA0">
        <w:rPr>
          <w:szCs w:val="26"/>
        </w:rPr>
        <w:t xml:space="preserve"> policy terminations or otherwise appear to cause the insurer to bear significant and unanticipated costs for </w:t>
      </w:r>
      <w:r w:rsidRPr="00001076" w:rsidR="00852056">
        <w:rPr>
          <w:szCs w:val="26"/>
        </w:rPr>
        <w:t>its</w:t>
      </w:r>
      <w:r w:rsidRPr="00777BE7" w:rsidR="00F22DA0">
        <w:rPr>
          <w:szCs w:val="26"/>
        </w:rPr>
        <w:t xml:space="preserve"> pre-2013 policies.</w:t>
      </w:r>
      <w:r w:rsidRPr="00777BE7" w:rsidR="00446EC1">
        <w:rPr>
          <w:szCs w:val="26"/>
        </w:rPr>
        <w:t xml:space="preserve">  Instead, the new rules </w:t>
      </w:r>
      <w:r w:rsidRPr="00777BE7" w:rsidR="004F1DC8">
        <w:rPr>
          <w:szCs w:val="26"/>
        </w:rPr>
        <w:t xml:space="preserve">simply updated how the regulatory system governing life insurance terminations treats all policies going forward.  </w:t>
      </w:r>
      <w:r w:rsidRPr="00777BE7" w:rsidR="00713D85">
        <w:rPr>
          <w:szCs w:val="26"/>
        </w:rPr>
        <w:t xml:space="preserve">Therefore, insofar as these new rules operate “retroactively,” that is not the type of retroactivity </w:t>
      </w:r>
      <w:r w:rsidRPr="00777BE7">
        <w:rPr>
          <w:color w:val="000000"/>
          <w:szCs w:val="26"/>
        </w:rPr>
        <w:t xml:space="preserve">that </w:t>
      </w:r>
      <w:r w:rsidR="004B3120">
        <w:rPr>
          <w:color w:val="000000"/>
          <w:szCs w:val="26"/>
        </w:rPr>
        <w:t>warrants our usual level of reluctance to construe statutes retroactively</w:t>
      </w:r>
      <w:r w:rsidRPr="00777BE7">
        <w:rPr>
          <w:color w:val="000000"/>
          <w:szCs w:val="26"/>
        </w:rPr>
        <w:t>.</w:t>
      </w:r>
      <w:r>
        <w:rPr>
          <w:color w:val="000000"/>
          <w:szCs w:val="26"/>
        </w:rPr>
        <w:t xml:space="preserve">  </w:t>
      </w:r>
    </w:p>
    <w:p w:rsidR="005A54C5" w:rsidRPr="007F24CA" w:rsidP="007F24CA" w14:paraId="2872EDD9" w14:textId="3169416D">
      <w:pPr>
        <w:widowControl w:val="0"/>
        <w:ind w:firstLine="720"/>
        <w:rPr>
          <w:color w:val="000000"/>
          <w:szCs w:val="26"/>
        </w:rPr>
      </w:pPr>
      <w:r>
        <w:rPr>
          <w:color w:val="000000"/>
          <w:szCs w:val="26"/>
        </w:rPr>
        <w:t xml:space="preserve">In summary, </w:t>
      </w:r>
      <w:r w:rsidR="002500C6">
        <w:rPr>
          <w:color w:val="000000"/>
          <w:szCs w:val="26"/>
        </w:rPr>
        <w:t xml:space="preserve">this case </w:t>
      </w:r>
      <w:r w:rsidR="00A420F7">
        <w:rPr>
          <w:color w:val="000000"/>
          <w:szCs w:val="26"/>
        </w:rPr>
        <w:t xml:space="preserve">may be viewed as </w:t>
      </w:r>
      <w:r w:rsidR="002500C6">
        <w:rPr>
          <w:color w:val="000000"/>
          <w:szCs w:val="26"/>
        </w:rPr>
        <w:t>not involv</w:t>
      </w:r>
      <w:r w:rsidR="00786BEF">
        <w:rPr>
          <w:color w:val="000000"/>
          <w:szCs w:val="26"/>
        </w:rPr>
        <w:t>ing</w:t>
      </w:r>
      <w:r w:rsidR="002500C6">
        <w:rPr>
          <w:color w:val="000000"/>
          <w:szCs w:val="26"/>
        </w:rPr>
        <w:t xml:space="preserve"> “retroactivity” as our cases have generally defined the term, </w:t>
      </w:r>
      <w:r w:rsidR="00786BEF">
        <w:rPr>
          <w:color w:val="000000"/>
          <w:szCs w:val="26"/>
        </w:rPr>
        <w:t xml:space="preserve">or </w:t>
      </w:r>
      <w:r w:rsidR="002500C6">
        <w:rPr>
          <w:color w:val="000000"/>
          <w:szCs w:val="26"/>
        </w:rPr>
        <w:t>alternatively</w:t>
      </w:r>
      <w:r w:rsidR="00786BEF">
        <w:rPr>
          <w:color w:val="000000"/>
          <w:szCs w:val="26"/>
        </w:rPr>
        <w:t xml:space="preserve"> as</w:t>
      </w:r>
      <w:r w:rsidR="002500C6">
        <w:rPr>
          <w:color w:val="000000"/>
          <w:szCs w:val="26"/>
        </w:rPr>
        <w:t xml:space="preserve"> involv</w:t>
      </w:r>
      <w:r w:rsidR="00786BEF">
        <w:rPr>
          <w:color w:val="000000"/>
          <w:szCs w:val="26"/>
        </w:rPr>
        <w:t>ing</w:t>
      </w:r>
      <w:r w:rsidR="002500C6">
        <w:rPr>
          <w:color w:val="000000"/>
          <w:szCs w:val="26"/>
        </w:rPr>
        <w:t xml:space="preserve"> retroactivity </w:t>
      </w:r>
      <w:r w:rsidR="000E68F1">
        <w:rPr>
          <w:color w:val="000000"/>
          <w:szCs w:val="26"/>
        </w:rPr>
        <w:t>only in a narrow sense</w:t>
      </w:r>
      <w:r w:rsidR="00235B79">
        <w:rPr>
          <w:color w:val="000000"/>
          <w:szCs w:val="26"/>
        </w:rPr>
        <w:t xml:space="preserve"> — </w:t>
      </w:r>
      <w:r w:rsidR="00F549DF">
        <w:rPr>
          <w:color w:val="000000"/>
          <w:szCs w:val="26"/>
        </w:rPr>
        <w:t xml:space="preserve">one </w:t>
      </w:r>
      <w:r w:rsidR="000E68F1">
        <w:rPr>
          <w:color w:val="000000"/>
          <w:szCs w:val="26"/>
        </w:rPr>
        <w:t xml:space="preserve">different from the type of </w:t>
      </w:r>
      <w:r w:rsidRPr="00001076" w:rsidR="003646C7">
        <w:rPr>
          <w:color w:val="000000"/>
          <w:szCs w:val="26"/>
        </w:rPr>
        <w:t>preenactment</w:t>
      </w:r>
      <w:r w:rsidR="003646C7">
        <w:rPr>
          <w:color w:val="000000"/>
          <w:szCs w:val="26"/>
        </w:rPr>
        <w:t xml:space="preserve"> impact</w:t>
      </w:r>
      <w:r w:rsidR="000E68F1">
        <w:rPr>
          <w:color w:val="000000"/>
          <w:szCs w:val="26"/>
        </w:rPr>
        <w:t xml:space="preserve"> at the heartland of the presumption’s concerns</w:t>
      </w:r>
      <w:r w:rsidR="00AD2860">
        <w:rPr>
          <w:color w:val="000000"/>
          <w:szCs w:val="26"/>
        </w:rPr>
        <w:t xml:space="preserve"> and at issue in </w:t>
      </w:r>
      <w:r w:rsidR="002500C6">
        <w:rPr>
          <w:color w:val="000000"/>
          <w:szCs w:val="26"/>
        </w:rPr>
        <w:t>cases applying the presumption</w:t>
      </w:r>
      <w:r w:rsidR="00F549DF">
        <w:rPr>
          <w:color w:val="000000"/>
          <w:szCs w:val="26"/>
        </w:rPr>
        <w:t>.</w:t>
      </w:r>
      <w:r w:rsidR="00901D29">
        <w:rPr>
          <w:color w:val="000000"/>
          <w:szCs w:val="26"/>
        </w:rPr>
        <w:t> </w:t>
      </w:r>
      <w:r w:rsidR="00505515">
        <w:rPr>
          <w:color w:val="000000"/>
          <w:szCs w:val="26"/>
        </w:rPr>
        <w:t xml:space="preserve"> </w:t>
      </w:r>
      <w:r w:rsidR="000F24FB">
        <w:rPr>
          <w:color w:val="000000"/>
          <w:szCs w:val="26"/>
        </w:rPr>
        <w:t xml:space="preserve">We need not choose between the two views.  </w:t>
      </w:r>
      <w:r w:rsidR="00505515">
        <w:rPr>
          <w:color w:val="000000"/>
          <w:szCs w:val="26"/>
        </w:rPr>
        <w:t>Under either</w:t>
      </w:r>
      <w:r w:rsidR="00833A6F">
        <w:rPr>
          <w:color w:val="000000"/>
          <w:szCs w:val="26"/>
        </w:rPr>
        <w:t>,</w:t>
      </w:r>
      <w:r w:rsidR="00505515">
        <w:rPr>
          <w:color w:val="000000"/>
          <w:szCs w:val="26"/>
        </w:rPr>
        <w:t xml:space="preserve"> </w:t>
      </w:r>
      <w:r w:rsidR="000E68F1">
        <w:rPr>
          <w:color w:val="000000"/>
          <w:szCs w:val="26"/>
        </w:rPr>
        <w:t xml:space="preserve">we decline to </w:t>
      </w:r>
      <w:r w:rsidR="004B3120">
        <w:rPr>
          <w:color w:val="000000"/>
          <w:szCs w:val="26"/>
        </w:rPr>
        <w:t xml:space="preserve">give </w:t>
      </w:r>
      <w:r w:rsidR="000E68F1">
        <w:rPr>
          <w:color w:val="000000"/>
          <w:szCs w:val="26"/>
        </w:rPr>
        <w:t xml:space="preserve">the presumption </w:t>
      </w:r>
      <w:r w:rsidR="00B807BF">
        <w:rPr>
          <w:color w:val="000000"/>
          <w:szCs w:val="26"/>
        </w:rPr>
        <w:t>such</w:t>
      </w:r>
      <w:r w:rsidR="004B3120">
        <w:rPr>
          <w:color w:val="000000"/>
          <w:szCs w:val="26"/>
        </w:rPr>
        <w:t xml:space="preserve"> weight </w:t>
      </w:r>
      <w:r w:rsidR="00B807BF">
        <w:rPr>
          <w:color w:val="000000"/>
          <w:szCs w:val="26"/>
        </w:rPr>
        <w:t>that it determines the outcome of this case</w:t>
      </w:r>
      <w:r w:rsidR="00FF6ABF">
        <w:rPr>
          <w:color w:val="000000"/>
          <w:szCs w:val="26"/>
        </w:rPr>
        <w:t>.</w:t>
      </w:r>
    </w:p>
    <w:p w:rsidR="005A54C5" w:rsidP="00CF27EA" w14:paraId="70072973" w14:textId="24E6E17B">
      <w:pPr>
        <w:pStyle w:val="Heading2"/>
        <w:tabs>
          <w:tab w:val="left" w:pos="0"/>
          <w:tab w:val="clear" w:pos="1152"/>
        </w:tabs>
        <w:ind w:left="0" w:firstLine="0"/>
        <w:jc w:val="center"/>
      </w:pPr>
      <w:r>
        <w:t>B</w:t>
      </w:r>
      <w:r w:rsidRPr="005A54C5">
        <w:t>.</w:t>
      </w:r>
    </w:p>
    <w:p w:rsidR="00D27A4B" w:rsidP="000B3888" w14:paraId="1DC19D2B" w14:textId="327606CE">
      <w:pPr>
        <w:ind w:firstLine="720"/>
        <w:rPr>
          <w:szCs w:val="26"/>
        </w:rPr>
      </w:pPr>
      <w:r>
        <w:rPr>
          <w:szCs w:val="26"/>
        </w:rPr>
        <w:t xml:space="preserve">Having </w:t>
      </w:r>
      <w:r w:rsidR="00307AA6">
        <w:rPr>
          <w:szCs w:val="26"/>
        </w:rPr>
        <w:t xml:space="preserve">explored </w:t>
      </w:r>
      <w:r>
        <w:rPr>
          <w:szCs w:val="26"/>
        </w:rPr>
        <w:t>the presumption against retroactivity</w:t>
      </w:r>
      <w:r w:rsidR="00307AA6">
        <w:rPr>
          <w:szCs w:val="26"/>
        </w:rPr>
        <w:t>,</w:t>
      </w:r>
      <w:r w:rsidR="000E1C76">
        <w:rPr>
          <w:szCs w:val="26"/>
        </w:rPr>
        <w:t xml:space="preserve"> </w:t>
      </w:r>
      <w:r>
        <w:rPr>
          <w:szCs w:val="26"/>
        </w:rPr>
        <w:t xml:space="preserve">the broader </w:t>
      </w:r>
      <w:r w:rsidR="004D16F6">
        <w:rPr>
          <w:szCs w:val="26"/>
        </w:rPr>
        <w:t xml:space="preserve">interpretive question </w:t>
      </w:r>
      <w:r>
        <w:rPr>
          <w:szCs w:val="26"/>
        </w:rPr>
        <w:t xml:space="preserve">remains:  </w:t>
      </w:r>
      <w:r w:rsidR="00A81D1D">
        <w:rPr>
          <w:szCs w:val="26"/>
        </w:rPr>
        <w:t>whether</w:t>
      </w:r>
      <w:r>
        <w:rPr>
          <w:szCs w:val="26"/>
        </w:rPr>
        <w:t xml:space="preserve"> sections</w:t>
      </w:r>
      <w:r w:rsidR="001F54BD">
        <w:rPr>
          <w:szCs w:val="26"/>
        </w:rPr>
        <w:t xml:space="preserve"> 10113.71 and 10113.72 </w:t>
      </w:r>
      <w:r>
        <w:rPr>
          <w:szCs w:val="26"/>
        </w:rPr>
        <w:t xml:space="preserve">apply to </w:t>
      </w:r>
      <w:r w:rsidR="001F54BD">
        <w:rPr>
          <w:szCs w:val="26"/>
        </w:rPr>
        <w:t xml:space="preserve">McHugh’s </w:t>
      </w:r>
      <w:r w:rsidR="00106F92">
        <w:rPr>
          <w:szCs w:val="26"/>
        </w:rPr>
        <w:t>policy and similarly situated ones</w:t>
      </w:r>
      <w:r w:rsidR="00A81D1D">
        <w:rPr>
          <w:szCs w:val="26"/>
        </w:rPr>
        <w:t>.</w:t>
      </w:r>
      <w:r>
        <w:rPr>
          <w:szCs w:val="26"/>
        </w:rPr>
        <w:t xml:space="preserve">  We </w:t>
      </w:r>
      <w:r>
        <w:rPr>
          <w:szCs w:val="26"/>
        </w:rPr>
        <w:t>conclude</w:t>
      </w:r>
      <w:r>
        <w:rPr>
          <w:szCs w:val="26"/>
        </w:rPr>
        <w:t xml:space="preserve"> that they do</w:t>
      </w:r>
      <w:r w:rsidR="00F92F3D">
        <w:rPr>
          <w:szCs w:val="26"/>
        </w:rPr>
        <w:t>.</w:t>
      </w:r>
    </w:p>
    <w:p w:rsidR="003E7DF1" w:rsidP="009C7508" w14:paraId="1B90E45B" w14:textId="31223E82">
      <w:pPr>
        <w:ind w:firstLine="720"/>
      </w:pPr>
      <w:r>
        <w:t xml:space="preserve">Before engaging in our </w:t>
      </w:r>
      <w:r w:rsidR="003A045C">
        <w:t>interpretive</w:t>
      </w:r>
      <w:r>
        <w:t xml:space="preserve"> analysis, we make one brief observation: </w:t>
      </w:r>
      <w:r w:rsidR="00590854">
        <w:t xml:space="preserve"> </w:t>
      </w:r>
      <w:r w:rsidR="004C50EE">
        <w:t>As the concurrence implies, our</w:t>
      </w:r>
      <w:r w:rsidR="003A045C">
        <w:t xml:space="preserve"> precedent </w:t>
      </w:r>
      <w:r w:rsidR="004805B8">
        <w:t xml:space="preserve">leaves open the possibility of </w:t>
      </w:r>
      <w:r w:rsidR="008C348F">
        <w:t xml:space="preserve">simply </w:t>
      </w:r>
      <w:r w:rsidR="004805B8">
        <w:t xml:space="preserve">assuming </w:t>
      </w:r>
      <w:r w:rsidR="004C50EE">
        <w:t>that this case presents an instance of</w:t>
      </w:r>
      <w:r w:rsidR="008C348F">
        <w:t xml:space="preserve"> </w:t>
      </w:r>
      <w:r w:rsidR="004805B8">
        <w:t xml:space="preserve">retroactivity and </w:t>
      </w:r>
      <w:r w:rsidR="004C50EE">
        <w:t>therefore merits application</w:t>
      </w:r>
      <w:r w:rsidR="003A045C">
        <w:t xml:space="preserve"> </w:t>
      </w:r>
      <w:r w:rsidR="004C50EE">
        <w:t xml:space="preserve">of the </w:t>
      </w:r>
      <w:r w:rsidR="003A045C">
        <w:t xml:space="preserve">presumption against retroactivity.  </w:t>
      </w:r>
      <w:r w:rsidR="00114F03">
        <w:t xml:space="preserve">(Conc. opn., </w:t>
      </w:r>
      <w:r w:rsidRPr="0063242B" w:rsidR="00114F03">
        <w:rPr>
          <w:i/>
          <w:iCs/>
        </w:rPr>
        <w:t>post</w:t>
      </w:r>
      <w:r w:rsidR="00114F03">
        <w:t xml:space="preserve">, at </w:t>
      </w:r>
      <w:r w:rsidR="00F10ACB">
        <w:t>p</w:t>
      </w:r>
      <w:r w:rsidR="00114F03">
        <w:t>p. 6</w:t>
      </w:r>
      <w:r w:rsidR="00F10ACB">
        <w:t>–7</w:t>
      </w:r>
      <w:r w:rsidR="00114F03">
        <w:t>.)</w:t>
      </w:r>
      <w:r w:rsidR="008C348F">
        <w:t xml:space="preserve">  </w:t>
      </w:r>
      <w:r w:rsidR="00FF4A10">
        <w:t>And i</w:t>
      </w:r>
      <w:r w:rsidR="008C348F">
        <w:t xml:space="preserve">f the presumption applies with its ordinary weight, </w:t>
      </w:r>
      <w:r>
        <w:t xml:space="preserve">the indicia of legislative purpose here </w:t>
      </w:r>
      <w:r w:rsidRPr="00330497" w:rsidR="008C348F">
        <w:rPr>
          <w:i/>
          <w:iCs/>
        </w:rPr>
        <w:t>could</w:t>
      </w:r>
      <w:r w:rsidRPr="00330497">
        <w:rPr>
          <w:i/>
          <w:iCs/>
        </w:rPr>
        <w:t xml:space="preserve"> </w:t>
      </w:r>
      <w:r>
        <w:t xml:space="preserve">rebut it.  </w:t>
      </w:r>
      <w:r w:rsidR="00233E81">
        <w:t>(</w:t>
      </w:r>
      <w:r w:rsidR="00F14BC5">
        <w:t>See</w:t>
      </w:r>
      <w:r w:rsidR="000B574A">
        <w:t>, e.g.,</w:t>
      </w:r>
      <w:r w:rsidR="00F14BC5">
        <w:t xml:space="preserve"> </w:t>
      </w:r>
      <w:r w:rsidRPr="00AA729E" w:rsidR="00AA729E">
        <w:rPr>
          <w:i/>
          <w:iCs/>
        </w:rPr>
        <w:t>id.</w:t>
      </w:r>
      <w:r w:rsidR="00AA729E">
        <w:t xml:space="preserve"> at</w:t>
      </w:r>
      <w:r w:rsidR="00233E81">
        <w:t xml:space="preserve"> pp. 3–</w:t>
      </w:r>
      <w:r w:rsidR="000B574A">
        <w:t>4</w:t>
      </w:r>
      <w:r w:rsidR="00233E81">
        <w:t xml:space="preserve"> [emphasizing </w:t>
      </w:r>
      <w:r w:rsidR="000B574A">
        <w:t xml:space="preserve">the </w:t>
      </w:r>
      <w:r w:rsidR="00233E81">
        <w:t xml:space="preserve">breadth of the </w:t>
      </w:r>
      <w:r w:rsidR="00E64F93">
        <w:t>statutory language</w:t>
      </w:r>
      <w:r w:rsidR="000B574A">
        <w:t xml:space="preserve">]; </w:t>
      </w:r>
      <w:r w:rsidRPr="00AA729E" w:rsidR="00AA729E">
        <w:rPr>
          <w:i/>
          <w:iCs/>
        </w:rPr>
        <w:t>id.</w:t>
      </w:r>
      <w:r w:rsidR="00AA729E">
        <w:t xml:space="preserve"> at</w:t>
      </w:r>
      <w:r w:rsidR="000B574A">
        <w:t xml:space="preserve"> pp. 5–6</w:t>
      </w:r>
      <w:r w:rsidR="00233E81">
        <w:t xml:space="preserve"> </w:t>
      </w:r>
      <w:r w:rsidR="000B574A">
        <w:t xml:space="preserve">[highlighting the </w:t>
      </w:r>
      <w:r w:rsidR="00233E81">
        <w:t xml:space="preserve">legislative history discussion of problems facing existing policyholders]; cf. </w:t>
      </w:r>
      <w:r w:rsidRPr="00FD037E" w:rsidR="00233E81">
        <w:rPr>
          <w:i/>
          <w:iCs/>
        </w:rPr>
        <w:t>post</w:t>
      </w:r>
      <w:r w:rsidR="00233E81">
        <w:t>, at pp. 3</w:t>
      </w:r>
      <w:r w:rsidR="00217BF4">
        <w:t>3</w:t>
      </w:r>
      <w:r w:rsidR="00233E81">
        <w:t xml:space="preserve">–37.)  </w:t>
      </w:r>
    </w:p>
    <w:p w:rsidR="00F92F3D" w:rsidRPr="003A045C" w:rsidP="003E7DF1" w14:paraId="374373D0" w14:textId="11DDC294">
      <w:pPr>
        <w:ind w:firstLine="720"/>
      </w:pPr>
      <w:r>
        <w:t>But</w:t>
      </w:r>
      <w:r w:rsidR="00233E81">
        <w:t xml:space="preserve"> </w:t>
      </w:r>
      <w:r w:rsidR="004C50EE">
        <w:t>the most thorough approach, consistent with previous cases,</w:t>
      </w:r>
      <w:r w:rsidR="00233E81">
        <w:t xml:space="preserve"> </w:t>
      </w:r>
      <w:r w:rsidR="004C50EE">
        <w:t>is to address a</w:t>
      </w:r>
      <w:r w:rsidR="00233E81">
        <w:t xml:space="preserve"> threshold question</w:t>
      </w:r>
      <w:r w:rsidR="004C50EE">
        <w:t>:</w:t>
      </w:r>
      <w:r w:rsidR="00233E81">
        <w:t xml:space="preserve"> </w:t>
      </w:r>
      <w:r w:rsidR="00477F4A">
        <w:t xml:space="preserve"> </w:t>
      </w:r>
      <w:r w:rsidR="00233E81">
        <w:t xml:space="preserve">whether </w:t>
      </w:r>
      <w:r w:rsidR="007863C0">
        <w:t>sections 10113.71 and 10113.72</w:t>
      </w:r>
      <w:r w:rsidR="00233E81">
        <w:t xml:space="preserve"> even </w:t>
      </w:r>
      <w:r w:rsidR="00B84F7A">
        <w:t>create</w:t>
      </w:r>
      <w:r w:rsidR="00233E81">
        <w:t xml:space="preserve"> retroactive </w:t>
      </w:r>
      <w:r w:rsidR="00B84F7A">
        <w:t>changes</w:t>
      </w:r>
      <w:r w:rsidR="00233E81">
        <w:t xml:space="preserve"> for purposes of the presumption.  </w:t>
      </w:r>
      <w:r w:rsidR="003E7DF1">
        <w:t>(</w:t>
      </w:r>
      <w:r w:rsidRPr="00934EAC" w:rsidR="003E7DF1">
        <w:rPr>
          <w:i/>
          <w:iCs/>
        </w:rPr>
        <w:t>Ante</w:t>
      </w:r>
      <w:r w:rsidR="003E7DF1">
        <w:t xml:space="preserve">, </w:t>
      </w:r>
      <w:r w:rsidRPr="00D62C14" w:rsidR="003E7DF1">
        <w:t xml:space="preserve">at p. 15.)  </w:t>
      </w:r>
      <w:r w:rsidRPr="00D62C14" w:rsidR="00233E81">
        <w:t xml:space="preserve">That way, we avoid having to apply </w:t>
      </w:r>
      <w:r w:rsidRPr="00D62C14" w:rsidR="0086640C">
        <w:t>the canon</w:t>
      </w:r>
      <w:r w:rsidRPr="00D62C14" w:rsidR="00233E81">
        <w:t xml:space="preserve"> in </w:t>
      </w:r>
      <w:r w:rsidRPr="00D62C14" w:rsidR="003B72FD">
        <w:t xml:space="preserve">a </w:t>
      </w:r>
      <w:r w:rsidRPr="00D62C14" w:rsidR="00233E81">
        <w:t>circumstance where it’s not</w:t>
      </w:r>
      <w:r w:rsidR="00233E81">
        <w:t xml:space="preserve"> necessary, and </w:t>
      </w:r>
      <w:r w:rsidR="0086640C">
        <w:t>whe</w:t>
      </w:r>
      <w:r w:rsidR="003B72FD">
        <w:t>re</w:t>
      </w:r>
      <w:r w:rsidR="0086640C">
        <w:t xml:space="preserve"> </w:t>
      </w:r>
      <w:r w:rsidR="003B72FD">
        <w:t xml:space="preserve">our cases do not </w:t>
      </w:r>
      <w:r w:rsidR="002C7BCA">
        <w:t>definitively</w:t>
      </w:r>
      <w:r w:rsidR="003B72FD">
        <w:t xml:space="preserve"> indicate that </w:t>
      </w:r>
      <w:r w:rsidR="007863C0">
        <w:t>the</w:t>
      </w:r>
      <w:r w:rsidR="003B72FD">
        <w:t xml:space="preserve"> presumption</w:t>
      </w:r>
      <w:r w:rsidR="007863C0">
        <w:t xml:space="preserve"> has been rebutted</w:t>
      </w:r>
      <w:r w:rsidR="003B72FD">
        <w:t>.  (</w:t>
      </w:r>
      <w:r w:rsidR="002C7BCA">
        <w:t>Compare</w:t>
      </w:r>
      <w:r w:rsidR="003B72FD">
        <w:t xml:space="preserve"> </w:t>
      </w:r>
      <w:r w:rsidR="002C7BCA">
        <w:t>conc. opn.,</w:t>
      </w:r>
      <w:r w:rsidR="00BF0BB9">
        <w:t xml:space="preserve"> </w:t>
      </w:r>
      <w:r w:rsidRPr="00BF0BB9" w:rsidR="00BF0BB9">
        <w:rPr>
          <w:i/>
          <w:iCs/>
        </w:rPr>
        <w:t>post</w:t>
      </w:r>
      <w:r w:rsidR="00BF0BB9">
        <w:t>,</w:t>
      </w:r>
      <w:r w:rsidR="002C7BCA">
        <w:t xml:space="preserve"> at pp. </w:t>
      </w:r>
      <w:r w:rsidR="009C7508">
        <w:t>5–</w:t>
      </w:r>
      <w:r w:rsidR="002C7BCA">
        <w:t>6</w:t>
      </w:r>
      <w:r w:rsidR="00F14BC5">
        <w:t xml:space="preserve"> </w:t>
      </w:r>
      <w:r w:rsidR="002C7BCA">
        <w:t>with</w:t>
      </w:r>
      <w:r w:rsidR="007863C0">
        <w:t xml:space="preserve"> </w:t>
      </w:r>
      <w:r w:rsidRPr="007863C0" w:rsidR="007863C0">
        <w:rPr>
          <w:i/>
          <w:iCs/>
        </w:rPr>
        <w:t>McClung</w:t>
      </w:r>
      <w:r w:rsidR="007863C0">
        <w:t xml:space="preserve">, </w:t>
      </w:r>
      <w:r w:rsidRPr="007863C0" w:rsidR="007863C0">
        <w:rPr>
          <w:i/>
          <w:iCs/>
        </w:rPr>
        <w:t>supra</w:t>
      </w:r>
      <w:r w:rsidR="007863C0">
        <w:t>, 34 Cal.4th at p. 475</w:t>
      </w:r>
      <w:r w:rsidR="009C7508">
        <w:t xml:space="preserve"> [presumption not rebutted where legislative history lacked retroactivity discussion].)</w:t>
      </w:r>
    </w:p>
    <w:p w:rsidR="00CF27EA" w:rsidP="00F9115E" w14:paraId="3BD95752" w14:textId="61BB71E6">
      <w:pPr>
        <w:pStyle w:val="Heading3"/>
        <w:keepNext/>
      </w:pPr>
      <w:r>
        <w:t>1.</w:t>
      </w:r>
    </w:p>
    <w:p w:rsidR="003A3BE8" w:rsidP="00300467" w14:paraId="0870ABF3" w14:textId="44D13B57">
      <w:pPr>
        <w:ind w:firstLine="720"/>
        <w:rPr>
          <w:szCs w:val="26"/>
        </w:rPr>
      </w:pPr>
      <w:r>
        <w:rPr>
          <w:szCs w:val="26"/>
        </w:rPr>
        <w:t xml:space="preserve">We </w:t>
      </w:r>
      <w:r w:rsidR="005749CA">
        <w:rPr>
          <w:szCs w:val="26"/>
        </w:rPr>
        <w:t>start with the</w:t>
      </w:r>
      <w:r>
        <w:rPr>
          <w:szCs w:val="26"/>
        </w:rPr>
        <w:t xml:space="preserve"> statutory language.</w:t>
      </w:r>
      <w:r w:rsidR="00DE48B6">
        <w:rPr>
          <w:szCs w:val="26"/>
        </w:rPr>
        <w:t xml:space="preserve">  </w:t>
      </w:r>
      <w:r w:rsidRPr="00A2413E" w:rsidR="00DE48B6">
        <w:rPr>
          <w:szCs w:val="26"/>
        </w:rPr>
        <w:t>(</w:t>
      </w:r>
      <w:r w:rsidRPr="00A2413E" w:rsidR="00DE48B6">
        <w:rPr>
          <w:i/>
          <w:iCs/>
          <w:szCs w:val="26"/>
        </w:rPr>
        <w:t>H.W.</w:t>
      </w:r>
      <w:r w:rsidR="00DE48B6">
        <w:rPr>
          <w:szCs w:val="26"/>
        </w:rPr>
        <w:t xml:space="preserve">, </w:t>
      </w:r>
      <w:r w:rsidRPr="00861063" w:rsidR="00DE48B6">
        <w:rPr>
          <w:i/>
          <w:iCs/>
          <w:szCs w:val="26"/>
        </w:rPr>
        <w:t>supra</w:t>
      </w:r>
      <w:r w:rsidR="00DE48B6">
        <w:rPr>
          <w:szCs w:val="26"/>
        </w:rPr>
        <w:t xml:space="preserve">, </w:t>
      </w:r>
      <w:r w:rsidRPr="00001076" w:rsidR="00CF368D">
        <w:rPr>
          <w:szCs w:val="26"/>
        </w:rPr>
        <w:t xml:space="preserve">6 </w:t>
      </w:r>
      <w:r w:rsidRPr="00A2413E" w:rsidR="00DE48B6">
        <w:rPr>
          <w:szCs w:val="26"/>
        </w:rPr>
        <w:t xml:space="preserve">Cal.5th </w:t>
      </w:r>
      <w:r w:rsidR="00DE48B6">
        <w:rPr>
          <w:szCs w:val="26"/>
        </w:rPr>
        <w:t>at p.</w:t>
      </w:r>
      <w:r w:rsidRPr="00A2413E" w:rsidR="00DE48B6">
        <w:rPr>
          <w:szCs w:val="26"/>
        </w:rPr>
        <w:t xml:space="preserve"> 1073.)  </w:t>
      </w:r>
    </w:p>
    <w:p w:rsidR="00693783" w:rsidRPr="000900D9" w:rsidP="00300467" w14:paraId="0770A923" w14:textId="21861E48">
      <w:pPr>
        <w:ind w:firstLine="720"/>
      </w:pPr>
      <w:r>
        <w:rPr>
          <w:szCs w:val="26"/>
        </w:rPr>
        <w:t xml:space="preserve">On the one hand, broadly applicable language found in </w:t>
      </w:r>
      <w:r w:rsidR="00933432">
        <w:rPr>
          <w:szCs w:val="26"/>
        </w:rPr>
        <w:t>m</w:t>
      </w:r>
      <w:r w:rsidR="005D375F">
        <w:rPr>
          <w:szCs w:val="26"/>
        </w:rPr>
        <w:t>any</w:t>
      </w:r>
      <w:r>
        <w:rPr>
          <w:szCs w:val="26"/>
        </w:rPr>
        <w:t xml:space="preserve"> of the sections’ subdivisions</w:t>
      </w:r>
      <w:r w:rsidR="00A6665C">
        <w:rPr>
          <w:szCs w:val="26"/>
        </w:rPr>
        <w:t>,</w:t>
      </w:r>
      <w:r w:rsidR="00880133">
        <w:rPr>
          <w:szCs w:val="26"/>
        </w:rPr>
        <w:t xml:space="preserve"> and the absence of </w:t>
      </w:r>
      <w:r w:rsidR="003F4F46">
        <w:rPr>
          <w:szCs w:val="26"/>
        </w:rPr>
        <w:t xml:space="preserve">any </w:t>
      </w:r>
      <w:r w:rsidR="00880133">
        <w:rPr>
          <w:szCs w:val="26"/>
        </w:rPr>
        <w:t>temporal qualifiers in this language</w:t>
      </w:r>
      <w:r w:rsidR="00A6665C">
        <w:rPr>
          <w:szCs w:val="26"/>
        </w:rPr>
        <w:t>,</w:t>
      </w:r>
      <w:r>
        <w:rPr>
          <w:szCs w:val="26"/>
        </w:rPr>
        <w:t xml:space="preserve"> </w:t>
      </w:r>
      <w:r w:rsidR="00816979">
        <w:rPr>
          <w:szCs w:val="26"/>
        </w:rPr>
        <w:t>supports</w:t>
      </w:r>
      <w:r w:rsidR="00D148BA">
        <w:rPr>
          <w:szCs w:val="26"/>
        </w:rPr>
        <w:t xml:space="preserve"> plaintiffs</w:t>
      </w:r>
      <w:r w:rsidR="00816979">
        <w:rPr>
          <w:szCs w:val="26"/>
        </w:rPr>
        <w:t>’ argument</w:t>
      </w:r>
      <w:r w:rsidR="00D148BA">
        <w:rPr>
          <w:szCs w:val="26"/>
        </w:rPr>
        <w:t xml:space="preserve"> that</w:t>
      </w:r>
      <w:r>
        <w:rPr>
          <w:szCs w:val="26"/>
        </w:rPr>
        <w:t xml:space="preserve"> the </w:t>
      </w:r>
      <w:r w:rsidR="008E1497">
        <w:rPr>
          <w:szCs w:val="26"/>
        </w:rPr>
        <w:t>sections</w:t>
      </w:r>
      <w:r>
        <w:rPr>
          <w:szCs w:val="26"/>
        </w:rPr>
        <w:t xml:space="preserve"> apply to </w:t>
      </w:r>
      <w:r w:rsidRPr="002355AF" w:rsidR="00A6665C">
        <w:rPr>
          <w:szCs w:val="26"/>
        </w:rPr>
        <w:t xml:space="preserve">all </w:t>
      </w:r>
      <w:r w:rsidR="00A6665C">
        <w:rPr>
          <w:szCs w:val="26"/>
        </w:rPr>
        <w:t xml:space="preserve">policies in </w:t>
      </w:r>
      <w:r w:rsidR="006124ED">
        <w:rPr>
          <w:szCs w:val="26"/>
        </w:rPr>
        <w:t>force</w:t>
      </w:r>
      <w:r w:rsidR="00A6665C">
        <w:rPr>
          <w:szCs w:val="26"/>
        </w:rPr>
        <w:t xml:space="preserve"> as of January 1, 2013</w:t>
      </w:r>
      <w:r>
        <w:rPr>
          <w:szCs w:val="26"/>
        </w:rPr>
        <w:t xml:space="preserve">.  </w:t>
      </w:r>
      <w:r w:rsidR="009850E7">
        <w:rPr>
          <w:szCs w:val="26"/>
        </w:rPr>
        <w:t>On the other hand,</w:t>
      </w:r>
      <w:r>
        <w:rPr>
          <w:szCs w:val="26"/>
        </w:rPr>
        <w:t xml:space="preserve"> </w:t>
      </w:r>
      <w:r w:rsidRPr="0059305C" w:rsidR="003A308F">
        <w:rPr>
          <w:szCs w:val="26"/>
        </w:rPr>
        <w:t>different parts of the provisions</w:t>
      </w:r>
      <w:r>
        <w:rPr>
          <w:szCs w:val="26"/>
        </w:rPr>
        <w:t xml:space="preserve"> </w:t>
      </w:r>
      <w:r w:rsidR="005749CA">
        <w:rPr>
          <w:szCs w:val="26"/>
        </w:rPr>
        <w:t>plausibly</w:t>
      </w:r>
      <w:r w:rsidRPr="0059305C" w:rsidR="003A308F">
        <w:rPr>
          <w:szCs w:val="26"/>
        </w:rPr>
        <w:t xml:space="preserve"> favor the</w:t>
      </w:r>
      <w:r w:rsidRPr="001128A4" w:rsidR="003A308F">
        <w:rPr>
          <w:szCs w:val="26"/>
        </w:rPr>
        <w:t xml:space="preserve"> interpretations </w:t>
      </w:r>
      <w:r w:rsidR="0041434A">
        <w:rPr>
          <w:szCs w:val="26"/>
        </w:rPr>
        <w:t>urged</w:t>
      </w:r>
      <w:r w:rsidRPr="001128A4" w:rsidR="003A308F">
        <w:rPr>
          <w:szCs w:val="26"/>
        </w:rPr>
        <w:t xml:space="preserve"> by </w:t>
      </w:r>
      <w:r w:rsidRPr="00A63DDB" w:rsidR="003A308F">
        <w:rPr>
          <w:i/>
          <w:iCs/>
          <w:szCs w:val="26"/>
        </w:rPr>
        <w:t>both</w:t>
      </w:r>
      <w:r w:rsidRPr="001128A4" w:rsidR="003A308F">
        <w:rPr>
          <w:szCs w:val="26"/>
        </w:rPr>
        <w:t xml:space="preserve"> parties</w:t>
      </w:r>
      <w:r w:rsidRPr="00952DC7" w:rsidR="003A308F">
        <w:rPr>
          <w:szCs w:val="26"/>
        </w:rPr>
        <w:t xml:space="preserve">.  </w:t>
      </w:r>
      <w:r w:rsidRPr="00952DC7" w:rsidR="00552849">
        <w:t>One</w:t>
      </w:r>
      <w:r w:rsidRPr="00952DC7" w:rsidR="003A308F">
        <w:t xml:space="preserve"> provision</w:t>
      </w:r>
      <w:r w:rsidRPr="00952DC7" w:rsidR="00552849">
        <w:t>, section 10113.72, subdivision (a), unmistakably</w:t>
      </w:r>
      <w:r w:rsidRPr="00952DC7" w:rsidR="003A308F">
        <w:t xml:space="preserve"> appl</w:t>
      </w:r>
      <w:r w:rsidRPr="00952DC7" w:rsidR="00552849">
        <w:t>ies</w:t>
      </w:r>
      <w:r w:rsidRPr="00952DC7" w:rsidR="003A308F">
        <w:t xml:space="preserve"> only to new </w:t>
      </w:r>
      <w:r w:rsidR="00A52D6C">
        <w:t>policies</w:t>
      </w:r>
      <w:r w:rsidRPr="00952DC7" w:rsidR="003A308F">
        <w:t xml:space="preserve">; </w:t>
      </w:r>
      <w:r w:rsidRPr="00952DC7" w:rsidR="00552849">
        <w:t xml:space="preserve">but </w:t>
      </w:r>
      <w:r w:rsidRPr="00952DC7" w:rsidR="003A308F">
        <w:t xml:space="preserve">some </w:t>
      </w:r>
      <w:r w:rsidR="00A16F9F">
        <w:t>provisions likely</w:t>
      </w:r>
      <w:r w:rsidR="0041434A">
        <w:t xml:space="preserve"> </w:t>
      </w:r>
      <w:r w:rsidRPr="00952DC7" w:rsidR="003A308F">
        <w:t xml:space="preserve">seem to apply to both new and existing </w:t>
      </w:r>
      <w:r w:rsidR="00A52D6C">
        <w:t>policies</w:t>
      </w:r>
      <w:r w:rsidRPr="00952DC7" w:rsidR="00552849">
        <w:t>,</w:t>
      </w:r>
      <w:r w:rsidRPr="00952DC7" w:rsidR="003A308F">
        <w:t xml:space="preserve"> and some could be read either way.</w:t>
      </w:r>
      <w:r w:rsidRPr="00952DC7" w:rsidR="0059305C">
        <w:t xml:space="preserve">  </w:t>
      </w:r>
      <w:r w:rsidRPr="00952DC7" w:rsidR="00161185">
        <w:t xml:space="preserve">Because the parties’ linguistic </w:t>
      </w:r>
      <w:r w:rsidRPr="00952DC7" w:rsidR="005C3A35">
        <w:t>parsing</w:t>
      </w:r>
      <w:r w:rsidRPr="00952DC7" w:rsidR="00161185">
        <w:t xml:space="preserve"> </w:t>
      </w:r>
      <w:r w:rsidR="00B00A38">
        <w:t xml:space="preserve">at times </w:t>
      </w:r>
      <w:r w:rsidRPr="00952DC7" w:rsidR="00161185">
        <w:t xml:space="preserve">plausibly cut in opposing directions, </w:t>
      </w:r>
      <w:r w:rsidRPr="00952DC7" w:rsidR="00A57A92">
        <w:t>a</w:t>
      </w:r>
      <w:r w:rsidRPr="000900D9" w:rsidR="00A57A92">
        <w:t xml:space="preserve">nd </w:t>
      </w:r>
      <w:r w:rsidRPr="000900D9" w:rsidR="00161185">
        <w:t>b</w:t>
      </w:r>
      <w:r w:rsidRPr="000900D9" w:rsidR="00FA6347">
        <w:t>ecause</w:t>
      </w:r>
      <w:r w:rsidR="0041434A">
        <w:t xml:space="preserve"> we must interpret </w:t>
      </w:r>
      <w:r w:rsidRPr="000900D9" w:rsidR="00FA6347">
        <w:t>the</w:t>
      </w:r>
      <w:r w:rsidR="0041434A">
        <w:t>se</w:t>
      </w:r>
      <w:r w:rsidRPr="000900D9" w:rsidR="00FA6347">
        <w:t xml:space="preserve"> provisions as a package, the net effect is one of </w:t>
      </w:r>
      <w:r w:rsidR="000C229A">
        <w:t>som</w:t>
      </w:r>
      <w:r w:rsidR="00F84BE1">
        <w:t xml:space="preserve">e potential </w:t>
      </w:r>
      <w:r w:rsidRPr="000900D9" w:rsidR="00FA6347">
        <w:t>statutory ambiguity.</w:t>
      </w:r>
      <w:r w:rsidRPr="000900D9" w:rsidR="00C43778">
        <w:t xml:space="preserve">  </w:t>
      </w:r>
      <w:r w:rsidR="0041434A">
        <w:t>To see why, consider each provision in turn.</w:t>
      </w:r>
    </w:p>
    <w:p w:rsidR="00901AE1" w:rsidP="00901AE1" w14:paraId="0FE405CF" w14:textId="29AA187B">
      <w:pPr>
        <w:ind w:firstLine="720"/>
      </w:pPr>
      <w:r>
        <w:t>S</w:t>
      </w:r>
      <w:r w:rsidR="000900D9">
        <w:t>ection 10113.72, subdivision (a)</w:t>
      </w:r>
      <w:r>
        <w:t xml:space="preserve"> </w:t>
      </w:r>
      <w:r w:rsidR="0095379A">
        <w:t>relat</w:t>
      </w:r>
      <w:r w:rsidRPr="000D7291" w:rsidR="0095379A">
        <w:t>es to the</w:t>
      </w:r>
      <w:r w:rsidR="00832F62">
        <w:t xml:space="preserve"> right to</w:t>
      </w:r>
      <w:r w:rsidRPr="000D7291" w:rsidR="0095379A">
        <w:t xml:space="preserve"> designa</w:t>
      </w:r>
      <w:r w:rsidR="00832F62">
        <w:t>te</w:t>
      </w:r>
      <w:r w:rsidRPr="000D7291" w:rsidR="0095379A">
        <w:t xml:space="preserve"> </w:t>
      </w:r>
      <w:r w:rsidR="00832F62">
        <w:t>at least one</w:t>
      </w:r>
      <w:r w:rsidRPr="000D7291" w:rsidR="0095379A">
        <w:t xml:space="preserve"> </w:t>
      </w:r>
      <w:r w:rsidR="00832F62">
        <w:t>third</w:t>
      </w:r>
      <w:r w:rsidRPr="00001076" w:rsidR="00B65E44">
        <w:t xml:space="preserve"> </w:t>
      </w:r>
      <w:r w:rsidR="00832F62">
        <w:t xml:space="preserve">party </w:t>
      </w:r>
      <w:r w:rsidRPr="000D7291" w:rsidR="0095379A">
        <w:t>recipient</w:t>
      </w:r>
      <w:r w:rsidR="008E6E89">
        <w:t xml:space="preserve"> </w:t>
      </w:r>
      <w:r w:rsidR="00832F62">
        <w:t xml:space="preserve">to </w:t>
      </w:r>
      <w:r w:rsidRPr="00A2413E" w:rsidR="008E6E89">
        <w:rPr>
          <w:szCs w:val="26"/>
        </w:rPr>
        <w:t xml:space="preserve">receive a </w:t>
      </w:r>
      <w:r w:rsidR="0098555C">
        <w:rPr>
          <w:szCs w:val="26"/>
        </w:rPr>
        <w:t xml:space="preserve">missed </w:t>
      </w:r>
      <w:r w:rsidRPr="00A2413E" w:rsidR="008E6E89">
        <w:rPr>
          <w:szCs w:val="26"/>
        </w:rPr>
        <w:t>premium notice</w:t>
      </w:r>
      <w:r>
        <w:t>.  This provision applies only</w:t>
      </w:r>
      <w:r w:rsidRPr="000D7291" w:rsidR="0095379A">
        <w:t xml:space="preserve"> to new, </w:t>
      </w:r>
      <w:r w:rsidRPr="00001076" w:rsidR="0095379A">
        <w:t>postenactment</w:t>
      </w:r>
      <w:r w:rsidRPr="000D7291" w:rsidR="0095379A">
        <w:t xml:space="preserve"> policies.  </w:t>
      </w:r>
      <w:r w:rsidR="00783187">
        <w:t>(</w:t>
      </w:r>
      <w:r w:rsidRPr="00783187" w:rsidR="00783187">
        <w:rPr>
          <w:i/>
          <w:iCs/>
        </w:rPr>
        <w:t>McHugh</w:t>
      </w:r>
      <w:r w:rsidR="00783187">
        <w:t xml:space="preserve">, </w:t>
      </w:r>
      <w:r w:rsidRPr="00783187" w:rsidR="00783187">
        <w:rPr>
          <w:i/>
          <w:iCs/>
        </w:rPr>
        <w:t>supra</w:t>
      </w:r>
      <w:r w:rsidR="00783187">
        <w:t xml:space="preserve">, 40 Cal.App.5th at pp. 1174–1175.)  </w:t>
      </w:r>
      <w:r>
        <w:t>The language</w:t>
      </w:r>
      <w:r w:rsidRPr="000D7291" w:rsidR="008C2E0C">
        <w:t xml:space="preserve"> refers repeatedly to the “applicant” making a written designation, rather than the “policy owner,” clearly indicating it applies only to new policies.  </w:t>
      </w:r>
      <w:r w:rsidRPr="00A2413E" w:rsidR="00191311">
        <w:rPr>
          <w:color w:val="000000"/>
          <w:szCs w:val="26"/>
        </w:rPr>
        <w:t>(§ 10113.72, subd. (a).)</w:t>
      </w:r>
      <w:r w:rsidR="00191311">
        <w:rPr>
          <w:color w:val="000000"/>
          <w:szCs w:val="26"/>
        </w:rPr>
        <w:t xml:space="preserve">  </w:t>
      </w:r>
      <w:r w:rsidRPr="000D7291" w:rsidR="008C2E0C">
        <w:t xml:space="preserve">Protective Life also </w:t>
      </w:r>
      <w:r w:rsidRPr="000D7291" w:rsidR="00D05989">
        <w:t xml:space="preserve">persuasively </w:t>
      </w:r>
      <w:r w:rsidRPr="000D7291" w:rsidR="00405EC5">
        <w:t>argues</w:t>
      </w:r>
      <w:r w:rsidRPr="000D7291" w:rsidR="00AB0D63">
        <w:t xml:space="preserve"> that</w:t>
      </w:r>
      <w:r w:rsidRPr="000D7291" w:rsidR="00405EC5">
        <w:t xml:space="preserve"> the particular phrasing of subdivision (a)’s command</w:t>
      </w:r>
      <w:r w:rsidR="00235B79">
        <w:t xml:space="preserve"> — </w:t>
      </w:r>
      <w:r w:rsidRPr="000D7291" w:rsidR="00405EC5">
        <w:t>it instructs that a policy “</w:t>
      </w:r>
      <w:r w:rsidRPr="000D7291" w:rsidR="00405EC5">
        <w:rPr>
          <w:i/>
          <w:iCs/>
        </w:rPr>
        <w:t>shall not be</w:t>
      </w:r>
      <w:r w:rsidRPr="000D7291" w:rsidR="00405EC5">
        <w:t xml:space="preserve"> issued or delivered . . . until” an applicant has been given the written designation right</w:t>
      </w:r>
      <w:r w:rsidR="00235B79">
        <w:t xml:space="preserve"> — </w:t>
      </w:r>
      <w:r w:rsidRPr="000D7291" w:rsidR="00405EC5">
        <w:t xml:space="preserve">further </w:t>
      </w:r>
      <w:r w:rsidR="007D5FD7">
        <w:t xml:space="preserve">supports </w:t>
      </w:r>
      <w:r w:rsidR="0004385E">
        <w:t>that it applies</w:t>
      </w:r>
      <w:r w:rsidR="007D5FD7">
        <w:t xml:space="preserve"> only to </w:t>
      </w:r>
      <w:r w:rsidR="00B15A62">
        <w:t>new policies as of 2013</w:t>
      </w:r>
      <w:r w:rsidR="007D5FD7">
        <w:t xml:space="preserve">, </w:t>
      </w:r>
      <w:r w:rsidRPr="000D7291" w:rsidR="00405EC5">
        <w:t>since “shall be” commands</w:t>
      </w:r>
      <w:r w:rsidRPr="000D7291" w:rsidR="000D7291">
        <w:t xml:space="preserve"> often </w:t>
      </w:r>
      <w:r w:rsidR="007D5FD7">
        <w:t xml:space="preserve">signify a statute’s </w:t>
      </w:r>
      <w:r w:rsidRPr="000D7291" w:rsidR="007D5FD7">
        <w:t>forward-looking nature</w:t>
      </w:r>
      <w:r w:rsidR="007D5FD7">
        <w:t>.</w:t>
      </w:r>
      <w:r w:rsidR="00F41CD0">
        <w:t xml:space="preserve">  (</w:t>
      </w:r>
      <w:r w:rsidRPr="00191311" w:rsidR="00191311">
        <w:rPr>
          <w:i/>
          <w:iCs/>
        </w:rPr>
        <w:t>Ibid</w:t>
      </w:r>
      <w:r w:rsidRPr="00001076" w:rsidR="00191311">
        <w:rPr>
          <w:i/>
          <w:iCs/>
        </w:rPr>
        <w:t>.</w:t>
      </w:r>
      <w:r w:rsidRPr="00001076" w:rsidR="000A3AC8">
        <w:t>, italics added</w:t>
      </w:r>
      <w:r w:rsidRPr="00001076" w:rsidR="00191311">
        <w:t>;</w:t>
      </w:r>
      <w:r w:rsidR="00191311">
        <w:t xml:space="preserve"> c</w:t>
      </w:r>
      <w:r>
        <w:t xml:space="preserve">f. </w:t>
      </w:r>
      <w:r w:rsidRPr="00783187">
        <w:rPr>
          <w:i/>
          <w:iCs/>
        </w:rPr>
        <w:t xml:space="preserve">Russell v. Superior </w:t>
      </w:r>
      <w:r w:rsidRPr="00001076">
        <w:rPr>
          <w:i/>
          <w:iCs/>
        </w:rPr>
        <w:t>C</w:t>
      </w:r>
      <w:r w:rsidRPr="00001076" w:rsidR="003F6A44">
        <w:rPr>
          <w:i/>
          <w:iCs/>
        </w:rPr>
        <w:t>ourt</w:t>
      </w:r>
      <w:r>
        <w:t xml:space="preserve"> (1986)</w:t>
      </w:r>
      <w:r w:rsidRPr="00901AE1">
        <w:t xml:space="preserve"> 185 Cal.App.3d 810, 818–</w:t>
      </w:r>
      <w:r>
        <w:t>8</w:t>
      </w:r>
      <w:r w:rsidRPr="00901AE1">
        <w:t>19</w:t>
      </w:r>
      <w:r w:rsidR="00856ABB">
        <w:t>.</w:t>
      </w:r>
      <w:r w:rsidRPr="00901AE1">
        <w:t>)</w:t>
      </w:r>
    </w:p>
    <w:p w:rsidR="00AD0966" w:rsidRPr="00797CE8" w:rsidP="00797CE8" w14:paraId="22EB24D5" w14:textId="493FAB36">
      <w:pPr>
        <w:ind w:firstLine="720"/>
      </w:pPr>
      <w:r w:rsidRPr="00D80F0D">
        <w:t>But subdivision (b) of section</w:t>
      </w:r>
      <w:r w:rsidRPr="00D80F0D" w:rsidR="00392B10">
        <w:t xml:space="preserve"> 10113.72</w:t>
      </w:r>
      <w:r w:rsidR="00797CE8">
        <w:t xml:space="preserve"> does not refer to “applicant[s]</w:t>
      </w:r>
      <w:r w:rsidR="0041434A">
        <w:t>,</w:t>
      </w:r>
      <w:r w:rsidR="00797CE8">
        <w:t xml:space="preserve">” </w:t>
      </w:r>
      <w:r w:rsidR="0041434A">
        <w:t>n</w:t>
      </w:r>
      <w:r w:rsidR="00797CE8">
        <w:t xml:space="preserve">or </w:t>
      </w:r>
      <w:r w:rsidR="0041434A">
        <w:t xml:space="preserve">does it </w:t>
      </w:r>
      <w:r w:rsidR="00797CE8">
        <w:t xml:space="preserve">use “shall be” language.  </w:t>
      </w:r>
      <w:r w:rsidR="001420C6">
        <w:t>The subdivision</w:t>
      </w:r>
      <w:r w:rsidR="0041434A">
        <w:t xml:space="preserve"> </w:t>
      </w:r>
      <w:r w:rsidRPr="00D80F0D">
        <w:t xml:space="preserve">requires insurers to annually notify </w:t>
      </w:r>
      <w:r w:rsidRPr="00D80F0D" w:rsidR="00CC363C">
        <w:t>“</w:t>
      </w:r>
      <w:r w:rsidRPr="00D80F0D">
        <w:t>policy owner</w:t>
      </w:r>
      <w:r w:rsidR="006542CD">
        <w:t>[</w:t>
      </w:r>
      <w:r w:rsidRPr="00D80F0D">
        <w:t>s</w:t>
      </w:r>
      <w:r w:rsidR="006542CD">
        <w:t>]</w:t>
      </w:r>
      <w:r w:rsidRPr="00D80F0D" w:rsidR="00CC363C">
        <w:t>”</w:t>
      </w:r>
      <w:r w:rsidRPr="00D80F0D">
        <w:t xml:space="preserve"> for their right to update and change the</w:t>
      </w:r>
      <w:r w:rsidR="00AC2B0F">
        <w:t>ir</w:t>
      </w:r>
      <w:r w:rsidR="003570AE">
        <w:t xml:space="preserve"> third</w:t>
      </w:r>
      <w:r w:rsidRPr="00001076" w:rsidR="00B65E44">
        <w:t xml:space="preserve"> </w:t>
      </w:r>
      <w:r w:rsidR="003570AE">
        <w:t>party notice</w:t>
      </w:r>
      <w:r w:rsidRPr="00D80F0D">
        <w:t xml:space="preserve"> designation</w:t>
      </w:r>
      <w:r w:rsidR="0041434A">
        <w:t xml:space="preserve">.  </w:t>
      </w:r>
      <w:r w:rsidRPr="00A2413E" w:rsidR="00C541F1">
        <w:rPr>
          <w:color w:val="000000"/>
          <w:szCs w:val="26"/>
        </w:rPr>
        <w:t>(§ 10113.72, subd. (</w:t>
      </w:r>
      <w:r w:rsidR="00C541F1">
        <w:rPr>
          <w:color w:val="000000"/>
          <w:szCs w:val="26"/>
        </w:rPr>
        <w:t>b</w:t>
      </w:r>
      <w:r w:rsidRPr="00A2413E" w:rsidR="00C541F1">
        <w:rPr>
          <w:color w:val="000000"/>
          <w:szCs w:val="26"/>
        </w:rPr>
        <w:t>).)</w:t>
      </w:r>
      <w:r w:rsidR="00C541F1">
        <w:rPr>
          <w:color w:val="000000"/>
          <w:szCs w:val="26"/>
        </w:rPr>
        <w:t xml:space="preserve">  </w:t>
      </w:r>
      <w:r w:rsidR="0041434A">
        <w:t xml:space="preserve">It </w:t>
      </w:r>
      <w:r w:rsidRPr="00D80F0D">
        <w:t>could</w:t>
      </w:r>
      <w:r w:rsidR="001420C6">
        <w:t xml:space="preserve"> </w:t>
      </w:r>
      <w:r w:rsidR="0041434A">
        <w:t xml:space="preserve">easily </w:t>
      </w:r>
      <w:r w:rsidRPr="00D80F0D">
        <w:t xml:space="preserve">apply to </w:t>
      </w:r>
      <w:r w:rsidRPr="00D80F0D">
        <w:rPr>
          <w:i/>
          <w:iCs/>
        </w:rPr>
        <w:t>both</w:t>
      </w:r>
      <w:r w:rsidRPr="00D80F0D">
        <w:t xml:space="preserve"> new policies and those already in force </w:t>
      </w:r>
      <w:r w:rsidR="00F1373C">
        <w:t>as of</w:t>
      </w:r>
      <w:r w:rsidRPr="00D80F0D">
        <w:t xml:space="preserve"> January 1, 2013.  Th</w:t>
      </w:r>
      <w:r w:rsidR="00B16D17">
        <w:t>e</w:t>
      </w:r>
      <w:r w:rsidRPr="00D80F0D">
        <w:t xml:space="preserve"> subdivision provides an opportunity for the policy</w:t>
      </w:r>
      <w:r w:rsidR="00C91CA1">
        <w:t xml:space="preserve"> owner</w:t>
      </w:r>
      <w:r w:rsidRPr="00D80F0D">
        <w:t xml:space="preserve"> on an existing policy with no designation to “designate one or more persons” </w:t>
      </w:r>
      <w:r w:rsidR="00C541F1">
        <w:t>(</w:t>
      </w:r>
      <w:r w:rsidRPr="00C541F1" w:rsidR="00C541F1">
        <w:rPr>
          <w:i/>
          <w:iCs/>
        </w:rPr>
        <w:t>ibid</w:t>
      </w:r>
      <w:r w:rsidR="00C541F1">
        <w:t>.)</w:t>
      </w:r>
      <w:r w:rsidR="00235B79">
        <w:t xml:space="preserve"> — </w:t>
      </w:r>
      <w:r w:rsidRPr="00D80F0D">
        <w:t>a right that could apply regardless of when the policy was issued.</w:t>
      </w:r>
      <w:bookmarkStart w:id="31" w:name="_Hlk77320471"/>
      <w:r w:rsidRPr="00D80F0D" w:rsidR="00D80F0D">
        <w:t xml:space="preserve">  </w:t>
      </w:r>
      <w:r w:rsidRPr="00D80F0D" w:rsidR="00D80F0D">
        <w:rPr>
          <w:szCs w:val="26"/>
        </w:rPr>
        <w:t>(</w:t>
      </w:r>
      <w:bookmarkStart w:id="32" w:name="_Hlk77321201"/>
      <w:r w:rsidR="0016362D">
        <w:rPr>
          <w:szCs w:val="26"/>
        </w:rPr>
        <w:t xml:space="preserve">See </w:t>
      </w:r>
      <w:r w:rsidRPr="00A2413E" w:rsidR="00F6433C">
        <w:rPr>
          <w:i/>
          <w:iCs/>
          <w:szCs w:val="26"/>
        </w:rPr>
        <w:t>Bentley v. United of Omaha Life Ins. Co.</w:t>
      </w:r>
      <w:r w:rsidRPr="00A2413E" w:rsidR="00F6433C">
        <w:rPr>
          <w:szCs w:val="26"/>
        </w:rPr>
        <w:t xml:space="preserve"> (C.D. Cal</w:t>
      </w:r>
      <w:r w:rsidRPr="00001076" w:rsidR="00F6433C">
        <w:rPr>
          <w:szCs w:val="26"/>
        </w:rPr>
        <w:t>.</w:t>
      </w:r>
      <w:r w:rsidRPr="00001076" w:rsidR="003F6A44">
        <w:rPr>
          <w:szCs w:val="26"/>
        </w:rPr>
        <w:t>,</w:t>
      </w:r>
      <w:r w:rsidRPr="00A2413E" w:rsidR="00F6433C">
        <w:rPr>
          <w:szCs w:val="26"/>
        </w:rPr>
        <w:t xml:space="preserve"> June 22, 2016</w:t>
      </w:r>
      <w:r w:rsidRPr="00001076" w:rsidR="003F6A44">
        <w:rPr>
          <w:szCs w:val="26"/>
        </w:rPr>
        <w:t>,</w:t>
      </w:r>
      <w:r w:rsidRPr="00A2413E" w:rsidR="00F6433C">
        <w:rPr>
          <w:szCs w:val="26"/>
        </w:rPr>
        <w:t xml:space="preserve"> No. </w:t>
      </w:r>
      <w:r w:rsidRPr="00001076" w:rsidR="00F6433C">
        <w:rPr>
          <w:szCs w:val="26"/>
        </w:rPr>
        <w:t>CV15</w:t>
      </w:r>
      <w:r w:rsidRPr="00001076" w:rsidR="003F6A44">
        <w:rPr>
          <w:szCs w:val="26"/>
        </w:rPr>
        <w:t>-</w:t>
      </w:r>
      <w:r w:rsidRPr="00001076" w:rsidR="00F6433C">
        <w:rPr>
          <w:szCs w:val="26"/>
        </w:rPr>
        <w:t>7870</w:t>
      </w:r>
      <w:r w:rsidRPr="00001076" w:rsidR="003F6A44">
        <w:rPr>
          <w:szCs w:val="26"/>
        </w:rPr>
        <w:t>-</w:t>
      </w:r>
      <w:r w:rsidRPr="00001076" w:rsidR="00F6433C">
        <w:rPr>
          <w:szCs w:val="26"/>
        </w:rPr>
        <w:t>DMG</w:t>
      </w:r>
      <w:r w:rsidRPr="00001076" w:rsidR="003F6A44">
        <w:rPr>
          <w:szCs w:val="26"/>
        </w:rPr>
        <w:t xml:space="preserve"> (</w:t>
      </w:r>
      <w:r w:rsidRPr="00001076" w:rsidR="00F6433C">
        <w:rPr>
          <w:szCs w:val="26"/>
        </w:rPr>
        <w:t>AJW</w:t>
      </w:r>
      <w:r w:rsidRPr="00001076" w:rsidR="003F6A44">
        <w:rPr>
          <w:szCs w:val="26"/>
        </w:rPr>
        <w:t>x))</w:t>
      </w:r>
      <w:r w:rsidRPr="00A2413E" w:rsidR="00F6433C">
        <w:rPr>
          <w:szCs w:val="26"/>
        </w:rPr>
        <w:t xml:space="preserve"> 2016 WL 7443189, </w:t>
      </w:r>
      <w:r w:rsidRPr="00001076" w:rsidR="003F6A44">
        <w:rPr>
          <w:szCs w:val="26"/>
        </w:rPr>
        <w:t>p.</w:t>
      </w:r>
      <w:r w:rsidRPr="00A2413E" w:rsidR="00F6433C">
        <w:rPr>
          <w:szCs w:val="26"/>
        </w:rPr>
        <w:t xml:space="preserve"> *4</w:t>
      </w:r>
      <w:r w:rsidR="00A34044">
        <w:rPr>
          <w:szCs w:val="26"/>
        </w:rPr>
        <w:t xml:space="preserve"> (</w:t>
      </w:r>
      <w:r w:rsidRPr="00A34044" w:rsidR="00A34044">
        <w:rPr>
          <w:i/>
          <w:iCs/>
          <w:szCs w:val="26"/>
        </w:rPr>
        <w:t>Bentley</w:t>
      </w:r>
      <w:r w:rsidR="00A34044">
        <w:rPr>
          <w:szCs w:val="26"/>
        </w:rPr>
        <w:t>)</w:t>
      </w:r>
      <w:r w:rsidR="006B54C2">
        <w:rPr>
          <w:szCs w:val="26"/>
        </w:rPr>
        <w:t>.)</w:t>
      </w:r>
      <w:bookmarkEnd w:id="32"/>
      <w:r w:rsidR="006B54C2">
        <w:rPr>
          <w:szCs w:val="26"/>
        </w:rPr>
        <w:t xml:space="preserve"> </w:t>
      </w:r>
      <w:r w:rsidR="00526CD5">
        <w:rPr>
          <w:szCs w:val="26"/>
        </w:rPr>
        <w:t xml:space="preserve"> </w:t>
      </w:r>
      <w:bookmarkEnd w:id="31"/>
      <w:r w:rsidR="009713C2">
        <w:rPr>
          <w:szCs w:val="26"/>
        </w:rPr>
        <w:t>Indeed, a</w:t>
      </w:r>
      <w:r w:rsidR="00167D37">
        <w:rPr>
          <w:szCs w:val="26"/>
        </w:rPr>
        <w:t xml:space="preserve">s plaintiffs </w:t>
      </w:r>
      <w:r w:rsidR="004257C6">
        <w:rPr>
          <w:szCs w:val="26"/>
        </w:rPr>
        <w:t xml:space="preserve">persuasively </w:t>
      </w:r>
      <w:r w:rsidR="00167D37">
        <w:rPr>
          <w:szCs w:val="26"/>
        </w:rPr>
        <w:t xml:space="preserve">argue, </w:t>
      </w:r>
      <w:r w:rsidR="00236A81">
        <w:rPr>
          <w:szCs w:val="26"/>
        </w:rPr>
        <w:t>n</w:t>
      </w:r>
      <w:r w:rsidR="006B54C2">
        <w:rPr>
          <w:szCs w:val="26"/>
        </w:rPr>
        <w:t xml:space="preserve">othing in </w:t>
      </w:r>
      <w:r w:rsidR="003B2532">
        <w:rPr>
          <w:szCs w:val="26"/>
        </w:rPr>
        <w:t>this language</w:t>
      </w:r>
      <w:r w:rsidR="009713C2">
        <w:rPr>
          <w:szCs w:val="26"/>
        </w:rPr>
        <w:t xml:space="preserve"> </w:t>
      </w:r>
      <w:r w:rsidR="00727B4D">
        <w:rPr>
          <w:szCs w:val="26"/>
        </w:rPr>
        <w:t xml:space="preserve">appears to </w:t>
      </w:r>
      <w:r w:rsidR="006B54C2">
        <w:rPr>
          <w:szCs w:val="26"/>
        </w:rPr>
        <w:t xml:space="preserve">limit </w:t>
      </w:r>
      <w:r w:rsidR="00183FD4">
        <w:rPr>
          <w:szCs w:val="26"/>
        </w:rPr>
        <w:t>this right</w:t>
      </w:r>
      <w:r w:rsidR="006B54C2">
        <w:rPr>
          <w:szCs w:val="26"/>
        </w:rPr>
        <w:t xml:space="preserve"> </w:t>
      </w:r>
      <w:r w:rsidRPr="00A2413E" w:rsidR="006B54C2">
        <w:rPr>
          <w:szCs w:val="26"/>
        </w:rPr>
        <w:t xml:space="preserve">only to those </w:t>
      </w:r>
      <w:r w:rsidR="002B7524">
        <w:rPr>
          <w:szCs w:val="26"/>
        </w:rPr>
        <w:t>“</w:t>
      </w:r>
      <w:r w:rsidRPr="00A2413E" w:rsidR="006B54C2">
        <w:rPr>
          <w:szCs w:val="26"/>
        </w:rPr>
        <w:t>policy owners</w:t>
      </w:r>
      <w:r w:rsidR="002B7524">
        <w:rPr>
          <w:szCs w:val="26"/>
        </w:rPr>
        <w:t>”</w:t>
      </w:r>
      <w:r w:rsidRPr="00A2413E" w:rsidR="006B54C2">
        <w:rPr>
          <w:szCs w:val="26"/>
        </w:rPr>
        <w:t xml:space="preserve"> who purchased insurance </w:t>
      </w:r>
      <w:r w:rsidRPr="00001076" w:rsidR="002B7524">
        <w:rPr>
          <w:szCs w:val="26"/>
        </w:rPr>
        <w:t>postenactment</w:t>
      </w:r>
      <w:r w:rsidRPr="00001076" w:rsidR="006B54C2">
        <w:rPr>
          <w:szCs w:val="26"/>
        </w:rPr>
        <w:t>.</w:t>
      </w:r>
      <w:r w:rsidRPr="00A2413E" w:rsidR="006B54C2">
        <w:rPr>
          <w:szCs w:val="26"/>
        </w:rPr>
        <w:t xml:space="preserve">  </w:t>
      </w:r>
      <w:r w:rsidR="003B2532">
        <w:rPr>
          <w:szCs w:val="26"/>
        </w:rPr>
        <w:t xml:space="preserve">(See </w:t>
      </w:r>
      <w:r w:rsidRPr="003B2532" w:rsidR="003B2532">
        <w:rPr>
          <w:i/>
          <w:iCs/>
          <w:szCs w:val="26"/>
        </w:rPr>
        <w:t>ibid</w:t>
      </w:r>
      <w:r w:rsidR="003B2532">
        <w:rPr>
          <w:szCs w:val="26"/>
        </w:rPr>
        <w:t>.)</w:t>
      </w:r>
    </w:p>
    <w:p w:rsidR="00BF4D25" w:rsidRPr="00142F4F" w:rsidP="00142F4F" w14:paraId="37BE42A0" w14:textId="2477844D">
      <w:pPr>
        <w:ind w:firstLine="720"/>
        <w:rPr>
          <w:szCs w:val="27"/>
        </w:rPr>
      </w:pPr>
      <w:r>
        <w:rPr>
          <w:szCs w:val="26"/>
        </w:rPr>
        <w:t xml:space="preserve">Even so, we can’t </w:t>
      </w:r>
      <w:r w:rsidR="00526CD5">
        <w:rPr>
          <w:szCs w:val="26"/>
        </w:rPr>
        <w:t>determine</w:t>
      </w:r>
      <w:r w:rsidR="006726F4">
        <w:rPr>
          <w:szCs w:val="26"/>
        </w:rPr>
        <w:t xml:space="preserve"> </w:t>
      </w:r>
      <w:r>
        <w:rPr>
          <w:szCs w:val="26"/>
        </w:rPr>
        <w:t xml:space="preserve">for sure </w:t>
      </w:r>
      <w:r w:rsidR="006726F4">
        <w:rPr>
          <w:szCs w:val="26"/>
        </w:rPr>
        <w:t>from</w:t>
      </w:r>
      <w:r w:rsidRPr="00001076" w:rsidR="006726F4">
        <w:rPr>
          <w:szCs w:val="26"/>
        </w:rPr>
        <w:t xml:space="preserve"> </w:t>
      </w:r>
      <w:r>
        <w:rPr>
          <w:szCs w:val="26"/>
        </w:rPr>
        <w:t xml:space="preserve">the isolated language of </w:t>
      </w:r>
      <w:r w:rsidRPr="00001076" w:rsidR="00A05B4E">
        <w:rPr>
          <w:szCs w:val="26"/>
        </w:rPr>
        <w:t>section 10113.72,</w:t>
      </w:r>
      <w:r w:rsidR="006726F4">
        <w:rPr>
          <w:szCs w:val="26"/>
        </w:rPr>
        <w:t xml:space="preserve"> subdivision (b) </w:t>
      </w:r>
      <w:r w:rsidR="00526CD5">
        <w:rPr>
          <w:szCs w:val="26"/>
        </w:rPr>
        <w:t xml:space="preserve">that </w:t>
      </w:r>
      <w:r w:rsidR="00FD3461">
        <w:rPr>
          <w:szCs w:val="26"/>
        </w:rPr>
        <w:t>the designation right</w:t>
      </w:r>
      <w:r w:rsidR="00526CD5">
        <w:rPr>
          <w:szCs w:val="26"/>
        </w:rPr>
        <w:t xml:space="preserve"> unambiguously appl</w:t>
      </w:r>
      <w:r w:rsidR="003B2532">
        <w:rPr>
          <w:szCs w:val="26"/>
        </w:rPr>
        <w:t>ies</w:t>
      </w:r>
      <w:r w:rsidR="00526CD5">
        <w:rPr>
          <w:szCs w:val="26"/>
        </w:rPr>
        <w:t xml:space="preserve"> to all policies.  Protective Life </w:t>
      </w:r>
      <w:r w:rsidR="00211D0E">
        <w:rPr>
          <w:szCs w:val="26"/>
        </w:rPr>
        <w:t xml:space="preserve">counters </w:t>
      </w:r>
      <w:r w:rsidR="00B6467B">
        <w:rPr>
          <w:szCs w:val="26"/>
        </w:rPr>
        <w:t xml:space="preserve">plaintiffs’ </w:t>
      </w:r>
      <w:r w:rsidR="00FD3461">
        <w:rPr>
          <w:szCs w:val="26"/>
        </w:rPr>
        <w:t xml:space="preserve">plausible </w:t>
      </w:r>
      <w:r w:rsidR="00B16D17">
        <w:rPr>
          <w:szCs w:val="26"/>
        </w:rPr>
        <w:t xml:space="preserve">reading </w:t>
      </w:r>
      <w:r w:rsidR="00A47080">
        <w:rPr>
          <w:szCs w:val="26"/>
        </w:rPr>
        <w:t xml:space="preserve">of </w:t>
      </w:r>
      <w:r w:rsidR="00211D0E">
        <w:rPr>
          <w:szCs w:val="26"/>
        </w:rPr>
        <w:t>subdivision</w:t>
      </w:r>
      <w:r w:rsidR="007F3F99">
        <w:rPr>
          <w:szCs w:val="26"/>
        </w:rPr>
        <w:t xml:space="preserve"> (b)</w:t>
      </w:r>
      <w:r w:rsidR="00B6467B">
        <w:rPr>
          <w:szCs w:val="26"/>
        </w:rPr>
        <w:t xml:space="preserve"> with its own </w:t>
      </w:r>
      <w:r w:rsidR="00253E95">
        <w:rPr>
          <w:szCs w:val="26"/>
        </w:rPr>
        <w:t xml:space="preserve">potentially </w:t>
      </w:r>
      <w:r w:rsidR="00EB73D1">
        <w:rPr>
          <w:szCs w:val="26"/>
        </w:rPr>
        <w:t xml:space="preserve">tenable </w:t>
      </w:r>
      <w:r w:rsidR="00B6467B">
        <w:rPr>
          <w:szCs w:val="26"/>
        </w:rPr>
        <w:t>interpretation</w:t>
      </w:r>
      <w:r w:rsidR="00EB73D1">
        <w:rPr>
          <w:szCs w:val="26"/>
        </w:rPr>
        <w:t xml:space="preserve">:  </w:t>
      </w:r>
      <w:r w:rsidR="00C46EBE">
        <w:rPr>
          <w:szCs w:val="26"/>
        </w:rPr>
        <w:t xml:space="preserve">Subdivision (b) </w:t>
      </w:r>
      <w:r w:rsidR="000B1E15">
        <w:rPr>
          <w:szCs w:val="26"/>
        </w:rPr>
        <w:t xml:space="preserve">does not create a </w:t>
      </w:r>
      <w:r w:rsidRPr="000B1E15" w:rsidR="000B1E15">
        <w:rPr>
          <w:szCs w:val="27"/>
        </w:rPr>
        <w:t xml:space="preserve">freestanding designation right, but instead </w:t>
      </w:r>
      <w:r w:rsidR="00E76678">
        <w:rPr>
          <w:szCs w:val="27"/>
        </w:rPr>
        <w:t xml:space="preserve">repeatedly </w:t>
      </w:r>
      <w:r w:rsidRPr="000B1E15" w:rsidR="00C46EBE">
        <w:rPr>
          <w:szCs w:val="27"/>
        </w:rPr>
        <w:t xml:space="preserve">refers back to </w:t>
      </w:r>
      <w:r w:rsidRPr="000B1E15" w:rsidR="000B1E15">
        <w:rPr>
          <w:szCs w:val="27"/>
        </w:rPr>
        <w:t xml:space="preserve">and builds off </w:t>
      </w:r>
      <w:r w:rsidR="003B0A4C">
        <w:rPr>
          <w:szCs w:val="27"/>
        </w:rPr>
        <w:t xml:space="preserve">its immediately preceding provision, </w:t>
      </w:r>
      <w:r w:rsidRPr="000B1E15" w:rsidR="00C46EBE">
        <w:rPr>
          <w:szCs w:val="27"/>
        </w:rPr>
        <w:t>subdivision (a)</w:t>
      </w:r>
      <w:r w:rsidR="00235B79">
        <w:rPr>
          <w:szCs w:val="27"/>
        </w:rPr>
        <w:t xml:space="preserve"> — </w:t>
      </w:r>
      <w:r w:rsidRPr="000B1E15" w:rsidR="000B1E15">
        <w:rPr>
          <w:szCs w:val="27"/>
        </w:rPr>
        <w:t xml:space="preserve">discussing “[t]he insurer,” “the policy </w:t>
      </w:r>
      <w:r w:rsidRPr="001B28C3" w:rsidR="000B1E15">
        <w:rPr>
          <w:szCs w:val="27"/>
        </w:rPr>
        <w:t>owner,” “the right,” “the designation,” and “change[s]” to the designation.</w:t>
      </w:r>
      <w:r w:rsidRPr="001B28C3" w:rsidR="00922CE7">
        <w:rPr>
          <w:szCs w:val="27"/>
        </w:rPr>
        <w:t xml:space="preserve">  </w:t>
      </w:r>
      <w:r w:rsidRPr="00A2413E" w:rsidR="004E4CE7">
        <w:rPr>
          <w:color w:val="000000"/>
          <w:szCs w:val="26"/>
        </w:rPr>
        <w:t>(§ 10113.72, subd. (</w:t>
      </w:r>
      <w:r w:rsidR="004E4CE7">
        <w:rPr>
          <w:color w:val="000000"/>
          <w:szCs w:val="26"/>
        </w:rPr>
        <w:t>b</w:t>
      </w:r>
      <w:r w:rsidRPr="00A2413E" w:rsidR="004E4CE7">
        <w:rPr>
          <w:color w:val="000000"/>
          <w:szCs w:val="26"/>
        </w:rPr>
        <w:t>).)</w:t>
      </w:r>
      <w:r w:rsidR="004E4CE7">
        <w:rPr>
          <w:color w:val="000000"/>
          <w:szCs w:val="26"/>
        </w:rPr>
        <w:t xml:space="preserve">  </w:t>
      </w:r>
      <w:r w:rsidRPr="001B28C3" w:rsidR="00922CE7">
        <w:rPr>
          <w:szCs w:val="27"/>
        </w:rPr>
        <w:t xml:space="preserve">In other words, subdivision (b) can be read to </w:t>
      </w:r>
      <w:r w:rsidR="00137E17">
        <w:rPr>
          <w:szCs w:val="27"/>
        </w:rPr>
        <w:t xml:space="preserve">merely </w:t>
      </w:r>
      <w:r w:rsidRPr="001B28C3" w:rsidR="00E517C8">
        <w:rPr>
          <w:szCs w:val="27"/>
        </w:rPr>
        <w:t xml:space="preserve">clarify the scope of subdivision (a) by </w:t>
      </w:r>
      <w:r w:rsidR="00446AEA">
        <w:rPr>
          <w:szCs w:val="27"/>
        </w:rPr>
        <w:t xml:space="preserve">requiring </w:t>
      </w:r>
      <w:r w:rsidRPr="001B28C3" w:rsidR="00E517C8">
        <w:rPr>
          <w:szCs w:val="27"/>
        </w:rPr>
        <w:t>that</w:t>
      </w:r>
      <w:r w:rsidRPr="001B28C3" w:rsidR="003A334B">
        <w:rPr>
          <w:szCs w:val="27"/>
        </w:rPr>
        <w:t xml:space="preserve"> </w:t>
      </w:r>
      <w:r w:rsidRPr="001B28C3" w:rsidR="00DF0D05">
        <w:rPr>
          <w:szCs w:val="27"/>
        </w:rPr>
        <w:t>“</w:t>
      </w:r>
      <w:r w:rsidRPr="001B28C3" w:rsidR="00E517C8">
        <w:rPr>
          <w:szCs w:val="27"/>
        </w:rPr>
        <w:t>applicant</w:t>
      </w:r>
      <w:r w:rsidRPr="001B28C3" w:rsidR="00DF0D05">
        <w:rPr>
          <w:szCs w:val="27"/>
        </w:rPr>
        <w:t>[s]”</w:t>
      </w:r>
      <w:r w:rsidRPr="001B28C3" w:rsidR="00E517C8">
        <w:rPr>
          <w:szCs w:val="27"/>
        </w:rPr>
        <w:t xml:space="preserve"> who are now </w:t>
      </w:r>
      <w:r w:rsidRPr="001B28C3" w:rsidR="00DF0D05">
        <w:rPr>
          <w:szCs w:val="27"/>
        </w:rPr>
        <w:t>“</w:t>
      </w:r>
      <w:r w:rsidRPr="001B28C3" w:rsidR="00E517C8">
        <w:rPr>
          <w:szCs w:val="27"/>
        </w:rPr>
        <w:t>policy owner</w:t>
      </w:r>
      <w:r w:rsidRPr="001B28C3" w:rsidR="00DF0D05">
        <w:rPr>
          <w:szCs w:val="27"/>
        </w:rPr>
        <w:t>[</w:t>
      </w:r>
      <w:r w:rsidRPr="001B28C3" w:rsidR="003A334B">
        <w:rPr>
          <w:szCs w:val="27"/>
        </w:rPr>
        <w:t>s</w:t>
      </w:r>
      <w:r w:rsidRPr="001B28C3" w:rsidR="00DF0D05">
        <w:rPr>
          <w:szCs w:val="27"/>
        </w:rPr>
        <w:t>]”</w:t>
      </w:r>
      <w:r w:rsidRPr="001B28C3" w:rsidR="003A334B">
        <w:rPr>
          <w:szCs w:val="27"/>
        </w:rPr>
        <w:t xml:space="preserve"> </w:t>
      </w:r>
      <w:r w:rsidRPr="001B28C3" w:rsidR="00DF0D05">
        <w:rPr>
          <w:szCs w:val="27"/>
        </w:rPr>
        <w:t xml:space="preserve">be advised that they may exercise the right to designate by changing or initially naming a designee.  </w:t>
      </w:r>
      <w:r w:rsidR="0041434A">
        <w:rPr>
          <w:szCs w:val="27"/>
        </w:rPr>
        <w:t>P</w:t>
      </w:r>
      <w:r w:rsidRPr="001B28C3" w:rsidR="0037606D">
        <w:rPr>
          <w:szCs w:val="27"/>
        </w:rPr>
        <w:t xml:space="preserve">laintiffs </w:t>
      </w:r>
      <w:r w:rsidR="00574D21">
        <w:rPr>
          <w:szCs w:val="27"/>
        </w:rPr>
        <w:t>likely offer the better interpretation</w:t>
      </w:r>
      <w:r w:rsidR="0041434A">
        <w:rPr>
          <w:szCs w:val="27"/>
        </w:rPr>
        <w:t xml:space="preserve">, as </w:t>
      </w:r>
      <w:r w:rsidR="00192CFD">
        <w:rPr>
          <w:szCs w:val="27"/>
        </w:rPr>
        <w:t>it gives</w:t>
      </w:r>
      <w:r w:rsidR="002F7F0E">
        <w:rPr>
          <w:szCs w:val="27"/>
        </w:rPr>
        <w:t xml:space="preserve"> full effect </w:t>
      </w:r>
      <w:r w:rsidR="00D23733">
        <w:rPr>
          <w:szCs w:val="27"/>
        </w:rPr>
        <w:t xml:space="preserve">to the </w:t>
      </w:r>
      <w:r w:rsidR="00032F37">
        <w:rPr>
          <w:szCs w:val="27"/>
        </w:rPr>
        <w:t xml:space="preserve">several instances </w:t>
      </w:r>
      <w:r w:rsidR="004313DD">
        <w:rPr>
          <w:szCs w:val="27"/>
        </w:rPr>
        <w:t>where subdivision (b) uses</w:t>
      </w:r>
      <w:r w:rsidR="00032F37">
        <w:rPr>
          <w:szCs w:val="27"/>
        </w:rPr>
        <w:t xml:space="preserve"> </w:t>
      </w:r>
      <w:r w:rsidR="008F61B5">
        <w:rPr>
          <w:szCs w:val="27"/>
        </w:rPr>
        <w:t xml:space="preserve">meaningfully </w:t>
      </w:r>
      <w:r w:rsidR="00604E48">
        <w:rPr>
          <w:szCs w:val="27"/>
        </w:rPr>
        <w:t xml:space="preserve">distinct </w:t>
      </w:r>
      <w:r w:rsidR="00D23733">
        <w:rPr>
          <w:szCs w:val="27"/>
        </w:rPr>
        <w:t>language</w:t>
      </w:r>
      <w:r w:rsidR="001B7577">
        <w:rPr>
          <w:szCs w:val="27"/>
        </w:rPr>
        <w:t xml:space="preserve"> </w:t>
      </w:r>
      <w:r w:rsidR="004313DD">
        <w:rPr>
          <w:szCs w:val="27"/>
        </w:rPr>
        <w:t>from subdivision</w:t>
      </w:r>
      <w:r w:rsidR="00D23733">
        <w:rPr>
          <w:szCs w:val="27"/>
        </w:rPr>
        <w:t xml:space="preserve"> (</w:t>
      </w:r>
      <w:r w:rsidR="008F76D6">
        <w:rPr>
          <w:szCs w:val="27"/>
        </w:rPr>
        <w:t>a</w:t>
      </w:r>
      <w:r w:rsidR="00D23733">
        <w:rPr>
          <w:szCs w:val="27"/>
        </w:rPr>
        <w:t>)</w:t>
      </w:r>
      <w:r w:rsidR="005B1862">
        <w:rPr>
          <w:szCs w:val="27"/>
        </w:rPr>
        <w:t>.</w:t>
      </w:r>
      <w:r w:rsidR="00D23733">
        <w:rPr>
          <w:szCs w:val="27"/>
        </w:rPr>
        <w:t xml:space="preserve"> </w:t>
      </w:r>
      <w:r w:rsidR="005B1862">
        <w:rPr>
          <w:szCs w:val="27"/>
        </w:rPr>
        <w:t xml:space="preserve"> </w:t>
      </w:r>
      <w:r w:rsidR="00032F37">
        <w:rPr>
          <w:szCs w:val="27"/>
        </w:rPr>
        <w:t>(</w:t>
      </w:r>
      <w:r w:rsidR="005B1862">
        <w:rPr>
          <w:szCs w:val="27"/>
        </w:rPr>
        <w:t>S</w:t>
      </w:r>
      <w:r w:rsidR="00A5721E">
        <w:rPr>
          <w:szCs w:val="27"/>
        </w:rPr>
        <w:t>ee</w:t>
      </w:r>
      <w:r w:rsidR="0042616F">
        <w:rPr>
          <w:szCs w:val="27"/>
        </w:rPr>
        <w:t>, e.g.,</w:t>
      </w:r>
      <w:r w:rsidR="00A5721E">
        <w:rPr>
          <w:szCs w:val="27"/>
        </w:rPr>
        <w:t xml:space="preserve"> </w:t>
      </w:r>
      <w:r w:rsidRPr="00A5721E" w:rsidR="00A5721E">
        <w:rPr>
          <w:i/>
          <w:iCs/>
          <w:szCs w:val="27"/>
        </w:rPr>
        <w:t xml:space="preserve">Gomez v. Superior </w:t>
      </w:r>
      <w:r w:rsidRPr="00001076" w:rsidR="00A5721E">
        <w:rPr>
          <w:i/>
          <w:iCs/>
          <w:szCs w:val="27"/>
        </w:rPr>
        <w:t>C</w:t>
      </w:r>
      <w:r w:rsidRPr="00001076" w:rsidR="009422F3">
        <w:rPr>
          <w:i/>
          <w:iCs/>
          <w:szCs w:val="27"/>
        </w:rPr>
        <w:t>our</w:t>
      </w:r>
      <w:r w:rsidRPr="00001076" w:rsidR="00A5721E">
        <w:rPr>
          <w:i/>
          <w:iCs/>
          <w:szCs w:val="27"/>
        </w:rPr>
        <w:t>t</w:t>
      </w:r>
      <w:r w:rsidR="00A5721E">
        <w:rPr>
          <w:szCs w:val="27"/>
        </w:rPr>
        <w:t xml:space="preserve"> (2012)</w:t>
      </w:r>
      <w:r w:rsidRPr="00A5721E" w:rsidR="00A5721E">
        <w:rPr>
          <w:szCs w:val="27"/>
        </w:rPr>
        <w:t xml:space="preserve"> 54 Cal.4th 293, 304</w:t>
      </w:r>
      <w:r w:rsidR="0042616F">
        <w:rPr>
          <w:szCs w:val="27"/>
        </w:rPr>
        <w:t xml:space="preserve">; </w:t>
      </w:r>
      <w:r w:rsidRPr="0042616F" w:rsidR="0042616F">
        <w:rPr>
          <w:i/>
          <w:iCs/>
          <w:szCs w:val="27"/>
        </w:rPr>
        <w:t>Briggs v. Eden Council for Hope &amp; Opportunity</w:t>
      </w:r>
      <w:r w:rsidRPr="0042616F" w:rsidR="0042616F">
        <w:rPr>
          <w:szCs w:val="27"/>
        </w:rPr>
        <w:t xml:space="preserve"> (1999) 19 Cal.4th 1106, 1117</w:t>
      </w:r>
      <w:r w:rsidR="005B1862">
        <w:rPr>
          <w:szCs w:val="27"/>
        </w:rPr>
        <w:t>.</w:t>
      </w:r>
      <w:r w:rsidR="00A5721E">
        <w:rPr>
          <w:szCs w:val="27"/>
        </w:rPr>
        <w:t>)</w:t>
      </w:r>
      <w:r>
        <w:rPr>
          <w:rStyle w:val="FootnoteReference"/>
          <w:szCs w:val="27"/>
        </w:rPr>
        <w:footnoteReference w:id="9"/>
      </w:r>
      <w:r w:rsidR="0041434A">
        <w:rPr>
          <w:szCs w:val="27"/>
        </w:rPr>
        <w:t xml:space="preserve"> </w:t>
      </w:r>
      <w:r w:rsidRPr="00001076" w:rsidR="00422C11">
        <w:rPr>
          <w:szCs w:val="27"/>
        </w:rPr>
        <w:t xml:space="preserve"> </w:t>
      </w:r>
      <w:r w:rsidR="0041434A">
        <w:rPr>
          <w:szCs w:val="27"/>
        </w:rPr>
        <w:t xml:space="preserve">Yet </w:t>
      </w:r>
      <w:r w:rsidR="003A3BE8">
        <w:rPr>
          <w:szCs w:val="27"/>
        </w:rPr>
        <w:t>Protective Life</w:t>
      </w:r>
      <w:r w:rsidR="0041434A">
        <w:rPr>
          <w:szCs w:val="27"/>
        </w:rPr>
        <w:t xml:space="preserve"> also offers a </w:t>
      </w:r>
      <w:r w:rsidR="003A3BE8">
        <w:rPr>
          <w:szCs w:val="27"/>
        </w:rPr>
        <w:t xml:space="preserve">tenable </w:t>
      </w:r>
      <w:r w:rsidR="0041434A">
        <w:rPr>
          <w:szCs w:val="27"/>
        </w:rPr>
        <w:t>reading.</w:t>
      </w:r>
    </w:p>
    <w:p w:rsidR="00693783" w:rsidRPr="006605C4" w:rsidP="00EC2E8E" w14:paraId="3F37F1C7" w14:textId="0B8E61CD">
      <w:pPr>
        <w:ind w:firstLine="720"/>
      </w:pPr>
      <w:r>
        <w:rPr>
          <w:szCs w:val="27"/>
        </w:rPr>
        <w:t xml:space="preserve">Far less ambiguity </w:t>
      </w:r>
      <w:r w:rsidR="002D1205">
        <w:rPr>
          <w:szCs w:val="27"/>
        </w:rPr>
        <w:t>lurks</w:t>
      </w:r>
      <w:r>
        <w:rPr>
          <w:szCs w:val="27"/>
        </w:rPr>
        <w:t xml:space="preserve"> in the</w:t>
      </w:r>
      <w:r w:rsidRPr="00EC2E8E">
        <w:rPr>
          <w:szCs w:val="27"/>
        </w:rPr>
        <w:t xml:space="preserve"> </w:t>
      </w:r>
      <w:r w:rsidRPr="00EC2E8E" w:rsidR="00B30406">
        <w:rPr>
          <w:szCs w:val="27"/>
        </w:rPr>
        <w:t xml:space="preserve">notice provisions.  </w:t>
      </w:r>
      <w:r>
        <w:rPr>
          <w:szCs w:val="27"/>
        </w:rPr>
        <w:t>E</w:t>
      </w:r>
      <w:r w:rsidR="00BB3711">
        <w:rPr>
          <w:szCs w:val="27"/>
        </w:rPr>
        <w:t>ach</w:t>
      </w:r>
      <w:r w:rsidRPr="00EC2E8E" w:rsidR="00B30406">
        <w:rPr>
          <w:szCs w:val="27"/>
        </w:rPr>
        <w:t xml:space="preserve"> </w:t>
      </w:r>
      <w:r w:rsidRPr="00EC2E8E" w:rsidR="00411BA8">
        <w:rPr>
          <w:szCs w:val="27"/>
        </w:rPr>
        <w:t>speak</w:t>
      </w:r>
      <w:r w:rsidR="00BB3711">
        <w:rPr>
          <w:szCs w:val="27"/>
        </w:rPr>
        <w:t>s</w:t>
      </w:r>
      <w:r w:rsidRPr="00EC2E8E" w:rsidR="00411BA8">
        <w:rPr>
          <w:szCs w:val="27"/>
        </w:rPr>
        <w:t xml:space="preserve"> universally</w:t>
      </w:r>
      <w:r w:rsidR="004D5C4D">
        <w:rPr>
          <w:szCs w:val="27"/>
        </w:rPr>
        <w:t>,</w:t>
      </w:r>
      <w:r w:rsidR="00A95022">
        <w:rPr>
          <w:szCs w:val="27"/>
        </w:rPr>
        <w:t xml:space="preserve"> referring to “policy owner[s]” </w:t>
      </w:r>
      <w:r w:rsidR="004D5C4D">
        <w:rPr>
          <w:szCs w:val="27"/>
        </w:rPr>
        <w:t>and describing its requirement</w:t>
      </w:r>
      <w:r w:rsidRPr="00EC2E8E" w:rsidR="00411BA8">
        <w:rPr>
          <w:szCs w:val="27"/>
        </w:rPr>
        <w:t xml:space="preserve"> </w:t>
      </w:r>
      <w:r w:rsidRPr="00EC2E8E" w:rsidR="00411BA8">
        <w:t xml:space="preserve">without any apparent limitation on </w:t>
      </w:r>
      <w:r w:rsidR="00295D47">
        <w:t xml:space="preserve">the </w:t>
      </w:r>
      <w:r w:rsidRPr="00EC2E8E" w:rsidR="00411BA8">
        <w:t>date of issuance.</w:t>
      </w:r>
      <w:r w:rsidRPr="00EC2E8E" w:rsidR="00FE280B">
        <w:t xml:space="preserve">  </w:t>
      </w:r>
      <w:r w:rsidR="00437068">
        <w:t>(</w:t>
      </w:r>
      <w:r w:rsidRPr="00A2413E" w:rsidR="00437068">
        <w:rPr>
          <w:color w:val="000000"/>
          <w:szCs w:val="26"/>
        </w:rPr>
        <w:t>§§ 10113.</w:t>
      </w:r>
      <w:r w:rsidRPr="00001076" w:rsidR="00437068">
        <w:rPr>
          <w:color w:val="000000"/>
          <w:szCs w:val="26"/>
        </w:rPr>
        <w:t>7</w:t>
      </w:r>
      <w:r w:rsidRPr="00001076" w:rsidR="00B65E44">
        <w:rPr>
          <w:color w:val="000000"/>
          <w:szCs w:val="26"/>
        </w:rPr>
        <w:t>1</w:t>
      </w:r>
      <w:r w:rsidRPr="00001076" w:rsidR="00437068">
        <w:rPr>
          <w:color w:val="000000"/>
          <w:szCs w:val="26"/>
        </w:rPr>
        <w:t>, subd</w:t>
      </w:r>
      <w:r w:rsidRPr="00A2413E" w:rsidR="00437068">
        <w:rPr>
          <w:color w:val="000000"/>
          <w:szCs w:val="26"/>
        </w:rPr>
        <w:t>. (</w:t>
      </w:r>
      <w:r w:rsidR="00437068">
        <w:rPr>
          <w:color w:val="000000"/>
          <w:szCs w:val="26"/>
        </w:rPr>
        <w:t>b</w:t>
      </w:r>
      <w:r w:rsidRPr="00A2413E" w:rsidR="00437068">
        <w:rPr>
          <w:color w:val="000000"/>
          <w:szCs w:val="26"/>
        </w:rPr>
        <w:t>)</w:t>
      </w:r>
      <w:r w:rsidR="00437068">
        <w:rPr>
          <w:color w:val="000000"/>
          <w:szCs w:val="26"/>
        </w:rPr>
        <w:t>(1), (3)</w:t>
      </w:r>
      <w:r w:rsidR="00085A89">
        <w:rPr>
          <w:color w:val="000000"/>
          <w:szCs w:val="26"/>
        </w:rPr>
        <w:t>,</w:t>
      </w:r>
      <w:r w:rsidR="00437068">
        <w:rPr>
          <w:color w:val="000000"/>
          <w:szCs w:val="26"/>
        </w:rPr>
        <w:t xml:space="preserve"> 10113.72, subd</w:t>
      </w:r>
      <w:r w:rsidR="003A4274">
        <w:rPr>
          <w:color w:val="000000"/>
          <w:szCs w:val="26"/>
        </w:rPr>
        <w:t>.</w:t>
      </w:r>
      <w:r w:rsidR="00437068">
        <w:rPr>
          <w:color w:val="000000"/>
          <w:szCs w:val="26"/>
        </w:rPr>
        <w:t xml:space="preserve"> (c)</w:t>
      </w:r>
      <w:r w:rsidRPr="00A2413E" w:rsidR="00437068">
        <w:rPr>
          <w:color w:val="000000"/>
          <w:szCs w:val="26"/>
        </w:rPr>
        <w:t>.)</w:t>
      </w:r>
      <w:r w:rsidR="00437068">
        <w:rPr>
          <w:color w:val="000000"/>
          <w:szCs w:val="26"/>
        </w:rPr>
        <w:t xml:space="preserve">  </w:t>
      </w:r>
      <w:r w:rsidRPr="00EC2E8E">
        <w:t>Section 10113.71</w:t>
      </w:r>
      <w:r w:rsidRPr="00EC2E8E" w:rsidR="00FE280B">
        <w:t xml:space="preserve">, subdivision </w:t>
      </w:r>
      <w:r w:rsidRPr="00EC2E8E">
        <w:t>(b)(1) states broadly</w:t>
      </w:r>
      <w:r w:rsidRPr="00EC2E8E" w:rsidR="003944BF">
        <w:t xml:space="preserve"> that </w:t>
      </w:r>
      <w:r w:rsidRPr="00EC2E8E" w:rsidR="003944BF">
        <w:rPr>
          <w:szCs w:val="26"/>
          <w:shd w:val="clear" w:color="auto" w:fill="FFFFFF"/>
        </w:rPr>
        <w:t xml:space="preserve">notice of pending lapse and termination “shall not be effective unless mailed by the insurer” to the policy owner, a designee, </w:t>
      </w:r>
      <w:r w:rsidRPr="00D231D9" w:rsidR="003944BF">
        <w:rPr>
          <w:szCs w:val="26"/>
          <w:shd w:val="clear" w:color="auto" w:fill="FFFFFF"/>
        </w:rPr>
        <w:t>and a known assignee “at least 30 days prior to the effective date of termination</w:t>
      </w:r>
      <w:r w:rsidRPr="00D231D9" w:rsidR="00EC2E8E">
        <w:rPr>
          <w:szCs w:val="26"/>
          <w:shd w:val="clear" w:color="auto" w:fill="FFFFFF"/>
        </w:rPr>
        <w:t>.</w:t>
      </w:r>
      <w:r w:rsidRPr="00D231D9" w:rsidR="003944BF">
        <w:rPr>
          <w:szCs w:val="26"/>
          <w:shd w:val="clear" w:color="auto" w:fill="FFFFFF"/>
        </w:rPr>
        <w:t>”</w:t>
      </w:r>
      <w:r w:rsidRPr="00F9115E" w:rsidR="003944BF">
        <w:rPr>
          <w:color w:val="000000"/>
        </w:rPr>
        <w:t xml:space="preserve">  </w:t>
      </w:r>
      <w:r w:rsidRPr="00D231D9" w:rsidR="00EC2E8E">
        <w:rPr>
          <w:szCs w:val="26"/>
          <w:shd w:val="clear" w:color="auto" w:fill="FFFFFF"/>
        </w:rPr>
        <w:t>Section 10113.71, subdivision (b)(3) also sweeps broadly, requiring insurers to provide policy owners and designees with notice “within 30 days after a premium is due and unpaid.”</w:t>
      </w:r>
      <w:r w:rsidRPr="00F9115E" w:rsidR="00EC2E8E">
        <w:rPr>
          <w:color w:val="000000"/>
        </w:rPr>
        <w:t xml:space="preserve"> </w:t>
      </w:r>
      <w:r w:rsidR="0048417A">
        <w:rPr>
          <w:color w:val="000000"/>
          <w:szCs w:val="26"/>
        </w:rPr>
        <w:t xml:space="preserve"> </w:t>
      </w:r>
      <w:r w:rsidRPr="00D231D9" w:rsidR="00EC2E8E">
        <w:rPr>
          <w:szCs w:val="26"/>
          <w:shd w:val="clear" w:color="auto" w:fill="FFFFFF"/>
        </w:rPr>
        <w:t xml:space="preserve">Section </w:t>
      </w:r>
      <w:r w:rsidRPr="00D231D9">
        <w:t>10113.72</w:t>
      </w:r>
      <w:r w:rsidRPr="00D231D9" w:rsidR="00EC2E8E">
        <w:t xml:space="preserve">, subdivision </w:t>
      </w:r>
      <w:r w:rsidRPr="00D231D9">
        <w:t xml:space="preserve">(c) similarly provides that “[n]o </w:t>
      </w:r>
      <w:r w:rsidRPr="000E412A">
        <w:t>individual life insurance policy shall lapse or be terminated for nonpayment of premium unless the insurer” gives the requisite</w:t>
      </w:r>
      <w:r w:rsidRPr="000E412A" w:rsidR="005D4B58">
        <w:t xml:space="preserve"> </w:t>
      </w:r>
      <w:r w:rsidRPr="006605C4" w:rsidR="005D4B58">
        <w:t>30-day-minimum</w:t>
      </w:r>
      <w:r w:rsidRPr="006605C4">
        <w:t xml:space="preserve"> notice</w:t>
      </w:r>
      <w:r w:rsidRPr="006605C4" w:rsidR="005D4B58">
        <w:t xml:space="preserve">, and that </w:t>
      </w:r>
      <w:r w:rsidRPr="006605C4" w:rsidR="00391D36">
        <w:t>“[n]otice shall be given</w:t>
      </w:r>
      <w:r w:rsidRPr="006605C4">
        <w:t xml:space="preserve"> </w:t>
      </w:r>
      <w:r w:rsidRPr="006605C4" w:rsidR="00D231D9">
        <w:t>. . . within 30 days after a premium is due and unpaid.”</w:t>
      </w:r>
    </w:p>
    <w:p w:rsidR="00AE0871" w:rsidRPr="005A27BA" w:rsidP="00670308" w14:paraId="606EA847" w14:textId="3C0E5238">
      <w:pPr>
        <w:ind w:firstLine="720"/>
      </w:pPr>
      <w:r w:rsidRPr="00C46004">
        <w:t xml:space="preserve">As Protective Life observes, however, the notice provisions </w:t>
      </w:r>
      <w:r w:rsidRPr="00C46004" w:rsidR="00D325A4">
        <w:t>do include references to the designee for notice under section 10113.72</w:t>
      </w:r>
      <w:r w:rsidRPr="00C46004" w:rsidR="00D106FD">
        <w:t xml:space="preserve">, which </w:t>
      </w:r>
      <w:r w:rsidRPr="00C46004" w:rsidR="00D325A4">
        <w:t xml:space="preserve">suggests the two sets of provisions </w:t>
      </w:r>
      <w:r w:rsidRPr="00C46004" w:rsidR="006605C4">
        <w:t>are</w:t>
      </w:r>
      <w:r w:rsidRPr="00C46004" w:rsidR="00D325A4">
        <w:t xml:space="preserve"> meant to work together.  </w:t>
      </w:r>
      <w:r w:rsidRPr="00C46004">
        <w:t>That introduces some ambiguity</w:t>
      </w:r>
      <w:r w:rsidRPr="00C46004" w:rsidR="00C15292">
        <w:t xml:space="preserve"> </w:t>
      </w:r>
      <w:r w:rsidRPr="00C46004" w:rsidR="00D106FD">
        <w:t xml:space="preserve">into our </w:t>
      </w:r>
      <w:r w:rsidRPr="00001076" w:rsidR="00D106FD">
        <w:t>read</w:t>
      </w:r>
      <w:r w:rsidRPr="00001076" w:rsidR="00B65E44">
        <w:t>ing</w:t>
      </w:r>
      <w:r w:rsidRPr="00C46004" w:rsidR="00D106FD">
        <w:t xml:space="preserve"> of the notice provisions </w:t>
      </w:r>
      <w:r w:rsidRPr="00C46004" w:rsidR="00C15292">
        <w:t>insofar as</w:t>
      </w:r>
      <w:r w:rsidRPr="00C46004" w:rsidR="00D106FD">
        <w:t xml:space="preserve"> the designee provisions can</w:t>
      </w:r>
      <w:r w:rsidR="008078D4">
        <w:t xml:space="preserve"> </w:t>
      </w:r>
      <w:r w:rsidRPr="00C46004" w:rsidR="00D106FD">
        <w:t xml:space="preserve">be considered ambiguous.  </w:t>
      </w:r>
      <w:r w:rsidRPr="00C46004">
        <w:t xml:space="preserve">If </w:t>
      </w:r>
      <w:r w:rsidR="00A54105">
        <w:t xml:space="preserve">all of </w:t>
      </w:r>
      <w:r w:rsidRPr="00C46004">
        <w:t xml:space="preserve">section 10113.72 </w:t>
      </w:r>
      <w:r w:rsidRPr="00001076" w:rsidR="00A54105">
        <w:t>w</w:t>
      </w:r>
      <w:r w:rsidRPr="00001076" w:rsidR="00B65E44">
        <w:t>ere</w:t>
      </w:r>
      <w:r w:rsidRPr="00C46004">
        <w:t xml:space="preserve"> read to apply only to new contracts, that would be some indication that </w:t>
      </w:r>
      <w:r w:rsidRPr="00C46004" w:rsidR="00D106FD">
        <w:t>the notice provisions</w:t>
      </w:r>
      <w:r w:rsidRPr="00C46004">
        <w:t xml:space="preserve"> apply only to new contracts as well.  But if</w:t>
      </w:r>
      <w:r w:rsidR="006205BC">
        <w:t xml:space="preserve"> </w:t>
      </w:r>
      <w:r w:rsidRPr="00C46004" w:rsidR="000C038E">
        <w:t xml:space="preserve">the more likely reading is that </w:t>
      </w:r>
      <w:r w:rsidRPr="00C46004">
        <w:t>designations can also be made under existing contracts under section 10113.72</w:t>
      </w:r>
      <w:r w:rsidRPr="00C46004" w:rsidR="000C038E">
        <w:t xml:space="preserve">, subdivision (b), </w:t>
      </w:r>
      <w:r w:rsidRPr="00C46004">
        <w:t xml:space="preserve">then </w:t>
      </w:r>
      <w:r w:rsidRPr="00C46004" w:rsidR="008F5423">
        <w:t xml:space="preserve">we have </w:t>
      </w:r>
      <w:r w:rsidR="00680BB9">
        <w:t>little</w:t>
      </w:r>
      <w:r w:rsidRPr="00C46004">
        <w:t xml:space="preserve"> reason to think that the notice provisions would </w:t>
      </w:r>
      <w:r w:rsidR="007D2947">
        <w:t xml:space="preserve">be restricted to new </w:t>
      </w:r>
      <w:r w:rsidRPr="00C46004">
        <w:t>contracts.  (</w:t>
      </w:r>
      <w:r w:rsidR="00A55E61">
        <w:t xml:space="preserve">We say little reason, rather than no reason, </w:t>
      </w:r>
      <w:r w:rsidRPr="005A27BA" w:rsidR="00A55E61">
        <w:t>because section 10113.72, subdivision (c)’s specific cross</w:t>
      </w:r>
      <w:r w:rsidRPr="00001076" w:rsidR="00B65E44">
        <w:t>-</w:t>
      </w:r>
      <w:r w:rsidRPr="005A27BA" w:rsidR="00A55E61">
        <w:t>reference to subdivision (a) of the same s</w:t>
      </w:r>
      <w:r w:rsidR="00A27303">
        <w:t>ection</w:t>
      </w:r>
      <w:r w:rsidRPr="005A27BA" w:rsidR="00A55E61">
        <w:t>, and the absence of such a specific cross</w:t>
      </w:r>
      <w:r w:rsidRPr="00001076" w:rsidR="00B65E44">
        <w:t>-</w:t>
      </w:r>
      <w:r w:rsidRPr="005A27BA" w:rsidR="00A55E61">
        <w:t xml:space="preserve">reference in section 10113.71, subdivision (b), does </w:t>
      </w:r>
      <w:r w:rsidRPr="005A27BA" w:rsidR="00414D0A">
        <w:t>slightly muddy the waters.)</w:t>
      </w:r>
      <w:r w:rsidRPr="005A27BA" w:rsidR="00670308">
        <w:t xml:space="preserve">  </w:t>
      </w:r>
      <w:r w:rsidRPr="005A27BA">
        <w:t>In any event, if no notice recipient has yet been designated for a policy</w:t>
      </w:r>
      <w:r w:rsidR="00235B79">
        <w:t xml:space="preserve"> — </w:t>
      </w:r>
      <w:r w:rsidRPr="005A27BA">
        <w:t>which could, of course, happen even in the case of a new policy</w:t>
      </w:r>
      <w:r w:rsidR="00235B79">
        <w:t xml:space="preserve"> — </w:t>
      </w:r>
      <w:r w:rsidRPr="005A27BA">
        <w:t>then the provisions requiring notice to the designee are simply ineffective.</w:t>
      </w:r>
    </w:p>
    <w:p w:rsidR="000649DF" w:rsidP="00F3186B" w14:paraId="28326CBB" w14:textId="60A110BA">
      <w:pPr>
        <w:ind w:firstLine="720"/>
      </w:pPr>
      <w:r w:rsidRPr="007070B3">
        <w:t xml:space="preserve">Finally, </w:t>
      </w:r>
      <w:r w:rsidRPr="007070B3" w:rsidR="00AA6727">
        <w:t>section 10113.71, subdivision (a)</w:t>
      </w:r>
      <w:r w:rsidR="00FB7A0E">
        <w:t xml:space="preserve"> addresses</w:t>
      </w:r>
      <w:r w:rsidRPr="007070B3" w:rsidR="00AA6727">
        <w:t xml:space="preserve"> the grace period provision</w:t>
      </w:r>
      <w:r w:rsidR="00FB7A0E">
        <w:t xml:space="preserve">.  Here too, we find support in its language for </w:t>
      </w:r>
      <w:r w:rsidRPr="007070B3" w:rsidR="00F04FFF">
        <w:t xml:space="preserve">both parties’ </w:t>
      </w:r>
      <w:r w:rsidR="00FB7A0E">
        <w:t>arguments</w:t>
      </w:r>
      <w:r w:rsidRPr="007070B3" w:rsidR="00F04FFF">
        <w:t xml:space="preserve">.  </w:t>
      </w:r>
    </w:p>
    <w:p w:rsidR="00121547" w:rsidRPr="008608C4" w:rsidP="00121547" w14:paraId="3569A407" w14:textId="170E84BE">
      <w:pPr>
        <w:ind w:firstLine="720"/>
      </w:pPr>
      <w:r w:rsidRPr="008D1C5F">
        <w:t xml:space="preserve">Protective Life </w:t>
      </w:r>
      <w:r w:rsidR="005E2E11">
        <w:t>identifies</w:t>
      </w:r>
      <w:r w:rsidRPr="008608C4" w:rsidR="0037368A">
        <w:t xml:space="preserve"> language </w:t>
      </w:r>
      <w:r w:rsidR="0037368A">
        <w:t xml:space="preserve">in </w:t>
      </w:r>
      <w:r w:rsidRPr="00001076" w:rsidR="003A7F12">
        <w:t xml:space="preserve">section </w:t>
      </w:r>
      <w:r w:rsidRPr="00001076" w:rsidR="00B65E44">
        <w:t>10113.71,</w:t>
      </w:r>
      <w:r w:rsidR="0037368A">
        <w:t xml:space="preserve"> </w:t>
      </w:r>
      <w:r w:rsidRPr="008608C4" w:rsidR="0037368A">
        <w:t xml:space="preserve">subdivision </w:t>
      </w:r>
      <w:r w:rsidRPr="00001076" w:rsidR="00B65E44">
        <w:t xml:space="preserve">(a) </w:t>
      </w:r>
      <w:r w:rsidR="0037368A">
        <w:t>that appears future-oriented</w:t>
      </w:r>
      <w:r>
        <w:rPr>
          <w:color w:val="000000"/>
          <w:szCs w:val="27"/>
          <w:shd w:val="clear" w:color="auto" w:fill="FFFFFF"/>
        </w:rPr>
        <w:t>:</w:t>
      </w:r>
      <w:r w:rsidRPr="00001076">
        <w:rPr>
          <w:color w:val="000000"/>
          <w:szCs w:val="27"/>
          <w:shd w:val="clear" w:color="auto" w:fill="FFFFFF"/>
        </w:rPr>
        <w:t xml:space="preserve"> </w:t>
      </w:r>
      <w:r>
        <w:rPr>
          <w:color w:val="000000"/>
          <w:szCs w:val="27"/>
          <w:shd w:val="clear" w:color="auto" w:fill="FFFFFF"/>
        </w:rPr>
        <w:t xml:space="preserve"> </w:t>
      </w:r>
      <w:r>
        <w:t>T</w:t>
      </w:r>
      <w:r w:rsidRPr="008D1C5F">
        <w:t xml:space="preserve">he phrases “shall contain” (each policy “shall contain a provision for a grace period”) and “shall provide” (“The provision shall provide that the policy shall remain in force during the grace period”) </w:t>
      </w:r>
      <w:r w:rsidRPr="00001076" w:rsidR="00B65E44">
        <w:t xml:space="preserve">in subdivision (a) </w:t>
      </w:r>
      <w:r w:rsidRPr="008D1C5F">
        <w:t xml:space="preserve">suggest reference to </w:t>
      </w:r>
      <w:r w:rsidR="009A4209">
        <w:t xml:space="preserve">a requirement for </w:t>
      </w:r>
      <w:r w:rsidRPr="008D1C5F">
        <w:t>policies yet to be issued.</w:t>
      </w:r>
      <w:r w:rsidR="00975ECE">
        <w:t xml:space="preserve">  (</w:t>
      </w:r>
      <w:r>
        <w:t xml:space="preserve">See </w:t>
      </w:r>
      <w:r w:rsidRPr="00121547">
        <w:rPr>
          <w:i/>
          <w:iCs/>
        </w:rPr>
        <w:t xml:space="preserve">People v. Allied Architects’ </w:t>
      </w:r>
      <w:r w:rsidRPr="00001076">
        <w:rPr>
          <w:i/>
          <w:iCs/>
        </w:rPr>
        <w:t>Assn</w:t>
      </w:r>
      <w:r w:rsidRPr="00001076" w:rsidR="009422F3">
        <w:rPr>
          <w:i/>
          <w:iCs/>
        </w:rPr>
        <w:t>.</w:t>
      </w:r>
      <w:r>
        <w:t xml:space="preserve"> (1927) 201 Cal.</w:t>
      </w:r>
      <w:r w:rsidR="008608C4">
        <w:t xml:space="preserve"> </w:t>
      </w:r>
      <w:r>
        <w:t>428, 437.)</w:t>
      </w:r>
    </w:p>
    <w:p w:rsidR="00DB0CAC" w:rsidRPr="009227C3" w:rsidP="009227C3" w14:paraId="56CBCB22" w14:textId="65FA8333">
      <w:pPr>
        <w:ind w:firstLine="720"/>
        <w:rPr>
          <w:szCs w:val="26"/>
        </w:rPr>
      </w:pPr>
      <w:r w:rsidRPr="007070B3">
        <w:t xml:space="preserve">Plaintiffs </w:t>
      </w:r>
      <w:r w:rsidR="009A03FF">
        <w:t xml:space="preserve">reasonably </w:t>
      </w:r>
      <w:r w:rsidR="007468A5">
        <w:t>respond, however</w:t>
      </w:r>
      <w:r w:rsidR="00975ECE">
        <w:t>,</w:t>
      </w:r>
      <w:r w:rsidR="007468A5">
        <w:t xml:space="preserve"> that </w:t>
      </w:r>
      <w:r w:rsidR="00975ECE">
        <w:t>“</w:t>
      </w:r>
      <w:r w:rsidR="007468A5">
        <w:t>shall</w:t>
      </w:r>
      <w:r w:rsidR="00975ECE">
        <w:t>”</w:t>
      </w:r>
      <w:r w:rsidR="007468A5">
        <w:t xml:space="preserve"> </w:t>
      </w:r>
      <w:r w:rsidR="003223B1">
        <w:t xml:space="preserve">in </w:t>
      </w:r>
      <w:r w:rsidRPr="00001076" w:rsidR="003A7F12">
        <w:t xml:space="preserve">10113.71, </w:t>
      </w:r>
      <w:r w:rsidR="003223B1">
        <w:t xml:space="preserve"> subdivision</w:t>
      </w:r>
      <w:r w:rsidRPr="00001076" w:rsidR="003223B1">
        <w:t xml:space="preserve"> </w:t>
      </w:r>
      <w:r w:rsidRPr="00001076" w:rsidR="003A7F12">
        <w:t>(a)</w:t>
      </w:r>
      <w:r w:rsidR="003223B1">
        <w:t xml:space="preserve"> </w:t>
      </w:r>
      <w:r w:rsidR="00B37AF6">
        <w:t>represents a</w:t>
      </w:r>
      <w:r w:rsidR="007468A5">
        <w:t xml:space="preserve"> mandatory directive</w:t>
      </w:r>
      <w:r w:rsidR="009A130C">
        <w:t xml:space="preserve"> for </w:t>
      </w:r>
      <w:r w:rsidRPr="00184FE2" w:rsidR="009A130C">
        <w:rPr>
          <w:i/>
          <w:iCs/>
        </w:rPr>
        <w:t>all</w:t>
      </w:r>
      <w:r w:rsidR="009A130C">
        <w:t xml:space="preserve"> policies</w:t>
      </w:r>
      <w:r w:rsidR="007468A5">
        <w:t xml:space="preserve"> (</w:t>
      </w:r>
      <w:r w:rsidR="002E742B">
        <w:t>i.e., each policy</w:t>
      </w:r>
      <w:r w:rsidR="00893129">
        <w:t xml:space="preserve"> must</w:t>
      </w:r>
      <w:r w:rsidR="002E742B">
        <w:t xml:space="preserve"> be read to contain a grace period</w:t>
      </w:r>
      <w:r w:rsidR="00893129">
        <w:t xml:space="preserve">), rather </w:t>
      </w:r>
      <w:r w:rsidRPr="00B37AF6" w:rsidR="00893129">
        <w:rPr>
          <w:szCs w:val="27"/>
        </w:rPr>
        <w:t>than a temporal limitation</w:t>
      </w:r>
      <w:r w:rsidRPr="00B37AF6" w:rsidR="00184FE2">
        <w:rPr>
          <w:szCs w:val="27"/>
        </w:rPr>
        <w:t xml:space="preserve"> on the policies to which the </w:t>
      </w:r>
      <w:r w:rsidRPr="00B37AF6" w:rsidR="00D55044">
        <w:rPr>
          <w:szCs w:val="27"/>
        </w:rPr>
        <w:t>grace period applies</w:t>
      </w:r>
      <w:r w:rsidRPr="00B37AF6" w:rsidR="00893129">
        <w:rPr>
          <w:szCs w:val="27"/>
        </w:rPr>
        <w:t>.</w:t>
      </w:r>
      <w:r w:rsidRPr="00B37AF6" w:rsidR="007468A5">
        <w:rPr>
          <w:szCs w:val="27"/>
        </w:rPr>
        <w:t xml:space="preserve"> </w:t>
      </w:r>
      <w:r w:rsidRPr="00B37AF6" w:rsidR="00893129">
        <w:rPr>
          <w:szCs w:val="27"/>
        </w:rPr>
        <w:t xml:space="preserve"> </w:t>
      </w:r>
      <w:r w:rsidRPr="00B37AF6" w:rsidR="00392529">
        <w:rPr>
          <w:szCs w:val="27"/>
        </w:rPr>
        <w:t>(</w:t>
      </w:r>
      <w:r w:rsidRPr="00B37AF6" w:rsidR="00392529">
        <w:rPr>
          <w:i/>
          <w:iCs/>
          <w:szCs w:val="27"/>
        </w:rPr>
        <w:t>Evangelatos</w:t>
      </w:r>
      <w:r w:rsidRPr="00001076" w:rsidR="003F6A44">
        <w:rPr>
          <w:i/>
          <w:iCs/>
          <w:szCs w:val="27"/>
        </w:rPr>
        <w:t xml:space="preserve"> </w:t>
      </w:r>
      <w:r w:rsidRPr="00001076" w:rsidR="003F6A44">
        <w:rPr>
          <w:i/>
          <w:iCs/>
        </w:rPr>
        <w:t>v. Superior Court</w:t>
      </w:r>
      <w:r w:rsidRPr="00B37AF6" w:rsidR="00392529">
        <w:rPr>
          <w:szCs w:val="27"/>
        </w:rPr>
        <w:t xml:space="preserve">, </w:t>
      </w:r>
      <w:r w:rsidRPr="00B37AF6" w:rsidR="00392529">
        <w:rPr>
          <w:i/>
          <w:iCs/>
          <w:szCs w:val="27"/>
        </w:rPr>
        <w:t>supra</w:t>
      </w:r>
      <w:r w:rsidRPr="00B37AF6" w:rsidR="00392529">
        <w:rPr>
          <w:szCs w:val="27"/>
        </w:rPr>
        <w:t>, 44 Cal.3d at p. 1209, fn. 3</w:t>
      </w:r>
      <w:r w:rsidRPr="00B37AF6" w:rsidR="00B37AF6">
        <w:rPr>
          <w:szCs w:val="27"/>
        </w:rPr>
        <w:t xml:space="preserve">; see </w:t>
      </w:r>
      <w:r w:rsidRPr="00B37AF6" w:rsidR="00B37AF6">
        <w:rPr>
          <w:i/>
          <w:iCs/>
          <w:szCs w:val="27"/>
        </w:rPr>
        <w:t>People v. Ledesma</w:t>
      </w:r>
      <w:r w:rsidRPr="00B37AF6" w:rsidR="00B37AF6">
        <w:rPr>
          <w:szCs w:val="27"/>
        </w:rPr>
        <w:t xml:space="preserve"> (1997) 16 Cal.4th 90, 95 [“</w:t>
      </w:r>
      <w:r w:rsidR="00580417">
        <w:rPr>
          <w:szCs w:val="27"/>
        </w:rPr>
        <w:t> </w:t>
      </w:r>
      <w:r w:rsidRPr="00B37AF6" w:rsidR="00B37AF6">
        <w:rPr>
          <w:szCs w:val="27"/>
        </w:rPr>
        <w:t>‘</w:t>
      </w:r>
      <w:r w:rsidRPr="00001076" w:rsidR="00DE60AA">
        <w:rPr>
          <w:color w:val="000000"/>
          <w:szCs w:val="27"/>
          <w:shd w:val="clear" w:color="auto" w:fill="FFFFFF"/>
        </w:rPr>
        <w:t>shall</w:t>
      </w:r>
      <w:r w:rsidRPr="00001076" w:rsidR="003A7F12">
        <w:rPr>
          <w:color w:val="000000"/>
          <w:szCs w:val="27"/>
          <w:shd w:val="clear" w:color="auto" w:fill="FFFFFF"/>
        </w:rPr>
        <w:t>’ </w:t>
      </w:r>
      <w:r w:rsidRPr="00DE60AA" w:rsidR="00DE60AA">
        <w:rPr>
          <w:color w:val="000000"/>
          <w:szCs w:val="27"/>
          <w:shd w:val="clear" w:color="auto" w:fill="FFFFFF"/>
        </w:rPr>
        <w:t>” can be construed as either mandatory or directory as well as denote future operation]</w:t>
      </w:r>
      <w:r>
        <w:t>.)</w:t>
      </w:r>
      <w:r w:rsidR="005E2E11">
        <w:rPr>
          <w:color w:val="000000"/>
          <w:szCs w:val="27"/>
          <w:shd w:val="clear" w:color="auto" w:fill="FFFFFF"/>
        </w:rPr>
        <w:t xml:space="preserve">  Moreover, they persuasively </w:t>
      </w:r>
      <w:r w:rsidR="00C974FF">
        <w:rPr>
          <w:color w:val="000000"/>
          <w:szCs w:val="27"/>
          <w:shd w:val="clear" w:color="auto" w:fill="FFFFFF"/>
        </w:rPr>
        <w:t xml:space="preserve">analyze </w:t>
      </w:r>
      <w:r w:rsidRPr="00980F47">
        <w:t>the past participle “issued or deli</w:t>
      </w:r>
      <w:r w:rsidRPr="008D1C5F">
        <w:t>vered</w:t>
      </w:r>
      <w:r w:rsidR="00C974FF">
        <w:t>.</w:t>
      </w:r>
      <w:r w:rsidRPr="008D1C5F">
        <w:t xml:space="preserve">” </w:t>
      </w:r>
      <w:r w:rsidR="00D117FA">
        <w:t xml:space="preserve"> </w:t>
      </w:r>
      <w:r w:rsidR="00C974FF">
        <w:t>As used</w:t>
      </w:r>
      <w:r w:rsidRPr="008D1C5F">
        <w:t xml:space="preserve"> here in the phrase “[e]ach life insurance policy issued or delivered in this state,” </w:t>
      </w:r>
      <w:r w:rsidR="00C974FF">
        <w:t>the reference to what’s “issued or delivered” can</w:t>
      </w:r>
      <w:r w:rsidRPr="008D1C5F">
        <w:t xml:space="preserve"> </w:t>
      </w:r>
      <w:r w:rsidR="00CD65C5">
        <w:t xml:space="preserve">simultaneously </w:t>
      </w:r>
      <w:r w:rsidRPr="008D1C5F">
        <w:t xml:space="preserve">refer to past as well as </w:t>
      </w:r>
      <w:r w:rsidRPr="00B77A26">
        <w:t xml:space="preserve">future events.  </w:t>
      </w:r>
      <w:r w:rsidRPr="00B77A26" w:rsidR="00071F4A">
        <w:rPr>
          <w:szCs w:val="26"/>
        </w:rPr>
        <w:t>(</w:t>
      </w:r>
      <w:r w:rsidRPr="00B77A26" w:rsidR="006A6D0F">
        <w:rPr>
          <w:szCs w:val="26"/>
        </w:rPr>
        <w:t xml:space="preserve">See </w:t>
      </w:r>
      <w:r w:rsidRPr="00B77A26" w:rsidR="00071F4A">
        <w:rPr>
          <w:i/>
          <w:iCs/>
          <w:szCs w:val="26"/>
        </w:rPr>
        <w:t>Bernal v. NRA Grp. LLC</w:t>
      </w:r>
      <w:r w:rsidRPr="00B77A26" w:rsidR="00071F4A">
        <w:rPr>
          <w:szCs w:val="26"/>
        </w:rPr>
        <w:t xml:space="preserve"> (7th Cir. 2019) 930 F.3d 891, 895</w:t>
      </w:r>
      <w:r w:rsidRPr="00B77A26" w:rsidR="00434F2B">
        <w:rPr>
          <w:szCs w:val="26"/>
        </w:rPr>
        <w:t>.)</w:t>
      </w:r>
      <w:r>
        <w:rPr>
          <w:rStyle w:val="FootnoteReference"/>
          <w:szCs w:val="26"/>
        </w:rPr>
        <w:footnoteReference w:id="10"/>
      </w:r>
      <w:r w:rsidRPr="00B77A26" w:rsidR="00434F2B">
        <w:rPr>
          <w:szCs w:val="26"/>
        </w:rPr>
        <w:t xml:space="preserve">  </w:t>
      </w:r>
      <w:r w:rsidR="007B11C9">
        <w:rPr>
          <w:szCs w:val="26"/>
        </w:rPr>
        <w:t xml:space="preserve"> </w:t>
      </w:r>
    </w:p>
    <w:p w:rsidR="007B7203" w:rsidRPr="008608C4" w:rsidP="00482A1B" w14:paraId="0B244CDA" w14:textId="7A20F9E3">
      <w:pPr>
        <w:ind w:firstLine="720"/>
        <w:rPr>
          <w:color w:val="000000"/>
          <w:shd w:val="clear" w:color="auto" w:fill="FFFFFF"/>
        </w:rPr>
      </w:pPr>
      <w:r w:rsidRPr="00DB5DC9">
        <w:t>Considering section 10113.71</w:t>
      </w:r>
      <w:r w:rsidRPr="00DB5DC9" w:rsidR="00AD6886">
        <w:t>, subdivision (a)</w:t>
      </w:r>
      <w:r w:rsidRPr="00DB5DC9">
        <w:t xml:space="preserve"> in context </w:t>
      </w:r>
      <w:r w:rsidR="00326C14">
        <w:t>supports plaintiffs’ interpretation</w:t>
      </w:r>
      <w:r w:rsidRPr="00DB5DC9">
        <w:t xml:space="preserve">.  </w:t>
      </w:r>
      <w:r w:rsidR="00F7595D">
        <w:t xml:space="preserve">(See </w:t>
      </w:r>
      <w:bookmarkStart w:id="33" w:name="_Hlk77336700"/>
      <w:r w:rsidRPr="009E1176" w:rsidR="00F7595D">
        <w:rPr>
          <w:i/>
          <w:iCs/>
          <w:color w:val="000000"/>
          <w:szCs w:val="26"/>
          <w:shd w:val="clear" w:color="auto" w:fill="FFFFFF"/>
        </w:rPr>
        <w:t>People v. Garcia</w:t>
      </w:r>
      <w:r w:rsidR="00F7595D">
        <w:rPr>
          <w:color w:val="000000"/>
          <w:szCs w:val="26"/>
          <w:shd w:val="clear" w:color="auto" w:fill="FFFFFF"/>
        </w:rPr>
        <w:t xml:space="preserve"> (2017) 2 Cal.5th 792, 805</w:t>
      </w:r>
      <w:r w:rsidR="00E27A97">
        <w:rPr>
          <w:color w:val="000000"/>
          <w:szCs w:val="26"/>
          <w:shd w:val="clear" w:color="auto" w:fill="FFFFFF"/>
        </w:rPr>
        <w:t xml:space="preserve"> (</w:t>
      </w:r>
      <w:r w:rsidRPr="00E27A97" w:rsidR="00E27A97">
        <w:rPr>
          <w:i/>
          <w:iCs/>
          <w:color w:val="000000"/>
          <w:szCs w:val="26"/>
          <w:shd w:val="clear" w:color="auto" w:fill="FFFFFF"/>
        </w:rPr>
        <w:t>Garcia</w:t>
      </w:r>
      <w:r w:rsidR="00E27A97">
        <w:rPr>
          <w:color w:val="000000"/>
          <w:szCs w:val="26"/>
          <w:shd w:val="clear" w:color="auto" w:fill="FFFFFF"/>
        </w:rPr>
        <w:t>)</w:t>
      </w:r>
      <w:bookmarkEnd w:id="33"/>
      <w:r w:rsidR="00F7595D">
        <w:t>.)</w:t>
      </w:r>
      <w:r w:rsidR="00297459">
        <w:rPr>
          <w:color w:val="000000"/>
          <w:szCs w:val="26"/>
          <w:shd w:val="clear" w:color="auto" w:fill="FFFFFF"/>
        </w:rPr>
        <w:t xml:space="preserve">  </w:t>
      </w:r>
      <w:r w:rsidR="009A3B44">
        <w:t>A</w:t>
      </w:r>
      <w:r w:rsidRPr="00150589" w:rsidR="000554ED">
        <w:t xml:space="preserve">s Protective Life </w:t>
      </w:r>
      <w:r w:rsidR="000554ED">
        <w:t xml:space="preserve">itself </w:t>
      </w:r>
      <w:r w:rsidR="009A3B44">
        <w:t>observes</w:t>
      </w:r>
      <w:r w:rsidR="000554ED">
        <w:t>,</w:t>
      </w:r>
      <w:r w:rsidRPr="00150589" w:rsidR="00F15044">
        <w:t xml:space="preserve"> the grace period </w:t>
      </w:r>
      <w:r w:rsidRPr="00150589" w:rsidR="0007432C">
        <w:t>provision</w:t>
      </w:r>
      <w:r w:rsidR="004415D2">
        <w:t xml:space="preserve"> has an</w:t>
      </w:r>
      <w:r w:rsidRPr="00150589" w:rsidR="00F15044">
        <w:t xml:space="preserve"> “intertwined” relationship with the notice provisions</w:t>
      </w:r>
      <w:r w:rsidR="00382918">
        <w:t>.</w:t>
      </w:r>
      <w:r w:rsidRPr="00150589" w:rsidR="00F15044">
        <w:t xml:space="preserve">  </w:t>
      </w:r>
      <w:r w:rsidRPr="00150589">
        <w:t>The</w:t>
      </w:r>
      <w:r w:rsidRPr="00150589" w:rsidR="004534F7">
        <w:t xml:space="preserve"> Legislature evidently designed the</w:t>
      </w:r>
      <w:r w:rsidRPr="00150589">
        <w:t xml:space="preserve"> grace period to work in conjunction with the notice provisions, which ensure policy</w:t>
      </w:r>
      <w:r w:rsidRPr="00150589" w:rsidR="003756D6">
        <w:t xml:space="preserve"> owners and their designees</w:t>
      </w:r>
      <w:r w:rsidRPr="00150589">
        <w:t xml:space="preserve"> </w:t>
      </w:r>
      <w:r w:rsidRPr="00150589" w:rsidR="003756D6">
        <w:t xml:space="preserve">receive </w:t>
      </w:r>
      <w:r w:rsidRPr="00150589">
        <w:t>notif</w:t>
      </w:r>
      <w:r w:rsidRPr="00150589" w:rsidR="003756D6">
        <w:t>ication</w:t>
      </w:r>
      <w:r w:rsidRPr="00150589">
        <w:t xml:space="preserve"> of a pending lapse and termination at least 30 days before the 60-day grace period has expired</w:t>
      </w:r>
      <w:r w:rsidR="00382918">
        <w:t>.</w:t>
      </w:r>
      <w:r w:rsidR="004E78B2">
        <w:t xml:space="preserve"> </w:t>
      </w:r>
      <w:r w:rsidR="00382918">
        <w:t xml:space="preserve"> </w:t>
      </w:r>
      <w:bookmarkStart w:id="34" w:name="_Hlk77337912"/>
      <w:r>
        <w:t>(</w:t>
      </w:r>
      <w:bookmarkStart w:id="35" w:name="_Hlk77676456"/>
      <w:r w:rsidR="00382918">
        <w:t>S</w:t>
      </w:r>
      <w:r w:rsidR="007B0348">
        <w:t xml:space="preserve">ee </w:t>
      </w:r>
      <w:r>
        <w:rPr>
          <w:szCs w:val="26"/>
        </w:rPr>
        <w:t>Assem. Com. on Insurance, Background Information Sheet for Assem. Bill No. 1747 (2011–2012 Reg. Sess.) Feb. 27, 2012, p. 2</w:t>
      </w:r>
      <w:r w:rsidR="00382918">
        <w:rPr>
          <w:szCs w:val="26"/>
        </w:rPr>
        <w:t>.</w:t>
      </w:r>
      <w:r w:rsidR="009F65B6">
        <w:rPr>
          <w:szCs w:val="26"/>
        </w:rPr>
        <w:t>)</w:t>
      </w:r>
      <w:r w:rsidR="004E78B2">
        <w:rPr>
          <w:szCs w:val="26"/>
        </w:rPr>
        <w:t xml:space="preserve"> </w:t>
      </w:r>
      <w:r w:rsidR="00CD3C32">
        <w:rPr>
          <w:szCs w:val="26"/>
        </w:rPr>
        <w:t xml:space="preserve"> </w:t>
      </w:r>
      <w:bookmarkEnd w:id="34"/>
      <w:bookmarkEnd w:id="35"/>
      <w:r w:rsidR="00BE586E">
        <w:t>Indeed, it appears intentional that the two 30-day windows</w:t>
      </w:r>
      <w:r w:rsidR="006062F6">
        <w:t xml:space="preserve"> provided </w:t>
      </w:r>
      <w:r w:rsidR="00042D12">
        <w:t xml:space="preserve">by the notice provisions </w:t>
      </w:r>
      <w:r w:rsidR="00BE586E">
        <w:t xml:space="preserve">operate within and </w:t>
      </w:r>
      <w:r w:rsidR="003928EC">
        <w:t xml:space="preserve">can </w:t>
      </w:r>
      <w:r w:rsidR="00BE586E">
        <w:t>add up to the 60-day grace period</w:t>
      </w:r>
      <w:r w:rsidR="00D405B1">
        <w:t xml:space="preserve">:  </w:t>
      </w:r>
      <w:r w:rsidR="00C43075">
        <w:t>T</w:t>
      </w:r>
      <w:r w:rsidR="00042D12">
        <w:t xml:space="preserve">he insurer has </w:t>
      </w:r>
      <w:r w:rsidR="00404C8C">
        <w:t xml:space="preserve">up to </w:t>
      </w:r>
      <w:r w:rsidR="00042D12">
        <w:t>30 days</w:t>
      </w:r>
      <w:r w:rsidR="00404C8C">
        <w:t xml:space="preserve"> after a missed premium payment to give notice (</w:t>
      </w:r>
      <w:r w:rsidRPr="00A2413E" w:rsidR="00AC4A97">
        <w:rPr>
          <w:color w:val="000000"/>
          <w:szCs w:val="26"/>
        </w:rPr>
        <w:t>§§</w:t>
      </w:r>
      <w:r w:rsidR="00AC4A97">
        <w:rPr>
          <w:color w:val="000000"/>
          <w:szCs w:val="26"/>
        </w:rPr>
        <w:t xml:space="preserve"> 10113.71, subd. (b)(3)</w:t>
      </w:r>
      <w:r w:rsidR="00793203">
        <w:rPr>
          <w:color w:val="000000"/>
          <w:szCs w:val="26"/>
        </w:rPr>
        <w:t>,</w:t>
      </w:r>
      <w:r w:rsidR="00AC4A97">
        <w:rPr>
          <w:color w:val="000000"/>
          <w:szCs w:val="26"/>
        </w:rPr>
        <w:t xml:space="preserve"> 10113.72, subd. (c)</w:t>
      </w:r>
      <w:r w:rsidR="00404C8C">
        <w:t>),</w:t>
      </w:r>
      <w:r w:rsidR="008204E9">
        <w:t xml:space="preserve"> and a separate 30 days</w:t>
      </w:r>
      <w:r w:rsidR="003928EC">
        <w:t xml:space="preserve"> that must follow </w:t>
      </w:r>
      <w:r w:rsidR="0076355A">
        <w:t>before a</w:t>
      </w:r>
      <w:r w:rsidR="003928EC">
        <w:t xml:space="preserve"> </w:t>
      </w:r>
      <w:r w:rsidR="0076355A">
        <w:rPr>
          <w:szCs w:val="26"/>
          <w:shd w:val="clear" w:color="auto" w:fill="FFFFFF"/>
        </w:rPr>
        <w:t xml:space="preserve">mailed notice becomes effective to terminate a policy for nonpayment (see </w:t>
      </w:r>
      <w:r w:rsidRPr="00A2413E" w:rsidR="00DF7DF9">
        <w:rPr>
          <w:color w:val="000000"/>
          <w:szCs w:val="26"/>
        </w:rPr>
        <w:t>§§</w:t>
      </w:r>
      <w:r w:rsidR="00DF7DF9">
        <w:rPr>
          <w:color w:val="000000"/>
          <w:szCs w:val="26"/>
        </w:rPr>
        <w:t xml:space="preserve"> 10113.71, subd. (b)(1)</w:t>
      </w:r>
      <w:r w:rsidR="00793203">
        <w:rPr>
          <w:color w:val="000000"/>
          <w:szCs w:val="26"/>
        </w:rPr>
        <w:t>,</w:t>
      </w:r>
      <w:r w:rsidR="00DF7DF9">
        <w:rPr>
          <w:color w:val="000000"/>
          <w:szCs w:val="26"/>
        </w:rPr>
        <w:t xml:space="preserve"> 10113.72, subd. (c))</w:t>
      </w:r>
      <w:r w:rsidR="00D127CF">
        <w:t>.</w:t>
      </w:r>
      <w:r w:rsidR="00D127CF">
        <w:rPr>
          <w:szCs w:val="26"/>
          <w:shd w:val="clear" w:color="auto" w:fill="FFFFFF"/>
        </w:rPr>
        <w:t xml:space="preserve">  </w:t>
      </w:r>
      <w:r w:rsidR="00E87CFE">
        <w:rPr>
          <w:szCs w:val="26"/>
          <w:shd w:val="clear" w:color="auto" w:fill="FFFFFF"/>
        </w:rPr>
        <w:t>Given this relationship</w:t>
      </w:r>
      <w:r w:rsidR="004E78B2">
        <w:rPr>
          <w:szCs w:val="26"/>
          <w:shd w:val="clear" w:color="auto" w:fill="FFFFFF"/>
        </w:rPr>
        <w:t>, it certainly seems sensible that the grace period would, as the notice provisions</w:t>
      </w:r>
      <w:r w:rsidR="003B310E">
        <w:rPr>
          <w:szCs w:val="26"/>
          <w:shd w:val="clear" w:color="auto" w:fill="FFFFFF"/>
        </w:rPr>
        <w:t xml:space="preserve"> appear to do</w:t>
      </w:r>
      <w:r w:rsidR="004E78B2">
        <w:rPr>
          <w:szCs w:val="26"/>
          <w:shd w:val="clear" w:color="auto" w:fill="FFFFFF"/>
        </w:rPr>
        <w:t xml:space="preserve">, apply </w:t>
      </w:r>
      <w:r w:rsidR="003808BE">
        <w:rPr>
          <w:szCs w:val="26"/>
          <w:shd w:val="clear" w:color="auto" w:fill="FFFFFF"/>
        </w:rPr>
        <w:t>universally</w:t>
      </w:r>
      <w:r w:rsidR="004E78B2">
        <w:rPr>
          <w:szCs w:val="26"/>
          <w:shd w:val="clear" w:color="auto" w:fill="FFFFFF"/>
        </w:rPr>
        <w:t>.</w:t>
      </w:r>
    </w:p>
    <w:p w:rsidR="0032163B" w:rsidP="00787AD2" w14:paraId="5CB40F8D" w14:textId="3B9E6178">
      <w:pPr>
        <w:ind w:firstLine="720"/>
      </w:pPr>
      <w:r w:rsidRPr="003E43E2">
        <w:t xml:space="preserve">Admittedly, </w:t>
      </w:r>
      <w:r w:rsidRPr="003E43E2" w:rsidR="00E45E7D">
        <w:t>t</w:t>
      </w:r>
      <w:r w:rsidRPr="003E43E2" w:rsidR="00107982">
        <w:t xml:space="preserve">he notice provisions </w:t>
      </w:r>
      <w:r w:rsidR="00EB1E70">
        <w:t>can</w:t>
      </w:r>
      <w:r w:rsidRPr="003E43E2" w:rsidR="00107982">
        <w:t xml:space="preserve"> perhaps </w:t>
      </w:r>
      <w:r w:rsidRPr="003E43E2" w:rsidR="003167B3">
        <w:t xml:space="preserve">be </w:t>
      </w:r>
      <w:r w:rsidRPr="003E43E2" w:rsidR="00107982">
        <w:t>capable of operating independently of the grace period provision</w:t>
      </w:r>
      <w:r w:rsidR="00235B79">
        <w:t xml:space="preserve"> — </w:t>
      </w:r>
      <w:r w:rsidR="00DB0ADB">
        <w:t>the former applying to all policies, the latter to new policies only.</w:t>
      </w:r>
      <w:r w:rsidR="00787AD2">
        <w:t xml:space="preserve">  </w:t>
      </w:r>
      <w:r w:rsidR="008078D4">
        <w:t>T</w:t>
      </w:r>
      <w:r w:rsidRPr="003E43E2" w:rsidR="00107982">
        <w:t>he notice provisions themselves effectively establish a grace period of 30 to 60 days</w:t>
      </w:r>
      <w:r w:rsidRPr="00D35D62" w:rsidR="00107982">
        <w:t xml:space="preserve">.  </w:t>
      </w:r>
      <w:r w:rsidRPr="00876F07" w:rsidR="00107982">
        <w:t xml:space="preserve">But it seems unlikely that the Legislature </w:t>
      </w:r>
      <w:r w:rsidR="00876F07">
        <w:t>meant for</w:t>
      </w:r>
      <w:r w:rsidRPr="00876F07" w:rsidR="00107982">
        <w:t xml:space="preserve"> the </w:t>
      </w:r>
      <w:r w:rsidRPr="00876F07" w:rsidR="00107982">
        <w:rPr>
          <w:i/>
          <w:iCs/>
        </w:rPr>
        <w:t>notice</w:t>
      </w:r>
      <w:r w:rsidRPr="00876F07" w:rsidR="00107982">
        <w:t xml:space="preserve"> provisions to drive the scope of protections conferred for nonpayment in the class of cases involving existing contracts, particularly since </w:t>
      </w:r>
      <w:r w:rsidR="007C09E8">
        <w:t>it</w:t>
      </w:r>
      <w:r w:rsidRPr="00876F07" w:rsidR="00107982">
        <w:t xml:space="preserve"> did not draw any express distinctions in any of the provisions on the basis of policy issue date. </w:t>
      </w:r>
      <w:r w:rsidRPr="00001076" w:rsidR="00301AE2">
        <w:t xml:space="preserve"> </w:t>
      </w:r>
      <w:r w:rsidRPr="00876F07" w:rsidR="00107982">
        <w:t xml:space="preserve">It seems more reasonable to </w:t>
      </w:r>
      <w:r w:rsidRPr="003B310E" w:rsidR="00107982">
        <w:t xml:space="preserve">construe the statutory provisions </w:t>
      </w:r>
      <w:r w:rsidR="00D35D62">
        <w:t>as a package</w:t>
      </w:r>
      <w:r w:rsidRPr="003B310E" w:rsidR="00107982">
        <w:t xml:space="preserve">, as either </w:t>
      </w:r>
      <w:r w:rsidR="00607C3F">
        <w:t xml:space="preserve">all </w:t>
      </w:r>
      <w:r w:rsidRPr="003B310E" w:rsidR="00107982">
        <w:t>applying to existing contracts or not.</w:t>
      </w:r>
      <w:r w:rsidR="004070B2">
        <w:t xml:space="preserve">  That the provisions work together</w:t>
      </w:r>
      <w:r w:rsidR="00235B79">
        <w:t xml:space="preserve"> — </w:t>
      </w:r>
      <w:r w:rsidR="004070B2">
        <w:t>t</w:t>
      </w:r>
      <w:r w:rsidRPr="003B310E" w:rsidR="004070B2">
        <w:t>he notice provisions require sending notice to</w:t>
      </w:r>
      <w:r w:rsidR="004070B2">
        <w:t xml:space="preserve"> the policy owner and</w:t>
      </w:r>
      <w:r w:rsidRPr="003B310E" w:rsidR="004070B2">
        <w:t xml:space="preserve"> an individual designated under the new designation procedures, within the time frame established by the new grace-period provision</w:t>
      </w:r>
      <w:r w:rsidR="00235B79">
        <w:t xml:space="preserve"> — </w:t>
      </w:r>
      <w:r w:rsidR="004070B2">
        <w:t xml:space="preserve">reinforces </w:t>
      </w:r>
      <w:r w:rsidR="00F84BE1">
        <w:t>our</w:t>
      </w:r>
      <w:r w:rsidR="004070B2">
        <w:t xml:space="preserve"> conclusion.  </w:t>
      </w:r>
    </w:p>
    <w:p w:rsidR="004C5578" w:rsidP="00803DD7" w14:paraId="4C1A39A8" w14:textId="261F4FE7">
      <w:pPr>
        <w:ind w:firstLine="720"/>
      </w:pPr>
      <w:bookmarkStart w:id="36" w:name="_Hlk76408009"/>
      <w:r>
        <w:t xml:space="preserve">In view of </w:t>
      </w:r>
      <w:r w:rsidR="00C974FF">
        <w:t>how these provisions interact</w:t>
      </w:r>
      <w:r w:rsidR="002145B2">
        <w:t xml:space="preserve">, the broadly applicable language found in </w:t>
      </w:r>
      <w:r w:rsidR="001964DB">
        <w:t xml:space="preserve">most of the </w:t>
      </w:r>
      <w:r w:rsidR="00C974FF">
        <w:t xml:space="preserve">relevant </w:t>
      </w:r>
      <w:r w:rsidR="001964DB">
        <w:t xml:space="preserve">statutory </w:t>
      </w:r>
      <w:r w:rsidR="00C974FF">
        <w:t>passages</w:t>
      </w:r>
      <w:r w:rsidR="002145B2">
        <w:t xml:space="preserve"> </w:t>
      </w:r>
      <w:r w:rsidR="00FF35D1">
        <w:t>tends to cut</w:t>
      </w:r>
      <w:r w:rsidR="00CF589A">
        <w:t xml:space="preserve"> in favor of plaintiffs</w:t>
      </w:r>
      <w:r w:rsidR="00D84674">
        <w:t>’</w:t>
      </w:r>
      <w:r w:rsidR="00CF589A">
        <w:t xml:space="preserve"> interpretation. </w:t>
      </w:r>
      <w:bookmarkEnd w:id="36"/>
      <w:r w:rsidR="00CF589A">
        <w:t xml:space="preserve"> </w:t>
      </w:r>
      <w:r w:rsidR="00E23B6B">
        <w:t xml:space="preserve">(Cf. conc. opn., </w:t>
      </w:r>
      <w:r w:rsidRPr="00E23B6B" w:rsidR="00E23B6B">
        <w:rPr>
          <w:i/>
          <w:iCs/>
        </w:rPr>
        <w:t>post</w:t>
      </w:r>
      <w:r w:rsidR="00E23B6B">
        <w:t xml:space="preserve">, at pp. 3–4.)  </w:t>
      </w:r>
      <w:r w:rsidR="00FF35D1">
        <w:t>That said,</w:t>
      </w:r>
      <w:r w:rsidR="006C3B67">
        <w:t xml:space="preserve"> </w:t>
      </w:r>
      <w:r w:rsidR="00022C05">
        <w:t xml:space="preserve">Protective Life does </w:t>
      </w:r>
      <w:r w:rsidR="008D5106">
        <w:t>identify some language cutting in favor of its narrower interpretation</w:t>
      </w:r>
      <w:r w:rsidR="00235B79">
        <w:t xml:space="preserve"> — </w:t>
      </w:r>
      <w:r w:rsidR="00FF35D1">
        <w:t>and the statutory sections at issue stop short of</w:t>
      </w:r>
      <w:r w:rsidR="00B22573">
        <w:t xml:space="preserve"> conclusively establish</w:t>
      </w:r>
      <w:r w:rsidR="00FF35D1">
        <w:t>ing</w:t>
      </w:r>
      <w:r w:rsidR="00B22573">
        <w:t xml:space="preserve"> </w:t>
      </w:r>
      <w:r w:rsidR="00FF35D1">
        <w:t>precisely how the provisions work</w:t>
      </w:r>
      <w:r w:rsidR="00803DD7">
        <w:t xml:space="preserve">.  To resolve any potential ambiguity in the language, we must look </w:t>
      </w:r>
      <w:r w:rsidR="00B82FC1">
        <w:t>to</w:t>
      </w:r>
      <w:r w:rsidR="00803DD7">
        <w:t xml:space="preserve"> other</w:t>
      </w:r>
      <w:r w:rsidR="00B82FC1">
        <w:t xml:space="preserve"> </w:t>
      </w:r>
      <w:r>
        <w:t>sources</w:t>
      </w:r>
      <w:r w:rsidRPr="003B310E" w:rsidR="00107982">
        <w:t xml:space="preserve"> </w:t>
      </w:r>
      <w:r w:rsidRPr="003B310E">
        <w:t>to determine whether, as plaintiffs argue, the provisions</w:t>
      </w:r>
      <w:r w:rsidR="00DB4428">
        <w:t>’</w:t>
      </w:r>
      <w:r w:rsidRPr="003B310E">
        <w:t xml:space="preserve"> </w:t>
      </w:r>
      <w:r w:rsidR="00DB4428">
        <w:t>intended purpose entails</w:t>
      </w:r>
      <w:r w:rsidRPr="003B310E">
        <w:t xml:space="preserve"> apply</w:t>
      </w:r>
      <w:r w:rsidR="00DB4428">
        <w:t>ing them</w:t>
      </w:r>
      <w:r w:rsidRPr="003B310E">
        <w:t xml:space="preserve"> to existing contracts.</w:t>
      </w:r>
      <w:r>
        <w:t xml:space="preserve">  (</w:t>
      </w:r>
      <w:r w:rsidRPr="00A2413E">
        <w:rPr>
          <w:i/>
          <w:iCs/>
          <w:szCs w:val="26"/>
        </w:rPr>
        <w:t>H.W.</w:t>
      </w:r>
      <w:r w:rsidRPr="00A2413E">
        <w:rPr>
          <w:szCs w:val="26"/>
        </w:rPr>
        <w:t xml:space="preserve">, </w:t>
      </w:r>
      <w:r w:rsidRPr="00A2413E">
        <w:rPr>
          <w:i/>
          <w:iCs/>
          <w:szCs w:val="26"/>
        </w:rPr>
        <w:t>supra</w:t>
      </w:r>
      <w:r w:rsidRPr="00A2413E">
        <w:rPr>
          <w:szCs w:val="26"/>
        </w:rPr>
        <w:t>, 6 Cal.5th at p. 1073</w:t>
      </w:r>
      <w:r>
        <w:rPr>
          <w:szCs w:val="26"/>
        </w:rPr>
        <w:t>.)</w:t>
      </w:r>
    </w:p>
    <w:p w:rsidR="005A54C5" w:rsidRPr="005A54C5" w:rsidP="00F9115E" w14:paraId="387BE754" w14:textId="46B52F0A">
      <w:pPr>
        <w:pStyle w:val="Heading3"/>
        <w:keepNext/>
      </w:pPr>
      <w:bookmarkStart w:id="37" w:name="_Hlk62209233"/>
      <w:r>
        <w:t>2</w:t>
      </w:r>
      <w:r w:rsidRPr="005A54C5">
        <w:t>.</w:t>
      </w:r>
    </w:p>
    <w:p w:rsidR="006F382F" w:rsidRPr="00F50298" w:rsidP="00795219" w14:paraId="533F313B" w14:textId="509E43F9">
      <w:pPr>
        <w:ind w:firstLine="720"/>
        <w:rPr>
          <w:szCs w:val="26"/>
          <w:shd w:val="clear" w:color="auto" w:fill="FFFFFF"/>
        </w:rPr>
      </w:pPr>
      <w:r w:rsidRPr="00A2413E">
        <w:rPr>
          <w:szCs w:val="26"/>
          <w:shd w:val="clear" w:color="auto" w:fill="FFFFFF"/>
        </w:rPr>
        <w:t>Other indicia of purpose</w:t>
      </w:r>
      <w:r w:rsidRPr="00A2413E" w:rsidR="00713F4E">
        <w:rPr>
          <w:szCs w:val="26"/>
          <w:shd w:val="clear" w:color="auto" w:fill="FFFFFF"/>
        </w:rPr>
        <w:t>,</w:t>
      </w:r>
      <w:r w:rsidRPr="00A2413E">
        <w:rPr>
          <w:szCs w:val="26"/>
          <w:shd w:val="clear" w:color="auto" w:fill="FFFFFF"/>
        </w:rPr>
        <w:t xml:space="preserve"> gleaned from context</w:t>
      </w:r>
      <w:r w:rsidRPr="00A2413E" w:rsidR="00713F4E">
        <w:rPr>
          <w:szCs w:val="26"/>
          <w:shd w:val="clear" w:color="auto" w:fill="FFFFFF"/>
        </w:rPr>
        <w:t>,</w:t>
      </w:r>
      <w:r w:rsidRPr="00A2413E">
        <w:rPr>
          <w:szCs w:val="26"/>
          <w:shd w:val="clear" w:color="auto" w:fill="FFFFFF"/>
        </w:rPr>
        <w:t xml:space="preserve"> </w:t>
      </w:r>
      <w:r w:rsidR="00D10F43">
        <w:rPr>
          <w:szCs w:val="26"/>
          <w:shd w:val="clear" w:color="auto" w:fill="FFFFFF"/>
        </w:rPr>
        <w:t xml:space="preserve">resolve any </w:t>
      </w:r>
      <w:r w:rsidR="002D1205">
        <w:rPr>
          <w:szCs w:val="26"/>
          <w:shd w:val="clear" w:color="auto" w:fill="FFFFFF"/>
        </w:rPr>
        <w:t xml:space="preserve">latent </w:t>
      </w:r>
      <w:r w:rsidR="00D10F43">
        <w:rPr>
          <w:szCs w:val="26"/>
          <w:shd w:val="clear" w:color="auto" w:fill="FFFFFF"/>
        </w:rPr>
        <w:t>ambiguity in the</w:t>
      </w:r>
      <w:r w:rsidRPr="00A2413E">
        <w:rPr>
          <w:szCs w:val="26"/>
          <w:shd w:val="clear" w:color="auto" w:fill="FFFFFF"/>
        </w:rPr>
        <w:t xml:space="preserve"> </w:t>
      </w:r>
      <w:r w:rsidR="00D10F43">
        <w:rPr>
          <w:szCs w:val="26"/>
          <w:shd w:val="clear" w:color="auto" w:fill="FFFFFF"/>
        </w:rPr>
        <w:t xml:space="preserve">language of sections 10113.71 and 10113.72.  </w:t>
      </w:r>
      <w:r w:rsidR="00B26E4D">
        <w:rPr>
          <w:szCs w:val="26"/>
          <w:shd w:val="clear" w:color="auto" w:fill="FFFFFF"/>
        </w:rPr>
        <w:t>They</w:t>
      </w:r>
      <w:r w:rsidR="00DE0D0B">
        <w:rPr>
          <w:szCs w:val="26"/>
          <w:shd w:val="clear" w:color="auto" w:fill="FFFFFF"/>
        </w:rPr>
        <w:t xml:space="preserve"> </w:t>
      </w:r>
      <w:r w:rsidR="00B26E4D">
        <w:rPr>
          <w:szCs w:val="26"/>
          <w:shd w:val="clear" w:color="auto" w:fill="FFFFFF"/>
        </w:rPr>
        <w:t>indicate</w:t>
      </w:r>
      <w:r w:rsidR="00DE0D0B">
        <w:rPr>
          <w:szCs w:val="26"/>
          <w:shd w:val="clear" w:color="auto" w:fill="FFFFFF"/>
        </w:rPr>
        <w:t xml:space="preserve"> that the sections</w:t>
      </w:r>
      <w:r w:rsidR="006362F4">
        <w:rPr>
          <w:szCs w:val="26"/>
          <w:shd w:val="clear" w:color="auto" w:fill="FFFFFF"/>
        </w:rPr>
        <w:t xml:space="preserve"> apply to all policies in force </w:t>
      </w:r>
      <w:r w:rsidRPr="00F50298" w:rsidR="006362F4">
        <w:rPr>
          <w:szCs w:val="26"/>
          <w:shd w:val="clear" w:color="auto" w:fill="FFFFFF"/>
        </w:rPr>
        <w:t>as of January 1, 2013.</w:t>
      </w:r>
    </w:p>
    <w:p w:rsidR="002E513F" w:rsidRPr="009A7B48" w:rsidP="002123FE" w14:paraId="0F985196" w14:textId="16BE2796">
      <w:pPr>
        <w:ind w:firstLine="720"/>
        <w:rPr>
          <w:szCs w:val="26"/>
          <w:shd w:val="clear" w:color="auto" w:fill="FFFFFF"/>
        </w:rPr>
      </w:pPr>
      <w:r>
        <w:rPr>
          <w:szCs w:val="26"/>
          <w:shd w:val="clear" w:color="auto" w:fill="FFFFFF"/>
        </w:rPr>
        <w:t>To begin with, t</w:t>
      </w:r>
      <w:r>
        <w:rPr>
          <w:szCs w:val="26"/>
          <w:shd w:val="clear" w:color="auto" w:fill="FFFFFF"/>
        </w:rPr>
        <w:t>he statutory sections</w:t>
      </w:r>
      <w:r w:rsidRPr="00F50298" w:rsidR="00B9522E">
        <w:rPr>
          <w:szCs w:val="26"/>
          <w:shd w:val="clear" w:color="auto" w:fill="FFFFFF"/>
        </w:rPr>
        <w:t xml:space="preserve"> </w:t>
      </w:r>
      <w:r w:rsidRPr="00F50298" w:rsidR="00393D0E">
        <w:rPr>
          <w:szCs w:val="26"/>
          <w:shd w:val="clear" w:color="auto" w:fill="FFFFFF"/>
        </w:rPr>
        <w:t xml:space="preserve">appear to </w:t>
      </w:r>
      <w:r w:rsidRPr="00F50298" w:rsidR="00B9522E">
        <w:rPr>
          <w:szCs w:val="26"/>
          <w:shd w:val="clear" w:color="auto" w:fill="FFFFFF"/>
        </w:rPr>
        <w:t xml:space="preserve">create </w:t>
      </w:r>
      <w:r w:rsidRPr="00F50298" w:rsidR="00393D0E">
        <w:rPr>
          <w:szCs w:val="26"/>
          <w:shd w:val="clear" w:color="auto" w:fill="FFFFFF"/>
        </w:rPr>
        <w:t xml:space="preserve">a </w:t>
      </w:r>
      <w:r w:rsidRPr="00F50298" w:rsidR="00B9522E">
        <w:t xml:space="preserve">single, </w:t>
      </w:r>
      <w:r w:rsidRPr="00C27D76" w:rsidR="00B9522E">
        <w:t xml:space="preserve">unified </w:t>
      </w:r>
      <w:r w:rsidRPr="00001076" w:rsidR="00B9522E">
        <w:t>pretermination</w:t>
      </w:r>
      <w:r w:rsidRPr="00C27D76" w:rsidR="00B9522E">
        <w:t xml:space="preserve"> notice scheme</w:t>
      </w:r>
      <w:r w:rsidRPr="00C27D76" w:rsidR="00393D0E">
        <w:t xml:space="preserve">.  </w:t>
      </w:r>
      <w:r w:rsidR="008078D4">
        <w:t>T</w:t>
      </w:r>
      <w:r w:rsidRPr="00C27D76" w:rsidR="00F50298">
        <w:t>his scheme</w:t>
      </w:r>
      <w:r w:rsidRPr="00C27D76" w:rsidR="00527450">
        <w:t xml:space="preserve"> appears to</w:t>
      </w:r>
      <w:r w:rsidRPr="00C27D76" w:rsidR="00F50298">
        <w:t xml:space="preserve"> include three components:  (1) </w:t>
      </w:r>
      <w:r w:rsidRPr="00C27D76" w:rsidR="00527450">
        <w:t>New and existing p</w:t>
      </w:r>
      <w:r w:rsidRPr="00C27D76" w:rsidR="00F50298">
        <w:t xml:space="preserve">olicy owners must </w:t>
      </w:r>
      <w:r w:rsidRPr="00C27D76" w:rsidR="00527450">
        <w:t>have</w:t>
      </w:r>
      <w:r w:rsidRPr="00C27D76" w:rsidR="00F50298">
        <w:t xml:space="preserve"> the opportunity </w:t>
      </w:r>
      <w:r w:rsidRPr="00C27D76" w:rsidR="00F50298">
        <w:rPr>
          <w:szCs w:val="26"/>
          <w:shd w:val="clear" w:color="auto" w:fill="FFFFFF"/>
        </w:rPr>
        <w:t>to designate additional people to receive a notice of termination</w:t>
      </w:r>
      <w:r w:rsidRPr="00C27D76" w:rsidR="00527450">
        <w:rPr>
          <w:szCs w:val="26"/>
          <w:shd w:val="clear" w:color="auto" w:fill="FFFFFF"/>
        </w:rPr>
        <w:t xml:space="preserve"> (§ 10113.72, subds. (a), (b)</w:t>
      </w:r>
      <w:r w:rsidR="009A5B87">
        <w:rPr>
          <w:szCs w:val="26"/>
          <w:shd w:val="clear" w:color="auto" w:fill="FFFFFF"/>
        </w:rPr>
        <w:t>)</w:t>
      </w:r>
      <w:r w:rsidRPr="00C27D76" w:rsidR="00F50298">
        <w:rPr>
          <w:szCs w:val="26"/>
          <w:shd w:val="clear" w:color="auto" w:fill="FFFFFF"/>
        </w:rPr>
        <w:t xml:space="preserve">; (2) </w:t>
      </w:r>
      <w:r w:rsidRPr="00C27D76" w:rsidR="00393D0E">
        <w:t>policy owners and any designees must receive notice within 30 days of a missed premium payment, and any termination for nonpayment will not be effective unless insurers send notice to these parties at least 30 days prior</w:t>
      </w:r>
      <w:r w:rsidRPr="00C27D76" w:rsidR="00527450">
        <w:t xml:space="preserve"> (</w:t>
      </w:r>
      <w:r w:rsidRPr="00C27D76" w:rsidR="00527450">
        <w:rPr>
          <w:szCs w:val="26"/>
          <w:shd w:val="clear" w:color="auto" w:fill="FFFFFF"/>
        </w:rPr>
        <w:t xml:space="preserve">§§ 10113.71, </w:t>
      </w:r>
      <w:r w:rsidRPr="00001076" w:rsidR="00527450">
        <w:rPr>
          <w:szCs w:val="26"/>
          <w:shd w:val="clear" w:color="auto" w:fill="FFFFFF"/>
        </w:rPr>
        <w:t>subd</w:t>
      </w:r>
      <w:r w:rsidRPr="00C27D76" w:rsidR="00527450">
        <w:rPr>
          <w:szCs w:val="26"/>
          <w:shd w:val="clear" w:color="auto" w:fill="FFFFFF"/>
        </w:rPr>
        <w:t>. (b)(1), (</w:t>
      </w:r>
      <w:r w:rsidRPr="002E513F" w:rsidR="00527450">
        <w:rPr>
          <w:szCs w:val="26"/>
          <w:shd w:val="clear" w:color="auto" w:fill="FFFFFF"/>
        </w:rPr>
        <w:t>3)</w:t>
      </w:r>
      <w:r w:rsidR="0039025B">
        <w:rPr>
          <w:szCs w:val="26"/>
          <w:shd w:val="clear" w:color="auto" w:fill="FFFFFF"/>
        </w:rPr>
        <w:t>,</w:t>
      </w:r>
      <w:r w:rsidRPr="002E513F" w:rsidR="00527450">
        <w:rPr>
          <w:szCs w:val="26"/>
          <w:shd w:val="clear" w:color="auto" w:fill="FFFFFF"/>
        </w:rPr>
        <w:t xml:space="preserve"> 10113.72, subd. (c))</w:t>
      </w:r>
      <w:r w:rsidRPr="002E513F" w:rsidR="00F50298">
        <w:t xml:space="preserve">; and (3) </w:t>
      </w:r>
      <w:r w:rsidRPr="002E513F" w:rsidR="004B4120">
        <w:t>each policy has a 60-day grace period, which lines up with the two 30-day notice windows</w:t>
      </w:r>
      <w:r w:rsidRPr="002E513F" w:rsidR="00BB378B">
        <w:t xml:space="preserve"> (</w:t>
      </w:r>
      <w:r w:rsidRPr="002E513F" w:rsidR="00BB378B">
        <w:rPr>
          <w:szCs w:val="26"/>
          <w:shd w:val="clear" w:color="auto" w:fill="FFFFFF"/>
        </w:rPr>
        <w:t>§ 10113.71, subd. (a))</w:t>
      </w:r>
      <w:r w:rsidRPr="002E513F" w:rsidR="004A05C1">
        <w:rPr>
          <w:szCs w:val="26"/>
          <w:shd w:val="clear" w:color="auto" w:fill="FFFFFF"/>
        </w:rPr>
        <w:t>.</w:t>
      </w:r>
      <w:r w:rsidRPr="002E513F" w:rsidR="00BB378B">
        <w:rPr>
          <w:szCs w:val="26"/>
          <w:shd w:val="clear" w:color="auto" w:fill="FFFFFF"/>
        </w:rPr>
        <w:t xml:space="preserve">  </w:t>
      </w:r>
      <w:r w:rsidRPr="002E513F" w:rsidR="007F54C9">
        <w:rPr>
          <w:szCs w:val="26"/>
          <w:shd w:val="clear" w:color="auto" w:fill="FFFFFF"/>
        </w:rPr>
        <w:t xml:space="preserve">In light of these new, detailed statutory notice requirements, it seems doubtful the Legislature contemplated that insurance companies would, going forward, simultaneously implement two vastly different notice schemes:  one applying to pre-2013 policies that requires only 31-day notices before termination and no right to designations, and a post-2013 scheme as described.  It thus seemed largely assumed that insurance companies would implement the single, new </w:t>
      </w:r>
      <w:r w:rsidRPr="009A7B48" w:rsidR="007F54C9">
        <w:rPr>
          <w:szCs w:val="26"/>
          <w:shd w:val="clear" w:color="auto" w:fill="FFFFFF"/>
        </w:rPr>
        <w:t>notice scheme, which would have the effect of benefitting both new and existing policy</w:t>
      </w:r>
      <w:r w:rsidR="00C91CA1">
        <w:rPr>
          <w:szCs w:val="26"/>
          <w:shd w:val="clear" w:color="auto" w:fill="FFFFFF"/>
        </w:rPr>
        <w:t xml:space="preserve"> owner</w:t>
      </w:r>
      <w:r w:rsidRPr="009A7B48" w:rsidR="007F54C9">
        <w:rPr>
          <w:szCs w:val="26"/>
          <w:shd w:val="clear" w:color="auto" w:fill="FFFFFF"/>
        </w:rPr>
        <w:t xml:space="preserve">s.  </w:t>
      </w:r>
    </w:p>
    <w:p w:rsidR="000727A8" w:rsidRPr="000727A8" w:rsidP="000727A8" w14:paraId="214A1C0C" w14:textId="33683D5D">
      <w:pPr>
        <w:ind w:firstLine="720"/>
        <w:rPr>
          <w:szCs w:val="26"/>
          <w:shd w:val="clear" w:color="auto" w:fill="FFFFFF"/>
        </w:rPr>
      </w:pPr>
      <w:r w:rsidRPr="000727A8">
        <w:rPr>
          <w:szCs w:val="26"/>
          <w:shd w:val="clear" w:color="auto" w:fill="FFFFFF"/>
        </w:rPr>
        <w:t>The legislative</w:t>
      </w:r>
      <w:r w:rsidR="00530B6D">
        <w:rPr>
          <w:szCs w:val="26"/>
          <w:shd w:val="clear" w:color="auto" w:fill="FFFFFF"/>
        </w:rPr>
        <w:t xml:space="preserve"> history</w:t>
      </w:r>
      <w:r w:rsidRPr="000727A8">
        <w:rPr>
          <w:szCs w:val="26"/>
          <w:shd w:val="clear" w:color="auto" w:fill="FFFFFF"/>
        </w:rPr>
        <w:t xml:space="preserve"> </w:t>
      </w:r>
      <w:r w:rsidRPr="000727A8" w:rsidR="0031402E">
        <w:rPr>
          <w:szCs w:val="26"/>
          <w:shd w:val="clear" w:color="auto" w:fill="FFFFFF"/>
        </w:rPr>
        <w:t xml:space="preserve">supports this conclusion.  </w:t>
      </w:r>
      <w:r w:rsidRPr="000727A8" w:rsidR="00A32A8A">
        <w:rPr>
          <w:szCs w:val="26"/>
          <w:shd w:val="clear" w:color="auto" w:fill="FFFFFF"/>
        </w:rPr>
        <w:t>Those involved in the legislative process seemed to take for granted a single</w:t>
      </w:r>
      <w:r w:rsidR="008B459C">
        <w:rPr>
          <w:szCs w:val="26"/>
          <w:shd w:val="clear" w:color="auto" w:fill="FFFFFF"/>
        </w:rPr>
        <w:t>, standardized</w:t>
      </w:r>
      <w:r w:rsidRPr="000727A8" w:rsidR="00A32A8A">
        <w:rPr>
          <w:szCs w:val="26"/>
          <w:shd w:val="clear" w:color="auto" w:fill="FFFFFF"/>
        </w:rPr>
        <w:t xml:space="preserve"> notice scheme.  </w:t>
      </w:r>
      <w:bookmarkStart w:id="38" w:name="_Hlk77337933"/>
      <w:r w:rsidRPr="000727A8">
        <w:rPr>
          <w:szCs w:val="26"/>
          <w:shd w:val="clear" w:color="auto" w:fill="FFFFFF"/>
        </w:rPr>
        <w:t xml:space="preserve">(See, e.g., </w:t>
      </w:r>
      <w:r w:rsidRPr="000727A8">
        <w:rPr>
          <w:szCs w:val="26"/>
        </w:rPr>
        <w:t>Assem. Com. on Insurance, 3d reading analysis of Assem. Bill No. 1747 (2011–2012 Reg. Sess.) as amended May 9, 2012, p. 2.)</w:t>
      </w:r>
    </w:p>
    <w:bookmarkEnd w:id="38"/>
    <w:p w:rsidR="00CF42D6" w:rsidRPr="00562BA4" w:rsidP="00562BA4" w14:paraId="52BD0C06" w14:textId="17E90692">
      <w:pPr>
        <w:ind w:firstLine="720"/>
        <w:rPr>
          <w:szCs w:val="27"/>
        </w:rPr>
      </w:pPr>
      <w:r>
        <w:rPr>
          <w:szCs w:val="26"/>
          <w:shd w:val="clear" w:color="auto" w:fill="FFFFFF"/>
        </w:rPr>
        <w:t>Moreover</w:t>
      </w:r>
      <w:r w:rsidR="00D941D4">
        <w:rPr>
          <w:szCs w:val="26"/>
          <w:shd w:val="clear" w:color="auto" w:fill="FFFFFF"/>
        </w:rPr>
        <w:t xml:space="preserve">, the legislative history </w:t>
      </w:r>
      <w:r w:rsidRPr="00A2413E" w:rsidR="0031402E">
        <w:rPr>
          <w:szCs w:val="26"/>
          <w:shd w:val="clear" w:color="auto" w:fill="FFFFFF"/>
        </w:rPr>
        <w:t>provides several indications th</w:t>
      </w:r>
      <w:r w:rsidR="00D725FB">
        <w:rPr>
          <w:szCs w:val="26"/>
          <w:shd w:val="clear" w:color="auto" w:fill="FFFFFF"/>
        </w:rPr>
        <w:t>at</w:t>
      </w:r>
      <w:r w:rsidR="00EE41A7">
        <w:rPr>
          <w:szCs w:val="26"/>
          <w:shd w:val="clear" w:color="auto" w:fill="FFFFFF"/>
        </w:rPr>
        <w:t xml:space="preserve"> </w:t>
      </w:r>
      <w:r w:rsidR="002E2FA8">
        <w:rPr>
          <w:szCs w:val="26"/>
          <w:shd w:val="clear" w:color="auto" w:fill="FFFFFF"/>
        </w:rPr>
        <w:t xml:space="preserve">the </w:t>
      </w:r>
      <w:r w:rsidRPr="00A2413E" w:rsidR="0031402E">
        <w:rPr>
          <w:szCs w:val="26"/>
          <w:shd w:val="clear" w:color="auto" w:fill="FFFFFF"/>
        </w:rPr>
        <w:t xml:space="preserve">Legislature enacted </w:t>
      </w:r>
      <w:r w:rsidR="00F11D8E">
        <w:rPr>
          <w:szCs w:val="26"/>
          <w:shd w:val="clear" w:color="auto" w:fill="FFFFFF"/>
        </w:rPr>
        <w:t xml:space="preserve">the grace period and notice protections </w:t>
      </w:r>
      <w:r w:rsidRPr="00A2413E" w:rsidR="0031402E">
        <w:rPr>
          <w:szCs w:val="26"/>
          <w:shd w:val="clear" w:color="auto" w:fill="FFFFFF"/>
        </w:rPr>
        <w:t xml:space="preserve">in part to protect </w:t>
      </w:r>
      <w:r w:rsidRPr="00A2413E" w:rsidR="0031402E">
        <w:rPr>
          <w:i/>
          <w:iCs/>
          <w:szCs w:val="26"/>
          <w:shd w:val="clear" w:color="auto" w:fill="FFFFFF"/>
        </w:rPr>
        <w:t>existing</w:t>
      </w:r>
      <w:r w:rsidRPr="00A2413E" w:rsidR="0031402E">
        <w:rPr>
          <w:szCs w:val="26"/>
          <w:shd w:val="clear" w:color="auto" w:fill="FFFFFF"/>
        </w:rPr>
        <w:t xml:space="preserve"> policy</w:t>
      </w:r>
      <w:r w:rsidR="00FE5C9B">
        <w:rPr>
          <w:szCs w:val="26"/>
          <w:shd w:val="clear" w:color="auto" w:fill="FFFFFF"/>
        </w:rPr>
        <w:t xml:space="preserve"> owner</w:t>
      </w:r>
      <w:r w:rsidRPr="00A2413E" w:rsidR="0031402E">
        <w:rPr>
          <w:szCs w:val="26"/>
          <w:shd w:val="clear" w:color="auto" w:fill="FFFFFF"/>
        </w:rPr>
        <w:t xml:space="preserve">s from losing the important life insurance coverage they had spent years </w:t>
      </w:r>
      <w:r w:rsidRPr="00001076" w:rsidR="00D43124">
        <w:rPr>
          <w:szCs w:val="26"/>
          <w:shd w:val="clear" w:color="auto" w:fill="FFFFFF"/>
        </w:rPr>
        <w:t>paying for</w:t>
      </w:r>
      <w:r w:rsidRPr="00A2413E" w:rsidR="0031402E">
        <w:rPr>
          <w:szCs w:val="26"/>
          <w:shd w:val="clear" w:color="auto" w:fill="FFFFFF"/>
        </w:rPr>
        <w:t>.  The Assembly and Senate materials on Assembly Bill No. 1747</w:t>
      </w:r>
      <w:r w:rsidRPr="00001076" w:rsidR="0031402E">
        <w:rPr>
          <w:szCs w:val="26"/>
          <w:shd w:val="clear" w:color="auto" w:fill="FFFFFF"/>
        </w:rPr>
        <w:t xml:space="preserve"> </w:t>
      </w:r>
      <w:r w:rsidRPr="00001076" w:rsidR="003F6A44">
        <w:rPr>
          <w:color w:val="000000"/>
          <w:szCs w:val="26"/>
        </w:rPr>
        <w:t>(2011–2012 Reg. Sess.)</w:t>
      </w:r>
      <w:r w:rsidRPr="00F9115E" w:rsidR="0031402E">
        <w:rPr>
          <w:color w:val="000000"/>
        </w:rPr>
        <w:t xml:space="preserve"> </w:t>
      </w:r>
      <w:r w:rsidRPr="00A2413E" w:rsidR="0031402E">
        <w:rPr>
          <w:szCs w:val="26"/>
          <w:shd w:val="clear" w:color="auto" w:fill="FFFFFF"/>
        </w:rPr>
        <w:t>include purpose and supporting argument statements like the following:  “</w:t>
      </w:r>
      <w:r w:rsidRPr="00A2413E" w:rsidR="0031402E">
        <w:rPr>
          <w:szCs w:val="26"/>
        </w:rPr>
        <w:t xml:space="preserve">According to the author, the bill provides consumer safeguards from which </w:t>
      </w:r>
      <w:r w:rsidRPr="00A2413E" w:rsidR="0031402E">
        <w:rPr>
          <w:i/>
          <w:iCs/>
          <w:szCs w:val="26"/>
        </w:rPr>
        <w:t>people</w:t>
      </w:r>
      <w:r w:rsidRPr="00A2413E" w:rsidR="0031402E">
        <w:rPr>
          <w:i/>
          <w:iCs/>
          <w:szCs w:val="26"/>
          <w:shd w:val="clear" w:color="auto" w:fill="FFFFFF"/>
        </w:rPr>
        <w:t xml:space="preserve"> </w:t>
      </w:r>
      <w:r w:rsidRPr="00A2413E" w:rsidR="0031402E">
        <w:rPr>
          <w:i/>
          <w:iCs/>
          <w:szCs w:val="26"/>
        </w:rPr>
        <w:t>who have purchased life insurance coverage, especially seniors, would benefit</w:t>
      </w:r>
      <w:r w:rsidRPr="00A2413E" w:rsidR="0031402E">
        <w:rPr>
          <w:szCs w:val="26"/>
        </w:rPr>
        <w:t>.  Under</w:t>
      </w:r>
      <w:r w:rsidRPr="00A2413E" w:rsidR="0031402E">
        <w:rPr>
          <w:szCs w:val="26"/>
          <w:shd w:val="clear" w:color="auto" w:fill="FFFFFF"/>
        </w:rPr>
        <w:t xml:space="preserve"> </w:t>
      </w:r>
      <w:r w:rsidRPr="00A2413E" w:rsidR="0031402E">
        <w:rPr>
          <w:szCs w:val="26"/>
        </w:rPr>
        <w:t>existing law, individuals can easily lose the critical protection of life insurance if a single premium is accidentally missed (even if they have been paying premiums on time for many years).  If an insured individual loses coverage and wants it reinstated, he or she may have to undergo a new physical exam and be underwritten again, risking a significantly more expensive, possibly unaffordable premium if his or her health has changed in the years since purchasing the policy.  Therefore, the protections provided by [Assembly Bill No.]</w:t>
      </w:r>
      <w:r w:rsidRPr="00362C6B" w:rsidR="0031402E">
        <w:rPr>
          <w:szCs w:val="27"/>
        </w:rPr>
        <w:t xml:space="preserve"> 1747 are intended to make sure that policy</w:t>
      </w:r>
      <w:r w:rsidR="00FE5C9B">
        <w:rPr>
          <w:szCs w:val="27"/>
        </w:rPr>
        <w:t xml:space="preserve"> owner</w:t>
      </w:r>
      <w:r w:rsidRPr="00362C6B" w:rsidR="0031402E">
        <w:rPr>
          <w:szCs w:val="27"/>
        </w:rPr>
        <w:t xml:space="preserve">s have sufficient warning that their premium may lapse due to nonpayment.”  </w:t>
      </w:r>
      <w:bookmarkStart w:id="39" w:name="_Hlk77337959"/>
      <w:r w:rsidRPr="00362C6B" w:rsidR="0031402E">
        <w:rPr>
          <w:szCs w:val="27"/>
        </w:rPr>
        <w:t>(Assem. Com. on Insurance, Analysis of Assem. Bill No. 1747 (2011–2012 Reg. Sess.) as amended Apr. 26, 2012, pp. 1–2, italics added</w:t>
      </w:r>
      <w:r w:rsidRPr="00001076" w:rsidR="00FA5B09">
        <w:rPr>
          <w:szCs w:val="27"/>
        </w:rPr>
        <w:t xml:space="preserve"> (hereafter Assem</w:t>
      </w:r>
      <w:r w:rsidR="00C61BBD">
        <w:rPr>
          <w:szCs w:val="27"/>
        </w:rPr>
        <w:t>.</w:t>
      </w:r>
      <w:r w:rsidRPr="00001076" w:rsidR="00FA5B09">
        <w:rPr>
          <w:szCs w:val="27"/>
        </w:rPr>
        <w:t xml:space="preserve"> Com</w:t>
      </w:r>
      <w:r w:rsidR="00C61BBD">
        <w:rPr>
          <w:szCs w:val="27"/>
        </w:rPr>
        <w:t>.</w:t>
      </w:r>
      <w:r w:rsidRPr="00001076" w:rsidR="00FA5B09">
        <w:rPr>
          <w:szCs w:val="27"/>
        </w:rPr>
        <w:t xml:space="preserve"> on Insurance Analysis)</w:t>
      </w:r>
      <w:r w:rsidRPr="00001076" w:rsidR="00C243F9">
        <w:rPr>
          <w:szCs w:val="27"/>
        </w:rPr>
        <w:t>;</w:t>
      </w:r>
      <w:r w:rsidR="00C243F9">
        <w:rPr>
          <w:szCs w:val="27"/>
        </w:rPr>
        <w:t xml:space="preserve"> see also </w:t>
      </w:r>
      <w:r w:rsidR="00562BA4">
        <w:rPr>
          <w:szCs w:val="27"/>
        </w:rPr>
        <w:t>Sen.</w:t>
      </w:r>
      <w:r w:rsidRPr="00362C6B" w:rsidR="00562BA4">
        <w:rPr>
          <w:szCs w:val="27"/>
        </w:rPr>
        <w:t xml:space="preserve"> Com. on Insurance, Analysis of Assem. Bill No. 1747 (2011–2012 Reg. Sess.) </w:t>
      </w:r>
      <w:r w:rsidRPr="00001076" w:rsidR="001E4E86">
        <w:rPr>
          <w:szCs w:val="27"/>
        </w:rPr>
        <w:t xml:space="preserve">as amended </w:t>
      </w:r>
      <w:r w:rsidR="00562BA4">
        <w:rPr>
          <w:szCs w:val="27"/>
        </w:rPr>
        <w:t>June 7,</w:t>
      </w:r>
      <w:r w:rsidRPr="00362C6B" w:rsidR="00562BA4">
        <w:rPr>
          <w:szCs w:val="27"/>
        </w:rPr>
        <w:t xml:space="preserve"> 2012</w:t>
      </w:r>
      <w:bookmarkEnd w:id="39"/>
      <w:r w:rsidRPr="00001076" w:rsidR="001E4E86">
        <w:rPr>
          <w:szCs w:val="27"/>
        </w:rPr>
        <w:t>, p. 3</w:t>
      </w:r>
      <w:r w:rsidR="00562BA4">
        <w:rPr>
          <w:szCs w:val="27"/>
        </w:rPr>
        <w:t xml:space="preserve"> [longtime policy</w:t>
      </w:r>
      <w:r w:rsidR="00FE5C9B">
        <w:rPr>
          <w:szCs w:val="27"/>
        </w:rPr>
        <w:t xml:space="preserve"> owner</w:t>
      </w:r>
      <w:r w:rsidR="00562BA4">
        <w:rPr>
          <w:szCs w:val="27"/>
        </w:rPr>
        <w:t>s may miss a payment “</w:t>
      </w:r>
      <w:r w:rsidR="00562BA4">
        <w:t>because they were being hospitalized when the bill came, in others, as a result of a mail mix-up or forgetfulness, etc.”].)</w:t>
      </w:r>
      <w:r w:rsidR="00562BA4">
        <w:rPr>
          <w:szCs w:val="27"/>
        </w:rPr>
        <w:t xml:space="preserve">  </w:t>
      </w:r>
      <w:r w:rsidRPr="00A2413E" w:rsidR="00C40673">
        <w:rPr>
          <w:szCs w:val="26"/>
        </w:rPr>
        <w:t>Where, as here, the author’s statements are part of committee materials</w:t>
      </w:r>
      <w:r w:rsidR="00235B79">
        <w:rPr>
          <w:szCs w:val="26"/>
        </w:rPr>
        <w:t xml:space="preserve"> — </w:t>
      </w:r>
      <w:r w:rsidRPr="00A2413E" w:rsidR="00C40673">
        <w:rPr>
          <w:szCs w:val="26"/>
        </w:rPr>
        <w:t>and are therefore relayed not merely as personal views, but instead as part of the Legislature’s consideration of the bill</w:t>
      </w:r>
      <w:r w:rsidR="00235B79">
        <w:rPr>
          <w:szCs w:val="26"/>
        </w:rPr>
        <w:t xml:space="preserve"> — </w:t>
      </w:r>
      <w:r w:rsidRPr="00A2413E" w:rsidR="00C40673">
        <w:rPr>
          <w:szCs w:val="26"/>
        </w:rPr>
        <w:t xml:space="preserve">they can serve as salient reflections of legislative purpose.  </w:t>
      </w:r>
      <w:r>
        <w:rPr>
          <w:szCs w:val="26"/>
        </w:rPr>
        <w:t xml:space="preserve">(See </w:t>
      </w:r>
      <w:r w:rsidRPr="004E5A4B">
        <w:rPr>
          <w:i/>
          <w:iCs/>
          <w:szCs w:val="26"/>
        </w:rPr>
        <w:t xml:space="preserve">Carter v. California </w:t>
      </w:r>
      <w:r w:rsidRPr="00001076">
        <w:rPr>
          <w:i/>
          <w:iCs/>
          <w:szCs w:val="26"/>
        </w:rPr>
        <w:t>Dept</w:t>
      </w:r>
      <w:r w:rsidRPr="00001076" w:rsidR="00642996">
        <w:rPr>
          <w:i/>
          <w:iCs/>
          <w:szCs w:val="26"/>
        </w:rPr>
        <w:t>.</w:t>
      </w:r>
      <w:r w:rsidRPr="004E5A4B">
        <w:rPr>
          <w:i/>
          <w:iCs/>
          <w:szCs w:val="26"/>
        </w:rPr>
        <w:t xml:space="preserve"> of Veterans Affairs</w:t>
      </w:r>
      <w:r>
        <w:rPr>
          <w:szCs w:val="26"/>
        </w:rPr>
        <w:t xml:space="preserve"> (2006) </w:t>
      </w:r>
      <w:r w:rsidRPr="000F002F">
        <w:rPr>
          <w:szCs w:val="26"/>
        </w:rPr>
        <w:t>38 Cal.4th 914, 928</w:t>
      </w:r>
      <w:r>
        <w:rPr>
          <w:szCs w:val="26"/>
        </w:rPr>
        <w:t>.)</w:t>
      </w:r>
    </w:p>
    <w:p w:rsidR="00802D2B" w:rsidRPr="00C56A71" w:rsidP="00743F17" w14:paraId="477C22E5" w14:textId="03F68FFF">
      <w:pPr>
        <w:ind w:firstLine="720"/>
        <w:rPr>
          <w:szCs w:val="27"/>
        </w:rPr>
      </w:pPr>
      <w:r>
        <w:rPr>
          <w:szCs w:val="27"/>
        </w:rPr>
        <w:t xml:space="preserve">Protective Life argues that the legislative history does not clarify the statutory language, but we </w:t>
      </w:r>
      <w:r w:rsidR="00C56A71">
        <w:rPr>
          <w:szCs w:val="27"/>
        </w:rPr>
        <w:t>are not persuaded</w:t>
      </w:r>
      <w:r>
        <w:rPr>
          <w:szCs w:val="27"/>
        </w:rPr>
        <w:t xml:space="preserve">.  </w:t>
      </w:r>
      <w:r w:rsidR="00C56A71">
        <w:rPr>
          <w:szCs w:val="27"/>
        </w:rPr>
        <w:t xml:space="preserve">True: </w:t>
      </w:r>
      <w:r w:rsidR="00D075F5">
        <w:rPr>
          <w:szCs w:val="27"/>
        </w:rPr>
        <w:t>T</w:t>
      </w:r>
      <w:r>
        <w:rPr>
          <w:szCs w:val="27"/>
        </w:rPr>
        <w:t xml:space="preserve">he </w:t>
      </w:r>
      <w:r w:rsidR="00C56A71">
        <w:rPr>
          <w:szCs w:val="27"/>
        </w:rPr>
        <w:t xml:space="preserve">materials </w:t>
      </w:r>
      <w:r>
        <w:rPr>
          <w:szCs w:val="27"/>
        </w:rPr>
        <w:t xml:space="preserve">do not explicitly consider </w:t>
      </w:r>
      <w:r w:rsidR="00C56A71">
        <w:rPr>
          <w:szCs w:val="27"/>
        </w:rPr>
        <w:t xml:space="preserve">the reach of the broadly worded, but less than crystal clear, grace period and notice provisions; and their </w:t>
      </w:r>
      <w:r w:rsidRPr="00362C6B">
        <w:rPr>
          <w:szCs w:val="27"/>
        </w:rPr>
        <w:t>references to protecting “seniors” could be to the people whom the Legislature anticipated would benefit from th</w:t>
      </w:r>
      <w:r>
        <w:rPr>
          <w:szCs w:val="27"/>
        </w:rPr>
        <w:t>e new</w:t>
      </w:r>
      <w:r w:rsidRPr="00362C6B">
        <w:rPr>
          <w:szCs w:val="27"/>
        </w:rPr>
        <w:t xml:space="preserve"> law down the line</w:t>
      </w:r>
      <w:r>
        <w:rPr>
          <w:szCs w:val="27"/>
        </w:rPr>
        <w:t>.  But</w:t>
      </w:r>
      <w:r w:rsidR="00F433D6">
        <w:rPr>
          <w:szCs w:val="27"/>
        </w:rPr>
        <w:t xml:space="preserve"> </w:t>
      </w:r>
      <w:r w:rsidR="00743F17">
        <w:rPr>
          <w:szCs w:val="27"/>
        </w:rPr>
        <w:t xml:space="preserve">the insurer ignores the clear guidance the materials do provide.  </w:t>
      </w:r>
      <w:r w:rsidRPr="008F3C74" w:rsidR="00FB4EE9">
        <w:rPr>
          <w:szCs w:val="27"/>
        </w:rPr>
        <w:t xml:space="preserve">At the very least, </w:t>
      </w:r>
      <w:r w:rsidR="00743F17">
        <w:rPr>
          <w:szCs w:val="27"/>
        </w:rPr>
        <w:t>the</w:t>
      </w:r>
      <w:r w:rsidR="00251028">
        <w:rPr>
          <w:szCs w:val="27"/>
        </w:rPr>
        <w:t>y</w:t>
      </w:r>
      <w:r w:rsidR="00743F17">
        <w:rPr>
          <w:szCs w:val="27"/>
        </w:rPr>
        <w:t xml:space="preserve"> </w:t>
      </w:r>
      <w:r w:rsidRPr="008F3C74" w:rsidR="00FB4EE9">
        <w:rPr>
          <w:szCs w:val="27"/>
        </w:rPr>
        <w:t>reflect</w:t>
      </w:r>
      <w:r w:rsidRPr="008F3C74" w:rsidR="00BD45EF">
        <w:rPr>
          <w:szCs w:val="27"/>
        </w:rPr>
        <w:t xml:space="preserve"> </w:t>
      </w:r>
      <w:r w:rsidRPr="008F3C74" w:rsidR="00BD45EF">
        <w:t xml:space="preserve">lawmakers’ </w:t>
      </w:r>
      <w:r w:rsidR="006C131D">
        <w:t xml:space="preserve">(a) </w:t>
      </w:r>
      <w:r w:rsidRPr="008F3C74" w:rsidR="00BD45EF">
        <w:t>awareness that consumers tend to hold life insurance policies for long periods and to pay premiums for many years</w:t>
      </w:r>
      <w:r w:rsidR="002167E3">
        <w:t>;</w:t>
      </w:r>
      <w:r w:rsidRPr="008F3C74" w:rsidR="00BD45EF">
        <w:t xml:space="preserve"> and </w:t>
      </w:r>
      <w:r w:rsidR="006C131D">
        <w:t>(b)</w:t>
      </w:r>
      <w:r w:rsidRPr="008F3C74" w:rsidR="00BD45EF">
        <w:t xml:space="preserve"> concern that policy</w:t>
      </w:r>
      <w:r w:rsidRPr="008F3C74" w:rsidR="00071224">
        <w:t xml:space="preserve"> owners</w:t>
      </w:r>
      <w:r w:rsidRPr="008F3C74" w:rsidR="00BD45EF">
        <w:t>, “especially seniors</w:t>
      </w:r>
      <w:r w:rsidRPr="00001076" w:rsidR="00BD45EF">
        <w:t xml:space="preserve">” </w:t>
      </w:r>
      <w:r w:rsidRPr="00001076" w:rsidR="00FA5B09">
        <w:t>(</w:t>
      </w:r>
      <w:r w:rsidRPr="00001076" w:rsidR="00FA5B09">
        <w:rPr>
          <w:szCs w:val="27"/>
        </w:rPr>
        <w:t>Assem. Com. on Ins</w:t>
      </w:r>
      <w:r w:rsidR="00C61BBD">
        <w:rPr>
          <w:szCs w:val="27"/>
        </w:rPr>
        <w:t>urance</w:t>
      </w:r>
      <w:r w:rsidRPr="00001076" w:rsidR="00FA5B09">
        <w:rPr>
          <w:szCs w:val="27"/>
        </w:rPr>
        <w:t xml:space="preserve"> Analysis</w:t>
      </w:r>
      <w:r w:rsidRPr="00001076" w:rsidR="00FA5B09">
        <w:rPr>
          <w:i/>
          <w:iCs/>
        </w:rPr>
        <w:t>, supra</w:t>
      </w:r>
      <w:r w:rsidRPr="00001076" w:rsidR="00FA5B09">
        <w:t>, at p. 1)</w:t>
      </w:r>
      <w:r w:rsidR="00077E50">
        <w:t>,</w:t>
      </w:r>
      <w:r w:rsidRPr="008F3C74" w:rsidR="00BD45EF">
        <w:t xml:space="preserve"> may lose the benefits of these extended payments by failing to pay a single annual premium on</w:t>
      </w:r>
      <w:r w:rsidR="007C1675">
        <w:rPr>
          <w:rStyle w:val="CommentReference"/>
        </w:rPr>
        <w:t xml:space="preserve"> </w:t>
      </w:r>
      <w:r w:rsidRPr="008F3C74" w:rsidR="00BD45EF">
        <w:t>time</w:t>
      </w:r>
      <w:r w:rsidR="00B34893">
        <w:t>,</w:t>
      </w:r>
      <w:r w:rsidR="00145B93">
        <w:t xml:space="preserve"> and</w:t>
      </w:r>
      <w:r w:rsidR="00B34893">
        <w:t xml:space="preserve"> thereafter</w:t>
      </w:r>
      <w:r w:rsidR="00145B93">
        <w:t xml:space="preserve"> face</w:t>
      </w:r>
      <w:r w:rsidR="006C131D">
        <w:t xml:space="preserve"> </w:t>
      </w:r>
      <w:r w:rsidR="0098593A">
        <w:t>hardship</w:t>
      </w:r>
      <w:r w:rsidR="006C131D">
        <w:t xml:space="preserve"> to regain coverage.  </w:t>
      </w:r>
      <w:r w:rsidR="00300FEA">
        <w:t xml:space="preserve">It would certainly be consistent with </w:t>
      </w:r>
      <w:r w:rsidR="00712AEF">
        <w:t xml:space="preserve">the </w:t>
      </w:r>
      <w:r w:rsidR="00300FEA">
        <w:t>Legislature’s awareness and concern for it to</w:t>
      </w:r>
      <w:r w:rsidR="00F51E20">
        <w:t xml:space="preserve"> seek to</w:t>
      </w:r>
      <w:r w:rsidR="00300FEA">
        <w:t xml:space="preserve"> </w:t>
      </w:r>
      <w:r w:rsidRPr="008F3C74" w:rsidR="00300FEA">
        <w:t xml:space="preserve">protect </w:t>
      </w:r>
      <w:r w:rsidRPr="00763384" w:rsidR="00300FEA">
        <w:rPr>
          <w:i/>
        </w:rPr>
        <w:t xml:space="preserve">all </w:t>
      </w:r>
      <w:r w:rsidRPr="008F3C74" w:rsidR="00300FEA">
        <w:t>polic</w:t>
      </w:r>
      <w:r w:rsidR="00AA3601">
        <w:t>y owners from losing coverage</w:t>
      </w:r>
      <w:r w:rsidR="00F51E20">
        <w:t>.</w:t>
      </w:r>
      <w:r w:rsidRPr="008F3C74" w:rsidR="00300FEA">
        <w:t xml:space="preserve"> </w:t>
      </w:r>
      <w:r w:rsidR="00475D86">
        <w:t xml:space="preserve"> </w:t>
      </w:r>
      <w:r w:rsidR="006B3163">
        <w:t>(</w:t>
      </w:r>
      <w:r w:rsidR="004D1F7C">
        <w:t xml:space="preserve">Cf. </w:t>
      </w:r>
      <w:r w:rsidRPr="006B3163" w:rsidR="004D1F7C">
        <w:rPr>
          <w:i/>
          <w:iCs/>
        </w:rPr>
        <w:t>Calfarm</w:t>
      </w:r>
      <w:r w:rsidR="004D1F7C">
        <w:t xml:space="preserve">, </w:t>
      </w:r>
      <w:r w:rsidRPr="006B3163" w:rsidR="004D1F7C">
        <w:rPr>
          <w:i/>
          <w:iCs/>
        </w:rPr>
        <w:t>supra</w:t>
      </w:r>
      <w:r w:rsidR="004D1F7C">
        <w:t>, 48 Cal.</w:t>
      </w:r>
      <w:r w:rsidR="006B3163">
        <w:t>3d at p. 827</w:t>
      </w:r>
      <w:r w:rsidR="002905BD">
        <w:rPr>
          <w:color w:val="000000"/>
          <w:szCs w:val="26"/>
          <w:shd w:val="clear" w:color="auto" w:fill="FFFFFF"/>
        </w:rPr>
        <w:t xml:space="preserve">; conc. opn., </w:t>
      </w:r>
      <w:r w:rsidRPr="00CB5EB0" w:rsidR="002905BD">
        <w:rPr>
          <w:i/>
          <w:iCs/>
          <w:color w:val="000000"/>
          <w:szCs w:val="26"/>
          <w:shd w:val="clear" w:color="auto" w:fill="FFFFFF"/>
        </w:rPr>
        <w:t>post</w:t>
      </w:r>
      <w:r w:rsidR="002905BD">
        <w:rPr>
          <w:color w:val="000000"/>
          <w:szCs w:val="26"/>
          <w:shd w:val="clear" w:color="auto" w:fill="FFFFFF"/>
        </w:rPr>
        <w:t>, at pp. 5–6.)</w:t>
      </w:r>
    </w:p>
    <w:p w:rsidR="00616F7F" w:rsidRPr="008608C4" w:rsidP="008608C4" w14:paraId="341F6304" w14:textId="5316B130">
      <w:pPr>
        <w:ind w:firstLine="720"/>
        <w:rPr>
          <w:color w:val="000000"/>
          <w:shd w:val="clear" w:color="auto" w:fill="FFFFFF"/>
        </w:rPr>
      </w:pPr>
      <w:r>
        <w:t>The consequences of P</w:t>
      </w:r>
      <w:r w:rsidR="00174DFC">
        <w:t>rotective Life’s</w:t>
      </w:r>
      <w:r>
        <w:t xml:space="preserve"> interpretation strongly suggest, given </w:t>
      </w:r>
      <w:r w:rsidR="00174DFC">
        <w:t>the legisla</w:t>
      </w:r>
      <w:r w:rsidR="00B34893">
        <w:t>tive history</w:t>
      </w:r>
      <w:r>
        <w:t xml:space="preserve">, that it wasn’t in the ambit of the Legislature’s purpose for the statute to operate </w:t>
      </w:r>
      <w:r w:rsidR="00174DFC">
        <w:t>as the insurer</w:t>
      </w:r>
      <w:r>
        <w:t xml:space="preserve"> </w:t>
      </w:r>
      <w:r w:rsidR="00251028">
        <w:t>describes</w:t>
      </w:r>
      <w:r>
        <w:t xml:space="preserve">.  </w:t>
      </w:r>
      <w:r>
        <w:rPr>
          <w:szCs w:val="26"/>
        </w:rPr>
        <w:t>(</w:t>
      </w:r>
      <w:r w:rsidR="0027000B">
        <w:rPr>
          <w:szCs w:val="26"/>
        </w:rPr>
        <w:t xml:space="preserve">See </w:t>
      </w:r>
      <w:bookmarkStart w:id="40" w:name="_Hlk77337089"/>
      <w:r w:rsidRPr="00054507">
        <w:rPr>
          <w:i/>
          <w:iCs/>
          <w:szCs w:val="26"/>
        </w:rPr>
        <w:t xml:space="preserve">Copley Press, Inc. v. Superior </w:t>
      </w:r>
      <w:r w:rsidRPr="00001076">
        <w:rPr>
          <w:i/>
          <w:iCs/>
          <w:szCs w:val="26"/>
        </w:rPr>
        <w:t>C</w:t>
      </w:r>
      <w:r w:rsidRPr="00001076" w:rsidR="009422F3">
        <w:rPr>
          <w:i/>
          <w:iCs/>
          <w:szCs w:val="26"/>
        </w:rPr>
        <w:t>our</w:t>
      </w:r>
      <w:r w:rsidRPr="00001076">
        <w:rPr>
          <w:i/>
          <w:iCs/>
          <w:szCs w:val="26"/>
        </w:rPr>
        <w:t>t</w:t>
      </w:r>
      <w:r>
        <w:rPr>
          <w:szCs w:val="26"/>
        </w:rPr>
        <w:t xml:space="preserve"> (2006)</w:t>
      </w:r>
      <w:r w:rsidRPr="00E57499">
        <w:rPr>
          <w:szCs w:val="26"/>
        </w:rPr>
        <w:t xml:space="preserve"> 39 Cal.4th 1272, 1291</w:t>
      </w:r>
      <w:r>
        <w:rPr>
          <w:szCs w:val="26"/>
        </w:rPr>
        <w:t xml:space="preserve"> (</w:t>
      </w:r>
      <w:r w:rsidRPr="00054507">
        <w:rPr>
          <w:i/>
          <w:iCs/>
          <w:szCs w:val="26"/>
        </w:rPr>
        <w:t>Copley</w:t>
      </w:r>
      <w:r w:rsidRPr="00A57830">
        <w:rPr>
          <w:szCs w:val="26"/>
        </w:rPr>
        <w:t>)</w:t>
      </w:r>
      <w:r w:rsidR="00D45203">
        <w:rPr>
          <w:szCs w:val="26"/>
        </w:rPr>
        <w:t>.)</w:t>
      </w:r>
      <w:bookmarkEnd w:id="40"/>
      <w:r w:rsidR="004C1220">
        <w:rPr>
          <w:szCs w:val="26"/>
        </w:rPr>
        <w:t xml:space="preserve">  Indeed, the insurer’</w:t>
      </w:r>
      <w:r w:rsidR="006F5E70">
        <w:rPr>
          <w:szCs w:val="26"/>
        </w:rPr>
        <w:t xml:space="preserve">s </w:t>
      </w:r>
      <w:r w:rsidRPr="00A2413E" w:rsidR="00C76E62">
        <w:rPr>
          <w:szCs w:val="26"/>
        </w:rPr>
        <w:t xml:space="preserve">interpretation </w:t>
      </w:r>
      <w:r w:rsidR="00C76E62">
        <w:rPr>
          <w:szCs w:val="26"/>
        </w:rPr>
        <w:t>would produce result</w:t>
      </w:r>
      <w:r w:rsidR="00E1248D">
        <w:rPr>
          <w:szCs w:val="26"/>
        </w:rPr>
        <w:t>s</w:t>
      </w:r>
      <w:r w:rsidR="00A919C5">
        <w:rPr>
          <w:szCs w:val="26"/>
        </w:rPr>
        <w:t xml:space="preserve"> seemingly</w:t>
      </w:r>
      <w:r w:rsidR="00E1248D">
        <w:rPr>
          <w:szCs w:val="26"/>
        </w:rPr>
        <w:t xml:space="preserve"> incongruous with </w:t>
      </w:r>
      <w:r w:rsidR="00145A4A">
        <w:rPr>
          <w:szCs w:val="26"/>
        </w:rPr>
        <w:t>the legislation’s</w:t>
      </w:r>
      <w:r w:rsidR="00A919C5">
        <w:rPr>
          <w:szCs w:val="26"/>
        </w:rPr>
        <w:t xml:space="preserve"> broader aims of preventing forfeiture and</w:t>
      </w:r>
      <w:r w:rsidR="007A7501">
        <w:rPr>
          <w:szCs w:val="26"/>
        </w:rPr>
        <w:t xml:space="preserve"> </w:t>
      </w:r>
      <w:r w:rsidR="00C24E36">
        <w:rPr>
          <w:szCs w:val="26"/>
        </w:rPr>
        <w:t>its</w:t>
      </w:r>
      <w:r w:rsidR="00A919C5">
        <w:rPr>
          <w:szCs w:val="26"/>
        </w:rPr>
        <w:t xml:space="preserve"> specific motivating concerns</w:t>
      </w:r>
      <w:r w:rsidR="00591089">
        <w:rPr>
          <w:szCs w:val="26"/>
        </w:rPr>
        <w:t>.</w:t>
      </w:r>
      <w:r w:rsidR="0076126A">
        <w:rPr>
          <w:szCs w:val="26"/>
        </w:rPr>
        <w:t xml:space="preserve"> </w:t>
      </w:r>
      <w:r w:rsidR="008977DE">
        <w:rPr>
          <w:szCs w:val="26"/>
        </w:rPr>
        <w:t xml:space="preserve"> </w:t>
      </w:r>
      <w:r w:rsidR="00FE115C">
        <w:rPr>
          <w:szCs w:val="26"/>
        </w:rPr>
        <w:t>As the Legislature identified, p</w:t>
      </w:r>
      <w:r w:rsidRPr="00A2413E" w:rsidR="00FE115C">
        <w:rPr>
          <w:szCs w:val="26"/>
        </w:rPr>
        <w:t>olicy</w:t>
      </w:r>
      <w:r w:rsidR="00FE5C9B">
        <w:rPr>
          <w:szCs w:val="26"/>
        </w:rPr>
        <w:t xml:space="preserve"> owner</w:t>
      </w:r>
      <w:r w:rsidRPr="00A2413E" w:rsidR="00FE115C">
        <w:rPr>
          <w:szCs w:val="26"/>
        </w:rPr>
        <w:t xml:space="preserve">s may </w:t>
      </w:r>
      <w:r w:rsidR="00735419">
        <w:rPr>
          <w:szCs w:val="26"/>
        </w:rPr>
        <w:t>fail to make a payment on time</w:t>
      </w:r>
      <w:r w:rsidRPr="00A2413E" w:rsidR="00FE115C">
        <w:rPr>
          <w:szCs w:val="26"/>
        </w:rPr>
        <w:t xml:space="preserve"> for a host of understandable reasons, including some related to their age or health</w:t>
      </w:r>
      <w:r w:rsidR="004B63C2">
        <w:rPr>
          <w:szCs w:val="26"/>
        </w:rPr>
        <w:t xml:space="preserve">.  </w:t>
      </w:r>
      <w:r w:rsidR="00FE115C">
        <w:rPr>
          <w:szCs w:val="26"/>
        </w:rPr>
        <w:t>But t</w:t>
      </w:r>
      <w:r w:rsidRPr="00A2413E" w:rsidR="00C76E62">
        <w:rPr>
          <w:szCs w:val="26"/>
        </w:rPr>
        <w:t>he very consumers the Legislature identified as needing protection the most</w:t>
      </w:r>
      <w:r w:rsidR="00FE115C">
        <w:rPr>
          <w:szCs w:val="26"/>
        </w:rPr>
        <w:t xml:space="preserve"> against th</w:t>
      </w:r>
      <w:r w:rsidR="000B6B97">
        <w:rPr>
          <w:szCs w:val="26"/>
        </w:rPr>
        <w:t>is</w:t>
      </w:r>
      <w:r w:rsidR="00FE115C">
        <w:rPr>
          <w:szCs w:val="26"/>
        </w:rPr>
        <w:t xml:space="preserve"> risk</w:t>
      </w:r>
      <w:r w:rsidR="00235B79">
        <w:rPr>
          <w:szCs w:val="26"/>
        </w:rPr>
        <w:t xml:space="preserve"> — </w:t>
      </w:r>
      <w:r w:rsidR="004C1220">
        <w:rPr>
          <w:szCs w:val="26"/>
        </w:rPr>
        <w:t>seniors</w:t>
      </w:r>
      <w:r w:rsidR="00441F02">
        <w:rPr>
          <w:szCs w:val="26"/>
        </w:rPr>
        <w:t xml:space="preserve"> and other longtime, potentially infirm or incapacitated policy</w:t>
      </w:r>
      <w:r w:rsidR="00FE5C9B">
        <w:rPr>
          <w:szCs w:val="26"/>
        </w:rPr>
        <w:t xml:space="preserve"> owner</w:t>
      </w:r>
      <w:r w:rsidR="00441F02">
        <w:rPr>
          <w:szCs w:val="26"/>
        </w:rPr>
        <w:t>s</w:t>
      </w:r>
      <w:r w:rsidR="00235B79">
        <w:rPr>
          <w:szCs w:val="26"/>
        </w:rPr>
        <w:t xml:space="preserve"> — </w:t>
      </w:r>
      <w:r w:rsidRPr="00A2413E" w:rsidR="00C76E62">
        <w:rPr>
          <w:szCs w:val="26"/>
        </w:rPr>
        <w:t xml:space="preserve">would not </w:t>
      </w:r>
      <w:r w:rsidR="00F3319F">
        <w:rPr>
          <w:szCs w:val="26"/>
        </w:rPr>
        <w:t>present</w:t>
      </w:r>
      <w:r w:rsidR="00510EC8">
        <w:rPr>
          <w:szCs w:val="26"/>
        </w:rPr>
        <w:t>ly</w:t>
      </w:r>
      <w:r w:rsidR="00F3319F">
        <w:rPr>
          <w:szCs w:val="26"/>
        </w:rPr>
        <w:t xml:space="preserve"> </w:t>
      </w:r>
      <w:r w:rsidRPr="00A2413E" w:rsidR="00C76E62">
        <w:rPr>
          <w:szCs w:val="26"/>
        </w:rPr>
        <w:t xml:space="preserve">be entitled to the safeguards to help them </w:t>
      </w:r>
      <w:r w:rsidRPr="00A2413E" w:rsidR="001F4AAB">
        <w:rPr>
          <w:szCs w:val="26"/>
        </w:rPr>
        <w:t>maintain coverage they and their beneficiaries depend on</w:t>
      </w:r>
      <w:r w:rsidR="00D46A42">
        <w:rPr>
          <w:szCs w:val="26"/>
        </w:rPr>
        <w:t>.</w:t>
      </w:r>
      <w:r w:rsidRPr="00A2413E" w:rsidR="001F4AAB">
        <w:rPr>
          <w:szCs w:val="26"/>
        </w:rPr>
        <w:t xml:space="preserve"> </w:t>
      </w:r>
      <w:r w:rsidR="00D46A42">
        <w:rPr>
          <w:szCs w:val="26"/>
        </w:rPr>
        <w:t xml:space="preserve"> </w:t>
      </w:r>
      <w:r w:rsidR="00D04189">
        <w:rPr>
          <w:szCs w:val="26"/>
        </w:rPr>
        <w:t xml:space="preserve">They would face </w:t>
      </w:r>
      <w:r w:rsidR="00890DAF">
        <w:rPr>
          <w:szCs w:val="26"/>
        </w:rPr>
        <w:t>a host of adverse financial</w:t>
      </w:r>
      <w:r w:rsidR="0098593A">
        <w:rPr>
          <w:szCs w:val="26"/>
        </w:rPr>
        <w:t xml:space="preserve"> consequences to resume </w:t>
      </w:r>
      <w:r w:rsidR="00016F7C">
        <w:rPr>
          <w:szCs w:val="26"/>
        </w:rPr>
        <w:t>c</w:t>
      </w:r>
      <w:r w:rsidR="0098593A">
        <w:rPr>
          <w:szCs w:val="26"/>
        </w:rPr>
        <w:t>overage</w:t>
      </w:r>
      <w:r w:rsidR="0033765C">
        <w:rPr>
          <w:szCs w:val="26"/>
        </w:rPr>
        <w:t xml:space="preserve">.  </w:t>
      </w:r>
      <w:r w:rsidR="0098593A">
        <w:rPr>
          <w:szCs w:val="26"/>
        </w:rPr>
        <w:t>(</w:t>
      </w:r>
      <w:r w:rsidR="00572928">
        <w:rPr>
          <w:i/>
          <w:iCs/>
          <w:szCs w:val="26"/>
        </w:rPr>
        <w:t>A</w:t>
      </w:r>
      <w:r w:rsidRPr="00E86A85" w:rsidR="0098593A">
        <w:rPr>
          <w:i/>
          <w:iCs/>
          <w:szCs w:val="26"/>
        </w:rPr>
        <w:t>nte</w:t>
      </w:r>
      <w:r w:rsidR="0098593A">
        <w:rPr>
          <w:szCs w:val="26"/>
        </w:rPr>
        <w:t xml:space="preserve">, at p. </w:t>
      </w:r>
      <w:r w:rsidR="00572928">
        <w:rPr>
          <w:szCs w:val="26"/>
        </w:rPr>
        <w:t>6</w:t>
      </w:r>
      <w:r w:rsidRPr="00001076" w:rsidR="00536A48">
        <w:rPr>
          <w:szCs w:val="26"/>
        </w:rPr>
        <w:t>.</w:t>
      </w:r>
      <w:r w:rsidRPr="00001076" w:rsidR="0098593A">
        <w:rPr>
          <w:szCs w:val="26"/>
        </w:rPr>
        <w:t>)</w:t>
      </w:r>
      <w:r w:rsidR="00E86A85">
        <w:rPr>
          <w:szCs w:val="26"/>
        </w:rPr>
        <w:t xml:space="preserve"> </w:t>
      </w:r>
      <w:r w:rsidR="00C07B3B">
        <w:rPr>
          <w:szCs w:val="26"/>
        </w:rPr>
        <w:t xml:space="preserve"> </w:t>
      </w:r>
      <w:r w:rsidRPr="00A2413E" w:rsidR="00C76E62">
        <w:rPr>
          <w:szCs w:val="26"/>
        </w:rPr>
        <w:t>Meanwhile, those who arguably need protection the least</w:t>
      </w:r>
      <w:r w:rsidR="00235B79">
        <w:rPr>
          <w:szCs w:val="26"/>
        </w:rPr>
        <w:t xml:space="preserve"> — </w:t>
      </w:r>
      <w:r w:rsidRPr="00A2413E" w:rsidR="00C76E62">
        <w:rPr>
          <w:szCs w:val="26"/>
        </w:rPr>
        <w:t>younger policy</w:t>
      </w:r>
      <w:r w:rsidR="00FE5C9B">
        <w:rPr>
          <w:szCs w:val="26"/>
        </w:rPr>
        <w:t xml:space="preserve"> owner</w:t>
      </w:r>
      <w:r w:rsidRPr="00A2413E" w:rsidR="00C76E62">
        <w:rPr>
          <w:szCs w:val="26"/>
        </w:rPr>
        <w:t xml:space="preserve">s, who </w:t>
      </w:r>
      <w:r w:rsidR="00E1042E">
        <w:rPr>
          <w:szCs w:val="26"/>
        </w:rPr>
        <w:t xml:space="preserve">recently </w:t>
      </w:r>
      <w:r w:rsidRPr="00A2413E" w:rsidR="00C76E62">
        <w:rPr>
          <w:szCs w:val="26"/>
        </w:rPr>
        <w:t>purchased life insurance, are less likely to miss a payment due to infirmity or deteriorating health, and face a lower loss of past premium investment and an easier time regaining coverage</w:t>
      </w:r>
      <w:r w:rsidR="00235B79">
        <w:rPr>
          <w:szCs w:val="26"/>
        </w:rPr>
        <w:t xml:space="preserve"> — </w:t>
      </w:r>
      <w:r w:rsidRPr="00A2413E" w:rsidR="00C76E62">
        <w:rPr>
          <w:szCs w:val="26"/>
        </w:rPr>
        <w:t>are protected, and with measures that will be</w:t>
      </w:r>
      <w:r w:rsidR="00CD0CC8">
        <w:rPr>
          <w:szCs w:val="26"/>
        </w:rPr>
        <w:t xml:space="preserve"> likely</w:t>
      </w:r>
      <w:r w:rsidRPr="00A2413E" w:rsidR="00C76E62">
        <w:rPr>
          <w:szCs w:val="26"/>
        </w:rPr>
        <w:t xml:space="preserve"> consequential to them only</w:t>
      </w:r>
      <w:r w:rsidR="00BA0F09">
        <w:rPr>
          <w:szCs w:val="26"/>
        </w:rPr>
        <w:t xml:space="preserve"> when they become “seniors”</w:t>
      </w:r>
      <w:r w:rsidRPr="00A2413E" w:rsidR="00C76E62">
        <w:rPr>
          <w:szCs w:val="26"/>
        </w:rPr>
        <w:t xml:space="preserve"> years down the line. </w:t>
      </w:r>
      <w:r w:rsidR="00A367B8">
        <w:rPr>
          <w:szCs w:val="26"/>
        </w:rPr>
        <w:t xml:space="preserve"> </w:t>
      </w:r>
      <w:r w:rsidRPr="008F3C74" w:rsidR="007F3205">
        <w:t xml:space="preserve">If </w:t>
      </w:r>
      <w:r w:rsidR="007F3205">
        <w:t>a</w:t>
      </w:r>
      <w:r w:rsidRPr="008F3C74" w:rsidR="007F3205">
        <w:t xml:space="preserve"> paradigmatic beneficiary of the new legislation was, say, a </w:t>
      </w:r>
      <w:r w:rsidR="007F3205">
        <w:t>7</w:t>
      </w:r>
      <w:r w:rsidRPr="008F3C74" w:rsidR="007F3205">
        <w:t>0-year-old life insurance policy</w:t>
      </w:r>
      <w:r w:rsidR="007F3205">
        <w:t xml:space="preserve"> owner </w:t>
      </w:r>
      <w:r w:rsidRPr="008F3C74" w:rsidR="007F3205">
        <w:t xml:space="preserve">who had paid premiums for </w:t>
      </w:r>
      <w:r w:rsidR="007F3205">
        <w:t>3</w:t>
      </w:r>
      <w:r w:rsidRPr="008F3C74" w:rsidR="007F3205">
        <w:t xml:space="preserve">0 years before missing an annual payment, a new-policy-only construction would mean that a person in this situation </w:t>
      </w:r>
      <w:r w:rsidR="00FF35D1">
        <w:t xml:space="preserve">wouldn’t garner protection from </w:t>
      </w:r>
      <w:r w:rsidRPr="008F3C74" w:rsidR="007F3205">
        <w:t xml:space="preserve">the new laws </w:t>
      </w:r>
      <w:r w:rsidR="00FF35D1">
        <w:t>before</w:t>
      </w:r>
      <w:r w:rsidRPr="008F3C74" w:rsidR="007F3205">
        <w:t xml:space="preserve"> 20</w:t>
      </w:r>
      <w:r w:rsidR="007F3205">
        <w:t>4</w:t>
      </w:r>
      <w:r w:rsidRPr="008F3C74" w:rsidR="007F3205">
        <w:t>3.  Even for a forward-thinking Legislature, this seems like a stretch.</w:t>
      </w:r>
      <w:r w:rsidR="00E114FB">
        <w:rPr>
          <w:szCs w:val="26"/>
        </w:rPr>
        <w:t xml:space="preserve"> </w:t>
      </w:r>
      <w:r w:rsidR="007F3205">
        <w:rPr>
          <w:szCs w:val="26"/>
        </w:rPr>
        <w:t xml:space="preserve"> </w:t>
      </w:r>
      <w:r w:rsidRPr="00A2413E">
        <w:rPr>
          <w:szCs w:val="26"/>
        </w:rPr>
        <w:t>(</w:t>
      </w:r>
      <w:r w:rsidR="004F1A1A">
        <w:rPr>
          <w:i/>
          <w:iCs/>
          <w:szCs w:val="26"/>
        </w:rPr>
        <w:t>C</w:t>
      </w:r>
      <w:r>
        <w:rPr>
          <w:szCs w:val="26"/>
        </w:rPr>
        <w:t>f.</w:t>
      </w:r>
      <w:r w:rsidRPr="00A2413E">
        <w:rPr>
          <w:szCs w:val="26"/>
        </w:rPr>
        <w:t xml:space="preserve"> </w:t>
      </w:r>
      <w:r w:rsidRPr="00A2413E">
        <w:rPr>
          <w:i/>
          <w:iCs/>
          <w:szCs w:val="26"/>
        </w:rPr>
        <w:t>Bentley</w:t>
      </w:r>
      <w:r w:rsidRPr="00A2413E">
        <w:rPr>
          <w:szCs w:val="26"/>
        </w:rPr>
        <w:t xml:space="preserve">, </w:t>
      </w:r>
      <w:r w:rsidRPr="00A2413E">
        <w:rPr>
          <w:i/>
          <w:iCs/>
          <w:szCs w:val="26"/>
        </w:rPr>
        <w:t>supra</w:t>
      </w:r>
      <w:r w:rsidRPr="00A2413E">
        <w:rPr>
          <w:szCs w:val="26"/>
        </w:rPr>
        <w:t xml:space="preserve">, 2016 WL 7443189, at </w:t>
      </w:r>
      <w:r w:rsidRPr="00001076" w:rsidR="003F6A44">
        <w:rPr>
          <w:szCs w:val="26"/>
        </w:rPr>
        <w:t xml:space="preserve">p. </w:t>
      </w:r>
      <w:r w:rsidRPr="00A2413E">
        <w:rPr>
          <w:szCs w:val="26"/>
        </w:rPr>
        <w:t>*4</w:t>
      </w:r>
      <w:r>
        <w:rPr>
          <w:color w:val="000000"/>
          <w:szCs w:val="26"/>
        </w:rPr>
        <w:t xml:space="preserve"> [declining to give effect to the “absurd </w:t>
      </w:r>
      <w:r w:rsidRPr="00001076">
        <w:rPr>
          <w:color w:val="000000"/>
          <w:szCs w:val="26"/>
        </w:rPr>
        <w:t>result</w:t>
      </w:r>
      <w:r w:rsidRPr="00001076" w:rsidR="00AD510E">
        <w:rPr>
          <w:color w:val="000000"/>
          <w:szCs w:val="26"/>
        </w:rPr>
        <w:t>[</w:t>
      </w:r>
      <w:r w:rsidRPr="00001076">
        <w:rPr>
          <w:color w:val="000000"/>
          <w:szCs w:val="26"/>
        </w:rPr>
        <w:t>s</w:t>
      </w:r>
      <w:r w:rsidRPr="00001076" w:rsidR="00AD510E">
        <w:rPr>
          <w:color w:val="000000"/>
          <w:szCs w:val="26"/>
        </w:rPr>
        <w:t>]</w:t>
      </w:r>
      <w:r w:rsidRPr="00001076">
        <w:rPr>
          <w:color w:val="000000"/>
          <w:szCs w:val="26"/>
        </w:rPr>
        <w:t>”</w:t>
      </w:r>
      <w:r>
        <w:rPr>
          <w:color w:val="000000"/>
          <w:szCs w:val="26"/>
        </w:rPr>
        <w:t xml:space="preserve"> of Protective Life’s interpretation].)</w:t>
      </w:r>
    </w:p>
    <w:p w:rsidR="00616F7F" w:rsidP="00616F7F" w14:paraId="355975A2" w14:textId="3B37C495">
      <w:pPr>
        <w:ind w:firstLine="720"/>
        <w:rPr>
          <w:szCs w:val="26"/>
        </w:rPr>
      </w:pPr>
      <w:r w:rsidRPr="0006462E">
        <w:rPr>
          <w:szCs w:val="27"/>
        </w:rPr>
        <w:t>Assembly Bill No. 1747</w:t>
      </w:r>
      <w:r w:rsidRPr="00001076">
        <w:rPr>
          <w:szCs w:val="27"/>
        </w:rPr>
        <w:t xml:space="preserve"> </w:t>
      </w:r>
      <w:r w:rsidRPr="00001076" w:rsidR="003F6A44">
        <w:rPr>
          <w:color w:val="000000"/>
          <w:szCs w:val="26"/>
        </w:rPr>
        <w:t>(2011–2012 Reg. Sess.)</w:t>
      </w:r>
      <w:r w:rsidRPr="00F9115E">
        <w:rPr>
          <w:color w:val="000000"/>
        </w:rPr>
        <w:t xml:space="preserve"> </w:t>
      </w:r>
      <w:r w:rsidRPr="0006462E">
        <w:rPr>
          <w:szCs w:val="27"/>
        </w:rPr>
        <w:t xml:space="preserve">also </w:t>
      </w:r>
      <w:r w:rsidR="00235196">
        <w:rPr>
          <w:szCs w:val="27"/>
        </w:rPr>
        <w:t>cuts in favor of</w:t>
      </w:r>
      <w:r w:rsidRPr="0006462E">
        <w:rPr>
          <w:szCs w:val="27"/>
        </w:rPr>
        <w:t xml:space="preserve"> reading sections 10113.71 and 10113.72 broadly.  The bill not only added these sections to the Insurance Code, but also amended section 10173.2, which concerns when life</w:t>
      </w:r>
      <w:r w:rsidR="0020655B">
        <w:rPr>
          <w:szCs w:val="27"/>
        </w:rPr>
        <w:t xml:space="preserve"> </w:t>
      </w:r>
      <w:r w:rsidRPr="0006462E">
        <w:rPr>
          <w:szCs w:val="27"/>
        </w:rPr>
        <w:t>insurance policies are assigned as security for a debt and the notice that the insurer must give the assignee when the policy owner fails to pay a premium.  (§ 10173.2</w:t>
      </w:r>
      <w:r w:rsidRPr="00001076" w:rsidR="00AD510E">
        <w:rPr>
          <w:szCs w:val="27"/>
        </w:rPr>
        <w:t>, as amended by Stats. 2012, ch. 315, § 3</w:t>
      </w:r>
      <w:r w:rsidRPr="00001076">
        <w:rPr>
          <w:szCs w:val="27"/>
        </w:rPr>
        <w:t>.)</w:t>
      </w:r>
      <w:r w:rsidRPr="0006462E">
        <w:rPr>
          <w:szCs w:val="27"/>
        </w:rPr>
        <w:t xml:space="preserve">  The Legislature amended section 10173.2 by changing some deadlines and revising </w:t>
      </w:r>
      <w:r w:rsidRPr="00001076">
        <w:rPr>
          <w:szCs w:val="27"/>
        </w:rPr>
        <w:t>nonsubstantive</w:t>
      </w:r>
      <w:r w:rsidRPr="0006462E">
        <w:rPr>
          <w:szCs w:val="27"/>
        </w:rPr>
        <w:t xml:space="preserve"> language</w:t>
      </w:r>
      <w:r>
        <w:rPr>
          <w:szCs w:val="27"/>
        </w:rPr>
        <w:t xml:space="preserve">.  </w:t>
      </w:r>
      <w:r w:rsidRPr="002A11F4">
        <w:rPr>
          <w:szCs w:val="27"/>
        </w:rPr>
        <w:t>More notable is what section 10173.2 already sai</w:t>
      </w:r>
      <w:r>
        <w:rPr>
          <w:szCs w:val="27"/>
        </w:rPr>
        <w:t>d</w:t>
      </w:r>
      <w:r w:rsidRPr="00001076" w:rsidR="00AD510E">
        <w:rPr>
          <w:szCs w:val="27"/>
        </w:rPr>
        <w:t xml:space="preserve"> prior to amendment</w:t>
      </w:r>
      <w:r w:rsidRPr="002A11F4">
        <w:rPr>
          <w:szCs w:val="27"/>
        </w:rPr>
        <w:t xml:space="preserve">:  “When a policy of life insurance is, </w:t>
      </w:r>
      <w:r w:rsidRPr="002A11F4">
        <w:rPr>
          <w:i/>
          <w:iCs/>
          <w:szCs w:val="27"/>
        </w:rPr>
        <w:t>after the effective date of this section</w:t>
      </w:r>
      <w:r w:rsidRPr="002A11F4">
        <w:rPr>
          <w:szCs w:val="27"/>
        </w:rPr>
        <w:t>, assigned in writing as security for an indebtedness . . . .”  (§ 10173.2, italics added.)  Th</w:t>
      </w:r>
      <w:r>
        <w:rPr>
          <w:szCs w:val="27"/>
        </w:rPr>
        <w:t>e</w:t>
      </w:r>
      <w:r w:rsidRPr="002A11F4">
        <w:rPr>
          <w:szCs w:val="27"/>
        </w:rPr>
        <w:t xml:space="preserve"> italicized language by its terms cabins the statute’s application to assignments after section 10173.2’s effective date.  (</w:t>
      </w:r>
      <w:r w:rsidRPr="002A11F4">
        <w:rPr>
          <w:i/>
          <w:iCs/>
          <w:szCs w:val="27"/>
        </w:rPr>
        <w:t>Estate of Coate</w:t>
      </w:r>
      <w:r w:rsidRPr="002A11F4">
        <w:rPr>
          <w:szCs w:val="27"/>
        </w:rPr>
        <w:t xml:space="preserve"> (1979) 98 Cal.App.3d 982, 986–987; see also </w:t>
      </w:r>
      <w:r w:rsidRPr="002A11F4">
        <w:rPr>
          <w:i/>
          <w:iCs/>
          <w:szCs w:val="27"/>
        </w:rPr>
        <w:t>Mardirosian v. Lincoln Nat. Life Ins. Co.</w:t>
      </w:r>
      <w:r w:rsidRPr="002A11F4">
        <w:rPr>
          <w:szCs w:val="27"/>
        </w:rPr>
        <w:t xml:space="preserve"> (9th Cir. 1984) 739 F.2d 474, 477.)  </w:t>
      </w:r>
      <w:r>
        <w:rPr>
          <w:szCs w:val="27"/>
        </w:rPr>
        <w:t>In other words,</w:t>
      </w:r>
      <w:r w:rsidRPr="002A11F4">
        <w:rPr>
          <w:szCs w:val="27"/>
        </w:rPr>
        <w:t xml:space="preserve"> when the Legislature added sections 10113.71 and 10113.72 to the Insurance Code, it knew that another statute</w:t>
      </w:r>
      <w:r w:rsidR="00235B79">
        <w:rPr>
          <w:szCs w:val="27"/>
        </w:rPr>
        <w:t xml:space="preserve"> — </w:t>
      </w:r>
      <w:r w:rsidRPr="002A11F4">
        <w:rPr>
          <w:szCs w:val="27"/>
        </w:rPr>
        <w:t>indeed, a statute it amended in the very same bill</w:t>
      </w:r>
      <w:r w:rsidR="00235B79">
        <w:rPr>
          <w:szCs w:val="27"/>
        </w:rPr>
        <w:t xml:space="preserve"> — </w:t>
      </w:r>
      <w:r w:rsidRPr="002A11F4">
        <w:rPr>
          <w:szCs w:val="27"/>
        </w:rPr>
        <w:t xml:space="preserve">used expressly </w:t>
      </w:r>
      <w:r w:rsidR="008C4944">
        <w:rPr>
          <w:szCs w:val="27"/>
        </w:rPr>
        <w:t>future-oriented</w:t>
      </w:r>
      <w:r w:rsidRPr="002A11F4">
        <w:rPr>
          <w:szCs w:val="27"/>
        </w:rPr>
        <w:t xml:space="preserve"> language.  Despite this, the Legislature did not add similar language to sections 10113.71 and 10113.72.  This </w:t>
      </w:r>
      <w:r>
        <w:rPr>
          <w:szCs w:val="27"/>
        </w:rPr>
        <w:t>circumstance provides</w:t>
      </w:r>
      <w:r w:rsidRPr="002A11F4">
        <w:rPr>
          <w:szCs w:val="27"/>
        </w:rPr>
        <w:t xml:space="preserve"> additional</w:t>
      </w:r>
      <w:r w:rsidR="00904EBB">
        <w:rPr>
          <w:szCs w:val="27"/>
        </w:rPr>
        <w:t>,</w:t>
      </w:r>
      <w:r w:rsidRPr="002A11F4">
        <w:rPr>
          <w:szCs w:val="27"/>
        </w:rPr>
        <w:t xml:space="preserve"> </w:t>
      </w:r>
      <w:r w:rsidR="00FF35D1">
        <w:rPr>
          <w:szCs w:val="27"/>
        </w:rPr>
        <w:t xml:space="preserve">if </w:t>
      </w:r>
      <w:r w:rsidRPr="002A11F4">
        <w:rPr>
          <w:szCs w:val="27"/>
        </w:rPr>
        <w:t>modest</w:t>
      </w:r>
      <w:r w:rsidR="00FF35D1">
        <w:rPr>
          <w:szCs w:val="27"/>
        </w:rPr>
        <w:t>,</w:t>
      </w:r>
      <w:r w:rsidRPr="002A11F4">
        <w:rPr>
          <w:szCs w:val="27"/>
        </w:rPr>
        <w:t xml:space="preserve"> support for the</w:t>
      </w:r>
      <w:r>
        <w:rPr>
          <w:szCs w:val="27"/>
        </w:rPr>
        <w:t xml:space="preserve"> conclusion that the grace period and notice pro</w:t>
      </w:r>
      <w:r w:rsidR="00904EBB">
        <w:rPr>
          <w:szCs w:val="27"/>
        </w:rPr>
        <w:t>visions</w:t>
      </w:r>
      <w:r>
        <w:rPr>
          <w:szCs w:val="27"/>
        </w:rPr>
        <w:t xml:space="preserve"> apply universally.</w:t>
      </w:r>
      <w:r w:rsidRPr="00A2413E">
        <w:rPr>
          <w:szCs w:val="26"/>
        </w:rPr>
        <w:t xml:space="preserve">  </w:t>
      </w:r>
      <w:r w:rsidR="00863BCE">
        <w:rPr>
          <w:szCs w:val="26"/>
        </w:rPr>
        <w:t xml:space="preserve">(Cf. </w:t>
      </w:r>
      <w:r w:rsidRPr="00C731BB" w:rsidR="00863BCE">
        <w:rPr>
          <w:i/>
          <w:iCs/>
          <w:szCs w:val="26"/>
        </w:rPr>
        <w:t>Calfarm</w:t>
      </w:r>
      <w:r w:rsidR="00863BCE">
        <w:rPr>
          <w:szCs w:val="26"/>
        </w:rPr>
        <w:t xml:space="preserve">, </w:t>
      </w:r>
      <w:r w:rsidRPr="00C731BB" w:rsidR="00863BCE">
        <w:rPr>
          <w:i/>
          <w:iCs/>
          <w:szCs w:val="26"/>
        </w:rPr>
        <w:t>supra</w:t>
      </w:r>
      <w:r w:rsidR="00863BCE">
        <w:rPr>
          <w:szCs w:val="26"/>
        </w:rPr>
        <w:t>,</w:t>
      </w:r>
      <w:r w:rsidR="00C731BB">
        <w:rPr>
          <w:szCs w:val="26"/>
        </w:rPr>
        <w:t xml:space="preserve"> 48 Cal.3d at p. 827 [similar]</w:t>
      </w:r>
      <w:r w:rsidR="001708C2">
        <w:rPr>
          <w:szCs w:val="26"/>
        </w:rPr>
        <w:t xml:space="preserve">; conc. opn., </w:t>
      </w:r>
      <w:r w:rsidRPr="00D90F91" w:rsidR="00D90F91">
        <w:rPr>
          <w:i/>
          <w:iCs/>
          <w:szCs w:val="26"/>
        </w:rPr>
        <w:t>post</w:t>
      </w:r>
      <w:r w:rsidR="00D90F91">
        <w:rPr>
          <w:szCs w:val="26"/>
        </w:rPr>
        <w:t xml:space="preserve">, </w:t>
      </w:r>
      <w:r w:rsidR="001708C2">
        <w:rPr>
          <w:szCs w:val="26"/>
        </w:rPr>
        <w:t>at pp. 4–5.)</w:t>
      </w:r>
    </w:p>
    <w:p w:rsidR="00616F7F" w:rsidRPr="00B315D8" w:rsidP="00616F7F" w14:paraId="4402A6F0" w14:textId="19EBA21C">
      <w:pPr>
        <w:ind w:firstLine="720"/>
        <w:rPr>
          <w:szCs w:val="26"/>
        </w:rPr>
      </w:pPr>
      <w:r>
        <w:rPr>
          <w:szCs w:val="26"/>
        </w:rPr>
        <w:t>T</w:t>
      </w:r>
      <w:r w:rsidRPr="00B315D8">
        <w:rPr>
          <w:szCs w:val="26"/>
        </w:rPr>
        <w:t>he various</w:t>
      </w:r>
      <w:r w:rsidRPr="00B315D8" w:rsidR="00A72786">
        <w:rPr>
          <w:szCs w:val="26"/>
        </w:rPr>
        <w:t xml:space="preserve"> contextual</w:t>
      </w:r>
      <w:r w:rsidRPr="00B315D8">
        <w:rPr>
          <w:szCs w:val="26"/>
        </w:rPr>
        <w:t xml:space="preserve"> arguments raised by Protective Life and industry amici </w:t>
      </w:r>
      <w:r w:rsidRPr="00001076" w:rsidR="009422F3">
        <w:rPr>
          <w:szCs w:val="26"/>
        </w:rPr>
        <w:t xml:space="preserve">curiae </w:t>
      </w:r>
      <w:r w:rsidRPr="00B315D8">
        <w:rPr>
          <w:szCs w:val="26"/>
        </w:rPr>
        <w:t>fail to persuade.</w:t>
      </w:r>
    </w:p>
    <w:p w:rsidR="00CE5956" w:rsidP="00BD4F4C" w14:paraId="6B612484" w14:textId="6CAB4A77">
      <w:pPr>
        <w:ind w:firstLine="720"/>
        <w:rPr>
          <w:szCs w:val="26"/>
        </w:rPr>
      </w:pPr>
      <w:r>
        <w:rPr>
          <w:szCs w:val="26"/>
        </w:rPr>
        <w:t>First,</w:t>
      </w:r>
      <w:r w:rsidRPr="00B315D8">
        <w:rPr>
          <w:szCs w:val="26"/>
        </w:rPr>
        <w:t xml:space="preserve"> Protective Life</w:t>
      </w:r>
      <w:r w:rsidR="00DB12E8">
        <w:rPr>
          <w:szCs w:val="26"/>
        </w:rPr>
        <w:t xml:space="preserve"> fails to substantiate its</w:t>
      </w:r>
      <w:r w:rsidRPr="00B315D8">
        <w:rPr>
          <w:szCs w:val="26"/>
        </w:rPr>
        <w:t xml:space="preserve"> argument </w:t>
      </w:r>
      <w:r w:rsidR="00232BF7">
        <w:rPr>
          <w:szCs w:val="26"/>
        </w:rPr>
        <w:t xml:space="preserve">that </w:t>
      </w:r>
      <w:r w:rsidRPr="00B315D8">
        <w:rPr>
          <w:szCs w:val="26"/>
        </w:rPr>
        <w:t>constru</w:t>
      </w:r>
      <w:r w:rsidR="00232BF7">
        <w:rPr>
          <w:szCs w:val="26"/>
        </w:rPr>
        <w:t>ing</w:t>
      </w:r>
      <w:r w:rsidRPr="00B315D8">
        <w:rPr>
          <w:szCs w:val="26"/>
        </w:rPr>
        <w:t xml:space="preserve"> sections 10113.71 and 10113.72 </w:t>
      </w:r>
      <w:r w:rsidR="00232BF7">
        <w:rPr>
          <w:szCs w:val="26"/>
        </w:rPr>
        <w:t>to apply</w:t>
      </w:r>
      <w:r w:rsidRPr="00B315D8">
        <w:rPr>
          <w:szCs w:val="26"/>
        </w:rPr>
        <w:t xml:space="preserve"> only to </w:t>
      </w:r>
      <w:r w:rsidRPr="00001076">
        <w:rPr>
          <w:szCs w:val="26"/>
        </w:rPr>
        <w:t>postenactment</w:t>
      </w:r>
      <w:r w:rsidRPr="00B315D8">
        <w:rPr>
          <w:szCs w:val="26"/>
        </w:rPr>
        <w:t xml:space="preserve"> policies </w:t>
      </w:r>
      <w:r w:rsidR="00232BF7">
        <w:rPr>
          <w:szCs w:val="26"/>
        </w:rPr>
        <w:t>gives</w:t>
      </w:r>
      <w:r w:rsidRPr="00B315D8">
        <w:rPr>
          <w:szCs w:val="26"/>
        </w:rPr>
        <w:t xml:space="preserve"> effect to </w:t>
      </w:r>
      <w:r w:rsidR="005012C5">
        <w:rPr>
          <w:szCs w:val="26"/>
        </w:rPr>
        <w:t>a key</w:t>
      </w:r>
      <w:r w:rsidRPr="00B315D8">
        <w:rPr>
          <w:szCs w:val="26"/>
        </w:rPr>
        <w:t xml:space="preserve"> legislative compromise.  It’s well established </w:t>
      </w:r>
      <w:r w:rsidRPr="00A2413E">
        <w:rPr>
          <w:szCs w:val="26"/>
        </w:rPr>
        <w:t xml:space="preserve">that “compromises necessary to </w:t>
      </w:r>
      <w:r w:rsidR="00232BF7">
        <w:rPr>
          <w:szCs w:val="26"/>
        </w:rPr>
        <w:t>[</w:t>
      </w:r>
      <w:r w:rsidR="00656DBD">
        <w:rPr>
          <w:szCs w:val="26"/>
        </w:rPr>
        <w:t xml:space="preserve">a </w:t>
      </w:r>
      <w:r w:rsidR="00232BF7">
        <w:rPr>
          <w:szCs w:val="26"/>
        </w:rPr>
        <w:t>statut</w:t>
      </w:r>
      <w:r w:rsidR="00656DBD">
        <w:rPr>
          <w:szCs w:val="26"/>
        </w:rPr>
        <w:t>e’s</w:t>
      </w:r>
      <w:r w:rsidR="00232BF7">
        <w:rPr>
          <w:szCs w:val="26"/>
        </w:rPr>
        <w:t>]</w:t>
      </w:r>
      <w:r w:rsidRPr="00A2413E">
        <w:rPr>
          <w:szCs w:val="26"/>
        </w:rPr>
        <w:t xml:space="preserve"> enactment may require adopting means other than those that would most effectively pursue the main goal.”  (</w:t>
      </w:r>
      <w:r w:rsidRPr="00A2413E">
        <w:rPr>
          <w:i/>
          <w:iCs/>
          <w:szCs w:val="26"/>
        </w:rPr>
        <w:t>Landgraf</w:t>
      </w:r>
      <w:r w:rsidRPr="00A2413E">
        <w:rPr>
          <w:szCs w:val="26"/>
        </w:rPr>
        <w:t xml:space="preserve">, </w:t>
      </w:r>
      <w:r w:rsidRPr="00A2413E">
        <w:rPr>
          <w:i/>
          <w:iCs/>
          <w:szCs w:val="26"/>
        </w:rPr>
        <w:t>supra</w:t>
      </w:r>
      <w:r w:rsidRPr="00A2413E">
        <w:rPr>
          <w:szCs w:val="26"/>
        </w:rPr>
        <w:t>,</w:t>
      </w:r>
      <w:r w:rsidRPr="00A2413E">
        <w:rPr>
          <w:i/>
          <w:iCs/>
          <w:szCs w:val="26"/>
        </w:rPr>
        <w:t xml:space="preserve"> </w:t>
      </w:r>
      <w:r w:rsidRPr="00A2413E">
        <w:rPr>
          <w:szCs w:val="26"/>
        </w:rPr>
        <w:t xml:space="preserve">511 U.S. at p. 286.)  But this general proposition doesn’t mean we can strike a bargain the Legislature never struck.  (Cf. </w:t>
      </w:r>
      <w:r w:rsidRPr="00A2413E">
        <w:rPr>
          <w:i/>
          <w:iCs/>
          <w:szCs w:val="26"/>
        </w:rPr>
        <w:t xml:space="preserve">State </w:t>
      </w:r>
      <w:r w:rsidRPr="00001076">
        <w:rPr>
          <w:i/>
          <w:iCs/>
          <w:szCs w:val="26"/>
        </w:rPr>
        <w:t>Dept</w:t>
      </w:r>
      <w:r w:rsidRPr="00001076" w:rsidR="00CF368D">
        <w:rPr>
          <w:i/>
          <w:iCs/>
          <w:szCs w:val="26"/>
        </w:rPr>
        <w:t>.</w:t>
      </w:r>
      <w:r w:rsidRPr="00A2413E">
        <w:rPr>
          <w:i/>
          <w:iCs/>
          <w:szCs w:val="26"/>
        </w:rPr>
        <w:t xml:space="preserve"> of </w:t>
      </w:r>
      <w:r w:rsidRPr="00001076">
        <w:rPr>
          <w:i/>
          <w:iCs/>
          <w:szCs w:val="26"/>
        </w:rPr>
        <w:t>Pub</w:t>
      </w:r>
      <w:r w:rsidRPr="00001076" w:rsidR="00CF368D">
        <w:rPr>
          <w:i/>
          <w:iCs/>
          <w:szCs w:val="26"/>
        </w:rPr>
        <w:t>lic</w:t>
      </w:r>
      <w:r w:rsidRPr="00A2413E">
        <w:rPr>
          <w:i/>
          <w:iCs/>
          <w:szCs w:val="26"/>
        </w:rPr>
        <w:t xml:space="preserve"> Health v. Superior Court</w:t>
      </w:r>
      <w:r w:rsidRPr="00A2413E">
        <w:rPr>
          <w:szCs w:val="26"/>
        </w:rPr>
        <w:t xml:space="preserve"> (2015) 60 Cal.4th 940, 956.)  </w:t>
      </w:r>
      <w:bookmarkStart w:id="41" w:name="_Hlk80525334"/>
      <w:r w:rsidR="00DB12E8">
        <w:rPr>
          <w:szCs w:val="26"/>
        </w:rPr>
        <w:t xml:space="preserve">Here, </w:t>
      </w:r>
      <w:r w:rsidRPr="00A2413E">
        <w:rPr>
          <w:szCs w:val="26"/>
        </w:rPr>
        <w:t xml:space="preserve">Protective Life identifies no indicia </w:t>
      </w:r>
      <w:r w:rsidR="00DB12E8">
        <w:rPr>
          <w:szCs w:val="26"/>
        </w:rPr>
        <w:t xml:space="preserve">of compromise </w:t>
      </w:r>
      <w:r>
        <w:rPr>
          <w:szCs w:val="26"/>
        </w:rPr>
        <w:t xml:space="preserve">in the legislative history </w:t>
      </w:r>
      <w:r w:rsidR="001251F5">
        <w:rPr>
          <w:szCs w:val="26"/>
        </w:rPr>
        <w:t xml:space="preserve">or </w:t>
      </w:r>
      <w:r>
        <w:rPr>
          <w:szCs w:val="26"/>
        </w:rPr>
        <w:t>statutory language</w:t>
      </w:r>
      <w:r w:rsidR="00DB12E8">
        <w:rPr>
          <w:szCs w:val="26"/>
        </w:rPr>
        <w:t>; i</w:t>
      </w:r>
      <w:r>
        <w:rPr>
          <w:szCs w:val="26"/>
        </w:rPr>
        <w:t xml:space="preserve">nstead, </w:t>
      </w:r>
      <w:r w:rsidR="00DB12E8">
        <w:rPr>
          <w:szCs w:val="26"/>
        </w:rPr>
        <w:t>it</w:t>
      </w:r>
      <w:r>
        <w:rPr>
          <w:szCs w:val="26"/>
        </w:rPr>
        <w:t xml:space="preserve"> simply invokes the </w:t>
      </w:r>
      <w:r w:rsidRPr="00A2413E">
        <w:rPr>
          <w:szCs w:val="26"/>
        </w:rPr>
        <w:t>presumption against retroactivity</w:t>
      </w:r>
      <w:r>
        <w:rPr>
          <w:szCs w:val="26"/>
        </w:rPr>
        <w:t xml:space="preserve">, which we have determined </w:t>
      </w:r>
      <w:r w:rsidR="00B0632A">
        <w:rPr>
          <w:szCs w:val="26"/>
        </w:rPr>
        <w:t>carries little if any weight</w:t>
      </w:r>
      <w:bookmarkEnd w:id="41"/>
      <w:r w:rsidR="002D1205">
        <w:rPr>
          <w:szCs w:val="26"/>
        </w:rPr>
        <w:t xml:space="preserve"> in this case</w:t>
      </w:r>
      <w:r>
        <w:rPr>
          <w:szCs w:val="26"/>
        </w:rPr>
        <w:t>.  (</w:t>
      </w:r>
      <w:r w:rsidRPr="00A63DE5">
        <w:rPr>
          <w:i/>
          <w:iCs/>
          <w:szCs w:val="26"/>
        </w:rPr>
        <w:t>Ante</w:t>
      </w:r>
      <w:r>
        <w:rPr>
          <w:szCs w:val="26"/>
        </w:rPr>
        <w:t xml:space="preserve">, at </w:t>
      </w:r>
      <w:r w:rsidR="00C43A94">
        <w:rPr>
          <w:szCs w:val="26"/>
        </w:rPr>
        <w:t>p</w:t>
      </w:r>
      <w:r>
        <w:rPr>
          <w:szCs w:val="26"/>
        </w:rPr>
        <w:t>p. 2</w:t>
      </w:r>
      <w:r w:rsidR="00F83055">
        <w:rPr>
          <w:szCs w:val="26"/>
        </w:rPr>
        <w:t>5</w:t>
      </w:r>
      <w:r w:rsidR="00C43A94">
        <w:rPr>
          <w:szCs w:val="26"/>
        </w:rPr>
        <w:t>–26</w:t>
      </w:r>
      <w:r>
        <w:rPr>
          <w:szCs w:val="26"/>
        </w:rPr>
        <w:t>.)</w:t>
      </w:r>
      <w:r>
        <w:rPr>
          <w:rStyle w:val="FootnoteReference"/>
          <w:szCs w:val="27"/>
        </w:rPr>
        <w:footnoteReference w:id="11"/>
      </w:r>
    </w:p>
    <w:p w:rsidR="00EE7F59" w:rsidP="00C02F5E" w14:paraId="33FA415A" w14:textId="69F6C4BB">
      <w:pPr>
        <w:widowControl w:val="0"/>
        <w:ind w:firstLine="720"/>
        <w:rPr>
          <w:szCs w:val="26"/>
        </w:rPr>
      </w:pPr>
      <w:r>
        <w:rPr>
          <w:szCs w:val="26"/>
        </w:rPr>
        <w:t xml:space="preserve">Protective Life also </w:t>
      </w:r>
      <w:r w:rsidR="005D6C4A">
        <w:rPr>
          <w:szCs w:val="26"/>
        </w:rPr>
        <w:t>conte</w:t>
      </w:r>
      <w:r w:rsidR="009F0BF5">
        <w:rPr>
          <w:szCs w:val="26"/>
        </w:rPr>
        <w:t>n</w:t>
      </w:r>
      <w:r w:rsidR="005D6C4A">
        <w:rPr>
          <w:szCs w:val="26"/>
        </w:rPr>
        <w:t>ds</w:t>
      </w:r>
      <w:r>
        <w:rPr>
          <w:szCs w:val="26"/>
        </w:rPr>
        <w:t xml:space="preserve"> that</w:t>
      </w:r>
      <w:r w:rsidR="00902784">
        <w:rPr>
          <w:szCs w:val="26"/>
        </w:rPr>
        <w:t xml:space="preserve"> the Legislature had “good reasons” to restrict the application of sections 10113.71 and 10113</w:t>
      </w:r>
      <w:r w:rsidRPr="00BB6787" w:rsidR="00902784">
        <w:rPr>
          <w:szCs w:val="26"/>
        </w:rPr>
        <w:t xml:space="preserve">.72 to </w:t>
      </w:r>
      <w:r w:rsidRPr="00001076" w:rsidR="00F06FDA">
        <w:rPr>
          <w:szCs w:val="26"/>
        </w:rPr>
        <w:t>postenactment</w:t>
      </w:r>
      <w:r w:rsidRPr="00BB6787" w:rsidR="00F06FDA">
        <w:rPr>
          <w:szCs w:val="26"/>
        </w:rPr>
        <w:t xml:space="preserve"> policies</w:t>
      </w:r>
      <w:r w:rsidRPr="00BB6787" w:rsidR="000C1828">
        <w:rPr>
          <w:szCs w:val="26"/>
        </w:rPr>
        <w:t xml:space="preserve">:  </w:t>
      </w:r>
      <w:r w:rsidRPr="00BB6787" w:rsidR="00614B48">
        <w:rPr>
          <w:szCs w:val="26"/>
        </w:rPr>
        <w:t>to avoid</w:t>
      </w:r>
      <w:r w:rsidR="00CE350E">
        <w:rPr>
          <w:szCs w:val="26"/>
        </w:rPr>
        <w:t xml:space="preserve"> </w:t>
      </w:r>
      <w:r w:rsidRPr="00BB6787" w:rsidR="0037375D">
        <w:rPr>
          <w:szCs w:val="26"/>
        </w:rPr>
        <w:t xml:space="preserve">unfairly </w:t>
      </w:r>
      <w:r w:rsidRPr="00BB6787" w:rsidR="00AE0862">
        <w:rPr>
          <w:szCs w:val="26"/>
        </w:rPr>
        <w:t>altering</w:t>
      </w:r>
      <w:r w:rsidRPr="00BB6787" w:rsidR="0037375D">
        <w:rPr>
          <w:szCs w:val="26"/>
        </w:rPr>
        <w:t xml:space="preserve"> the bargained-for grace period and </w:t>
      </w:r>
      <w:r w:rsidR="00313639">
        <w:rPr>
          <w:szCs w:val="26"/>
        </w:rPr>
        <w:t xml:space="preserve">notice </w:t>
      </w:r>
      <w:r w:rsidRPr="00BB6787" w:rsidR="0037375D">
        <w:rPr>
          <w:szCs w:val="26"/>
        </w:rPr>
        <w:t xml:space="preserve">rules, which the </w:t>
      </w:r>
      <w:r w:rsidRPr="00BB6787" w:rsidR="00A24272">
        <w:rPr>
          <w:szCs w:val="26"/>
        </w:rPr>
        <w:t>agreed</w:t>
      </w:r>
      <w:r w:rsidRPr="00BB6787" w:rsidR="00AE0862">
        <w:rPr>
          <w:szCs w:val="26"/>
        </w:rPr>
        <w:t>-</w:t>
      </w:r>
      <w:r w:rsidRPr="00BB6787" w:rsidR="00A24272">
        <w:rPr>
          <w:szCs w:val="26"/>
        </w:rPr>
        <w:t xml:space="preserve">to </w:t>
      </w:r>
      <w:r w:rsidRPr="00BB6787" w:rsidR="0037375D">
        <w:rPr>
          <w:szCs w:val="26"/>
        </w:rPr>
        <w:t xml:space="preserve">premium pricing </w:t>
      </w:r>
      <w:r w:rsidRPr="00BB6787" w:rsidR="00DF2F88">
        <w:rPr>
          <w:szCs w:val="26"/>
        </w:rPr>
        <w:t>had taken into account</w:t>
      </w:r>
      <w:r w:rsidRPr="00BB6787" w:rsidR="0037375D">
        <w:rPr>
          <w:szCs w:val="26"/>
        </w:rPr>
        <w:t>.</w:t>
      </w:r>
      <w:r w:rsidRPr="00BB6787" w:rsidR="00705DFC">
        <w:rPr>
          <w:szCs w:val="26"/>
        </w:rPr>
        <w:t xml:space="preserve">  </w:t>
      </w:r>
      <w:r w:rsidR="00CE350E">
        <w:rPr>
          <w:szCs w:val="26"/>
        </w:rPr>
        <w:t xml:space="preserve">Similarly, </w:t>
      </w:r>
      <w:r w:rsidRPr="00001076" w:rsidR="00AD510E">
        <w:rPr>
          <w:szCs w:val="26"/>
        </w:rPr>
        <w:t>amicus curiae</w:t>
      </w:r>
      <w:r w:rsidRPr="00BB6787" w:rsidR="00705DFC">
        <w:rPr>
          <w:szCs w:val="26"/>
        </w:rPr>
        <w:t xml:space="preserve"> Chamber of Commerce </w:t>
      </w:r>
      <w:r w:rsidR="00CE350E">
        <w:rPr>
          <w:szCs w:val="26"/>
        </w:rPr>
        <w:t>claims</w:t>
      </w:r>
      <w:r w:rsidRPr="00BB6787" w:rsidR="00F92D4B">
        <w:rPr>
          <w:szCs w:val="26"/>
        </w:rPr>
        <w:t xml:space="preserve"> that applying the </w:t>
      </w:r>
      <w:r w:rsidR="002C3FE6">
        <w:rPr>
          <w:szCs w:val="26"/>
        </w:rPr>
        <w:t>new</w:t>
      </w:r>
      <w:r w:rsidR="007D7EAE">
        <w:rPr>
          <w:szCs w:val="26"/>
        </w:rPr>
        <w:t xml:space="preserve"> </w:t>
      </w:r>
      <w:r w:rsidR="00F01BD9">
        <w:rPr>
          <w:szCs w:val="26"/>
        </w:rPr>
        <w:t>grace period</w:t>
      </w:r>
      <w:r w:rsidRPr="00BB6787" w:rsidR="00F92D4B">
        <w:rPr>
          <w:szCs w:val="26"/>
        </w:rPr>
        <w:t xml:space="preserve"> to </w:t>
      </w:r>
      <w:r w:rsidRPr="00001076" w:rsidR="00F92D4B">
        <w:rPr>
          <w:szCs w:val="26"/>
        </w:rPr>
        <w:t>preenactment</w:t>
      </w:r>
      <w:r w:rsidRPr="00BB6787" w:rsidR="00F92D4B">
        <w:rPr>
          <w:szCs w:val="26"/>
        </w:rPr>
        <w:t xml:space="preserve"> policies </w:t>
      </w:r>
      <w:r w:rsidRPr="00BB6787" w:rsidR="00F92D4B">
        <w:rPr>
          <w:szCs w:val="27"/>
        </w:rPr>
        <w:t>“undermines insurers’ ability to prudently manage their resources” and could leave insurers with “inadequate funds to pay valid claims”</w:t>
      </w:r>
      <w:r w:rsidRPr="00BB6787" w:rsidR="0010479F">
        <w:rPr>
          <w:szCs w:val="27"/>
        </w:rPr>
        <w:t xml:space="preserve"> statewide.</w:t>
      </w:r>
      <w:r w:rsidRPr="00BB6787" w:rsidR="00F92D4B">
        <w:rPr>
          <w:szCs w:val="27"/>
        </w:rPr>
        <w:t xml:space="preserve">  </w:t>
      </w:r>
      <w:r w:rsidR="00E916C4">
        <w:rPr>
          <w:szCs w:val="26"/>
        </w:rPr>
        <w:t>Yet w</w:t>
      </w:r>
      <w:r w:rsidR="005D6542">
        <w:rPr>
          <w:szCs w:val="26"/>
        </w:rPr>
        <w:t>ithout evidence that Protective Life or other insurers anticipated and accounted for a projected rate of inadvertent defaults when setting their premiums (</w:t>
      </w:r>
      <w:r w:rsidRPr="00390B10" w:rsidR="005D6542">
        <w:rPr>
          <w:i/>
          <w:iCs/>
          <w:szCs w:val="26"/>
        </w:rPr>
        <w:t>ante</w:t>
      </w:r>
      <w:r w:rsidR="005D6542">
        <w:rPr>
          <w:szCs w:val="26"/>
        </w:rPr>
        <w:t xml:space="preserve">, at p. </w:t>
      </w:r>
      <w:r w:rsidR="00337DD9">
        <w:rPr>
          <w:szCs w:val="26"/>
        </w:rPr>
        <w:t>23</w:t>
      </w:r>
      <w:r w:rsidR="005D6542">
        <w:rPr>
          <w:szCs w:val="26"/>
        </w:rPr>
        <w:t xml:space="preserve">), we have no basis to determine either that (a) the </w:t>
      </w:r>
      <w:r w:rsidR="005311F3">
        <w:rPr>
          <w:szCs w:val="26"/>
        </w:rPr>
        <w:t>new</w:t>
      </w:r>
      <w:r w:rsidR="005D6542">
        <w:rPr>
          <w:szCs w:val="26"/>
        </w:rPr>
        <w:t xml:space="preserve"> protections will</w:t>
      </w:r>
      <w:r w:rsidR="005311F3">
        <w:rPr>
          <w:szCs w:val="26"/>
        </w:rPr>
        <w:t xml:space="preserve"> </w:t>
      </w:r>
      <w:r w:rsidR="005D6542">
        <w:rPr>
          <w:szCs w:val="26"/>
        </w:rPr>
        <w:t xml:space="preserve">create a significant financial impact for insurers, or (b) the Legislature would have sought to avoid such </w:t>
      </w:r>
      <w:r w:rsidR="004D5F72">
        <w:rPr>
          <w:szCs w:val="26"/>
        </w:rPr>
        <w:t>a policy outcome</w:t>
      </w:r>
      <w:r w:rsidR="005D6542">
        <w:rPr>
          <w:szCs w:val="26"/>
        </w:rPr>
        <w:t xml:space="preserve">.   </w:t>
      </w:r>
    </w:p>
    <w:p w:rsidR="002B2D79" w:rsidP="002B2D79" w14:paraId="184F1872" w14:textId="4180173A">
      <w:pPr>
        <w:widowControl w:val="0"/>
        <w:ind w:firstLine="720"/>
        <w:rPr>
          <w:rFonts w:ascii="Source Sans Pro" w:hAnsi="Source Sans Pro"/>
          <w:color w:val="000000"/>
          <w:sz w:val="24"/>
          <w:szCs w:val="24"/>
          <w:shd w:val="clear" w:color="auto" w:fill="FFFFFF"/>
        </w:rPr>
      </w:pPr>
      <w:r>
        <w:rPr>
          <w:szCs w:val="26"/>
        </w:rPr>
        <w:t>Moreover, w</w:t>
      </w:r>
      <w:r w:rsidR="00C4037A">
        <w:rPr>
          <w:szCs w:val="26"/>
        </w:rPr>
        <w:t xml:space="preserve">e </w:t>
      </w:r>
      <w:r w:rsidR="00933A20">
        <w:rPr>
          <w:szCs w:val="26"/>
        </w:rPr>
        <w:t xml:space="preserve">note that </w:t>
      </w:r>
      <w:r w:rsidR="004D5F72">
        <w:rPr>
          <w:szCs w:val="26"/>
        </w:rPr>
        <w:t>plaintiffs and supporting amici</w:t>
      </w:r>
      <w:r w:rsidRPr="00001076" w:rsidR="00405368">
        <w:rPr>
          <w:szCs w:val="26"/>
        </w:rPr>
        <w:t xml:space="preserve"> </w:t>
      </w:r>
      <w:r w:rsidRPr="00001076" w:rsidR="00AD510E">
        <w:rPr>
          <w:szCs w:val="26"/>
        </w:rPr>
        <w:t>curiae</w:t>
      </w:r>
      <w:r w:rsidR="00405368">
        <w:rPr>
          <w:szCs w:val="26"/>
        </w:rPr>
        <w:t xml:space="preserve"> </w:t>
      </w:r>
      <w:r w:rsidR="00A56566">
        <w:rPr>
          <w:szCs w:val="26"/>
        </w:rPr>
        <w:t>offer</w:t>
      </w:r>
      <w:r w:rsidR="004D5F72">
        <w:rPr>
          <w:szCs w:val="26"/>
        </w:rPr>
        <w:t xml:space="preserve"> </w:t>
      </w:r>
      <w:r w:rsidR="00DC42C4">
        <w:rPr>
          <w:szCs w:val="26"/>
        </w:rPr>
        <w:t>their own</w:t>
      </w:r>
      <w:r w:rsidR="00653B6D">
        <w:rPr>
          <w:szCs w:val="26"/>
        </w:rPr>
        <w:t xml:space="preserve"> </w:t>
      </w:r>
      <w:r w:rsidR="006C4468">
        <w:rPr>
          <w:szCs w:val="26"/>
        </w:rPr>
        <w:t xml:space="preserve">“good </w:t>
      </w:r>
      <w:r w:rsidR="00DC42C4">
        <w:rPr>
          <w:szCs w:val="26"/>
        </w:rPr>
        <w:t>reasons</w:t>
      </w:r>
      <w:r w:rsidR="006C4468">
        <w:rPr>
          <w:szCs w:val="26"/>
        </w:rPr>
        <w:t>”</w:t>
      </w:r>
      <w:r w:rsidR="004D5F72">
        <w:rPr>
          <w:szCs w:val="26"/>
        </w:rPr>
        <w:t xml:space="preserve"> why the Legislature would </w:t>
      </w:r>
      <w:r w:rsidR="004D5F72">
        <w:rPr>
          <w:color w:val="000000"/>
          <w:szCs w:val="26"/>
        </w:rPr>
        <w:t>apply</w:t>
      </w:r>
      <w:r w:rsidRPr="00A2413E" w:rsidR="004D5F72">
        <w:rPr>
          <w:color w:val="000000"/>
          <w:szCs w:val="26"/>
        </w:rPr>
        <w:t xml:space="preserve"> </w:t>
      </w:r>
      <w:r w:rsidR="004D5F72">
        <w:rPr>
          <w:color w:val="000000"/>
          <w:szCs w:val="26"/>
        </w:rPr>
        <w:t>pre</w:t>
      </w:r>
      <w:r w:rsidRPr="00A2413E" w:rsidR="004D5F72">
        <w:rPr>
          <w:color w:val="000000"/>
          <w:szCs w:val="26"/>
        </w:rPr>
        <w:t xml:space="preserve">termination </w:t>
      </w:r>
      <w:r w:rsidR="004D5F72">
        <w:rPr>
          <w:color w:val="000000"/>
          <w:szCs w:val="26"/>
        </w:rPr>
        <w:t xml:space="preserve">procedures to </w:t>
      </w:r>
      <w:r w:rsidRPr="004D5F72" w:rsidR="004D5F72">
        <w:rPr>
          <w:i/>
          <w:iCs/>
          <w:color w:val="000000"/>
          <w:szCs w:val="26"/>
        </w:rPr>
        <w:t>all</w:t>
      </w:r>
      <w:r w:rsidR="004D5F72">
        <w:rPr>
          <w:color w:val="000000"/>
          <w:szCs w:val="26"/>
        </w:rPr>
        <w:t xml:space="preserve"> policies:  The procedures (1) promote continuity in the insuring arrangement</w:t>
      </w:r>
      <w:r w:rsidR="00345256">
        <w:rPr>
          <w:color w:val="000000"/>
          <w:szCs w:val="26"/>
        </w:rPr>
        <w:t xml:space="preserve"> </w:t>
      </w:r>
      <w:r w:rsidRPr="00A2413E" w:rsidR="00C02F5E">
        <w:rPr>
          <w:szCs w:val="26"/>
        </w:rPr>
        <w:t>(</w:t>
      </w:r>
      <w:r w:rsidR="00C02F5E">
        <w:rPr>
          <w:szCs w:val="26"/>
        </w:rPr>
        <w:t>c</w:t>
      </w:r>
      <w:r w:rsidRPr="00A2413E" w:rsidR="00C02F5E">
        <w:rPr>
          <w:szCs w:val="26"/>
        </w:rPr>
        <w:t xml:space="preserve">f. </w:t>
      </w:r>
      <w:r w:rsidRPr="00A2413E" w:rsidR="00C02F5E">
        <w:rPr>
          <w:i/>
          <w:iCs/>
          <w:szCs w:val="26"/>
        </w:rPr>
        <w:t>Bittinger v. New York Life Ins. Co.</w:t>
      </w:r>
      <w:r w:rsidRPr="00A2413E" w:rsidR="00C02F5E">
        <w:rPr>
          <w:szCs w:val="26"/>
        </w:rPr>
        <w:t xml:space="preserve"> (1941) 17 Cal.2d 834, 840 </w:t>
      </w:r>
      <w:r w:rsidR="00E916C4">
        <w:rPr>
          <w:szCs w:val="26"/>
        </w:rPr>
        <w:t>[“</w:t>
      </w:r>
      <w:r w:rsidRPr="00A2413E" w:rsidR="00C02F5E">
        <w:rPr>
          <w:szCs w:val="26"/>
        </w:rPr>
        <w:t>forfeitures generally are not favored”]</w:t>
      </w:r>
      <w:r w:rsidR="00C02F5E">
        <w:rPr>
          <w:szCs w:val="26"/>
        </w:rPr>
        <w:t xml:space="preserve">; </w:t>
      </w:r>
      <w:r w:rsidRPr="00A2413E" w:rsidR="00C02F5E">
        <w:rPr>
          <w:i/>
          <w:iCs/>
          <w:color w:val="000000"/>
          <w:szCs w:val="26"/>
          <w:bdr w:val="none" w:sz="0" w:space="0" w:color="auto" w:frame="1"/>
        </w:rPr>
        <w:t>People v. United Nat. Life Ins. Co.</w:t>
      </w:r>
      <w:r w:rsidRPr="00A2413E" w:rsidR="00C02F5E">
        <w:rPr>
          <w:color w:val="000000"/>
          <w:szCs w:val="26"/>
        </w:rPr>
        <w:t xml:space="preserve"> (1967) 66 Cal.2d 577, 600 </w:t>
      </w:r>
      <w:r w:rsidR="00C02F5E">
        <w:rPr>
          <w:color w:val="000000"/>
          <w:szCs w:val="26"/>
        </w:rPr>
        <w:t>[</w:t>
      </w:r>
      <w:r w:rsidR="00653B6D">
        <w:rPr>
          <w:color w:val="000000"/>
          <w:szCs w:val="26"/>
        </w:rPr>
        <w:t xml:space="preserve">“The </w:t>
      </w:r>
      <w:r w:rsidRPr="00A2413E" w:rsidR="00C02F5E">
        <w:rPr>
          <w:szCs w:val="26"/>
        </w:rPr>
        <w:t xml:space="preserve">insurance industry </w:t>
      </w:r>
      <w:r w:rsidR="00653B6D">
        <w:rPr>
          <w:szCs w:val="26"/>
        </w:rPr>
        <w:t>is regulated</w:t>
      </w:r>
      <w:r w:rsidRPr="00A2413E" w:rsidR="00C02F5E">
        <w:rPr>
          <w:szCs w:val="26"/>
        </w:rPr>
        <w:t xml:space="preserve"> </w:t>
      </w:r>
      <w:r w:rsidRPr="00A2413E" w:rsidR="00C02F5E">
        <w:rPr>
          <w:color w:val="000000"/>
          <w:szCs w:val="26"/>
          <w:shd w:val="clear" w:color="auto" w:fill="FFFFFF"/>
        </w:rPr>
        <w:t>primarily for the benefit of</w:t>
      </w:r>
      <w:r w:rsidR="00653B6D">
        <w:rPr>
          <w:color w:val="000000"/>
          <w:szCs w:val="26"/>
          <w:shd w:val="clear" w:color="auto" w:fill="FFFFFF"/>
        </w:rPr>
        <w:t>” insureds</w:t>
      </w:r>
      <w:r w:rsidR="00C02F5E">
        <w:rPr>
          <w:szCs w:val="26"/>
        </w:rPr>
        <w:t>])</w:t>
      </w:r>
      <w:r w:rsidR="004D5F72">
        <w:rPr>
          <w:color w:val="000000"/>
          <w:szCs w:val="26"/>
        </w:rPr>
        <w:t xml:space="preserve">; (2) </w:t>
      </w:r>
      <w:r w:rsidRPr="00A2413E" w:rsidR="004D5F72">
        <w:rPr>
          <w:color w:val="000000"/>
          <w:szCs w:val="26"/>
        </w:rPr>
        <w:t xml:space="preserve">place the burden on the </w:t>
      </w:r>
      <w:r w:rsidR="004D5F72">
        <w:rPr>
          <w:color w:val="000000"/>
          <w:szCs w:val="26"/>
        </w:rPr>
        <w:t>party who stands to</w:t>
      </w:r>
      <w:r w:rsidRPr="00A2413E" w:rsidR="004D5F72">
        <w:rPr>
          <w:color w:val="000000"/>
          <w:szCs w:val="26"/>
        </w:rPr>
        <w:t xml:space="preserve"> gain</w:t>
      </w:r>
      <w:r w:rsidR="00002EA7">
        <w:rPr>
          <w:color w:val="000000"/>
          <w:szCs w:val="26"/>
        </w:rPr>
        <w:t xml:space="preserve"> financially</w:t>
      </w:r>
      <w:r w:rsidRPr="00A2413E" w:rsidR="004D5F72">
        <w:rPr>
          <w:color w:val="000000"/>
          <w:szCs w:val="26"/>
        </w:rPr>
        <w:t xml:space="preserve"> from</w:t>
      </w:r>
      <w:r w:rsidR="004D5F72">
        <w:rPr>
          <w:color w:val="000000"/>
          <w:szCs w:val="26"/>
        </w:rPr>
        <w:t xml:space="preserve"> </w:t>
      </w:r>
      <w:r w:rsidR="00500CFF">
        <w:rPr>
          <w:color w:val="000000"/>
          <w:szCs w:val="26"/>
        </w:rPr>
        <w:t xml:space="preserve">an early </w:t>
      </w:r>
      <w:r w:rsidRPr="00A2413E" w:rsidR="004D5F72">
        <w:rPr>
          <w:color w:val="000000"/>
          <w:szCs w:val="26"/>
        </w:rPr>
        <w:t>termination</w:t>
      </w:r>
      <w:r w:rsidR="00C02F5E">
        <w:rPr>
          <w:color w:val="000000"/>
          <w:szCs w:val="26"/>
        </w:rPr>
        <w:t xml:space="preserve">; </w:t>
      </w:r>
      <w:r w:rsidR="00345256">
        <w:rPr>
          <w:color w:val="000000"/>
          <w:szCs w:val="26"/>
        </w:rPr>
        <w:t>(3) create standardized rules governing policies; and (4)</w:t>
      </w:r>
      <w:r w:rsidR="004D5F72">
        <w:rPr>
          <w:color w:val="000000"/>
          <w:szCs w:val="26"/>
        </w:rPr>
        <w:t xml:space="preserve"> help </w:t>
      </w:r>
      <w:r w:rsidRPr="00A2413E" w:rsidR="004D5F72">
        <w:rPr>
          <w:color w:val="000000"/>
          <w:szCs w:val="26"/>
        </w:rPr>
        <w:t>prevent payment disputes, which typically arise after policy</w:t>
      </w:r>
      <w:r w:rsidR="00FE5C9B">
        <w:rPr>
          <w:color w:val="000000"/>
          <w:szCs w:val="26"/>
        </w:rPr>
        <w:t xml:space="preserve"> owner</w:t>
      </w:r>
      <w:r w:rsidRPr="00A2413E" w:rsidR="004D5F72">
        <w:rPr>
          <w:color w:val="000000"/>
          <w:szCs w:val="26"/>
        </w:rPr>
        <w:t>s have died.</w:t>
      </w:r>
      <w:r w:rsidR="00345256">
        <w:rPr>
          <w:color w:val="000000"/>
          <w:szCs w:val="26"/>
        </w:rPr>
        <w:t xml:space="preserve">  </w:t>
      </w:r>
      <w:r w:rsidR="00DF2F22">
        <w:rPr>
          <w:color w:val="000000"/>
          <w:szCs w:val="26"/>
        </w:rPr>
        <w:t>We take into account these considerations</w:t>
      </w:r>
      <w:r w:rsidR="00AE24A8">
        <w:rPr>
          <w:color w:val="000000"/>
          <w:szCs w:val="26"/>
        </w:rPr>
        <w:t xml:space="preserve"> insofar as they</w:t>
      </w:r>
      <w:r w:rsidR="00DF2F22">
        <w:rPr>
          <w:color w:val="000000"/>
          <w:szCs w:val="26"/>
        </w:rPr>
        <w:t xml:space="preserve"> </w:t>
      </w:r>
      <w:r w:rsidR="006742ED">
        <w:rPr>
          <w:color w:val="000000"/>
          <w:szCs w:val="26"/>
        </w:rPr>
        <w:t>plausibly counter the policy arguments raised by Protective Life and industry amici</w:t>
      </w:r>
      <w:r w:rsidRPr="00001076" w:rsidR="0030152E">
        <w:rPr>
          <w:color w:val="000000"/>
          <w:szCs w:val="26"/>
        </w:rPr>
        <w:t xml:space="preserve"> curiae</w:t>
      </w:r>
      <w:r w:rsidR="00BB4214">
        <w:rPr>
          <w:color w:val="000000"/>
          <w:szCs w:val="26"/>
        </w:rPr>
        <w:t xml:space="preserve">, </w:t>
      </w:r>
      <w:r w:rsidRPr="002B2D79" w:rsidR="00BB4214">
        <w:rPr>
          <w:color w:val="000000"/>
          <w:szCs w:val="27"/>
        </w:rPr>
        <w:t xml:space="preserve">and </w:t>
      </w:r>
      <w:r w:rsidRPr="002B2D79" w:rsidR="009A6324">
        <w:rPr>
          <w:color w:val="000000"/>
          <w:szCs w:val="27"/>
        </w:rPr>
        <w:t xml:space="preserve">they </w:t>
      </w:r>
      <w:r w:rsidRPr="002B2D79" w:rsidR="00BB4214">
        <w:rPr>
          <w:color w:val="000000"/>
          <w:szCs w:val="27"/>
        </w:rPr>
        <w:t xml:space="preserve">help us determine </w:t>
      </w:r>
      <w:r w:rsidRPr="002B2D79" w:rsidR="009A6324">
        <w:rPr>
          <w:color w:val="000000"/>
          <w:szCs w:val="27"/>
        </w:rPr>
        <w:t>that plaintiffs’ construction “</w:t>
      </w:r>
      <w:r w:rsidRPr="00001076" w:rsidR="0030152E">
        <w:rPr>
          <w:color w:val="000000"/>
          <w:szCs w:val="27"/>
        </w:rPr>
        <w:t> ‘</w:t>
      </w:r>
      <w:r w:rsidRPr="002B2D79" w:rsidR="009A6324">
        <w:rPr>
          <w:color w:val="000000"/>
          <w:szCs w:val="27"/>
        </w:rPr>
        <w:t>leads to the more reasonable result</w:t>
      </w:r>
      <w:r w:rsidRPr="00001076" w:rsidR="009A6324">
        <w:rPr>
          <w:color w:val="000000"/>
          <w:szCs w:val="27"/>
        </w:rPr>
        <w:t>.</w:t>
      </w:r>
      <w:r w:rsidRPr="00001076" w:rsidR="0030152E">
        <w:rPr>
          <w:color w:val="000000"/>
          <w:szCs w:val="27"/>
        </w:rPr>
        <w:t>’ </w:t>
      </w:r>
      <w:r w:rsidRPr="00001076" w:rsidR="009A6324">
        <w:rPr>
          <w:color w:val="000000"/>
          <w:szCs w:val="27"/>
        </w:rPr>
        <w:t>”</w:t>
      </w:r>
      <w:r w:rsidRPr="002B2D79" w:rsidR="009A6324">
        <w:rPr>
          <w:color w:val="000000"/>
          <w:szCs w:val="27"/>
        </w:rPr>
        <w:t xml:space="preserve">  (</w:t>
      </w:r>
      <w:r w:rsidRPr="002B2D79" w:rsidR="009A6324">
        <w:rPr>
          <w:i/>
          <w:iCs/>
          <w:color w:val="000000"/>
          <w:szCs w:val="27"/>
        </w:rPr>
        <w:t>Copley</w:t>
      </w:r>
      <w:r w:rsidRPr="002B2D79" w:rsidR="009A6324">
        <w:rPr>
          <w:color w:val="000000"/>
          <w:szCs w:val="27"/>
        </w:rPr>
        <w:t xml:space="preserve">, </w:t>
      </w:r>
      <w:r w:rsidRPr="002B2D79" w:rsidR="009A6324">
        <w:rPr>
          <w:i/>
          <w:iCs/>
          <w:color w:val="000000"/>
          <w:szCs w:val="27"/>
        </w:rPr>
        <w:t>supra</w:t>
      </w:r>
      <w:r w:rsidRPr="002B2D79" w:rsidR="009A6324">
        <w:rPr>
          <w:color w:val="000000"/>
          <w:szCs w:val="27"/>
        </w:rPr>
        <w:t>, 39 Cal.4th at p. 1291</w:t>
      </w:r>
      <w:r w:rsidR="00926BE8">
        <w:rPr>
          <w:color w:val="000000"/>
          <w:szCs w:val="27"/>
        </w:rPr>
        <w:t>.)</w:t>
      </w:r>
    </w:p>
    <w:p w:rsidR="007C4D23" w:rsidRPr="00405368" w:rsidP="00405368" w14:paraId="6667235F" w14:textId="3DE886AE">
      <w:pPr>
        <w:widowControl w:val="0"/>
        <w:ind w:firstLine="720"/>
        <w:rPr>
          <w:szCs w:val="27"/>
        </w:rPr>
      </w:pPr>
      <w:r w:rsidRPr="00D5454C">
        <w:rPr>
          <w:szCs w:val="27"/>
        </w:rPr>
        <w:t xml:space="preserve">Finally, </w:t>
      </w:r>
      <w:r w:rsidRPr="00D5454C" w:rsidR="009B4F90">
        <w:rPr>
          <w:szCs w:val="27"/>
        </w:rPr>
        <w:t xml:space="preserve">Protective Life briefly </w:t>
      </w:r>
      <w:r w:rsidRPr="00D5454C" w:rsidR="00CE0251">
        <w:rPr>
          <w:szCs w:val="27"/>
        </w:rPr>
        <w:t xml:space="preserve">raises a constitutional avoidance argument.  </w:t>
      </w:r>
      <w:r w:rsidRPr="00D5454C" w:rsidR="00D5454C">
        <w:rPr>
          <w:szCs w:val="27"/>
        </w:rPr>
        <w:t>(</w:t>
      </w:r>
      <w:r w:rsidRPr="00E27A97" w:rsidR="00D5454C">
        <w:rPr>
          <w:i/>
          <w:iCs/>
          <w:szCs w:val="27"/>
        </w:rPr>
        <w:t>Garcia</w:t>
      </w:r>
      <w:r w:rsidRPr="00D5454C" w:rsidR="00D5454C">
        <w:rPr>
          <w:szCs w:val="27"/>
        </w:rPr>
        <w:t xml:space="preserve">, </w:t>
      </w:r>
      <w:r w:rsidRPr="00D5454C" w:rsidR="00D5454C">
        <w:rPr>
          <w:i/>
          <w:iCs/>
          <w:szCs w:val="27"/>
        </w:rPr>
        <w:t>supra</w:t>
      </w:r>
      <w:r w:rsidRPr="00D5454C" w:rsidR="00D5454C">
        <w:rPr>
          <w:szCs w:val="27"/>
        </w:rPr>
        <w:t>, 2 Cal.5th at p. 804</w:t>
      </w:r>
      <w:r w:rsidR="00405368">
        <w:rPr>
          <w:szCs w:val="27"/>
        </w:rPr>
        <w:t xml:space="preserve">.)  </w:t>
      </w:r>
      <w:r w:rsidRPr="00D5454C" w:rsidR="00CE0251">
        <w:rPr>
          <w:szCs w:val="27"/>
        </w:rPr>
        <w:t xml:space="preserve">It contends that the Legislature’s decision to restrict sections 10113.71 and 10113.72 to </w:t>
      </w:r>
      <w:r w:rsidRPr="00001076" w:rsidR="00CE0251">
        <w:rPr>
          <w:szCs w:val="27"/>
        </w:rPr>
        <w:t>postenactment</w:t>
      </w:r>
      <w:r w:rsidR="00014342">
        <w:rPr>
          <w:szCs w:val="27"/>
        </w:rPr>
        <w:t xml:space="preserve"> policies</w:t>
      </w:r>
      <w:r w:rsidRPr="00D5454C" w:rsidR="00CE0251">
        <w:rPr>
          <w:szCs w:val="26"/>
        </w:rPr>
        <w:t xml:space="preserve"> </w:t>
      </w:r>
      <w:r w:rsidR="00CE0251">
        <w:rPr>
          <w:szCs w:val="26"/>
        </w:rPr>
        <w:t xml:space="preserve">represented an “especially sound” decision in light of </w:t>
      </w:r>
      <w:r w:rsidRPr="00001076" w:rsidR="0030152E">
        <w:rPr>
          <w:szCs w:val="26"/>
        </w:rPr>
        <w:t>c</w:t>
      </w:r>
      <w:r w:rsidRPr="00001076" w:rsidR="00CE0251">
        <w:rPr>
          <w:szCs w:val="26"/>
        </w:rPr>
        <w:t xml:space="preserve">ontracts </w:t>
      </w:r>
      <w:r w:rsidRPr="00001076" w:rsidR="0030152E">
        <w:rPr>
          <w:szCs w:val="26"/>
        </w:rPr>
        <w:t>c</w:t>
      </w:r>
      <w:r w:rsidRPr="00001076" w:rsidR="00CE0251">
        <w:rPr>
          <w:szCs w:val="26"/>
        </w:rPr>
        <w:t>lause</w:t>
      </w:r>
      <w:r w:rsidR="00CE0251">
        <w:rPr>
          <w:szCs w:val="26"/>
        </w:rPr>
        <w:t xml:space="preserve"> </w:t>
      </w:r>
      <w:r w:rsidR="00EA5A19">
        <w:rPr>
          <w:szCs w:val="26"/>
        </w:rPr>
        <w:t xml:space="preserve">concerns </w:t>
      </w:r>
      <w:r w:rsidR="00CE0251">
        <w:rPr>
          <w:szCs w:val="26"/>
        </w:rPr>
        <w:t xml:space="preserve">that would have flowed from altering the terms of </w:t>
      </w:r>
      <w:r w:rsidR="001D187C">
        <w:rPr>
          <w:szCs w:val="26"/>
        </w:rPr>
        <w:t xml:space="preserve">existing </w:t>
      </w:r>
      <w:r w:rsidR="00CE0251">
        <w:t>policies.</w:t>
      </w:r>
      <w:r w:rsidR="00946FD1">
        <w:t xml:space="preserve">  </w:t>
      </w:r>
      <w:r w:rsidRPr="00CE6897" w:rsidR="00CE6897">
        <w:t>(U.S. Const., art. I, § 10; see Cal. Const., art. I, § 9.)</w:t>
      </w:r>
      <w:r w:rsidR="00CE6897">
        <w:t xml:space="preserve">  </w:t>
      </w:r>
      <w:r w:rsidR="003D3538">
        <w:t>What we conclude instead</w:t>
      </w:r>
      <w:r w:rsidR="00235B79">
        <w:t xml:space="preserve"> — </w:t>
      </w:r>
      <w:r w:rsidR="003D3538">
        <w:t xml:space="preserve">relying on </w:t>
      </w:r>
      <w:r w:rsidR="005C2CAA">
        <w:t>similar</w:t>
      </w:r>
      <w:r w:rsidR="003D3538">
        <w:t xml:space="preserve"> logic </w:t>
      </w:r>
      <w:r w:rsidR="00B807BF">
        <w:t xml:space="preserve">that applies in our </w:t>
      </w:r>
      <w:r w:rsidR="005C2CAA">
        <w:t xml:space="preserve">separate </w:t>
      </w:r>
      <w:r w:rsidR="00B807BF">
        <w:t>analysis</w:t>
      </w:r>
      <w:r w:rsidR="00BA4716">
        <w:t xml:space="preserve"> </w:t>
      </w:r>
      <w:r w:rsidR="00B807BF">
        <w:t>of</w:t>
      </w:r>
      <w:r w:rsidR="00BA4716">
        <w:t xml:space="preserve"> the presumption of retroactivity</w:t>
      </w:r>
      <w:r w:rsidR="0082446D">
        <w:t> </w:t>
      </w:r>
      <w:r w:rsidR="00F12914">
        <w:t xml:space="preserve">(see </w:t>
      </w:r>
      <w:r w:rsidRPr="00F12914" w:rsidR="00F12914">
        <w:rPr>
          <w:i/>
          <w:iCs/>
        </w:rPr>
        <w:t>Myers</w:t>
      </w:r>
      <w:r w:rsidR="00F12914">
        <w:t xml:space="preserve">, </w:t>
      </w:r>
      <w:r w:rsidRPr="00F12914" w:rsidR="00F12914">
        <w:rPr>
          <w:i/>
          <w:iCs/>
        </w:rPr>
        <w:t>supra</w:t>
      </w:r>
      <w:r w:rsidR="00F12914">
        <w:t>, 28 Cal.4th at p. 841 [explaining the presumption is rooted in constitutional principles]</w:t>
      </w:r>
      <w:r w:rsidR="00D54DEB">
        <w:t>)</w:t>
      </w:r>
      <w:r w:rsidR="00235B79">
        <w:t xml:space="preserve"> — </w:t>
      </w:r>
      <w:r w:rsidR="003D3538">
        <w:t xml:space="preserve">is </w:t>
      </w:r>
      <w:r w:rsidR="00D8115F">
        <w:t xml:space="preserve">that </w:t>
      </w:r>
      <w:r w:rsidR="00BB3D64">
        <w:t xml:space="preserve">requiring insurers </w:t>
      </w:r>
      <w:r w:rsidR="00A84AEF">
        <w:t xml:space="preserve">to </w:t>
      </w:r>
      <w:r w:rsidR="00BB3D64">
        <w:t xml:space="preserve">observe a 60-day grace period and give 30 days’ notice of impending lapse does not substantially impair </w:t>
      </w:r>
      <w:r w:rsidR="00CB75BE">
        <w:t>Protective Life’s</w:t>
      </w:r>
      <w:r w:rsidR="00BB3D64">
        <w:t xml:space="preserve"> contractual rights under an existing policy.  </w:t>
      </w:r>
      <w:r w:rsidRPr="00767879" w:rsidR="00FA049E">
        <w:rPr>
          <w:i/>
          <w:iCs/>
        </w:rPr>
        <w:t>Calfarm</w:t>
      </w:r>
      <w:r w:rsidR="00767879">
        <w:t xml:space="preserve">, </w:t>
      </w:r>
      <w:r w:rsidRPr="00767879" w:rsidR="00767879">
        <w:rPr>
          <w:i/>
          <w:iCs/>
        </w:rPr>
        <w:t>supra</w:t>
      </w:r>
      <w:r w:rsidR="00767879">
        <w:t xml:space="preserve">, </w:t>
      </w:r>
      <w:r w:rsidRPr="00767879" w:rsidR="00FA049E">
        <w:t>48</w:t>
      </w:r>
      <w:r w:rsidRPr="009B2D5E" w:rsidR="00FA049E">
        <w:t xml:space="preserve"> Cal.3d </w:t>
      </w:r>
      <w:r w:rsidR="00163B1E">
        <w:t>at pages 830–831</w:t>
      </w:r>
      <w:r w:rsidR="00FA049E">
        <w:t xml:space="preserve"> supports our conclusion</w:t>
      </w:r>
      <w:r w:rsidR="005329E6">
        <w:rPr>
          <w:szCs w:val="26"/>
        </w:rPr>
        <w:t>.</w:t>
      </w:r>
    </w:p>
    <w:bookmarkEnd w:id="37"/>
    <w:p w:rsidR="00134F1C" w:rsidRPr="005A54C5" w:rsidP="005A54C5" w14:paraId="2B6944B0" w14:textId="6ADB673F">
      <w:pPr>
        <w:pStyle w:val="Heading2"/>
        <w:tabs>
          <w:tab w:val="left" w:pos="0"/>
          <w:tab w:val="clear" w:pos="1152"/>
        </w:tabs>
        <w:ind w:left="0" w:firstLine="0"/>
        <w:jc w:val="center"/>
      </w:pPr>
      <w:r w:rsidRPr="005A54C5">
        <w:t>C.</w:t>
      </w:r>
    </w:p>
    <w:p w:rsidR="00B433BB" w:rsidRPr="00A2413E" w:rsidP="00A2413E" w14:paraId="01F9799C" w14:textId="2CA80E1C">
      <w:pPr>
        <w:rPr>
          <w:color w:val="000000"/>
          <w:szCs w:val="26"/>
          <w:shd w:val="clear" w:color="auto" w:fill="FFFFFF"/>
        </w:rPr>
      </w:pPr>
      <w:r w:rsidRPr="00A2413E">
        <w:rPr>
          <w:color w:val="000000"/>
          <w:szCs w:val="26"/>
          <w:shd w:val="clear" w:color="auto" w:fill="FFFFFF"/>
        </w:rPr>
        <w:tab/>
      </w:r>
      <w:r w:rsidR="00235196">
        <w:rPr>
          <w:color w:val="000000"/>
          <w:szCs w:val="26"/>
          <w:shd w:val="clear" w:color="auto" w:fill="FFFFFF"/>
        </w:rPr>
        <w:t xml:space="preserve">The Court of Appeal held that </w:t>
      </w:r>
      <w:r w:rsidR="0001219A">
        <w:rPr>
          <w:color w:val="000000"/>
          <w:szCs w:val="26"/>
          <w:shd w:val="clear" w:color="auto" w:fill="FFFFFF"/>
        </w:rPr>
        <w:t>insurance policies already in effect</w:t>
      </w:r>
      <w:r w:rsidR="00235196">
        <w:rPr>
          <w:color w:val="000000"/>
          <w:szCs w:val="26"/>
          <w:shd w:val="clear" w:color="auto" w:fill="FFFFFF"/>
        </w:rPr>
        <w:t xml:space="preserve"> when the Legislature reformed </w:t>
      </w:r>
      <w:r w:rsidR="00383A7F">
        <w:rPr>
          <w:color w:val="000000"/>
          <w:szCs w:val="26"/>
          <w:shd w:val="clear" w:color="auto" w:fill="FFFFFF"/>
        </w:rPr>
        <w:t xml:space="preserve">grace period and </w:t>
      </w:r>
      <w:r w:rsidR="00235196">
        <w:rPr>
          <w:color w:val="000000"/>
          <w:szCs w:val="26"/>
          <w:shd w:val="clear" w:color="auto" w:fill="FFFFFF"/>
        </w:rPr>
        <w:t xml:space="preserve">notice requirements were not </w:t>
      </w:r>
      <w:r w:rsidR="0001219A">
        <w:rPr>
          <w:color w:val="000000"/>
          <w:szCs w:val="26"/>
          <w:shd w:val="clear" w:color="auto" w:fill="FFFFFF"/>
        </w:rPr>
        <w:t>affected</w:t>
      </w:r>
      <w:r w:rsidR="00235196">
        <w:rPr>
          <w:color w:val="000000"/>
          <w:szCs w:val="26"/>
          <w:shd w:val="clear" w:color="auto" w:fill="FFFFFF"/>
        </w:rPr>
        <w:t xml:space="preserve"> by sections 10113.71 and 10113.72.  </w:t>
      </w:r>
      <w:r w:rsidR="0001219A">
        <w:rPr>
          <w:color w:val="000000"/>
          <w:szCs w:val="26"/>
          <w:shd w:val="clear" w:color="auto" w:fill="FFFFFF"/>
        </w:rPr>
        <w:t>In reaching this conclusion</w:t>
      </w:r>
      <w:r w:rsidR="00235196">
        <w:rPr>
          <w:color w:val="000000"/>
          <w:szCs w:val="26"/>
          <w:shd w:val="clear" w:color="auto" w:fill="FFFFFF"/>
        </w:rPr>
        <w:t xml:space="preserve">, </w:t>
      </w:r>
      <w:r w:rsidR="0001219A">
        <w:rPr>
          <w:color w:val="000000"/>
          <w:szCs w:val="26"/>
          <w:shd w:val="clear" w:color="auto" w:fill="FFFFFF"/>
        </w:rPr>
        <w:t>the appellate court</w:t>
      </w:r>
      <w:r w:rsidR="00235196">
        <w:rPr>
          <w:color w:val="000000"/>
          <w:szCs w:val="26"/>
          <w:shd w:val="clear" w:color="auto" w:fill="FFFFFF"/>
        </w:rPr>
        <w:t xml:space="preserve"> </w:t>
      </w:r>
      <w:r w:rsidR="0001219A">
        <w:rPr>
          <w:color w:val="000000"/>
          <w:szCs w:val="26"/>
          <w:shd w:val="clear" w:color="auto" w:fill="FFFFFF"/>
        </w:rPr>
        <w:t xml:space="preserve">cited DOI guidance about these sections and claimed it had an obligation to defer to these agency interpretations.  We find otherwise. </w:t>
      </w:r>
    </w:p>
    <w:p w:rsidR="003C7F80" w:rsidP="00A2413E" w14:paraId="06AAC860" w14:textId="65F5897D">
      <w:pPr>
        <w:rPr>
          <w:color w:val="000000"/>
          <w:szCs w:val="26"/>
          <w:shd w:val="clear" w:color="auto" w:fill="FFFFFF"/>
        </w:rPr>
      </w:pPr>
      <w:r w:rsidRPr="00A2413E">
        <w:rPr>
          <w:color w:val="000000"/>
          <w:szCs w:val="26"/>
          <w:shd w:val="clear" w:color="auto" w:fill="FFFFFF"/>
        </w:rPr>
        <w:tab/>
      </w:r>
      <w:r w:rsidR="0001219A">
        <w:rPr>
          <w:color w:val="000000"/>
          <w:szCs w:val="26"/>
          <w:shd w:val="clear" w:color="auto" w:fill="FFFFFF"/>
        </w:rPr>
        <w:t>According to the</w:t>
      </w:r>
      <w:r w:rsidRPr="00A2413E" w:rsidR="0001219A">
        <w:rPr>
          <w:color w:val="000000"/>
          <w:szCs w:val="26"/>
          <w:shd w:val="clear" w:color="auto" w:fill="FFFFFF"/>
        </w:rPr>
        <w:t xml:space="preserve"> </w:t>
      </w:r>
      <w:r w:rsidRPr="00A2413E" w:rsidR="003E3D6E">
        <w:rPr>
          <w:color w:val="000000"/>
          <w:szCs w:val="26"/>
          <w:shd w:val="clear" w:color="auto" w:fill="FFFFFF"/>
        </w:rPr>
        <w:t>Court of Appeal</w:t>
      </w:r>
      <w:r w:rsidR="0001219A">
        <w:rPr>
          <w:color w:val="000000"/>
          <w:szCs w:val="26"/>
          <w:shd w:val="clear" w:color="auto" w:fill="FFFFFF"/>
        </w:rPr>
        <w:t xml:space="preserve">, </w:t>
      </w:r>
      <w:r w:rsidRPr="00A2413E" w:rsidR="00C2717E">
        <w:rPr>
          <w:color w:val="000000"/>
          <w:szCs w:val="26"/>
          <w:shd w:val="clear" w:color="auto" w:fill="FFFFFF"/>
        </w:rPr>
        <w:t>two sources of D</w:t>
      </w:r>
      <w:r w:rsidRPr="00A2413E" w:rsidR="00D17B51">
        <w:rPr>
          <w:color w:val="000000"/>
          <w:szCs w:val="26"/>
          <w:shd w:val="clear" w:color="auto" w:fill="FFFFFF"/>
        </w:rPr>
        <w:t>OI</w:t>
      </w:r>
      <w:r w:rsidRPr="00A2413E" w:rsidR="00C2717E">
        <w:rPr>
          <w:color w:val="000000"/>
          <w:szCs w:val="26"/>
          <w:shd w:val="clear" w:color="auto" w:fill="FFFFFF"/>
        </w:rPr>
        <w:t xml:space="preserve"> guidance </w:t>
      </w:r>
      <w:r w:rsidRPr="00A2413E" w:rsidR="00D10AE4">
        <w:rPr>
          <w:color w:val="000000"/>
          <w:szCs w:val="26"/>
          <w:shd w:val="clear" w:color="auto" w:fill="FFFFFF"/>
        </w:rPr>
        <w:t>establish</w:t>
      </w:r>
      <w:r w:rsidRPr="00A2413E" w:rsidR="00222E69">
        <w:rPr>
          <w:color w:val="000000"/>
          <w:szCs w:val="26"/>
          <w:shd w:val="clear" w:color="auto" w:fill="FFFFFF"/>
        </w:rPr>
        <w:t>ed</w:t>
      </w:r>
      <w:r w:rsidRPr="00A2413E" w:rsidR="00836F3E">
        <w:rPr>
          <w:color w:val="000000"/>
          <w:szCs w:val="26"/>
          <w:shd w:val="clear" w:color="auto" w:fill="FFFFFF"/>
        </w:rPr>
        <w:t xml:space="preserve"> the agency’s</w:t>
      </w:r>
      <w:r w:rsidRPr="00A2413E" w:rsidR="006F41DD">
        <w:rPr>
          <w:color w:val="000000"/>
          <w:szCs w:val="26"/>
          <w:shd w:val="clear" w:color="auto" w:fill="FFFFFF"/>
        </w:rPr>
        <w:t xml:space="preserve"> position</w:t>
      </w:r>
      <w:r w:rsidRPr="00A2413E" w:rsidR="00D10AE4">
        <w:rPr>
          <w:color w:val="000000"/>
          <w:szCs w:val="26"/>
          <w:shd w:val="clear" w:color="auto" w:fill="FFFFFF"/>
        </w:rPr>
        <w:t xml:space="preserve"> that </w:t>
      </w:r>
      <w:r w:rsidRPr="00A2413E" w:rsidR="00F90978">
        <w:rPr>
          <w:color w:val="000000"/>
          <w:szCs w:val="26"/>
          <w:shd w:val="clear" w:color="auto" w:fill="FFFFFF"/>
        </w:rPr>
        <w:t>the sections</w:t>
      </w:r>
      <w:r w:rsidRPr="00A2413E" w:rsidR="00D10AE4">
        <w:rPr>
          <w:color w:val="000000"/>
          <w:szCs w:val="26"/>
          <w:shd w:val="clear" w:color="auto" w:fill="FFFFFF"/>
        </w:rPr>
        <w:t xml:space="preserve"> apply only to policies issued</w:t>
      </w:r>
      <w:r w:rsidRPr="00A2413E" w:rsidR="003D4CFE">
        <w:rPr>
          <w:color w:val="000000"/>
          <w:szCs w:val="26"/>
          <w:shd w:val="clear" w:color="auto" w:fill="FFFFFF"/>
        </w:rPr>
        <w:t xml:space="preserve"> </w:t>
      </w:r>
      <w:r w:rsidRPr="00A2413E" w:rsidR="00D10AE4">
        <w:rPr>
          <w:color w:val="000000"/>
          <w:szCs w:val="26"/>
          <w:shd w:val="clear" w:color="auto" w:fill="FFFFFF"/>
        </w:rPr>
        <w:t xml:space="preserve">after January 1, 2013.  </w:t>
      </w:r>
      <w:r w:rsidRPr="00A2413E" w:rsidR="005772BC">
        <w:rPr>
          <w:color w:val="000000"/>
          <w:szCs w:val="26"/>
          <w:shd w:val="clear" w:color="auto" w:fill="FFFFFF"/>
        </w:rPr>
        <w:t xml:space="preserve">First, the court pointed to </w:t>
      </w:r>
      <w:r w:rsidRPr="00A2413E" w:rsidR="002345E4">
        <w:rPr>
          <w:color w:val="000000"/>
          <w:szCs w:val="26"/>
          <w:shd w:val="clear" w:color="auto" w:fill="FFFFFF"/>
        </w:rPr>
        <w:t>SERFF</w:t>
      </w:r>
      <w:r w:rsidR="00E75551">
        <w:rPr>
          <w:color w:val="000000"/>
          <w:szCs w:val="26"/>
          <w:shd w:val="clear" w:color="auto" w:fill="FFFFFF"/>
        </w:rPr>
        <w:t>.</w:t>
      </w:r>
      <w:r w:rsidRPr="00A2413E" w:rsidR="002345E4">
        <w:rPr>
          <w:color w:val="000000"/>
          <w:szCs w:val="26"/>
          <w:shd w:val="clear" w:color="auto" w:fill="FFFFFF"/>
        </w:rPr>
        <w:t xml:space="preserve"> </w:t>
      </w:r>
      <w:r w:rsidR="00E75551">
        <w:rPr>
          <w:color w:val="000000"/>
          <w:szCs w:val="26"/>
          <w:shd w:val="clear" w:color="auto" w:fill="FFFFFF"/>
        </w:rPr>
        <w:t xml:space="preserve"> </w:t>
      </w:r>
      <w:r w:rsidRPr="00A2413E">
        <w:rPr>
          <w:color w:val="000000"/>
          <w:szCs w:val="26"/>
          <w:shd w:val="clear" w:color="auto" w:fill="FFFFFF"/>
        </w:rPr>
        <w:t>(</w:t>
      </w:r>
      <w:r w:rsidRPr="00A2413E">
        <w:rPr>
          <w:i/>
          <w:iCs/>
          <w:color w:val="000000"/>
          <w:szCs w:val="26"/>
          <w:shd w:val="clear" w:color="auto" w:fill="FFFFFF"/>
        </w:rPr>
        <w:t>McHugh</w:t>
      </w:r>
      <w:r w:rsidRPr="00A2413E">
        <w:rPr>
          <w:color w:val="000000"/>
          <w:szCs w:val="26"/>
          <w:shd w:val="clear" w:color="auto" w:fill="FFFFFF"/>
        </w:rPr>
        <w:t xml:space="preserve">, </w:t>
      </w:r>
      <w:r w:rsidRPr="00A2413E">
        <w:rPr>
          <w:i/>
          <w:iCs/>
          <w:color w:val="000000"/>
          <w:szCs w:val="26"/>
          <w:shd w:val="clear" w:color="auto" w:fill="FFFFFF"/>
        </w:rPr>
        <w:t>supra</w:t>
      </w:r>
      <w:r w:rsidRPr="00A2413E">
        <w:rPr>
          <w:color w:val="000000"/>
          <w:szCs w:val="26"/>
          <w:shd w:val="clear" w:color="auto" w:fill="FFFFFF"/>
        </w:rPr>
        <w:t xml:space="preserve">, 40 Cal.App.5th at p. 1172.)  </w:t>
      </w:r>
      <w:r w:rsidRPr="00A2413E" w:rsidR="002345E4">
        <w:rPr>
          <w:color w:val="000000"/>
          <w:szCs w:val="26"/>
          <w:shd w:val="clear" w:color="auto" w:fill="FFFFFF"/>
        </w:rPr>
        <w:t xml:space="preserve">SERFF is an internet-based system for insurers to submit rate and form filings to the </w:t>
      </w:r>
      <w:r w:rsidRPr="00001076" w:rsidR="0030152E">
        <w:rPr>
          <w:color w:val="000000"/>
          <w:szCs w:val="26"/>
          <w:shd w:val="clear" w:color="auto" w:fill="FFFFFF"/>
        </w:rPr>
        <w:t>DOI</w:t>
      </w:r>
      <w:r w:rsidRPr="00A2413E" w:rsidR="002345E4">
        <w:rPr>
          <w:color w:val="000000"/>
          <w:szCs w:val="26"/>
          <w:shd w:val="clear" w:color="auto" w:fill="FFFFFF"/>
        </w:rPr>
        <w:t xml:space="preserve"> for</w:t>
      </w:r>
      <w:r w:rsidRPr="00A2413E" w:rsidR="00354677">
        <w:rPr>
          <w:color w:val="000000"/>
          <w:szCs w:val="26"/>
          <w:shd w:val="clear" w:color="auto" w:fill="FFFFFF"/>
        </w:rPr>
        <w:t xml:space="preserve"> review and</w:t>
      </w:r>
      <w:r w:rsidRPr="00A2413E" w:rsidR="002345E4">
        <w:rPr>
          <w:color w:val="000000"/>
          <w:szCs w:val="26"/>
          <w:shd w:val="clear" w:color="auto" w:fill="FFFFFF"/>
        </w:rPr>
        <w:t xml:space="preserve"> approval.  </w:t>
      </w:r>
      <w:r w:rsidRPr="00A2413E">
        <w:rPr>
          <w:color w:val="000000"/>
          <w:szCs w:val="26"/>
          <w:shd w:val="clear" w:color="auto" w:fill="FFFFFF"/>
        </w:rPr>
        <w:t>(</w:t>
      </w:r>
      <w:r w:rsidRPr="00A2413E">
        <w:rPr>
          <w:i/>
          <w:iCs/>
          <w:color w:val="000000"/>
          <w:szCs w:val="26"/>
          <w:shd w:val="clear" w:color="auto" w:fill="FFFFFF"/>
        </w:rPr>
        <w:t>Ibid</w:t>
      </w:r>
      <w:r w:rsidRPr="00A2413E">
        <w:rPr>
          <w:color w:val="000000"/>
          <w:szCs w:val="26"/>
          <w:shd w:val="clear" w:color="auto" w:fill="FFFFFF"/>
        </w:rPr>
        <w:t xml:space="preserve">.)  </w:t>
      </w:r>
      <w:r w:rsidR="00AC7E8C">
        <w:rPr>
          <w:color w:val="000000"/>
          <w:szCs w:val="26"/>
          <w:shd w:val="clear" w:color="auto" w:fill="FFFFFF"/>
        </w:rPr>
        <w:t>According to the Court of Appeal, DOI “</w:t>
      </w:r>
      <w:r w:rsidRPr="00AC7E8C" w:rsidR="00AC7E8C">
        <w:rPr>
          <w:color w:val="000000"/>
          <w:szCs w:val="26"/>
          <w:shd w:val="clear" w:color="auto" w:fill="FFFFFF"/>
        </w:rPr>
        <w:t>mandates the use of SERFF and provides regulatory guidance to insurers through SERFF, including guidance for compliance with the statutes.</w:t>
      </w:r>
      <w:r w:rsidR="00AC7E8C">
        <w:rPr>
          <w:color w:val="000000"/>
          <w:szCs w:val="26"/>
          <w:shd w:val="clear" w:color="auto" w:fill="FFFFFF"/>
        </w:rPr>
        <w:t>”  (</w:t>
      </w:r>
      <w:r w:rsidRPr="00AC7E8C" w:rsidR="00AC7E8C">
        <w:rPr>
          <w:i/>
          <w:iCs/>
          <w:color w:val="000000"/>
          <w:szCs w:val="26"/>
          <w:shd w:val="clear" w:color="auto" w:fill="FFFFFF"/>
        </w:rPr>
        <w:t>Ibid</w:t>
      </w:r>
      <w:r w:rsidR="00AC7E8C">
        <w:rPr>
          <w:color w:val="000000"/>
          <w:szCs w:val="26"/>
          <w:shd w:val="clear" w:color="auto" w:fill="FFFFFF"/>
        </w:rPr>
        <w:t xml:space="preserve">.)  </w:t>
      </w:r>
      <w:r w:rsidR="00E75551">
        <w:rPr>
          <w:color w:val="000000"/>
          <w:szCs w:val="26"/>
          <w:shd w:val="clear" w:color="auto" w:fill="FFFFFF"/>
        </w:rPr>
        <w:t xml:space="preserve">As the court explained, DOI provided its determination that sections 10113.71 and 10113.72 apply only to </w:t>
      </w:r>
      <w:r w:rsidRPr="00001076" w:rsidR="00E75551">
        <w:rPr>
          <w:color w:val="000000"/>
          <w:szCs w:val="26"/>
          <w:shd w:val="clear" w:color="auto" w:fill="FFFFFF"/>
        </w:rPr>
        <w:t>postenactment</w:t>
      </w:r>
      <w:r w:rsidR="00E75551">
        <w:rPr>
          <w:color w:val="000000"/>
          <w:szCs w:val="26"/>
          <w:shd w:val="clear" w:color="auto" w:fill="FFFFFF"/>
        </w:rPr>
        <w:t xml:space="preserve"> policies</w:t>
      </w:r>
      <w:r w:rsidR="0099254B">
        <w:rPr>
          <w:color w:val="000000"/>
          <w:szCs w:val="26"/>
          <w:shd w:val="clear" w:color="auto" w:fill="FFFFFF"/>
        </w:rPr>
        <w:t xml:space="preserve"> with its SERFF </w:t>
      </w:r>
      <w:r w:rsidRPr="00A2413E" w:rsidR="0099254B">
        <w:rPr>
          <w:color w:val="000000"/>
          <w:szCs w:val="26"/>
          <w:shd w:val="clear" w:color="auto" w:fill="FFFFFF"/>
        </w:rPr>
        <w:t>“</w:t>
      </w:r>
      <w:r w:rsidR="003C7956">
        <w:rPr>
          <w:color w:val="000000"/>
          <w:szCs w:val="26"/>
          <w:shd w:val="clear" w:color="auto" w:fill="FFFFFF"/>
        </w:rPr>
        <w:t> </w:t>
      </w:r>
      <w:r w:rsidRPr="00A2413E" w:rsidR="0099254B">
        <w:rPr>
          <w:color w:val="000000"/>
          <w:szCs w:val="26"/>
          <w:shd w:val="clear" w:color="auto" w:fill="FFFFFF"/>
        </w:rPr>
        <w:t>‘Instructions for Complying with [Assembly Bill No.] 1747</w:t>
      </w:r>
      <w:r w:rsidR="0099254B">
        <w:rPr>
          <w:color w:val="000000"/>
          <w:szCs w:val="26"/>
          <w:shd w:val="clear" w:color="auto" w:fill="FFFFFF"/>
        </w:rPr>
        <w:t>,</w:t>
      </w:r>
      <w:r w:rsidRPr="00A2413E" w:rsidR="0099254B">
        <w:rPr>
          <w:color w:val="000000"/>
          <w:szCs w:val="26"/>
          <w:shd w:val="clear" w:color="auto" w:fill="FFFFFF"/>
        </w:rPr>
        <w:t>’</w:t>
      </w:r>
      <w:r w:rsidR="003C7956">
        <w:rPr>
          <w:color w:val="000000"/>
          <w:szCs w:val="26"/>
          <w:shd w:val="clear" w:color="auto" w:fill="FFFFFF"/>
        </w:rPr>
        <w:t> </w:t>
      </w:r>
      <w:r w:rsidRPr="00A2413E" w:rsidR="0099254B">
        <w:rPr>
          <w:color w:val="000000"/>
          <w:szCs w:val="26"/>
          <w:shd w:val="clear" w:color="auto" w:fill="FFFFFF"/>
        </w:rPr>
        <w:t>”</w:t>
      </w:r>
      <w:r w:rsidR="0099254B">
        <w:rPr>
          <w:color w:val="000000"/>
          <w:szCs w:val="26"/>
          <w:shd w:val="clear" w:color="auto" w:fill="FFFFFF"/>
        </w:rPr>
        <w:t xml:space="preserve"> which stated:</w:t>
      </w:r>
      <w:r w:rsidRPr="00A2413E" w:rsidR="0099254B">
        <w:rPr>
          <w:color w:val="000000"/>
          <w:szCs w:val="26"/>
          <w:shd w:val="clear" w:color="auto" w:fill="FFFFFF"/>
        </w:rPr>
        <w:t xml:space="preserve"> </w:t>
      </w:r>
      <w:r w:rsidRPr="00A2413E" w:rsidR="0024793F">
        <w:rPr>
          <w:color w:val="000000"/>
          <w:szCs w:val="26"/>
          <w:shd w:val="clear" w:color="auto" w:fill="FFFFFF"/>
        </w:rPr>
        <w:t xml:space="preserve"> “</w:t>
      </w:r>
      <w:r w:rsidR="00C341E9">
        <w:rPr>
          <w:color w:val="000000"/>
          <w:szCs w:val="26"/>
          <w:shd w:val="clear" w:color="auto" w:fill="FFFFFF"/>
        </w:rPr>
        <w:t> </w:t>
      </w:r>
      <w:r w:rsidRPr="00A2413E" w:rsidR="00F41D52">
        <w:rPr>
          <w:color w:val="000000"/>
          <w:szCs w:val="26"/>
          <w:shd w:val="clear" w:color="auto" w:fill="FFFFFF"/>
        </w:rPr>
        <w:t>‘</w:t>
      </w:r>
      <w:r w:rsidRPr="00A2413E" w:rsidR="0024793F">
        <w:rPr>
          <w:color w:val="000000"/>
          <w:szCs w:val="26"/>
          <w:shd w:val="clear" w:color="auto" w:fill="FFFFFF"/>
        </w:rPr>
        <w:t>All life insurance policies issued or delivered in California on or after [January 1, 2013] must contain a grace period of at least 60 days.</w:t>
      </w:r>
      <w:r w:rsidRPr="00A2413E" w:rsidR="00F41D52">
        <w:rPr>
          <w:color w:val="000000"/>
          <w:szCs w:val="26"/>
          <w:shd w:val="clear" w:color="auto" w:fill="FFFFFF"/>
        </w:rPr>
        <w:t>’</w:t>
      </w:r>
      <w:r w:rsidR="00C341E9">
        <w:rPr>
          <w:color w:val="000000"/>
          <w:szCs w:val="26"/>
          <w:shd w:val="clear" w:color="auto" w:fill="FFFFFF"/>
        </w:rPr>
        <w:t> </w:t>
      </w:r>
      <w:r w:rsidRPr="00A2413E" w:rsidR="0024793F">
        <w:rPr>
          <w:color w:val="000000"/>
          <w:szCs w:val="26"/>
          <w:shd w:val="clear" w:color="auto" w:fill="FFFFFF"/>
        </w:rPr>
        <w:t>”</w:t>
      </w:r>
      <w:r w:rsidRPr="00A2413E" w:rsidR="0059604E">
        <w:rPr>
          <w:color w:val="000000"/>
          <w:szCs w:val="26"/>
          <w:shd w:val="clear" w:color="auto" w:fill="FFFFFF"/>
        </w:rPr>
        <w:t xml:space="preserve">  </w:t>
      </w:r>
      <w:r w:rsidRPr="00A2413E">
        <w:rPr>
          <w:color w:val="000000"/>
          <w:szCs w:val="26"/>
          <w:shd w:val="clear" w:color="auto" w:fill="FFFFFF"/>
        </w:rPr>
        <w:t>(</w:t>
      </w:r>
      <w:r w:rsidR="00740BBE">
        <w:rPr>
          <w:i/>
          <w:iCs/>
          <w:color w:val="000000"/>
          <w:szCs w:val="26"/>
          <w:shd w:val="clear" w:color="auto" w:fill="FFFFFF"/>
        </w:rPr>
        <w:t>McHugh</w:t>
      </w:r>
      <w:r w:rsidR="00740BBE">
        <w:rPr>
          <w:color w:val="000000"/>
          <w:szCs w:val="26"/>
          <w:shd w:val="clear" w:color="auto" w:fill="FFFFFF"/>
        </w:rPr>
        <w:t>, at p. 1172</w:t>
      </w:r>
      <w:r w:rsidRPr="00A2413E">
        <w:rPr>
          <w:color w:val="000000"/>
          <w:szCs w:val="26"/>
          <w:shd w:val="clear" w:color="auto" w:fill="FFFFFF"/>
        </w:rPr>
        <w:t xml:space="preserve">.)  </w:t>
      </w:r>
      <w:r w:rsidRPr="00A2413E" w:rsidR="0059604E">
        <w:rPr>
          <w:color w:val="000000"/>
          <w:szCs w:val="26"/>
          <w:shd w:val="clear" w:color="auto" w:fill="FFFFFF"/>
        </w:rPr>
        <w:t xml:space="preserve">Second, the Court of Appeal </w:t>
      </w:r>
      <w:r w:rsidRPr="00A2413E" w:rsidR="00CA0CF3">
        <w:rPr>
          <w:color w:val="000000"/>
          <w:szCs w:val="26"/>
          <w:shd w:val="clear" w:color="auto" w:fill="FFFFFF"/>
        </w:rPr>
        <w:t xml:space="preserve">observed that senior </w:t>
      </w:r>
      <w:r w:rsidRPr="00001076" w:rsidR="00CA0CF3">
        <w:rPr>
          <w:color w:val="000000"/>
          <w:szCs w:val="26"/>
          <w:shd w:val="clear" w:color="auto" w:fill="FFFFFF"/>
        </w:rPr>
        <w:t>D</w:t>
      </w:r>
      <w:r w:rsidRPr="00001076" w:rsidR="0030152E">
        <w:rPr>
          <w:color w:val="000000"/>
          <w:szCs w:val="26"/>
          <w:shd w:val="clear" w:color="auto" w:fill="FFFFFF"/>
        </w:rPr>
        <w:t>OI</w:t>
      </w:r>
      <w:r w:rsidRPr="00A2413E" w:rsidR="00CA0CF3">
        <w:rPr>
          <w:color w:val="000000"/>
          <w:szCs w:val="26"/>
          <w:shd w:val="clear" w:color="auto" w:fill="FFFFFF"/>
        </w:rPr>
        <w:t xml:space="preserve"> personnel consistently communicated</w:t>
      </w:r>
      <w:r w:rsidR="0043670E">
        <w:rPr>
          <w:color w:val="000000"/>
          <w:szCs w:val="26"/>
          <w:shd w:val="clear" w:color="auto" w:fill="FFFFFF"/>
        </w:rPr>
        <w:t xml:space="preserve"> in written responses</w:t>
      </w:r>
      <w:r w:rsidRPr="00A2413E" w:rsidR="008A552F">
        <w:rPr>
          <w:color w:val="000000"/>
          <w:szCs w:val="26"/>
          <w:shd w:val="clear" w:color="auto" w:fill="FFFFFF"/>
        </w:rPr>
        <w:t xml:space="preserve"> </w:t>
      </w:r>
      <w:r w:rsidR="0043670E">
        <w:rPr>
          <w:color w:val="000000"/>
          <w:szCs w:val="26"/>
          <w:shd w:val="clear" w:color="auto" w:fill="FFFFFF"/>
        </w:rPr>
        <w:t xml:space="preserve">to </w:t>
      </w:r>
      <w:r w:rsidRPr="00A2413E" w:rsidR="008A552F">
        <w:rPr>
          <w:color w:val="000000"/>
          <w:szCs w:val="26"/>
          <w:shd w:val="clear" w:color="auto" w:fill="FFFFFF"/>
        </w:rPr>
        <w:t>inquiries from insurance industry represent</w:t>
      </w:r>
      <w:r w:rsidRPr="00A2413E" w:rsidR="006E65ED">
        <w:rPr>
          <w:color w:val="000000"/>
          <w:szCs w:val="26"/>
          <w:shd w:val="clear" w:color="auto" w:fill="FFFFFF"/>
        </w:rPr>
        <w:t>atives</w:t>
      </w:r>
      <w:r w:rsidRPr="00A2413E" w:rsidR="008A552F">
        <w:rPr>
          <w:color w:val="000000"/>
          <w:szCs w:val="26"/>
          <w:shd w:val="clear" w:color="auto" w:fill="FFFFFF"/>
        </w:rPr>
        <w:t xml:space="preserve"> </w:t>
      </w:r>
      <w:r w:rsidRPr="00A2413E" w:rsidR="00CA0CF3">
        <w:rPr>
          <w:color w:val="000000"/>
          <w:szCs w:val="26"/>
          <w:shd w:val="clear" w:color="auto" w:fill="FFFFFF"/>
        </w:rPr>
        <w:t>that the requirements in A</w:t>
      </w:r>
      <w:r w:rsidRPr="00A2413E" w:rsidR="00EF66C2">
        <w:rPr>
          <w:color w:val="000000"/>
          <w:szCs w:val="26"/>
          <w:shd w:val="clear" w:color="auto" w:fill="FFFFFF"/>
        </w:rPr>
        <w:t>ssembly Bill</w:t>
      </w:r>
      <w:r w:rsidRPr="00A2413E" w:rsidR="00B3748E">
        <w:rPr>
          <w:color w:val="000000"/>
          <w:szCs w:val="26"/>
          <w:shd w:val="clear" w:color="auto" w:fill="FFFFFF"/>
        </w:rPr>
        <w:t xml:space="preserve"> No.</w:t>
      </w:r>
      <w:r w:rsidRPr="00A2413E" w:rsidR="00CA0CF3">
        <w:rPr>
          <w:color w:val="000000"/>
          <w:szCs w:val="26"/>
          <w:shd w:val="clear" w:color="auto" w:fill="FFFFFF"/>
        </w:rPr>
        <w:t xml:space="preserve"> 1747 </w:t>
      </w:r>
      <w:r w:rsidRPr="00001076" w:rsidR="003F6A44">
        <w:rPr>
          <w:color w:val="000000"/>
          <w:szCs w:val="26"/>
        </w:rPr>
        <w:t xml:space="preserve">(2011–2012 Reg. Sess.) </w:t>
      </w:r>
      <w:r w:rsidRPr="00A2413E" w:rsidR="00CA0CF3">
        <w:rPr>
          <w:color w:val="000000"/>
          <w:szCs w:val="26"/>
          <w:shd w:val="clear" w:color="auto" w:fill="FFFFFF"/>
        </w:rPr>
        <w:t>applied only prospectively</w:t>
      </w:r>
      <w:r w:rsidRPr="00A2413E" w:rsidR="008A552F">
        <w:rPr>
          <w:color w:val="000000"/>
          <w:szCs w:val="26"/>
          <w:shd w:val="clear" w:color="auto" w:fill="FFFFFF"/>
        </w:rPr>
        <w:t xml:space="preserve">.  </w:t>
      </w:r>
      <w:r w:rsidRPr="00001076" w:rsidR="00A7374C">
        <w:rPr>
          <w:color w:val="000000"/>
          <w:szCs w:val="26"/>
          <w:shd w:val="clear" w:color="auto" w:fill="FFFFFF"/>
        </w:rPr>
        <w:t>(</w:t>
      </w:r>
      <w:r w:rsidRPr="00001076" w:rsidR="00A7374C">
        <w:rPr>
          <w:i/>
          <w:iCs/>
          <w:color w:val="000000"/>
          <w:szCs w:val="26"/>
          <w:shd w:val="clear" w:color="auto" w:fill="FFFFFF"/>
        </w:rPr>
        <w:t>McHugh</w:t>
      </w:r>
      <w:r w:rsidRPr="00001076" w:rsidR="00A7374C">
        <w:rPr>
          <w:color w:val="000000"/>
          <w:szCs w:val="26"/>
          <w:shd w:val="clear" w:color="auto" w:fill="FFFFFF"/>
        </w:rPr>
        <w:t xml:space="preserve">, at p. 1172.) </w:t>
      </w:r>
      <w:r w:rsidRPr="00A2413E">
        <w:rPr>
          <w:color w:val="000000"/>
          <w:szCs w:val="26"/>
          <w:shd w:val="clear" w:color="auto" w:fill="FFFFFF"/>
        </w:rPr>
        <w:t xml:space="preserve">  </w:t>
      </w:r>
    </w:p>
    <w:p w:rsidR="003866B4" w:rsidP="00A2413E" w14:paraId="20335AF3" w14:textId="0F45B7F1">
      <w:pPr>
        <w:rPr>
          <w:color w:val="000000"/>
          <w:szCs w:val="26"/>
          <w:shd w:val="clear" w:color="auto" w:fill="FFFFFF"/>
        </w:rPr>
      </w:pPr>
      <w:r>
        <w:rPr>
          <w:color w:val="000000"/>
          <w:szCs w:val="26"/>
          <w:shd w:val="clear" w:color="auto" w:fill="FFFFFF"/>
        </w:rPr>
        <w:tab/>
      </w:r>
      <w:r w:rsidR="0001219A">
        <w:rPr>
          <w:color w:val="000000"/>
          <w:szCs w:val="26"/>
          <w:shd w:val="clear" w:color="auto" w:fill="FFFFFF"/>
        </w:rPr>
        <w:t>The</w:t>
      </w:r>
      <w:r>
        <w:rPr>
          <w:color w:val="000000"/>
          <w:szCs w:val="26"/>
          <w:shd w:val="clear" w:color="auto" w:fill="FFFFFF"/>
        </w:rPr>
        <w:t xml:space="preserve"> Insurance Commissioner </w:t>
      </w:r>
      <w:r w:rsidR="0001219A">
        <w:rPr>
          <w:color w:val="000000"/>
          <w:szCs w:val="26"/>
          <w:shd w:val="clear" w:color="auto" w:fill="FFFFFF"/>
        </w:rPr>
        <w:t xml:space="preserve">takes a different position in his amicus </w:t>
      </w:r>
      <w:r w:rsidRPr="00001076" w:rsidR="00191159">
        <w:rPr>
          <w:color w:val="000000"/>
          <w:szCs w:val="26"/>
          <w:shd w:val="clear" w:color="auto" w:fill="FFFFFF"/>
        </w:rPr>
        <w:t>curiae</w:t>
      </w:r>
      <w:r w:rsidRPr="00001076" w:rsidR="0001219A">
        <w:rPr>
          <w:color w:val="000000"/>
          <w:szCs w:val="26"/>
          <w:shd w:val="clear" w:color="auto" w:fill="FFFFFF"/>
        </w:rPr>
        <w:t xml:space="preserve"> </w:t>
      </w:r>
      <w:r w:rsidR="0001219A">
        <w:rPr>
          <w:color w:val="000000"/>
          <w:szCs w:val="26"/>
          <w:shd w:val="clear" w:color="auto" w:fill="FFFFFF"/>
        </w:rPr>
        <w:t xml:space="preserve">letter, arguing </w:t>
      </w:r>
      <w:r>
        <w:rPr>
          <w:color w:val="000000"/>
          <w:szCs w:val="26"/>
          <w:shd w:val="clear" w:color="auto" w:fill="FFFFFF"/>
        </w:rPr>
        <w:t>that the Court of Appeal erred on both fronts.  We agree.</w:t>
      </w:r>
      <w:r w:rsidR="00157D03">
        <w:rPr>
          <w:color w:val="000000"/>
          <w:szCs w:val="26"/>
          <w:shd w:val="clear" w:color="auto" w:fill="FFFFFF"/>
        </w:rPr>
        <w:t xml:space="preserve">  </w:t>
      </w:r>
      <w:r>
        <w:rPr>
          <w:color w:val="000000"/>
          <w:szCs w:val="26"/>
          <w:shd w:val="clear" w:color="auto" w:fill="FFFFFF"/>
        </w:rPr>
        <w:t xml:space="preserve">Neither the SERFF </w:t>
      </w:r>
      <w:r w:rsidR="00E175EE">
        <w:rPr>
          <w:color w:val="000000"/>
          <w:szCs w:val="26"/>
          <w:shd w:val="clear" w:color="auto" w:fill="FFFFFF"/>
        </w:rPr>
        <w:t>instruction</w:t>
      </w:r>
      <w:r w:rsidR="004D21B5">
        <w:rPr>
          <w:color w:val="000000"/>
          <w:szCs w:val="26"/>
          <w:shd w:val="clear" w:color="auto" w:fill="FFFFFF"/>
        </w:rPr>
        <w:t xml:space="preserve"> nor the correspondence</w:t>
      </w:r>
      <w:r>
        <w:rPr>
          <w:color w:val="000000"/>
          <w:szCs w:val="26"/>
          <w:shd w:val="clear" w:color="auto" w:fill="FFFFFF"/>
        </w:rPr>
        <w:t xml:space="preserve"> </w:t>
      </w:r>
      <w:r w:rsidRPr="00A2413E">
        <w:rPr>
          <w:color w:val="000000"/>
          <w:szCs w:val="26"/>
          <w:shd w:val="clear" w:color="auto" w:fill="FFFFFF"/>
        </w:rPr>
        <w:t>represent</w:t>
      </w:r>
      <w:r>
        <w:rPr>
          <w:color w:val="000000"/>
          <w:szCs w:val="26"/>
          <w:shd w:val="clear" w:color="auto" w:fill="FFFFFF"/>
        </w:rPr>
        <w:t>ed</w:t>
      </w:r>
      <w:r w:rsidRPr="00A2413E">
        <w:rPr>
          <w:color w:val="000000"/>
          <w:szCs w:val="26"/>
          <w:shd w:val="clear" w:color="auto" w:fill="FFFFFF"/>
        </w:rPr>
        <w:t xml:space="preserve"> official guidance on the agency’s construction of sections 10113.71 and 10113.72, and </w:t>
      </w:r>
      <w:r w:rsidR="00333F53">
        <w:rPr>
          <w:color w:val="000000"/>
          <w:szCs w:val="26"/>
          <w:shd w:val="clear" w:color="auto" w:fill="FFFFFF"/>
        </w:rPr>
        <w:t>as a result</w:t>
      </w:r>
      <w:r w:rsidRPr="00A2413E">
        <w:rPr>
          <w:color w:val="000000"/>
          <w:szCs w:val="26"/>
          <w:shd w:val="clear" w:color="auto" w:fill="FFFFFF"/>
        </w:rPr>
        <w:t xml:space="preserve"> </w:t>
      </w:r>
      <w:r w:rsidR="002F5868">
        <w:rPr>
          <w:color w:val="000000"/>
          <w:szCs w:val="26"/>
          <w:shd w:val="clear" w:color="auto" w:fill="FFFFFF"/>
        </w:rPr>
        <w:t>neither</w:t>
      </w:r>
      <w:r w:rsidRPr="00A2413E">
        <w:rPr>
          <w:color w:val="000000"/>
          <w:szCs w:val="26"/>
          <w:shd w:val="clear" w:color="auto" w:fill="FFFFFF"/>
        </w:rPr>
        <w:t xml:space="preserve"> merit</w:t>
      </w:r>
      <w:r w:rsidR="00E57639">
        <w:rPr>
          <w:color w:val="000000"/>
          <w:szCs w:val="26"/>
          <w:shd w:val="clear" w:color="auto" w:fill="FFFFFF"/>
        </w:rPr>
        <w:t>ed</w:t>
      </w:r>
      <w:r w:rsidRPr="00A2413E">
        <w:rPr>
          <w:color w:val="000000"/>
          <w:szCs w:val="26"/>
          <w:shd w:val="clear" w:color="auto" w:fill="FFFFFF"/>
        </w:rPr>
        <w:t xml:space="preserve"> any measure of presumptive deference (see </w:t>
      </w:r>
      <w:r w:rsidRPr="00A2413E">
        <w:rPr>
          <w:i/>
          <w:iCs/>
          <w:color w:val="000000"/>
          <w:szCs w:val="26"/>
        </w:rPr>
        <w:t>Yamaha</w:t>
      </w:r>
      <w:r w:rsidRPr="00A2413E">
        <w:rPr>
          <w:color w:val="000000"/>
          <w:szCs w:val="26"/>
        </w:rPr>
        <w:t xml:space="preserve">, </w:t>
      </w:r>
      <w:r w:rsidRPr="00A2413E">
        <w:rPr>
          <w:i/>
          <w:iCs/>
          <w:color w:val="000000"/>
          <w:szCs w:val="26"/>
        </w:rPr>
        <w:t>supra</w:t>
      </w:r>
      <w:r w:rsidRPr="00A2413E">
        <w:rPr>
          <w:color w:val="000000"/>
          <w:szCs w:val="26"/>
        </w:rPr>
        <w:t xml:space="preserve">, 19 Cal.4th at pp. 7–8, 11); and Protective Life offers no other good reason why we should defer (see </w:t>
      </w:r>
      <w:r w:rsidRPr="00A2413E">
        <w:rPr>
          <w:i/>
          <w:iCs/>
          <w:color w:val="000000"/>
          <w:szCs w:val="26"/>
        </w:rPr>
        <w:t>id.</w:t>
      </w:r>
      <w:r w:rsidRPr="00A2413E">
        <w:rPr>
          <w:color w:val="000000"/>
          <w:szCs w:val="26"/>
        </w:rPr>
        <w:t xml:space="preserve"> at pp. 12–13 [contextual factors such as the agency’s expertise and technical knowledge of the issue, and whether the </w:t>
      </w:r>
      <w:r w:rsidR="001F104F">
        <w:rPr>
          <w:color w:val="000000"/>
          <w:szCs w:val="26"/>
        </w:rPr>
        <w:t>agency’s interpretation</w:t>
      </w:r>
      <w:r w:rsidRPr="00A2413E">
        <w:rPr>
          <w:color w:val="000000"/>
          <w:szCs w:val="26"/>
        </w:rPr>
        <w:t xml:space="preserve"> represents </w:t>
      </w:r>
      <w:r w:rsidR="001F104F">
        <w:rPr>
          <w:color w:val="000000"/>
          <w:szCs w:val="26"/>
        </w:rPr>
        <w:t>its</w:t>
      </w:r>
      <w:r w:rsidRPr="00A2413E">
        <w:rPr>
          <w:color w:val="000000"/>
          <w:szCs w:val="26"/>
        </w:rPr>
        <w:t xml:space="preserve"> carefully considered, long-standing, and contemporaneous view, determine what level of deference to give])</w:t>
      </w:r>
      <w:r w:rsidRPr="00A2413E">
        <w:rPr>
          <w:color w:val="000000"/>
          <w:szCs w:val="26"/>
          <w:shd w:val="clear" w:color="auto" w:fill="FFFFFF"/>
        </w:rPr>
        <w:t>.</w:t>
      </w:r>
    </w:p>
    <w:p w:rsidR="00FA4F14" w:rsidP="00A2413E" w14:paraId="4D860FF9" w14:textId="17A86C03">
      <w:pPr>
        <w:rPr>
          <w:color w:val="000000"/>
          <w:szCs w:val="26"/>
        </w:rPr>
      </w:pPr>
      <w:r>
        <w:rPr>
          <w:color w:val="000000"/>
          <w:szCs w:val="26"/>
          <w:shd w:val="clear" w:color="auto" w:fill="FFFFFF"/>
        </w:rPr>
        <w:tab/>
      </w:r>
      <w:r w:rsidR="0001219A">
        <w:rPr>
          <w:color w:val="000000"/>
          <w:szCs w:val="26"/>
          <w:shd w:val="clear" w:color="auto" w:fill="FFFFFF"/>
        </w:rPr>
        <w:t xml:space="preserve">In fact, the </w:t>
      </w:r>
      <w:r>
        <w:rPr>
          <w:color w:val="000000"/>
          <w:szCs w:val="26"/>
          <w:shd w:val="clear" w:color="auto" w:fill="FFFFFF"/>
        </w:rPr>
        <w:t xml:space="preserve">SERFF </w:t>
      </w:r>
      <w:r w:rsidR="00340DF5">
        <w:rPr>
          <w:color w:val="000000"/>
          <w:szCs w:val="26"/>
          <w:shd w:val="clear" w:color="auto" w:fill="FFFFFF"/>
        </w:rPr>
        <w:t>instruction</w:t>
      </w:r>
      <w:r>
        <w:rPr>
          <w:color w:val="000000"/>
          <w:szCs w:val="26"/>
          <w:shd w:val="clear" w:color="auto" w:fill="FFFFFF"/>
        </w:rPr>
        <w:t xml:space="preserve"> </w:t>
      </w:r>
      <w:r w:rsidR="0001219A">
        <w:rPr>
          <w:color w:val="000000"/>
          <w:szCs w:val="26"/>
          <w:shd w:val="clear" w:color="auto" w:fill="FFFFFF"/>
        </w:rPr>
        <w:t>does not</w:t>
      </w:r>
      <w:r>
        <w:rPr>
          <w:color w:val="000000"/>
          <w:szCs w:val="26"/>
          <w:shd w:val="clear" w:color="auto" w:fill="FFFFFF"/>
        </w:rPr>
        <w:t xml:space="preserve"> appear to </w:t>
      </w:r>
      <w:r w:rsidR="004D6786">
        <w:rPr>
          <w:color w:val="000000"/>
          <w:szCs w:val="26"/>
          <w:shd w:val="clear" w:color="auto" w:fill="FFFFFF"/>
        </w:rPr>
        <w:t xml:space="preserve">even </w:t>
      </w:r>
      <w:r w:rsidR="0001219A">
        <w:rPr>
          <w:color w:val="000000"/>
          <w:szCs w:val="26"/>
          <w:shd w:val="clear" w:color="auto" w:fill="FFFFFF"/>
        </w:rPr>
        <w:t xml:space="preserve">constitute </w:t>
      </w:r>
      <w:r w:rsidR="004D6786">
        <w:rPr>
          <w:color w:val="000000"/>
          <w:szCs w:val="26"/>
          <w:shd w:val="clear" w:color="auto" w:fill="FFFFFF"/>
        </w:rPr>
        <w:t>an</w:t>
      </w:r>
      <w:r>
        <w:rPr>
          <w:color w:val="000000"/>
          <w:szCs w:val="26"/>
          <w:shd w:val="clear" w:color="auto" w:fill="FFFFFF"/>
        </w:rPr>
        <w:t xml:space="preserve"> interpretation of </w:t>
      </w:r>
      <w:r>
        <w:rPr>
          <w:color w:val="000000"/>
          <w:szCs w:val="26"/>
        </w:rPr>
        <w:t>sections 10113.71 or 10113.72.</w:t>
      </w:r>
      <w:r>
        <w:rPr>
          <w:color w:val="000000"/>
          <w:szCs w:val="26"/>
          <w:shd w:val="clear" w:color="auto" w:fill="FFFFFF"/>
        </w:rPr>
        <w:t xml:space="preserve">  The </w:t>
      </w:r>
      <w:r w:rsidR="00DB1052">
        <w:rPr>
          <w:color w:val="000000"/>
          <w:szCs w:val="26"/>
        </w:rPr>
        <w:t>document</w:t>
      </w:r>
      <w:r>
        <w:rPr>
          <w:color w:val="000000"/>
          <w:szCs w:val="26"/>
        </w:rPr>
        <w:t xml:space="preserve"> simply </w:t>
      </w:r>
      <w:r w:rsidR="002C36E1">
        <w:rPr>
          <w:color w:val="000000"/>
          <w:szCs w:val="26"/>
        </w:rPr>
        <w:t>i</w:t>
      </w:r>
      <w:r w:rsidR="0035712B">
        <w:rPr>
          <w:color w:val="000000"/>
          <w:szCs w:val="26"/>
        </w:rPr>
        <w:t>nstructs</w:t>
      </w:r>
      <w:r w:rsidR="002C36E1">
        <w:rPr>
          <w:color w:val="000000"/>
          <w:szCs w:val="26"/>
        </w:rPr>
        <w:t xml:space="preserve"> </w:t>
      </w:r>
      <w:r>
        <w:rPr>
          <w:color w:val="000000"/>
          <w:szCs w:val="26"/>
        </w:rPr>
        <w:t xml:space="preserve">that policies issued on or after January 1, 2013 must contain the 60-day grace period.  That instruction enables new, yet-to-be issued policy forms to align with current law, in line with the electronic system’s function.  </w:t>
      </w:r>
      <w:r w:rsidR="004765DD">
        <w:rPr>
          <w:color w:val="000000"/>
          <w:szCs w:val="26"/>
        </w:rPr>
        <w:t>C</w:t>
      </w:r>
      <w:r>
        <w:rPr>
          <w:color w:val="000000"/>
          <w:szCs w:val="26"/>
        </w:rPr>
        <w:t>ontrary to the Court of Appeal’s view, the instruction provides no view on whether the grace period or the other requirements in sections 10113.71 and 10113.72 appl</w:t>
      </w:r>
      <w:r w:rsidR="008B3252">
        <w:rPr>
          <w:color w:val="000000"/>
          <w:szCs w:val="26"/>
        </w:rPr>
        <w:t>y</w:t>
      </w:r>
      <w:r>
        <w:rPr>
          <w:color w:val="000000"/>
          <w:szCs w:val="26"/>
        </w:rPr>
        <w:t xml:space="preserve"> to existing policies.</w:t>
      </w:r>
      <w:r w:rsidR="00FF35E4">
        <w:rPr>
          <w:color w:val="000000"/>
          <w:szCs w:val="26"/>
        </w:rPr>
        <w:t xml:space="preserve">  As </w:t>
      </w:r>
      <w:r w:rsidR="00712FAB">
        <w:rPr>
          <w:color w:val="000000"/>
          <w:szCs w:val="26"/>
        </w:rPr>
        <w:t xml:space="preserve">the Insurance Commissioner </w:t>
      </w:r>
      <w:r w:rsidR="00FF35E4">
        <w:rPr>
          <w:color w:val="000000"/>
          <w:szCs w:val="26"/>
        </w:rPr>
        <w:t xml:space="preserve">helpfully </w:t>
      </w:r>
      <w:r w:rsidR="00712FAB">
        <w:rPr>
          <w:color w:val="000000"/>
          <w:szCs w:val="26"/>
        </w:rPr>
        <w:t>explains, SERFF</w:t>
      </w:r>
      <w:r w:rsidR="00AC7E8C">
        <w:rPr>
          <w:color w:val="000000"/>
          <w:szCs w:val="26"/>
        </w:rPr>
        <w:t xml:space="preserve"> </w:t>
      </w:r>
      <w:r w:rsidR="00712FAB">
        <w:rPr>
          <w:color w:val="000000"/>
          <w:szCs w:val="26"/>
        </w:rPr>
        <w:t xml:space="preserve">is </w:t>
      </w:r>
      <w:r w:rsidR="009F6CF8">
        <w:rPr>
          <w:color w:val="000000"/>
          <w:szCs w:val="26"/>
        </w:rPr>
        <w:t xml:space="preserve">simply a voluntary </w:t>
      </w:r>
      <w:r w:rsidR="00712FAB">
        <w:rPr>
          <w:color w:val="000000"/>
          <w:szCs w:val="26"/>
        </w:rPr>
        <w:t>system</w:t>
      </w:r>
      <w:r w:rsidR="00FF35E4">
        <w:rPr>
          <w:color w:val="000000"/>
          <w:szCs w:val="26"/>
        </w:rPr>
        <w:t xml:space="preserve"> for</w:t>
      </w:r>
      <w:r w:rsidR="009F6CF8">
        <w:rPr>
          <w:color w:val="000000"/>
          <w:szCs w:val="26"/>
        </w:rPr>
        <w:t xml:space="preserve"> form and rate submissions, </w:t>
      </w:r>
      <w:r w:rsidR="00FF35E4">
        <w:rPr>
          <w:color w:val="000000"/>
          <w:szCs w:val="26"/>
        </w:rPr>
        <w:t xml:space="preserve">and </w:t>
      </w:r>
      <w:r w:rsidR="00712FAB">
        <w:rPr>
          <w:color w:val="000000"/>
          <w:szCs w:val="26"/>
        </w:rPr>
        <w:t xml:space="preserve">SERFF instructions like the one here “may include a brief description of the relevant statutes,” but are “not intended to serve as a formal legal opinion of the </w:t>
      </w:r>
      <w:r w:rsidRPr="00001076" w:rsidR="00B3506D">
        <w:rPr>
          <w:color w:val="000000"/>
          <w:szCs w:val="26"/>
        </w:rPr>
        <w:t>[DOI]</w:t>
      </w:r>
      <w:r w:rsidRPr="00001076" w:rsidR="00712FAB">
        <w:rPr>
          <w:color w:val="000000"/>
          <w:szCs w:val="26"/>
        </w:rPr>
        <w:t>.”</w:t>
      </w:r>
    </w:p>
    <w:p w:rsidR="00792F33" w:rsidRPr="00A2413E" w:rsidP="00B953AC" w14:paraId="2C468DC2" w14:textId="450E73A2">
      <w:pPr>
        <w:rPr>
          <w:color w:val="000000"/>
          <w:szCs w:val="26"/>
          <w:shd w:val="clear" w:color="auto" w:fill="FFFFFF"/>
        </w:rPr>
      </w:pPr>
      <w:r w:rsidRPr="00A2413E">
        <w:rPr>
          <w:color w:val="000000"/>
          <w:szCs w:val="26"/>
          <w:shd w:val="clear" w:color="auto" w:fill="FFFFFF"/>
        </w:rPr>
        <w:tab/>
      </w:r>
      <w:r w:rsidR="0046133B">
        <w:rPr>
          <w:color w:val="000000"/>
          <w:szCs w:val="26"/>
          <w:shd w:val="clear" w:color="auto" w:fill="FFFFFF"/>
        </w:rPr>
        <w:t>Although a</w:t>
      </w:r>
      <w:r w:rsidR="0025661E">
        <w:rPr>
          <w:color w:val="000000"/>
          <w:szCs w:val="26"/>
          <w:shd w:val="clear" w:color="auto" w:fill="FFFFFF"/>
        </w:rPr>
        <w:t>gency correspondence</w:t>
      </w:r>
      <w:r w:rsidR="0046133B">
        <w:rPr>
          <w:color w:val="000000"/>
          <w:szCs w:val="26"/>
          <w:shd w:val="clear" w:color="auto" w:fill="FFFFFF"/>
        </w:rPr>
        <w:t xml:space="preserve"> may </w:t>
      </w:r>
      <w:r w:rsidR="0025661E">
        <w:rPr>
          <w:color w:val="000000"/>
          <w:szCs w:val="26"/>
          <w:shd w:val="clear" w:color="auto" w:fill="FFFFFF"/>
        </w:rPr>
        <w:t>express an interpretive view,</w:t>
      </w:r>
      <w:r w:rsidR="0046133B">
        <w:rPr>
          <w:color w:val="000000"/>
          <w:szCs w:val="26"/>
          <w:shd w:val="clear" w:color="auto" w:fill="FFFFFF"/>
        </w:rPr>
        <w:t xml:space="preserve"> </w:t>
      </w:r>
      <w:r w:rsidR="00B807BF">
        <w:rPr>
          <w:color w:val="000000"/>
          <w:szCs w:val="26"/>
          <w:shd w:val="clear" w:color="auto" w:fill="FFFFFF"/>
        </w:rPr>
        <w:t>it does not merit</w:t>
      </w:r>
      <w:r w:rsidR="00C61100">
        <w:rPr>
          <w:color w:val="000000"/>
          <w:szCs w:val="26"/>
          <w:shd w:val="clear" w:color="auto" w:fill="FFFFFF"/>
        </w:rPr>
        <w:t xml:space="preserve"> </w:t>
      </w:r>
      <w:r w:rsidR="00C0411E">
        <w:rPr>
          <w:color w:val="000000"/>
          <w:szCs w:val="26"/>
          <w:shd w:val="clear" w:color="auto" w:fill="FFFFFF"/>
        </w:rPr>
        <w:t>deference</w:t>
      </w:r>
      <w:r w:rsidR="00B807BF">
        <w:rPr>
          <w:color w:val="000000"/>
          <w:szCs w:val="26"/>
          <w:shd w:val="clear" w:color="auto" w:fill="FFFFFF"/>
        </w:rPr>
        <w:t xml:space="preserve"> here</w:t>
      </w:r>
      <w:r w:rsidR="00C61100">
        <w:rPr>
          <w:color w:val="000000"/>
          <w:szCs w:val="26"/>
          <w:shd w:val="clear" w:color="auto" w:fill="FFFFFF"/>
        </w:rPr>
        <w:t xml:space="preserve">.  </w:t>
      </w:r>
      <w:r w:rsidRPr="00A2413E" w:rsidR="00EC0D07">
        <w:rPr>
          <w:color w:val="000000"/>
          <w:szCs w:val="26"/>
          <w:shd w:val="clear" w:color="auto" w:fill="FFFFFF"/>
        </w:rPr>
        <w:t>Although courts should</w:t>
      </w:r>
      <w:r w:rsidRPr="00A2413E" w:rsidR="007D1594">
        <w:rPr>
          <w:color w:val="000000"/>
          <w:szCs w:val="26"/>
          <w:shd w:val="clear" w:color="auto" w:fill="FFFFFF"/>
        </w:rPr>
        <w:t xml:space="preserve"> certainly </w:t>
      </w:r>
      <w:r w:rsidRPr="00A2413E" w:rsidR="00EC0D07">
        <w:rPr>
          <w:color w:val="000000"/>
          <w:szCs w:val="26"/>
          <w:shd w:val="clear" w:color="auto" w:fill="FFFFFF"/>
        </w:rPr>
        <w:t xml:space="preserve">consider </w:t>
      </w:r>
      <w:r w:rsidRPr="00A2413E" w:rsidR="007D1594">
        <w:rPr>
          <w:color w:val="000000"/>
          <w:szCs w:val="26"/>
          <w:shd w:val="clear" w:color="auto" w:fill="FFFFFF"/>
        </w:rPr>
        <w:t>the interpretations of</w:t>
      </w:r>
      <w:r w:rsidRPr="00A2413E">
        <w:rPr>
          <w:color w:val="000000"/>
          <w:szCs w:val="26"/>
          <w:shd w:val="clear" w:color="auto" w:fill="FFFFFF"/>
        </w:rPr>
        <w:t xml:space="preserve"> </w:t>
      </w:r>
      <w:r w:rsidRPr="00A2413E" w:rsidR="007D1594">
        <w:rPr>
          <w:color w:val="000000"/>
          <w:szCs w:val="26"/>
          <w:shd w:val="clear" w:color="auto" w:fill="FFFFFF"/>
        </w:rPr>
        <w:t xml:space="preserve">an agency </w:t>
      </w:r>
      <w:r w:rsidRPr="00A2413E" w:rsidR="007657E4">
        <w:rPr>
          <w:color w:val="000000"/>
          <w:szCs w:val="26"/>
          <w:shd w:val="clear" w:color="auto" w:fill="FFFFFF"/>
        </w:rPr>
        <w:t xml:space="preserve">advanced in litigation </w:t>
      </w:r>
      <w:r w:rsidRPr="00A2413E" w:rsidR="007D1594">
        <w:rPr>
          <w:color w:val="000000"/>
          <w:szCs w:val="26"/>
          <w:shd w:val="clear" w:color="auto" w:fill="FFFFFF"/>
        </w:rPr>
        <w:t xml:space="preserve">even if these </w:t>
      </w:r>
      <w:r w:rsidRPr="00A2413E" w:rsidR="007657E4">
        <w:rPr>
          <w:color w:val="000000"/>
          <w:szCs w:val="26"/>
          <w:shd w:val="clear" w:color="auto" w:fill="FFFFFF"/>
        </w:rPr>
        <w:t xml:space="preserve">are not associated with </w:t>
      </w:r>
      <w:r w:rsidRPr="00A2413E" w:rsidR="00972DF5">
        <w:rPr>
          <w:color w:val="000000"/>
          <w:szCs w:val="26"/>
          <w:shd w:val="clear" w:color="auto" w:fill="FFFFFF"/>
        </w:rPr>
        <w:t xml:space="preserve">formal administrative actions, </w:t>
      </w:r>
      <w:r w:rsidR="00FA0EB5">
        <w:rPr>
          <w:color w:val="000000"/>
          <w:szCs w:val="26"/>
          <w:shd w:val="clear" w:color="auto" w:fill="FFFFFF"/>
        </w:rPr>
        <w:t xml:space="preserve">we agree with the Insurance </w:t>
      </w:r>
      <w:r w:rsidR="009031D3">
        <w:rPr>
          <w:color w:val="000000"/>
          <w:szCs w:val="26"/>
          <w:shd w:val="clear" w:color="auto" w:fill="FFFFFF"/>
        </w:rPr>
        <w:t>C</w:t>
      </w:r>
      <w:r w:rsidR="00FA0EB5">
        <w:rPr>
          <w:color w:val="000000"/>
          <w:szCs w:val="26"/>
          <w:shd w:val="clear" w:color="auto" w:fill="FFFFFF"/>
        </w:rPr>
        <w:t xml:space="preserve">ommissioner that </w:t>
      </w:r>
      <w:r w:rsidRPr="00A2413E" w:rsidR="000863D2">
        <w:rPr>
          <w:color w:val="000000"/>
          <w:szCs w:val="26"/>
          <w:shd w:val="clear" w:color="auto" w:fill="FFFFFF"/>
        </w:rPr>
        <w:t>ordinary agency correspondence</w:t>
      </w:r>
      <w:r w:rsidR="00FA0EB5">
        <w:rPr>
          <w:color w:val="000000"/>
          <w:szCs w:val="26"/>
          <w:shd w:val="clear" w:color="auto" w:fill="FFFFFF"/>
        </w:rPr>
        <w:t xml:space="preserve"> provide</w:t>
      </w:r>
      <w:r w:rsidR="00B807BF">
        <w:rPr>
          <w:color w:val="000000"/>
          <w:szCs w:val="26"/>
          <w:shd w:val="clear" w:color="auto" w:fill="FFFFFF"/>
        </w:rPr>
        <w:t>s</w:t>
      </w:r>
      <w:r w:rsidR="00FA0EB5">
        <w:rPr>
          <w:color w:val="000000"/>
          <w:szCs w:val="26"/>
          <w:shd w:val="clear" w:color="auto" w:fill="FFFFFF"/>
        </w:rPr>
        <w:t xml:space="preserve"> us with little assistance in our interpretive inquiry.  </w:t>
      </w:r>
      <w:r w:rsidRPr="00A2413E" w:rsidR="00023FA7">
        <w:rPr>
          <w:color w:val="000000"/>
          <w:szCs w:val="26"/>
          <w:shd w:val="clear" w:color="auto" w:fill="FFFFFF"/>
        </w:rPr>
        <w:t>As w</w:t>
      </w:r>
      <w:r w:rsidRPr="00A2413E" w:rsidR="006A69DC">
        <w:rPr>
          <w:color w:val="000000"/>
          <w:szCs w:val="26"/>
          <w:shd w:val="clear" w:color="auto" w:fill="FFFFFF"/>
        </w:rPr>
        <w:t>e</w:t>
      </w:r>
      <w:r w:rsidRPr="00A2413E" w:rsidR="00023FA7">
        <w:rPr>
          <w:color w:val="000000"/>
          <w:szCs w:val="26"/>
          <w:shd w:val="clear" w:color="auto" w:fill="FFFFFF"/>
        </w:rPr>
        <w:t xml:space="preserve"> explained in </w:t>
      </w:r>
      <w:r w:rsidRPr="00A2413E" w:rsidR="00023FA7">
        <w:rPr>
          <w:i/>
          <w:iCs/>
          <w:color w:val="000000"/>
          <w:szCs w:val="26"/>
          <w:shd w:val="clear" w:color="auto" w:fill="FFFFFF"/>
        </w:rPr>
        <w:t>Heckart v. A-1 Self Storage, Inc.</w:t>
      </w:r>
      <w:r w:rsidRPr="00A2413E" w:rsidR="00023FA7">
        <w:rPr>
          <w:color w:val="000000"/>
          <w:szCs w:val="26"/>
          <w:shd w:val="clear" w:color="auto" w:fill="FFFFFF"/>
        </w:rPr>
        <w:t xml:space="preserve"> (2018) 4 Cal.5th 749, 7</w:t>
      </w:r>
      <w:r w:rsidRPr="00A2413E" w:rsidR="00B1405A">
        <w:rPr>
          <w:color w:val="000000"/>
          <w:szCs w:val="26"/>
          <w:shd w:val="clear" w:color="auto" w:fill="FFFFFF"/>
        </w:rPr>
        <w:t>69</w:t>
      </w:r>
      <w:r w:rsidRPr="00A2413E" w:rsidR="00023FA7">
        <w:rPr>
          <w:color w:val="000000"/>
          <w:szCs w:val="26"/>
          <w:shd w:val="clear" w:color="auto" w:fill="FFFFFF"/>
        </w:rPr>
        <w:t>, f</w:t>
      </w:r>
      <w:r w:rsidR="00B24DFB">
        <w:rPr>
          <w:color w:val="000000"/>
          <w:szCs w:val="26"/>
          <w:shd w:val="clear" w:color="auto" w:fill="FFFFFF"/>
        </w:rPr>
        <w:t>ootnote</w:t>
      </w:r>
      <w:r w:rsidRPr="00A2413E" w:rsidR="00023FA7">
        <w:rPr>
          <w:color w:val="000000"/>
          <w:szCs w:val="26"/>
          <w:shd w:val="clear" w:color="auto" w:fill="FFFFFF"/>
        </w:rPr>
        <w:t xml:space="preserve"> 9, </w:t>
      </w:r>
      <w:r w:rsidR="0073491C">
        <w:rPr>
          <w:color w:val="000000"/>
          <w:szCs w:val="26"/>
          <w:shd w:val="clear" w:color="auto" w:fill="FFFFFF"/>
        </w:rPr>
        <w:t>these</w:t>
      </w:r>
      <w:r w:rsidRPr="00A2413E" w:rsidR="00023FA7">
        <w:rPr>
          <w:color w:val="000000"/>
          <w:szCs w:val="26"/>
          <w:shd w:val="clear" w:color="auto" w:fill="FFFFFF"/>
        </w:rPr>
        <w:t xml:space="preserve"> types of private communications</w:t>
      </w:r>
      <w:r w:rsidR="0073491C">
        <w:rPr>
          <w:color w:val="000000"/>
          <w:szCs w:val="26"/>
          <w:shd w:val="clear" w:color="auto" w:fill="FFFFFF"/>
        </w:rPr>
        <w:t xml:space="preserve"> offer poor guides because</w:t>
      </w:r>
      <w:r w:rsidRPr="00A2413E" w:rsidR="00023FA7">
        <w:rPr>
          <w:color w:val="000000"/>
          <w:szCs w:val="26"/>
          <w:shd w:val="clear" w:color="auto" w:fill="FFFFFF"/>
        </w:rPr>
        <w:t xml:space="preserve"> </w:t>
      </w:r>
      <w:r w:rsidRPr="00A2413E" w:rsidR="00EE1EA0">
        <w:rPr>
          <w:color w:val="000000"/>
          <w:szCs w:val="26"/>
          <w:shd w:val="clear" w:color="auto" w:fill="FFFFFF"/>
        </w:rPr>
        <w:t>(a)</w:t>
      </w:r>
      <w:r w:rsidRPr="00A2413E" w:rsidR="00A44E30">
        <w:rPr>
          <w:color w:val="000000"/>
          <w:szCs w:val="26"/>
          <w:shd w:val="clear" w:color="auto" w:fill="FFFFFF"/>
        </w:rPr>
        <w:t xml:space="preserve"> they</w:t>
      </w:r>
      <w:r w:rsidRPr="00A2413E" w:rsidR="00EE1EA0">
        <w:rPr>
          <w:color w:val="000000"/>
          <w:szCs w:val="26"/>
          <w:shd w:val="clear" w:color="auto" w:fill="FFFFFF"/>
        </w:rPr>
        <w:t xml:space="preserve"> </w:t>
      </w:r>
      <w:r w:rsidRPr="00A2413E" w:rsidR="00023FA7">
        <w:rPr>
          <w:color w:val="000000"/>
          <w:szCs w:val="26"/>
          <w:shd w:val="clear" w:color="auto" w:fill="FFFFFF"/>
        </w:rPr>
        <w:t>do</w:t>
      </w:r>
      <w:r w:rsidRPr="00A2413E" w:rsidR="00AA7B51">
        <w:rPr>
          <w:color w:val="000000"/>
          <w:szCs w:val="26"/>
          <w:shd w:val="clear" w:color="auto" w:fill="FFFFFF"/>
        </w:rPr>
        <w:t>n’t</w:t>
      </w:r>
      <w:r w:rsidRPr="00A2413E" w:rsidR="00023FA7">
        <w:rPr>
          <w:color w:val="000000"/>
          <w:szCs w:val="26"/>
          <w:shd w:val="clear" w:color="auto" w:fill="FFFFFF"/>
        </w:rPr>
        <w:t xml:space="preserve"> appear to be the product of “</w:t>
      </w:r>
      <w:r w:rsidR="0075305E">
        <w:rPr>
          <w:color w:val="000000"/>
          <w:szCs w:val="26"/>
          <w:shd w:val="clear" w:color="auto" w:fill="FFFFFF"/>
        </w:rPr>
        <w:t> </w:t>
      </w:r>
      <w:r w:rsidRPr="00A2413E" w:rsidR="002944D5">
        <w:rPr>
          <w:color w:val="000000"/>
          <w:szCs w:val="26"/>
          <w:shd w:val="clear" w:color="auto" w:fill="FFFFFF"/>
        </w:rPr>
        <w:t>‘</w:t>
      </w:r>
      <w:r w:rsidR="0075305E">
        <w:rPr>
          <w:color w:val="000000"/>
          <w:szCs w:val="26"/>
          <w:shd w:val="clear" w:color="auto" w:fill="FFFFFF"/>
        </w:rPr>
        <w:t> </w:t>
      </w:r>
      <w:r w:rsidRPr="00A2413E" w:rsidR="002944D5">
        <w:rPr>
          <w:color w:val="000000"/>
          <w:szCs w:val="26"/>
          <w:shd w:val="clear" w:color="auto" w:fill="FFFFFF"/>
        </w:rPr>
        <w:t>“</w:t>
      </w:r>
      <w:r w:rsidRPr="00A2413E" w:rsidR="00023FA7">
        <w:rPr>
          <w:color w:val="000000"/>
          <w:szCs w:val="26"/>
          <w:shd w:val="clear" w:color="auto" w:fill="FFFFFF"/>
        </w:rPr>
        <w:t>careful consideration</w:t>
      </w:r>
      <w:r w:rsidRPr="00A2413E" w:rsidR="002944D5">
        <w:rPr>
          <w:color w:val="000000"/>
          <w:szCs w:val="26"/>
          <w:shd w:val="clear" w:color="auto" w:fill="FFFFFF"/>
        </w:rPr>
        <w:t>”</w:t>
      </w:r>
      <w:r w:rsidR="0075305E">
        <w:rPr>
          <w:color w:val="000000"/>
          <w:szCs w:val="26"/>
          <w:shd w:val="clear" w:color="auto" w:fill="FFFFFF"/>
        </w:rPr>
        <w:t> </w:t>
      </w:r>
      <w:r w:rsidRPr="00A2413E" w:rsidR="002944D5">
        <w:rPr>
          <w:color w:val="000000"/>
          <w:szCs w:val="26"/>
          <w:shd w:val="clear" w:color="auto" w:fill="FFFFFF"/>
        </w:rPr>
        <w:t>’</w:t>
      </w:r>
      <w:r w:rsidR="0075305E">
        <w:rPr>
          <w:color w:val="000000"/>
          <w:szCs w:val="26"/>
          <w:shd w:val="clear" w:color="auto" w:fill="FFFFFF"/>
        </w:rPr>
        <w:t> </w:t>
      </w:r>
      <w:r w:rsidRPr="00A2413E" w:rsidR="00023FA7">
        <w:rPr>
          <w:color w:val="000000"/>
          <w:szCs w:val="26"/>
          <w:shd w:val="clear" w:color="auto" w:fill="FFFFFF"/>
        </w:rPr>
        <w:t>” of the legal issue</w:t>
      </w:r>
      <w:r w:rsidRPr="00A2413E" w:rsidR="001A40CD">
        <w:rPr>
          <w:color w:val="000000"/>
          <w:szCs w:val="26"/>
          <w:shd w:val="clear" w:color="auto" w:fill="FFFFFF"/>
        </w:rPr>
        <w:t>,</w:t>
      </w:r>
      <w:r w:rsidRPr="00A2413E" w:rsidR="00023FA7">
        <w:rPr>
          <w:color w:val="000000"/>
          <w:szCs w:val="26"/>
          <w:shd w:val="clear" w:color="auto" w:fill="FFFFFF"/>
        </w:rPr>
        <w:t xml:space="preserve"> but instead reflect interpretation</w:t>
      </w:r>
      <w:r w:rsidRPr="00A2413E" w:rsidR="007914DC">
        <w:rPr>
          <w:color w:val="000000"/>
          <w:szCs w:val="26"/>
          <w:shd w:val="clear" w:color="auto" w:fill="FFFFFF"/>
        </w:rPr>
        <w:t>s</w:t>
      </w:r>
      <w:r w:rsidRPr="00A2413E" w:rsidR="00023FA7">
        <w:rPr>
          <w:color w:val="000000"/>
          <w:szCs w:val="26"/>
          <w:shd w:val="clear" w:color="auto" w:fill="FFFFFF"/>
        </w:rPr>
        <w:t xml:space="preserve"> prepared in </w:t>
      </w:r>
      <w:r w:rsidRPr="00A2413E" w:rsidR="00772203">
        <w:rPr>
          <w:color w:val="000000"/>
          <w:szCs w:val="26"/>
          <w:shd w:val="clear" w:color="auto" w:fill="FFFFFF"/>
        </w:rPr>
        <w:t>ad hoc</w:t>
      </w:r>
      <w:r w:rsidRPr="00A2413E" w:rsidR="0033290E">
        <w:rPr>
          <w:color w:val="000000"/>
          <w:szCs w:val="26"/>
          <w:shd w:val="clear" w:color="auto" w:fill="FFFFFF"/>
        </w:rPr>
        <w:t xml:space="preserve"> </w:t>
      </w:r>
      <w:r w:rsidRPr="00A2413E" w:rsidR="00023FA7">
        <w:rPr>
          <w:color w:val="000000"/>
          <w:szCs w:val="26"/>
          <w:shd w:val="clear" w:color="auto" w:fill="FFFFFF"/>
        </w:rPr>
        <w:t>advice letter</w:t>
      </w:r>
      <w:r w:rsidRPr="00A2413E" w:rsidR="00772203">
        <w:rPr>
          <w:color w:val="000000"/>
          <w:szCs w:val="26"/>
          <w:shd w:val="clear" w:color="auto" w:fill="FFFFFF"/>
        </w:rPr>
        <w:t>s</w:t>
      </w:r>
      <w:r w:rsidRPr="00A2413E" w:rsidR="00023FA7">
        <w:rPr>
          <w:color w:val="000000"/>
          <w:szCs w:val="26"/>
          <w:shd w:val="clear" w:color="auto" w:fill="FFFFFF"/>
        </w:rPr>
        <w:t xml:space="preserve"> by </w:t>
      </w:r>
      <w:r w:rsidRPr="00A2413E" w:rsidR="00C6687E">
        <w:rPr>
          <w:color w:val="000000"/>
          <w:szCs w:val="26"/>
          <w:shd w:val="clear" w:color="auto" w:fill="FFFFFF"/>
        </w:rPr>
        <w:t>individual</w:t>
      </w:r>
      <w:r w:rsidRPr="00A2413E" w:rsidR="00023FA7">
        <w:rPr>
          <w:color w:val="000000"/>
          <w:szCs w:val="26"/>
          <w:shd w:val="clear" w:color="auto" w:fill="FFFFFF"/>
        </w:rPr>
        <w:t xml:space="preserve"> staff member</w:t>
      </w:r>
      <w:r w:rsidRPr="00A2413E" w:rsidR="00C6687E">
        <w:rPr>
          <w:color w:val="000000"/>
          <w:szCs w:val="26"/>
          <w:shd w:val="clear" w:color="auto" w:fill="FFFFFF"/>
        </w:rPr>
        <w:t>s</w:t>
      </w:r>
      <w:r w:rsidRPr="00A2413E" w:rsidR="00A44E30">
        <w:rPr>
          <w:color w:val="000000"/>
          <w:szCs w:val="26"/>
          <w:shd w:val="clear" w:color="auto" w:fill="FFFFFF"/>
        </w:rPr>
        <w:t xml:space="preserve">; (b) the </w:t>
      </w:r>
      <w:r w:rsidRPr="00A2413E" w:rsidR="00FC7E14">
        <w:rPr>
          <w:color w:val="000000"/>
          <w:szCs w:val="26"/>
          <w:shd w:val="clear" w:color="auto" w:fill="FFFFFF"/>
        </w:rPr>
        <w:t xml:space="preserve">views expressed in them do not represent </w:t>
      </w:r>
      <w:r w:rsidRPr="00A2413E" w:rsidR="00DC1168">
        <w:rPr>
          <w:color w:val="000000"/>
          <w:szCs w:val="26"/>
          <w:shd w:val="clear" w:color="auto" w:fill="FFFFFF"/>
        </w:rPr>
        <w:t>“</w:t>
      </w:r>
      <w:r w:rsidRPr="00A2413E" w:rsidR="00AD6311">
        <w:rPr>
          <w:color w:val="000000"/>
          <w:szCs w:val="26"/>
          <w:shd w:val="clear" w:color="auto" w:fill="FFFFFF"/>
        </w:rPr>
        <w:t xml:space="preserve">a quasi-legislative rule, promulgated pursuant </w:t>
      </w:r>
      <w:r w:rsidRPr="00A2413E" w:rsidR="002C744A">
        <w:rPr>
          <w:color w:val="000000"/>
          <w:szCs w:val="26"/>
          <w:shd w:val="clear" w:color="auto" w:fill="FFFFFF"/>
        </w:rPr>
        <w:t>to delegated lawmaking power</w:t>
      </w:r>
      <w:r w:rsidRPr="00001076" w:rsidR="002C744A">
        <w:rPr>
          <w:color w:val="000000"/>
          <w:szCs w:val="26"/>
          <w:shd w:val="clear" w:color="auto" w:fill="FFFFFF"/>
        </w:rPr>
        <w:t>”</w:t>
      </w:r>
      <w:r w:rsidRPr="00001076" w:rsidR="00B3506D">
        <w:rPr>
          <w:color w:val="000000"/>
          <w:szCs w:val="26"/>
          <w:shd w:val="clear" w:color="auto" w:fill="FFFFFF"/>
        </w:rPr>
        <w:t xml:space="preserve"> (</w:t>
      </w:r>
      <w:r w:rsidRPr="00001076" w:rsidR="00B3506D">
        <w:rPr>
          <w:i/>
          <w:iCs/>
          <w:color w:val="000000"/>
          <w:szCs w:val="26"/>
          <w:shd w:val="clear" w:color="auto" w:fill="FFFFFF"/>
        </w:rPr>
        <w:t>ibid.</w:t>
      </w:r>
      <w:r w:rsidRPr="00001076" w:rsidR="00B3506D">
        <w:rPr>
          <w:color w:val="000000"/>
          <w:szCs w:val="26"/>
          <w:shd w:val="clear" w:color="auto" w:fill="FFFFFF"/>
        </w:rPr>
        <w:t>)</w:t>
      </w:r>
      <w:r w:rsidRPr="00001076" w:rsidR="00A44E30">
        <w:rPr>
          <w:color w:val="000000"/>
          <w:szCs w:val="26"/>
          <w:shd w:val="clear" w:color="auto" w:fill="FFFFFF"/>
        </w:rPr>
        <w:t>;</w:t>
      </w:r>
      <w:r w:rsidRPr="00A2413E" w:rsidR="00A44E30">
        <w:rPr>
          <w:color w:val="000000"/>
          <w:szCs w:val="26"/>
          <w:shd w:val="clear" w:color="auto" w:fill="FFFFFF"/>
        </w:rPr>
        <w:t xml:space="preserve"> and (c)</w:t>
      </w:r>
      <w:r w:rsidRPr="00A2413E" w:rsidR="002C744A">
        <w:rPr>
          <w:color w:val="000000"/>
          <w:szCs w:val="26"/>
          <w:shd w:val="clear" w:color="auto" w:fill="FFFFFF"/>
        </w:rPr>
        <w:t xml:space="preserve"> </w:t>
      </w:r>
      <w:r w:rsidRPr="00A2413E" w:rsidR="00622464">
        <w:rPr>
          <w:color w:val="000000"/>
          <w:szCs w:val="26"/>
          <w:shd w:val="clear" w:color="auto" w:fill="FFFFFF"/>
        </w:rPr>
        <w:t xml:space="preserve">they were </w:t>
      </w:r>
      <w:r w:rsidRPr="00A2413E" w:rsidR="00622464">
        <w:rPr>
          <w:color w:val="000000"/>
          <w:szCs w:val="26"/>
        </w:rPr>
        <w:t>“</w:t>
      </w:r>
      <w:r w:rsidRPr="00A2413E" w:rsidR="00E70302">
        <w:rPr>
          <w:color w:val="000000"/>
          <w:szCs w:val="26"/>
        </w:rPr>
        <w:t xml:space="preserve">not disseminated as an annotation by the </w:t>
      </w:r>
      <w:r w:rsidRPr="00001076" w:rsidR="00B3506D">
        <w:rPr>
          <w:color w:val="000000"/>
          <w:szCs w:val="26"/>
        </w:rPr>
        <w:t>[DOI]</w:t>
      </w:r>
      <w:r w:rsidR="0076743E">
        <w:rPr>
          <w:color w:val="000000"/>
          <w:szCs w:val="26"/>
        </w:rPr>
        <w:t xml:space="preserve"> </w:t>
      </w:r>
      <w:r w:rsidRPr="00A2413E" w:rsidR="00E70302">
        <w:rPr>
          <w:color w:val="000000"/>
          <w:szCs w:val="26"/>
        </w:rPr>
        <w:t xml:space="preserve">to be considered by anyone other than the recipient, and there is no </w:t>
      </w:r>
      <w:bookmarkStart w:id="42" w:name="_Hlk77683097"/>
      <w:r w:rsidRPr="00A2413E" w:rsidR="00E70302">
        <w:rPr>
          <w:color w:val="000000"/>
          <w:szCs w:val="26"/>
        </w:rPr>
        <w:t>information regarding how carefully the issue was considered</w:t>
      </w:r>
      <w:r w:rsidRPr="00001076" w:rsidR="00622464">
        <w:rPr>
          <w:color w:val="000000"/>
          <w:szCs w:val="26"/>
        </w:rPr>
        <w:t>”</w:t>
      </w:r>
      <w:r w:rsidRPr="00001076" w:rsidR="00B3506D">
        <w:rPr>
          <w:color w:val="000000"/>
          <w:szCs w:val="26"/>
        </w:rPr>
        <w:t xml:space="preserve"> </w:t>
      </w:r>
      <w:r w:rsidRPr="00001076" w:rsidR="00622464">
        <w:rPr>
          <w:color w:val="000000"/>
          <w:szCs w:val="26"/>
        </w:rPr>
        <w:t>(</w:t>
      </w:r>
      <w:r w:rsidRPr="00001076" w:rsidR="00B3506D">
        <w:rPr>
          <w:i/>
          <w:iCs/>
          <w:color w:val="000000"/>
          <w:szCs w:val="26"/>
        </w:rPr>
        <w:t>i</w:t>
      </w:r>
      <w:r w:rsidRPr="00001076" w:rsidR="00622464">
        <w:rPr>
          <w:i/>
          <w:iCs/>
          <w:color w:val="000000"/>
          <w:szCs w:val="26"/>
        </w:rPr>
        <w:t>bid.</w:t>
      </w:r>
      <w:r w:rsidRPr="00001076" w:rsidR="00B3506D">
        <w:rPr>
          <w:color w:val="000000"/>
          <w:szCs w:val="26"/>
        </w:rPr>
        <w:t xml:space="preserve">, </w:t>
      </w:r>
      <w:r w:rsidRPr="00A2413E" w:rsidR="0056771F">
        <w:rPr>
          <w:color w:val="000000"/>
          <w:szCs w:val="26"/>
        </w:rPr>
        <w:t xml:space="preserve">applying </w:t>
      </w:r>
      <w:r w:rsidRPr="00A2413E" w:rsidR="0056771F">
        <w:rPr>
          <w:i/>
          <w:iCs/>
          <w:color w:val="000000"/>
          <w:szCs w:val="26"/>
        </w:rPr>
        <w:t>Yamaha</w:t>
      </w:r>
      <w:r w:rsidRPr="00A2413E" w:rsidR="0056771F">
        <w:rPr>
          <w:color w:val="000000"/>
          <w:szCs w:val="26"/>
        </w:rPr>
        <w:t>,</w:t>
      </w:r>
      <w:r w:rsidRPr="00A2413E" w:rsidR="00AE6314">
        <w:rPr>
          <w:color w:val="000000"/>
          <w:szCs w:val="26"/>
        </w:rPr>
        <w:t xml:space="preserve"> </w:t>
      </w:r>
      <w:r w:rsidRPr="00A2413E" w:rsidR="00AE6314">
        <w:rPr>
          <w:i/>
          <w:iCs/>
          <w:color w:val="000000"/>
          <w:szCs w:val="26"/>
        </w:rPr>
        <w:t>supra</w:t>
      </w:r>
      <w:r w:rsidRPr="00A2413E" w:rsidR="00AE6314">
        <w:rPr>
          <w:color w:val="000000"/>
          <w:szCs w:val="26"/>
        </w:rPr>
        <w:t>,</w:t>
      </w:r>
      <w:r w:rsidRPr="00A2413E" w:rsidR="00C45AA2">
        <w:rPr>
          <w:color w:val="000000"/>
          <w:szCs w:val="26"/>
        </w:rPr>
        <w:t xml:space="preserve"> 19 Cal.4th at pp. 11–16</w:t>
      </w:r>
      <w:r w:rsidRPr="00001076" w:rsidR="00C45AA2">
        <w:rPr>
          <w:color w:val="000000"/>
          <w:szCs w:val="26"/>
        </w:rPr>
        <w:t>)</w:t>
      </w:r>
      <w:r w:rsidRPr="00001076" w:rsidR="00B3506D">
        <w:rPr>
          <w:color w:val="000000"/>
          <w:szCs w:val="26"/>
        </w:rPr>
        <w:t>.</w:t>
      </w:r>
      <w:r w:rsidRPr="00A2413E" w:rsidR="008C6715">
        <w:rPr>
          <w:color w:val="000000"/>
          <w:szCs w:val="26"/>
        </w:rPr>
        <w:t xml:space="preserve">  </w:t>
      </w:r>
      <w:bookmarkEnd w:id="42"/>
      <w:r w:rsidRPr="00A2413E" w:rsidR="008302A7">
        <w:rPr>
          <w:color w:val="000000"/>
          <w:szCs w:val="26"/>
        </w:rPr>
        <w:t xml:space="preserve">For </w:t>
      </w:r>
      <w:r w:rsidRPr="00A2413E" w:rsidR="00A23C5D">
        <w:rPr>
          <w:color w:val="000000"/>
          <w:szCs w:val="26"/>
        </w:rPr>
        <w:t>the same reason</w:t>
      </w:r>
      <w:r w:rsidRPr="00A2413E" w:rsidR="00CC502D">
        <w:rPr>
          <w:color w:val="000000"/>
          <w:szCs w:val="26"/>
        </w:rPr>
        <w:t>s</w:t>
      </w:r>
      <w:r w:rsidRPr="00A2413E" w:rsidR="008302A7">
        <w:rPr>
          <w:color w:val="000000"/>
          <w:szCs w:val="26"/>
        </w:rPr>
        <w:t xml:space="preserve">, we give </w:t>
      </w:r>
      <w:r w:rsidR="00AA41AE">
        <w:rPr>
          <w:color w:val="000000"/>
          <w:szCs w:val="26"/>
        </w:rPr>
        <w:t xml:space="preserve">no </w:t>
      </w:r>
      <w:r w:rsidRPr="00A2413E" w:rsidR="008302A7">
        <w:rPr>
          <w:color w:val="000000"/>
          <w:szCs w:val="26"/>
        </w:rPr>
        <w:t xml:space="preserve">weight </w:t>
      </w:r>
      <w:r w:rsidRPr="00A2413E" w:rsidR="003118C2">
        <w:rPr>
          <w:color w:val="000000"/>
          <w:szCs w:val="26"/>
        </w:rPr>
        <w:t>to the</w:t>
      </w:r>
      <w:r w:rsidRPr="00A2413E" w:rsidR="00873868">
        <w:rPr>
          <w:color w:val="000000"/>
          <w:szCs w:val="26"/>
        </w:rPr>
        <w:t xml:space="preserve"> </w:t>
      </w:r>
      <w:r w:rsidRPr="00A2413E" w:rsidR="00736737">
        <w:rPr>
          <w:color w:val="000000"/>
          <w:szCs w:val="26"/>
        </w:rPr>
        <w:t xml:space="preserve">identical, as well as additional, </w:t>
      </w:r>
      <w:r w:rsidRPr="00A2413E" w:rsidR="003118C2">
        <w:rPr>
          <w:color w:val="000000"/>
          <w:szCs w:val="26"/>
        </w:rPr>
        <w:t>correspondence that</w:t>
      </w:r>
      <w:r w:rsidRPr="00A2413E" w:rsidR="001B0E63">
        <w:rPr>
          <w:color w:val="000000"/>
          <w:szCs w:val="26"/>
        </w:rPr>
        <w:t xml:space="preserve"> </w:t>
      </w:r>
      <w:r w:rsidRPr="00A2413E" w:rsidR="008302A7">
        <w:rPr>
          <w:color w:val="000000"/>
          <w:szCs w:val="26"/>
        </w:rPr>
        <w:t xml:space="preserve">we </w:t>
      </w:r>
      <w:r w:rsidRPr="00A2413E" w:rsidR="003118C2">
        <w:rPr>
          <w:color w:val="000000"/>
          <w:szCs w:val="26"/>
        </w:rPr>
        <w:t>judicia</w:t>
      </w:r>
      <w:r w:rsidRPr="00A2413E" w:rsidR="004D7A7D">
        <w:rPr>
          <w:color w:val="000000"/>
          <w:szCs w:val="26"/>
        </w:rPr>
        <w:t>l</w:t>
      </w:r>
      <w:r w:rsidRPr="00A2413E" w:rsidR="003118C2">
        <w:rPr>
          <w:color w:val="000000"/>
          <w:szCs w:val="26"/>
        </w:rPr>
        <w:t>l</w:t>
      </w:r>
      <w:r w:rsidRPr="00A2413E" w:rsidR="004D7A7D">
        <w:rPr>
          <w:color w:val="000000"/>
          <w:szCs w:val="26"/>
        </w:rPr>
        <w:t>y</w:t>
      </w:r>
      <w:r w:rsidRPr="00A2413E" w:rsidR="003118C2">
        <w:rPr>
          <w:color w:val="000000"/>
          <w:szCs w:val="26"/>
        </w:rPr>
        <w:t xml:space="preserve"> notice</w:t>
      </w:r>
      <w:r w:rsidRPr="00A2413E" w:rsidR="008C176F">
        <w:rPr>
          <w:color w:val="000000"/>
          <w:szCs w:val="26"/>
        </w:rPr>
        <w:t xml:space="preserve"> at Protective Life’s request</w:t>
      </w:r>
      <w:r w:rsidRPr="00A2413E" w:rsidR="003118C2">
        <w:rPr>
          <w:color w:val="000000"/>
          <w:szCs w:val="26"/>
        </w:rPr>
        <w:t>.</w:t>
      </w:r>
      <w:r>
        <w:rPr>
          <w:rStyle w:val="FootnoteReference"/>
          <w:color w:val="000000"/>
          <w:szCs w:val="26"/>
        </w:rPr>
        <w:footnoteReference w:id="12"/>
      </w:r>
    </w:p>
    <w:p w:rsidR="00A907F1" w:rsidRPr="00A2413E" w:rsidP="00E00C95" w14:paraId="298D15DA" w14:textId="13657035">
      <w:pPr>
        <w:pStyle w:val="Heading1"/>
      </w:pPr>
      <w:r w:rsidRPr="00001076">
        <w:t>I</w:t>
      </w:r>
      <w:r w:rsidRPr="00001076" w:rsidR="006E10EF">
        <w:t>V</w:t>
      </w:r>
      <w:r>
        <w:t>.</w:t>
      </w:r>
    </w:p>
    <w:p w:rsidR="00620160" w:rsidRPr="00C84370" w:rsidP="00A2413E" w14:paraId="2EA65274" w14:textId="1C528008">
      <w:pPr>
        <w:ind w:firstLine="720"/>
      </w:pPr>
      <w:r w:rsidRPr="00A2413E">
        <w:t>When the Legislature enacted changes to the Insurance Code protecting people who hold life insurance policies from inadvertently losing them, it established limited protections that kept such policies from being revoked when policy</w:t>
      </w:r>
      <w:r w:rsidR="00FE5C9B">
        <w:t xml:space="preserve"> owner</w:t>
      </w:r>
      <w:r w:rsidRPr="00A2413E">
        <w:t xml:space="preserve">s lapsed in paying premiums.  Those provisions clearly establish that </w:t>
      </w:r>
      <w:r w:rsidRPr="00A2413E" w:rsidR="00D73A6E">
        <w:t>life insurance policies</w:t>
      </w:r>
      <w:r w:rsidRPr="00A2413E" w:rsidR="007E7D3A">
        <w:t xml:space="preserve"> must have a 60-day grace period before they can be terminated for a premium lapse</w:t>
      </w:r>
      <w:r w:rsidRPr="00A2413E" w:rsidR="00F5706D">
        <w:t>, and that insurers cannot terminate polic</w:t>
      </w:r>
      <w:r w:rsidRPr="00A2413E" w:rsidR="00F44B99">
        <w:t>ies</w:t>
      </w:r>
      <w:r w:rsidRPr="00A2413E" w:rsidR="00F5706D">
        <w:t xml:space="preserve"> for </w:t>
      </w:r>
      <w:r w:rsidRPr="00A2413E" w:rsidR="00937F82">
        <w:t>a premium lapse</w:t>
      </w:r>
      <w:r w:rsidRPr="00A2413E" w:rsidR="00F5706D">
        <w:t xml:space="preserve"> until they give at least 30-day mailed notice</w:t>
      </w:r>
      <w:r w:rsidRPr="00A2413E" w:rsidR="00B22DDE">
        <w:t xml:space="preserve"> </w:t>
      </w:r>
      <w:r w:rsidRPr="00A2413E" w:rsidR="00F5706D">
        <w:t>to the policy</w:t>
      </w:r>
      <w:r w:rsidR="00FE5C9B">
        <w:t xml:space="preserve"> owner</w:t>
      </w:r>
      <w:r w:rsidRPr="00A2413E" w:rsidR="00F44B99">
        <w:t>s</w:t>
      </w:r>
      <w:r w:rsidRPr="00A2413E" w:rsidR="00F5706D">
        <w:t xml:space="preserve"> and to any additional designated individuals</w:t>
      </w:r>
      <w:r w:rsidRPr="00A2413E" w:rsidR="00B006CE">
        <w:t xml:space="preserve">.  </w:t>
      </w:r>
      <w:r w:rsidRPr="00A2413E">
        <w:t>What they don’t explicitly establish is whether these protections apply to people holding life insurance policies issued</w:t>
      </w:r>
      <w:r w:rsidRPr="00A2413E" w:rsidR="00BA7653">
        <w:t xml:space="preserve"> or delivered</w:t>
      </w:r>
      <w:r w:rsidRPr="00A2413E">
        <w:t xml:space="preserve"> before these </w:t>
      </w:r>
      <w:r w:rsidRPr="00C84370">
        <w:t xml:space="preserve">amendments went into effect.  </w:t>
      </w:r>
    </w:p>
    <w:p w:rsidR="004510DF" w:rsidRPr="006E53E0" w:rsidP="008F19E1" w14:paraId="6F92CD82" w14:textId="7EE5FEA4">
      <w:pPr>
        <w:ind w:firstLine="720"/>
        <w:rPr>
          <w:sz w:val="16"/>
        </w:rPr>
      </w:pPr>
      <w:r w:rsidRPr="00C84370">
        <w:t>T</w:t>
      </w:r>
      <w:r w:rsidRPr="00C84370" w:rsidR="00963DE3">
        <w:t xml:space="preserve">hese sections are nonetheless best read to extend protections to policies issued before these sections went into effect.  </w:t>
      </w:r>
      <w:r w:rsidR="0001219A">
        <w:t>Key passages in</w:t>
      </w:r>
      <w:r w:rsidRPr="00C84370" w:rsidR="0001219A">
        <w:t xml:space="preserve"> </w:t>
      </w:r>
      <w:r w:rsidRPr="00C84370" w:rsidR="00110EF5">
        <w:rPr>
          <w:szCs w:val="26"/>
          <w:shd w:val="clear" w:color="auto" w:fill="FFFFFF"/>
        </w:rPr>
        <w:t>sections 10113.71 and 10113.72</w:t>
      </w:r>
      <w:r w:rsidR="0001219A">
        <w:t xml:space="preserve"> are written in universal terms, best understood to modify policies whether they come into effect after reforms were enacted or were already in effect at the time</w:t>
      </w:r>
      <w:r w:rsidRPr="00C84370" w:rsidR="004D1302">
        <w:t xml:space="preserve">.  </w:t>
      </w:r>
      <w:r w:rsidR="0001219A">
        <w:t>Other indicia of purpose resolve any ambiguity that remains from the language</w:t>
      </w:r>
      <w:r w:rsidR="002A289C">
        <w:rPr>
          <w:szCs w:val="26"/>
          <w:shd w:val="clear" w:color="auto" w:fill="FFFFFF"/>
        </w:rPr>
        <w:t xml:space="preserve">.  </w:t>
      </w:r>
      <w:r w:rsidR="008F19E1">
        <w:t>The grace period and notice protections apply to all policies in effect as of the sections’ effective date</w:t>
      </w:r>
      <w:r w:rsidR="00235B79">
        <w:t xml:space="preserve"> — </w:t>
      </w:r>
      <w:r w:rsidR="008F19E1">
        <w:t xml:space="preserve">and in this case, nothing in </w:t>
      </w:r>
      <w:r w:rsidR="00E610CE">
        <w:t xml:space="preserve">the </w:t>
      </w:r>
      <w:r w:rsidR="008F19E1">
        <w:t xml:space="preserve">presumption against retroactive application of legislation </w:t>
      </w:r>
      <w:r w:rsidR="004C50EE">
        <w:t xml:space="preserve">as ordinarily applied </w:t>
      </w:r>
      <w:r w:rsidR="008F19E1">
        <w:t>compels another result</w:t>
      </w:r>
      <w:r w:rsidRPr="00BF0BB9" w:rsidR="008F19E1">
        <w:rPr>
          <w:rStyle w:val="CommentReference"/>
          <w:sz w:val="27"/>
          <w:szCs w:val="27"/>
        </w:rPr>
        <w:t xml:space="preserve">.  </w:t>
      </w:r>
      <w:r w:rsidRPr="00A2413E" w:rsidR="00F754FC">
        <w:t>The Legislature enacted the sections</w:t>
      </w:r>
      <w:r w:rsidRPr="00A2413E" w:rsidR="00DE254C">
        <w:t xml:space="preserve"> </w:t>
      </w:r>
      <w:r w:rsidRPr="00A2413E" w:rsidR="00F754FC">
        <w:t xml:space="preserve">not only to provide protections to people </w:t>
      </w:r>
      <w:r w:rsidR="002A289C">
        <w:t>in the future</w:t>
      </w:r>
      <w:r w:rsidRPr="00A2413E" w:rsidR="00F754FC">
        <w:t xml:space="preserve">, but also to ensure that </w:t>
      </w:r>
      <w:r w:rsidRPr="00A2413E" w:rsidR="00DE254C">
        <w:t>existing policy</w:t>
      </w:r>
      <w:r w:rsidR="00FE5C9B">
        <w:t xml:space="preserve"> owner</w:t>
      </w:r>
      <w:r w:rsidRPr="00A2413E" w:rsidR="00DE254C">
        <w:t xml:space="preserve">s don’t lose the life </w:t>
      </w:r>
      <w:r w:rsidRPr="00E74B19" w:rsidR="00DE254C">
        <w:t xml:space="preserve">insurance coverage that they </w:t>
      </w:r>
      <w:r w:rsidR="002A289C">
        <w:t xml:space="preserve">may </w:t>
      </w:r>
      <w:r w:rsidRPr="00E74B19" w:rsidR="00DE254C">
        <w:t xml:space="preserve">have spent years </w:t>
      </w:r>
      <w:r w:rsidR="002A289C">
        <w:t xml:space="preserve">paying for and on which </w:t>
      </w:r>
      <w:r w:rsidRPr="00E74B19" w:rsidR="00DE254C">
        <w:t>their loved ones depend.</w:t>
      </w:r>
      <w:r w:rsidRPr="00E74B19">
        <w:t xml:space="preserve">  Accordingly, we reverse </w:t>
      </w:r>
      <w:r w:rsidRPr="00A2413E">
        <w:t xml:space="preserve">the </w:t>
      </w:r>
      <w:r>
        <w:t xml:space="preserve">judgment of the </w:t>
      </w:r>
      <w:r w:rsidRPr="00A2413E">
        <w:t>Court of Appeal</w:t>
      </w:r>
      <w:r>
        <w:t xml:space="preserve"> and remand for proceedings consistent with this opinion.</w:t>
      </w:r>
    </w:p>
    <w:p w:rsidR="00763384" w:rsidRPr="00761DF6" w:rsidP="00763384" w14:paraId="2E3A8D4E" w14:textId="77777777">
      <w:pPr>
        <w:ind w:left="6030"/>
        <w:jc w:val="left"/>
        <w:rPr>
          <w:szCs w:val="26"/>
        </w:rPr>
      </w:pPr>
      <w:r w:rsidRPr="00761DF6">
        <w:rPr>
          <w:b/>
          <w:szCs w:val="26"/>
        </w:rPr>
        <w:t>CUÉLLAR, J.</w:t>
      </w:r>
    </w:p>
    <w:bookmarkEnd w:id="0"/>
    <w:p w:rsidR="00F3479B" w:rsidP="00F3479B" w14:paraId="1673E10D" w14:textId="77777777">
      <w:pPr>
        <w:tabs>
          <w:tab w:val="left" w:pos="1440"/>
        </w:tabs>
        <w:rPr>
          <w:b/>
          <w:bCs/>
        </w:rPr>
      </w:pPr>
      <w:r>
        <w:rPr>
          <w:b/>
          <w:bCs/>
        </w:rPr>
        <w:t>We Concur:</w:t>
      </w:r>
    </w:p>
    <w:p w:rsidR="00F3479B" w:rsidP="00F3479B" w14:paraId="768D7CF9" w14:textId="04B3FFBA">
      <w:pPr>
        <w:tabs>
          <w:tab w:val="left" w:pos="1440"/>
        </w:tabs>
        <w:spacing w:after="0" w:line="240" w:lineRule="auto"/>
        <w:rPr>
          <w:b/>
          <w:bCs/>
        </w:rPr>
      </w:pPr>
      <w:r>
        <w:rPr>
          <w:b/>
          <w:bCs/>
        </w:rPr>
        <w:t>CANTIL-SAKAUYE, C.</w:t>
      </w:r>
      <w:r w:rsidR="00926578">
        <w:rPr>
          <w:b/>
          <w:bCs/>
        </w:rPr>
        <w:t> </w:t>
      </w:r>
      <w:r>
        <w:rPr>
          <w:b/>
          <w:bCs/>
        </w:rPr>
        <w:t>J.</w:t>
      </w:r>
    </w:p>
    <w:p w:rsidR="00F3479B" w:rsidP="00F3479B" w14:paraId="7DBF6174" w14:textId="77777777">
      <w:pPr>
        <w:tabs>
          <w:tab w:val="left" w:pos="1440"/>
        </w:tabs>
        <w:spacing w:after="0" w:line="240" w:lineRule="auto"/>
        <w:rPr>
          <w:b/>
          <w:bCs/>
        </w:rPr>
      </w:pPr>
      <w:r>
        <w:rPr>
          <w:b/>
          <w:bCs/>
        </w:rPr>
        <w:t>LIU, J.</w:t>
      </w:r>
    </w:p>
    <w:p w:rsidR="00F3479B" w:rsidP="00F3479B" w14:paraId="320A8917" w14:textId="77777777">
      <w:pPr>
        <w:tabs>
          <w:tab w:val="left" w:pos="1440"/>
        </w:tabs>
        <w:spacing w:after="0" w:line="240" w:lineRule="auto"/>
        <w:rPr>
          <w:b/>
          <w:bCs/>
        </w:rPr>
      </w:pPr>
      <w:r>
        <w:rPr>
          <w:b/>
          <w:bCs/>
        </w:rPr>
        <w:t>KRUGER, J.</w:t>
      </w:r>
    </w:p>
    <w:p w:rsidR="00F3479B" w:rsidP="00F3479B" w14:paraId="593A0B33" w14:textId="77777777">
      <w:pPr>
        <w:tabs>
          <w:tab w:val="left" w:pos="1440"/>
        </w:tabs>
        <w:spacing w:after="0" w:line="240" w:lineRule="auto"/>
        <w:rPr>
          <w:b/>
          <w:bCs/>
        </w:rPr>
      </w:pPr>
      <w:r>
        <w:rPr>
          <w:b/>
          <w:bCs/>
        </w:rPr>
        <w:t>GROBAN, J.</w:t>
      </w:r>
    </w:p>
    <w:p w:rsidR="007E3969" w:rsidP="004510DF" w14:paraId="60093417" w14:textId="77777777">
      <w:pPr>
        <w:ind w:firstLine="720"/>
        <w:sectPr w:rsidSect="00A2413E">
          <w:footerReference w:type="first" r:id="rId8"/>
          <w:pgSz w:w="12240" w:h="15840"/>
          <w:pgMar w:top="1800" w:right="2160" w:bottom="1440" w:left="2160" w:header="720" w:footer="720" w:gutter="0"/>
          <w:pgNumType w:start="1"/>
          <w:cols w:space="720"/>
          <w:titlePg/>
          <w:docGrid w:linePitch="367"/>
        </w:sectPr>
      </w:pPr>
    </w:p>
    <w:p w:rsidR="00E41FA5" w:rsidRPr="00E41FA5" w:rsidP="00E41FA5" w14:paraId="3CF48CB3" w14:textId="77777777">
      <w:pPr>
        <w:jc w:val="center"/>
      </w:pPr>
      <w:r w:rsidRPr="00E41FA5">
        <w:t>M</w:t>
      </w:r>
      <w:r w:rsidRPr="00E41FA5">
        <w:rPr>
          <w:smallCaps/>
        </w:rPr>
        <w:t>c</w:t>
      </w:r>
      <w:r w:rsidRPr="00E41FA5">
        <w:t>HUGH v. PROTECTIVE LIFE INSURANCE COMPANY</w:t>
      </w:r>
    </w:p>
    <w:p w:rsidR="00E41FA5" w:rsidRPr="00E41FA5" w:rsidP="00E41FA5" w14:paraId="0CC67C95" w14:textId="77777777">
      <w:pPr>
        <w:jc w:val="center"/>
      </w:pPr>
      <w:r w:rsidRPr="00E41FA5">
        <w:t>S259215</w:t>
      </w:r>
    </w:p>
    <w:p w:rsidR="00E41FA5" w:rsidRPr="00E41FA5" w:rsidP="00E41FA5" w14:paraId="35A61388" w14:textId="77777777">
      <w:pPr>
        <w:jc w:val="center"/>
      </w:pPr>
    </w:p>
    <w:p w:rsidR="00E41FA5" w:rsidRPr="00E41FA5" w:rsidP="00E41FA5" w14:paraId="3F48131C" w14:textId="77777777">
      <w:pPr>
        <w:jc w:val="center"/>
      </w:pPr>
      <w:r w:rsidRPr="00E41FA5">
        <w:t>Concurring Opinion by Justice Jenkins</w:t>
      </w:r>
    </w:p>
    <w:p w:rsidR="00E41FA5" w:rsidRPr="00E41FA5" w:rsidP="00E41FA5" w14:paraId="4B11F6AF" w14:textId="77777777">
      <w:pPr>
        <w:jc w:val="center"/>
      </w:pPr>
    </w:p>
    <w:p w:rsidR="00E41FA5" w:rsidRPr="00E41FA5" w:rsidP="00E41FA5" w14:paraId="0B31656E" w14:textId="77777777">
      <w:bookmarkStart w:id="43" w:name="mainstory"/>
      <w:bookmarkEnd w:id="43"/>
      <w:r w:rsidRPr="00E41FA5">
        <w:tab/>
        <w:t>I agree with the majority that sections 10113.71 and 10113.72 of the Insurance Code</w:t>
      </w:r>
      <w:r>
        <w:rPr>
          <w:b/>
          <w:position w:val="4"/>
          <w:vertAlign w:val="superscript"/>
        </w:rPr>
        <w:footnoteReference w:id="13"/>
      </w:r>
      <w:r w:rsidRPr="00E41FA5">
        <w:t xml:space="preserve"> “apply to all life insurance policies in force when these two sections went into effect, regardless of when the policies were originally issued.”  (Maj. opn., </w:t>
      </w:r>
      <w:r w:rsidRPr="00E41FA5">
        <w:rPr>
          <w:i/>
        </w:rPr>
        <w:t>ante</w:t>
      </w:r>
      <w:r w:rsidRPr="00E41FA5">
        <w:t>, at p. 2.)  I reach this conclusion by a different analytical path.  Even if, as defendant Protective Life Insurance Company (Protective Life) argues, this conclusion constitutes retroactive application of the statutes — such that the presumption against retroactivity applies — the relevant statutory language and legislative history are, in my view, “sufficiently clear to compel the inference that the [Legislature] did intend the provisions” to apply retroactively.  (</w:t>
      </w:r>
      <w:r w:rsidRPr="00E41FA5">
        <w:rPr>
          <w:i/>
          <w:iCs/>
        </w:rPr>
        <w:t>Californians for Disability Rights v. Mervyn’s, LLC</w:t>
      </w:r>
      <w:r w:rsidRPr="00E41FA5">
        <w:t xml:space="preserve"> (2006) 39 Cal.4th 223, 229 (</w:t>
      </w:r>
      <w:r w:rsidRPr="00E41FA5">
        <w:rPr>
          <w:i/>
          <w:iCs/>
        </w:rPr>
        <w:t>Mervyn’s</w:t>
      </w:r>
      <w:r w:rsidRPr="00E41FA5">
        <w:t xml:space="preserve">).)  Indeed, </w:t>
      </w:r>
      <w:bookmarkStart w:id="44" w:name="_Hlk80282167"/>
      <w:r w:rsidRPr="00E41FA5">
        <w:t xml:space="preserve">the majority acknowledges that “if the presumption applies with its ordinary weight, the indicia of legislative purpose here </w:t>
      </w:r>
      <w:r w:rsidRPr="00E41FA5">
        <w:rPr>
          <w:i/>
          <w:iCs/>
        </w:rPr>
        <w:t>could</w:t>
      </w:r>
      <w:r w:rsidRPr="00E41FA5">
        <w:t xml:space="preserve"> rebut it.”  (Maj. opn., </w:t>
      </w:r>
      <w:r w:rsidRPr="00E41FA5">
        <w:rPr>
          <w:i/>
          <w:iCs/>
        </w:rPr>
        <w:t>ante</w:t>
      </w:r>
      <w:r w:rsidRPr="00E41FA5">
        <w:t>, at p. 26.)</w:t>
      </w:r>
      <w:bookmarkEnd w:id="44"/>
      <w:r w:rsidRPr="00E41FA5">
        <w:t xml:space="preserve">  </w:t>
      </w:r>
    </w:p>
    <w:p w:rsidR="00E41FA5" w:rsidRPr="00E41FA5" w:rsidP="00E41FA5" w14:paraId="010CD5E0" w14:textId="2E947A66">
      <w:r w:rsidRPr="00E41FA5">
        <w:tab/>
        <w:t xml:space="preserve">However, I do not endorse the majority’s conclusion that applying the statutes to the policy at issue in this case does not trigger the presumption — or, alternatively, that the presumption applies but with something less than “its ordinary weight” (maj. opn., </w:t>
      </w:r>
      <w:r w:rsidRPr="00E41FA5">
        <w:rPr>
          <w:i/>
        </w:rPr>
        <w:t>ante</w:t>
      </w:r>
      <w:r w:rsidRPr="00E41FA5">
        <w:t xml:space="preserve">, at p. 26) — </w:t>
      </w:r>
      <w:bookmarkStart w:id="45" w:name="_Hlk80270727"/>
      <w:r w:rsidRPr="00E41FA5">
        <w:t xml:space="preserve">because (a) </w:t>
      </w:r>
      <w:bookmarkStart w:id="46" w:name="_Hlk79595368"/>
      <w:r w:rsidRPr="00E41FA5">
        <w:t xml:space="preserve">the impact of doing so on Protective Life’s contractual rights and obligations is insufficiently “substantial” to constitute a retroactive legal change (maj. opn., </w:t>
      </w:r>
      <w:r w:rsidRPr="00E41FA5">
        <w:rPr>
          <w:i/>
        </w:rPr>
        <w:t>ante</w:t>
      </w:r>
      <w:r w:rsidRPr="00E41FA5">
        <w:t>, at p. 18), and/or (b) “any nominal retroactive effect</w:t>
      </w:r>
      <w:bookmarkEnd w:id="45"/>
      <w:r w:rsidRPr="00E41FA5">
        <w:t xml:space="preserve"> . . . plainly fails to present the type of concern underlying the application of the presumption as we have ordinarily understood it” (maj. opn., </w:t>
      </w:r>
      <w:r w:rsidRPr="00E41FA5">
        <w:rPr>
          <w:i/>
        </w:rPr>
        <w:t>ante</w:t>
      </w:r>
      <w:r w:rsidRPr="00E41FA5">
        <w:t>, at pp. 24</w:t>
      </w:r>
      <w:r w:rsidR="001564CD">
        <w:t>–</w:t>
      </w:r>
      <w:r w:rsidRPr="00E41FA5">
        <w:t>25)</w:t>
      </w:r>
      <w:bookmarkEnd w:id="46"/>
      <w:r w:rsidRPr="00E41FA5">
        <w:t>.  I therefore concur only in the judgment.</w:t>
      </w:r>
    </w:p>
    <w:p w:rsidR="00E41FA5" w:rsidRPr="00E41FA5" w:rsidP="00E41FA5" w14:paraId="6475AC98" w14:textId="77777777">
      <w:pPr>
        <w:jc w:val="center"/>
        <w:rPr>
          <w:b/>
          <w:bCs/>
        </w:rPr>
      </w:pPr>
      <w:r w:rsidRPr="00E41FA5">
        <w:rPr>
          <w:b/>
          <w:bCs/>
        </w:rPr>
        <w:t>I.</w:t>
      </w:r>
    </w:p>
    <w:p w:rsidR="00E41FA5" w:rsidRPr="00E41FA5" w:rsidP="00E41FA5" w14:paraId="116B223B" w14:textId="77777777">
      <w:r w:rsidRPr="00E41FA5">
        <w:tab/>
        <w:t xml:space="preserve">The insurance policy here at issue includes a 31-day “grace period” for payment of the yearly premium, which provides in relevant part:  </w:t>
      </w:r>
      <w:bookmarkStart w:id="47" w:name="_Hlk79595960"/>
      <w:r w:rsidRPr="00E41FA5">
        <w:t xml:space="preserve">“A grace period of 31 days will be allowed for payment of each premium after the first.  This policy will continue in force during the grace period.  If the premium remains unpaid at the end of the grace period, coverage will cease.” </w:t>
      </w:r>
      <w:bookmarkEnd w:id="47"/>
    </w:p>
    <w:p w:rsidR="00E41FA5" w:rsidRPr="00E41FA5" w:rsidP="00E41FA5" w14:paraId="560CFCA9" w14:textId="77777777">
      <w:r w:rsidRPr="00E41FA5">
        <w:tab/>
        <w:t>As the majority notes, the length of this contractual grace period complied with applicable administrative regulations, which then expressly required at least “</w:t>
      </w:r>
      <w:r w:rsidRPr="00E41FA5">
        <w:rPr>
          <w:color w:val="000000"/>
          <w:szCs w:val="26"/>
        </w:rPr>
        <w:t xml:space="preserve">a 31-day grace period.” </w:t>
      </w:r>
      <w:r w:rsidRPr="00E41FA5">
        <w:t xml:space="preserve">(Maj. opn., </w:t>
      </w:r>
      <w:r w:rsidRPr="00E41FA5">
        <w:rPr>
          <w:i/>
        </w:rPr>
        <w:t>ante</w:t>
      </w:r>
      <w:r w:rsidRPr="00E41FA5">
        <w:t xml:space="preserve">, at p. 9, fn. 3.)  William McHugh, who purchased the policy, failed to pay the premium that was due on January 9, 2013, by the end of the grace period.  He died in June 2013.  Protective Life advised his named beneficiaries that the policy terminated before his death for nonpayment of the premium.  The beneficiaries — plaintiffs Blakely McHugh and Trysta Henselmeier — sued Protective Life for breach of contract and breach of the implied covenant of good faith and fair dealing, arguing that Protective Life improperly terminated the policy without following the requirements of sections 10113.71 and 10113.72.  Protective Life asserts that sections 10113.71 and 10113.72 do not apply in this case because they took effect on January 1, 2013, long after McHugh’s policy was issued in 2005.  A contrary conclusion, it argues, would constitute a retroactive application of the statutes — by extending the policy’s stated grace period and imposing new notice requirements — and there is insufficient evidence to “overcome” the “presumption ‘that legislation operates prospectively rather than retroactively.’ ”  </w:t>
      </w:r>
    </w:p>
    <w:p w:rsidR="00E41FA5" w:rsidRPr="00E41FA5" w:rsidP="00E41FA5" w14:paraId="4B45C752" w14:textId="77777777">
      <w:pPr>
        <w:jc w:val="center"/>
        <w:rPr>
          <w:b/>
          <w:bCs/>
        </w:rPr>
      </w:pPr>
      <w:r w:rsidRPr="00E41FA5">
        <w:rPr>
          <w:b/>
          <w:bCs/>
        </w:rPr>
        <w:t>II.</w:t>
      </w:r>
    </w:p>
    <w:p w:rsidR="00E41FA5" w:rsidRPr="00E41FA5" w:rsidP="00E41FA5" w14:paraId="4EFC6C28" w14:textId="77777777">
      <w:r w:rsidRPr="00E41FA5">
        <w:tab/>
        <w:t xml:space="preserve">Even </w:t>
      </w:r>
      <w:bookmarkStart w:id="48" w:name="_Hlk79593704"/>
      <w:r w:rsidRPr="00E41FA5">
        <w:t xml:space="preserve">if Protective Life is correct that applying the statutes to the policy at issue here triggers the presumption against retroactivity, Protective Life’s argument ultimately fails because the presumption has been overcome.  </w:t>
      </w:r>
      <w:bookmarkEnd w:id="48"/>
      <w:r w:rsidRPr="00E41FA5">
        <w:t xml:space="preserve">As the majority notes, “[t]he retroactivity presumption is not a ‘straitjacket.’ ”  (Maj. opn., </w:t>
      </w:r>
      <w:r w:rsidRPr="00E41FA5">
        <w:rPr>
          <w:i/>
        </w:rPr>
        <w:t>ante</w:t>
      </w:r>
      <w:r w:rsidRPr="00E41FA5">
        <w:t>, at p. 25.)  “Even without an express declaration, a statute may apply retroactively if there is ‘ “a clear and compelling implication” ’ that the Legislature intended such a result.”  (</w:t>
      </w:r>
      <w:r w:rsidRPr="00E41FA5">
        <w:rPr>
          <w:i/>
          <w:iCs/>
        </w:rPr>
        <w:t>People v. Alford</w:t>
      </w:r>
      <w:r w:rsidRPr="00E41FA5">
        <w:t xml:space="preserve"> (2007) 42 Cal.4th 749, 754.)  “We may infer such an intent from the express provisions of the statute as well as from extrinsic sources, including the legislative history.”  (</w:t>
      </w:r>
      <w:r w:rsidRPr="00E41FA5">
        <w:rPr>
          <w:i/>
          <w:iCs/>
        </w:rPr>
        <w:t>Preston v. State Bd. Of Equalization</w:t>
      </w:r>
      <w:r w:rsidRPr="00E41FA5">
        <w:t xml:space="preserve"> (2001) 25 Cal.4th 197, 222 (</w:t>
      </w:r>
      <w:r w:rsidRPr="00E41FA5">
        <w:rPr>
          <w:i/>
          <w:iCs/>
        </w:rPr>
        <w:t>Preston</w:t>
      </w:r>
      <w:r w:rsidRPr="00E41FA5">
        <w:t xml:space="preserve">); see </w:t>
      </w:r>
      <w:r w:rsidRPr="00E41FA5">
        <w:rPr>
          <w:i/>
          <w:iCs/>
        </w:rPr>
        <w:t>Alford</w:t>
      </w:r>
      <w:r w:rsidRPr="00E41FA5">
        <w:t>, at p. 754 [relying on “legislative history” in giving statute retroactive effect].)</w:t>
      </w:r>
    </w:p>
    <w:p w:rsidR="00E41FA5" w:rsidRPr="00E41FA5" w:rsidP="00E41FA5" w14:paraId="44CE0C6E" w14:textId="77777777">
      <w:r w:rsidRPr="00E41FA5">
        <w:tab/>
        <w:t>In my view, the statutory language and relevant legislative history are “sufficiently clear to compel the inference that the [Legislature] did intend” sections 10113.71 and 10113.72 to apply retroactively.  (</w:t>
      </w:r>
      <w:r w:rsidRPr="00E41FA5">
        <w:rPr>
          <w:i/>
          <w:iCs/>
        </w:rPr>
        <w:t>Mervyn’s</w:t>
      </w:r>
      <w:r w:rsidRPr="00E41FA5">
        <w:t xml:space="preserve">, </w:t>
      </w:r>
      <w:r w:rsidRPr="00E41FA5">
        <w:rPr>
          <w:i/>
          <w:iCs/>
        </w:rPr>
        <w:t>supra</w:t>
      </w:r>
      <w:r w:rsidRPr="00E41FA5">
        <w:t>, 39 Cal.4th at p. 229.)  Section 10113.71, subdivision (a), states that “[</w:t>
      </w:r>
      <w:r w:rsidRPr="00E41FA5">
        <w:rPr>
          <w:i/>
          <w:iCs/>
        </w:rPr>
        <w:t>e</w:t>
      </w:r>
      <w:r w:rsidRPr="00E41FA5">
        <w:t>]</w:t>
      </w:r>
      <w:r w:rsidRPr="00E41FA5">
        <w:rPr>
          <w:i/>
          <w:iCs/>
        </w:rPr>
        <w:t>ach</w:t>
      </w:r>
      <w:r w:rsidRPr="00E41FA5">
        <w:t xml:space="preserve"> life insurance policy issued or delivered in this state shall contain a provision for a grace period of not less than 60 days from the premium due date.”  (Italics added.)  As the majority explains, this language “reasonably” may be understood as “a mandatory directive for </w:t>
      </w:r>
      <w:r w:rsidRPr="00E41FA5">
        <w:rPr>
          <w:i/>
          <w:iCs/>
        </w:rPr>
        <w:t>all</w:t>
      </w:r>
      <w:r w:rsidRPr="00E41FA5">
        <w:t xml:space="preserve"> policies (i.e., each policy must be read to contain a grace period),” without any “temporal limitation.”  (Maj. opn., </w:t>
      </w:r>
      <w:r w:rsidRPr="00E41FA5">
        <w:rPr>
          <w:i/>
        </w:rPr>
        <w:t>ante</w:t>
      </w:r>
      <w:r w:rsidRPr="00E41FA5">
        <w:t>, at p. 31.)  Next, section 10113.72, subdivision (c), states that “</w:t>
      </w:r>
      <w:r w:rsidRPr="00E41FA5">
        <w:rPr>
          <w:i/>
          <w:iCs/>
        </w:rPr>
        <w:t>no</w:t>
      </w:r>
      <w:r w:rsidRPr="00E41FA5">
        <w:t xml:space="preserve"> individual life insurance policy shall lapse or be terminated for nonpayment of premium unless the insurer, at least 30 days prior to the effective date of the lapse or termination, gives notice to the policy owner and to the person or persons designated pursuant to subdivision (a), at the address provided by the policy owner for purposes of receiving notice of lapse or termination.”  (Italics added.)  This language states a substantive rule of law — apparently applicable to all policies (“No individual policy” (</w:t>
      </w:r>
      <w:r w:rsidRPr="00E41FA5">
        <w:rPr>
          <w:i/>
          <w:iCs/>
        </w:rPr>
        <w:t>ibid.</w:t>
      </w:r>
      <w:r w:rsidRPr="00E41FA5">
        <w:t xml:space="preserve">)) — that precludes lapse or termination of any policy absent provision of the required notice. </w:t>
      </w:r>
    </w:p>
    <w:p w:rsidR="00E41FA5" w:rsidRPr="00E41FA5" w:rsidP="00E41FA5" w14:paraId="2FBF9FE5" w14:textId="54A98C03">
      <w:pPr>
        <w:rPr>
          <w:szCs w:val="27"/>
        </w:rPr>
      </w:pPr>
      <w:r w:rsidRPr="00E41FA5">
        <w:tab/>
        <w:t>The breadth of this language, and the absence of any language limiting the statutes’ application to policies issued after the statutes’ effective date, are significant given that the Legislature, in the same 2012 measure that added sections 10113.71 and 10113.72, amended section 10173.2.  As to life insurance policies “assigned in writing as security for an indebtedness,” section 10173.2 requires “insurer[s]” to mail written notice to the assignees “each time the policy owner has failed or refused to transmit a premium payment to the insurer before the commencement of the policy’s grace period or before the notice is mailed.”  As the majority explains, when the Legislature amended section 10173.2 in 2012, the statute contained — and still contains — language giving it prospective-only effect, by providing that the statute’s requirements apply only when a life insurance policy is assigned “</w:t>
      </w:r>
      <w:r w:rsidR="00235B79">
        <w:t> </w:t>
      </w:r>
      <w:r w:rsidRPr="00E41FA5">
        <w:t>‘</w:t>
      </w:r>
      <w:r w:rsidRPr="00E41FA5">
        <w:rPr>
          <w:i/>
          <w:iCs/>
        </w:rPr>
        <w:t>after the effective date of this section</w:t>
      </w:r>
      <w:r w:rsidRPr="00E41FA5">
        <w:t>.’</w:t>
      </w:r>
      <w:r w:rsidR="00235B79">
        <w:t> </w:t>
      </w:r>
      <w:r w:rsidRPr="00E41FA5">
        <w:t xml:space="preserve">”  (Maj. opn., </w:t>
      </w:r>
      <w:r w:rsidRPr="00E41FA5">
        <w:rPr>
          <w:i/>
          <w:iCs/>
        </w:rPr>
        <w:t>ante</w:t>
      </w:r>
      <w:r w:rsidRPr="00E41FA5">
        <w:t xml:space="preserve">, at p. 37; see Stats. 2012, ch. 315, § 3; Stats. 1975, ch. 792, § 1, p. 1816.)  Thus, as the majority also explains, “when the Legislature added sections 10113.71 and 10113.72 to the Insurance Code, it knew that another statute — indeed, a statute it amended in the very same bill — used expressly future-oriented language,” but the Legislature “did not add similar [prospective-only] language to sections 10113.71 and 10113.72.”  (Maj. opn., </w:t>
      </w:r>
      <w:r w:rsidRPr="00E41FA5">
        <w:rPr>
          <w:i/>
          <w:iCs/>
        </w:rPr>
        <w:t>ante</w:t>
      </w:r>
      <w:r w:rsidRPr="00E41FA5">
        <w:t xml:space="preserve">, at p. 37.)  This circumstance indicates the Legislature’s intent to make </w:t>
      </w:r>
      <w:r w:rsidRPr="00E41FA5">
        <w:rPr>
          <w:szCs w:val="27"/>
        </w:rPr>
        <w:t xml:space="preserve">the grace period and notice provisions applicable to all policies, regardless of issue date.  (See </w:t>
      </w:r>
      <w:r w:rsidRPr="00E41FA5">
        <w:rPr>
          <w:i/>
          <w:iCs/>
          <w:szCs w:val="27"/>
        </w:rPr>
        <w:t>Calfarm Ins. Co. v. Deukmejian</w:t>
      </w:r>
      <w:r w:rsidRPr="00E41FA5">
        <w:rPr>
          <w:szCs w:val="27"/>
        </w:rPr>
        <w:t xml:space="preserve"> (1989) 48 Cal.3d 805, 827 (</w:t>
      </w:r>
      <w:r w:rsidRPr="00E41FA5">
        <w:rPr>
          <w:i/>
          <w:iCs/>
          <w:szCs w:val="27"/>
        </w:rPr>
        <w:t>Calfarm</w:t>
      </w:r>
      <w:r w:rsidRPr="00E41FA5">
        <w:rPr>
          <w:szCs w:val="27"/>
        </w:rPr>
        <w:t>) [“necessary inference” from “omission” of language giving statute prospective-only effect is that statute’s application “was not so limited,” given language in simultaneously enacted provision “expressly” giving it prospective-only effect].)</w:t>
      </w:r>
      <w:r w:rsidRPr="00E41FA5">
        <w:rPr>
          <w:szCs w:val="27"/>
        </w:rPr>
        <w:tab/>
      </w:r>
    </w:p>
    <w:p w:rsidR="00E41FA5" w:rsidRPr="00E41FA5" w:rsidP="00E41FA5" w14:paraId="6565D60D" w14:textId="77777777">
      <w:r w:rsidRPr="00E41FA5">
        <w:rPr>
          <w:szCs w:val="27"/>
        </w:rPr>
        <w:tab/>
        <w:t xml:space="preserve">The relevant legislative history reinforces this conclusion.  According to one analysis </w:t>
      </w:r>
      <w:r w:rsidRPr="00E41FA5">
        <w:t xml:space="preserve">of the proposed legislation, the “[p]urpose of the bill” was “[t]o provide consumer safeguards from which people </w:t>
      </w:r>
      <w:r w:rsidRPr="00E41FA5">
        <w:rPr>
          <w:i/>
          <w:iCs/>
        </w:rPr>
        <w:t>who have purchased life insurance coverage </w:t>
      </w:r>
      <w:r w:rsidRPr="00E41FA5">
        <w:t xml:space="preserve">. . . would benefit.”  (Sen. Com. on Insurance, Analysis of Assem. Bill No. 1747 (2011–2012 Reg. Sess.) as amended June 7, 2012, p. 2, italics added, underscoring omitted.)  Several other analyses used identical language in describing what, “[a]ccording to the author” of the legislation, the proposed statutes would “provide[].”  (Assem. Com. on Insurance, Analysis of Assem. Bill No. 1747 (2011–2012 Reg. Sess.) as amended Apr. 26, 2012, p. 1; see Assem. 3d reading analysis of Assem. Bill No. 1747 (2011–2012 Reg. Sess.) as amended May 9, 2012, p. 2 [same].)  In explaining the need for these safeguards, the same analyses explained that under existing law, policyholders — “especially seniors” — could “easily lose” coverage after “many years” of “paying premiums” if they “accidentally missed” making even “a single premium” payment.  (Assem. Com. on Insurance, Analysis of Assem. Bill No. 1747 (2011–2012 Reg. Sess.) as amended Apr. 26, 2012, pp. 1–2; Assem. 3d reading analysis of Assem. Bill No. 1747 (2011–2012 Reg. Sess.) as amended May 9, 2012, p. 2; Sen. Com. on Insurance, Analysis of Assem. Bill No. 1747 (2011–2012 Reg. Sess.) as amended June 7, 2012, p. 2.)  The Legislature sought to address this problem through the combined effect of the new notice and extended grace period provisions.  As the majority observes, to conclude that the Legislature did not intend to extend these new safeguards to existing at-risk policyholders who, according to the legislative history, were the motivation for the legislation, “would produce results seemingly incongruous with” the Legislature’s intent.  (Maj. opn., </w:t>
      </w:r>
      <w:r w:rsidRPr="00E41FA5">
        <w:rPr>
          <w:i/>
          <w:iCs/>
        </w:rPr>
        <w:t>ante</w:t>
      </w:r>
      <w:r w:rsidRPr="00E41FA5">
        <w:t>, at p. 36.)  Given “[t]he evident purpose of” the statutes, “the conclusion is inescapable that” they were “intended to apply to policies in force on the . . . date” they took effect.  (</w:t>
      </w:r>
      <w:r w:rsidRPr="00E41FA5">
        <w:rPr>
          <w:i/>
          <w:iCs/>
        </w:rPr>
        <w:t>Calfarm</w:t>
      </w:r>
      <w:r w:rsidRPr="00E41FA5">
        <w:t xml:space="preserve">, </w:t>
      </w:r>
      <w:r w:rsidRPr="00E41FA5">
        <w:rPr>
          <w:i/>
          <w:iCs/>
        </w:rPr>
        <w:t>supra</w:t>
      </w:r>
      <w:r w:rsidRPr="00E41FA5">
        <w:t>, 48 Cal.3d at p. 827.)  To decline to give the statutes’ retroactive effect would, contrary to our precedent, turn the presumption into a “ ‘straitjacket.’ ”</w:t>
      </w:r>
      <w:r>
        <w:rPr>
          <w:b/>
          <w:position w:val="4"/>
          <w:vertAlign w:val="superscript"/>
        </w:rPr>
        <w:footnoteReference w:id="14"/>
      </w:r>
      <w:r w:rsidRPr="00E41FA5">
        <w:t xml:space="preserve">  (Maj. opn., </w:t>
      </w:r>
      <w:r w:rsidRPr="00E41FA5">
        <w:rPr>
          <w:i/>
        </w:rPr>
        <w:t>ante</w:t>
      </w:r>
      <w:r w:rsidRPr="00E41FA5">
        <w:t xml:space="preserve">, at p. 25.)   </w:t>
      </w:r>
    </w:p>
    <w:p w:rsidR="00E41FA5" w:rsidRPr="00E41FA5" w:rsidP="00E41FA5" w14:paraId="0ED1A3F7" w14:textId="77777777">
      <w:pPr>
        <w:jc w:val="center"/>
        <w:rPr>
          <w:b/>
          <w:bCs/>
        </w:rPr>
      </w:pPr>
      <w:r w:rsidRPr="00E41FA5">
        <w:rPr>
          <w:b/>
          <w:bCs/>
        </w:rPr>
        <w:t>III.</w:t>
      </w:r>
    </w:p>
    <w:p w:rsidR="00E41FA5" w:rsidRPr="00E41FA5" w:rsidP="00E41FA5" w14:paraId="1B8BFC25" w14:textId="77777777">
      <w:r w:rsidRPr="00E41FA5">
        <w:tab/>
        <w:t>In light of my conclusion that the statutory language and legislative history are “sufficiently clear to compel the inference that the [Legislature] did intend the provisions” to apply retroactively (</w:t>
      </w:r>
      <w:r w:rsidRPr="00E41FA5">
        <w:rPr>
          <w:i/>
          <w:iCs/>
        </w:rPr>
        <w:t>Mervyn’s</w:t>
      </w:r>
      <w:r w:rsidRPr="00E41FA5">
        <w:t xml:space="preserve">, </w:t>
      </w:r>
      <w:r w:rsidRPr="00E41FA5">
        <w:rPr>
          <w:i/>
          <w:iCs/>
        </w:rPr>
        <w:t>supra</w:t>
      </w:r>
      <w:r w:rsidRPr="00E41FA5">
        <w:t xml:space="preserve">, 39 Cal.4th at p. 229), it is unnecessary for me to decide whether, as Protective Life asserts, applying the requirements of sections 10113.71 and 10113.72 in this case constitutes a retroactive application of the statutes that triggers the presumption.  Contrary to what the majority might seem to suggest, this approach is fully “consistent with” precedent (maj. opn., </w:t>
      </w:r>
      <w:r w:rsidRPr="00E41FA5">
        <w:rPr>
          <w:i/>
          <w:iCs/>
        </w:rPr>
        <w:t>ante</w:t>
      </w:r>
      <w:r w:rsidRPr="00E41FA5">
        <w:t>, at p. 26)</w:t>
      </w:r>
      <w:r w:rsidRPr="00E41FA5">
        <w:rPr>
          <w:i/>
          <w:iCs/>
        </w:rPr>
        <w:t xml:space="preserve"> </w:t>
      </w:r>
      <w:r w:rsidRPr="00E41FA5">
        <w:t xml:space="preserve">in which we first “assum[ed],” </w:t>
      </w:r>
      <w:r w:rsidRPr="00E41FA5">
        <w:rPr>
          <w:i/>
          <w:iCs/>
        </w:rPr>
        <w:t>without deciding</w:t>
      </w:r>
      <w:r w:rsidRPr="00E41FA5">
        <w:t>, that applying a statute would be giving it retroactive effect, and then held, based on “the pertinent legislative materials,” that the Legislature intended the statute to have such effect.  (</w:t>
      </w:r>
      <w:r w:rsidRPr="00E41FA5">
        <w:rPr>
          <w:i/>
          <w:iCs/>
        </w:rPr>
        <w:t>Preston</w:t>
      </w:r>
      <w:r w:rsidRPr="00E41FA5">
        <w:t xml:space="preserve">, </w:t>
      </w:r>
      <w:r w:rsidRPr="00E41FA5">
        <w:rPr>
          <w:i/>
          <w:iCs/>
        </w:rPr>
        <w:t>supra</w:t>
      </w:r>
      <w:r w:rsidRPr="00E41FA5">
        <w:t>, 25 Cal.4th at pp. 221, 222.)  I therefore do not join the majority’s conclusion that the presumption is inapplicable or applies with less than its ordinary force, or with its discussion of those questions.</w:t>
      </w:r>
    </w:p>
    <w:p w:rsidR="00E41FA5" w:rsidRPr="00E41FA5" w:rsidP="00E41FA5" w14:paraId="6454E0DF" w14:textId="77777777">
      <w:r w:rsidRPr="00E41FA5">
        <w:tab/>
        <w:t xml:space="preserve">Although I acknowledge that the majority’s choice to address the question of whether the presumption even applies is  “consistent with previous cases,” it is not evident to me that the majority’s approach is “the most thorough” one.  (Maj. opn., </w:t>
      </w:r>
      <w:r w:rsidRPr="00E41FA5">
        <w:rPr>
          <w:i/>
          <w:iCs/>
        </w:rPr>
        <w:t>ante</w:t>
      </w:r>
      <w:r w:rsidRPr="00E41FA5">
        <w:t>,</w:t>
      </w:r>
      <w:r w:rsidRPr="00E41FA5">
        <w:rPr>
          <w:i/>
          <w:iCs/>
        </w:rPr>
        <w:t xml:space="preserve"> </w:t>
      </w:r>
      <w:r w:rsidRPr="00E41FA5">
        <w:t>at p. 26.)  I say this because the majority leaves more questions unanswered than it resolves.  It does not definitively decide whether applying the statutes here would result in “retroactive changes for purposes of the presumption.”  (</w:t>
      </w:r>
      <w:r w:rsidRPr="00E41FA5">
        <w:rPr>
          <w:i/>
          <w:iCs/>
        </w:rPr>
        <w:t>Ibid.</w:t>
      </w:r>
      <w:r w:rsidRPr="00E41FA5">
        <w:t>)  It also declines to decide whether the presumption is inapplicable — such that it carries no weight — or whether it applies but carries less than “its ordinary weight.”  (</w:t>
      </w:r>
      <w:r w:rsidRPr="00E41FA5">
        <w:rPr>
          <w:i/>
          <w:iCs/>
        </w:rPr>
        <w:t>Ibid.</w:t>
      </w:r>
      <w:r w:rsidRPr="00E41FA5">
        <w:t xml:space="preserve">; see </w:t>
      </w:r>
      <w:r w:rsidRPr="00E41FA5">
        <w:rPr>
          <w:i/>
          <w:iCs/>
        </w:rPr>
        <w:t xml:space="preserve">id. </w:t>
      </w:r>
      <w:r w:rsidRPr="00E41FA5">
        <w:t>at p. 38 [the presumption “carries little if any weight” in this case]).</w:t>
      </w:r>
      <w:r>
        <w:rPr>
          <w:b/>
          <w:position w:val="4"/>
          <w:vertAlign w:val="superscript"/>
        </w:rPr>
        <w:footnoteReference w:id="15"/>
      </w:r>
      <w:r w:rsidRPr="00E41FA5">
        <w:t xml:space="preserve">  Nor does the majority  explain, with respect to its alternative holding that the presumption applies but carries less than “its ordinary weight” (maj. opn., </w:t>
      </w:r>
      <w:r w:rsidRPr="00E41FA5">
        <w:rPr>
          <w:i/>
          <w:iCs/>
        </w:rPr>
        <w:t>ante</w:t>
      </w:r>
      <w:r w:rsidRPr="00E41FA5">
        <w:t xml:space="preserve">, at p. 26), what weight the presumption </w:t>
      </w:r>
      <w:r w:rsidRPr="00E41FA5">
        <w:rPr>
          <w:i/>
          <w:iCs/>
        </w:rPr>
        <w:t xml:space="preserve">does </w:t>
      </w:r>
      <w:r w:rsidRPr="00E41FA5">
        <w:t xml:space="preserve">carry or what is required to overcome it.  Indeed, notwithstanding the majority’s alternative holding, its analysis proceeds as if the presumption is completely inapplicable.  For example, the majority never mentions the presumption or appears to give it </w:t>
      </w:r>
      <w:r w:rsidRPr="00E41FA5">
        <w:rPr>
          <w:i/>
          <w:iCs/>
        </w:rPr>
        <w:t xml:space="preserve">any </w:t>
      </w:r>
      <w:r w:rsidRPr="00E41FA5">
        <w:t>weight, as evidenced by the majority’s express refusal even “to entertain” Protective Life’s argument “that the Legislature’s failure to enact the sections as part of urgency legislation cuts against rebutting the presumption.”  (</w:t>
      </w:r>
      <w:r w:rsidRPr="00E41FA5">
        <w:rPr>
          <w:i/>
          <w:iCs/>
        </w:rPr>
        <w:t xml:space="preserve">Id. </w:t>
      </w:r>
      <w:r w:rsidRPr="00E41FA5">
        <w:t>at p. 38, fn. 9.)  In short, by declining to offer answers to what it calls the “threshold question” (</w:t>
      </w:r>
      <w:r w:rsidRPr="00E41FA5">
        <w:rPr>
          <w:i/>
          <w:iCs/>
        </w:rPr>
        <w:t>id.</w:t>
      </w:r>
      <w:r w:rsidRPr="00E41FA5">
        <w:t xml:space="preserve"> at p. 26) of retroactivity, </w:t>
      </w:r>
      <w:bookmarkStart w:id="50" w:name="_Hlk80340418"/>
      <w:bookmarkStart w:id="51" w:name="_Hlk80341443"/>
      <w:r w:rsidRPr="00E41FA5">
        <w:t xml:space="preserve">the majority’s “approach” ultimately </w:t>
      </w:r>
      <w:bookmarkStart w:id="52" w:name="_Hlk80340036"/>
      <w:r w:rsidRPr="00E41FA5">
        <w:t xml:space="preserve">fails to </w:t>
      </w:r>
      <w:bookmarkEnd w:id="50"/>
      <w:r w:rsidRPr="00E41FA5">
        <w:t>yield an analysis that provides lower courts with clear and adequate guidance for applying the presumption, as the majority puts it, in a way we have not previously “understood it” (</w:t>
      </w:r>
      <w:r w:rsidRPr="00E41FA5">
        <w:rPr>
          <w:i/>
          <w:iCs/>
        </w:rPr>
        <w:t xml:space="preserve">id. </w:t>
      </w:r>
      <w:r w:rsidRPr="00E41FA5">
        <w:t xml:space="preserve">at p. 25) and with less than “its ordinary weight” </w:t>
      </w:r>
      <w:bookmarkEnd w:id="52"/>
      <w:r w:rsidRPr="00E41FA5">
        <w:t>(</w:t>
      </w:r>
      <w:r w:rsidRPr="00E41FA5">
        <w:rPr>
          <w:i/>
          <w:iCs/>
        </w:rPr>
        <w:t xml:space="preserve">id. </w:t>
      </w:r>
      <w:r w:rsidRPr="00E41FA5">
        <w:t>at p. 26)</w:t>
      </w:r>
      <w:bookmarkEnd w:id="51"/>
      <w:r w:rsidRPr="00E41FA5">
        <w:t>.</w:t>
      </w:r>
    </w:p>
    <w:p w:rsidR="00E41FA5" w:rsidRPr="00E41FA5" w:rsidP="00E41FA5" w14:paraId="2743A527" w14:textId="77777777">
      <w:r w:rsidRPr="00E41FA5">
        <w:tab/>
        <w:t xml:space="preserve">Nor is it clear to me that our precedents “support[]” (maj. opn., </w:t>
      </w:r>
      <w:r w:rsidRPr="00E41FA5">
        <w:rPr>
          <w:i/>
          <w:iCs/>
        </w:rPr>
        <w:t>ante</w:t>
      </w:r>
      <w:r w:rsidRPr="00E41FA5">
        <w:t>, at p. 24), much less “strongly favor[]” (</w:t>
      </w:r>
      <w:r w:rsidRPr="00E41FA5">
        <w:rPr>
          <w:i/>
          <w:iCs/>
        </w:rPr>
        <w:t xml:space="preserve">id. </w:t>
      </w:r>
      <w:r w:rsidRPr="00E41FA5">
        <w:t>at p. 17), the majority’s conclusion that the presumption either does not apply at all or applies but carries less than “its ordinary weight” (</w:t>
      </w:r>
      <w:r w:rsidRPr="00E41FA5">
        <w:rPr>
          <w:i/>
          <w:iCs/>
        </w:rPr>
        <w:t xml:space="preserve">id. </w:t>
      </w:r>
      <w:r w:rsidRPr="00E41FA5">
        <w:t xml:space="preserve">at p. 26).  I have found no case — and the majority cites none — in which this court (or a Court of Appeal) has </w:t>
      </w:r>
      <w:r w:rsidRPr="00E41FA5">
        <w:rPr>
          <w:i/>
          <w:iCs/>
        </w:rPr>
        <w:t>declined</w:t>
      </w:r>
      <w:r w:rsidRPr="00E41FA5">
        <w:t xml:space="preserve"> to apply the presumption because the impact on contractual rights and obligations of applying a new statute to an existing contract was insufficiently “substantial” to trigger the presumption.  (Maj. opn., </w:t>
      </w:r>
      <w:r w:rsidRPr="00E41FA5">
        <w:rPr>
          <w:i/>
        </w:rPr>
        <w:t>ante</w:t>
      </w:r>
      <w:r w:rsidRPr="00E41FA5">
        <w:t>, at p. 18.)  Nor have I found a case — and again, the majority cites none — in which this court (or a Court of Appeal) has applied the presumption with less than “its ordinary weight” (</w:t>
      </w:r>
      <w:r w:rsidRPr="00E41FA5">
        <w:rPr>
          <w:i/>
          <w:iCs/>
        </w:rPr>
        <w:t>id.</w:t>
      </w:r>
      <w:r w:rsidRPr="00E41FA5">
        <w:t xml:space="preserve"> at p. 26), either for the reason the majority offers here — applying the statutes gives them retroactive effect, but only in a “technical[],” “nominal,” or “trivial” way (</w:t>
      </w:r>
      <w:r w:rsidRPr="00E41FA5">
        <w:rPr>
          <w:i/>
          <w:iCs/>
        </w:rPr>
        <w:t>id.</w:t>
      </w:r>
      <w:r w:rsidRPr="00E41FA5">
        <w:t xml:space="preserve"> at p. 24) — or for any</w:t>
      </w:r>
      <w:r w:rsidRPr="00E41FA5">
        <w:rPr>
          <w:i/>
          <w:iCs/>
        </w:rPr>
        <w:t xml:space="preserve"> </w:t>
      </w:r>
      <w:r w:rsidRPr="00E41FA5">
        <w:t xml:space="preserve">other reason.  </w:t>
      </w:r>
    </w:p>
    <w:p w:rsidR="00E41FA5" w:rsidRPr="00E41FA5" w:rsidP="00E41FA5" w14:paraId="69239059" w14:textId="5C4AFACC">
      <w:r w:rsidRPr="00E41FA5">
        <w:tab/>
        <w:t>In support of its view, the majority states that (1) “we have generally explained that a new law operates ‘retroactively’ when it changes ‘</w:t>
      </w:r>
      <w:r w:rsidR="00235B79">
        <w:t> </w:t>
      </w:r>
      <w:r w:rsidRPr="00E41FA5">
        <w:t>“ ‘the legal consequences of past conduct by imposing new or different liabilities based upon such conduct,’ ” ’ ” and (2) “[w]e have asked whether the new law ‘ “ ‘</w:t>
      </w:r>
      <w:r w:rsidRPr="00E41FA5">
        <w:rPr>
          <w:i/>
          <w:iCs/>
        </w:rPr>
        <w:t>substantially</w:t>
      </w:r>
      <w:r w:rsidRPr="00E41FA5">
        <w:t xml:space="preserve"> affect[s] existing rights and obligations.’ ”</w:t>
      </w:r>
      <w:r w:rsidR="00235B79">
        <w:t> </w:t>
      </w:r>
      <w:r w:rsidRPr="00E41FA5">
        <w:t xml:space="preserve">’ ”  (Maj. opn., </w:t>
      </w:r>
      <w:r w:rsidRPr="00E41FA5">
        <w:rPr>
          <w:i/>
          <w:iCs/>
        </w:rPr>
        <w:t>ante</w:t>
      </w:r>
      <w:r w:rsidRPr="00E41FA5">
        <w:t xml:space="preserve">, at p. 16.)  But our precedents </w:t>
      </w:r>
      <w:r w:rsidRPr="00E41FA5">
        <w:rPr>
          <w:i/>
          <w:iCs/>
        </w:rPr>
        <w:t xml:space="preserve">also </w:t>
      </w:r>
      <w:r w:rsidRPr="00E41FA5">
        <w:t>have long</w:t>
      </w:r>
      <w:r w:rsidRPr="00E41FA5">
        <w:rPr>
          <w:i/>
          <w:iCs/>
        </w:rPr>
        <w:t xml:space="preserve"> </w:t>
      </w:r>
      <w:r w:rsidRPr="00E41FA5">
        <w:t>declared that a law is “ ‘retroactive’ ” for purposes of the presumption if it “ ‘takes away or impairs vested rights acquired under existing laws . . . or give[s] a right [that] never before existed.’ ”  (</w:t>
      </w:r>
      <w:r w:rsidRPr="00E41FA5">
        <w:rPr>
          <w:i/>
          <w:iCs/>
        </w:rPr>
        <w:t>Davis &amp; McMillan v. Industrial Acc. Com.</w:t>
      </w:r>
      <w:r w:rsidRPr="00E41FA5">
        <w:t xml:space="preserve"> (1926) 198 Cal. 631, 637</w:t>
      </w:r>
      <w:r w:rsidR="00E04D2B">
        <w:t>–</w:t>
      </w:r>
      <w:r w:rsidRPr="00E41FA5">
        <w:t>638.)  Our precedents also indicate that where a law “ ‘destroy[s] or impair[s] an existing right, or give[s] a right which never before existed,’ ” the law necessarily “ ‘relate[s] to substantial rights’</w:t>
      </w:r>
      <w:r w:rsidR="00235B79">
        <w:t> </w:t>
      </w:r>
      <w:r w:rsidRPr="00E41FA5">
        <w:t>” and is therefore retroactive for purposes of the presumption.  (</w:t>
      </w:r>
      <w:r w:rsidRPr="00E41FA5">
        <w:rPr>
          <w:i/>
          <w:iCs/>
        </w:rPr>
        <w:t xml:space="preserve">Id. </w:t>
      </w:r>
      <w:r w:rsidRPr="00E41FA5">
        <w:t>at p. 638 [“</w:t>
      </w:r>
      <w:r w:rsidR="00235B79">
        <w:t> </w:t>
      </w:r>
      <w:r w:rsidRPr="00E41FA5">
        <w:t>‘Retrospective statutes are usually considered to embrace only those which relate to substantial rights, as those which destroy or impair an existing right, or give a right which never before existed’</w:t>
      </w:r>
      <w:r w:rsidR="00235B79">
        <w:t> </w:t>
      </w:r>
      <w:r w:rsidRPr="00E41FA5">
        <w:t>”].)  Consistent with this understanding, our modern decisions broadly declare that “ ‘ “ ‘[</w:t>
      </w:r>
      <w:r w:rsidRPr="00E41FA5">
        <w:rPr>
          <w:i/>
          <w:iCs/>
        </w:rPr>
        <w:t>e</w:t>
      </w:r>
      <w:r w:rsidRPr="00E41FA5">
        <w:t>]</w:t>
      </w:r>
      <w:r w:rsidRPr="00E41FA5">
        <w:rPr>
          <w:i/>
          <w:iCs/>
        </w:rPr>
        <w:t>very</w:t>
      </w:r>
      <w:r w:rsidRPr="00E41FA5">
        <w:t xml:space="preserve"> statute . . . which takes away or impairs vested rights acquired under existing laws . </w:t>
      </w:r>
      <w:r w:rsidRPr="00E41FA5">
        <w:rPr>
          <w:sz w:val="28"/>
          <w:szCs w:val="28"/>
        </w:rPr>
        <w:t>. . ,</w:t>
      </w:r>
      <w:r w:rsidRPr="00E41FA5">
        <w:t xml:space="preserve"> in respect to transactions or considerations already past, </w:t>
      </w:r>
      <w:r w:rsidRPr="00E41FA5">
        <w:rPr>
          <w:i/>
          <w:iCs/>
        </w:rPr>
        <w:t>must be deemed retrospective</w:t>
      </w:r>
      <w:r w:rsidRPr="00E41FA5">
        <w:t>.’ ” ’ ”  (</w:t>
      </w:r>
      <w:r w:rsidRPr="00E41FA5">
        <w:rPr>
          <w:i/>
          <w:iCs/>
        </w:rPr>
        <w:t xml:space="preserve">Strauss v. Horton </w:t>
      </w:r>
      <w:r w:rsidRPr="00E41FA5">
        <w:t>(2009) 46 Cal.4th 364, 471</w:t>
      </w:r>
      <w:r w:rsidR="00E04D2B">
        <w:t>–</w:t>
      </w:r>
      <w:r w:rsidRPr="00E41FA5">
        <w:t xml:space="preserve">472, italics added.)  Indeed, the majority acknowledges that at least “some of our cases” articulate a “broad[] definition” of retroactivity that “seems to embrace </w:t>
      </w:r>
      <w:r w:rsidRPr="00E41FA5">
        <w:rPr>
          <w:i/>
          <w:iCs/>
        </w:rPr>
        <w:t>any</w:t>
      </w:r>
      <w:r w:rsidRPr="00E41FA5">
        <w:t xml:space="preserve"> conceivable statutory impact on the terms of an existing contract</w:t>
      </w:r>
      <w:r w:rsidR="00235B79">
        <w:t> </w:t>
      </w:r>
      <w:r w:rsidRPr="00E41FA5">
        <w:t xml:space="preserve">— including an insurance contract.”  (Maj. opn., </w:t>
      </w:r>
      <w:r w:rsidRPr="00E41FA5">
        <w:rPr>
          <w:i/>
          <w:iCs/>
        </w:rPr>
        <w:t>ante</w:t>
      </w:r>
      <w:r w:rsidRPr="00E41FA5">
        <w:t xml:space="preserve">, at p. 16.)  The majority’s analysis does not convince me that “[o]ur precedent . . . establishes [the] different,” far narrower “proposition” that retroactivity does not exist where application of “a new law” </w:t>
      </w:r>
      <w:r w:rsidRPr="00E41FA5">
        <w:rPr>
          <w:i/>
          <w:iCs/>
        </w:rPr>
        <w:t>would</w:t>
      </w:r>
      <w:r w:rsidRPr="00E41FA5">
        <w:t xml:space="preserve">, in fact, “impact” vested contractual rights by “chang[ing] . . . the contracting parties’ rights or obligations,” but a court decides that the “impact” on those contractual rights is not sufficiently “substantial.”   (Maj. opn., </w:t>
      </w:r>
      <w:r w:rsidRPr="00E41FA5">
        <w:rPr>
          <w:i/>
          <w:iCs/>
        </w:rPr>
        <w:t>ante</w:t>
      </w:r>
      <w:r w:rsidRPr="00E41FA5">
        <w:t>, at p. 21.)   Thus, contrary to the majority’s assertion, my reservations about its analysis and conclusion go far beyond its failure to “identify a sufficiently analogous case.”  (</w:t>
      </w:r>
      <w:r w:rsidRPr="00E41FA5">
        <w:rPr>
          <w:i/>
          <w:iCs/>
        </w:rPr>
        <w:t>Id.</w:t>
      </w:r>
      <w:r w:rsidRPr="00E41FA5">
        <w:t xml:space="preserve"> at p. 20.)  Having failed to find a decision from any court applying our decisions in the way the majority does, and having thoroughly “grapple[d] with this established body of law” (</w:t>
      </w:r>
      <w:r w:rsidRPr="00E41FA5">
        <w:rPr>
          <w:i/>
          <w:iCs/>
        </w:rPr>
        <w:t xml:space="preserve">id. </w:t>
      </w:r>
      <w:r w:rsidRPr="00E41FA5">
        <w:t>at p. 19), it simply is not evident to me that our precedents “support[]” (</w:t>
      </w:r>
      <w:r w:rsidRPr="00E41FA5">
        <w:rPr>
          <w:i/>
          <w:iCs/>
        </w:rPr>
        <w:t>id.</w:t>
      </w:r>
      <w:r w:rsidRPr="00E41FA5">
        <w:t xml:space="preserve"> at p. 24) the majority’s novel analysis.</w:t>
      </w:r>
    </w:p>
    <w:p w:rsidR="00E41FA5" w:rsidRPr="00E41FA5" w:rsidP="00E41FA5" w14:paraId="1465959B" w14:textId="77777777">
      <w:r w:rsidRPr="00E41FA5">
        <w:tab/>
        <w:t xml:space="preserve">It also is not evident to  me that the statutes, as applied to existing policies, merely “make relatively cabined, procedural changes to how insurers administer policies,” by “requir[ing] insurers to provide policy owners with limited but critical safeguards to avoid defaulting.”  (Maj. opn., </w:t>
      </w:r>
      <w:r w:rsidRPr="00E41FA5">
        <w:rPr>
          <w:i/>
        </w:rPr>
        <w:t>ante</w:t>
      </w:r>
      <w:r w:rsidRPr="00E41FA5">
        <w:t>, at p. 18.)  As the majority acknowledges, “ ‘promptness of payment is essential in the business of life insurance,’ ” and “</w:t>
      </w:r>
      <w:r w:rsidRPr="00E41FA5">
        <w:rPr>
          <w:color w:val="000000"/>
          <w:szCs w:val="26"/>
        </w:rPr>
        <w:t xml:space="preserve">insurers depend on the regular, timely payment of premiums in order to pay death benefits and </w:t>
      </w:r>
      <w:r w:rsidRPr="00E41FA5">
        <w:rPr>
          <w:szCs w:val="26"/>
        </w:rPr>
        <w:t xml:space="preserve">cover the cost of administering policies.”  (Maj. opn., </w:t>
      </w:r>
      <w:r w:rsidRPr="00E41FA5">
        <w:rPr>
          <w:i/>
          <w:iCs/>
          <w:szCs w:val="26"/>
        </w:rPr>
        <w:t>ante</w:t>
      </w:r>
      <w:r w:rsidRPr="00E41FA5">
        <w:rPr>
          <w:szCs w:val="26"/>
        </w:rPr>
        <w:t xml:space="preserve">, at p. 9.)  </w:t>
      </w:r>
      <w:r w:rsidRPr="00E41FA5">
        <w:t xml:space="preserve">As noted above, the policy in this case expressly states that “coverage will cease” if the premium is not paid at the end of “[a] grace period of 31 days.”  Under section 10113.71, subdivision (a), coverage </w:t>
      </w:r>
      <w:r w:rsidRPr="00E41FA5">
        <w:rPr>
          <w:i/>
          <w:iCs/>
        </w:rPr>
        <w:t>must</w:t>
      </w:r>
      <w:r w:rsidRPr="00E41FA5">
        <w:t xml:space="preserve"> </w:t>
      </w:r>
      <w:r w:rsidRPr="00E41FA5">
        <w:rPr>
          <w:i/>
          <w:iCs/>
        </w:rPr>
        <w:t>remain in force</w:t>
      </w:r>
      <w:r w:rsidRPr="00E41FA5">
        <w:t>, notwithstanding the contractual provision and the nonpayment of premium, for at least 60 days.  In my view, this mandatory coverage extension arguably constitutes more than a mere “procedural change[].”</w:t>
      </w:r>
      <w:r>
        <w:rPr>
          <w:b/>
          <w:position w:val="4"/>
          <w:vertAlign w:val="superscript"/>
        </w:rPr>
        <w:footnoteReference w:id="16"/>
      </w:r>
      <w:r w:rsidRPr="00E41FA5">
        <w:t xml:space="preserve">  (Maj. opn., </w:t>
      </w:r>
      <w:r w:rsidRPr="00E41FA5">
        <w:rPr>
          <w:i/>
        </w:rPr>
        <w:t>ante</w:t>
      </w:r>
      <w:r w:rsidRPr="00E41FA5">
        <w:t xml:space="preserve">, at p. 18.)  </w:t>
      </w:r>
    </w:p>
    <w:p w:rsidR="00E41FA5" w:rsidRPr="00E41FA5" w:rsidP="00E41FA5" w14:paraId="182904AC" w14:textId="77777777">
      <w:r w:rsidRPr="00E41FA5">
        <w:tab/>
        <w:t>In all events, in terms of the presumption’s applicability and operation, our prior decisions eschew reliance on whether a change may be characterized as procedural rather than substantive.  (</w:t>
      </w:r>
      <w:r w:rsidRPr="00E41FA5">
        <w:rPr>
          <w:i/>
          <w:iCs/>
        </w:rPr>
        <w:t>Aetna Cas. &amp; Sur. Co. v. Industrial Acc. Commission</w:t>
      </w:r>
      <w:r w:rsidRPr="00E41FA5">
        <w:t xml:space="preserve"> (1947) 30 Cal.2d 388, 394.)  As we have explained, “ ‘In deciding whether the application of a law is prospective or retroactive, we look to function, not form.  [Citations.]  We consider the effect of a law on a party’s rights and liabilities, not whether a procedural or substantive label best applies.’ ”  (</w:t>
      </w:r>
      <w:r w:rsidRPr="00E41FA5">
        <w:rPr>
          <w:i/>
          <w:iCs/>
        </w:rPr>
        <w:t>In re Friend</w:t>
      </w:r>
      <w:r w:rsidRPr="00E41FA5">
        <w:t xml:space="preserve"> (2021) 11 Cal.5th 720, 743.)  “In this area of the law, . . . substance and procedure are so interwoven that their attempted segregation into clean-cut categories becomes meaningless; here, as elsewhere, the hoary dichotomy between the substantive and the procedural cannot serve as a talismanic solution to the retroactivity problem.”  (</w:t>
      </w:r>
      <w:r w:rsidRPr="00E41FA5">
        <w:rPr>
          <w:i/>
          <w:iCs/>
        </w:rPr>
        <w:t>People v. Charles</w:t>
      </w:r>
      <w:r w:rsidRPr="00E41FA5">
        <w:t xml:space="preserve"> (1967) 66 Cal.2d 330, 336.)  The majority fails to even acknowledge, let alone “grapple with this established body of law.”  (Maj. opn., </w:t>
      </w:r>
      <w:r w:rsidRPr="00E41FA5">
        <w:rPr>
          <w:i/>
          <w:iCs/>
        </w:rPr>
        <w:t>ante</w:t>
      </w:r>
      <w:r w:rsidRPr="00E41FA5">
        <w:t>, at p. 19.)</w:t>
      </w:r>
    </w:p>
    <w:p w:rsidR="00E41FA5" w:rsidRPr="00E41FA5" w:rsidP="00E41FA5" w14:paraId="78A4F826" w14:textId="77777777">
      <w:pPr>
        <w:rPr>
          <w:color w:val="000000"/>
          <w:szCs w:val="26"/>
        </w:rPr>
      </w:pPr>
      <w:r w:rsidRPr="00E41FA5">
        <w:tab/>
        <w:t>I also am not convinced that under our precedents, “</w:t>
      </w:r>
      <w:r w:rsidRPr="00E41FA5">
        <w:rPr>
          <w:color w:val="000000"/>
          <w:szCs w:val="26"/>
        </w:rPr>
        <w:t xml:space="preserve">the ‘highly regulated’ nature of the insurance industry” (maj. opn., </w:t>
      </w:r>
      <w:r w:rsidRPr="00E41FA5">
        <w:rPr>
          <w:i/>
          <w:iCs/>
          <w:color w:val="000000"/>
          <w:szCs w:val="26"/>
        </w:rPr>
        <w:t>ante</w:t>
      </w:r>
      <w:r w:rsidRPr="00E41FA5">
        <w:rPr>
          <w:color w:val="000000"/>
          <w:szCs w:val="26"/>
        </w:rPr>
        <w:t xml:space="preserve">, at p. 21) is a factor that weighs against fully applying the presumption.  Indeed, our decision in </w:t>
      </w:r>
      <w:r w:rsidRPr="00E41FA5">
        <w:rPr>
          <w:i/>
          <w:iCs/>
          <w:color w:val="000000"/>
          <w:szCs w:val="26"/>
        </w:rPr>
        <w:t>Interinsurance Exchange of the Auto. Club of Southern Calif. v. Ohio Cas. Ins. Co.</w:t>
      </w:r>
      <w:r w:rsidRPr="00E41FA5">
        <w:rPr>
          <w:color w:val="000000"/>
          <w:szCs w:val="26"/>
        </w:rPr>
        <w:t xml:space="preserve"> (1962) 58 Cal.2d 142, seems to indicate precisely the contrary.  That case did not, as the majority indicates, present the question of whether to apply a statutory “change [that] would have upended the bargain struck” in “previously negotiated contracts.”  (</w:t>
      </w:r>
      <w:r w:rsidRPr="00E41FA5">
        <w:t xml:space="preserve">Maj. opn., </w:t>
      </w:r>
      <w:r w:rsidRPr="00E41FA5">
        <w:rPr>
          <w:i/>
        </w:rPr>
        <w:t>ante</w:t>
      </w:r>
      <w:r w:rsidRPr="00E41FA5">
        <w:t>, at p. 18.</w:t>
      </w:r>
      <w:r w:rsidRPr="00E41FA5">
        <w:rPr>
          <w:color w:val="000000"/>
          <w:szCs w:val="26"/>
        </w:rPr>
        <w:t xml:space="preserve">)  Instead, the issue in the case was whether to apply a statutory change that would have negated a contractual provision that was </w:t>
      </w:r>
      <w:r w:rsidRPr="00E41FA5">
        <w:rPr>
          <w:i/>
          <w:iCs/>
          <w:color w:val="000000"/>
          <w:szCs w:val="26"/>
        </w:rPr>
        <w:t>not</w:t>
      </w:r>
      <w:r w:rsidRPr="00E41FA5">
        <w:rPr>
          <w:color w:val="000000"/>
          <w:szCs w:val="26"/>
        </w:rPr>
        <w:t xml:space="preserve"> expressly contained in the contract — an </w:t>
      </w:r>
      <w:r w:rsidRPr="00E41FA5">
        <w:rPr>
          <w:i/>
          <w:iCs/>
          <w:color w:val="000000"/>
          <w:szCs w:val="26"/>
        </w:rPr>
        <w:t xml:space="preserve">insurance </w:t>
      </w:r>
      <w:r w:rsidRPr="00E41FA5">
        <w:rPr>
          <w:color w:val="000000"/>
          <w:szCs w:val="26"/>
        </w:rPr>
        <w:t>policy — but that was “written into the policy as a matter of law” and “public policy.”  (</w:t>
      </w:r>
      <w:r w:rsidRPr="00E41FA5">
        <w:rPr>
          <w:i/>
          <w:iCs/>
          <w:color w:val="000000"/>
          <w:szCs w:val="26"/>
        </w:rPr>
        <w:t>Interinsurance Exchange</w:t>
      </w:r>
      <w:r w:rsidRPr="00E41FA5">
        <w:rPr>
          <w:color w:val="000000"/>
          <w:szCs w:val="26"/>
        </w:rPr>
        <w:t>, at p. 146.)  In answering this question, after stating the “rule” that provisions required by “the statutory and decisional law in force at the time the policy is issued . . . ‘are read into each policy . . . and become a part of the contract with full binding effect upon each party’ ” (</w:t>
      </w:r>
      <w:r w:rsidRPr="00E41FA5">
        <w:rPr>
          <w:i/>
          <w:iCs/>
          <w:color w:val="000000"/>
          <w:szCs w:val="26"/>
        </w:rPr>
        <w:t xml:space="preserve">id. </w:t>
      </w:r>
      <w:r w:rsidRPr="00E41FA5">
        <w:rPr>
          <w:color w:val="000000"/>
          <w:szCs w:val="26"/>
        </w:rPr>
        <w:t>at p. 148), we explained that “[b]ased upon” the presumption against retroactivity, “this rule is followed even though there has been a subsequent amendment or repeal of the statute incorporated into the policy” (</w:t>
      </w:r>
      <w:r w:rsidRPr="00E41FA5">
        <w:rPr>
          <w:i/>
          <w:iCs/>
          <w:color w:val="000000"/>
          <w:szCs w:val="26"/>
        </w:rPr>
        <w:t xml:space="preserve">id. </w:t>
      </w:r>
      <w:r w:rsidRPr="00E41FA5">
        <w:rPr>
          <w:color w:val="000000"/>
          <w:szCs w:val="26"/>
        </w:rPr>
        <w:t xml:space="preserve">at p. </w:t>
      </w:r>
      <w:r w:rsidRPr="00E41FA5">
        <w:t>1</w:t>
      </w:r>
      <w:r w:rsidRPr="00E41FA5">
        <w:rPr>
          <w:color w:val="000000"/>
          <w:szCs w:val="26"/>
        </w:rPr>
        <w:t>49).  Applying the presumption, we then declined to apply the new statute to existing policies, finding “nothing to indicate that the Legislature wished the [statutory] amendment . . . to have such a retroactive effect.”  (</w:t>
      </w:r>
      <w:r w:rsidRPr="00E41FA5">
        <w:rPr>
          <w:i/>
          <w:iCs/>
          <w:color w:val="000000"/>
          <w:szCs w:val="26"/>
        </w:rPr>
        <w:t>Ibid.</w:t>
      </w:r>
      <w:r w:rsidRPr="00E41FA5">
        <w:rPr>
          <w:color w:val="000000"/>
          <w:szCs w:val="26"/>
        </w:rPr>
        <w:t xml:space="preserve">)  This analysis and holding seem inconsistent with the majority’s reliance on </w:t>
      </w:r>
      <w:r w:rsidRPr="00E41FA5">
        <w:t>“</w:t>
      </w:r>
      <w:r w:rsidRPr="00E41FA5">
        <w:rPr>
          <w:color w:val="000000"/>
          <w:szCs w:val="26"/>
        </w:rPr>
        <w:t xml:space="preserve">the ‘highly regulated’ nature of the insurance industry” (maj. opn., </w:t>
      </w:r>
      <w:r w:rsidRPr="00E41FA5">
        <w:rPr>
          <w:i/>
          <w:iCs/>
          <w:color w:val="000000"/>
          <w:szCs w:val="26"/>
        </w:rPr>
        <w:t>ante</w:t>
      </w:r>
      <w:r w:rsidRPr="00E41FA5">
        <w:rPr>
          <w:color w:val="000000"/>
          <w:szCs w:val="26"/>
        </w:rPr>
        <w:t xml:space="preserve">, at p. 21) as a factor weighing against application of the presumption.  In my view, the “expectations” at issue under the policy here — which arose from an </w:t>
      </w:r>
      <w:r w:rsidRPr="00E41FA5">
        <w:rPr>
          <w:i/>
          <w:iCs/>
          <w:color w:val="000000"/>
          <w:szCs w:val="26"/>
        </w:rPr>
        <w:t>express</w:t>
      </w:r>
      <w:r w:rsidRPr="00E41FA5">
        <w:rPr>
          <w:color w:val="000000"/>
          <w:szCs w:val="26"/>
        </w:rPr>
        <w:t xml:space="preserve"> contractual provision that was mandated by then-applicable administrative regulations and which would be  “disrupt[ed]” by applying the statutes to the policy — are at least as “settled” as — and arguably more settled than — the “expectations” at issue in </w:t>
      </w:r>
      <w:r w:rsidRPr="00E41FA5">
        <w:rPr>
          <w:i/>
          <w:iCs/>
          <w:color w:val="000000"/>
          <w:szCs w:val="26"/>
        </w:rPr>
        <w:t>Interinsurance Exchange</w:t>
      </w:r>
      <w:r w:rsidRPr="00E41FA5">
        <w:rPr>
          <w:color w:val="000000"/>
          <w:szCs w:val="26"/>
        </w:rPr>
        <w:t xml:space="preserve">, which arose from a provision read into the policy by law and which we found sufficient to trigger application of the presumption.  (Maj. opn., </w:t>
      </w:r>
      <w:r w:rsidRPr="00E41FA5">
        <w:rPr>
          <w:i/>
          <w:iCs/>
          <w:color w:val="000000"/>
          <w:szCs w:val="26"/>
        </w:rPr>
        <w:t>ante</w:t>
      </w:r>
      <w:r w:rsidRPr="00E41FA5">
        <w:rPr>
          <w:color w:val="000000"/>
          <w:szCs w:val="26"/>
        </w:rPr>
        <w:t>, p. 19.)</w:t>
      </w:r>
    </w:p>
    <w:p w:rsidR="00D32716" w:rsidP="00E41FA5" w14:paraId="74966441" w14:textId="77777777">
      <w:pPr>
        <w:rPr>
          <w:color w:val="000000"/>
          <w:szCs w:val="26"/>
        </w:rPr>
      </w:pPr>
      <w:r w:rsidRPr="00E41FA5">
        <w:rPr>
          <w:color w:val="000000"/>
          <w:szCs w:val="26"/>
        </w:rPr>
        <w:tab/>
        <w:t>Last, I note that the majority’s analysis of whether and how the presumption applies appears to overlap the inquiry that governs our analysis of whether a retroactive application of a law unconstitutionally impairs contractual rights.  As we recently explained, the “threshold question” of the constitutional in</w:t>
      </w:r>
      <w:r w:rsidRPr="00E41FA5">
        <w:t>quiry is whether the state law “ ‘ “operate[s] as a substantial impairment of a contractual relationship.” ’ ”  (</w:t>
      </w:r>
      <w:r w:rsidRPr="00E41FA5">
        <w:rPr>
          <w:i/>
          <w:iCs/>
        </w:rPr>
        <w:t xml:space="preserve">Alameda County Deputy Sheriff's Assn. v. Alameda County Employees' Retirement Assn. </w:t>
      </w:r>
      <w:r w:rsidRPr="00E41FA5">
        <w:t>(2020) 9 Cal.5th 1032, 1075.)  “In making this determination, we “ ‘consider[] the extent to which the law undermines the contractual bargain, interferes with a party’s reasonable expectations, and prevents the party from safeguarding or reinstating his rights.’ ”  (</w:t>
      </w:r>
      <w:r w:rsidRPr="00E41FA5">
        <w:rPr>
          <w:i/>
          <w:iCs/>
        </w:rPr>
        <w:t>Ibid.</w:t>
      </w:r>
      <w:r w:rsidRPr="00E41FA5">
        <w:t>)  Under the majority’s analysis, whether the presumption against retroactivity fully applies likewise turns on whether the impact of applying the new law to existing contracts is sufficiently “substantial” (</w:t>
      </w:r>
      <w:r w:rsidRPr="00E41FA5">
        <w:rPr>
          <w:color w:val="000000"/>
          <w:szCs w:val="26"/>
        </w:rPr>
        <w:t xml:space="preserve">maj. opn., </w:t>
      </w:r>
      <w:r w:rsidRPr="00E41FA5">
        <w:rPr>
          <w:i/>
          <w:iCs/>
          <w:color w:val="000000"/>
          <w:szCs w:val="26"/>
        </w:rPr>
        <w:t>ante</w:t>
      </w:r>
      <w:r w:rsidRPr="00E41FA5">
        <w:rPr>
          <w:color w:val="000000"/>
          <w:szCs w:val="26"/>
        </w:rPr>
        <w:t xml:space="preserve">, at p. </w:t>
      </w:r>
      <w:r w:rsidRPr="00E41FA5">
        <w:t>18), and the same factors likewise are considered in deciding these questions (</w:t>
      </w:r>
      <w:r w:rsidRPr="00E41FA5">
        <w:rPr>
          <w:i/>
          <w:iCs/>
        </w:rPr>
        <w:t xml:space="preserve">id. </w:t>
      </w:r>
      <w:r w:rsidRPr="00E41FA5">
        <w:t xml:space="preserve">at p. 17 [“focus[]” of “ ‘retroactivity’ ” inquiry is “whether the statutory change in question </w:t>
      </w:r>
      <w:r w:rsidRPr="00E41FA5">
        <w:rPr>
          <w:i/>
          <w:iCs/>
        </w:rPr>
        <w:t>significantly</w:t>
      </w:r>
      <w:r w:rsidRPr="00E41FA5">
        <w:t xml:space="preserve"> alters settled expectations”], 18 [statutory changes here “do not disrupt clearly settled expectations” in “fashion” that makes application of statutes retroactive and applying them would not “impinge on a contracting party’s substantial rights or unfairly upset the bargain memorialized in the insurance policy”], 22 [Protective Life fails to “specifically identify any way in which the bargain memorialized in the insurance contract would be substantially upset by applying” the new statutory requirements]).  Our previous decisions state that the question of </w:t>
      </w:r>
      <w:r w:rsidRPr="00E41FA5">
        <w:rPr>
          <w:color w:val="000000"/>
          <w:szCs w:val="26"/>
        </w:rPr>
        <w:t>whether the presumption applies is separate and different from the question of whether retroactive application of a law unconstitutionally impairs contractual rights.  (</w:t>
      </w:r>
      <w:r w:rsidRPr="00E41FA5">
        <w:rPr>
          <w:i/>
          <w:iCs/>
          <w:color w:val="000000"/>
          <w:szCs w:val="26"/>
        </w:rPr>
        <w:t>Hogan v. Ingold</w:t>
      </w:r>
      <w:r w:rsidRPr="00E41FA5">
        <w:rPr>
          <w:color w:val="000000"/>
          <w:szCs w:val="26"/>
        </w:rPr>
        <w:t xml:space="preserve"> (1952) 38 Cal.2d 802, 821 [“the question of the constitutionality of retroactive legislation and the question of the applicability of a rule” against retroactivity “are distinct”]; </w:t>
      </w:r>
      <w:r w:rsidRPr="00E41FA5">
        <w:rPr>
          <w:i/>
          <w:iCs/>
          <w:color w:val="000000"/>
          <w:szCs w:val="26"/>
        </w:rPr>
        <w:t>People ex rel. Thorne v. Hays</w:t>
      </w:r>
      <w:r w:rsidRPr="00E41FA5">
        <w:rPr>
          <w:color w:val="000000"/>
          <w:szCs w:val="26"/>
        </w:rPr>
        <w:t xml:space="preserve"> (1854) 4 Cal. 127, 139, 131</w:t>
      </w:r>
      <w:r w:rsidRPr="00E41FA5">
        <w:t xml:space="preserve">, </w:t>
      </w:r>
      <w:r w:rsidRPr="00E41FA5">
        <w:rPr>
          <w:color w:val="000000"/>
          <w:szCs w:val="26"/>
        </w:rPr>
        <w:t>132 [“there is a broad difference” between the question of whether a statute “not expressly made retrospective in terms, should not be so construed as to affect past transactions” and whether retroactive application of the law unconstitutionally “divest[s] the rights of individuals vested previous to its passage”].)  I am not convinced that it is appropriate to make the two inquiries similar in this way or that doing so will not have unforeseen consequences.</w:t>
      </w:r>
      <w:r>
        <w:rPr>
          <w:color w:val="000000"/>
          <w:szCs w:val="26"/>
        </w:rPr>
        <w:br w:type="page"/>
      </w:r>
    </w:p>
    <w:p w:rsidR="00E41FA5" w:rsidRPr="00E41FA5" w:rsidP="00E41FA5" w14:paraId="40F4424D" w14:textId="77777777">
      <w:r w:rsidRPr="00E41FA5">
        <w:tab/>
        <w:t>In summary, because it is not clear to me the majority’s analysis squares with our jurisprudence, I do not join its conclusion that the presumption against retroactivity is inapplicable or applies with less than its ordinary weight.  However, I concur in the judgment because I conclude that the statutory language and relevant legislative history are sufficiently clear to overcome the presumption, assuming it applies.</w:t>
      </w:r>
    </w:p>
    <w:p w:rsidR="00E41FA5" w:rsidRPr="00E41FA5" w:rsidP="00E41FA5" w14:paraId="75A06CCB" w14:textId="77777777">
      <w:r w:rsidRPr="00E41FA5">
        <w:tab/>
      </w:r>
      <w:r w:rsidRPr="00E41FA5">
        <w:tab/>
      </w:r>
      <w:r w:rsidRPr="00E41FA5">
        <w:tab/>
      </w:r>
      <w:r w:rsidRPr="00E41FA5">
        <w:tab/>
      </w:r>
      <w:r w:rsidRPr="00E41FA5">
        <w:tab/>
      </w:r>
      <w:r w:rsidRPr="00E41FA5">
        <w:tab/>
      </w:r>
      <w:r w:rsidRPr="00E41FA5">
        <w:tab/>
      </w:r>
      <w:r w:rsidRPr="00E41FA5">
        <w:rPr>
          <w:b/>
          <w:bCs/>
        </w:rPr>
        <w:t>JENKINS, J.</w:t>
      </w:r>
    </w:p>
    <w:p w:rsidR="00E41FA5" w:rsidRPr="00E41FA5" w:rsidP="00E41FA5" w14:paraId="267AAC5F" w14:textId="77777777">
      <w:pPr>
        <w:tabs>
          <w:tab w:val="left" w:pos="1440"/>
        </w:tabs>
        <w:spacing w:after="160"/>
        <w:rPr>
          <w:b/>
          <w:bCs/>
        </w:rPr>
      </w:pPr>
      <w:r w:rsidRPr="00E41FA5">
        <w:rPr>
          <w:b/>
          <w:bCs/>
        </w:rPr>
        <w:t>I Concur:</w:t>
      </w:r>
    </w:p>
    <w:p w:rsidR="00E41FA5" w:rsidRPr="00E41FA5" w:rsidP="00E41FA5" w14:paraId="4B337F78" w14:textId="77777777">
      <w:pPr>
        <w:tabs>
          <w:tab w:val="left" w:pos="1440"/>
        </w:tabs>
        <w:spacing w:after="0" w:line="240" w:lineRule="auto"/>
        <w:rPr>
          <w:b/>
          <w:bCs/>
        </w:rPr>
      </w:pPr>
      <w:r w:rsidRPr="00E41FA5">
        <w:rPr>
          <w:b/>
          <w:bCs/>
        </w:rPr>
        <w:t>CORRIGAN, J.</w:t>
      </w:r>
    </w:p>
    <w:p w:rsidR="00E41FA5" w:rsidRPr="00E41FA5" w:rsidP="00E41FA5" w14:paraId="11ADF8F6" w14:textId="77777777">
      <w:pPr>
        <w:spacing w:after="0" w:line="240" w:lineRule="auto"/>
        <w:jc w:val="left"/>
        <w:rPr>
          <w:b/>
          <w:bCs/>
        </w:rPr>
      </w:pPr>
    </w:p>
    <w:p w:rsidR="00D32716" w:rsidP="00E41FA5" w14:paraId="5B593B6E" w14:textId="77777777">
      <w:pPr>
        <w:sectPr w:rsidSect="00A2413E">
          <w:headerReference w:type="default" r:id="rId9"/>
          <w:footnotePr>
            <w:numRestart w:val="eachSect"/>
          </w:footnotePr>
          <w:pgSz w:w="12240" w:h="15840"/>
          <w:pgMar w:top="1800" w:right="2160" w:bottom="1440" w:left="2160" w:header="720" w:footer="720" w:gutter="0"/>
          <w:pgNumType w:start="1"/>
          <w:cols w:space="720"/>
          <w:titlePg/>
          <w:docGrid w:linePitch="367"/>
        </w:sectPr>
      </w:pPr>
    </w:p>
    <w:p w:rsidR="00E012ED" w:rsidRPr="00E012ED" w:rsidP="00E012ED" w14:paraId="2AB81FD0" w14:textId="77777777">
      <w:pPr>
        <w:spacing w:after="0" w:line="240" w:lineRule="auto"/>
        <w:jc w:val="left"/>
        <w:rPr>
          <w:i/>
          <w:sz w:val="24"/>
          <w:szCs w:val="24"/>
        </w:rPr>
      </w:pPr>
      <w:r w:rsidRPr="00E012ED">
        <w:rPr>
          <w:i/>
          <w:sz w:val="24"/>
          <w:szCs w:val="24"/>
        </w:rPr>
        <w:t>See next page for addresses and telephone numbers for counsel who argued in Supreme Court.</w:t>
      </w:r>
    </w:p>
    <w:p w:rsidR="00E012ED" w:rsidRPr="00E012ED" w:rsidP="00E012ED" w14:paraId="74A92B54" w14:textId="77777777">
      <w:pPr>
        <w:spacing w:after="0" w:line="240" w:lineRule="auto"/>
        <w:jc w:val="left"/>
        <w:rPr>
          <w:i/>
          <w:sz w:val="24"/>
          <w:szCs w:val="24"/>
        </w:rPr>
      </w:pPr>
    </w:p>
    <w:p w:rsidR="00E012ED" w:rsidRPr="00E012ED" w:rsidP="00E012ED" w14:paraId="18F01B45" w14:textId="77777777">
      <w:pPr>
        <w:spacing w:after="0" w:line="240" w:lineRule="auto"/>
        <w:jc w:val="left"/>
        <w:rPr>
          <w:b/>
          <w:sz w:val="24"/>
          <w:szCs w:val="24"/>
        </w:rPr>
      </w:pPr>
      <w:r w:rsidRPr="00E012ED">
        <w:rPr>
          <w:b/>
          <w:sz w:val="24"/>
          <w:szCs w:val="24"/>
        </w:rPr>
        <w:t xml:space="preserve">Name of Opinion </w:t>
      </w:r>
      <w:r w:rsidRPr="00E012ED">
        <w:rPr>
          <w:bCs/>
          <w:sz w:val="24"/>
          <w:szCs w:val="24"/>
        </w:rPr>
        <w:t xml:space="preserve">McHugh v. Protective Life Insurance Co. </w:t>
      </w:r>
      <w:r w:rsidRPr="00E012ED">
        <w:rPr>
          <w:b/>
          <w:sz w:val="24"/>
          <w:szCs w:val="24"/>
        </w:rPr>
        <w:t xml:space="preserve">__________________________________________________________ </w:t>
      </w:r>
    </w:p>
    <w:p w:rsidR="00E012ED" w:rsidRPr="00E012ED" w:rsidP="00E012ED" w14:paraId="4E52F351" w14:textId="77777777">
      <w:pPr>
        <w:spacing w:after="0" w:line="240" w:lineRule="auto"/>
        <w:jc w:val="left"/>
        <w:rPr>
          <w:b/>
          <w:sz w:val="24"/>
          <w:szCs w:val="24"/>
        </w:rPr>
      </w:pPr>
    </w:p>
    <w:p w:rsidR="00E012ED" w:rsidRPr="00E012ED" w:rsidP="00E012ED" w14:paraId="5F4D4EAE" w14:textId="77777777">
      <w:pPr>
        <w:spacing w:after="0" w:line="240" w:lineRule="auto"/>
        <w:jc w:val="left"/>
        <w:rPr>
          <w:sz w:val="24"/>
          <w:szCs w:val="24"/>
        </w:rPr>
      </w:pPr>
      <w:r w:rsidRPr="00E012ED">
        <w:rPr>
          <w:b/>
          <w:bCs/>
          <w:sz w:val="24"/>
          <w:szCs w:val="24"/>
          <w:u w:val="single"/>
        </w:rPr>
        <w:t>Procedural Posture</w:t>
      </w:r>
      <w:r w:rsidRPr="00E012ED">
        <w:rPr>
          <w:b/>
          <w:bCs/>
          <w:sz w:val="24"/>
          <w:szCs w:val="24"/>
        </w:rPr>
        <w:t xml:space="preserve"> </w:t>
      </w:r>
      <w:r w:rsidRPr="00E012ED">
        <w:rPr>
          <w:sz w:val="24"/>
          <w:szCs w:val="24"/>
        </w:rPr>
        <w:t>(see XX below)</w:t>
      </w:r>
    </w:p>
    <w:p w:rsidR="00E012ED" w:rsidRPr="00E012ED" w:rsidP="00E012ED" w14:paraId="33D04466" w14:textId="77777777">
      <w:pPr>
        <w:spacing w:after="0" w:line="240" w:lineRule="auto"/>
        <w:jc w:val="left"/>
        <w:rPr>
          <w:sz w:val="24"/>
          <w:szCs w:val="24"/>
        </w:rPr>
      </w:pPr>
      <w:r w:rsidRPr="00E012ED">
        <w:rPr>
          <w:b/>
          <w:bCs/>
          <w:sz w:val="24"/>
          <w:szCs w:val="24"/>
        </w:rPr>
        <w:t>Original Appeal</w:t>
      </w:r>
      <w:r w:rsidRPr="00E012ED">
        <w:rPr>
          <w:sz w:val="24"/>
          <w:szCs w:val="24"/>
        </w:rPr>
        <w:t xml:space="preserve"> </w:t>
      </w:r>
    </w:p>
    <w:p w:rsidR="00E012ED" w:rsidRPr="00E012ED" w:rsidP="00E012ED" w14:paraId="57DCD911" w14:textId="77777777">
      <w:pPr>
        <w:spacing w:after="0" w:line="240" w:lineRule="auto"/>
        <w:jc w:val="left"/>
        <w:rPr>
          <w:b/>
          <w:bCs/>
          <w:sz w:val="24"/>
          <w:szCs w:val="24"/>
        </w:rPr>
      </w:pPr>
      <w:r w:rsidRPr="00E012ED">
        <w:rPr>
          <w:b/>
          <w:bCs/>
          <w:sz w:val="24"/>
          <w:szCs w:val="24"/>
        </w:rPr>
        <w:t>Original Proceeding</w:t>
      </w:r>
    </w:p>
    <w:p w:rsidR="00E012ED" w:rsidRPr="00E012ED" w:rsidP="00E012ED" w14:paraId="4E803D1D" w14:textId="77777777">
      <w:pPr>
        <w:spacing w:after="0" w:line="240" w:lineRule="auto"/>
        <w:jc w:val="left"/>
        <w:rPr>
          <w:sz w:val="24"/>
          <w:szCs w:val="24"/>
        </w:rPr>
      </w:pPr>
      <w:r w:rsidRPr="00E012ED">
        <w:rPr>
          <w:b/>
          <w:bCs/>
          <w:sz w:val="24"/>
          <w:szCs w:val="24"/>
        </w:rPr>
        <w:t>Review Granted</w:t>
      </w:r>
      <w:r w:rsidRPr="00E012ED">
        <w:rPr>
          <w:sz w:val="24"/>
          <w:szCs w:val="24"/>
        </w:rPr>
        <w:t xml:space="preserve"> </w:t>
      </w:r>
      <w:r w:rsidRPr="00E012ED">
        <w:rPr>
          <w:b/>
          <w:bCs/>
          <w:sz w:val="24"/>
          <w:szCs w:val="24"/>
        </w:rPr>
        <w:t xml:space="preserve">(published) </w:t>
      </w:r>
      <w:r w:rsidRPr="00E012ED">
        <w:rPr>
          <w:sz w:val="24"/>
          <w:szCs w:val="24"/>
        </w:rPr>
        <w:t>XX 40 Cal.App.5th 1166</w:t>
      </w:r>
    </w:p>
    <w:p w:rsidR="00E012ED" w:rsidRPr="00E012ED" w:rsidP="00E012ED" w14:paraId="28B55681" w14:textId="77777777">
      <w:pPr>
        <w:spacing w:after="0" w:line="240" w:lineRule="auto"/>
        <w:jc w:val="left"/>
        <w:rPr>
          <w:sz w:val="24"/>
          <w:szCs w:val="24"/>
        </w:rPr>
      </w:pPr>
      <w:r w:rsidRPr="00E012ED">
        <w:rPr>
          <w:b/>
          <w:bCs/>
          <w:sz w:val="24"/>
          <w:szCs w:val="24"/>
        </w:rPr>
        <w:t xml:space="preserve">Review Granted (unpublished) </w:t>
      </w:r>
    </w:p>
    <w:p w:rsidR="00E012ED" w:rsidRPr="00E012ED" w:rsidP="00E012ED" w14:paraId="4FC46BF4" w14:textId="77777777">
      <w:pPr>
        <w:spacing w:after="0" w:line="240" w:lineRule="auto"/>
        <w:jc w:val="left"/>
        <w:rPr>
          <w:b/>
          <w:bCs/>
          <w:sz w:val="24"/>
          <w:szCs w:val="24"/>
        </w:rPr>
      </w:pPr>
      <w:r w:rsidRPr="00E012ED">
        <w:rPr>
          <w:b/>
          <w:bCs/>
          <w:sz w:val="24"/>
          <w:szCs w:val="24"/>
        </w:rPr>
        <w:t>Rehearing Granted</w:t>
      </w:r>
    </w:p>
    <w:p w:rsidR="00E012ED" w:rsidRPr="00E012ED" w:rsidP="00E012ED" w14:paraId="3D6E485B" w14:textId="77777777">
      <w:pPr>
        <w:spacing w:after="0" w:line="240" w:lineRule="auto"/>
        <w:jc w:val="left"/>
        <w:rPr>
          <w:b/>
          <w:sz w:val="24"/>
          <w:szCs w:val="24"/>
        </w:rPr>
      </w:pPr>
    </w:p>
    <w:p w:rsidR="00E012ED" w:rsidRPr="00E012ED" w:rsidP="00E012ED" w14:paraId="4ADAA74C" w14:textId="77777777">
      <w:pPr>
        <w:spacing w:after="0" w:line="240" w:lineRule="auto"/>
        <w:jc w:val="left"/>
        <w:rPr>
          <w:b/>
          <w:sz w:val="24"/>
          <w:szCs w:val="24"/>
        </w:rPr>
      </w:pPr>
      <w:r w:rsidRPr="00E012ED">
        <w:rPr>
          <w:b/>
          <w:sz w:val="24"/>
          <w:szCs w:val="24"/>
        </w:rPr>
        <w:t xml:space="preserve">__________________________________________________________ </w:t>
      </w:r>
    </w:p>
    <w:p w:rsidR="00E012ED" w:rsidRPr="00E012ED" w:rsidP="00E012ED" w14:paraId="4150D917" w14:textId="77777777">
      <w:pPr>
        <w:spacing w:after="0" w:line="240" w:lineRule="auto"/>
        <w:jc w:val="left"/>
        <w:rPr>
          <w:b/>
          <w:sz w:val="24"/>
          <w:szCs w:val="24"/>
        </w:rPr>
      </w:pPr>
    </w:p>
    <w:p w:rsidR="00E012ED" w:rsidRPr="00E012ED" w:rsidP="00E012ED" w14:paraId="55A50FF6" w14:textId="77777777">
      <w:pPr>
        <w:spacing w:after="0" w:line="240" w:lineRule="auto"/>
        <w:jc w:val="left"/>
        <w:rPr>
          <w:bCs/>
          <w:sz w:val="24"/>
          <w:szCs w:val="24"/>
        </w:rPr>
      </w:pPr>
      <w:r w:rsidRPr="00E012ED">
        <w:rPr>
          <w:b/>
          <w:sz w:val="24"/>
          <w:szCs w:val="24"/>
        </w:rPr>
        <w:t>Opinion No.</w:t>
      </w:r>
      <w:r w:rsidRPr="00E012ED">
        <w:rPr>
          <w:sz w:val="24"/>
          <w:szCs w:val="24"/>
        </w:rPr>
        <w:t xml:space="preserve"> S259215</w:t>
      </w:r>
    </w:p>
    <w:p w:rsidR="00E012ED" w:rsidRPr="00E012ED" w:rsidP="00E012ED" w14:paraId="38622A95" w14:textId="77777777">
      <w:pPr>
        <w:spacing w:after="0" w:line="240" w:lineRule="auto"/>
        <w:jc w:val="left"/>
        <w:rPr>
          <w:bCs/>
          <w:sz w:val="24"/>
          <w:szCs w:val="24"/>
        </w:rPr>
      </w:pPr>
      <w:r w:rsidRPr="00E012ED">
        <w:rPr>
          <w:b/>
          <w:sz w:val="24"/>
          <w:szCs w:val="24"/>
        </w:rPr>
        <w:t>Date Filed:</w:t>
      </w:r>
      <w:r w:rsidRPr="00E012ED">
        <w:rPr>
          <w:sz w:val="24"/>
          <w:szCs w:val="24"/>
        </w:rPr>
        <w:t xml:space="preserve"> August 30, 2021</w:t>
      </w:r>
    </w:p>
    <w:p w:rsidR="00E012ED" w:rsidRPr="00E012ED" w:rsidP="00E012ED" w14:paraId="29086448" w14:textId="77777777">
      <w:pPr>
        <w:spacing w:after="0" w:line="240" w:lineRule="auto"/>
        <w:jc w:val="left"/>
        <w:rPr>
          <w:b/>
          <w:sz w:val="24"/>
          <w:szCs w:val="24"/>
        </w:rPr>
      </w:pPr>
      <w:r w:rsidRPr="00E012ED">
        <w:rPr>
          <w:b/>
          <w:sz w:val="24"/>
          <w:szCs w:val="24"/>
        </w:rPr>
        <w:t xml:space="preserve">__________________________________________________________ </w:t>
      </w:r>
    </w:p>
    <w:p w:rsidR="00E012ED" w:rsidRPr="00E012ED" w:rsidP="00E012ED" w14:paraId="41FBE2F1" w14:textId="77777777">
      <w:pPr>
        <w:spacing w:after="0" w:line="240" w:lineRule="auto"/>
        <w:jc w:val="left"/>
        <w:rPr>
          <w:b/>
          <w:sz w:val="24"/>
          <w:szCs w:val="24"/>
        </w:rPr>
      </w:pPr>
    </w:p>
    <w:p w:rsidR="00E012ED" w:rsidRPr="00E012ED" w:rsidP="00E012ED" w14:paraId="773E07A5" w14:textId="77777777">
      <w:pPr>
        <w:spacing w:after="0" w:line="240" w:lineRule="auto"/>
        <w:jc w:val="left"/>
        <w:rPr>
          <w:bCs/>
          <w:sz w:val="24"/>
          <w:szCs w:val="24"/>
        </w:rPr>
      </w:pPr>
      <w:r w:rsidRPr="00E012ED">
        <w:rPr>
          <w:b/>
          <w:sz w:val="24"/>
          <w:szCs w:val="24"/>
        </w:rPr>
        <w:t xml:space="preserve">Court:  </w:t>
      </w:r>
      <w:r w:rsidRPr="00E012ED">
        <w:rPr>
          <w:bCs/>
          <w:sz w:val="24"/>
          <w:szCs w:val="24"/>
        </w:rPr>
        <w:t>Superior</w:t>
      </w:r>
      <w:r w:rsidRPr="00E012ED">
        <w:rPr>
          <w:b/>
          <w:sz w:val="24"/>
          <w:szCs w:val="24"/>
        </w:rPr>
        <w:t xml:space="preserve"> </w:t>
      </w:r>
    </w:p>
    <w:p w:rsidR="00E012ED" w:rsidRPr="00E012ED" w:rsidP="00E012ED" w14:paraId="21B84BD1" w14:textId="77777777">
      <w:pPr>
        <w:spacing w:after="0" w:line="240" w:lineRule="auto"/>
        <w:jc w:val="left"/>
        <w:rPr>
          <w:bCs/>
          <w:sz w:val="24"/>
          <w:szCs w:val="24"/>
        </w:rPr>
      </w:pPr>
      <w:r w:rsidRPr="00E012ED">
        <w:rPr>
          <w:b/>
          <w:sz w:val="24"/>
          <w:szCs w:val="24"/>
        </w:rPr>
        <w:t xml:space="preserve">County: </w:t>
      </w:r>
      <w:r w:rsidRPr="00E012ED">
        <w:rPr>
          <w:bCs/>
          <w:sz w:val="24"/>
          <w:szCs w:val="24"/>
        </w:rPr>
        <w:t>San Diego</w:t>
      </w:r>
      <w:r w:rsidRPr="00E012ED">
        <w:rPr>
          <w:b/>
          <w:sz w:val="24"/>
          <w:szCs w:val="24"/>
        </w:rPr>
        <w:t xml:space="preserve"> </w:t>
      </w:r>
    </w:p>
    <w:p w:rsidR="00E012ED" w:rsidRPr="00E012ED" w:rsidP="00E012ED" w14:paraId="3641429B" w14:textId="77777777">
      <w:pPr>
        <w:spacing w:after="0" w:line="240" w:lineRule="auto"/>
        <w:ind w:left="720" w:hanging="720"/>
        <w:jc w:val="left"/>
        <w:rPr>
          <w:bCs/>
          <w:sz w:val="24"/>
          <w:szCs w:val="24"/>
        </w:rPr>
      </w:pPr>
      <w:r w:rsidRPr="00E012ED">
        <w:rPr>
          <w:b/>
          <w:sz w:val="24"/>
          <w:szCs w:val="24"/>
        </w:rPr>
        <w:t xml:space="preserve">Judge: </w:t>
      </w:r>
      <w:r w:rsidRPr="00E012ED">
        <w:rPr>
          <w:bCs/>
          <w:sz w:val="24"/>
          <w:szCs w:val="24"/>
        </w:rPr>
        <w:t>Judith F. Hayes</w:t>
      </w:r>
      <w:r w:rsidRPr="00E012ED">
        <w:rPr>
          <w:b/>
          <w:sz w:val="24"/>
          <w:szCs w:val="24"/>
        </w:rPr>
        <w:t xml:space="preserve"> </w:t>
      </w:r>
    </w:p>
    <w:p w:rsidR="00E012ED" w:rsidRPr="00E012ED" w:rsidP="00E012ED" w14:paraId="00A4F833" w14:textId="77777777">
      <w:pPr>
        <w:spacing w:after="0" w:line="240" w:lineRule="auto"/>
        <w:jc w:val="left"/>
        <w:rPr>
          <w:b/>
          <w:sz w:val="24"/>
          <w:szCs w:val="24"/>
        </w:rPr>
      </w:pPr>
    </w:p>
    <w:p w:rsidR="00E012ED" w:rsidRPr="00E012ED" w:rsidP="00E012ED" w14:paraId="53D25F5E" w14:textId="77777777">
      <w:pPr>
        <w:spacing w:after="0" w:line="240" w:lineRule="auto"/>
        <w:jc w:val="left"/>
        <w:rPr>
          <w:b/>
          <w:sz w:val="24"/>
          <w:szCs w:val="24"/>
        </w:rPr>
      </w:pPr>
      <w:r w:rsidRPr="00E012ED">
        <w:rPr>
          <w:b/>
          <w:sz w:val="24"/>
          <w:szCs w:val="24"/>
        </w:rPr>
        <w:t xml:space="preserve">__________________________________________________________  </w:t>
      </w:r>
    </w:p>
    <w:p w:rsidR="00E012ED" w:rsidRPr="00E012ED" w:rsidP="00E012ED" w14:paraId="48A184BF" w14:textId="77777777">
      <w:pPr>
        <w:spacing w:after="0" w:line="240" w:lineRule="auto"/>
        <w:jc w:val="left"/>
        <w:rPr>
          <w:b/>
          <w:sz w:val="24"/>
          <w:szCs w:val="24"/>
        </w:rPr>
      </w:pPr>
    </w:p>
    <w:p w:rsidR="00E012ED" w:rsidRPr="00E012ED" w:rsidP="00E012ED" w14:paraId="776E7265" w14:textId="77777777">
      <w:pPr>
        <w:spacing w:after="0" w:line="240" w:lineRule="auto"/>
        <w:jc w:val="left"/>
        <w:rPr>
          <w:b/>
          <w:sz w:val="24"/>
          <w:szCs w:val="24"/>
        </w:rPr>
      </w:pPr>
      <w:r w:rsidRPr="00E012ED">
        <w:rPr>
          <w:b/>
          <w:sz w:val="24"/>
          <w:szCs w:val="24"/>
        </w:rPr>
        <w:t>Counsel:</w:t>
      </w:r>
    </w:p>
    <w:p w:rsidR="00E012ED" w:rsidRPr="00E012ED" w:rsidP="00E012ED" w14:paraId="632772D1" w14:textId="77777777">
      <w:pPr>
        <w:spacing w:after="0" w:line="240" w:lineRule="auto"/>
        <w:jc w:val="left"/>
        <w:rPr>
          <w:b/>
          <w:sz w:val="24"/>
          <w:szCs w:val="24"/>
        </w:rPr>
      </w:pPr>
    </w:p>
    <w:p w:rsidR="00E012ED" w:rsidRPr="00E012ED" w:rsidP="00E012ED" w14:paraId="7B6CABF1" w14:textId="77777777">
      <w:pPr>
        <w:spacing w:after="0" w:line="240" w:lineRule="auto"/>
        <w:jc w:val="left"/>
        <w:rPr>
          <w:bCs/>
          <w:sz w:val="24"/>
          <w:szCs w:val="24"/>
        </w:rPr>
      </w:pPr>
      <w:r w:rsidRPr="00E012ED">
        <w:rPr>
          <w:bCs/>
          <w:sz w:val="24"/>
          <w:szCs w:val="24"/>
        </w:rPr>
        <w:t>Winters &amp; Associates, Jack B. Winters, Jr., Georg M. Capielo, Sarah D. Ball; Williams Iagmin and Jon R. Williams for Plaintiffs and Appellants.</w:t>
      </w:r>
    </w:p>
    <w:p w:rsidR="00E012ED" w:rsidRPr="00E012ED" w:rsidP="00E012ED" w14:paraId="130D2B99" w14:textId="77777777">
      <w:pPr>
        <w:spacing w:after="0" w:line="240" w:lineRule="auto"/>
        <w:jc w:val="left"/>
        <w:rPr>
          <w:bCs/>
          <w:sz w:val="24"/>
          <w:szCs w:val="24"/>
        </w:rPr>
      </w:pPr>
    </w:p>
    <w:p w:rsidR="00E012ED" w:rsidRPr="00E012ED" w:rsidP="00E012ED" w14:paraId="7B4E478C" w14:textId="77777777">
      <w:pPr>
        <w:spacing w:after="0" w:line="240" w:lineRule="auto"/>
        <w:jc w:val="left"/>
        <w:rPr>
          <w:bCs/>
          <w:sz w:val="24"/>
          <w:szCs w:val="24"/>
        </w:rPr>
      </w:pPr>
      <w:r w:rsidRPr="00E012ED">
        <w:rPr>
          <w:bCs/>
          <w:sz w:val="24"/>
          <w:szCs w:val="24"/>
        </w:rPr>
        <w:t>Law Offices of Daniel D. Murphy and Daniel D. Murphy for California Advocates for Nursing Home Reform, Inc., as Amicus Curiae on behalf of Plaintiffs and Appellants.</w:t>
      </w:r>
    </w:p>
    <w:p w:rsidR="00E012ED" w:rsidRPr="00E012ED" w:rsidP="00E012ED" w14:paraId="051BC431" w14:textId="77777777">
      <w:pPr>
        <w:spacing w:after="0" w:line="240" w:lineRule="auto"/>
        <w:jc w:val="left"/>
        <w:rPr>
          <w:bCs/>
          <w:sz w:val="24"/>
          <w:szCs w:val="24"/>
        </w:rPr>
      </w:pPr>
    </w:p>
    <w:p w:rsidR="00E012ED" w:rsidRPr="00E012ED" w:rsidP="00E012ED" w14:paraId="154248DF" w14:textId="77777777">
      <w:pPr>
        <w:spacing w:after="0" w:line="240" w:lineRule="auto"/>
        <w:jc w:val="left"/>
        <w:rPr>
          <w:bCs/>
          <w:sz w:val="24"/>
          <w:szCs w:val="24"/>
        </w:rPr>
      </w:pPr>
      <w:r w:rsidRPr="00E012ED">
        <w:rPr>
          <w:bCs/>
          <w:sz w:val="24"/>
          <w:szCs w:val="24"/>
        </w:rPr>
        <w:t>Glick Law Group and Noam Glick for California Retired County Employees Association as Amicus Curiae on behalf of Plaintiffs and Appellants.</w:t>
      </w:r>
    </w:p>
    <w:p w:rsidR="00E012ED" w:rsidRPr="00E012ED" w:rsidP="00E012ED" w14:paraId="2AF247EA" w14:textId="77777777">
      <w:pPr>
        <w:spacing w:after="0" w:line="240" w:lineRule="auto"/>
        <w:jc w:val="left"/>
        <w:rPr>
          <w:bCs/>
          <w:sz w:val="24"/>
          <w:szCs w:val="24"/>
        </w:rPr>
      </w:pPr>
    </w:p>
    <w:p w:rsidR="00E012ED" w:rsidRPr="00E012ED" w:rsidP="00E012ED" w14:paraId="2BBD98A0" w14:textId="77777777">
      <w:pPr>
        <w:spacing w:after="0" w:line="240" w:lineRule="auto"/>
        <w:jc w:val="left"/>
        <w:rPr>
          <w:bCs/>
          <w:sz w:val="24"/>
          <w:szCs w:val="24"/>
        </w:rPr>
      </w:pPr>
      <w:r w:rsidRPr="00E012ED">
        <w:rPr>
          <w:bCs/>
          <w:sz w:val="24"/>
          <w:szCs w:val="24"/>
        </w:rPr>
        <w:t xml:space="preserve">Neil Granger, in pro. per., as Amicus Curiae on behalf of Plaintiffs and Appellants. </w:t>
      </w:r>
    </w:p>
    <w:p w:rsidR="00E012ED" w:rsidRPr="00E012ED" w:rsidP="00E012ED" w14:paraId="239509F1" w14:textId="77777777">
      <w:pPr>
        <w:spacing w:after="0" w:line="240" w:lineRule="auto"/>
        <w:jc w:val="left"/>
        <w:rPr>
          <w:bCs/>
          <w:sz w:val="24"/>
          <w:szCs w:val="24"/>
        </w:rPr>
      </w:pPr>
    </w:p>
    <w:p w:rsidR="00E012ED" w:rsidRPr="00E012ED" w:rsidP="00E012ED" w14:paraId="27AB37E5" w14:textId="77777777">
      <w:pPr>
        <w:spacing w:after="0" w:line="240" w:lineRule="auto"/>
        <w:jc w:val="left"/>
        <w:rPr>
          <w:bCs/>
          <w:sz w:val="24"/>
          <w:szCs w:val="24"/>
        </w:rPr>
      </w:pPr>
      <w:r w:rsidRPr="00E012ED">
        <w:rPr>
          <w:bCs/>
          <w:sz w:val="24"/>
          <w:szCs w:val="24"/>
        </w:rPr>
        <w:t>Grignon Law Firm, Margaret M. Grignon; Maynard Cooper &amp; Gale, C. Andrew Kitchen, Alexandra V. Drury, John C. Neiman, Jr.; Noonan Lance Boyer &amp; Banach and David J. Noonan for Defendant and Respondent.</w:t>
      </w:r>
    </w:p>
    <w:p w:rsidR="00E012ED" w:rsidRPr="00E012ED" w:rsidP="00E012ED" w14:paraId="6E8C21C2" w14:textId="77777777">
      <w:pPr>
        <w:spacing w:after="0" w:line="240" w:lineRule="auto"/>
        <w:jc w:val="left"/>
        <w:rPr>
          <w:bCs/>
          <w:sz w:val="24"/>
          <w:szCs w:val="24"/>
        </w:rPr>
      </w:pPr>
    </w:p>
    <w:p w:rsidR="00E012ED" w:rsidRPr="00E012ED" w:rsidP="00E012ED" w14:paraId="10F7F9F4" w14:textId="77777777">
      <w:pPr>
        <w:spacing w:after="0" w:line="240" w:lineRule="auto"/>
        <w:jc w:val="left"/>
        <w:rPr>
          <w:bCs/>
          <w:sz w:val="24"/>
          <w:szCs w:val="24"/>
        </w:rPr>
      </w:pPr>
      <w:r w:rsidRPr="00E012ED">
        <w:rPr>
          <w:bCs/>
          <w:sz w:val="24"/>
          <w:szCs w:val="24"/>
        </w:rPr>
        <w:t>Alston &amp; Bird and Thomas A. Evans for American Council of Life Insurers as Amicus Curiae on behalf of Defendant and Respondent.</w:t>
      </w:r>
    </w:p>
    <w:p w:rsidR="00E012ED" w:rsidRPr="00E012ED" w:rsidP="00E012ED" w14:paraId="143CBD77" w14:textId="77777777">
      <w:pPr>
        <w:spacing w:after="0" w:line="240" w:lineRule="auto"/>
        <w:jc w:val="left"/>
        <w:rPr>
          <w:bCs/>
          <w:sz w:val="24"/>
          <w:szCs w:val="24"/>
        </w:rPr>
      </w:pPr>
    </w:p>
    <w:p w:rsidR="00E012ED" w:rsidRPr="00E012ED" w:rsidP="00E012ED" w14:paraId="793D3E11" w14:textId="77777777">
      <w:pPr>
        <w:spacing w:after="0" w:line="240" w:lineRule="auto"/>
        <w:jc w:val="left"/>
        <w:rPr>
          <w:bCs/>
          <w:sz w:val="24"/>
          <w:szCs w:val="24"/>
        </w:rPr>
      </w:pPr>
      <w:r w:rsidRPr="00E012ED">
        <w:rPr>
          <w:bCs/>
          <w:sz w:val="24"/>
          <w:szCs w:val="24"/>
        </w:rPr>
        <w:t>Quinn Emanuel Urquhart &amp; Sullivan and Kathleen M. Sullivan for Chamber of Commerce of the United States of America as Amicus Curiae on behalf of Defendant and Respondent.</w:t>
      </w:r>
    </w:p>
    <w:p w:rsidR="00E012ED" w:rsidRPr="00E012ED" w:rsidP="00E012ED" w14:paraId="3D830916" w14:textId="77777777">
      <w:pPr>
        <w:spacing w:after="0" w:line="240" w:lineRule="auto"/>
        <w:jc w:val="left"/>
        <w:rPr>
          <w:bCs/>
          <w:sz w:val="24"/>
          <w:szCs w:val="24"/>
        </w:rPr>
      </w:pPr>
    </w:p>
    <w:p w:rsidR="00E012ED" w:rsidRPr="00E012ED" w:rsidP="00E012ED" w14:paraId="67007505" w14:textId="77777777">
      <w:pPr>
        <w:spacing w:after="0" w:line="240" w:lineRule="auto"/>
        <w:jc w:val="left"/>
        <w:rPr>
          <w:bCs/>
          <w:sz w:val="24"/>
          <w:szCs w:val="24"/>
        </w:rPr>
      </w:pPr>
      <w:r w:rsidRPr="00E012ED">
        <w:rPr>
          <w:bCs/>
          <w:sz w:val="24"/>
          <w:szCs w:val="24"/>
        </w:rPr>
        <w:t>Matthew Rodriguez, Acting Attorney General, and Lucy F. Wang, Deputy Attorney General, for Ricardo Lara, Insurance Commissioner, as Amicus Curiae, upon the request of the Supreme Court.</w:t>
      </w:r>
    </w:p>
    <w:p w:rsidR="00E012ED" w:rsidRPr="00E012ED" w:rsidP="00E012ED" w14:paraId="17962D77" w14:textId="77777777">
      <w:pPr>
        <w:spacing w:after="0" w:line="240" w:lineRule="auto"/>
        <w:jc w:val="left"/>
        <w:rPr>
          <w:b/>
          <w:sz w:val="24"/>
          <w:szCs w:val="24"/>
        </w:rPr>
      </w:pPr>
      <w:r w:rsidRPr="00E012ED">
        <w:rPr>
          <w:color w:val="212121"/>
          <w:sz w:val="24"/>
          <w:szCs w:val="24"/>
          <w:shd w:val="clear" w:color="auto" w:fill="FFFFFF"/>
        </w:rPr>
        <w:br w:type="page"/>
      </w:r>
      <w:r w:rsidRPr="00E012ED">
        <w:rPr>
          <w:b/>
          <w:sz w:val="24"/>
          <w:szCs w:val="24"/>
        </w:rPr>
        <w:t>Counsel who argued in Supreme Court (not intended for publication with opinion):</w:t>
      </w:r>
    </w:p>
    <w:p w:rsidR="00E012ED" w:rsidRPr="00E012ED" w:rsidP="00E012ED" w14:paraId="775AF03D" w14:textId="77777777">
      <w:pPr>
        <w:spacing w:after="0" w:line="240" w:lineRule="auto"/>
        <w:jc w:val="left"/>
        <w:rPr>
          <w:b/>
          <w:sz w:val="24"/>
          <w:szCs w:val="24"/>
        </w:rPr>
      </w:pPr>
    </w:p>
    <w:p w:rsidR="00E012ED" w:rsidRPr="00E012ED" w:rsidP="00E012ED" w14:paraId="76BF5555" w14:textId="77777777">
      <w:pPr>
        <w:spacing w:after="0" w:line="240" w:lineRule="auto"/>
        <w:jc w:val="left"/>
        <w:rPr>
          <w:sz w:val="24"/>
          <w:szCs w:val="24"/>
        </w:rPr>
      </w:pPr>
      <w:r w:rsidRPr="00E012ED">
        <w:rPr>
          <w:sz w:val="24"/>
          <w:szCs w:val="24"/>
        </w:rPr>
        <w:t>Jon R. Williams</w:t>
      </w:r>
    </w:p>
    <w:p w:rsidR="00E012ED" w:rsidRPr="00E012ED" w:rsidP="00E012ED" w14:paraId="2539A3C7" w14:textId="77777777">
      <w:pPr>
        <w:spacing w:after="0" w:line="240" w:lineRule="auto"/>
        <w:jc w:val="left"/>
        <w:rPr>
          <w:sz w:val="24"/>
          <w:szCs w:val="24"/>
        </w:rPr>
      </w:pPr>
      <w:r w:rsidRPr="00E012ED">
        <w:rPr>
          <w:sz w:val="24"/>
          <w:szCs w:val="24"/>
        </w:rPr>
        <w:t>Williams Iagmin LLP</w:t>
      </w:r>
    </w:p>
    <w:p w:rsidR="00E012ED" w:rsidRPr="00E012ED" w:rsidP="00E012ED" w14:paraId="2F4CD38C" w14:textId="77777777">
      <w:pPr>
        <w:spacing w:after="0" w:line="240" w:lineRule="auto"/>
        <w:jc w:val="left"/>
        <w:rPr>
          <w:sz w:val="24"/>
          <w:szCs w:val="24"/>
        </w:rPr>
      </w:pPr>
      <w:r w:rsidRPr="00E012ED">
        <w:rPr>
          <w:sz w:val="24"/>
          <w:szCs w:val="24"/>
        </w:rPr>
        <w:t>2475 Kettner Boulevard</w:t>
      </w:r>
    </w:p>
    <w:p w:rsidR="00E012ED" w:rsidRPr="00E012ED" w:rsidP="00E012ED" w14:paraId="315C7BED" w14:textId="77777777">
      <w:pPr>
        <w:spacing w:after="0" w:line="240" w:lineRule="auto"/>
        <w:jc w:val="left"/>
        <w:rPr>
          <w:sz w:val="24"/>
          <w:szCs w:val="24"/>
        </w:rPr>
      </w:pPr>
      <w:r w:rsidRPr="00E012ED">
        <w:rPr>
          <w:sz w:val="24"/>
          <w:szCs w:val="24"/>
        </w:rPr>
        <w:t>San Diego, CA 92101</w:t>
      </w:r>
    </w:p>
    <w:p w:rsidR="00E012ED" w:rsidRPr="00E012ED" w:rsidP="00E012ED" w14:paraId="440AF350" w14:textId="77777777">
      <w:pPr>
        <w:spacing w:after="0" w:line="240" w:lineRule="auto"/>
        <w:jc w:val="left"/>
        <w:rPr>
          <w:sz w:val="24"/>
          <w:szCs w:val="24"/>
        </w:rPr>
      </w:pPr>
      <w:r w:rsidRPr="00E012ED">
        <w:rPr>
          <w:sz w:val="24"/>
          <w:szCs w:val="24"/>
        </w:rPr>
        <w:t>(619) 238-0370</w:t>
      </w:r>
    </w:p>
    <w:p w:rsidR="00E012ED" w:rsidRPr="00E012ED" w:rsidP="00E012ED" w14:paraId="73251116" w14:textId="77777777">
      <w:pPr>
        <w:spacing w:after="0" w:line="240" w:lineRule="auto"/>
        <w:jc w:val="left"/>
        <w:rPr>
          <w:sz w:val="24"/>
          <w:szCs w:val="24"/>
        </w:rPr>
      </w:pPr>
    </w:p>
    <w:p w:rsidR="00E012ED" w:rsidRPr="00E012ED" w:rsidP="00E012ED" w14:paraId="700D6EB4" w14:textId="77777777">
      <w:pPr>
        <w:spacing w:after="0" w:line="240" w:lineRule="auto"/>
        <w:jc w:val="left"/>
        <w:rPr>
          <w:bCs/>
          <w:sz w:val="24"/>
          <w:szCs w:val="24"/>
        </w:rPr>
      </w:pPr>
      <w:r w:rsidRPr="00E012ED">
        <w:rPr>
          <w:bCs/>
          <w:sz w:val="24"/>
          <w:szCs w:val="24"/>
        </w:rPr>
        <w:t>John C. Neiman, Jr.</w:t>
      </w:r>
    </w:p>
    <w:p w:rsidR="00E012ED" w:rsidRPr="00E012ED" w:rsidP="00E012ED" w14:paraId="4E5CD704" w14:textId="77777777">
      <w:pPr>
        <w:spacing w:after="0" w:line="240" w:lineRule="auto"/>
        <w:jc w:val="left"/>
        <w:rPr>
          <w:bCs/>
          <w:sz w:val="24"/>
          <w:szCs w:val="24"/>
        </w:rPr>
      </w:pPr>
      <w:r w:rsidRPr="00E012ED">
        <w:rPr>
          <w:bCs/>
          <w:sz w:val="24"/>
          <w:szCs w:val="24"/>
        </w:rPr>
        <w:t>Maynard Cooper &amp; Gale P.C.</w:t>
      </w:r>
    </w:p>
    <w:p w:rsidR="00E012ED" w:rsidRPr="00E012ED" w:rsidP="00E012ED" w14:paraId="5AB19662" w14:textId="77777777">
      <w:pPr>
        <w:spacing w:after="0" w:line="240" w:lineRule="auto"/>
        <w:jc w:val="left"/>
        <w:rPr>
          <w:bCs/>
          <w:sz w:val="24"/>
          <w:szCs w:val="24"/>
        </w:rPr>
      </w:pPr>
      <w:r w:rsidRPr="00E012ED">
        <w:rPr>
          <w:bCs/>
          <w:sz w:val="24"/>
          <w:szCs w:val="24"/>
        </w:rPr>
        <w:t>1901 Sixth Avenue North, Suite 1700</w:t>
      </w:r>
    </w:p>
    <w:p w:rsidR="00E012ED" w:rsidRPr="00E012ED" w:rsidP="00E012ED" w14:paraId="69E316F3" w14:textId="77777777">
      <w:pPr>
        <w:spacing w:after="0" w:line="240" w:lineRule="auto"/>
        <w:jc w:val="left"/>
        <w:rPr>
          <w:bCs/>
          <w:sz w:val="24"/>
          <w:szCs w:val="24"/>
        </w:rPr>
      </w:pPr>
      <w:r w:rsidRPr="00E012ED">
        <w:rPr>
          <w:bCs/>
          <w:sz w:val="24"/>
          <w:szCs w:val="24"/>
        </w:rPr>
        <w:t>Birmingham, AL 35203</w:t>
      </w:r>
    </w:p>
    <w:p w:rsidR="00E012ED" w:rsidRPr="00E012ED" w:rsidP="00E012ED" w14:paraId="47F450F4" w14:textId="77777777">
      <w:pPr>
        <w:spacing w:after="0" w:line="240" w:lineRule="auto"/>
        <w:jc w:val="left"/>
        <w:rPr>
          <w:sz w:val="24"/>
          <w:szCs w:val="24"/>
        </w:rPr>
      </w:pPr>
      <w:r w:rsidRPr="00E012ED">
        <w:rPr>
          <w:bCs/>
          <w:sz w:val="24"/>
          <w:szCs w:val="24"/>
        </w:rPr>
        <w:t>(205) 254-1228</w:t>
      </w:r>
    </w:p>
    <w:p w:rsidR="00E012ED" w:rsidRPr="00E012ED" w:rsidP="00E012ED" w14:paraId="02D270F8" w14:textId="77777777">
      <w:pPr>
        <w:spacing w:after="0" w:line="240" w:lineRule="auto"/>
        <w:jc w:val="left"/>
        <w:rPr>
          <w:sz w:val="24"/>
          <w:szCs w:val="24"/>
        </w:rPr>
      </w:pPr>
    </w:p>
    <w:p w:rsidR="00E012ED" w:rsidRPr="00E012ED" w:rsidP="00E012ED" w14:paraId="5E4482C7" w14:textId="77777777">
      <w:pPr>
        <w:spacing w:after="0" w:line="240" w:lineRule="auto"/>
        <w:jc w:val="left"/>
        <w:rPr>
          <w:sz w:val="24"/>
          <w:szCs w:val="24"/>
        </w:rPr>
      </w:pPr>
    </w:p>
    <w:p w:rsidR="00E012ED" w:rsidRPr="00E012ED" w:rsidP="00E012ED" w14:paraId="0559FE57" w14:textId="77777777">
      <w:pPr>
        <w:spacing w:after="0" w:line="240" w:lineRule="auto"/>
        <w:jc w:val="left"/>
        <w:rPr>
          <w:sz w:val="24"/>
          <w:szCs w:val="24"/>
        </w:rPr>
      </w:pPr>
      <w:r w:rsidRPr="00E012ED">
        <w:rPr>
          <w:sz w:val="24"/>
          <w:szCs w:val="24"/>
        </w:rPr>
        <w:t xml:space="preserve"> </w:t>
      </w:r>
    </w:p>
    <w:p w:rsidR="00763384" w:rsidRPr="004510DF" w:rsidP="00E41FA5" w14:paraId="45216C0A" w14:textId="3C31BE2B"/>
    <w:sectPr w:rsidSect="00A2413E">
      <w:headerReference w:type="default" r:id="rId10"/>
      <w:footerReference w:type="default" r:id="rId11"/>
      <w:footerReference w:type="first" r:id="rId12"/>
      <w:footnotePr>
        <w:numRestart w:val="eachSect"/>
      </w:footnotePr>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Schoolbook">
    <w:altName w:val="Calibri"/>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ECE" w14:paraId="2257C050" w14:textId="736D5C7A">
    <w:pPr>
      <w:pStyle w:val="Footer"/>
      <w:rPr>
        <w:noProof/>
      </w:rP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ECE" w14:paraId="15285EE8"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2ED" w:rsidRPr="00E012ED" w:rsidP="00E012ED" w14:paraId="7819DC34" w14:textId="1321B2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430" w:rsidRPr="00C04430" w:rsidP="00C04430" w14:paraId="2B0B9A8A" w14:textId="77346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7F7F" w14:paraId="72F49AA1" w14:textId="77777777">
      <w:r>
        <w:separator/>
      </w:r>
    </w:p>
  </w:footnote>
  <w:footnote w:type="continuationSeparator" w:id="1">
    <w:p w:rsidR="00B37F7F" w14:paraId="36D5710D" w14:textId="77777777">
      <w:pPr>
        <w:rPr>
          <w:i/>
          <w:iCs/>
          <w:sz w:val="20"/>
        </w:rPr>
      </w:pPr>
      <w:r>
        <w:continuationSeparator/>
      </w:r>
    </w:p>
  </w:footnote>
  <w:footnote w:type="continuationNotice" w:id="2">
    <w:p w:rsidR="00B37F7F" w14:paraId="10ADF36E" w14:textId="77777777">
      <w:pPr>
        <w:jc w:val="right"/>
        <w:rPr>
          <w:i/>
          <w:iCs/>
          <w:sz w:val="20"/>
        </w:rPr>
      </w:pPr>
    </w:p>
  </w:footnote>
  <w:footnote w:id="3">
    <w:p w:rsidR="00CF368D" w:rsidP="00CF368D" w14:paraId="54B40FDE" w14:textId="77777777">
      <w:pPr>
        <w:pStyle w:val="FootnoteText"/>
      </w:pPr>
      <w:r>
        <w:rPr>
          <w:rStyle w:val="FootnoteReference"/>
        </w:rPr>
        <w:footnoteRef/>
      </w:r>
      <w:r>
        <w:t xml:space="preserve"> </w:t>
      </w:r>
      <w:r>
        <w:tab/>
        <w:t>All unspecified section references are to the Insurance Code.</w:t>
      </w:r>
    </w:p>
  </w:footnote>
  <w:footnote w:id="4">
    <w:p w:rsidR="00D31697" w:rsidRPr="00570AD9" w14:paraId="62AD3BFE" w14:textId="77777777">
      <w:pPr>
        <w:pStyle w:val="FootnoteText"/>
      </w:pPr>
      <w:r>
        <w:rPr>
          <w:rStyle w:val="FootnoteReference"/>
        </w:rPr>
        <w:footnoteRef/>
      </w:r>
      <w:r>
        <w:t xml:space="preserve"> </w:t>
      </w:r>
      <w:r>
        <w:tab/>
        <w:t>All Internet citations in this opinion are archived by year, docket number, and case name at &lt;http://</w:t>
      </w:r>
      <w:r w:rsidR="00344A26">
        <w:t>‌</w:t>
      </w:r>
      <w:r>
        <w:t>www.</w:t>
      </w:r>
      <w:r w:rsidR="00344A26">
        <w:t>‌</w:t>
      </w:r>
      <w:r>
        <w:t>courts.</w:t>
      </w:r>
      <w:r w:rsidR="00344A26">
        <w:t>‌</w:t>
      </w:r>
      <w:r>
        <w:t>ca.</w:t>
      </w:r>
      <w:r w:rsidR="00344A26">
        <w:t>‌</w:t>
      </w:r>
      <w:r>
        <w:t>gov/</w:t>
      </w:r>
      <w:r w:rsidR="00344A26">
        <w:t>‌</w:t>
      </w:r>
      <w:r>
        <w:t>38324.</w:t>
      </w:r>
      <w:r w:rsidR="00344A26">
        <w:t>‌</w:t>
      </w:r>
      <w:r>
        <w:t>htm&gt;.</w:t>
      </w:r>
    </w:p>
  </w:footnote>
  <w:footnote w:id="5">
    <w:p w:rsidR="00975ECE" w:rsidP="00A2413E" w14:paraId="3561E6A9" w14:textId="372F6CA7">
      <w:pPr>
        <w:spacing w:line="300" w:lineRule="exact"/>
      </w:pPr>
      <w:r>
        <w:rPr>
          <w:rStyle w:val="FootnoteReference"/>
        </w:rPr>
        <w:footnoteRef/>
      </w:r>
      <w:r>
        <w:t xml:space="preserve"> </w:t>
      </w:r>
      <w:r>
        <w:tab/>
      </w:r>
      <w:r w:rsidRPr="00042983">
        <w:rPr>
          <w:color w:val="000000"/>
          <w:szCs w:val="26"/>
        </w:rPr>
        <w:t>The 3</w:t>
      </w:r>
      <w:r>
        <w:rPr>
          <w:color w:val="000000"/>
          <w:szCs w:val="26"/>
        </w:rPr>
        <w:t>1</w:t>
      </w:r>
      <w:r w:rsidRPr="00042983">
        <w:rPr>
          <w:color w:val="000000"/>
          <w:szCs w:val="26"/>
        </w:rPr>
        <w:t xml:space="preserve">-day grace period Protective Life provided </w:t>
      </w:r>
      <w:r>
        <w:rPr>
          <w:color w:val="000000"/>
          <w:szCs w:val="26"/>
        </w:rPr>
        <w:t>typifies</w:t>
      </w:r>
      <w:r w:rsidRPr="00042983">
        <w:rPr>
          <w:color w:val="000000"/>
          <w:szCs w:val="26"/>
        </w:rPr>
        <w:t xml:space="preserve"> the grace periods found in </w:t>
      </w:r>
      <w:r>
        <w:rPr>
          <w:color w:val="000000"/>
          <w:szCs w:val="26"/>
        </w:rPr>
        <w:t xml:space="preserve">many </w:t>
      </w:r>
      <w:r w:rsidRPr="00042983">
        <w:rPr>
          <w:color w:val="000000"/>
          <w:szCs w:val="26"/>
        </w:rPr>
        <w:t>policies.  (16 Williston on Contracts</w:t>
      </w:r>
      <w:r>
        <w:rPr>
          <w:color w:val="000000"/>
          <w:szCs w:val="26"/>
        </w:rPr>
        <w:t xml:space="preserve">, </w:t>
      </w:r>
      <w:r w:rsidRPr="004D1F29">
        <w:rPr>
          <w:i/>
          <w:iCs/>
          <w:color w:val="000000"/>
          <w:szCs w:val="26"/>
        </w:rPr>
        <w:t>supra</w:t>
      </w:r>
      <w:r>
        <w:rPr>
          <w:color w:val="000000"/>
          <w:szCs w:val="26"/>
        </w:rPr>
        <w:t>,</w:t>
      </w:r>
      <w:r w:rsidRPr="00042983">
        <w:rPr>
          <w:color w:val="000000"/>
          <w:szCs w:val="26"/>
        </w:rPr>
        <w:t xml:space="preserve"> § 49:80</w:t>
      </w:r>
      <w:r>
        <w:rPr>
          <w:color w:val="000000"/>
          <w:szCs w:val="26"/>
        </w:rPr>
        <w:t xml:space="preserve">, p. </w:t>
      </w:r>
      <w:r w:rsidR="00FF2524">
        <w:rPr>
          <w:color w:val="000000"/>
          <w:szCs w:val="26"/>
        </w:rPr>
        <w:t>699</w:t>
      </w:r>
      <w:r>
        <w:rPr>
          <w:color w:val="000000"/>
          <w:szCs w:val="26"/>
        </w:rPr>
        <w:t xml:space="preserve">.)  California regulations </w:t>
      </w:r>
      <w:r w:rsidR="00DD68BE">
        <w:rPr>
          <w:color w:val="000000"/>
          <w:szCs w:val="26"/>
        </w:rPr>
        <w:t>at the time</w:t>
      </w:r>
      <w:r>
        <w:rPr>
          <w:color w:val="000000"/>
          <w:szCs w:val="26"/>
        </w:rPr>
        <w:t xml:space="preserve"> provide</w:t>
      </w:r>
      <w:r w:rsidR="00DD68BE">
        <w:rPr>
          <w:color w:val="000000"/>
          <w:szCs w:val="26"/>
        </w:rPr>
        <w:t>d</w:t>
      </w:r>
      <w:r>
        <w:rPr>
          <w:color w:val="000000"/>
          <w:szCs w:val="26"/>
        </w:rPr>
        <w:t xml:space="preserve"> for a 31-day grace period.  (</w:t>
      </w:r>
      <w:r w:rsidR="0063498A">
        <w:rPr>
          <w:color w:val="000000"/>
          <w:szCs w:val="26"/>
        </w:rPr>
        <w:t xml:space="preserve">Cal. Code Regs., tit. </w:t>
      </w:r>
      <w:r w:rsidRPr="00CB3C79">
        <w:rPr>
          <w:color w:val="000000"/>
          <w:szCs w:val="26"/>
        </w:rPr>
        <w:t>10</w:t>
      </w:r>
      <w:r w:rsidR="0063498A">
        <w:rPr>
          <w:color w:val="000000"/>
          <w:szCs w:val="26"/>
        </w:rPr>
        <w:t>,</w:t>
      </w:r>
      <w:r w:rsidRPr="00CB3C79">
        <w:rPr>
          <w:color w:val="000000"/>
          <w:szCs w:val="26"/>
        </w:rPr>
        <w:t xml:space="preserve"> § 2534.3</w:t>
      </w:r>
      <w:r>
        <w:rPr>
          <w:color w:val="000000"/>
          <w:szCs w:val="26"/>
        </w:rPr>
        <w:t>.)</w:t>
      </w:r>
    </w:p>
  </w:footnote>
  <w:footnote w:id="6">
    <w:p w:rsidR="00975ECE" w:rsidP="00A2413E" w14:paraId="2D2527E0" w14:textId="063EB957">
      <w:pPr>
        <w:autoSpaceDE w:val="0"/>
        <w:autoSpaceDN w:val="0"/>
        <w:adjustRightInd w:val="0"/>
        <w:spacing w:line="300" w:lineRule="exact"/>
      </w:pPr>
      <w:r>
        <w:rPr>
          <w:rStyle w:val="FootnoteReference"/>
        </w:rPr>
        <w:footnoteRef/>
      </w:r>
      <w:r>
        <w:t xml:space="preserve"> </w:t>
      </w:r>
      <w:r>
        <w:tab/>
      </w:r>
      <w:r w:rsidRPr="00CC0258">
        <w:t xml:space="preserve">As originally enacted, section 10113.71, subdivision (a) began with “Every” </w:t>
      </w:r>
      <w:r w:rsidRPr="00DD424E">
        <w:t xml:space="preserve">instead of “Each.”  </w:t>
      </w:r>
      <w:r w:rsidR="006167FA">
        <w:rPr>
          <w:color w:val="000000"/>
          <w:szCs w:val="26"/>
        </w:rPr>
        <w:t xml:space="preserve">(Stats. </w:t>
      </w:r>
      <w:r w:rsidRPr="00F9115E">
        <w:rPr>
          <w:color w:val="000000"/>
        </w:rPr>
        <w:t>2012</w:t>
      </w:r>
      <w:r w:rsidR="006167FA">
        <w:rPr>
          <w:color w:val="000000"/>
          <w:szCs w:val="26"/>
        </w:rPr>
        <w:t>, ch. 315,</w:t>
      </w:r>
      <w:r w:rsidRPr="00F9115E">
        <w:rPr>
          <w:color w:val="000000"/>
        </w:rPr>
        <w:t xml:space="preserve"> § 1</w:t>
      </w:r>
      <w:r w:rsidRPr="00DD424E">
        <w:t xml:space="preserve">.)  The </w:t>
      </w:r>
      <w:r w:rsidRPr="00CC0258">
        <w:t>Legislature amended the subdivision as part of a</w:t>
      </w:r>
      <w:r>
        <w:t xml:space="preserve"> code maintenance bill </w:t>
      </w:r>
      <w:r w:rsidRPr="00CC0258">
        <w:t>making “nonsubstantive changes</w:t>
      </w:r>
      <w:r>
        <w:t>”</w:t>
      </w:r>
      <w:r w:rsidRPr="00CC0258">
        <w:t xml:space="preserve"> </w:t>
      </w:r>
      <w:r>
        <w:t>to</w:t>
      </w:r>
      <w:r w:rsidRPr="00CC0258">
        <w:t xml:space="preserve"> various provisions of law</w:t>
      </w:r>
      <w:r>
        <w:t>.</w:t>
      </w:r>
      <w:r w:rsidRPr="00CC0258">
        <w:t xml:space="preserve"> </w:t>
      </w:r>
      <w:r>
        <w:t xml:space="preserve"> (Legis. Counsel’s Dig., Assem. Bill No. 383 (2013–2014 Reg. Sess.); see also </w:t>
      </w:r>
      <w:r w:rsidR="0073598E">
        <w:t xml:space="preserve">Stats. </w:t>
      </w:r>
      <w:r w:rsidRPr="00CC0258">
        <w:rPr>
          <w:szCs w:val="26"/>
        </w:rPr>
        <w:t>2013</w:t>
      </w:r>
      <w:r w:rsidR="0073598E">
        <w:t>, ch. 76,</w:t>
      </w:r>
      <w:r w:rsidRPr="00CC0258">
        <w:rPr>
          <w:szCs w:val="26"/>
        </w:rPr>
        <w:t xml:space="preserve"> § 137.)</w:t>
      </w:r>
      <w:r>
        <w:rPr>
          <w:rFonts w:ascii="CenturySchoolbook" w:hAnsi="CenturySchoolbook" w:cs="CenturySchoolbook"/>
          <w:szCs w:val="26"/>
        </w:rPr>
        <w:t xml:space="preserve"> </w:t>
      </w:r>
    </w:p>
  </w:footnote>
  <w:footnote w:id="7">
    <w:p w:rsidR="00975ECE" w:rsidP="005E77BB" w14:paraId="3F117A92" w14:textId="5D987C5C">
      <w:pPr>
        <w:pStyle w:val="FootnoteText"/>
      </w:pPr>
      <w:r w:rsidRPr="00311A42">
        <w:rPr>
          <w:rStyle w:val="FootnoteReference"/>
          <w:bCs/>
        </w:rPr>
        <w:footnoteRef/>
      </w:r>
      <w:r>
        <w:tab/>
        <w:t>Sections 10113.71, subdivision (b) and 10113.72, subdivision (c) frame their notice obligations as requirements insurers must observe before terminating policies.  Section 10113.71</w:t>
      </w:r>
      <w:r w:rsidR="00375E30">
        <w:t>, subdivision (a)</w:t>
      </w:r>
      <w:r>
        <w:t xml:space="preserve"> arguably operates differently because </w:t>
      </w:r>
      <w:r w:rsidRPr="00836E65">
        <w:t xml:space="preserve">it mandates </w:t>
      </w:r>
      <w:r w:rsidR="004C50EE">
        <w:t>that policies include a</w:t>
      </w:r>
      <w:r w:rsidRPr="00836E65">
        <w:t xml:space="preserve"> 60-day grace period provision.  That </w:t>
      </w:r>
      <w:r w:rsidR="004C50EE">
        <w:t>particular way to frame the policies</w:t>
      </w:r>
      <w:r w:rsidRPr="00836E65">
        <w:t xml:space="preserve">, and the fact that McHugh’s policy already contained a 31-day grace period, </w:t>
      </w:r>
      <w:r w:rsidR="004C50EE">
        <w:t>may imply to some observers that</w:t>
      </w:r>
      <w:r w:rsidRPr="00836E65">
        <w:t xml:space="preserve"> the subdivision operates here by formally altering an existing contract.  But given that the provision does not operate on already</w:t>
      </w:r>
      <w:r w:rsidR="004C50EE">
        <w:t>-</w:t>
      </w:r>
      <w:r w:rsidRPr="00836E65">
        <w:t xml:space="preserve">defaulted policies </w:t>
      </w:r>
      <w:r w:rsidR="004C50EE">
        <w:t>before enactment</w:t>
      </w:r>
      <w:r w:rsidRPr="00836E65">
        <w:t>, it’s not clear that it differs in any substantive way from a provision simply requiring all insurers to, going forward, observe a pretermination 60-day grace period.</w:t>
      </w:r>
      <w:r>
        <w:t xml:space="preserve"> </w:t>
      </w:r>
    </w:p>
  </w:footnote>
  <w:footnote w:id="8">
    <w:p w:rsidR="00114E18" w14:paraId="54CF50E9" w14:textId="6BE1A138">
      <w:pPr>
        <w:pStyle w:val="FootnoteText"/>
      </w:pPr>
      <w:r>
        <w:rPr>
          <w:rStyle w:val="FootnoteReference"/>
        </w:rPr>
        <w:footnoteRef/>
      </w:r>
      <w:r>
        <w:t xml:space="preserve"> </w:t>
      </w:r>
      <w:r>
        <w:tab/>
        <w:t xml:space="preserve">We recognize that, theoretically, </w:t>
      </w:r>
      <w:r w:rsidR="006617FB">
        <w:t xml:space="preserve">some number of policy owners </w:t>
      </w:r>
      <w:r w:rsidR="00812849">
        <w:t>might deliberately allow a policy to lapse rather than cancelling it</w:t>
      </w:r>
      <w:r w:rsidR="00263F51">
        <w:t xml:space="preserve"> to maintain coverage during the grace period.</w:t>
      </w:r>
    </w:p>
  </w:footnote>
  <w:footnote w:id="9">
    <w:p w:rsidR="00975ECE" w:rsidRPr="00D003EE" w:rsidP="00B21928" w14:paraId="450A6E23" w14:textId="7B4FD5E2">
      <w:pPr>
        <w:pStyle w:val="FootnoteText"/>
        <w:rPr>
          <w:shd w:val="clear" w:color="auto" w:fill="FFFFFF"/>
        </w:rPr>
      </w:pPr>
      <w:r>
        <w:rPr>
          <w:rStyle w:val="FootnoteReference"/>
        </w:rPr>
        <w:footnoteRef/>
      </w:r>
      <w:r>
        <w:t xml:space="preserve"> </w:t>
      </w:r>
      <w:r w:rsidRPr="002E1AE2">
        <w:tab/>
        <w:t>Section 10113.7</w:t>
      </w:r>
      <w:r w:rsidR="00677AC3">
        <w:t>2</w:t>
      </w:r>
      <w:r w:rsidRPr="002E1AE2">
        <w:t>, subdivision (b) differs from its precedent sub</w:t>
      </w:r>
      <w:r>
        <w:t>division</w:t>
      </w:r>
      <w:r w:rsidRPr="002E1AE2">
        <w:t xml:space="preserve"> in three ways:  It (1) applies to a different rightsholder (i.e., a policy owner, versus an applicant); (2) describes the exercise of designation at a different point in time (i.e., after the policy owner’s initial application, </w:t>
      </w:r>
      <w:r>
        <w:t xml:space="preserve">a </w:t>
      </w:r>
      <w:r w:rsidRPr="002E1AE2">
        <w:t>timing which permits both pre- and postenactment policy owners to exercise their designation); and (3) creates a different obligation for insurers (i.e., to notify policy owners annually regarding their designation right, as opposed to providing applicants with a designation form).</w:t>
      </w:r>
      <w:r w:rsidR="00677AC3">
        <w:t xml:space="preserve">  (</w:t>
      </w:r>
      <w:r w:rsidRPr="00A2413E" w:rsidR="00677AC3">
        <w:rPr>
          <w:color w:val="000000"/>
          <w:szCs w:val="26"/>
        </w:rPr>
        <w:t>§</w:t>
      </w:r>
      <w:r w:rsidR="00677AC3">
        <w:rPr>
          <w:color w:val="000000"/>
          <w:szCs w:val="26"/>
        </w:rPr>
        <w:t xml:space="preserve"> 10113.72, subds. (a), (b).)</w:t>
      </w:r>
    </w:p>
  </w:footnote>
  <w:footnote w:id="10">
    <w:p w:rsidR="008A3E5D" w:rsidRPr="008A3E5D" w14:paraId="7AD71130" w14:textId="4B5B8631">
      <w:pPr>
        <w:pStyle w:val="FootnoteText"/>
        <w:rPr>
          <w:szCs w:val="27"/>
        </w:rPr>
      </w:pPr>
      <w:r>
        <w:rPr>
          <w:rStyle w:val="FootnoteReference"/>
        </w:rPr>
        <w:footnoteRef/>
      </w:r>
      <w:r>
        <w:t xml:space="preserve"> </w:t>
      </w:r>
      <w:r>
        <w:tab/>
      </w:r>
      <w:r w:rsidRPr="009227C3">
        <w:t xml:space="preserve">The Court of Appeal relied on </w:t>
      </w:r>
      <w:r w:rsidRPr="009227C3">
        <w:rPr>
          <w:i/>
          <w:iCs/>
          <w:szCs w:val="26"/>
        </w:rPr>
        <w:t>Ball v. California State Auto. Assn</w:t>
      </w:r>
      <w:r w:rsidR="009422F3">
        <w:rPr>
          <w:i/>
          <w:iCs/>
          <w:szCs w:val="26"/>
        </w:rPr>
        <w:t>.</w:t>
      </w:r>
      <w:r w:rsidRPr="009227C3">
        <w:rPr>
          <w:i/>
          <w:iCs/>
          <w:szCs w:val="26"/>
        </w:rPr>
        <w:t xml:space="preserve"> Inter-Ins</w:t>
      </w:r>
      <w:r w:rsidRPr="009227C3">
        <w:rPr>
          <w:i/>
          <w:iCs/>
          <w:szCs w:val="27"/>
        </w:rPr>
        <w:t>. Bureau</w:t>
      </w:r>
      <w:r w:rsidRPr="009227C3">
        <w:rPr>
          <w:szCs w:val="27"/>
        </w:rPr>
        <w:t xml:space="preserve"> (1962) 201 Cal.App.2d 85, 87, to read “</w:t>
      </w:r>
      <w:r w:rsidR="00DA74E0">
        <w:rPr>
          <w:szCs w:val="27"/>
        </w:rPr>
        <w:t> ‘</w:t>
      </w:r>
      <w:r w:rsidRPr="009227C3">
        <w:rPr>
          <w:szCs w:val="27"/>
        </w:rPr>
        <w:t>issued or delivered</w:t>
      </w:r>
      <w:r w:rsidR="00DA74E0">
        <w:rPr>
          <w:szCs w:val="27"/>
        </w:rPr>
        <w:t>’ </w:t>
      </w:r>
      <w:r w:rsidRPr="009227C3">
        <w:rPr>
          <w:szCs w:val="27"/>
        </w:rPr>
        <w:t xml:space="preserve">” </w:t>
      </w:r>
      <w:r w:rsidRPr="009227C3" w:rsidR="00A920BF">
        <w:rPr>
          <w:szCs w:val="27"/>
        </w:rPr>
        <w:t>as “customar</w:t>
      </w:r>
      <w:r w:rsidRPr="009227C3" w:rsidR="009915BD">
        <w:rPr>
          <w:szCs w:val="27"/>
        </w:rPr>
        <w:t>[</w:t>
      </w:r>
      <w:r w:rsidRPr="009227C3" w:rsidR="00A920BF">
        <w:rPr>
          <w:szCs w:val="27"/>
        </w:rPr>
        <w:t>il</w:t>
      </w:r>
      <w:r w:rsidRPr="009227C3" w:rsidR="009915BD">
        <w:rPr>
          <w:szCs w:val="27"/>
        </w:rPr>
        <w:t>]</w:t>
      </w:r>
      <w:r w:rsidRPr="009227C3" w:rsidR="00A920BF">
        <w:rPr>
          <w:szCs w:val="27"/>
        </w:rPr>
        <w:t>y”</w:t>
      </w:r>
      <w:r w:rsidRPr="009227C3">
        <w:rPr>
          <w:szCs w:val="26"/>
        </w:rPr>
        <w:t xml:space="preserve"> embrac</w:t>
      </w:r>
      <w:r w:rsidRPr="009227C3" w:rsidR="009915BD">
        <w:rPr>
          <w:szCs w:val="26"/>
        </w:rPr>
        <w:t>ing</w:t>
      </w:r>
      <w:r w:rsidRPr="009227C3">
        <w:rPr>
          <w:szCs w:val="26"/>
        </w:rPr>
        <w:t xml:space="preserve"> </w:t>
      </w:r>
      <w:r w:rsidRPr="009227C3">
        <w:rPr>
          <w:szCs w:val="27"/>
          <w:shd w:val="clear" w:color="auto" w:fill="FFFFFF"/>
        </w:rPr>
        <w:t>only postenactment policies</w:t>
      </w:r>
      <w:r w:rsidRPr="009227C3">
        <w:rPr>
          <w:szCs w:val="26"/>
        </w:rPr>
        <w:t>.  (</w:t>
      </w:r>
      <w:r w:rsidRPr="009227C3">
        <w:rPr>
          <w:i/>
          <w:iCs/>
          <w:szCs w:val="27"/>
          <w:shd w:val="clear" w:color="auto" w:fill="FFFFFF"/>
        </w:rPr>
        <w:t>McHugh</w:t>
      </w:r>
      <w:r w:rsidRPr="009227C3">
        <w:rPr>
          <w:szCs w:val="27"/>
          <w:shd w:val="clear" w:color="auto" w:fill="FFFFFF"/>
        </w:rPr>
        <w:t xml:space="preserve">, </w:t>
      </w:r>
      <w:r w:rsidRPr="009227C3">
        <w:rPr>
          <w:i/>
          <w:iCs/>
          <w:szCs w:val="27"/>
          <w:shd w:val="clear" w:color="auto" w:fill="FFFFFF"/>
        </w:rPr>
        <w:t>supra</w:t>
      </w:r>
      <w:r w:rsidRPr="009227C3">
        <w:rPr>
          <w:szCs w:val="27"/>
          <w:shd w:val="clear" w:color="auto" w:fill="FFFFFF"/>
        </w:rPr>
        <w:t>, 40 Cal.App.5th at p. 1176</w:t>
      </w:r>
      <w:r w:rsidRPr="009227C3" w:rsidR="0036233A">
        <w:rPr>
          <w:szCs w:val="27"/>
          <w:shd w:val="clear" w:color="auto" w:fill="FFFFFF"/>
        </w:rPr>
        <w:t xml:space="preserve">; see </w:t>
      </w:r>
      <w:r w:rsidRPr="009227C3" w:rsidR="0036233A">
        <w:rPr>
          <w:i/>
          <w:iCs/>
          <w:szCs w:val="27"/>
          <w:shd w:val="clear" w:color="auto" w:fill="FFFFFF"/>
        </w:rPr>
        <w:t>id.</w:t>
      </w:r>
      <w:r w:rsidRPr="009227C3" w:rsidR="0036233A">
        <w:rPr>
          <w:szCs w:val="27"/>
          <w:shd w:val="clear" w:color="auto" w:fill="FFFFFF"/>
        </w:rPr>
        <w:t xml:space="preserve"> at p. 1175.</w:t>
      </w:r>
      <w:r w:rsidRPr="009227C3">
        <w:rPr>
          <w:szCs w:val="27"/>
          <w:shd w:val="clear" w:color="auto" w:fill="FFFFFF"/>
        </w:rPr>
        <w:t xml:space="preserve">)  But nothing </w:t>
      </w:r>
      <w:r w:rsidRPr="009227C3">
        <w:rPr>
          <w:szCs w:val="27"/>
        </w:rPr>
        <w:t xml:space="preserve">in </w:t>
      </w:r>
      <w:r w:rsidRPr="009227C3">
        <w:rPr>
          <w:szCs w:val="27"/>
          <w:shd w:val="clear" w:color="auto" w:fill="FFFFFF"/>
        </w:rPr>
        <w:t xml:space="preserve">our case law suggests that </w:t>
      </w:r>
      <w:r w:rsidRPr="009227C3">
        <w:rPr>
          <w:i/>
          <w:iCs/>
          <w:szCs w:val="27"/>
          <w:shd w:val="clear" w:color="auto" w:fill="FFFFFF"/>
        </w:rPr>
        <w:t>Ball</w:t>
      </w:r>
      <w:r w:rsidRPr="009227C3">
        <w:rPr>
          <w:szCs w:val="27"/>
          <w:shd w:val="clear" w:color="auto" w:fill="FFFFFF"/>
        </w:rPr>
        <w:t xml:space="preserve">, which concerned </w:t>
      </w:r>
      <w:r>
        <w:rPr>
          <w:color w:val="000000"/>
          <w:szCs w:val="27"/>
          <w:shd w:val="clear" w:color="auto" w:fill="FFFFFF"/>
        </w:rPr>
        <w:t>a statute impacting automobile liability policies,</w:t>
      </w:r>
      <w:r>
        <w:rPr>
          <w:i/>
          <w:iCs/>
          <w:color w:val="000000"/>
          <w:szCs w:val="27"/>
          <w:shd w:val="clear" w:color="auto" w:fill="FFFFFF"/>
        </w:rPr>
        <w:t xml:space="preserve"> </w:t>
      </w:r>
      <w:r>
        <w:rPr>
          <w:color w:val="000000"/>
          <w:szCs w:val="27"/>
          <w:shd w:val="clear" w:color="auto" w:fill="FFFFFF"/>
        </w:rPr>
        <w:t>provides the type of “definitive judicial construction” of the phrase</w:t>
      </w:r>
      <w:r w:rsidR="0095195A">
        <w:rPr>
          <w:color w:val="000000"/>
          <w:szCs w:val="27"/>
          <w:shd w:val="clear" w:color="auto" w:fill="FFFFFF"/>
        </w:rPr>
        <w:t xml:space="preserve"> “issued or delivered”</w:t>
      </w:r>
      <w:r>
        <w:rPr>
          <w:color w:val="000000"/>
          <w:szCs w:val="27"/>
          <w:shd w:val="clear" w:color="auto" w:fill="FFFFFF"/>
        </w:rPr>
        <w:t xml:space="preserve"> that we can presume the Legislature knew of and sought to adopt here.  (</w:t>
      </w:r>
      <w:r w:rsidRPr="00C809C8">
        <w:rPr>
          <w:i/>
          <w:iCs/>
          <w:color w:val="000000"/>
          <w:szCs w:val="27"/>
          <w:shd w:val="clear" w:color="auto" w:fill="FFFFFF"/>
        </w:rPr>
        <w:t xml:space="preserve">Foley v. Interactive Data Corp. </w:t>
      </w:r>
      <w:r>
        <w:rPr>
          <w:color w:val="000000"/>
          <w:szCs w:val="27"/>
          <w:shd w:val="clear" w:color="auto" w:fill="FFFFFF"/>
        </w:rPr>
        <w:t>(1988)</w:t>
      </w:r>
      <w:r w:rsidRPr="00C809C8">
        <w:rPr>
          <w:color w:val="000000"/>
          <w:szCs w:val="27"/>
          <w:shd w:val="clear" w:color="auto" w:fill="FFFFFF"/>
        </w:rPr>
        <w:t xml:space="preserve"> 47 Cal.3d 654, 675</w:t>
      </w:r>
      <w:r>
        <w:rPr>
          <w:color w:val="000000"/>
          <w:szCs w:val="27"/>
          <w:shd w:val="clear" w:color="auto" w:fill="FFFFFF"/>
        </w:rPr>
        <w:t>.)</w:t>
      </w:r>
    </w:p>
  </w:footnote>
  <w:footnote w:id="11">
    <w:p w:rsidR="00975ECE" w:rsidRPr="004C7264" w:rsidP="00CE5956" w14:paraId="08C2BCFD" w14:textId="70F3C9C4">
      <w:pPr>
        <w:pStyle w:val="FootnoteText"/>
      </w:pPr>
      <w:r>
        <w:rPr>
          <w:rStyle w:val="FootnoteReference"/>
        </w:rPr>
        <w:footnoteRef/>
      </w:r>
      <w:r>
        <w:t xml:space="preserve"> </w:t>
      </w:r>
      <w:r>
        <w:tab/>
      </w:r>
      <w:r>
        <w:rPr>
          <w:szCs w:val="26"/>
        </w:rPr>
        <w:t>For this reason, we have no occasion to entertain another of Protective Life’s arguments:  that the Legislature’s failure to enact</w:t>
      </w:r>
      <w:r>
        <w:t xml:space="preserve"> </w:t>
      </w:r>
      <w:r w:rsidR="00CF14DA">
        <w:t>the sections</w:t>
      </w:r>
      <w:r>
        <w:t xml:space="preserve"> </w:t>
      </w:r>
      <w:r>
        <w:rPr>
          <w:szCs w:val="26"/>
        </w:rPr>
        <w:t xml:space="preserve">as part of urgency legislation cuts against </w:t>
      </w:r>
      <w:r w:rsidR="001149F8">
        <w:rPr>
          <w:szCs w:val="26"/>
        </w:rPr>
        <w:t xml:space="preserve">rebutting </w:t>
      </w:r>
      <w:r>
        <w:rPr>
          <w:szCs w:val="26"/>
        </w:rPr>
        <w:t xml:space="preserve">the presumption against retroactivity.  </w:t>
      </w:r>
    </w:p>
  </w:footnote>
  <w:footnote w:id="12">
    <w:p w:rsidR="001E6E00" w14:paraId="30EB0239" w14:textId="6AFB6DED">
      <w:pPr>
        <w:pStyle w:val="FootnoteText"/>
      </w:pPr>
      <w:r>
        <w:rPr>
          <w:rStyle w:val="FootnoteReference"/>
        </w:rPr>
        <w:footnoteRef/>
      </w:r>
      <w:r>
        <w:t xml:space="preserve"> </w:t>
      </w:r>
      <w:r>
        <w:tab/>
      </w:r>
      <w:r w:rsidRPr="00A2413E">
        <w:rPr>
          <w:color w:val="000000"/>
          <w:szCs w:val="26"/>
          <w:shd w:val="clear" w:color="auto" w:fill="FFFFFF"/>
        </w:rPr>
        <w:t xml:space="preserve">Plaintiffs </w:t>
      </w:r>
      <w:r w:rsidR="00B953AC">
        <w:rPr>
          <w:color w:val="000000"/>
          <w:szCs w:val="26"/>
          <w:shd w:val="clear" w:color="auto" w:fill="FFFFFF"/>
        </w:rPr>
        <w:t xml:space="preserve">argue that </w:t>
      </w:r>
      <w:r w:rsidRPr="00A2413E">
        <w:rPr>
          <w:color w:val="000000"/>
          <w:szCs w:val="26"/>
          <w:shd w:val="clear" w:color="auto" w:fill="FFFFFF"/>
        </w:rPr>
        <w:t xml:space="preserve">applying sections 10113.71 and 10113.72 to the facts here requires us to conclude </w:t>
      </w:r>
      <w:r w:rsidR="00B953AC">
        <w:rPr>
          <w:color w:val="000000"/>
          <w:szCs w:val="26"/>
          <w:shd w:val="clear" w:color="auto" w:fill="FFFFFF"/>
        </w:rPr>
        <w:t>they are</w:t>
      </w:r>
      <w:r w:rsidRPr="00A2413E">
        <w:rPr>
          <w:color w:val="000000"/>
          <w:szCs w:val="26"/>
          <w:shd w:val="clear" w:color="auto" w:fill="FFFFFF"/>
        </w:rPr>
        <w:t xml:space="preserve"> entitled to recover the policy benefits from Protective Life.  </w:t>
      </w:r>
      <w:r w:rsidRPr="00A2413E">
        <w:t xml:space="preserve">But </w:t>
      </w:r>
      <w:r w:rsidR="0069264B">
        <w:t xml:space="preserve">this </w:t>
      </w:r>
      <w:r w:rsidRPr="00A2413E">
        <w:rPr>
          <w:color w:val="000000"/>
          <w:szCs w:val="26"/>
          <w:shd w:val="clear" w:color="auto" w:fill="FFFFFF"/>
        </w:rPr>
        <w:t xml:space="preserve">argument would require us to </w:t>
      </w:r>
      <w:r w:rsidR="006D406D">
        <w:rPr>
          <w:color w:val="000000"/>
          <w:szCs w:val="26"/>
          <w:shd w:val="clear" w:color="auto" w:fill="FFFFFF"/>
        </w:rPr>
        <w:t>address</w:t>
      </w:r>
      <w:r w:rsidRPr="00A2413E">
        <w:rPr>
          <w:color w:val="000000"/>
          <w:szCs w:val="26"/>
          <w:shd w:val="clear" w:color="auto" w:fill="FFFFFF"/>
        </w:rPr>
        <w:t xml:space="preserve"> the correctness of the jury’s verdict</w:t>
      </w:r>
      <w:r w:rsidRPr="00A2413E">
        <w:t>.  We decline to do so, as plaintiffs did not petition for our review on this issue</w:t>
      </w:r>
      <w:r>
        <w:t xml:space="preserve"> and </w:t>
      </w:r>
      <w:r w:rsidR="006F0A55">
        <w:t>it</w:t>
      </w:r>
      <w:r>
        <w:t xml:space="preserve"> is not squarely before us.</w:t>
      </w:r>
      <w:r>
        <w:rPr>
          <w:color w:val="000000"/>
          <w:szCs w:val="26"/>
          <w:shd w:val="clear" w:color="auto" w:fill="FFFFFF"/>
        </w:rPr>
        <w:t xml:space="preserve"> </w:t>
      </w:r>
      <w:r w:rsidR="00D743A3">
        <w:rPr>
          <w:color w:val="000000"/>
          <w:szCs w:val="26"/>
          <w:shd w:val="clear" w:color="auto" w:fill="FFFFFF"/>
        </w:rPr>
        <w:t xml:space="preserve"> </w:t>
      </w:r>
      <w:r w:rsidRPr="00A2413E">
        <w:rPr>
          <w:color w:val="000000"/>
          <w:szCs w:val="26"/>
          <w:shd w:val="clear" w:color="auto" w:fill="FFFFFF"/>
        </w:rPr>
        <w:t>(</w:t>
      </w:r>
      <w:r w:rsidRPr="00A2413E">
        <w:rPr>
          <w:i/>
          <w:iCs/>
          <w:color w:val="000000"/>
          <w:szCs w:val="26"/>
          <w:shd w:val="clear" w:color="auto" w:fill="FFFFFF"/>
        </w:rPr>
        <w:t>Nationwide Biweekly Admin</w:t>
      </w:r>
      <w:r w:rsidR="00CF368D">
        <w:rPr>
          <w:i/>
          <w:iCs/>
          <w:color w:val="000000"/>
          <w:szCs w:val="26"/>
          <w:shd w:val="clear" w:color="auto" w:fill="FFFFFF"/>
        </w:rPr>
        <w:t>istration</w:t>
      </w:r>
      <w:r w:rsidRPr="00A2413E">
        <w:rPr>
          <w:i/>
          <w:iCs/>
          <w:color w:val="000000"/>
          <w:szCs w:val="26"/>
          <w:shd w:val="clear" w:color="auto" w:fill="FFFFFF"/>
        </w:rPr>
        <w:t>, Inc. v. Superior Court.</w:t>
      </w:r>
      <w:r w:rsidRPr="00A2413E">
        <w:rPr>
          <w:color w:val="000000"/>
          <w:szCs w:val="26"/>
          <w:shd w:val="clear" w:color="auto" w:fill="FFFFFF"/>
        </w:rPr>
        <w:t xml:space="preserve"> (2020) 9 Cal.5th 279, 334, fn. 25</w:t>
      </w:r>
      <w:r>
        <w:rPr>
          <w:color w:val="000000"/>
          <w:szCs w:val="26"/>
          <w:shd w:val="clear" w:color="auto" w:fill="FFFFFF"/>
        </w:rPr>
        <w:t>.)</w:t>
      </w:r>
    </w:p>
  </w:footnote>
  <w:footnote w:id="13">
    <w:p w:rsidR="00E41FA5" w:rsidRPr="006A7CE1" w:rsidP="00E41FA5" w14:paraId="5A34AB17" w14:textId="77777777">
      <w:pPr>
        <w:pStyle w:val="FootnoteText"/>
        <w:rPr>
          <w:szCs w:val="27"/>
        </w:rPr>
      </w:pPr>
      <w:r w:rsidRPr="006A7CE1">
        <w:rPr>
          <w:rStyle w:val="FootnoteReference"/>
          <w:szCs w:val="27"/>
        </w:rPr>
        <w:footnoteRef/>
      </w:r>
      <w:r w:rsidRPr="006A7CE1">
        <w:rPr>
          <w:szCs w:val="27"/>
        </w:rPr>
        <w:t xml:space="preserve"> </w:t>
      </w:r>
      <w:r w:rsidRPr="006A7CE1">
        <w:rPr>
          <w:szCs w:val="27"/>
        </w:rPr>
        <w:tab/>
        <w:t>All unspecified section references are to the Insurance Code.</w:t>
      </w:r>
    </w:p>
  </w:footnote>
  <w:footnote w:id="14">
    <w:p w:rsidR="00E41FA5" w:rsidP="00E41FA5" w14:paraId="31947443" w14:textId="77777777">
      <w:pPr>
        <w:pStyle w:val="FootnoteText"/>
      </w:pPr>
      <w:r>
        <w:rPr>
          <w:rStyle w:val="FootnoteReference"/>
        </w:rPr>
        <w:footnoteRef/>
      </w:r>
      <w:r>
        <w:t xml:space="preserve"> </w:t>
      </w:r>
      <w:r>
        <w:tab/>
        <w:t>The majority asserts that “</w:t>
      </w:r>
      <w:bookmarkStart w:id="49" w:name="_Hlk80344482"/>
      <w:r>
        <w:t>our cases do not definitively indicate that the presumption has been rebutted</w:t>
      </w:r>
      <w:bookmarkEnd w:id="49"/>
      <w:r>
        <w:t xml:space="preserve">” in this case.  (Maj. opn., </w:t>
      </w:r>
      <w:r>
        <w:rPr>
          <w:i/>
          <w:iCs/>
        </w:rPr>
        <w:t>ante</w:t>
      </w:r>
      <w:r>
        <w:t>,</w:t>
      </w:r>
      <w:r>
        <w:rPr>
          <w:i/>
          <w:iCs/>
        </w:rPr>
        <w:t xml:space="preserve"> </w:t>
      </w:r>
      <w:r>
        <w:t xml:space="preserve">at p. 26).  But my analysis and conclusion are fully in line with, and supported by, our analysis and conclusion in </w:t>
      </w:r>
      <w:r>
        <w:rPr>
          <w:i/>
          <w:iCs/>
        </w:rPr>
        <w:t>Preston</w:t>
      </w:r>
      <w:r>
        <w:t xml:space="preserve">, </w:t>
      </w:r>
      <w:r>
        <w:rPr>
          <w:i/>
          <w:iCs/>
        </w:rPr>
        <w:t>Calfarm</w:t>
      </w:r>
      <w:r>
        <w:t xml:space="preserve">, and </w:t>
      </w:r>
      <w:r>
        <w:rPr>
          <w:i/>
          <w:iCs/>
        </w:rPr>
        <w:t>Alford</w:t>
      </w:r>
      <w:r>
        <w:t xml:space="preserve">, and the majority does not assert otherwise.  </w:t>
      </w:r>
    </w:p>
  </w:footnote>
  <w:footnote w:id="15">
    <w:p w:rsidR="00E41FA5" w:rsidP="00E41FA5" w14:paraId="273CFF30" w14:textId="77777777">
      <w:pPr>
        <w:pStyle w:val="FootnoteText"/>
      </w:pPr>
      <w:r>
        <w:rPr>
          <w:rStyle w:val="FootnoteReference"/>
        </w:rPr>
        <w:footnoteRef/>
      </w:r>
      <w:r>
        <w:t xml:space="preserve"> </w:t>
      </w:r>
      <w:r>
        <w:tab/>
        <w:t xml:space="preserve">Given the majority’s alternative holding that the presumption applies and carries some weight, its choice to address the question of whether applying the statutes here involves retroactivity ultimately does not, as the majority asserts, “avoid having to apply” the presumption “in a circumstance where it’s not necessary.”  (Maj. opn., </w:t>
      </w:r>
      <w:r>
        <w:rPr>
          <w:i/>
          <w:iCs/>
        </w:rPr>
        <w:t>ante</w:t>
      </w:r>
      <w:r>
        <w:t xml:space="preserve">, at p. 26.)  </w:t>
      </w:r>
    </w:p>
  </w:footnote>
  <w:footnote w:id="16">
    <w:p w:rsidR="00E41FA5" w:rsidP="00E41FA5" w14:paraId="6A16ADE6" w14:textId="77777777">
      <w:pPr>
        <w:pStyle w:val="FootnoteText"/>
      </w:pPr>
      <w:r>
        <w:rPr>
          <w:rStyle w:val="FootnoteReference"/>
        </w:rPr>
        <w:footnoteRef/>
      </w:r>
      <w:r>
        <w:t xml:space="preserve"> </w:t>
      </w:r>
      <w:r>
        <w:tab/>
        <w:t>Curiously, despite the majority’s acknowledgement that prompt and timely payment “ ‘is essential’ ” to insurers</w:t>
      </w:r>
      <w:r>
        <w:rPr>
          <w:szCs w:val="26"/>
        </w:rPr>
        <w:t xml:space="preserve"> (maj. opn., </w:t>
      </w:r>
      <w:r>
        <w:rPr>
          <w:i/>
          <w:iCs/>
          <w:szCs w:val="26"/>
        </w:rPr>
        <w:t>ante</w:t>
      </w:r>
      <w:r>
        <w:rPr>
          <w:szCs w:val="26"/>
        </w:rPr>
        <w:t>, at p. 9)</w:t>
      </w:r>
      <w:r>
        <w:t xml:space="preserve">, the majority later rests its conclusion in part on Protective Life’s failure to “clearly” show how extending the grace period “constituted a disruptive contract change” (maj. opn., </w:t>
      </w:r>
      <w:r>
        <w:rPr>
          <w:i/>
          <w:iCs/>
        </w:rPr>
        <w:t>ante</w:t>
      </w:r>
      <w:r>
        <w:t>, at p. 24), its failure to “specifically identify any way in which the bargain memorialized in the insurance contract would be substantially upset by applying the [extended] grace period” (</w:t>
      </w:r>
      <w:r>
        <w:rPr>
          <w:i/>
          <w:iCs/>
        </w:rPr>
        <w:t xml:space="preserve">id. </w:t>
      </w:r>
      <w:r>
        <w:t>at p. 22),  and its reliance instead on a “generalized, amorphous allusion to financial impact” (</w:t>
      </w:r>
      <w:r>
        <w:rPr>
          <w:i/>
          <w:iCs/>
        </w:rPr>
        <w:t>ibid</w:t>
      </w:r>
      <w:r>
        <w:t>).  According to the majority, Protective Life can show a sufficient “financial impact” only by providing “evidence that [it] or other insurers anticipated and accounted for a projected rate of inadvertent defaults when setting their premiums.”  (</w:t>
      </w:r>
      <w:r>
        <w:rPr>
          <w:i/>
          <w:iCs/>
        </w:rPr>
        <w:t xml:space="preserve">Id. </w:t>
      </w:r>
      <w:r>
        <w:t>at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ECE" w14:paraId="19F77E15" w14:textId="77777777">
    <w:pPr>
      <w:pStyle w:val="Header"/>
    </w:pPr>
    <w:r>
      <w:t>M</w:t>
    </w:r>
    <w:r w:rsidRPr="00B41F6C" w:rsidR="00642996">
      <w:rPr>
        <w:smallCaps/>
      </w:rPr>
      <w:t>c</w:t>
    </w:r>
    <w:r>
      <w:t>HUGH v. PROTECTIVE LIFE INSURANCE COMPANY</w:t>
    </w:r>
  </w:p>
  <w:p w:rsidR="00975ECE" w14:paraId="46ACBD13" w14:textId="77777777">
    <w:pPr>
      <w:pStyle w:val="Header"/>
    </w:pPr>
    <w:r>
      <w:t>Opinion of the Court by Cuéllar, J.</w:t>
    </w:r>
  </w:p>
  <w:p w:rsidR="00975ECE" w14:paraId="6BDE6C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1E" w14:paraId="473A0E4F" w14:textId="77777777">
    <w:pPr>
      <w:pStyle w:val="Header"/>
    </w:pPr>
    <w:r>
      <w:t>M</w:t>
    </w:r>
    <w:r w:rsidRPr="00B41F6C">
      <w:rPr>
        <w:smallCaps/>
      </w:rPr>
      <w:t>c</w:t>
    </w:r>
    <w:r>
      <w:t>HUGH v. PROTECTIVE LIFE INSURANCE COMPANY</w:t>
    </w:r>
  </w:p>
  <w:p w:rsidR="00AF721E" w14:paraId="1943D959" w14:textId="2B539569">
    <w:pPr>
      <w:pStyle w:val="Header"/>
    </w:pPr>
    <w:r>
      <w:t>Jenkins</w:t>
    </w:r>
    <w:r>
      <w:t>, J.</w:t>
    </w:r>
    <w:r>
      <w:t>, concurring</w:t>
    </w:r>
  </w:p>
  <w:p w:rsidR="00622B0B" w14:paraId="43FD260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2ED" w:rsidRPr="00E012ED" w:rsidP="00E012ED" w14:paraId="6A9A9F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E3DFB31"/>
    <w:multiLevelType w:val="hybridMultilevel"/>
    <w:tmpl w:val="1E2F0D61"/>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3F90AFE"/>
    <w:multiLevelType w:val="hybridMultilevel"/>
    <w:tmpl w:val="DBFAB7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5DEDD4"/>
    <w:multiLevelType w:val="hybridMultilevel"/>
    <w:tmpl w:val="60C9D524"/>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DEC5134"/>
    <w:multiLevelType w:val="hybridMultilevel"/>
    <w:tmpl w:val="0B2A8C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6B71F58"/>
    <w:multiLevelType w:val="hybridMultilevel"/>
    <w:tmpl w:val="D152DCBA"/>
    <w:lvl w:ilvl="0">
      <w:start w:val="1"/>
      <w:numFmt w:val="decimal"/>
      <w:lvlText w:val="%1."/>
      <w:lvlJc w:val="left"/>
      <w:pPr>
        <w:ind w:left="450" w:hanging="360"/>
      </w:pPr>
      <w:rPr>
        <w:b/>
        <w:bCs/>
      </w:rPr>
    </w:lvl>
    <w:lvl w:ilvl="1">
      <w:start w:val="1"/>
      <w:numFmt w:val="lowerLetter"/>
      <w:lvlText w:val="%2."/>
      <w:lvlJc w:val="left"/>
      <w:pPr>
        <w:ind w:left="900" w:hanging="360"/>
      </w:pPr>
    </w:lvl>
    <w:lvl w:ilvl="2">
      <w:start w:val="1"/>
      <w:numFmt w:val="lowerRoman"/>
      <w:lvlText w:val="%3."/>
      <w:lvlJc w:val="right"/>
      <w:pPr>
        <w:ind w:left="1170" w:hanging="180"/>
      </w:pPr>
    </w:lvl>
    <w:lvl w:ilvl="3">
      <w:start w:val="1"/>
      <w:numFmt w:val="decimal"/>
      <w:lvlText w:val="%4."/>
      <w:lvlJc w:val="left"/>
      <w:pPr>
        <w:ind w:left="1620" w:hanging="360"/>
      </w:pPr>
      <w:rPr>
        <w:strike w:val="0"/>
        <w:dstrike w:val="0"/>
        <w:u w:val="none"/>
        <w:effect w:val="none"/>
      </w:r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nsid w:val="28BE4BC3"/>
    <w:multiLevelType w:val="hybridMultilevel"/>
    <w:tmpl w:val="831C5C6C"/>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0E8706D"/>
    <w:multiLevelType w:val="hybridMultilevel"/>
    <w:tmpl w:val="A2F290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5493A39"/>
    <w:multiLevelType w:val="hybridMultilevel"/>
    <w:tmpl w:val="7A16327E"/>
    <w:lvl w:ilvl="0">
      <w:start w:val="1"/>
      <w:numFmt w:val="decimal"/>
      <w:lvlText w:val="%1."/>
      <w:lvlJc w:val="left"/>
      <w:pPr>
        <w:ind w:left="1080" w:hanging="360"/>
      </w:pPr>
      <w:rPr>
        <w:rFonts w:hint="default"/>
        <w:b/>
        <w:bCs/>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5A05425"/>
    <w:multiLevelType w:val="hybridMultilevel"/>
    <w:tmpl w:val="69F660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CB6E24"/>
    <w:multiLevelType w:val="hybridMultilevel"/>
    <w:tmpl w:val="831660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D9D3E62"/>
    <w:multiLevelType w:val="hybridMultilevel"/>
    <w:tmpl w:val="67DAA1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FC61AAD"/>
    <w:multiLevelType w:val="multilevel"/>
    <w:tmpl w:val="120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DC51F"/>
    <w:multiLevelType w:val="hybridMultilevel"/>
    <w:tmpl w:val="DEEA37B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67E63852"/>
    <w:multiLevelType w:val="hybridMultilevel"/>
    <w:tmpl w:val="F34E976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CA00E49"/>
    <w:multiLevelType w:val="hybridMultilevel"/>
    <w:tmpl w:val="988E20D0"/>
    <w:lvl w:ilvl="0">
      <w:start w:val="1"/>
      <w:numFmt w:val="decimal"/>
      <w:lvlText w:val="%1."/>
      <w:lvlJc w:val="left"/>
      <w:pPr>
        <w:ind w:left="1080" w:hanging="360"/>
      </w:pPr>
      <w:rPr>
        <w:i w:val="0"/>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D28682D"/>
    <w:multiLevelType w:val="hybridMultilevel"/>
    <w:tmpl w:val="901CE5C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6D42475B"/>
    <w:multiLevelType w:val="hybridMultilevel"/>
    <w:tmpl w:val="7B9449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6EBB56E1"/>
    <w:multiLevelType w:val="hybridMultilevel"/>
    <w:tmpl w:val="AD8A2DE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F822D31"/>
    <w:multiLevelType w:val="hybridMultilevel"/>
    <w:tmpl w:val="240C59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EAE222A"/>
    <w:multiLevelType w:val="hybridMultilevel"/>
    <w:tmpl w:val="6804E02E"/>
    <w:lvl w:ilvl="0">
      <w:start w:val="1"/>
      <w:numFmt w:val="upperLetter"/>
      <w:lvlText w:val="%1."/>
      <w:lvlJc w:val="left"/>
      <w:pPr>
        <w:ind w:left="90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17"/>
  </w:num>
  <w:num w:numId="2">
    <w:abstractNumId w:val="6"/>
  </w:num>
  <w:num w:numId="3">
    <w:abstractNumId w:val="19"/>
  </w:num>
  <w:num w:numId="4">
    <w:abstractNumId w:val="7"/>
  </w:num>
  <w:num w:numId="5">
    <w:abstractNumId w:val="11"/>
  </w:num>
  <w:num w:numId="6">
    <w:abstractNumId w:val="3"/>
  </w:num>
  <w:num w:numId="7">
    <w:abstractNumId w:val="10"/>
  </w:num>
  <w:num w:numId="8">
    <w:abstractNumId w:val="7"/>
    <w:lvlOverride w:ilvl="0">
      <w:startOverride w:val="1"/>
    </w:lvlOverride>
  </w:num>
  <w:num w:numId="9">
    <w:abstractNumId w:val="12"/>
  </w:num>
  <w:num w:numId="10">
    <w:abstractNumId w:val="0"/>
  </w:num>
  <w:num w:numId="11">
    <w:abstractNumId w:val="2"/>
  </w:num>
  <w:num w:numId="12">
    <w:abstractNumId w:val="9"/>
  </w:num>
  <w:num w:numId="13">
    <w:abstractNumId w:val="8"/>
  </w:num>
  <w:num w:numId="14">
    <w:abstractNumId w:val="1"/>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C1"/>
    <w:rsid w:val="000002A8"/>
    <w:rsid w:val="00000409"/>
    <w:rsid w:val="00001076"/>
    <w:rsid w:val="00001477"/>
    <w:rsid w:val="00001573"/>
    <w:rsid w:val="00001634"/>
    <w:rsid w:val="00001C5C"/>
    <w:rsid w:val="00001FB7"/>
    <w:rsid w:val="00002711"/>
    <w:rsid w:val="00002EA7"/>
    <w:rsid w:val="00002F56"/>
    <w:rsid w:val="00003223"/>
    <w:rsid w:val="0000397C"/>
    <w:rsid w:val="000040B0"/>
    <w:rsid w:val="000042A8"/>
    <w:rsid w:val="00004B53"/>
    <w:rsid w:val="00005188"/>
    <w:rsid w:val="00005331"/>
    <w:rsid w:val="00005703"/>
    <w:rsid w:val="00005B22"/>
    <w:rsid w:val="00005B78"/>
    <w:rsid w:val="00005CC0"/>
    <w:rsid w:val="00005EC6"/>
    <w:rsid w:val="00006419"/>
    <w:rsid w:val="0000649C"/>
    <w:rsid w:val="000064B8"/>
    <w:rsid w:val="00006612"/>
    <w:rsid w:val="000066F6"/>
    <w:rsid w:val="000068CB"/>
    <w:rsid w:val="00006A55"/>
    <w:rsid w:val="00006C79"/>
    <w:rsid w:val="0000764C"/>
    <w:rsid w:val="00007685"/>
    <w:rsid w:val="0001079B"/>
    <w:rsid w:val="00010CB9"/>
    <w:rsid w:val="000113ED"/>
    <w:rsid w:val="0001176C"/>
    <w:rsid w:val="00011948"/>
    <w:rsid w:val="0001219A"/>
    <w:rsid w:val="0001224A"/>
    <w:rsid w:val="000124D9"/>
    <w:rsid w:val="000127EB"/>
    <w:rsid w:val="00012858"/>
    <w:rsid w:val="00012C72"/>
    <w:rsid w:val="00012EA7"/>
    <w:rsid w:val="00012FC2"/>
    <w:rsid w:val="00012FF2"/>
    <w:rsid w:val="0001342C"/>
    <w:rsid w:val="00013594"/>
    <w:rsid w:val="00013669"/>
    <w:rsid w:val="00014342"/>
    <w:rsid w:val="00014E94"/>
    <w:rsid w:val="000150B4"/>
    <w:rsid w:val="00015F2D"/>
    <w:rsid w:val="00016414"/>
    <w:rsid w:val="000165E0"/>
    <w:rsid w:val="00016E64"/>
    <w:rsid w:val="00016F7C"/>
    <w:rsid w:val="000178A0"/>
    <w:rsid w:val="00017EFC"/>
    <w:rsid w:val="0002084B"/>
    <w:rsid w:val="00021367"/>
    <w:rsid w:val="00021705"/>
    <w:rsid w:val="00021902"/>
    <w:rsid w:val="000219D7"/>
    <w:rsid w:val="00021FB0"/>
    <w:rsid w:val="000220A1"/>
    <w:rsid w:val="00022865"/>
    <w:rsid w:val="00022B7D"/>
    <w:rsid w:val="00022C05"/>
    <w:rsid w:val="00022C4C"/>
    <w:rsid w:val="0002303E"/>
    <w:rsid w:val="00023246"/>
    <w:rsid w:val="000233DC"/>
    <w:rsid w:val="000238CF"/>
    <w:rsid w:val="00023C51"/>
    <w:rsid w:val="00023D36"/>
    <w:rsid w:val="00023F7F"/>
    <w:rsid w:val="00023FA7"/>
    <w:rsid w:val="000246A5"/>
    <w:rsid w:val="000250B9"/>
    <w:rsid w:val="0002631D"/>
    <w:rsid w:val="00027343"/>
    <w:rsid w:val="0002752F"/>
    <w:rsid w:val="00027539"/>
    <w:rsid w:val="000276EB"/>
    <w:rsid w:val="00027CA7"/>
    <w:rsid w:val="00027DB5"/>
    <w:rsid w:val="00027E2F"/>
    <w:rsid w:val="000302B1"/>
    <w:rsid w:val="000313A9"/>
    <w:rsid w:val="000313BC"/>
    <w:rsid w:val="000314A5"/>
    <w:rsid w:val="000319E6"/>
    <w:rsid w:val="00031F46"/>
    <w:rsid w:val="000320D7"/>
    <w:rsid w:val="00032388"/>
    <w:rsid w:val="000324AD"/>
    <w:rsid w:val="00032F37"/>
    <w:rsid w:val="00032F79"/>
    <w:rsid w:val="0003318F"/>
    <w:rsid w:val="00033337"/>
    <w:rsid w:val="000335E6"/>
    <w:rsid w:val="00033A16"/>
    <w:rsid w:val="00034164"/>
    <w:rsid w:val="00034B19"/>
    <w:rsid w:val="00035328"/>
    <w:rsid w:val="000357FC"/>
    <w:rsid w:val="00035A00"/>
    <w:rsid w:val="00035B27"/>
    <w:rsid w:val="00035C1C"/>
    <w:rsid w:val="00035D8B"/>
    <w:rsid w:val="000368C9"/>
    <w:rsid w:val="00036E01"/>
    <w:rsid w:val="00037F66"/>
    <w:rsid w:val="00040184"/>
    <w:rsid w:val="00040FF3"/>
    <w:rsid w:val="00041E46"/>
    <w:rsid w:val="0004210E"/>
    <w:rsid w:val="00042983"/>
    <w:rsid w:val="00042A6D"/>
    <w:rsid w:val="00042D12"/>
    <w:rsid w:val="000434BB"/>
    <w:rsid w:val="0004385E"/>
    <w:rsid w:val="000444B2"/>
    <w:rsid w:val="000452C7"/>
    <w:rsid w:val="00045372"/>
    <w:rsid w:val="00045409"/>
    <w:rsid w:val="000459CA"/>
    <w:rsid w:val="000460DF"/>
    <w:rsid w:val="00046903"/>
    <w:rsid w:val="00047669"/>
    <w:rsid w:val="00047757"/>
    <w:rsid w:val="00047B7B"/>
    <w:rsid w:val="000507E2"/>
    <w:rsid w:val="00050C46"/>
    <w:rsid w:val="0005126B"/>
    <w:rsid w:val="00051282"/>
    <w:rsid w:val="00051E2F"/>
    <w:rsid w:val="00051F7F"/>
    <w:rsid w:val="00052107"/>
    <w:rsid w:val="00052188"/>
    <w:rsid w:val="00052204"/>
    <w:rsid w:val="00052440"/>
    <w:rsid w:val="00052DC9"/>
    <w:rsid w:val="00052FCA"/>
    <w:rsid w:val="000537DE"/>
    <w:rsid w:val="00053871"/>
    <w:rsid w:val="00053CBA"/>
    <w:rsid w:val="0005432F"/>
    <w:rsid w:val="00054507"/>
    <w:rsid w:val="000546CD"/>
    <w:rsid w:val="00055023"/>
    <w:rsid w:val="000550B0"/>
    <w:rsid w:val="000550EA"/>
    <w:rsid w:val="000554ED"/>
    <w:rsid w:val="000555B3"/>
    <w:rsid w:val="00055BBD"/>
    <w:rsid w:val="0005616D"/>
    <w:rsid w:val="000565FA"/>
    <w:rsid w:val="00056A51"/>
    <w:rsid w:val="000570D1"/>
    <w:rsid w:val="00057162"/>
    <w:rsid w:val="00057B9B"/>
    <w:rsid w:val="000600B6"/>
    <w:rsid w:val="0006047B"/>
    <w:rsid w:val="000605CA"/>
    <w:rsid w:val="0006095A"/>
    <w:rsid w:val="00060E0E"/>
    <w:rsid w:val="00060E63"/>
    <w:rsid w:val="00061CAA"/>
    <w:rsid w:val="00061D89"/>
    <w:rsid w:val="00061D9F"/>
    <w:rsid w:val="000620C1"/>
    <w:rsid w:val="0006225D"/>
    <w:rsid w:val="00062609"/>
    <w:rsid w:val="000631CB"/>
    <w:rsid w:val="00063F00"/>
    <w:rsid w:val="000643CE"/>
    <w:rsid w:val="0006462E"/>
    <w:rsid w:val="000649DF"/>
    <w:rsid w:val="00064B9F"/>
    <w:rsid w:val="00065239"/>
    <w:rsid w:val="00065593"/>
    <w:rsid w:val="00065729"/>
    <w:rsid w:val="000659C1"/>
    <w:rsid w:val="00065CFF"/>
    <w:rsid w:val="00065DE0"/>
    <w:rsid w:val="00066115"/>
    <w:rsid w:val="0006636B"/>
    <w:rsid w:val="000663C5"/>
    <w:rsid w:val="00066AD1"/>
    <w:rsid w:val="0007006A"/>
    <w:rsid w:val="00070239"/>
    <w:rsid w:val="000704AD"/>
    <w:rsid w:val="00070BEB"/>
    <w:rsid w:val="00070E21"/>
    <w:rsid w:val="00071183"/>
    <w:rsid w:val="00071224"/>
    <w:rsid w:val="000715EE"/>
    <w:rsid w:val="00071B15"/>
    <w:rsid w:val="00071DBC"/>
    <w:rsid w:val="00071F4A"/>
    <w:rsid w:val="00072141"/>
    <w:rsid w:val="00072387"/>
    <w:rsid w:val="0007242D"/>
    <w:rsid w:val="00072638"/>
    <w:rsid w:val="000727A8"/>
    <w:rsid w:val="0007323E"/>
    <w:rsid w:val="00073277"/>
    <w:rsid w:val="000742CE"/>
    <w:rsid w:val="0007432C"/>
    <w:rsid w:val="000744CB"/>
    <w:rsid w:val="000756F2"/>
    <w:rsid w:val="00076051"/>
    <w:rsid w:val="0007613F"/>
    <w:rsid w:val="00076B0F"/>
    <w:rsid w:val="000774DC"/>
    <w:rsid w:val="00077514"/>
    <w:rsid w:val="000777E2"/>
    <w:rsid w:val="00077ABB"/>
    <w:rsid w:val="00077AC6"/>
    <w:rsid w:val="00077E50"/>
    <w:rsid w:val="00080913"/>
    <w:rsid w:val="00080ACD"/>
    <w:rsid w:val="00080C09"/>
    <w:rsid w:val="00080D5B"/>
    <w:rsid w:val="00080DE6"/>
    <w:rsid w:val="0008107B"/>
    <w:rsid w:val="000812C9"/>
    <w:rsid w:val="000812F0"/>
    <w:rsid w:val="0008337F"/>
    <w:rsid w:val="000839FA"/>
    <w:rsid w:val="00083F07"/>
    <w:rsid w:val="000844CD"/>
    <w:rsid w:val="00084CAC"/>
    <w:rsid w:val="00085458"/>
    <w:rsid w:val="00085A89"/>
    <w:rsid w:val="00085C87"/>
    <w:rsid w:val="00085E35"/>
    <w:rsid w:val="000863D2"/>
    <w:rsid w:val="00086641"/>
    <w:rsid w:val="000866D2"/>
    <w:rsid w:val="0008684E"/>
    <w:rsid w:val="00086959"/>
    <w:rsid w:val="00086E8F"/>
    <w:rsid w:val="000870D9"/>
    <w:rsid w:val="00087142"/>
    <w:rsid w:val="000874D1"/>
    <w:rsid w:val="0008762E"/>
    <w:rsid w:val="0008793D"/>
    <w:rsid w:val="00087E46"/>
    <w:rsid w:val="000900D9"/>
    <w:rsid w:val="000901E1"/>
    <w:rsid w:val="00090660"/>
    <w:rsid w:val="00090C0A"/>
    <w:rsid w:val="00090D89"/>
    <w:rsid w:val="00090F9D"/>
    <w:rsid w:val="00091572"/>
    <w:rsid w:val="00092957"/>
    <w:rsid w:val="000932B8"/>
    <w:rsid w:val="000932CC"/>
    <w:rsid w:val="000934E9"/>
    <w:rsid w:val="00093737"/>
    <w:rsid w:val="00093AAF"/>
    <w:rsid w:val="00093C7E"/>
    <w:rsid w:val="00093D3E"/>
    <w:rsid w:val="00093E4D"/>
    <w:rsid w:val="000942B4"/>
    <w:rsid w:val="000943EA"/>
    <w:rsid w:val="0009464B"/>
    <w:rsid w:val="00094B8E"/>
    <w:rsid w:val="00094D50"/>
    <w:rsid w:val="0009510C"/>
    <w:rsid w:val="0009512E"/>
    <w:rsid w:val="0009535A"/>
    <w:rsid w:val="0009582F"/>
    <w:rsid w:val="00095DF0"/>
    <w:rsid w:val="000965E6"/>
    <w:rsid w:val="00096B6E"/>
    <w:rsid w:val="00096D8A"/>
    <w:rsid w:val="00096DE5"/>
    <w:rsid w:val="00096E84"/>
    <w:rsid w:val="00096F7B"/>
    <w:rsid w:val="00097269"/>
    <w:rsid w:val="000974D0"/>
    <w:rsid w:val="00097BA1"/>
    <w:rsid w:val="000A0166"/>
    <w:rsid w:val="000A0A23"/>
    <w:rsid w:val="000A0C45"/>
    <w:rsid w:val="000A10DE"/>
    <w:rsid w:val="000A2206"/>
    <w:rsid w:val="000A2766"/>
    <w:rsid w:val="000A3AC8"/>
    <w:rsid w:val="000A3ADA"/>
    <w:rsid w:val="000A3E92"/>
    <w:rsid w:val="000A41E6"/>
    <w:rsid w:val="000A489A"/>
    <w:rsid w:val="000A57F1"/>
    <w:rsid w:val="000A59D1"/>
    <w:rsid w:val="000A65ED"/>
    <w:rsid w:val="000A66ED"/>
    <w:rsid w:val="000A6C02"/>
    <w:rsid w:val="000A7192"/>
    <w:rsid w:val="000A72F7"/>
    <w:rsid w:val="000A760A"/>
    <w:rsid w:val="000A7A98"/>
    <w:rsid w:val="000A7F41"/>
    <w:rsid w:val="000B093D"/>
    <w:rsid w:val="000B11B6"/>
    <w:rsid w:val="000B1445"/>
    <w:rsid w:val="000B1606"/>
    <w:rsid w:val="000B18A1"/>
    <w:rsid w:val="000B19F1"/>
    <w:rsid w:val="000B1E15"/>
    <w:rsid w:val="000B20FC"/>
    <w:rsid w:val="000B223E"/>
    <w:rsid w:val="000B2359"/>
    <w:rsid w:val="000B2380"/>
    <w:rsid w:val="000B2698"/>
    <w:rsid w:val="000B28F4"/>
    <w:rsid w:val="000B2AC2"/>
    <w:rsid w:val="000B2C1E"/>
    <w:rsid w:val="000B2CBE"/>
    <w:rsid w:val="000B2D5E"/>
    <w:rsid w:val="000B31CA"/>
    <w:rsid w:val="000B3888"/>
    <w:rsid w:val="000B3955"/>
    <w:rsid w:val="000B3A11"/>
    <w:rsid w:val="000B3C25"/>
    <w:rsid w:val="000B3E6F"/>
    <w:rsid w:val="000B3EF6"/>
    <w:rsid w:val="000B433C"/>
    <w:rsid w:val="000B4A9B"/>
    <w:rsid w:val="000B4EE0"/>
    <w:rsid w:val="000B574A"/>
    <w:rsid w:val="000B5C7C"/>
    <w:rsid w:val="000B645F"/>
    <w:rsid w:val="000B6689"/>
    <w:rsid w:val="000B6B97"/>
    <w:rsid w:val="000B6DCF"/>
    <w:rsid w:val="000B6F1F"/>
    <w:rsid w:val="000B7B2C"/>
    <w:rsid w:val="000B7F5D"/>
    <w:rsid w:val="000B7FCB"/>
    <w:rsid w:val="000C025D"/>
    <w:rsid w:val="000C038E"/>
    <w:rsid w:val="000C08D7"/>
    <w:rsid w:val="000C0953"/>
    <w:rsid w:val="000C0C3F"/>
    <w:rsid w:val="000C0D77"/>
    <w:rsid w:val="000C0D98"/>
    <w:rsid w:val="000C1828"/>
    <w:rsid w:val="000C1886"/>
    <w:rsid w:val="000C18A5"/>
    <w:rsid w:val="000C194E"/>
    <w:rsid w:val="000C1BD9"/>
    <w:rsid w:val="000C229A"/>
    <w:rsid w:val="000C2664"/>
    <w:rsid w:val="000C30B6"/>
    <w:rsid w:val="000C3355"/>
    <w:rsid w:val="000C3687"/>
    <w:rsid w:val="000C3E7B"/>
    <w:rsid w:val="000C3FF5"/>
    <w:rsid w:val="000C46F3"/>
    <w:rsid w:val="000C4E28"/>
    <w:rsid w:val="000C5318"/>
    <w:rsid w:val="000C6482"/>
    <w:rsid w:val="000C654D"/>
    <w:rsid w:val="000C68B7"/>
    <w:rsid w:val="000C6BDB"/>
    <w:rsid w:val="000C71EF"/>
    <w:rsid w:val="000C76B7"/>
    <w:rsid w:val="000C7AAB"/>
    <w:rsid w:val="000C7D20"/>
    <w:rsid w:val="000C7E91"/>
    <w:rsid w:val="000C7EF9"/>
    <w:rsid w:val="000D02F1"/>
    <w:rsid w:val="000D0886"/>
    <w:rsid w:val="000D0C8C"/>
    <w:rsid w:val="000D116D"/>
    <w:rsid w:val="000D17AF"/>
    <w:rsid w:val="000D1AB6"/>
    <w:rsid w:val="000D1AFA"/>
    <w:rsid w:val="000D1BB5"/>
    <w:rsid w:val="000D1E41"/>
    <w:rsid w:val="000D2593"/>
    <w:rsid w:val="000D25B3"/>
    <w:rsid w:val="000D2619"/>
    <w:rsid w:val="000D2A6C"/>
    <w:rsid w:val="000D2DE1"/>
    <w:rsid w:val="000D2F63"/>
    <w:rsid w:val="000D30CA"/>
    <w:rsid w:val="000D31A7"/>
    <w:rsid w:val="000D3222"/>
    <w:rsid w:val="000D382F"/>
    <w:rsid w:val="000D420E"/>
    <w:rsid w:val="000D42D0"/>
    <w:rsid w:val="000D43D7"/>
    <w:rsid w:val="000D6981"/>
    <w:rsid w:val="000D6B3C"/>
    <w:rsid w:val="000D6BC3"/>
    <w:rsid w:val="000D6C39"/>
    <w:rsid w:val="000D6C9C"/>
    <w:rsid w:val="000D6DED"/>
    <w:rsid w:val="000D722F"/>
    <w:rsid w:val="000D7291"/>
    <w:rsid w:val="000D7442"/>
    <w:rsid w:val="000D7A03"/>
    <w:rsid w:val="000D7B61"/>
    <w:rsid w:val="000E0139"/>
    <w:rsid w:val="000E0C74"/>
    <w:rsid w:val="000E0E2B"/>
    <w:rsid w:val="000E0ED5"/>
    <w:rsid w:val="000E102C"/>
    <w:rsid w:val="000E1256"/>
    <w:rsid w:val="000E181F"/>
    <w:rsid w:val="000E1C76"/>
    <w:rsid w:val="000E1D37"/>
    <w:rsid w:val="000E1FCD"/>
    <w:rsid w:val="000E28C0"/>
    <w:rsid w:val="000E2BA9"/>
    <w:rsid w:val="000E2DD2"/>
    <w:rsid w:val="000E3BF3"/>
    <w:rsid w:val="000E412A"/>
    <w:rsid w:val="000E4BBF"/>
    <w:rsid w:val="000E4FE5"/>
    <w:rsid w:val="000E4FEC"/>
    <w:rsid w:val="000E5402"/>
    <w:rsid w:val="000E5516"/>
    <w:rsid w:val="000E5700"/>
    <w:rsid w:val="000E5DB0"/>
    <w:rsid w:val="000E6326"/>
    <w:rsid w:val="000E658F"/>
    <w:rsid w:val="000E66E5"/>
    <w:rsid w:val="000E68F1"/>
    <w:rsid w:val="000E6A9B"/>
    <w:rsid w:val="000E75C5"/>
    <w:rsid w:val="000E7980"/>
    <w:rsid w:val="000E7A47"/>
    <w:rsid w:val="000E7CD6"/>
    <w:rsid w:val="000F002F"/>
    <w:rsid w:val="000F011A"/>
    <w:rsid w:val="000F0B6F"/>
    <w:rsid w:val="000F0F67"/>
    <w:rsid w:val="000F1324"/>
    <w:rsid w:val="000F13EC"/>
    <w:rsid w:val="000F15F6"/>
    <w:rsid w:val="000F165C"/>
    <w:rsid w:val="000F19B7"/>
    <w:rsid w:val="000F1DDB"/>
    <w:rsid w:val="000F1F54"/>
    <w:rsid w:val="000F2145"/>
    <w:rsid w:val="000F2415"/>
    <w:rsid w:val="000F24FB"/>
    <w:rsid w:val="000F296E"/>
    <w:rsid w:val="000F2979"/>
    <w:rsid w:val="000F2A4C"/>
    <w:rsid w:val="000F31B6"/>
    <w:rsid w:val="000F34D0"/>
    <w:rsid w:val="000F3679"/>
    <w:rsid w:val="000F475E"/>
    <w:rsid w:val="000F490F"/>
    <w:rsid w:val="000F4E39"/>
    <w:rsid w:val="000F508D"/>
    <w:rsid w:val="000F5153"/>
    <w:rsid w:val="000F647B"/>
    <w:rsid w:val="000F6A22"/>
    <w:rsid w:val="000F6E28"/>
    <w:rsid w:val="000F6EE1"/>
    <w:rsid w:val="000F725F"/>
    <w:rsid w:val="000F79B4"/>
    <w:rsid w:val="000F7A3F"/>
    <w:rsid w:val="000F7C46"/>
    <w:rsid w:val="00100144"/>
    <w:rsid w:val="00100808"/>
    <w:rsid w:val="001009FD"/>
    <w:rsid w:val="00100C14"/>
    <w:rsid w:val="00100DD7"/>
    <w:rsid w:val="001016ED"/>
    <w:rsid w:val="0010210F"/>
    <w:rsid w:val="0010211C"/>
    <w:rsid w:val="001027A5"/>
    <w:rsid w:val="00102F8D"/>
    <w:rsid w:val="00103B19"/>
    <w:rsid w:val="00103BB4"/>
    <w:rsid w:val="001043F7"/>
    <w:rsid w:val="0010451A"/>
    <w:rsid w:val="00104670"/>
    <w:rsid w:val="0010474A"/>
    <w:rsid w:val="0010479F"/>
    <w:rsid w:val="00104A30"/>
    <w:rsid w:val="00104B7B"/>
    <w:rsid w:val="00104C65"/>
    <w:rsid w:val="00104DDF"/>
    <w:rsid w:val="001051DF"/>
    <w:rsid w:val="001053FC"/>
    <w:rsid w:val="00105DBE"/>
    <w:rsid w:val="00106D8D"/>
    <w:rsid w:val="00106F92"/>
    <w:rsid w:val="001076EB"/>
    <w:rsid w:val="00107824"/>
    <w:rsid w:val="00107982"/>
    <w:rsid w:val="00107A72"/>
    <w:rsid w:val="00107AE4"/>
    <w:rsid w:val="00107FDA"/>
    <w:rsid w:val="001105BF"/>
    <w:rsid w:val="00110EF5"/>
    <w:rsid w:val="00110FF7"/>
    <w:rsid w:val="0011176A"/>
    <w:rsid w:val="001119FD"/>
    <w:rsid w:val="00111F72"/>
    <w:rsid w:val="0011201A"/>
    <w:rsid w:val="00112252"/>
    <w:rsid w:val="001128A4"/>
    <w:rsid w:val="00112C21"/>
    <w:rsid w:val="00112E71"/>
    <w:rsid w:val="001140F3"/>
    <w:rsid w:val="00114149"/>
    <w:rsid w:val="00114821"/>
    <w:rsid w:val="0011486A"/>
    <w:rsid w:val="001149E2"/>
    <w:rsid w:val="001149F8"/>
    <w:rsid w:val="00114E18"/>
    <w:rsid w:val="00114F03"/>
    <w:rsid w:val="001156EA"/>
    <w:rsid w:val="00115710"/>
    <w:rsid w:val="0011579A"/>
    <w:rsid w:val="00115829"/>
    <w:rsid w:val="0011622E"/>
    <w:rsid w:val="00116361"/>
    <w:rsid w:val="001164D5"/>
    <w:rsid w:val="001166BB"/>
    <w:rsid w:val="00116BD1"/>
    <w:rsid w:val="001171A9"/>
    <w:rsid w:val="00117794"/>
    <w:rsid w:val="00117850"/>
    <w:rsid w:val="001203E0"/>
    <w:rsid w:val="001204CD"/>
    <w:rsid w:val="00121367"/>
    <w:rsid w:val="00121547"/>
    <w:rsid w:val="001216CE"/>
    <w:rsid w:val="00121821"/>
    <w:rsid w:val="001219B2"/>
    <w:rsid w:val="00121FCC"/>
    <w:rsid w:val="00122E45"/>
    <w:rsid w:val="00123038"/>
    <w:rsid w:val="00123AE9"/>
    <w:rsid w:val="00123CFA"/>
    <w:rsid w:val="001240F5"/>
    <w:rsid w:val="00124303"/>
    <w:rsid w:val="001246B9"/>
    <w:rsid w:val="00124820"/>
    <w:rsid w:val="00124DCD"/>
    <w:rsid w:val="00124F00"/>
    <w:rsid w:val="001251F5"/>
    <w:rsid w:val="00125589"/>
    <w:rsid w:val="0012574B"/>
    <w:rsid w:val="0012589A"/>
    <w:rsid w:val="00125DF5"/>
    <w:rsid w:val="001261CD"/>
    <w:rsid w:val="001263A3"/>
    <w:rsid w:val="00126499"/>
    <w:rsid w:val="00126F23"/>
    <w:rsid w:val="00127008"/>
    <w:rsid w:val="001277B2"/>
    <w:rsid w:val="00127F2B"/>
    <w:rsid w:val="00127F34"/>
    <w:rsid w:val="00127F9D"/>
    <w:rsid w:val="00127FBB"/>
    <w:rsid w:val="001306AD"/>
    <w:rsid w:val="001307D1"/>
    <w:rsid w:val="00130B9F"/>
    <w:rsid w:val="0013120C"/>
    <w:rsid w:val="001317F8"/>
    <w:rsid w:val="00131DFC"/>
    <w:rsid w:val="0013241E"/>
    <w:rsid w:val="00132FF6"/>
    <w:rsid w:val="001331CA"/>
    <w:rsid w:val="001334CC"/>
    <w:rsid w:val="00133DE6"/>
    <w:rsid w:val="00133E35"/>
    <w:rsid w:val="001344EA"/>
    <w:rsid w:val="00134F1C"/>
    <w:rsid w:val="001353B8"/>
    <w:rsid w:val="00135951"/>
    <w:rsid w:val="00135B2C"/>
    <w:rsid w:val="001360E0"/>
    <w:rsid w:val="001362BF"/>
    <w:rsid w:val="00136771"/>
    <w:rsid w:val="00137057"/>
    <w:rsid w:val="00137DF5"/>
    <w:rsid w:val="00137E17"/>
    <w:rsid w:val="001407DE"/>
    <w:rsid w:val="0014083E"/>
    <w:rsid w:val="00140ED4"/>
    <w:rsid w:val="00141261"/>
    <w:rsid w:val="001417DC"/>
    <w:rsid w:val="00141B29"/>
    <w:rsid w:val="00141F1A"/>
    <w:rsid w:val="001420C6"/>
    <w:rsid w:val="0014274B"/>
    <w:rsid w:val="00142C7D"/>
    <w:rsid w:val="00142F4F"/>
    <w:rsid w:val="0014453F"/>
    <w:rsid w:val="00145A4A"/>
    <w:rsid w:val="00145AFF"/>
    <w:rsid w:val="00145B93"/>
    <w:rsid w:val="00145C8B"/>
    <w:rsid w:val="00145D2F"/>
    <w:rsid w:val="00145E31"/>
    <w:rsid w:val="00146063"/>
    <w:rsid w:val="001463A8"/>
    <w:rsid w:val="001467C7"/>
    <w:rsid w:val="001470DF"/>
    <w:rsid w:val="00147C31"/>
    <w:rsid w:val="00147F8A"/>
    <w:rsid w:val="00150589"/>
    <w:rsid w:val="0015076C"/>
    <w:rsid w:val="00151993"/>
    <w:rsid w:val="00151A27"/>
    <w:rsid w:val="00151E5C"/>
    <w:rsid w:val="00151FA9"/>
    <w:rsid w:val="001521D4"/>
    <w:rsid w:val="0015233C"/>
    <w:rsid w:val="00152487"/>
    <w:rsid w:val="001524C5"/>
    <w:rsid w:val="00152719"/>
    <w:rsid w:val="0015286E"/>
    <w:rsid w:val="00152EAB"/>
    <w:rsid w:val="00153927"/>
    <w:rsid w:val="00153965"/>
    <w:rsid w:val="00154300"/>
    <w:rsid w:val="00154655"/>
    <w:rsid w:val="001546EF"/>
    <w:rsid w:val="00154A77"/>
    <w:rsid w:val="00154F88"/>
    <w:rsid w:val="001550D5"/>
    <w:rsid w:val="00155326"/>
    <w:rsid w:val="00155347"/>
    <w:rsid w:val="001556BF"/>
    <w:rsid w:val="001557B1"/>
    <w:rsid w:val="001559DC"/>
    <w:rsid w:val="00155D03"/>
    <w:rsid w:val="00155D44"/>
    <w:rsid w:val="00156441"/>
    <w:rsid w:val="001564CD"/>
    <w:rsid w:val="00156922"/>
    <w:rsid w:val="00156976"/>
    <w:rsid w:val="00156CFA"/>
    <w:rsid w:val="00156D62"/>
    <w:rsid w:val="00156DA7"/>
    <w:rsid w:val="00156FF2"/>
    <w:rsid w:val="00157787"/>
    <w:rsid w:val="00157D03"/>
    <w:rsid w:val="00157D6E"/>
    <w:rsid w:val="00160069"/>
    <w:rsid w:val="001603EE"/>
    <w:rsid w:val="001604C5"/>
    <w:rsid w:val="00160699"/>
    <w:rsid w:val="00161185"/>
    <w:rsid w:val="001611CE"/>
    <w:rsid w:val="001613F2"/>
    <w:rsid w:val="00161E1D"/>
    <w:rsid w:val="001626F9"/>
    <w:rsid w:val="00162920"/>
    <w:rsid w:val="00162B49"/>
    <w:rsid w:val="00162FBE"/>
    <w:rsid w:val="001632DC"/>
    <w:rsid w:val="0016362D"/>
    <w:rsid w:val="00163A67"/>
    <w:rsid w:val="00163B1E"/>
    <w:rsid w:val="00163C47"/>
    <w:rsid w:val="00163F18"/>
    <w:rsid w:val="0016405E"/>
    <w:rsid w:val="001649B3"/>
    <w:rsid w:val="00164B1B"/>
    <w:rsid w:val="0016526C"/>
    <w:rsid w:val="0016530C"/>
    <w:rsid w:val="00166416"/>
    <w:rsid w:val="001665E8"/>
    <w:rsid w:val="00166C47"/>
    <w:rsid w:val="00167352"/>
    <w:rsid w:val="00167D37"/>
    <w:rsid w:val="00170153"/>
    <w:rsid w:val="0017061E"/>
    <w:rsid w:val="001708C2"/>
    <w:rsid w:val="00170DE1"/>
    <w:rsid w:val="001711D4"/>
    <w:rsid w:val="00171D7E"/>
    <w:rsid w:val="00171DAE"/>
    <w:rsid w:val="001723FC"/>
    <w:rsid w:val="00172655"/>
    <w:rsid w:val="00172FD4"/>
    <w:rsid w:val="0017307B"/>
    <w:rsid w:val="00173207"/>
    <w:rsid w:val="00173398"/>
    <w:rsid w:val="001737C4"/>
    <w:rsid w:val="00173C6B"/>
    <w:rsid w:val="001742A9"/>
    <w:rsid w:val="00174DFC"/>
    <w:rsid w:val="0017519B"/>
    <w:rsid w:val="00175428"/>
    <w:rsid w:val="001759B8"/>
    <w:rsid w:val="00175B04"/>
    <w:rsid w:val="00175B89"/>
    <w:rsid w:val="001760F8"/>
    <w:rsid w:val="0017633A"/>
    <w:rsid w:val="00176954"/>
    <w:rsid w:val="00176AA4"/>
    <w:rsid w:val="00176B70"/>
    <w:rsid w:val="00176BD6"/>
    <w:rsid w:val="0017732D"/>
    <w:rsid w:val="0017766A"/>
    <w:rsid w:val="0017785B"/>
    <w:rsid w:val="001800BA"/>
    <w:rsid w:val="00180204"/>
    <w:rsid w:val="0018075F"/>
    <w:rsid w:val="00180773"/>
    <w:rsid w:val="00180E3C"/>
    <w:rsid w:val="001818E0"/>
    <w:rsid w:val="001819DE"/>
    <w:rsid w:val="00181AC5"/>
    <w:rsid w:val="001822FD"/>
    <w:rsid w:val="0018276C"/>
    <w:rsid w:val="0018297C"/>
    <w:rsid w:val="00183473"/>
    <w:rsid w:val="00183895"/>
    <w:rsid w:val="00183FD4"/>
    <w:rsid w:val="00184118"/>
    <w:rsid w:val="001841B9"/>
    <w:rsid w:val="001847BD"/>
    <w:rsid w:val="00184822"/>
    <w:rsid w:val="00184FE2"/>
    <w:rsid w:val="001850E9"/>
    <w:rsid w:val="00185117"/>
    <w:rsid w:val="00185400"/>
    <w:rsid w:val="0018590E"/>
    <w:rsid w:val="00185BC0"/>
    <w:rsid w:val="00185F99"/>
    <w:rsid w:val="00186224"/>
    <w:rsid w:val="001863B8"/>
    <w:rsid w:val="0018649D"/>
    <w:rsid w:val="00186718"/>
    <w:rsid w:val="00186925"/>
    <w:rsid w:val="00186E61"/>
    <w:rsid w:val="00187351"/>
    <w:rsid w:val="00187560"/>
    <w:rsid w:val="00187C25"/>
    <w:rsid w:val="00187D0C"/>
    <w:rsid w:val="00187EEE"/>
    <w:rsid w:val="001906B5"/>
    <w:rsid w:val="00190838"/>
    <w:rsid w:val="00190AC6"/>
    <w:rsid w:val="00190BAF"/>
    <w:rsid w:val="00191159"/>
    <w:rsid w:val="00191311"/>
    <w:rsid w:val="00191E33"/>
    <w:rsid w:val="00192057"/>
    <w:rsid w:val="00192CFD"/>
    <w:rsid w:val="00193434"/>
    <w:rsid w:val="001942AA"/>
    <w:rsid w:val="00194669"/>
    <w:rsid w:val="001946F4"/>
    <w:rsid w:val="00194ABE"/>
    <w:rsid w:val="001954B9"/>
    <w:rsid w:val="00195A0B"/>
    <w:rsid w:val="00195D0F"/>
    <w:rsid w:val="00195E80"/>
    <w:rsid w:val="00196057"/>
    <w:rsid w:val="001964DB"/>
    <w:rsid w:val="00196577"/>
    <w:rsid w:val="00196A44"/>
    <w:rsid w:val="001971AB"/>
    <w:rsid w:val="00197341"/>
    <w:rsid w:val="001974BC"/>
    <w:rsid w:val="00197776"/>
    <w:rsid w:val="00197BD3"/>
    <w:rsid w:val="00197C25"/>
    <w:rsid w:val="00197E47"/>
    <w:rsid w:val="001A06FF"/>
    <w:rsid w:val="001A07BF"/>
    <w:rsid w:val="001A11FE"/>
    <w:rsid w:val="001A1324"/>
    <w:rsid w:val="001A1578"/>
    <w:rsid w:val="001A1CC9"/>
    <w:rsid w:val="001A2133"/>
    <w:rsid w:val="001A223C"/>
    <w:rsid w:val="001A24F1"/>
    <w:rsid w:val="001A328E"/>
    <w:rsid w:val="001A33C2"/>
    <w:rsid w:val="001A360C"/>
    <w:rsid w:val="001A40CD"/>
    <w:rsid w:val="001A42CD"/>
    <w:rsid w:val="001A432D"/>
    <w:rsid w:val="001A46D7"/>
    <w:rsid w:val="001A475B"/>
    <w:rsid w:val="001A55C2"/>
    <w:rsid w:val="001A561D"/>
    <w:rsid w:val="001A5FC5"/>
    <w:rsid w:val="001A62B7"/>
    <w:rsid w:val="001A6595"/>
    <w:rsid w:val="001A6E74"/>
    <w:rsid w:val="001A72C0"/>
    <w:rsid w:val="001A73A1"/>
    <w:rsid w:val="001A76DA"/>
    <w:rsid w:val="001A77F4"/>
    <w:rsid w:val="001B02F4"/>
    <w:rsid w:val="001B0CAA"/>
    <w:rsid w:val="001B0CE9"/>
    <w:rsid w:val="001B0E63"/>
    <w:rsid w:val="001B0E81"/>
    <w:rsid w:val="001B1173"/>
    <w:rsid w:val="001B1761"/>
    <w:rsid w:val="001B18ED"/>
    <w:rsid w:val="001B1F5C"/>
    <w:rsid w:val="001B2588"/>
    <w:rsid w:val="001B28C3"/>
    <w:rsid w:val="001B2AB4"/>
    <w:rsid w:val="001B32CB"/>
    <w:rsid w:val="001B35A1"/>
    <w:rsid w:val="001B41D1"/>
    <w:rsid w:val="001B4B4B"/>
    <w:rsid w:val="001B5160"/>
    <w:rsid w:val="001B55BD"/>
    <w:rsid w:val="001B5717"/>
    <w:rsid w:val="001B5A8D"/>
    <w:rsid w:val="001B7577"/>
    <w:rsid w:val="001B7B6D"/>
    <w:rsid w:val="001C0724"/>
    <w:rsid w:val="001C1866"/>
    <w:rsid w:val="001C1BCD"/>
    <w:rsid w:val="001C1DBC"/>
    <w:rsid w:val="001C226C"/>
    <w:rsid w:val="001C2477"/>
    <w:rsid w:val="001C2553"/>
    <w:rsid w:val="001C25BF"/>
    <w:rsid w:val="001C2A6C"/>
    <w:rsid w:val="001C2AB9"/>
    <w:rsid w:val="001C2B17"/>
    <w:rsid w:val="001C3C02"/>
    <w:rsid w:val="001C3C61"/>
    <w:rsid w:val="001C4475"/>
    <w:rsid w:val="001C4B65"/>
    <w:rsid w:val="001C4E91"/>
    <w:rsid w:val="001C54ED"/>
    <w:rsid w:val="001C5BB2"/>
    <w:rsid w:val="001C5E7D"/>
    <w:rsid w:val="001C64C6"/>
    <w:rsid w:val="001C6759"/>
    <w:rsid w:val="001C6FEF"/>
    <w:rsid w:val="001C70A6"/>
    <w:rsid w:val="001C717D"/>
    <w:rsid w:val="001C7EA7"/>
    <w:rsid w:val="001D00D5"/>
    <w:rsid w:val="001D016A"/>
    <w:rsid w:val="001D0A20"/>
    <w:rsid w:val="001D0BA0"/>
    <w:rsid w:val="001D0D79"/>
    <w:rsid w:val="001D0FA5"/>
    <w:rsid w:val="001D111D"/>
    <w:rsid w:val="001D1302"/>
    <w:rsid w:val="001D179A"/>
    <w:rsid w:val="001D187C"/>
    <w:rsid w:val="001D1CF3"/>
    <w:rsid w:val="001D1EFF"/>
    <w:rsid w:val="001D2598"/>
    <w:rsid w:val="001D2615"/>
    <w:rsid w:val="001D2631"/>
    <w:rsid w:val="001D29E2"/>
    <w:rsid w:val="001D2F07"/>
    <w:rsid w:val="001D35A8"/>
    <w:rsid w:val="001D3A8D"/>
    <w:rsid w:val="001D410D"/>
    <w:rsid w:val="001D4458"/>
    <w:rsid w:val="001D446E"/>
    <w:rsid w:val="001D465F"/>
    <w:rsid w:val="001D46DA"/>
    <w:rsid w:val="001D4A8F"/>
    <w:rsid w:val="001D54E7"/>
    <w:rsid w:val="001D58A3"/>
    <w:rsid w:val="001D593B"/>
    <w:rsid w:val="001D5BE2"/>
    <w:rsid w:val="001D6041"/>
    <w:rsid w:val="001D6170"/>
    <w:rsid w:val="001D61FC"/>
    <w:rsid w:val="001D76B3"/>
    <w:rsid w:val="001D7C0B"/>
    <w:rsid w:val="001E0280"/>
    <w:rsid w:val="001E0E47"/>
    <w:rsid w:val="001E120F"/>
    <w:rsid w:val="001E1AB3"/>
    <w:rsid w:val="001E24EA"/>
    <w:rsid w:val="001E2641"/>
    <w:rsid w:val="001E2AE3"/>
    <w:rsid w:val="001E2B3F"/>
    <w:rsid w:val="001E2DFB"/>
    <w:rsid w:val="001E367E"/>
    <w:rsid w:val="001E3D43"/>
    <w:rsid w:val="001E3E35"/>
    <w:rsid w:val="001E4A33"/>
    <w:rsid w:val="001E4C25"/>
    <w:rsid w:val="001E4DDC"/>
    <w:rsid w:val="001E4E86"/>
    <w:rsid w:val="001E5171"/>
    <w:rsid w:val="001E5356"/>
    <w:rsid w:val="001E56A9"/>
    <w:rsid w:val="001E56E7"/>
    <w:rsid w:val="001E5924"/>
    <w:rsid w:val="001E5AD2"/>
    <w:rsid w:val="001E61AD"/>
    <w:rsid w:val="001E6E00"/>
    <w:rsid w:val="001E6FB7"/>
    <w:rsid w:val="001E77E4"/>
    <w:rsid w:val="001E7BCB"/>
    <w:rsid w:val="001F014F"/>
    <w:rsid w:val="001F0315"/>
    <w:rsid w:val="001F0361"/>
    <w:rsid w:val="001F051F"/>
    <w:rsid w:val="001F05DC"/>
    <w:rsid w:val="001F067A"/>
    <w:rsid w:val="001F0688"/>
    <w:rsid w:val="001F08C7"/>
    <w:rsid w:val="001F0983"/>
    <w:rsid w:val="001F0BCF"/>
    <w:rsid w:val="001F0C26"/>
    <w:rsid w:val="001F0C56"/>
    <w:rsid w:val="001F0FDE"/>
    <w:rsid w:val="001F104F"/>
    <w:rsid w:val="001F1291"/>
    <w:rsid w:val="001F40A2"/>
    <w:rsid w:val="001F4301"/>
    <w:rsid w:val="001F499F"/>
    <w:rsid w:val="001F4AAB"/>
    <w:rsid w:val="001F4D0B"/>
    <w:rsid w:val="001F546D"/>
    <w:rsid w:val="001F54BD"/>
    <w:rsid w:val="001F5B2D"/>
    <w:rsid w:val="001F5CCA"/>
    <w:rsid w:val="001F6A8A"/>
    <w:rsid w:val="001F6C86"/>
    <w:rsid w:val="00200004"/>
    <w:rsid w:val="002001F7"/>
    <w:rsid w:val="00200502"/>
    <w:rsid w:val="00200CA8"/>
    <w:rsid w:val="00200CBC"/>
    <w:rsid w:val="00201EE1"/>
    <w:rsid w:val="00201EFC"/>
    <w:rsid w:val="0020202C"/>
    <w:rsid w:val="002021B0"/>
    <w:rsid w:val="00202253"/>
    <w:rsid w:val="002026CD"/>
    <w:rsid w:val="00202FC5"/>
    <w:rsid w:val="0020306D"/>
    <w:rsid w:val="0020343C"/>
    <w:rsid w:val="00203E11"/>
    <w:rsid w:val="00203E8A"/>
    <w:rsid w:val="00203F71"/>
    <w:rsid w:val="00204DD7"/>
    <w:rsid w:val="00204F62"/>
    <w:rsid w:val="002050E2"/>
    <w:rsid w:val="00205282"/>
    <w:rsid w:val="002054EC"/>
    <w:rsid w:val="00205B8A"/>
    <w:rsid w:val="00205C2B"/>
    <w:rsid w:val="00205D37"/>
    <w:rsid w:val="00205DB5"/>
    <w:rsid w:val="00205DE0"/>
    <w:rsid w:val="0020624F"/>
    <w:rsid w:val="0020655B"/>
    <w:rsid w:val="002068EC"/>
    <w:rsid w:val="002071EB"/>
    <w:rsid w:val="0020730F"/>
    <w:rsid w:val="002074A2"/>
    <w:rsid w:val="0020765F"/>
    <w:rsid w:val="00207837"/>
    <w:rsid w:val="00207B80"/>
    <w:rsid w:val="00207CB4"/>
    <w:rsid w:val="0021009D"/>
    <w:rsid w:val="002101B3"/>
    <w:rsid w:val="002101E6"/>
    <w:rsid w:val="00210BFF"/>
    <w:rsid w:val="00210F24"/>
    <w:rsid w:val="00211230"/>
    <w:rsid w:val="0021157F"/>
    <w:rsid w:val="002115E7"/>
    <w:rsid w:val="00211769"/>
    <w:rsid w:val="00211A85"/>
    <w:rsid w:val="00211B3F"/>
    <w:rsid w:val="00211D0E"/>
    <w:rsid w:val="00211FE2"/>
    <w:rsid w:val="002123FE"/>
    <w:rsid w:val="0021245A"/>
    <w:rsid w:val="00212CA0"/>
    <w:rsid w:val="00212ED6"/>
    <w:rsid w:val="00212F48"/>
    <w:rsid w:val="00213C9E"/>
    <w:rsid w:val="002141DF"/>
    <w:rsid w:val="002145B2"/>
    <w:rsid w:val="00214C7D"/>
    <w:rsid w:val="00214FD3"/>
    <w:rsid w:val="0021518D"/>
    <w:rsid w:val="00215352"/>
    <w:rsid w:val="00215FF7"/>
    <w:rsid w:val="002161C8"/>
    <w:rsid w:val="00216354"/>
    <w:rsid w:val="002167E3"/>
    <w:rsid w:val="00216865"/>
    <w:rsid w:val="00216870"/>
    <w:rsid w:val="00216959"/>
    <w:rsid w:val="00216F21"/>
    <w:rsid w:val="0021708B"/>
    <w:rsid w:val="002171BC"/>
    <w:rsid w:val="002177F1"/>
    <w:rsid w:val="00217BF4"/>
    <w:rsid w:val="00217D9C"/>
    <w:rsid w:val="002205FC"/>
    <w:rsid w:val="002206CF"/>
    <w:rsid w:val="00220D80"/>
    <w:rsid w:val="002217AE"/>
    <w:rsid w:val="00221B78"/>
    <w:rsid w:val="00221DBE"/>
    <w:rsid w:val="00222E69"/>
    <w:rsid w:val="00223B01"/>
    <w:rsid w:val="00223D07"/>
    <w:rsid w:val="00223EED"/>
    <w:rsid w:val="002241E7"/>
    <w:rsid w:val="002243DE"/>
    <w:rsid w:val="0022473D"/>
    <w:rsid w:val="002248EC"/>
    <w:rsid w:val="00224911"/>
    <w:rsid w:val="002251E3"/>
    <w:rsid w:val="00225283"/>
    <w:rsid w:val="00225582"/>
    <w:rsid w:val="00225B2D"/>
    <w:rsid w:val="00225EF2"/>
    <w:rsid w:val="00226AAB"/>
    <w:rsid w:val="002272A7"/>
    <w:rsid w:val="002276A0"/>
    <w:rsid w:val="00227D44"/>
    <w:rsid w:val="00230AB9"/>
    <w:rsid w:val="00230C20"/>
    <w:rsid w:val="00230C5E"/>
    <w:rsid w:val="00231475"/>
    <w:rsid w:val="00231BC2"/>
    <w:rsid w:val="002320BF"/>
    <w:rsid w:val="002327D3"/>
    <w:rsid w:val="00232BF7"/>
    <w:rsid w:val="00232F89"/>
    <w:rsid w:val="00233E81"/>
    <w:rsid w:val="00233F8C"/>
    <w:rsid w:val="002345E4"/>
    <w:rsid w:val="00234CB1"/>
    <w:rsid w:val="00235196"/>
    <w:rsid w:val="002351D4"/>
    <w:rsid w:val="002352F0"/>
    <w:rsid w:val="0023546B"/>
    <w:rsid w:val="002355AF"/>
    <w:rsid w:val="0023577D"/>
    <w:rsid w:val="002358C3"/>
    <w:rsid w:val="00235B79"/>
    <w:rsid w:val="00235C71"/>
    <w:rsid w:val="002363AE"/>
    <w:rsid w:val="00236A81"/>
    <w:rsid w:val="00236AAC"/>
    <w:rsid w:val="00236CEC"/>
    <w:rsid w:val="00236DA8"/>
    <w:rsid w:val="00237559"/>
    <w:rsid w:val="0023767C"/>
    <w:rsid w:val="00237875"/>
    <w:rsid w:val="00237B86"/>
    <w:rsid w:val="00240018"/>
    <w:rsid w:val="00240CCE"/>
    <w:rsid w:val="00240E5B"/>
    <w:rsid w:val="0024169A"/>
    <w:rsid w:val="00242307"/>
    <w:rsid w:val="00242EE8"/>
    <w:rsid w:val="002430D4"/>
    <w:rsid w:val="002433E9"/>
    <w:rsid w:val="002437DE"/>
    <w:rsid w:val="00243BE9"/>
    <w:rsid w:val="00243EAE"/>
    <w:rsid w:val="002440A3"/>
    <w:rsid w:val="002449B1"/>
    <w:rsid w:val="00244CDE"/>
    <w:rsid w:val="0024563D"/>
    <w:rsid w:val="0024567C"/>
    <w:rsid w:val="00245D8B"/>
    <w:rsid w:val="00245F42"/>
    <w:rsid w:val="00246067"/>
    <w:rsid w:val="00246114"/>
    <w:rsid w:val="00246F6C"/>
    <w:rsid w:val="0024793F"/>
    <w:rsid w:val="00247CD9"/>
    <w:rsid w:val="002500C6"/>
    <w:rsid w:val="0025053B"/>
    <w:rsid w:val="0025096B"/>
    <w:rsid w:val="00250F00"/>
    <w:rsid w:val="00251028"/>
    <w:rsid w:val="002510C2"/>
    <w:rsid w:val="00251899"/>
    <w:rsid w:val="00251A4B"/>
    <w:rsid w:val="00251BBE"/>
    <w:rsid w:val="00251C00"/>
    <w:rsid w:val="002522E5"/>
    <w:rsid w:val="00252A5A"/>
    <w:rsid w:val="0025318B"/>
    <w:rsid w:val="0025389B"/>
    <w:rsid w:val="00253C4C"/>
    <w:rsid w:val="00253E95"/>
    <w:rsid w:val="00254714"/>
    <w:rsid w:val="00254951"/>
    <w:rsid w:val="00254CDD"/>
    <w:rsid w:val="00254D23"/>
    <w:rsid w:val="00254E48"/>
    <w:rsid w:val="00254ECD"/>
    <w:rsid w:val="00255492"/>
    <w:rsid w:val="002557D5"/>
    <w:rsid w:val="002557F5"/>
    <w:rsid w:val="0025593A"/>
    <w:rsid w:val="00255B41"/>
    <w:rsid w:val="00256161"/>
    <w:rsid w:val="00256380"/>
    <w:rsid w:val="0025661E"/>
    <w:rsid w:val="002569EF"/>
    <w:rsid w:val="00256CEC"/>
    <w:rsid w:val="0025782B"/>
    <w:rsid w:val="00257CF3"/>
    <w:rsid w:val="00257EB7"/>
    <w:rsid w:val="002600F4"/>
    <w:rsid w:val="00261ABE"/>
    <w:rsid w:val="002626C3"/>
    <w:rsid w:val="0026278C"/>
    <w:rsid w:val="00262945"/>
    <w:rsid w:val="00262A93"/>
    <w:rsid w:val="002633B7"/>
    <w:rsid w:val="00263485"/>
    <w:rsid w:val="00263520"/>
    <w:rsid w:val="00263642"/>
    <w:rsid w:val="0026372E"/>
    <w:rsid w:val="00263763"/>
    <w:rsid w:val="00263A83"/>
    <w:rsid w:val="00263A9C"/>
    <w:rsid w:val="00263F51"/>
    <w:rsid w:val="002648FA"/>
    <w:rsid w:val="0026496F"/>
    <w:rsid w:val="00264CB5"/>
    <w:rsid w:val="00265064"/>
    <w:rsid w:val="00265797"/>
    <w:rsid w:val="00265BEB"/>
    <w:rsid w:val="00265E09"/>
    <w:rsid w:val="00266251"/>
    <w:rsid w:val="00266321"/>
    <w:rsid w:val="0026643C"/>
    <w:rsid w:val="0026650A"/>
    <w:rsid w:val="00266B17"/>
    <w:rsid w:val="00266CA4"/>
    <w:rsid w:val="00266D26"/>
    <w:rsid w:val="00266E28"/>
    <w:rsid w:val="002670A8"/>
    <w:rsid w:val="00267B3A"/>
    <w:rsid w:val="00267EA1"/>
    <w:rsid w:val="0027000B"/>
    <w:rsid w:val="0027002C"/>
    <w:rsid w:val="00270C8D"/>
    <w:rsid w:val="002713C5"/>
    <w:rsid w:val="002717AC"/>
    <w:rsid w:val="002719BB"/>
    <w:rsid w:val="00271D47"/>
    <w:rsid w:val="002720AB"/>
    <w:rsid w:val="00272513"/>
    <w:rsid w:val="00272935"/>
    <w:rsid w:val="00272B5A"/>
    <w:rsid w:val="00272E67"/>
    <w:rsid w:val="00272EF1"/>
    <w:rsid w:val="002731F2"/>
    <w:rsid w:val="002736DF"/>
    <w:rsid w:val="002738CE"/>
    <w:rsid w:val="00273D6E"/>
    <w:rsid w:val="00273E44"/>
    <w:rsid w:val="00274824"/>
    <w:rsid w:val="00274884"/>
    <w:rsid w:val="00274DD9"/>
    <w:rsid w:val="00275337"/>
    <w:rsid w:val="0027539B"/>
    <w:rsid w:val="00275BF0"/>
    <w:rsid w:val="00275E89"/>
    <w:rsid w:val="00275EE5"/>
    <w:rsid w:val="00276124"/>
    <w:rsid w:val="0027620E"/>
    <w:rsid w:val="00276546"/>
    <w:rsid w:val="00276598"/>
    <w:rsid w:val="00276B5B"/>
    <w:rsid w:val="00276BAF"/>
    <w:rsid w:val="00276C83"/>
    <w:rsid w:val="00276EBE"/>
    <w:rsid w:val="00277482"/>
    <w:rsid w:val="00277861"/>
    <w:rsid w:val="00277936"/>
    <w:rsid w:val="00277968"/>
    <w:rsid w:val="00277A2C"/>
    <w:rsid w:val="00277BEF"/>
    <w:rsid w:val="00277CE1"/>
    <w:rsid w:val="0028057D"/>
    <w:rsid w:val="00280A8A"/>
    <w:rsid w:val="00280AEA"/>
    <w:rsid w:val="00280E27"/>
    <w:rsid w:val="00280FC4"/>
    <w:rsid w:val="00281A5E"/>
    <w:rsid w:val="0028234E"/>
    <w:rsid w:val="002825AC"/>
    <w:rsid w:val="00282853"/>
    <w:rsid w:val="00282881"/>
    <w:rsid w:val="00282B8A"/>
    <w:rsid w:val="00282ECA"/>
    <w:rsid w:val="00282F3A"/>
    <w:rsid w:val="00283089"/>
    <w:rsid w:val="00283A75"/>
    <w:rsid w:val="00284225"/>
    <w:rsid w:val="00284818"/>
    <w:rsid w:val="00284BF7"/>
    <w:rsid w:val="00284E65"/>
    <w:rsid w:val="002852A8"/>
    <w:rsid w:val="002855A4"/>
    <w:rsid w:val="00285B60"/>
    <w:rsid w:val="00285EF8"/>
    <w:rsid w:val="002861A1"/>
    <w:rsid w:val="0028677B"/>
    <w:rsid w:val="00286CA1"/>
    <w:rsid w:val="0028701A"/>
    <w:rsid w:val="0028719D"/>
    <w:rsid w:val="002872C9"/>
    <w:rsid w:val="00287397"/>
    <w:rsid w:val="00287ABD"/>
    <w:rsid w:val="00287E55"/>
    <w:rsid w:val="0029032B"/>
    <w:rsid w:val="002904AC"/>
    <w:rsid w:val="002905BD"/>
    <w:rsid w:val="0029060E"/>
    <w:rsid w:val="00290C2F"/>
    <w:rsid w:val="00290CC9"/>
    <w:rsid w:val="0029140C"/>
    <w:rsid w:val="002914C0"/>
    <w:rsid w:val="00291C6C"/>
    <w:rsid w:val="002924C6"/>
    <w:rsid w:val="0029260E"/>
    <w:rsid w:val="00292DC8"/>
    <w:rsid w:val="00292F85"/>
    <w:rsid w:val="002930CA"/>
    <w:rsid w:val="002933F9"/>
    <w:rsid w:val="00293474"/>
    <w:rsid w:val="00293B1F"/>
    <w:rsid w:val="00293D5F"/>
    <w:rsid w:val="002944D5"/>
    <w:rsid w:val="0029460D"/>
    <w:rsid w:val="00294C19"/>
    <w:rsid w:val="00294F74"/>
    <w:rsid w:val="00295D47"/>
    <w:rsid w:val="0029606A"/>
    <w:rsid w:val="002961ED"/>
    <w:rsid w:val="002967DC"/>
    <w:rsid w:val="002969E0"/>
    <w:rsid w:val="00296E3D"/>
    <w:rsid w:val="00297168"/>
    <w:rsid w:val="00297459"/>
    <w:rsid w:val="002974F1"/>
    <w:rsid w:val="0029771E"/>
    <w:rsid w:val="00297746"/>
    <w:rsid w:val="00297C6F"/>
    <w:rsid w:val="00297D83"/>
    <w:rsid w:val="00297E8E"/>
    <w:rsid w:val="002A07FC"/>
    <w:rsid w:val="002A11F4"/>
    <w:rsid w:val="002A13F7"/>
    <w:rsid w:val="002A1951"/>
    <w:rsid w:val="002A1D63"/>
    <w:rsid w:val="002A246F"/>
    <w:rsid w:val="002A2896"/>
    <w:rsid w:val="002A289C"/>
    <w:rsid w:val="002A2D3C"/>
    <w:rsid w:val="002A31F9"/>
    <w:rsid w:val="002A3DE7"/>
    <w:rsid w:val="002A4001"/>
    <w:rsid w:val="002A417A"/>
    <w:rsid w:val="002A418D"/>
    <w:rsid w:val="002A4206"/>
    <w:rsid w:val="002A4979"/>
    <w:rsid w:val="002A4C6F"/>
    <w:rsid w:val="002A50FC"/>
    <w:rsid w:val="002A5216"/>
    <w:rsid w:val="002A531A"/>
    <w:rsid w:val="002A5C4E"/>
    <w:rsid w:val="002A61AE"/>
    <w:rsid w:val="002A631E"/>
    <w:rsid w:val="002A6405"/>
    <w:rsid w:val="002A6E0C"/>
    <w:rsid w:val="002A7491"/>
    <w:rsid w:val="002A76F6"/>
    <w:rsid w:val="002A79C8"/>
    <w:rsid w:val="002A7D84"/>
    <w:rsid w:val="002B0FF8"/>
    <w:rsid w:val="002B13F4"/>
    <w:rsid w:val="002B150B"/>
    <w:rsid w:val="002B15D7"/>
    <w:rsid w:val="002B1BBA"/>
    <w:rsid w:val="002B1CCA"/>
    <w:rsid w:val="002B217D"/>
    <w:rsid w:val="002B219A"/>
    <w:rsid w:val="002B2378"/>
    <w:rsid w:val="002B28E8"/>
    <w:rsid w:val="002B2A5D"/>
    <w:rsid w:val="002B2C43"/>
    <w:rsid w:val="002B2D79"/>
    <w:rsid w:val="002B2EBD"/>
    <w:rsid w:val="002B3089"/>
    <w:rsid w:val="002B3AD1"/>
    <w:rsid w:val="002B3E11"/>
    <w:rsid w:val="002B4095"/>
    <w:rsid w:val="002B46C7"/>
    <w:rsid w:val="002B4CD8"/>
    <w:rsid w:val="002B4F52"/>
    <w:rsid w:val="002B5425"/>
    <w:rsid w:val="002B56E3"/>
    <w:rsid w:val="002B59BB"/>
    <w:rsid w:val="002B59F2"/>
    <w:rsid w:val="002B5CD0"/>
    <w:rsid w:val="002B7274"/>
    <w:rsid w:val="002B7524"/>
    <w:rsid w:val="002B7863"/>
    <w:rsid w:val="002B7B10"/>
    <w:rsid w:val="002C0103"/>
    <w:rsid w:val="002C037C"/>
    <w:rsid w:val="002C092D"/>
    <w:rsid w:val="002C0FC0"/>
    <w:rsid w:val="002C14A8"/>
    <w:rsid w:val="002C191E"/>
    <w:rsid w:val="002C1F73"/>
    <w:rsid w:val="002C2051"/>
    <w:rsid w:val="002C2455"/>
    <w:rsid w:val="002C2B74"/>
    <w:rsid w:val="002C2BC2"/>
    <w:rsid w:val="002C31DC"/>
    <w:rsid w:val="002C367E"/>
    <w:rsid w:val="002C36E1"/>
    <w:rsid w:val="002C3C5C"/>
    <w:rsid w:val="002C3FE6"/>
    <w:rsid w:val="002C402A"/>
    <w:rsid w:val="002C4050"/>
    <w:rsid w:val="002C4155"/>
    <w:rsid w:val="002C4289"/>
    <w:rsid w:val="002C46FB"/>
    <w:rsid w:val="002C4855"/>
    <w:rsid w:val="002C491B"/>
    <w:rsid w:val="002C4A89"/>
    <w:rsid w:val="002C53BC"/>
    <w:rsid w:val="002C5400"/>
    <w:rsid w:val="002C5A06"/>
    <w:rsid w:val="002C5C2B"/>
    <w:rsid w:val="002C69FF"/>
    <w:rsid w:val="002C72A2"/>
    <w:rsid w:val="002C744A"/>
    <w:rsid w:val="002C74AF"/>
    <w:rsid w:val="002C74C5"/>
    <w:rsid w:val="002C79B0"/>
    <w:rsid w:val="002C7BCA"/>
    <w:rsid w:val="002D01D7"/>
    <w:rsid w:val="002D05AA"/>
    <w:rsid w:val="002D072C"/>
    <w:rsid w:val="002D0E87"/>
    <w:rsid w:val="002D1205"/>
    <w:rsid w:val="002D18F7"/>
    <w:rsid w:val="002D1F7E"/>
    <w:rsid w:val="002D22CC"/>
    <w:rsid w:val="002D25CD"/>
    <w:rsid w:val="002D26DD"/>
    <w:rsid w:val="002D2746"/>
    <w:rsid w:val="002D287D"/>
    <w:rsid w:val="002D2A34"/>
    <w:rsid w:val="002D2C82"/>
    <w:rsid w:val="002D3607"/>
    <w:rsid w:val="002D3810"/>
    <w:rsid w:val="002D38A1"/>
    <w:rsid w:val="002D3C52"/>
    <w:rsid w:val="002D3DE0"/>
    <w:rsid w:val="002D40EC"/>
    <w:rsid w:val="002D43AD"/>
    <w:rsid w:val="002D447A"/>
    <w:rsid w:val="002D4555"/>
    <w:rsid w:val="002D456E"/>
    <w:rsid w:val="002D47C6"/>
    <w:rsid w:val="002D4C7F"/>
    <w:rsid w:val="002D5CD7"/>
    <w:rsid w:val="002D5E55"/>
    <w:rsid w:val="002D6A86"/>
    <w:rsid w:val="002D6F4C"/>
    <w:rsid w:val="002D7214"/>
    <w:rsid w:val="002D726B"/>
    <w:rsid w:val="002D73BB"/>
    <w:rsid w:val="002D7818"/>
    <w:rsid w:val="002E04FD"/>
    <w:rsid w:val="002E060A"/>
    <w:rsid w:val="002E075A"/>
    <w:rsid w:val="002E08C8"/>
    <w:rsid w:val="002E12EA"/>
    <w:rsid w:val="002E1448"/>
    <w:rsid w:val="002E16D1"/>
    <w:rsid w:val="002E18EC"/>
    <w:rsid w:val="002E199D"/>
    <w:rsid w:val="002E1AE2"/>
    <w:rsid w:val="002E1E5D"/>
    <w:rsid w:val="002E2247"/>
    <w:rsid w:val="002E23F5"/>
    <w:rsid w:val="002E2FA8"/>
    <w:rsid w:val="002E34A4"/>
    <w:rsid w:val="002E3F76"/>
    <w:rsid w:val="002E42C2"/>
    <w:rsid w:val="002E42FA"/>
    <w:rsid w:val="002E45E8"/>
    <w:rsid w:val="002E4DD9"/>
    <w:rsid w:val="002E5019"/>
    <w:rsid w:val="002E513F"/>
    <w:rsid w:val="002E61A0"/>
    <w:rsid w:val="002E69E8"/>
    <w:rsid w:val="002E6C93"/>
    <w:rsid w:val="002E6CF9"/>
    <w:rsid w:val="002E742B"/>
    <w:rsid w:val="002E74C8"/>
    <w:rsid w:val="002E767C"/>
    <w:rsid w:val="002E799E"/>
    <w:rsid w:val="002E7A39"/>
    <w:rsid w:val="002E7CAC"/>
    <w:rsid w:val="002F08C7"/>
    <w:rsid w:val="002F0D17"/>
    <w:rsid w:val="002F0E63"/>
    <w:rsid w:val="002F14C9"/>
    <w:rsid w:val="002F179F"/>
    <w:rsid w:val="002F19A9"/>
    <w:rsid w:val="002F1EE7"/>
    <w:rsid w:val="002F1F64"/>
    <w:rsid w:val="002F21AB"/>
    <w:rsid w:val="002F22E1"/>
    <w:rsid w:val="002F2892"/>
    <w:rsid w:val="002F2AE0"/>
    <w:rsid w:val="002F315C"/>
    <w:rsid w:val="002F318B"/>
    <w:rsid w:val="002F3AD7"/>
    <w:rsid w:val="002F4B41"/>
    <w:rsid w:val="002F5321"/>
    <w:rsid w:val="002F554A"/>
    <w:rsid w:val="002F5868"/>
    <w:rsid w:val="002F5ABB"/>
    <w:rsid w:val="002F639F"/>
    <w:rsid w:val="002F70F7"/>
    <w:rsid w:val="002F7161"/>
    <w:rsid w:val="002F7881"/>
    <w:rsid w:val="002F7AF0"/>
    <w:rsid w:val="002F7C70"/>
    <w:rsid w:val="002F7F0E"/>
    <w:rsid w:val="00300008"/>
    <w:rsid w:val="00300467"/>
    <w:rsid w:val="0030076E"/>
    <w:rsid w:val="00300FD9"/>
    <w:rsid w:val="00300FEA"/>
    <w:rsid w:val="0030152E"/>
    <w:rsid w:val="0030190A"/>
    <w:rsid w:val="00301AE2"/>
    <w:rsid w:val="00302091"/>
    <w:rsid w:val="003026A2"/>
    <w:rsid w:val="003026AC"/>
    <w:rsid w:val="003032A9"/>
    <w:rsid w:val="00303441"/>
    <w:rsid w:val="00303C5A"/>
    <w:rsid w:val="00303DE8"/>
    <w:rsid w:val="00303EBF"/>
    <w:rsid w:val="00304105"/>
    <w:rsid w:val="00304467"/>
    <w:rsid w:val="003044AF"/>
    <w:rsid w:val="00304BF4"/>
    <w:rsid w:val="00304CEF"/>
    <w:rsid w:val="003055C5"/>
    <w:rsid w:val="00305600"/>
    <w:rsid w:val="003057DC"/>
    <w:rsid w:val="00305BE5"/>
    <w:rsid w:val="00305FD9"/>
    <w:rsid w:val="0030677F"/>
    <w:rsid w:val="00306FCC"/>
    <w:rsid w:val="00307095"/>
    <w:rsid w:val="00307221"/>
    <w:rsid w:val="0030761C"/>
    <w:rsid w:val="00307AA6"/>
    <w:rsid w:val="003100A7"/>
    <w:rsid w:val="003104D2"/>
    <w:rsid w:val="0031098A"/>
    <w:rsid w:val="003110E3"/>
    <w:rsid w:val="003118C2"/>
    <w:rsid w:val="00311A42"/>
    <w:rsid w:val="00311E76"/>
    <w:rsid w:val="003121C2"/>
    <w:rsid w:val="0031240D"/>
    <w:rsid w:val="003129D6"/>
    <w:rsid w:val="003129EA"/>
    <w:rsid w:val="00312CD3"/>
    <w:rsid w:val="003130D3"/>
    <w:rsid w:val="00313425"/>
    <w:rsid w:val="00313590"/>
    <w:rsid w:val="00313639"/>
    <w:rsid w:val="00313804"/>
    <w:rsid w:val="00313DB9"/>
    <w:rsid w:val="00313F69"/>
    <w:rsid w:val="0031402E"/>
    <w:rsid w:val="0031490A"/>
    <w:rsid w:val="0031492A"/>
    <w:rsid w:val="00314A09"/>
    <w:rsid w:val="00314C6D"/>
    <w:rsid w:val="00315291"/>
    <w:rsid w:val="0031541A"/>
    <w:rsid w:val="00315476"/>
    <w:rsid w:val="003156BD"/>
    <w:rsid w:val="0031594F"/>
    <w:rsid w:val="003159BE"/>
    <w:rsid w:val="00315CD8"/>
    <w:rsid w:val="00315ED1"/>
    <w:rsid w:val="00315EF3"/>
    <w:rsid w:val="003164C3"/>
    <w:rsid w:val="003167B3"/>
    <w:rsid w:val="00316895"/>
    <w:rsid w:val="00316BC9"/>
    <w:rsid w:val="00316E6D"/>
    <w:rsid w:val="003172B2"/>
    <w:rsid w:val="0031745F"/>
    <w:rsid w:val="00317BA5"/>
    <w:rsid w:val="00320CAA"/>
    <w:rsid w:val="003212DB"/>
    <w:rsid w:val="00321517"/>
    <w:rsid w:val="0032163B"/>
    <w:rsid w:val="00321BD7"/>
    <w:rsid w:val="00321E30"/>
    <w:rsid w:val="00321F90"/>
    <w:rsid w:val="003223B1"/>
    <w:rsid w:val="003224C9"/>
    <w:rsid w:val="00322CB7"/>
    <w:rsid w:val="00322E71"/>
    <w:rsid w:val="00322FB2"/>
    <w:rsid w:val="00323343"/>
    <w:rsid w:val="00323768"/>
    <w:rsid w:val="0032385F"/>
    <w:rsid w:val="003240A0"/>
    <w:rsid w:val="003243B4"/>
    <w:rsid w:val="00324403"/>
    <w:rsid w:val="00324FF3"/>
    <w:rsid w:val="0032546D"/>
    <w:rsid w:val="00326142"/>
    <w:rsid w:val="00326387"/>
    <w:rsid w:val="00326C14"/>
    <w:rsid w:val="00326C68"/>
    <w:rsid w:val="0032740C"/>
    <w:rsid w:val="003277FA"/>
    <w:rsid w:val="00330468"/>
    <w:rsid w:val="00330497"/>
    <w:rsid w:val="003304F3"/>
    <w:rsid w:val="00330CD8"/>
    <w:rsid w:val="003313C0"/>
    <w:rsid w:val="00331864"/>
    <w:rsid w:val="003322EB"/>
    <w:rsid w:val="003326E1"/>
    <w:rsid w:val="0033290E"/>
    <w:rsid w:val="00332AA2"/>
    <w:rsid w:val="00333193"/>
    <w:rsid w:val="00333290"/>
    <w:rsid w:val="00333A2B"/>
    <w:rsid w:val="00333F53"/>
    <w:rsid w:val="003344DF"/>
    <w:rsid w:val="0033493A"/>
    <w:rsid w:val="00336123"/>
    <w:rsid w:val="00336F40"/>
    <w:rsid w:val="00337002"/>
    <w:rsid w:val="00337195"/>
    <w:rsid w:val="0033739B"/>
    <w:rsid w:val="0033765C"/>
    <w:rsid w:val="00337BF8"/>
    <w:rsid w:val="00337CB8"/>
    <w:rsid w:val="00337DD9"/>
    <w:rsid w:val="0034055B"/>
    <w:rsid w:val="00340D15"/>
    <w:rsid w:val="00340DF5"/>
    <w:rsid w:val="003411BF"/>
    <w:rsid w:val="003416B4"/>
    <w:rsid w:val="0034175D"/>
    <w:rsid w:val="0034196E"/>
    <w:rsid w:val="00341C04"/>
    <w:rsid w:val="00341E8E"/>
    <w:rsid w:val="00342C72"/>
    <w:rsid w:val="003438D4"/>
    <w:rsid w:val="00343EA6"/>
    <w:rsid w:val="00344470"/>
    <w:rsid w:val="0034449F"/>
    <w:rsid w:val="003444C5"/>
    <w:rsid w:val="003444DC"/>
    <w:rsid w:val="00344A26"/>
    <w:rsid w:val="00344C14"/>
    <w:rsid w:val="00344CBF"/>
    <w:rsid w:val="00344D57"/>
    <w:rsid w:val="00344D69"/>
    <w:rsid w:val="00345256"/>
    <w:rsid w:val="003454FD"/>
    <w:rsid w:val="00345F6F"/>
    <w:rsid w:val="00345F7E"/>
    <w:rsid w:val="0034684E"/>
    <w:rsid w:val="00346FCB"/>
    <w:rsid w:val="00347114"/>
    <w:rsid w:val="00347D2B"/>
    <w:rsid w:val="00347DD2"/>
    <w:rsid w:val="00347DFF"/>
    <w:rsid w:val="00350366"/>
    <w:rsid w:val="00350521"/>
    <w:rsid w:val="00350898"/>
    <w:rsid w:val="003508DB"/>
    <w:rsid w:val="00350C38"/>
    <w:rsid w:val="00350EB7"/>
    <w:rsid w:val="0035169B"/>
    <w:rsid w:val="003519D3"/>
    <w:rsid w:val="00352A1B"/>
    <w:rsid w:val="00352AFB"/>
    <w:rsid w:val="00352CE1"/>
    <w:rsid w:val="0035306F"/>
    <w:rsid w:val="003534D2"/>
    <w:rsid w:val="00353713"/>
    <w:rsid w:val="00353F2E"/>
    <w:rsid w:val="0035445C"/>
    <w:rsid w:val="0035459A"/>
    <w:rsid w:val="00354677"/>
    <w:rsid w:val="003546F1"/>
    <w:rsid w:val="00354BBB"/>
    <w:rsid w:val="0035512B"/>
    <w:rsid w:val="00355574"/>
    <w:rsid w:val="003555AD"/>
    <w:rsid w:val="003558EE"/>
    <w:rsid w:val="003559BA"/>
    <w:rsid w:val="00355D6E"/>
    <w:rsid w:val="003565F4"/>
    <w:rsid w:val="00356E98"/>
    <w:rsid w:val="003570AE"/>
    <w:rsid w:val="0035712B"/>
    <w:rsid w:val="003576A4"/>
    <w:rsid w:val="00357E1C"/>
    <w:rsid w:val="00357EB9"/>
    <w:rsid w:val="003602EB"/>
    <w:rsid w:val="00360355"/>
    <w:rsid w:val="003603EB"/>
    <w:rsid w:val="00360764"/>
    <w:rsid w:val="00360D6C"/>
    <w:rsid w:val="0036135D"/>
    <w:rsid w:val="0036142C"/>
    <w:rsid w:val="00361DE3"/>
    <w:rsid w:val="00361E4E"/>
    <w:rsid w:val="0036233A"/>
    <w:rsid w:val="003623CA"/>
    <w:rsid w:val="003624C9"/>
    <w:rsid w:val="00362C6B"/>
    <w:rsid w:val="00362CF1"/>
    <w:rsid w:val="00363065"/>
    <w:rsid w:val="00363ACA"/>
    <w:rsid w:val="00363C18"/>
    <w:rsid w:val="00363CA8"/>
    <w:rsid w:val="00363D61"/>
    <w:rsid w:val="00363DF6"/>
    <w:rsid w:val="003646C7"/>
    <w:rsid w:val="00364716"/>
    <w:rsid w:val="00364786"/>
    <w:rsid w:val="00364921"/>
    <w:rsid w:val="003649B4"/>
    <w:rsid w:val="00364C0B"/>
    <w:rsid w:val="00364FA7"/>
    <w:rsid w:val="003650DA"/>
    <w:rsid w:val="0036568B"/>
    <w:rsid w:val="00365797"/>
    <w:rsid w:val="003658A5"/>
    <w:rsid w:val="00365A0A"/>
    <w:rsid w:val="00365A52"/>
    <w:rsid w:val="00366E23"/>
    <w:rsid w:val="0036754F"/>
    <w:rsid w:val="003675CE"/>
    <w:rsid w:val="003677EB"/>
    <w:rsid w:val="00367946"/>
    <w:rsid w:val="00370280"/>
    <w:rsid w:val="00370514"/>
    <w:rsid w:val="003708CA"/>
    <w:rsid w:val="003710BF"/>
    <w:rsid w:val="003711BF"/>
    <w:rsid w:val="00371702"/>
    <w:rsid w:val="00372647"/>
    <w:rsid w:val="0037288A"/>
    <w:rsid w:val="0037368A"/>
    <w:rsid w:val="0037375D"/>
    <w:rsid w:val="00373808"/>
    <w:rsid w:val="00373ADE"/>
    <w:rsid w:val="003741A4"/>
    <w:rsid w:val="003742C3"/>
    <w:rsid w:val="003743A4"/>
    <w:rsid w:val="00374AC4"/>
    <w:rsid w:val="00374B9E"/>
    <w:rsid w:val="00374E16"/>
    <w:rsid w:val="00374F2A"/>
    <w:rsid w:val="003752D5"/>
    <w:rsid w:val="003753A0"/>
    <w:rsid w:val="003756D6"/>
    <w:rsid w:val="0037578C"/>
    <w:rsid w:val="003759F0"/>
    <w:rsid w:val="00375C68"/>
    <w:rsid w:val="00375E30"/>
    <w:rsid w:val="0037606D"/>
    <w:rsid w:val="003762D5"/>
    <w:rsid w:val="00376667"/>
    <w:rsid w:val="00376BC5"/>
    <w:rsid w:val="00376CB5"/>
    <w:rsid w:val="003771B3"/>
    <w:rsid w:val="003771CC"/>
    <w:rsid w:val="003773FA"/>
    <w:rsid w:val="0037774D"/>
    <w:rsid w:val="00377E20"/>
    <w:rsid w:val="003808BE"/>
    <w:rsid w:val="0038177A"/>
    <w:rsid w:val="003819C7"/>
    <w:rsid w:val="0038205E"/>
    <w:rsid w:val="003824AD"/>
    <w:rsid w:val="00382918"/>
    <w:rsid w:val="00383449"/>
    <w:rsid w:val="003835E0"/>
    <w:rsid w:val="00383A7F"/>
    <w:rsid w:val="00383FD8"/>
    <w:rsid w:val="00384417"/>
    <w:rsid w:val="00384973"/>
    <w:rsid w:val="00384AA6"/>
    <w:rsid w:val="00384BE2"/>
    <w:rsid w:val="00384FE5"/>
    <w:rsid w:val="003850E1"/>
    <w:rsid w:val="00385D19"/>
    <w:rsid w:val="0038603E"/>
    <w:rsid w:val="003860AA"/>
    <w:rsid w:val="00386147"/>
    <w:rsid w:val="003866B4"/>
    <w:rsid w:val="0038769B"/>
    <w:rsid w:val="00387854"/>
    <w:rsid w:val="00387895"/>
    <w:rsid w:val="003879E6"/>
    <w:rsid w:val="00387ECD"/>
    <w:rsid w:val="0039002A"/>
    <w:rsid w:val="0039025B"/>
    <w:rsid w:val="003902F3"/>
    <w:rsid w:val="003907B4"/>
    <w:rsid w:val="00390938"/>
    <w:rsid w:val="00390B10"/>
    <w:rsid w:val="00391290"/>
    <w:rsid w:val="00391D36"/>
    <w:rsid w:val="00392020"/>
    <w:rsid w:val="00392475"/>
    <w:rsid w:val="003924A0"/>
    <w:rsid w:val="00392529"/>
    <w:rsid w:val="0039272C"/>
    <w:rsid w:val="00392743"/>
    <w:rsid w:val="003928EC"/>
    <w:rsid w:val="003929A6"/>
    <w:rsid w:val="00392B10"/>
    <w:rsid w:val="003932AB"/>
    <w:rsid w:val="00393D0E"/>
    <w:rsid w:val="00393FA9"/>
    <w:rsid w:val="003944BF"/>
    <w:rsid w:val="00395159"/>
    <w:rsid w:val="00395BB6"/>
    <w:rsid w:val="00395BFA"/>
    <w:rsid w:val="00395E12"/>
    <w:rsid w:val="003965D3"/>
    <w:rsid w:val="0039674B"/>
    <w:rsid w:val="003968DD"/>
    <w:rsid w:val="00396958"/>
    <w:rsid w:val="00396D3C"/>
    <w:rsid w:val="00396E4F"/>
    <w:rsid w:val="00397147"/>
    <w:rsid w:val="00397180"/>
    <w:rsid w:val="00397452"/>
    <w:rsid w:val="00397FA7"/>
    <w:rsid w:val="003A00EF"/>
    <w:rsid w:val="003A045C"/>
    <w:rsid w:val="003A105D"/>
    <w:rsid w:val="003A174A"/>
    <w:rsid w:val="003A264A"/>
    <w:rsid w:val="003A2AFC"/>
    <w:rsid w:val="003A3073"/>
    <w:rsid w:val="003A308F"/>
    <w:rsid w:val="003A334B"/>
    <w:rsid w:val="003A336A"/>
    <w:rsid w:val="003A33CA"/>
    <w:rsid w:val="003A385C"/>
    <w:rsid w:val="003A3BE8"/>
    <w:rsid w:val="003A3C41"/>
    <w:rsid w:val="003A3DA6"/>
    <w:rsid w:val="003A4274"/>
    <w:rsid w:val="003A4967"/>
    <w:rsid w:val="003A4968"/>
    <w:rsid w:val="003A4B43"/>
    <w:rsid w:val="003A4C85"/>
    <w:rsid w:val="003A50CC"/>
    <w:rsid w:val="003A515D"/>
    <w:rsid w:val="003A51F6"/>
    <w:rsid w:val="003A6161"/>
    <w:rsid w:val="003A656E"/>
    <w:rsid w:val="003A65D2"/>
    <w:rsid w:val="003A6999"/>
    <w:rsid w:val="003A70FD"/>
    <w:rsid w:val="003A71BA"/>
    <w:rsid w:val="003A7661"/>
    <w:rsid w:val="003A77E8"/>
    <w:rsid w:val="003A7F06"/>
    <w:rsid w:val="003A7F12"/>
    <w:rsid w:val="003B0471"/>
    <w:rsid w:val="003B0938"/>
    <w:rsid w:val="003B0A4C"/>
    <w:rsid w:val="003B1724"/>
    <w:rsid w:val="003B1874"/>
    <w:rsid w:val="003B19D6"/>
    <w:rsid w:val="003B2532"/>
    <w:rsid w:val="003B2F93"/>
    <w:rsid w:val="003B310E"/>
    <w:rsid w:val="003B3896"/>
    <w:rsid w:val="003B3A85"/>
    <w:rsid w:val="003B3E41"/>
    <w:rsid w:val="003B3F04"/>
    <w:rsid w:val="003B4178"/>
    <w:rsid w:val="003B4195"/>
    <w:rsid w:val="003B460C"/>
    <w:rsid w:val="003B46F3"/>
    <w:rsid w:val="003B4855"/>
    <w:rsid w:val="003B4F4C"/>
    <w:rsid w:val="003B4FEA"/>
    <w:rsid w:val="003B53C8"/>
    <w:rsid w:val="003B59BA"/>
    <w:rsid w:val="003B5C06"/>
    <w:rsid w:val="003B5C51"/>
    <w:rsid w:val="003B60C1"/>
    <w:rsid w:val="003B63DA"/>
    <w:rsid w:val="003B68F2"/>
    <w:rsid w:val="003B6BBB"/>
    <w:rsid w:val="003B72FD"/>
    <w:rsid w:val="003B7334"/>
    <w:rsid w:val="003B7875"/>
    <w:rsid w:val="003C05E1"/>
    <w:rsid w:val="003C085D"/>
    <w:rsid w:val="003C0D99"/>
    <w:rsid w:val="003C0E77"/>
    <w:rsid w:val="003C1A7C"/>
    <w:rsid w:val="003C1DF0"/>
    <w:rsid w:val="003C2124"/>
    <w:rsid w:val="003C237F"/>
    <w:rsid w:val="003C24DA"/>
    <w:rsid w:val="003C27F1"/>
    <w:rsid w:val="003C28F0"/>
    <w:rsid w:val="003C291D"/>
    <w:rsid w:val="003C29F5"/>
    <w:rsid w:val="003C33F5"/>
    <w:rsid w:val="003C367D"/>
    <w:rsid w:val="003C3CD2"/>
    <w:rsid w:val="003C40B8"/>
    <w:rsid w:val="003C40F1"/>
    <w:rsid w:val="003C4A60"/>
    <w:rsid w:val="003C4C28"/>
    <w:rsid w:val="003C4E3D"/>
    <w:rsid w:val="003C52A9"/>
    <w:rsid w:val="003C53E7"/>
    <w:rsid w:val="003C548F"/>
    <w:rsid w:val="003C6540"/>
    <w:rsid w:val="003C6BB0"/>
    <w:rsid w:val="003C6CF3"/>
    <w:rsid w:val="003C705F"/>
    <w:rsid w:val="003C75C6"/>
    <w:rsid w:val="003C7956"/>
    <w:rsid w:val="003C7A6F"/>
    <w:rsid w:val="003C7D4D"/>
    <w:rsid w:val="003C7E15"/>
    <w:rsid w:val="003C7F80"/>
    <w:rsid w:val="003D02B6"/>
    <w:rsid w:val="003D0332"/>
    <w:rsid w:val="003D0825"/>
    <w:rsid w:val="003D0B9E"/>
    <w:rsid w:val="003D1676"/>
    <w:rsid w:val="003D1BF2"/>
    <w:rsid w:val="003D20DE"/>
    <w:rsid w:val="003D299E"/>
    <w:rsid w:val="003D2EFC"/>
    <w:rsid w:val="003D3538"/>
    <w:rsid w:val="003D3A77"/>
    <w:rsid w:val="003D3D0A"/>
    <w:rsid w:val="003D432D"/>
    <w:rsid w:val="003D4646"/>
    <w:rsid w:val="003D4CFE"/>
    <w:rsid w:val="003D4FBC"/>
    <w:rsid w:val="003D67AA"/>
    <w:rsid w:val="003D67CB"/>
    <w:rsid w:val="003D6DA7"/>
    <w:rsid w:val="003D6DCB"/>
    <w:rsid w:val="003D726E"/>
    <w:rsid w:val="003D768C"/>
    <w:rsid w:val="003D7D75"/>
    <w:rsid w:val="003E0776"/>
    <w:rsid w:val="003E083B"/>
    <w:rsid w:val="003E0D13"/>
    <w:rsid w:val="003E1032"/>
    <w:rsid w:val="003E163C"/>
    <w:rsid w:val="003E1845"/>
    <w:rsid w:val="003E1EF7"/>
    <w:rsid w:val="003E1F6D"/>
    <w:rsid w:val="003E23C6"/>
    <w:rsid w:val="003E306C"/>
    <w:rsid w:val="003E3750"/>
    <w:rsid w:val="003E3D6E"/>
    <w:rsid w:val="003E4048"/>
    <w:rsid w:val="003E426B"/>
    <w:rsid w:val="003E4370"/>
    <w:rsid w:val="003E4392"/>
    <w:rsid w:val="003E43E2"/>
    <w:rsid w:val="003E44A8"/>
    <w:rsid w:val="003E5192"/>
    <w:rsid w:val="003E5774"/>
    <w:rsid w:val="003E594F"/>
    <w:rsid w:val="003E5984"/>
    <w:rsid w:val="003E599E"/>
    <w:rsid w:val="003E5B76"/>
    <w:rsid w:val="003E5B9C"/>
    <w:rsid w:val="003E5BCF"/>
    <w:rsid w:val="003E61C4"/>
    <w:rsid w:val="003E63EF"/>
    <w:rsid w:val="003E66F5"/>
    <w:rsid w:val="003E72FC"/>
    <w:rsid w:val="003E73A3"/>
    <w:rsid w:val="003E77F0"/>
    <w:rsid w:val="003E7DF1"/>
    <w:rsid w:val="003E7F52"/>
    <w:rsid w:val="003F0B35"/>
    <w:rsid w:val="003F0EE0"/>
    <w:rsid w:val="003F0F3C"/>
    <w:rsid w:val="003F1419"/>
    <w:rsid w:val="003F141B"/>
    <w:rsid w:val="003F17ED"/>
    <w:rsid w:val="003F1B44"/>
    <w:rsid w:val="003F1FBB"/>
    <w:rsid w:val="003F2A85"/>
    <w:rsid w:val="003F2C84"/>
    <w:rsid w:val="003F2CE8"/>
    <w:rsid w:val="003F3680"/>
    <w:rsid w:val="003F42AE"/>
    <w:rsid w:val="003F441D"/>
    <w:rsid w:val="003F469E"/>
    <w:rsid w:val="003F4C20"/>
    <w:rsid w:val="003F4F46"/>
    <w:rsid w:val="003F52CA"/>
    <w:rsid w:val="003F5618"/>
    <w:rsid w:val="003F5A53"/>
    <w:rsid w:val="003F5BC4"/>
    <w:rsid w:val="003F6425"/>
    <w:rsid w:val="003F64D8"/>
    <w:rsid w:val="003F69A7"/>
    <w:rsid w:val="003F69B9"/>
    <w:rsid w:val="003F6A44"/>
    <w:rsid w:val="003F6F4F"/>
    <w:rsid w:val="003F7019"/>
    <w:rsid w:val="003F71D1"/>
    <w:rsid w:val="00400671"/>
    <w:rsid w:val="00400818"/>
    <w:rsid w:val="00400C88"/>
    <w:rsid w:val="00400CA8"/>
    <w:rsid w:val="00400EE1"/>
    <w:rsid w:val="004010CC"/>
    <w:rsid w:val="004011F5"/>
    <w:rsid w:val="00401440"/>
    <w:rsid w:val="004014E5"/>
    <w:rsid w:val="004019D2"/>
    <w:rsid w:val="00401D19"/>
    <w:rsid w:val="00402474"/>
    <w:rsid w:val="00402D37"/>
    <w:rsid w:val="00402EAF"/>
    <w:rsid w:val="0040366D"/>
    <w:rsid w:val="00403DD6"/>
    <w:rsid w:val="00403F3E"/>
    <w:rsid w:val="0040463E"/>
    <w:rsid w:val="00404C8C"/>
    <w:rsid w:val="00405129"/>
    <w:rsid w:val="00405368"/>
    <w:rsid w:val="0040539E"/>
    <w:rsid w:val="004056D3"/>
    <w:rsid w:val="00405889"/>
    <w:rsid w:val="00405A7A"/>
    <w:rsid w:val="00405EC5"/>
    <w:rsid w:val="00405F04"/>
    <w:rsid w:val="00406028"/>
    <w:rsid w:val="00406560"/>
    <w:rsid w:val="00406B8C"/>
    <w:rsid w:val="004070B2"/>
    <w:rsid w:val="0040743A"/>
    <w:rsid w:val="00407CAB"/>
    <w:rsid w:val="00410080"/>
    <w:rsid w:val="0041017A"/>
    <w:rsid w:val="004102EC"/>
    <w:rsid w:val="00410393"/>
    <w:rsid w:val="004109CB"/>
    <w:rsid w:val="00411213"/>
    <w:rsid w:val="00411500"/>
    <w:rsid w:val="00411932"/>
    <w:rsid w:val="00411A5E"/>
    <w:rsid w:val="00411BA8"/>
    <w:rsid w:val="004121BA"/>
    <w:rsid w:val="0041264B"/>
    <w:rsid w:val="00412EC3"/>
    <w:rsid w:val="00412ED4"/>
    <w:rsid w:val="004130ED"/>
    <w:rsid w:val="00414046"/>
    <w:rsid w:val="0041427B"/>
    <w:rsid w:val="0041434A"/>
    <w:rsid w:val="0041435B"/>
    <w:rsid w:val="004145DF"/>
    <w:rsid w:val="0041478A"/>
    <w:rsid w:val="00414AEF"/>
    <w:rsid w:val="00414BCF"/>
    <w:rsid w:val="00414C7F"/>
    <w:rsid w:val="00414D0A"/>
    <w:rsid w:val="00414EFC"/>
    <w:rsid w:val="00415103"/>
    <w:rsid w:val="004158BA"/>
    <w:rsid w:val="00415F11"/>
    <w:rsid w:val="00416078"/>
    <w:rsid w:val="0041614D"/>
    <w:rsid w:val="004163E3"/>
    <w:rsid w:val="0041699C"/>
    <w:rsid w:val="00416C6B"/>
    <w:rsid w:val="00417749"/>
    <w:rsid w:val="00417CD1"/>
    <w:rsid w:val="00417EF5"/>
    <w:rsid w:val="0042009F"/>
    <w:rsid w:val="00420EC6"/>
    <w:rsid w:val="0042100A"/>
    <w:rsid w:val="0042165B"/>
    <w:rsid w:val="00422169"/>
    <w:rsid w:val="00422408"/>
    <w:rsid w:val="0042299B"/>
    <w:rsid w:val="00422B6C"/>
    <w:rsid w:val="00422C11"/>
    <w:rsid w:val="0042319B"/>
    <w:rsid w:val="004231B4"/>
    <w:rsid w:val="00423C87"/>
    <w:rsid w:val="00423E4D"/>
    <w:rsid w:val="00424989"/>
    <w:rsid w:val="00424A9C"/>
    <w:rsid w:val="00424BDE"/>
    <w:rsid w:val="00424E64"/>
    <w:rsid w:val="004257C6"/>
    <w:rsid w:val="00425B4E"/>
    <w:rsid w:val="0042616F"/>
    <w:rsid w:val="0042626E"/>
    <w:rsid w:val="004267FA"/>
    <w:rsid w:val="004268E3"/>
    <w:rsid w:val="00426AF5"/>
    <w:rsid w:val="00426B1A"/>
    <w:rsid w:val="004272AC"/>
    <w:rsid w:val="00427C6E"/>
    <w:rsid w:val="00427F22"/>
    <w:rsid w:val="0043001D"/>
    <w:rsid w:val="0043004E"/>
    <w:rsid w:val="004301AD"/>
    <w:rsid w:val="00430549"/>
    <w:rsid w:val="0043086F"/>
    <w:rsid w:val="00430953"/>
    <w:rsid w:val="00430C5B"/>
    <w:rsid w:val="004313DD"/>
    <w:rsid w:val="0043161E"/>
    <w:rsid w:val="00432475"/>
    <w:rsid w:val="004327B1"/>
    <w:rsid w:val="00432A23"/>
    <w:rsid w:val="00432A97"/>
    <w:rsid w:val="00432BA8"/>
    <w:rsid w:val="00432CE9"/>
    <w:rsid w:val="004330AD"/>
    <w:rsid w:val="004332FE"/>
    <w:rsid w:val="00433313"/>
    <w:rsid w:val="00433472"/>
    <w:rsid w:val="004340EA"/>
    <w:rsid w:val="00434345"/>
    <w:rsid w:val="0043477A"/>
    <w:rsid w:val="00434F2B"/>
    <w:rsid w:val="00435085"/>
    <w:rsid w:val="0043556D"/>
    <w:rsid w:val="004365B2"/>
    <w:rsid w:val="004366C9"/>
    <w:rsid w:val="0043670E"/>
    <w:rsid w:val="00436805"/>
    <w:rsid w:val="00436A3E"/>
    <w:rsid w:val="00437068"/>
    <w:rsid w:val="004370A2"/>
    <w:rsid w:val="00437366"/>
    <w:rsid w:val="004375D8"/>
    <w:rsid w:val="004378F6"/>
    <w:rsid w:val="00437D5F"/>
    <w:rsid w:val="00437E3C"/>
    <w:rsid w:val="0044019E"/>
    <w:rsid w:val="00440A1F"/>
    <w:rsid w:val="00440AA5"/>
    <w:rsid w:val="00440DB5"/>
    <w:rsid w:val="00441417"/>
    <w:rsid w:val="004415D2"/>
    <w:rsid w:val="004415E2"/>
    <w:rsid w:val="0044178C"/>
    <w:rsid w:val="00441909"/>
    <w:rsid w:val="004419C4"/>
    <w:rsid w:val="00441F02"/>
    <w:rsid w:val="00442201"/>
    <w:rsid w:val="0044244D"/>
    <w:rsid w:val="0044267B"/>
    <w:rsid w:val="00442D04"/>
    <w:rsid w:val="0044370E"/>
    <w:rsid w:val="004443A8"/>
    <w:rsid w:val="0044441F"/>
    <w:rsid w:val="004445F8"/>
    <w:rsid w:val="00444AD3"/>
    <w:rsid w:val="004452D6"/>
    <w:rsid w:val="004453F3"/>
    <w:rsid w:val="0044553A"/>
    <w:rsid w:val="00445551"/>
    <w:rsid w:val="00445582"/>
    <w:rsid w:val="004456DF"/>
    <w:rsid w:val="004458C3"/>
    <w:rsid w:val="00445B76"/>
    <w:rsid w:val="00445C6C"/>
    <w:rsid w:val="00446225"/>
    <w:rsid w:val="0044684C"/>
    <w:rsid w:val="00446AEA"/>
    <w:rsid w:val="00446BE3"/>
    <w:rsid w:val="00446EC1"/>
    <w:rsid w:val="00447EF3"/>
    <w:rsid w:val="004501C1"/>
    <w:rsid w:val="00450478"/>
    <w:rsid w:val="004510DF"/>
    <w:rsid w:val="0045114D"/>
    <w:rsid w:val="004516BD"/>
    <w:rsid w:val="0045285F"/>
    <w:rsid w:val="00452AD8"/>
    <w:rsid w:val="00452C70"/>
    <w:rsid w:val="00452D24"/>
    <w:rsid w:val="00452E46"/>
    <w:rsid w:val="00452F4C"/>
    <w:rsid w:val="004532C6"/>
    <w:rsid w:val="004534F7"/>
    <w:rsid w:val="00453A61"/>
    <w:rsid w:val="00454A7A"/>
    <w:rsid w:val="00454DE4"/>
    <w:rsid w:val="00455339"/>
    <w:rsid w:val="00455451"/>
    <w:rsid w:val="004556B1"/>
    <w:rsid w:val="004562E7"/>
    <w:rsid w:val="0045701B"/>
    <w:rsid w:val="00457212"/>
    <w:rsid w:val="0045748F"/>
    <w:rsid w:val="00457775"/>
    <w:rsid w:val="00457782"/>
    <w:rsid w:val="00457BF7"/>
    <w:rsid w:val="00457F1E"/>
    <w:rsid w:val="004601AA"/>
    <w:rsid w:val="004601FB"/>
    <w:rsid w:val="0046023D"/>
    <w:rsid w:val="00460682"/>
    <w:rsid w:val="00460B6C"/>
    <w:rsid w:val="00460CA6"/>
    <w:rsid w:val="00460E06"/>
    <w:rsid w:val="00460F98"/>
    <w:rsid w:val="004611FE"/>
    <w:rsid w:val="0046133B"/>
    <w:rsid w:val="004616C1"/>
    <w:rsid w:val="004619AB"/>
    <w:rsid w:val="00461D64"/>
    <w:rsid w:val="004620C2"/>
    <w:rsid w:val="004623DB"/>
    <w:rsid w:val="004623DC"/>
    <w:rsid w:val="004628C5"/>
    <w:rsid w:val="004629CB"/>
    <w:rsid w:val="00462D4F"/>
    <w:rsid w:val="00462E76"/>
    <w:rsid w:val="00463835"/>
    <w:rsid w:val="0046389B"/>
    <w:rsid w:val="00463BA0"/>
    <w:rsid w:val="00464152"/>
    <w:rsid w:val="00464CDE"/>
    <w:rsid w:val="0046503E"/>
    <w:rsid w:val="00465873"/>
    <w:rsid w:val="00465977"/>
    <w:rsid w:val="00465B33"/>
    <w:rsid w:val="00465B4D"/>
    <w:rsid w:val="00465DA8"/>
    <w:rsid w:val="004664B6"/>
    <w:rsid w:val="00466510"/>
    <w:rsid w:val="00466612"/>
    <w:rsid w:val="004669E6"/>
    <w:rsid w:val="00466EE1"/>
    <w:rsid w:val="00467170"/>
    <w:rsid w:val="004675AE"/>
    <w:rsid w:val="004677DE"/>
    <w:rsid w:val="00467E88"/>
    <w:rsid w:val="00470280"/>
    <w:rsid w:val="00470369"/>
    <w:rsid w:val="00470880"/>
    <w:rsid w:val="00470895"/>
    <w:rsid w:val="004710FC"/>
    <w:rsid w:val="00471181"/>
    <w:rsid w:val="0047127A"/>
    <w:rsid w:val="00471611"/>
    <w:rsid w:val="00471904"/>
    <w:rsid w:val="004722E8"/>
    <w:rsid w:val="00472921"/>
    <w:rsid w:val="004734B5"/>
    <w:rsid w:val="00473900"/>
    <w:rsid w:val="00473D06"/>
    <w:rsid w:val="0047433A"/>
    <w:rsid w:val="00474653"/>
    <w:rsid w:val="00474B58"/>
    <w:rsid w:val="004753E1"/>
    <w:rsid w:val="004758D3"/>
    <w:rsid w:val="00475CEA"/>
    <w:rsid w:val="00475CF7"/>
    <w:rsid w:val="00475D86"/>
    <w:rsid w:val="00475E43"/>
    <w:rsid w:val="00475ECD"/>
    <w:rsid w:val="00475F24"/>
    <w:rsid w:val="004765DD"/>
    <w:rsid w:val="00476F05"/>
    <w:rsid w:val="0047731B"/>
    <w:rsid w:val="004777AE"/>
    <w:rsid w:val="00477E7F"/>
    <w:rsid w:val="00477F4A"/>
    <w:rsid w:val="00480085"/>
    <w:rsid w:val="00480280"/>
    <w:rsid w:val="004805B8"/>
    <w:rsid w:val="0048087F"/>
    <w:rsid w:val="004813E0"/>
    <w:rsid w:val="0048193E"/>
    <w:rsid w:val="004824DC"/>
    <w:rsid w:val="004827B3"/>
    <w:rsid w:val="004827C7"/>
    <w:rsid w:val="00482A1B"/>
    <w:rsid w:val="0048338B"/>
    <w:rsid w:val="00483B4A"/>
    <w:rsid w:val="00483EE1"/>
    <w:rsid w:val="004840EF"/>
    <w:rsid w:val="0048417A"/>
    <w:rsid w:val="00484190"/>
    <w:rsid w:val="00484241"/>
    <w:rsid w:val="004843C6"/>
    <w:rsid w:val="00484A64"/>
    <w:rsid w:val="00484BF8"/>
    <w:rsid w:val="00484F78"/>
    <w:rsid w:val="00484FB1"/>
    <w:rsid w:val="00485081"/>
    <w:rsid w:val="00485274"/>
    <w:rsid w:val="0048568C"/>
    <w:rsid w:val="00485AB1"/>
    <w:rsid w:val="00485C76"/>
    <w:rsid w:val="00485D6C"/>
    <w:rsid w:val="00485EEF"/>
    <w:rsid w:val="00486300"/>
    <w:rsid w:val="004863CA"/>
    <w:rsid w:val="0048640D"/>
    <w:rsid w:val="0048646A"/>
    <w:rsid w:val="004864C4"/>
    <w:rsid w:val="004872E0"/>
    <w:rsid w:val="0048737A"/>
    <w:rsid w:val="004876D1"/>
    <w:rsid w:val="00487B5B"/>
    <w:rsid w:val="00487E1E"/>
    <w:rsid w:val="004902AC"/>
    <w:rsid w:val="00490AA8"/>
    <w:rsid w:val="00490DED"/>
    <w:rsid w:val="00490E57"/>
    <w:rsid w:val="00491190"/>
    <w:rsid w:val="00491689"/>
    <w:rsid w:val="00491BEE"/>
    <w:rsid w:val="00491D77"/>
    <w:rsid w:val="00491EF0"/>
    <w:rsid w:val="00492D15"/>
    <w:rsid w:val="004935AA"/>
    <w:rsid w:val="00493978"/>
    <w:rsid w:val="00493B0C"/>
    <w:rsid w:val="00493FAF"/>
    <w:rsid w:val="00493FBE"/>
    <w:rsid w:val="004949A6"/>
    <w:rsid w:val="0049508A"/>
    <w:rsid w:val="00495304"/>
    <w:rsid w:val="004956E3"/>
    <w:rsid w:val="00495790"/>
    <w:rsid w:val="00496447"/>
    <w:rsid w:val="004966F2"/>
    <w:rsid w:val="00496A5D"/>
    <w:rsid w:val="00496B00"/>
    <w:rsid w:val="00496B02"/>
    <w:rsid w:val="00496CDE"/>
    <w:rsid w:val="0049705F"/>
    <w:rsid w:val="0049734D"/>
    <w:rsid w:val="0049783D"/>
    <w:rsid w:val="00497FA3"/>
    <w:rsid w:val="004A05C1"/>
    <w:rsid w:val="004A08B5"/>
    <w:rsid w:val="004A0A42"/>
    <w:rsid w:val="004A1418"/>
    <w:rsid w:val="004A1980"/>
    <w:rsid w:val="004A1A86"/>
    <w:rsid w:val="004A1BBC"/>
    <w:rsid w:val="004A1C18"/>
    <w:rsid w:val="004A1F50"/>
    <w:rsid w:val="004A212A"/>
    <w:rsid w:val="004A24E5"/>
    <w:rsid w:val="004A26F9"/>
    <w:rsid w:val="004A2EE0"/>
    <w:rsid w:val="004A3525"/>
    <w:rsid w:val="004A36D7"/>
    <w:rsid w:val="004A3D59"/>
    <w:rsid w:val="004A3DBA"/>
    <w:rsid w:val="004A4103"/>
    <w:rsid w:val="004A459A"/>
    <w:rsid w:val="004A4771"/>
    <w:rsid w:val="004A4B42"/>
    <w:rsid w:val="004A4C91"/>
    <w:rsid w:val="004A4D00"/>
    <w:rsid w:val="004A55BA"/>
    <w:rsid w:val="004A5A62"/>
    <w:rsid w:val="004A60E6"/>
    <w:rsid w:val="004A67D2"/>
    <w:rsid w:val="004A6E91"/>
    <w:rsid w:val="004A768B"/>
    <w:rsid w:val="004A7BCC"/>
    <w:rsid w:val="004B049F"/>
    <w:rsid w:val="004B04EC"/>
    <w:rsid w:val="004B10E9"/>
    <w:rsid w:val="004B1191"/>
    <w:rsid w:val="004B1216"/>
    <w:rsid w:val="004B1406"/>
    <w:rsid w:val="004B200E"/>
    <w:rsid w:val="004B2141"/>
    <w:rsid w:val="004B23AD"/>
    <w:rsid w:val="004B25DF"/>
    <w:rsid w:val="004B3120"/>
    <w:rsid w:val="004B31AC"/>
    <w:rsid w:val="004B37C8"/>
    <w:rsid w:val="004B3A36"/>
    <w:rsid w:val="004B3D73"/>
    <w:rsid w:val="004B3FBA"/>
    <w:rsid w:val="004B4120"/>
    <w:rsid w:val="004B476E"/>
    <w:rsid w:val="004B47CB"/>
    <w:rsid w:val="004B4F22"/>
    <w:rsid w:val="004B5641"/>
    <w:rsid w:val="004B568B"/>
    <w:rsid w:val="004B63C2"/>
    <w:rsid w:val="004B63E8"/>
    <w:rsid w:val="004B6A46"/>
    <w:rsid w:val="004B720F"/>
    <w:rsid w:val="004B7CC5"/>
    <w:rsid w:val="004B7F75"/>
    <w:rsid w:val="004C003C"/>
    <w:rsid w:val="004C0523"/>
    <w:rsid w:val="004C1141"/>
    <w:rsid w:val="004C1220"/>
    <w:rsid w:val="004C1750"/>
    <w:rsid w:val="004C1836"/>
    <w:rsid w:val="004C1AEF"/>
    <w:rsid w:val="004C1BFF"/>
    <w:rsid w:val="004C1FB1"/>
    <w:rsid w:val="004C225A"/>
    <w:rsid w:val="004C27DD"/>
    <w:rsid w:val="004C3141"/>
    <w:rsid w:val="004C33F5"/>
    <w:rsid w:val="004C3622"/>
    <w:rsid w:val="004C3731"/>
    <w:rsid w:val="004C3E7E"/>
    <w:rsid w:val="004C44F9"/>
    <w:rsid w:val="004C46E9"/>
    <w:rsid w:val="004C48FB"/>
    <w:rsid w:val="004C49A9"/>
    <w:rsid w:val="004C4D94"/>
    <w:rsid w:val="004C5066"/>
    <w:rsid w:val="004C50BF"/>
    <w:rsid w:val="004C50EE"/>
    <w:rsid w:val="004C5578"/>
    <w:rsid w:val="004C5D67"/>
    <w:rsid w:val="004C6031"/>
    <w:rsid w:val="004C631B"/>
    <w:rsid w:val="004C669B"/>
    <w:rsid w:val="004C7264"/>
    <w:rsid w:val="004C72A4"/>
    <w:rsid w:val="004C7312"/>
    <w:rsid w:val="004D0713"/>
    <w:rsid w:val="004D0E1A"/>
    <w:rsid w:val="004D0F4D"/>
    <w:rsid w:val="004D12D7"/>
    <w:rsid w:val="004D1302"/>
    <w:rsid w:val="004D16F6"/>
    <w:rsid w:val="004D1A30"/>
    <w:rsid w:val="004D1ACD"/>
    <w:rsid w:val="004D1F29"/>
    <w:rsid w:val="004D1F7C"/>
    <w:rsid w:val="004D21B5"/>
    <w:rsid w:val="004D261A"/>
    <w:rsid w:val="004D2727"/>
    <w:rsid w:val="004D2FF4"/>
    <w:rsid w:val="004D302E"/>
    <w:rsid w:val="004D34D6"/>
    <w:rsid w:val="004D3DBC"/>
    <w:rsid w:val="004D4039"/>
    <w:rsid w:val="004D4147"/>
    <w:rsid w:val="004D472F"/>
    <w:rsid w:val="004D526F"/>
    <w:rsid w:val="004D5465"/>
    <w:rsid w:val="004D5B3E"/>
    <w:rsid w:val="004D5C4D"/>
    <w:rsid w:val="004D5F72"/>
    <w:rsid w:val="004D6633"/>
    <w:rsid w:val="004D6786"/>
    <w:rsid w:val="004D6AB4"/>
    <w:rsid w:val="004D6E8E"/>
    <w:rsid w:val="004D6EA0"/>
    <w:rsid w:val="004D73E3"/>
    <w:rsid w:val="004D7A60"/>
    <w:rsid w:val="004D7A7D"/>
    <w:rsid w:val="004D7CA9"/>
    <w:rsid w:val="004D7EEC"/>
    <w:rsid w:val="004D7F5F"/>
    <w:rsid w:val="004E03E6"/>
    <w:rsid w:val="004E0701"/>
    <w:rsid w:val="004E0B98"/>
    <w:rsid w:val="004E0C12"/>
    <w:rsid w:val="004E0D6D"/>
    <w:rsid w:val="004E0DF7"/>
    <w:rsid w:val="004E1E67"/>
    <w:rsid w:val="004E27C3"/>
    <w:rsid w:val="004E2890"/>
    <w:rsid w:val="004E2940"/>
    <w:rsid w:val="004E2B1C"/>
    <w:rsid w:val="004E33BC"/>
    <w:rsid w:val="004E33F5"/>
    <w:rsid w:val="004E353B"/>
    <w:rsid w:val="004E3AB7"/>
    <w:rsid w:val="004E3B20"/>
    <w:rsid w:val="004E44F2"/>
    <w:rsid w:val="004E4660"/>
    <w:rsid w:val="004E4689"/>
    <w:rsid w:val="004E4ABC"/>
    <w:rsid w:val="004E4CE7"/>
    <w:rsid w:val="004E4EB2"/>
    <w:rsid w:val="004E5122"/>
    <w:rsid w:val="004E51B4"/>
    <w:rsid w:val="004E573B"/>
    <w:rsid w:val="004E5842"/>
    <w:rsid w:val="004E5A4B"/>
    <w:rsid w:val="004E5EE9"/>
    <w:rsid w:val="004E65B9"/>
    <w:rsid w:val="004E6860"/>
    <w:rsid w:val="004E69D0"/>
    <w:rsid w:val="004E70BD"/>
    <w:rsid w:val="004E73D2"/>
    <w:rsid w:val="004E7648"/>
    <w:rsid w:val="004E78B2"/>
    <w:rsid w:val="004E7DB3"/>
    <w:rsid w:val="004F0166"/>
    <w:rsid w:val="004F02F7"/>
    <w:rsid w:val="004F0534"/>
    <w:rsid w:val="004F0C11"/>
    <w:rsid w:val="004F0EA5"/>
    <w:rsid w:val="004F0FC2"/>
    <w:rsid w:val="004F1178"/>
    <w:rsid w:val="004F1A1A"/>
    <w:rsid w:val="004F1DC8"/>
    <w:rsid w:val="004F25D3"/>
    <w:rsid w:val="004F3305"/>
    <w:rsid w:val="004F36AC"/>
    <w:rsid w:val="004F388E"/>
    <w:rsid w:val="004F3DCF"/>
    <w:rsid w:val="004F4161"/>
    <w:rsid w:val="004F4A88"/>
    <w:rsid w:val="004F4B99"/>
    <w:rsid w:val="004F4E21"/>
    <w:rsid w:val="004F4F25"/>
    <w:rsid w:val="004F5075"/>
    <w:rsid w:val="004F533F"/>
    <w:rsid w:val="004F563D"/>
    <w:rsid w:val="004F5ACC"/>
    <w:rsid w:val="004F62CB"/>
    <w:rsid w:val="004F62F3"/>
    <w:rsid w:val="004F6431"/>
    <w:rsid w:val="004F724F"/>
    <w:rsid w:val="004F77C6"/>
    <w:rsid w:val="004F7CF8"/>
    <w:rsid w:val="0050036D"/>
    <w:rsid w:val="00500A0D"/>
    <w:rsid w:val="00500A2C"/>
    <w:rsid w:val="00500CFF"/>
    <w:rsid w:val="00500E1E"/>
    <w:rsid w:val="005012C5"/>
    <w:rsid w:val="005017B9"/>
    <w:rsid w:val="00501AB9"/>
    <w:rsid w:val="00502110"/>
    <w:rsid w:val="005021D2"/>
    <w:rsid w:val="00502215"/>
    <w:rsid w:val="00502728"/>
    <w:rsid w:val="00502791"/>
    <w:rsid w:val="00503060"/>
    <w:rsid w:val="005030FB"/>
    <w:rsid w:val="00503113"/>
    <w:rsid w:val="00503833"/>
    <w:rsid w:val="00503B0A"/>
    <w:rsid w:val="0050459A"/>
    <w:rsid w:val="00504B9A"/>
    <w:rsid w:val="00504DAB"/>
    <w:rsid w:val="005050ED"/>
    <w:rsid w:val="005052DA"/>
    <w:rsid w:val="005054C8"/>
    <w:rsid w:val="00505515"/>
    <w:rsid w:val="005055F0"/>
    <w:rsid w:val="0050569B"/>
    <w:rsid w:val="00505E58"/>
    <w:rsid w:val="005068CD"/>
    <w:rsid w:val="0050790E"/>
    <w:rsid w:val="00507EB5"/>
    <w:rsid w:val="00510392"/>
    <w:rsid w:val="0051074E"/>
    <w:rsid w:val="00510BDE"/>
    <w:rsid w:val="00510D20"/>
    <w:rsid w:val="00510EC8"/>
    <w:rsid w:val="00511A7A"/>
    <w:rsid w:val="00511BDC"/>
    <w:rsid w:val="0051212E"/>
    <w:rsid w:val="005122BF"/>
    <w:rsid w:val="005123E1"/>
    <w:rsid w:val="0051286B"/>
    <w:rsid w:val="005129B6"/>
    <w:rsid w:val="00512A89"/>
    <w:rsid w:val="00512BDB"/>
    <w:rsid w:val="005134B9"/>
    <w:rsid w:val="00515286"/>
    <w:rsid w:val="00515465"/>
    <w:rsid w:val="00516142"/>
    <w:rsid w:val="00516591"/>
    <w:rsid w:val="00516798"/>
    <w:rsid w:val="00516A09"/>
    <w:rsid w:val="005174D6"/>
    <w:rsid w:val="005177D9"/>
    <w:rsid w:val="00517A55"/>
    <w:rsid w:val="00517A7D"/>
    <w:rsid w:val="00517AE3"/>
    <w:rsid w:val="005203C2"/>
    <w:rsid w:val="00520459"/>
    <w:rsid w:val="00520C6E"/>
    <w:rsid w:val="005214B1"/>
    <w:rsid w:val="00521ACA"/>
    <w:rsid w:val="00521D6A"/>
    <w:rsid w:val="00521EE9"/>
    <w:rsid w:val="00521F39"/>
    <w:rsid w:val="005222EA"/>
    <w:rsid w:val="00522742"/>
    <w:rsid w:val="00522821"/>
    <w:rsid w:val="00522A89"/>
    <w:rsid w:val="005232B1"/>
    <w:rsid w:val="00524538"/>
    <w:rsid w:val="00525187"/>
    <w:rsid w:val="005253DD"/>
    <w:rsid w:val="0052555F"/>
    <w:rsid w:val="00525B1C"/>
    <w:rsid w:val="00525F81"/>
    <w:rsid w:val="00526A5C"/>
    <w:rsid w:val="00526A70"/>
    <w:rsid w:val="00526CD5"/>
    <w:rsid w:val="00527450"/>
    <w:rsid w:val="00527541"/>
    <w:rsid w:val="00527C4D"/>
    <w:rsid w:val="00527E6F"/>
    <w:rsid w:val="0053039B"/>
    <w:rsid w:val="00530B1C"/>
    <w:rsid w:val="00530B6D"/>
    <w:rsid w:val="005311F3"/>
    <w:rsid w:val="00531F5D"/>
    <w:rsid w:val="005329E6"/>
    <w:rsid w:val="00532EC8"/>
    <w:rsid w:val="00533339"/>
    <w:rsid w:val="00533923"/>
    <w:rsid w:val="00533DA1"/>
    <w:rsid w:val="00533DC6"/>
    <w:rsid w:val="0053451C"/>
    <w:rsid w:val="005347F6"/>
    <w:rsid w:val="00534CE2"/>
    <w:rsid w:val="00535157"/>
    <w:rsid w:val="0053527C"/>
    <w:rsid w:val="0053538C"/>
    <w:rsid w:val="005354D9"/>
    <w:rsid w:val="00535B54"/>
    <w:rsid w:val="00535E81"/>
    <w:rsid w:val="0053651E"/>
    <w:rsid w:val="0053663B"/>
    <w:rsid w:val="00536A48"/>
    <w:rsid w:val="00536F3C"/>
    <w:rsid w:val="005376E9"/>
    <w:rsid w:val="00537CB9"/>
    <w:rsid w:val="0054041F"/>
    <w:rsid w:val="00540764"/>
    <w:rsid w:val="00540A3C"/>
    <w:rsid w:val="00540C89"/>
    <w:rsid w:val="005412CD"/>
    <w:rsid w:val="00541573"/>
    <w:rsid w:val="00541685"/>
    <w:rsid w:val="00541759"/>
    <w:rsid w:val="005418CF"/>
    <w:rsid w:val="00541900"/>
    <w:rsid w:val="005419F3"/>
    <w:rsid w:val="00541E7C"/>
    <w:rsid w:val="00541EF7"/>
    <w:rsid w:val="00541F7B"/>
    <w:rsid w:val="005421D2"/>
    <w:rsid w:val="00542A29"/>
    <w:rsid w:val="00543540"/>
    <w:rsid w:val="00543B8A"/>
    <w:rsid w:val="00543F17"/>
    <w:rsid w:val="005442D8"/>
    <w:rsid w:val="00544428"/>
    <w:rsid w:val="005444EC"/>
    <w:rsid w:val="00544DB6"/>
    <w:rsid w:val="00544F52"/>
    <w:rsid w:val="00545199"/>
    <w:rsid w:val="00546CD2"/>
    <w:rsid w:val="00547970"/>
    <w:rsid w:val="00550172"/>
    <w:rsid w:val="00550A81"/>
    <w:rsid w:val="00550A89"/>
    <w:rsid w:val="00550CEC"/>
    <w:rsid w:val="00550FFC"/>
    <w:rsid w:val="0055103F"/>
    <w:rsid w:val="0055142D"/>
    <w:rsid w:val="0055172B"/>
    <w:rsid w:val="0055243D"/>
    <w:rsid w:val="0055251E"/>
    <w:rsid w:val="00552849"/>
    <w:rsid w:val="005528B8"/>
    <w:rsid w:val="00552B8F"/>
    <w:rsid w:val="00552BB4"/>
    <w:rsid w:val="00552D81"/>
    <w:rsid w:val="005533ED"/>
    <w:rsid w:val="005539B4"/>
    <w:rsid w:val="00553C53"/>
    <w:rsid w:val="00553EC6"/>
    <w:rsid w:val="00554160"/>
    <w:rsid w:val="005542AB"/>
    <w:rsid w:val="00554B90"/>
    <w:rsid w:val="0055566C"/>
    <w:rsid w:val="005557A8"/>
    <w:rsid w:val="00555E1B"/>
    <w:rsid w:val="0055648D"/>
    <w:rsid w:val="00556504"/>
    <w:rsid w:val="0055665D"/>
    <w:rsid w:val="005571D0"/>
    <w:rsid w:val="005575E2"/>
    <w:rsid w:val="0055797C"/>
    <w:rsid w:val="00557FB9"/>
    <w:rsid w:val="005600FD"/>
    <w:rsid w:val="00560AE5"/>
    <w:rsid w:val="005610B3"/>
    <w:rsid w:val="0056119A"/>
    <w:rsid w:val="00561C5D"/>
    <w:rsid w:val="0056241D"/>
    <w:rsid w:val="00562BA4"/>
    <w:rsid w:val="00562C3D"/>
    <w:rsid w:val="00562C59"/>
    <w:rsid w:val="00562CB7"/>
    <w:rsid w:val="00563800"/>
    <w:rsid w:val="00563A05"/>
    <w:rsid w:val="00564345"/>
    <w:rsid w:val="00565AAD"/>
    <w:rsid w:val="00565B44"/>
    <w:rsid w:val="00565B45"/>
    <w:rsid w:val="00565CD8"/>
    <w:rsid w:val="00565E18"/>
    <w:rsid w:val="00565E38"/>
    <w:rsid w:val="0056604F"/>
    <w:rsid w:val="005660D4"/>
    <w:rsid w:val="0056613D"/>
    <w:rsid w:val="0056648E"/>
    <w:rsid w:val="00566B29"/>
    <w:rsid w:val="00566EB6"/>
    <w:rsid w:val="00566ED9"/>
    <w:rsid w:val="0056771F"/>
    <w:rsid w:val="005677E4"/>
    <w:rsid w:val="00570147"/>
    <w:rsid w:val="00570AD9"/>
    <w:rsid w:val="00570E32"/>
    <w:rsid w:val="0057114F"/>
    <w:rsid w:val="005714B5"/>
    <w:rsid w:val="00571BEA"/>
    <w:rsid w:val="00571D49"/>
    <w:rsid w:val="005720DE"/>
    <w:rsid w:val="00572111"/>
    <w:rsid w:val="00572928"/>
    <w:rsid w:val="00572DBB"/>
    <w:rsid w:val="00572E4F"/>
    <w:rsid w:val="00573F78"/>
    <w:rsid w:val="005742F6"/>
    <w:rsid w:val="005743CB"/>
    <w:rsid w:val="00574637"/>
    <w:rsid w:val="005748EC"/>
    <w:rsid w:val="005749CA"/>
    <w:rsid w:val="00574ABC"/>
    <w:rsid w:val="00574B44"/>
    <w:rsid w:val="00574BD0"/>
    <w:rsid w:val="00574D21"/>
    <w:rsid w:val="00574F42"/>
    <w:rsid w:val="00574FF0"/>
    <w:rsid w:val="00575026"/>
    <w:rsid w:val="0057575E"/>
    <w:rsid w:val="00575C09"/>
    <w:rsid w:val="00575D71"/>
    <w:rsid w:val="00576268"/>
    <w:rsid w:val="00576389"/>
    <w:rsid w:val="005765C9"/>
    <w:rsid w:val="00576634"/>
    <w:rsid w:val="00576CB5"/>
    <w:rsid w:val="00576E34"/>
    <w:rsid w:val="005772BC"/>
    <w:rsid w:val="00577391"/>
    <w:rsid w:val="00577BD7"/>
    <w:rsid w:val="00580155"/>
    <w:rsid w:val="00580417"/>
    <w:rsid w:val="005806EB"/>
    <w:rsid w:val="00580F58"/>
    <w:rsid w:val="00580F7C"/>
    <w:rsid w:val="00581575"/>
    <w:rsid w:val="0058167C"/>
    <w:rsid w:val="00581A67"/>
    <w:rsid w:val="00581C88"/>
    <w:rsid w:val="0058251D"/>
    <w:rsid w:val="005825D0"/>
    <w:rsid w:val="00583203"/>
    <w:rsid w:val="0058432A"/>
    <w:rsid w:val="00585670"/>
    <w:rsid w:val="0058573D"/>
    <w:rsid w:val="00585B5A"/>
    <w:rsid w:val="0058611A"/>
    <w:rsid w:val="0058642C"/>
    <w:rsid w:val="00586571"/>
    <w:rsid w:val="0058674D"/>
    <w:rsid w:val="005867C9"/>
    <w:rsid w:val="005875EE"/>
    <w:rsid w:val="00587899"/>
    <w:rsid w:val="00587F59"/>
    <w:rsid w:val="00590105"/>
    <w:rsid w:val="005902ED"/>
    <w:rsid w:val="00590699"/>
    <w:rsid w:val="005907F1"/>
    <w:rsid w:val="00590854"/>
    <w:rsid w:val="00590DB7"/>
    <w:rsid w:val="00590F6C"/>
    <w:rsid w:val="00591089"/>
    <w:rsid w:val="005918C6"/>
    <w:rsid w:val="005922CD"/>
    <w:rsid w:val="005929D0"/>
    <w:rsid w:val="00592F79"/>
    <w:rsid w:val="0059305C"/>
    <w:rsid w:val="005934FD"/>
    <w:rsid w:val="00593670"/>
    <w:rsid w:val="00593BC2"/>
    <w:rsid w:val="0059414E"/>
    <w:rsid w:val="0059480E"/>
    <w:rsid w:val="00594909"/>
    <w:rsid w:val="005949D3"/>
    <w:rsid w:val="0059574E"/>
    <w:rsid w:val="00595F62"/>
    <w:rsid w:val="0059604E"/>
    <w:rsid w:val="0059657A"/>
    <w:rsid w:val="00596F03"/>
    <w:rsid w:val="00596FF6"/>
    <w:rsid w:val="0059700A"/>
    <w:rsid w:val="00597187"/>
    <w:rsid w:val="00597873"/>
    <w:rsid w:val="00597C6A"/>
    <w:rsid w:val="005A0240"/>
    <w:rsid w:val="005A0552"/>
    <w:rsid w:val="005A0564"/>
    <w:rsid w:val="005A0B65"/>
    <w:rsid w:val="005A12DC"/>
    <w:rsid w:val="005A1445"/>
    <w:rsid w:val="005A14D1"/>
    <w:rsid w:val="005A1724"/>
    <w:rsid w:val="005A17DC"/>
    <w:rsid w:val="005A1A7B"/>
    <w:rsid w:val="005A1D1F"/>
    <w:rsid w:val="005A1E50"/>
    <w:rsid w:val="005A1F4F"/>
    <w:rsid w:val="005A21AB"/>
    <w:rsid w:val="005A24D3"/>
    <w:rsid w:val="005A2612"/>
    <w:rsid w:val="005A27BA"/>
    <w:rsid w:val="005A2D4A"/>
    <w:rsid w:val="005A2D83"/>
    <w:rsid w:val="005A2FD6"/>
    <w:rsid w:val="005A3065"/>
    <w:rsid w:val="005A3560"/>
    <w:rsid w:val="005A3CC4"/>
    <w:rsid w:val="005A5103"/>
    <w:rsid w:val="005A536F"/>
    <w:rsid w:val="005A53E0"/>
    <w:rsid w:val="005A5460"/>
    <w:rsid w:val="005A54C5"/>
    <w:rsid w:val="005A5E14"/>
    <w:rsid w:val="005A6296"/>
    <w:rsid w:val="005A6531"/>
    <w:rsid w:val="005A674A"/>
    <w:rsid w:val="005A6C0F"/>
    <w:rsid w:val="005A6DD5"/>
    <w:rsid w:val="005A780E"/>
    <w:rsid w:val="005A7DB4"/>
    <w:rsid w:val="005B002D"/>
    <w:rsid w:val="005B0AC3"/>
    <w:rsid w:val="005B0F86"/>
    <w:rsid w:val="005B0FBC"/>
    <w:rsid w:val="005B144A"/>
    <w:rsid w:val="005B1531"/>
    <w:rsid w:val="005B15B5"/>
    <w:rsid w:val="005B15E0"/>
    <w:rsid w:val="005B1638"/>
    <w:rsid w:val="005B1837"/>
    <w:rsid w:val="005B1862"/>
    <w:rsid w:val="005B1D48"/>
    <w:rsid w:val="005B1FF7"/>
    <w:rsid w:val="005B2340"/>
    <w:rsid w:val="005B245A"/>
    <w:rsid w:val="005B2601"/>
    <w:rsid w:val="005B2C36"/>
    <w:rsid w:val="005B2F86"/>
    <w:rsid w:val="005B31F4"/>
    <w:rsid w:val="005B3565"/>
    <w:rsid w:val="005B3867"/>
    <w:rsid w:val="005B3AC2"/>
    <w:rsid w:val="005B3F3D"/>
    <w:rsid w:val="005B40EF"/>
    <w:rsid w:val="005B45E5"/>
    <w:rsid w:val="005B45EF"/>
    <w:rsid w:val="005B4C24"/>
    <w:rsid w:val="005B5126"/>
    <w:rsid w:val="005B5522"/>
    <w:rsid w:val="005B57E3"/>
    <w:rsid w:val="005B5A10"/>
    <w:rsid w:val="005B5D5F"/>
    <w:rsid w:val="005B5E7C"/>
    <w:rsid w:val="005B632F"/>
    <w:rsid w:val="005B6408"/>
    <w:rsid w:val="005B6B1C"/>
    <w:rsid w:val="005B6D45"/>
    <w:rsid w:val="005B77B9"/>
    <w:rsid w:val="005B7AAD"/>
    <w:rsid w:val="005B7CBE"/>
    <w:rsid w:val="005C087D"/>
    <w:rsid w:val="005C0BE9"/>
    <w:rsid w:val="005C0DCA"/>
    <w:rsid w:val="005C0E93"/>
    <w:rsid w:val="005C1615"/>
    <w:rsid w:val="005C1E84"/>
    <w:rsid w:val="005C1EE1"/>
    <w:rsid w:val="005C249A"/>
    <w:rsid w:val="005C2A51"/>
    <w:rsid w:val="005C2CAA"/>
    <w:rsid w:val="005C2D01"/>
    <w:rsid w:val="005C30A0"/>
    <w:rsid w:val="005C30BD"/>
    <w:rsid w:val="005C32DE"/>
    <w:rsid w:val="005C3A35"/>
    <w:rsid w:val="005C3BD7"/>
    <w:rsid w:val="005C4BB0"/>
    <w:rsid w:val="005C502E"/>
    <w:rsid w:val="005C510E"/>
    <w:rsid w:val="005C52AC"/>
    <w:rsid w:val="005C5621"/>
    <w:rsid w:val="005C5688"/>
    <w:rsid w:val="005C66B0"/>
    <w:rsid w:val="005C6A7E"/>
    <w:rsid w:val="005C6ABF"/>
    <w:rsid w:val="005C7592"/>
    <w:rsid w:val="005C7659"/>
    <w:rsid w:val="005C7891"/>
    <w:rsid w:val="005C795C"/>
    <w:rsid w:val="005D06B6"/>
    <w:rsid w:val="005D07A6"/>
    <w:rsid w:val="005D0B3E"/>
    <w:rsid w:val="005D1286"/>
    <w:rsid w:val="005D1636"/>
    <w:rsid w:val="005D176E"/>
    <w:rsid w:val="005D17E4"/>
    <w:rsid w:val="005D1CE4"/>
    <w:rsid w:val="005D1FE3"/>
    <w:rsid w:val="005D204E"/>
    <w:rsid w:val="005D21B5"/>
    <w:rsid w:val="005D24C3"/>
    <w:rsid w:val="005D29A8"/>
    <w:rsid w:val="005D2A28"/>
    <w:rsid w:val="005D32CA"/>
    <w:rsid w:val="005D375F"/>
    <w:rsid w:val="005D47B1"/>
    <w:rsid w:val="005D480C"/>
    <w:rsid w:val="005D48C6"/>
    <w:rsid w:val="005D4B58"/>
    <w:rsid w:val="005D54F0"/>
    <w:rsid w:val="005D5D1C"/>
    <w:rsid w:val="005D6256"/>
    <w:rsid w:val="005D62D5"/>
    <w:rsid w:val="005D644F"/>
    <w:rsid w:val="005D645A"/>
    <w:rsid w:val="005D6542"/>
    <w:rsid w:val="005D6655"/>
    <w:rsid w:val="005D6C4A"/>
    <w:rsid w:val="005D7A7A"/>
    <w:rsid w:val="005D7D00"/>
    <w:rsid w:val="005D7D3A"/>
    <w:rsid w:val="005E06CE"/>
    <w:rsid w:val="005E06DF"/>
    <w:rsid w:val="005E0B48"/>
    <w:rsid w:val="005E1364"/>
    <w:rsid w:val="005E170E"/>
    <w:rsid w:val="005E19E8"/>
    <w:rsid w:val="005E1DD3"/>
    <w:rsid w:val="005E26DF"/>
    <w:rsid w:val="005E282E"/>
    <w:rsid w:val="005E2E11"/>
    <w:rsid w:val="005E304F"/>
    <w:rsid w:val="005E3E51"/>
    <w:rsid w:val="005E3EE7"/>
    <w:rsid w:val="005E43AD"/>
    <w:rsid w:val="005E446F"/>
    <w:rsid w:val="005E46AC"/>
    <w:rsid w:val="005E473F"/>
    <w:rsid w:val="005E484E"/>
    <w:rsid w:val="005E4B0B"/>
    <w:rsid w:val="005E4FF5"/>
    <w:rsid w:val="005E5053"/>
    <w:rsid w:val="005E5568"/>
    <w:rsid w:val="005E5712"/>
    <w:rsid w:val="005E6061"/>
    <w:rsid w:val="005E63D1"/>
    <w:rsid w:val="005E6797"/>
    <w:rsid w:val="005E6A34"/>
    <w:rsid w:val="005E721D"/>
    <w:rsid w:val="005E753E"/>
    <w:rsid w:val="005E775D"/>
    <w:rsid w:val="005E77BB"/>
    <w:rsid w:val="005E7C2F"/>
    <w:rsid w:val="005F029A"/>
    <w:rsid w:val="005F0457"/>
    <w:rsid w:val="005F0B6B"/>
    <w:rsid w:val="005F1983"/>
    <w:rsid w:val="005F198D"/>
    <w:rsid w:val="005F1EAB"/>
    <w:rsid w:val="005F1EAF"/>
    <w:rsid w:val="005F1F09"/>
    <w:rsid w:val="005F2C16"/>
    <w:rsid w:val="005F2C27"/>
    <w:rsid w:val="005F300A"/>
    <w:rsid w:val="005F30E2"/>
    <w:rsid w:val="005F3298"/>
    <w:rsid w:val="005F341E"/>
    <w:rsid w:val="005F3F51"/>
    <w:rsid w:val="005F40D1"/>
    <w:rsid w:val="005F4277"/>
    <w:rsid w:val="005F4C4E"/>
    <w:rsid w:val="005F4E7D"/>
    <w:rsid w:val="005F5360"/>
    <w:rsid w:val="005F543F"/>
    <w:rsid w:val="005F5DE2"/>
    <w:rsid w:val="005F61C2"/>
    <w:rsid w:val="005F63BC"/>
    <w:rsid w:val="005F65DE"/>
    <w:rsid w:val="005F6B2E"/>
    <w:rsid w:val="005F70EF"/>
    <w:rsid w:val="005F7A69"/>
    <w:rsid w:val="005F7E78"/>
    <w:rsid w:val="00600490"/>
    <w:rsid w:val="0060126A"/>
    <w:rsid w:val="00601322"/>
    <w:rsid w:val="00601B7E"/>
    <w:rsid w:val="00602232"/>
    <w:rsid w:val="00602317"/>
    <w:rsid w:val="00602B1B"/>
    <w:rsid w:val="0060397F"/>
    <w:rsid w:val="00604009"/>
    <w:rsid w:val="006040C1"/>
    <w:rsid w:val="00604529"/>
    <w:rsid w:val="00604A3B"/>
    <w:rsid w:val="00604E48"/>
    <w:rsid w:val="00605361"/>
    <w:rsid w:val="00605BBD"/>
    <w:rsid w:val="00605DF0"/>
    <w:rsid w:val="006062F6"/>
    <w:rsid w:val="00607349"/>
    <w:rsid w:val="006076F8"/>
    <w:rsid w:val="00607C3F"/>
    <w:rsid w:val="00610155"/>
    <w:rsid w:val="006104BF"/>
    <w:rsid w:val="006105AC"/>
    <w:rsid w:val="006107CD"/>
    <w:rsid w:val="00610F9A"/>
    <w:rsid w:val="00610FD4"/>
    <w:rsid w:val="006110AE"/>
    <w:rsid w:val="0061113F"/>
    <w:rsid w:val="00611147"/>
    <w:rsid w:val="00611597"/>
    <w:rsid w:val="00611639"/>
    <w:rsid w:val="0061173A"/>
    <w:rsid w:val="00611954"/>
    <w:rsid w:val="00611CA9"/>
    <w:rsid w:val="00611F25"/>
    <w:rsid w:val="006122F3"/>
    <w:rsid w:val="006124CA"/>
    <w:rsid w:val="006124ED"/>
    <w:rsid w:val="00612590"/>
    <w:rsid w:val="00612B43"/>
    <w:rsid w:val="00612BC7"/>
    <w:rsid w:val="00613BFE"/>
    <w:rsid w:val="0061403A"/>
    <w:rsid w:val="006147E6"/>
    <w:rsid w:val="00614921"/>
    <w:rsid w:val="00614B48"/>
    <w:rsid w:val="00614E38"/>
    <w:rsid w:val="0061515C"/>
    <w:rsid w:val="00615183"/>
    <w:rsid w:val="00615290"/>
    <w:rsid w:val="0061566C"/>
    <w:rsid w:val="006156E2"/>
    <w:rsid w:val="00615A34"/>
    <w:rsid w:val="00615C81"/>
    <w:rsid w:val="00615CCD"/>
    <w:rsid w:val="00615FB7"/>
    <w:rsid w:val="00616247"/>
    <w:rsid w:val="006167FA"/>
    <w:rsid w:val="00616A33"/>
    <w:rsid w:val="00616F7F"/>
    <w:rsid w:val="00616FE9"/>
    <w:rsid w:val="006171DE"/>
    <w:rsid w:val="00617388"/>
    <w:rsid w:val="0061759C"/>
    <w:rsid w:val="006179B3"/>
    <w:rsid w:val="00617A82"/>
    <w:rsid w:val="00620160"/>
    <w:rsid w:val="006205BC"/>
    <w:rsid w:val="00620D78"/>
    <w:rsid w:val="006211EF"/>
    <w:rsid w:val="00621340"/>
    <w:rsid w:val="006213D0"/>
    <w:rsid w:val="0062238A"/>
    <w:rsid w:val="00622464"/>
    <w:rsid w:val="00622849"/>
    <w:rsid w:val="006229FF"/>
    <w:rsid w:val="00622B0B"/>
    <w:rsid w:val="00623029"/>
    <w:rsid w:val="006235EC"/>
    <w:rsid w:val="00623AF1"/>
    <w:rsid w:val="00623D51"/>
    <w:rsid w:val="00624213"/>
    <w:rsid w:val="0062446F"/>
    <w:rsid w:val="00624D47"/>
    <w:rsid w:val="00625013"/>
    <w:rsid w:val="00625C4B"/>
    <w:rsid w:val="00625EDE"/>
    <w:rsid w:val="006261D4"/>
    <w:rsid w:val="006266FA"/>
    <w:rsid w:val="00626CCF"/>
    <w:rsid w:val="00626EB2"/>
    <w:rsid w:val="00627061"/>
    <w:rsid w:val="00627872"/>
    <w:rsid w:val="00627918"/>
    <w:rsid w:val="00627A08"/>
    <w:rsid w:val="00627A30"/>
    <w:rsid w:val="00627B60"/>
    <w:rsid w:val="0063115D"/>
    <w:rsid w:val="00631FCF"/>
    <w:rsid w:val="00632190"/>
    <w:rsid w:val="0063223B"/>
    <w:rsid w:val="0063242B"/>
    <w:rsid w:val="00633242"/>
    <w:rsid w:val="006338AA"/>
    <w:rsid w:val="006338CD"/>
    <w:rsid w:val="00633A8D"/>
    <w:rsid w:val="006340BB"/>
    <w:rsid w:val="006342A9"/>
    <w:rsid w:val="0063466F"/>
    <w:rsid w:val="0063498A"/>
    <w:rsid w:val="006356F1"/>
    <w:rsid w:val="00635811"/>
    <w:rsid w:val="00635852"/>
    <w:rsid w:val="00635D94"/>
    <w:rsid w:val="00635EDA"/>
    <w:rsid w:val="00636016"/>
    <w:rsid w:val="006362F4"/>
    <w:rsid w:val="0063647A"/>
    <w:rsid w:val="00636710"/>
    <w:rsid w:val="00636797"/>
    <w:rsid w:val="00636928"/>
    <w:rsid w:val="006369BB"/>
    <w:rsid w:val="00636A1D"/>
    <w:rsid w:val="00636BD3"/>
    <w:rsid w:val="00636E6C"/>
    <w:rsid w:val="006376AB"/>
    <w:rsid w:val="0063773A"/>
    <w:rsid w:val="00637B54"/>
    <w:rsid w:val="00637C80"/>
    <w:rsid w:val="00637CF3"/>
    <w:rsid w:val="00637F11"/>
    <w:rsid w:val="00640204"/>
    <w:rsid w:val="006405EC"/>
    <w:rsid w:val="00640775"/>
    <w:rsid w:val="00640C34"/>
    <w:rsid w:val="006417D5"/>
    <w:rsid w:val="00642996"/>
    <w:rsid w:val="00642EF5"/>
    <w:rsid w:val="00642F98"/>
    <w:rsid w:val="0064378D"/>
    <w:rsid w:val="006437F9"/>
    <w:rsid w:val="006439B1"/>
    <w:rsid w:val="00643D5D"/>
    <w:rsid w:val="00645610"/>
    <w:rsid w:val="00645E3E"/>
    <w:rsid w:val="00646797"/>
    <w:rsid w:val="00646D99"/>
    <w:rsid w:val="0064743E"/>
    <w:rsid w:val="00647688"/>
    <w:rsid w:val="00647B36"/>
    <w:rsid w:val="006505FA"/>
    <w:rsid w:val="00651203"/>
    <w:rsid w:val="00651689"/>
    <w:rsid w:val="00652350"/>
    <w:rsid w:val="006528FB"/>
    <w:rsid w:val="00652D6F"/>
    <w:rsid w:val="00653026"/>
    <w:rsid w:val="00653433"/>
    <w:rsid w:val="00653454"/>
    <w:rsid w:val="00653699"/>
    <w:rsid w:val="00653B6D"/>
    <w:rsid w:val="00653EC2"/>
    <w:rsid w:val="006542CD"/>
    <w:rsid w:val="00654307"/>
    <w:rsid w:val="00654377"/>
    <w:rsid w:val="0065467F"/>
    <w:rsid w:val="00654943"/>
    <w:rsid w:val="00654DA8"/>
    <w:rsid w:val="006553CC"/>
    <w:rsid w:val="00655408"/>
    <w:rsid w:val="00656708"/>
    <w:rsid w:val="00656DBD"/>
    <w:rsid w:val="006570D2"/>
    <w:rsid w:val="0065735D"/>
    <w:rsid w:val="00657728"/>
    <w:rsid w:val="00657FED"/>
    <w:rsid w:val="006605C4"/>
    <w:rsid w:val="00660645"/>
    <w:rsid w:val="006609A2"/>
    <w:rsid w:val="00661078"/>
    <w:rsid w:val="0066114D"/>
    <w:rsid w:val="006611E3"/>
    <w:rsid w:val="00661567"/>
    <w:rsid w:val="0066162C"/>
    <w:rsid w:val="006617FB"/>
    <w:rsid w:val="006618FE"/>
    <w:rsid w:val="00661AF4"/>
    <w:rsid w:val="00661E39"/>
    <w:rsid w:val="00661F8D"/>
    <w:rsid w:val="0066209C"/>
    <w:rsid w:val="00662234"/>
    <w:rsid w:val="00662519"/>
    <w:rsid w:val="0066284E"/>
    <w:rsid w:val="00662872"/>
    <w:rsid w:val="00662981"/>
    <w:rsid w:val="006629B9"/>
    <w:rsid w:val="006629EF"/>
    <w:rsid w:val="00662DCA"/>
    <w:rsid w:val="00662DD3"/>
    <w:rsid w:val="00663556"/>
    <w:rsid w:val="006643CB"/>
    <w:rsid w:val="0066452A"/>
    <w:rsid w:val="00664B8A"/>
    <w:rsid w:val="00664E30"/>
    <w:rsid w:val="00664E3D"/>
    <w:rsid w:val="00664E44"/>
    <w:rsid w:val="0066664C"/>
    <w:rsid w:val="006666EB"/>
    <w:rsid w:val="0066674A"/>
    <w:rsid w:val="0066690B"/>
    <w:rsid w:val="00666BA3"/>
    <w:rsid w:val="006671FC"/>
    <w:rsid w:val="00667502"/>
    <w:rsid w:val="006679D9"/>
    <w:rsid w:val="00667B7F"/>
    <w:rsid w:val="00670308"/>
    <w:rsid w:val="0067048C"/>
    <w:rsid w:val="006704B8"/>
    <w:rsid w:val="006705BB"/>
    <w:rsid w:val="00670676"/>
    <w:rsid w:val="00670A28"/>
    <w:rsid w:val="00670BCD"/>
    <w:rsid w:val="00670EF9"/>
    <w:rsid w:val="00671226"/>
    <w:rsid w:val="0067148D"/>
    <w:rsid w:val="00671807"/>
    <w:rsid w:val="0067226C"/>
    <w:rsid w:val="00672621"/>
    <w:rsid w:val="006726F4"/>
    <w:rsid w:val="0067290D"/>
    <w:rsid w:val="006730BB"/>
    <w:rsid w:val="006730FB"/>
    <w:rsid w:val="00673AC6"/>
    <w:rsid w:val="00673C27"/>
    <w:rsid w:val="00673C6C"/>
    <w:rsid w:val="00673C8C"/>
    <w:rsid w:val="00673DCB"/>
    <w:rsid w:val="00673EED"/>
    <w:rsid w:val="00674072"/>
    <w:rsid w:val="00674269"/>
    <w:rsid w:val="00674277"/>
    <w:rsid w:val="006742ED"/>
    <w:rsid w:val="006746BE"/>
    <w:rsid w:val="00674D59"/>
    <w:rsid w:val="0067512D"/>
    <w:rsid w:val="00675683"/>
    <w:rsid w:val="006757AE"/>
    <w:rsid w:val="00675A30"/>
    <w:rsid w:val="00675F6F"/>
    <w:rsid w:val="0067690B"/>
    <w:rsid w:val="00676FA0"/>
    <w:rsid w:val="006775FD"/>
    <w:rsid w:val="00677AC3"/>
    <w:rsid w:val="00677C91"/>
    <w:rsid w:val="00677FD1"/>
    <w:rsid w:val="00680A5B"/>
    <w:rsid w:val="00680AEF"/>
    <w:rsid w:val="00680BB9"/>
    <w:rsid w:val="00680C70"/>
    <w:rsid w:val="00680CA4"/>
    <w:rsid w:val="006810B3"/>
    <w:rsid w:val="006813F8"/>
    <w:rsid w:val="00681D73"/>
    <w:rsid w:val="0068200A"/>
    <w:rsid w:val="006827D5"/>
    <w:rsid w:val="00682949"/>
    <w:rsid w:val="00682C24"/>
    <w:rsid w:val="00683237"/>
    <w:rsid w:val="0068396C"/>
    <w:rsid w:val="00683C7C"/>
    <w:rsid w:val="006840BD"/>
    <w:rsid w:val="006847F8"/>
    <w:rsid w:val="006849B2"/>
    <w:rsid w:val="00684C06"/>
    <w:rsid w:val="00684D38"/>
    <w:rsid w:val="00685EFF"/>
    <w:rsid w:val="00686022"/>
    <w:rsid w:val="006868D0"/>
    <w:rsid w:val="00686BB6"/>
    <w:rsid w:val="00686CF1"/>
    <w:rsid w:val="00686E33"/>
    <w:rsid w:val="006874CE"/>
    <w:rsid w:val="00687719"/>
    <w:rsid w:val="00687821"/>
    <w:rsid w:val="00687A29"/>
    <w:rsid w:val="00687BF5"/>
    <w:rsid w:val="00687DA6"/>
    <w:rsid w:val="0069095A"/>
    <w:rsid w:val="00690D54"/>
    <w:rsid w:val="00690D6D"/>
    <w:rsid w:val="006912C3"/>
    <w:rsid w:val="006913B2"/>
    <w:rsid w:val="0069192F"/>
    <w:rsid w:val="00691C56"/>
    <w:rsid w:val="00692383"/>
    <w:rsid w:val="0069264B"/>
    <w:rsid w:val="00692774"/>
    <w:rsid w:val="00692ED2"/>
    <w:rsid w:val="00693301"/>
    <w:rsid w:val="00693424"/>
    <w:rsid w:val="0069343A"/>
    <w:rsid w:val="00693548"/>
    <w:rsid w:val="00693783"/>
    <w:rsid w:val="00693985"/>
    <w:rsid w:val="00693AB8"/>
    <w:rsid w:val="00693C2B"/>
    <w:rsid w:val="0069410F"/>
    <w:rsid w:val="00694BE6"/>
    <w:rsid w:val="00694FA3"/>
    <w:rsid w:val="00695058"/>
    <w:rsid w:val="00695128"/>
    <w:rsid w:val="0069536F"/>
    <w:rsid w:val="00695943"/>
    <w:rsid w:val="006962DF"/>
    <w:rsid w:val="006965C1"/>
    <w:rsid w:val="00696879"/>
    <w:rsid w:val="006968B3"/>
    <w:rsid w:val="00696A1B"/>
    <w:rsid w:val="006972E6"/>
    <w:rsid w:val="0069778A"/>
    <w:rsid w:val="00697DE1"/>
    <w:rsid w:val="006A08B8"/>
    <w:rsid w:val="006A096D"/>
    <w:rsid w:val="006A09D3"/>
    <w:rsid w:val="006A14D2"/>
    <w:rsid w:val="006A21AE"/>
    <w:rsid w:val="006A22A1"/>
    <w:rsid w:val="006A25E8"/>
    <w:rsid w:val="006A275A"/>
    <w:rsid w:val="006A30ED"/>
    <w:rsid w:val="006A348B"/>
    <w:rsid w:val="006A36DF"/>
    <w:rsid w:val="006A3747"/>
    <w:rsid w:val="006A37D2"/>
    <w:rsid w:val="006A391E"/>
    <w:rsid w:val="006A39A7"/>
    <w:rsid w:val="006A3FE5"/>
    <w:rsid w:val="006A4FE6"/>
    <w:rsid w:val="006A51BA"/>
    <w:rsid w:val="006A53E1"/>
    <w:rsid w:val="006A580A"/>
    <w:rsid w:val="006A5937"/>
    <w:rsid w:val="006A59CF"/>
    <w:rsid w:val="006A5BF4"/>
    <w:rsid w:val="006A5CF9"/>
    <w:rsid w:val="006A5E1B"/>
    <w:rsid w:val="006A6132"/>
    <w:rsid w:val="006A6601"/>
    <w:rsid w:val="006A6967"/>
    <w:rsid w:val="006A69DC"/>
    <w:rsid w:val="006A6D0F"/>
    <w:rsid w:val="006A6D9E"/>
    <w:rsid w:val="006A6EC7"/>
    <w:rsid w:val="006A768B"/>
    <w:rsid w:val="006A7925"/>
    <w:rsid w:val="006A7CE1"/>
    <w:rsid w:val="006B0379"/>
    <w:rsid w:val="006B0432"/>
    <w:rsid w:val="006B07E0"/>
    <w:rsid w:val="006B0DD9"/>
    <w:rsid w:val="006B1065"/>
    <w:rsid w:val="006B1126"/>
    <w:rsid w:val="006B157C"/>
    <w:rsid w:val="006B15EB"/>
    <w:rsid w:val="006B16A3"/>
    <w:rsid w:val="006B172D"/>
    <w:rsid w:val="006B2810"/>
    <w:rsid w:val="006B2828"/>
    <w:rsid w:val="006B30C4"/>
    <w:rsid w:val="006B3163"/>
    <w:rsid w:val="006B34C0"/>
    <w:rsid w:val="006B3C35"/>
    <w:rsid w:val="006B3C6C"/>
    <w:rsid w:val="006B3DA0"/>
    <w:rsid w:val="006B40CD"/>
    <w:rsid w:val="006B432B"/>
    <w:rsid w:val="006B4CFC"/>
    <w:rsid w:val="006B4DCE"/>
    <w:rsid w:val="006B54C2"/>
    <w:rsid w:val="006B5769"/>
    <w:rsid w:val="006B5BAA"/>
    <w:rsid w:val="006B5E8B"/>
    <w:rsid w:val="006B675C"/>
    <w:rsid w:val="006B6933"/>
    <w:rsid w:val="006B697B"/>
    <w:rsid w:val="006B7A51"/>
    <w:rsid w:val="006B7CDC"/>
    <w:rsid w:val="006B7FD5"/>
    <w:rsid w:val="006C0301"/>
    <w:rsid w:val="006C1080"/>
    <w:rsid w:val="006C119B"/>
    <w:rsid w:val="006C131D"/>
    <w:rsid w:val="006C1CB3"/>
    <w:rsid w:val="006C2269"/>
    <w:rsid w:val="006C24CB"/>
    <w:rsid w:val="006C35BF"/>
    <w:rsid w:val="006C3B67"/>
    <w:rsid w:val="006C4265"/>
    <w:rsid w:val="006C4468"/>
    <w:rsid w:val="006C4567"/>
    <w:rsid w:val="006C45B4"/>
    <w:rsid w:val="006C4E33"/>
    <w:rsid w:val="006C515A"/>
    <w:rsid w:val="006C57D4"/>
    <w:rsid w:val="006C5831"/>
    <w:rsid w:val="006C583A"/>
    <w:rsid w:val="006C5CF9"/>
    <w:rsid w:val="006C5D9F"/>
    <w:rsid w:val="006C5DDA"/>
    <w:rsid w:val="006C68DE"/>
    <w:rsid w:val="006C7074"/>
    <w:rsid w:val="006D0016"/>
    <w:rsid w:val="006D0049"/>
    <w:rsid w:val="006D0145"/>
    <w:rsid w:val="006D0514"/>
    <w:rsid w:val="006D05F0"/>
    <w:rsid w:val="006D0A68"/>
    <w:rsid w:val="006D10FF"/>
    <w:rsid w:val="006D137D"/>
    <w:rsid w:val="006D19DA"/>
    <w:rsid w:val="006D2356"/>
    <w:rsid w:val="006D2DAE"/>
    <w:rsid w:val="006D3565"/>
    <w:rsid w:val="006D3CE2"/>
    <w:rsid w:val="006D406D"/>
    <w:rsid w:val="006D5037"/>
    <w:rsid w:val="006D57ED"/>
    <w:rsid w:val="006D5BB0"/>
    <w:rsid w:val="006D5DAF"/>
    <w:rsid w:val="006D5E09"/>
    <w:rsid w:val="006D6453"/>
    <w:rsid w:val="006D6C55"/>
    <w:rsid w:val="006D6D72"/>
    <w:rsid w:val="006D70AA"/>
    <w:rsid w:val="006D70CA"/>
    <w:rsid w:val="006D78D0"/>
    <w:rsid w:val="006D7B1E"/>
    <w:rsid w:val="006D7DF4"/>
    <w:rsid w:val="006D7F5C"/>
    <w:rsid w:val="006E007B"/>
    <w:rsid w:val="006E035C"/>
    <w:rsid w:val="006E03B2"/>
    <w:rsid w:val="006E0452"/>
    <w:rsid w:val="006E0946"/>
    <w:rsid w:val="006E0EB5"/>
    <w:rsid w:val="006E10EF"/>
    <w:rsid w:val="006E193F"/>
    <w:rsid w:val="006E1E54"/>
    <w:rsid w:val="006E2018"/>
    <w:rsid w:val="006E2E19"/>
    <w:rsid w:val="006E3672"/>
    <w:rsid w:val="006E3B6F"/>
    <w:rsid w:val="006E3E8D"/>
    <w:rsid w:val="006E41F3"/>
    <w:rsid w:val="006E48C7"/>
    <w:rsid w:val="006E5375"/>
    <w:rsid w:val="006E53E0"/>
    <w:rsid w:val="006E56AC"/>
    <w:rsid w:val="006E5BED"/>
    <w:rsid w:val="006E5C05"/>
    <w:rsid w:val="006E65ED"/>
    <w:rsid w:val="006E66C2"/>
    <w:rsid w:val="006E66E3"/>
    <w:rsid w:val="006E6707"/>
    <w:rsid w:val="006E6786"/>
    <w:rsid w:val="006E6798"/>
    <w:rsid w:val="006E68D3"/>
    <w:rsid w:val="006E6C91"/>
    <w:rsid w:val="006E7878"/>
    <w:rsid w:val="006E78CB"/>
    <w:rsid w:val="006E7AA2"/>
    <w:rsid w:val="006F010D"/>
    <w:rsid w:val="006F02B7"/>
    <w:rsid w:val="006F02FF"/>
    <w:rsid w:val="006F03AD"/>
    <w:rsid w:val="006F0513"/>
    <w:rsid w:val="006F096B"/>
    <w:rsid w:val="006F09FC"/>
    <w:rsid w:val="006F0A55"/>
    <w:rsid w:val="006F0B61"/>
    <w:rsid w:val="006F0E92"/>
    <w:rsid w:val="006F102E"/>
    <w:rsid w:val="006F108C"/>
    <w:rsid w:val="006F11E9"/>
    <w:rsid w:val="006F12DF"/>
    <w:rsid w:val="006F16A0"/>
    <w:rsid w:val="006F1896"/>
    <w:rsid w:val="006F197D"/>
    <w:rsid w:val="006F1C30"/>
    <w:rsid w:val="006F2117"/>
    <w:rsid w:val="006F2222"/>
    <w:rsid w:val="006F280A"/>
    <w:rsid w:val="006F29B0"/>
    <w:rsid w:val="006F2A46"/>
    <w:rsid w:val="006F2C6E"/>
    <w:rsid w:val="006F376E"/>
    <w:rsid w:val="006F382F"/>
    <w:rsid w:val="006F418C"/>
    <w:rsid w:val="006F41DD"/>
    <w:rsid w:val="006F5283"/>
    <w:rsid w:val="006F5A69"/>
    <w:rsid w:val="006F5D89"/>
    <w:rsid w:val="006F5E70"/>
    <w:rsid w:val="006F6335"/>
    <w:rsid w:val="006F686C"/>
    <w:rsid w:val="006F6A99"/>
    <w:rsid w:val="006F6B3D"/>
    <w:rsid w:val="006F6E54"/>
    <w:rsid w:val="006F702A"/>
    <w:rsid w:val="006F7124"/>
    <w:rsid w:val="006F71C1"/>
    <w:rsid w:val="006F7BC6"/>
    <w:rsid w:val="006F7F1F"/>
    <w:rsid w:val="0070011E"/>
    <w:rsid w:val="007006C6"/>
    <w:rsid w:val="007006CE"/>
    <w:rsid w:val="007009CC"/>
    <w:rsid w:val="00700A1A"/>
    <w:rsid w:val="00700B57"/>
    <w:rsid w:val="00700EA0"/>
    <w:rsid w:val="00700ED2"/>
    <w:rsid w:val="0070126B"/>
    <w:rsid w:val="0070158D"/>
    <w:rsid w:val="0070196F"/>
    <w:rsid w:val="00701F50"/>
    <w:rsid w:val="0070233B"/>
    <w:rsid w:val="007023D4"/>
    <w:rsid w:val="007028BE"/>
    <w:rsid w:val="007030A9"/>
    <w:rsid w:val="00703111"/>
    <w:rsid w:val="00703194"/>
    <w:rsid w:val="00703A49"/>
    <w:rsid w:val="00703B3D"/>
    <w:rsid w:val="00704332"/>
    <w:rsid w:val="007043F7"/>
    <w:rsid w:val="007043FE"/>
    <w:rsid w:val="007046D4"/>
    <w:rsid w:val="00705018"/>
    <w:rsid w:val="00705658"/>
    <w:rsid w:val="00705882"/>
    <w:rsid w:val="00705D11"/>
    <w:rsid w:val="00705DFC"/>
    <w:rsid w:val="0070649A"/>
    <w:rsid w:val="007064C3"/>
    <w:rsid w:val="007066C1"/>
    <w:rsid w:val="007070B3"/>
    <w:rsid w:val="00707834"/>
    <w:rsid w:val="00707A66"/>
    <w:rsid w:val="00707BB6"/>
    <w:rsid w:val="00707CC9"/>
    <w:rsid w:val="00707EE0"/>
    <w:rsid w:val="0071089E"/>
    <w:rsid w:val="0071122F"/>
    <w:rsid w:val="00711B61"/>
    <w:rsid w:val="00711E2B"/>
    <w:rsid w:val="00712038"/>
    <w:rsid w:val="0071216C"/>
    <w:rsid w:val="00712634"/>
    <w:rsid w:val="007126E4"/>
    <w:rsid w:val="00712AEF"/>
    <w:rsid w:val="00712C17"/>
    <w:rsid w:val="00712FAB"/>
    <w:rsid w:val="00713133"/>
    <w:rsid w:val="00713214"/>
    <w:rsid w:val="0071351E"/>
    <w:rsid w:val="00713BED"/>
    <w:rsid w:val="00713CFE"/>
    <w:rsid w:val="00713D85"/>
    <w:rsid w:val="00713F4E"/>
    <w:rsid w:val="007142DA"/>
    <w:rsid w:val="007143E1"/>
    <w:rsid w:val="0071451D"/>
    <w:rsid w:val="007147B4"/>
    <w:rsid w:val="007149A2"/>
    <w:rsid w:val="00715468"/>
    <w:rsid w:val="00715490"/>
    <w:rsid w:val="0071553C"/>
    <w:rsid w:val="0071566F"/>
    <w:rsid w:val="00715B08"/>
    <w:rsid w:val="00715B30"/>
    <w:rsid w:val="00715CBB"/>
    <w:rsid w:val="00715CDF"/>
    <w:rsid w:val="0071610E"/>
    <w:rsid w:val="00716F0D"/>
    <w:rsid w:val="00716FA9"/>
    <w:rsid w:val="00717693"/>
    <w:rsid w:val="00717B1A"/>
    <w:rsid w:val="00717BF1"/>
    <w:rsid w:val="00717C75"/>
    <w:rsid w:val="007200EA"/>
    <w:rsid w:val="007201E4"/>
    <w:rsid w:val="0072057F"/>
    <w:rsid w:val="007205F9"/>
    <w:rsid w:val="00720D53"/>
    <w:rsid w:val="00721135"/>
    <w:rsid w:val="00721325"/>
    <w:rsid w:val="007215DB"/>
    <w:rsid w:val="0072179F"/>
    <w:rsid w:val="00721D65"/>
    <w:rsid w:val="007221FC"/>
    <w:rsid w:val="00722FED"/>
    <w:rsid w:val="0072343D"/>
    <w:rsid w:val="007234EA"/>
    <w:rsid w:val="0072357C"/>
    <w:rsid w:val="00723870"/>
    <w:rsid w:val="00723B2C"/>
    <w:rsid w:val="00723B83"/>
    <w:rsid w:val="00723E01"/>
    <w:rsid w:val="007245B1"/>
    <w:rsid w:val="007246DC"/>
    <w:rsid w:val="00724820"/>
    <w:rsid w:val="007248D4"/>
    <w:rsid w:val="00724D23"/>
    <w:rsid w:val="00724DCD"/>
    <w:rsid w:val="007250F3"/>
    <w:rsid w:val="00725A6D"/>
    <w:rsid w:val="00725B13"/>
    <w:rsid w:val="00725FD9"/>
    <w:rsid w:val="0072630B"/>
    <w:rsid w:val="00726360"/>
    <w:rsid w:val="0072663E"/>
    <w:rsid w:val="00726993"/>
    <w:rsid w:val="00726CCF"/>
    <w:rsid w:val="0072716A"/>
    <w:rsid w:val="0072750D"/>
    <w:rsid w:val="00727651"/>
    <w:rsid w:val="00727662"/>
    <w:rsid w:val="007278B7"/>
    <w:rsid w:val="00727B4C"/>
    <w:rsid w:val="00727B4D"/>
    <w:rsid w:val="0073011F"/>
    <w:rsid w:val="00730278"/>
    <w:rsid w:val="0073104E"/>
    <w:rsid w:val="007310EB"/>
    <w:rsid w:val="0073191D"/>
    <w:rsid w:val="007319EF"/>
    <w:rsid w:val="00731E40"/>
    <w:rsid w:val="0073214E"/>
    <w:rsid w:val="007328C5"/>
    <w:rsid w:val="00732B95"/>
    <w:rsid w:val="00732C3B"/>
    <w:rsid w:val="00732CF6"/>
    <w:rsid w:val="00732CFC"/>
    <w:rsid w:val="0073305E"/>
    <w:rsid w:val="0073336B"/>
    <w:rsid w:val="007334C1"/>
    <w:rsid w:val="0073367C"/>
    <w:rsid w:val="00733762"/>
    <w:rsid w:val="00733C3B"/>
    <w:rsid w:val="007340C0"/>
    <w:rsid w:val="0073426D"/>
    <w:rsid w:val="007346EC"/>
    <w:rsid w:val="0073491C"/>
    <w:rsid w:val="00734BBB"/>
    <w:rsid w:val="00734EDF"/>
    <w:rsid w:val="00735419"/>
    <w:rsid w:val="007354C4"/>
    <w:rsid w:val="00735643"/>
    <w:rsid w:val="00735754"/>
    <w:rsid w:val="0073598E"/>
    <w:rsid w:val="00735ACE"/>
    <w:rsid w:val="00735DF5"/>
    <w:rsid w:val="00736548"/>
    <w:rsid w:val="00736737"/>
    <w:rsid w:val="007367D4"/>
    <w:rsid w:val="0073713F"/>
    <w:rsid w:val="0073737F"/>
    <w:rsid w:val="00740234"/>
    <w:rsid w:val="00740314"/>
    <w:rsid w:val="007407EE"/>
    <w:rsid w:val="00740BBE"/>
    <w:rsid w:val="00740E1F"/>
    <w:rsid w:val="00741257"/>
    <w:rsid w:val="007418A5"/>
    <w:rsid w:val="00741F27"/>
    <w:rsid w:val="0074235F"/>
    <w:rsid w:val="007426D7"/>
    <w:rsid w:val="00742ED7"/>
    <w:rsid w:val="0074347E"/>
    <w:rsid w:val="00743519"/>
    <w:rsid w:val="007438D6"/>
    <w:rsid w:val="00743A1E"/>
    <w:rsid w:val="00743CE3"/>
    <w:rsid w:val="00743D8F"/>
    <w:rsid w:val="00743F17"/>
    <w:rsid w:val="0074452E"/>
    <w:rsid w:val="00744814"/>
    <w:rsid w:val="007448F5"/>
    <w:rsid w:val="00744952"/>
    <w:rsid w:val="00744A6F"/>
    <w:rsid w:val="00744EEE"/>
    <w:rsid w:val="007453E2"/>
    <w:rsid w:val="0074597B"/>
    <w:rsid w:val="00745A45"/>
    <w:rsid w:val="00745A63"/>
    <w:rsid w:val="00745FC0"/>
    <w:rsid w:val="0074601D"/>
    <w:rsid w:val="00746127"/>
    <w:rsid w:val="007468A5"/>
    <w:rsid w:val="00746DE7"/>
    <w:rsid w:val="00747D0A"/>
    <w:rsid w:val="007500C1"/>
    <w:rsid w:val="007501BE"/>
    <w:rsid w:val="00750234"/>
    <w:rsid w:val="007511B3"/>
    <w:rsid w:val="00751252"/>
    <w:rsid w:val="0075189C"/>
    <w:rsid w:val="00751BB8"/>
    <w:rsid w:val="00751C30"/>
    <w:rsid w:val="00751E62"/>
    <w:rsid w:val="0075267B"/>
    <w:rsid w:val="007527B5"/>
    <w:rsid w:val="0075305E"/>
    <w:rsid w:val="007551F9"/>
    <w:rsid w:val="00755380"/>
    <w:rsid w:val="007557D5"/>
    <w:rsid w:val="00755DA7"/>
    <w:rsid w:val="00756453"/>
    <w:rsid w:val="00756B85"/>
    <w:rsid w:val="00756BDA"/>
    <w:rsid w:val="00756F65"/>
    <w:rsid w:val="00757481"/>
    <w:rsid w:val="00757652"/>
    <w:rsid w:val="007600F7"/>
    <w:rsid w:val="007607E1"/>
    <w:rsid w:val="00760CC5"/>
    <w:rsid w:val="0076126A"/>
    <w:rsid w:val="007615A1"/>
    <w:rsid w:val="007619DF"/>
    <w:rsid w:val="00761CC8"/>
    <w:rsid w:val="00761DE9"/>
    <w:rsid w:val="00761DF6"/>
    <w:rsid w:val="00761E7B"/>
    <w:rsid w:val="00761F0E"/>
    <w:rsid w:val="0076264D"/>
    <w:rsid w:val="00762673"/>
    <w:rsid w:val="00762AF3"/>
    <w:rsid w:val="00762AF9"/>
    <w:rsid w:val="00763361"/>
    <w:rsid w:val="00763384"/>
    <w:rsid w:val="0076355A"/>
    <w:rsid w:val="007636AD"/>
    <w:rsid w:val="00763747"/>
    <w:rsid w:val="00763855"/>
    <w:rsid w:val="007642EE"/>
    <w:rsid w:val="0076441F"/>
    <w:rsid w:val="0076471E"/>
    <w:rsid w:val="007647AD"/>
    <w:rsid w:val="00764DEF"/>
    <w:rsid w:val="007657E4"/>
    <w:rsid w:val="0076634E"/>
    <w:rsid w:val="007663D0"/>
    <w:rsid w:val="00766BC4"/>
    <w:rsid w:val="00767201"/>
    <w:rsid w:val="0076743E"/>
    <w:rsid w:val="0076759F"/>
    <w:rsid w:val="00767879"/>
    <w:rsid w:val="00767CAF"/>
    <w:rsid w:val="00770138"/>
    <w:rsid w:val="00770D98"/>
    <w:rsid w:val="00770E49"/>
    <w:rsid w:val="00770EC0"/>
    <w:rsid w:val="00770F89"/>
    <w:rsid w:val="007711B0"/>
    <w:rsid w:val="0077127E"/>
    <w:rsid w:val="007716FD"/>
    <w:rsid w:val="00771784"/>
    <w:rsid w:val="00771FB6"/>
    <w:rsid w:val="00772203"/>
    <w:rsid w:val="007725DE"/>
    <w:rsid w:val="00772821"/>
    <w:rsid w:val="00772AB5"/>
    <w:rsid w:val="00772B38"/>
    <w:rsid w:val="00773E16"/>
    <w:rsid w:val="00773EAF"/>
    <w:rsid w:val="00773F45"/>
    <w:rsid w:val="007740C7"/>
    <w:rsid w:val="007748E6"/>
    <w:rsid w:val="00774E3F"/>
    <w:rsid w:val="007755FA"/>
    <w:rsid w:val="00775988"/>
    <w:rsid w:val="00775A00"/>
    <w:rsid w:val="007765BF"/>
    <w:rsid w:val="00776856"/>
    <w:rsid w:val="0077693A"/>
    <w:rsid w:val="00776A82"/>
    <w:rsid w:val="007774FF"/>
    <w:rsid w:val="00777625"/>
    <w:rsid w:val="00777BE7"/>
    <w:rsid w:val="007802B0"/>
    <w:rsid w:val="007809BE"/>
    <w:rsid w:val="00780AF9"/>
    <w:rsid w:val="00780DAC"/>
    <w:rsid w:val="00780E6C"/>
    <w:rsid w:val="0078116F"/>
    <w:rsid w:val="00781A34"/>
    <w:rsid w:val="00781C85"/>
    <w:rsid w:val="00781D3B"/>
    <w:rsid w:val="007822D9"/>
    <w:rsid w:val="00782396"/>
    <w:rsid w:val="007823B9"/>
    <w:rsid w:val="00782A7B"/>
    <w:rsid w:val="00783187"/>
    <w:rsid w:val="00783358"/>
    <w:rsid w:val="007845E1"/>
    <w:rsid w:val="00784AAC"/>
    <w:rsid w:val="00784E26"/>
    <w:rsid w:val="00785738"/>
    <w:rsid w:val="00785B5F"/>
    <w:rsid w:val="00785FAC"/>
    <w:rsid w:val="00786108"/>
    <w:rsid w:val="00786344"/>
    <w:rsid w:val="007863C0"/>
    <w:rsid w:val="00786832"/>
    <w:rsid w:val="00786BDA"/>
    <w:rsid w:val="00786BEF"/>
    <w:rsid w:val="00786EA5"/>
    <w:rsid w:val="00787480"/>
    <w:rsid w:val="0078754B"/>
    <w:rsid w:val="0078785A"/>
    <w:rsid w:val="00787AD2"/>
    <w:rsid w:val="00787DC2"/>
    <w:rsid w:val="007901FD"/>
    <w:rsid w:val="007902F5"/>
    <w:rsid w:val="007902FC"/>
    <w:rsid w:val="00791055"/>
    <w:rsid w:val="00791284"/>
    <w:rsid w:val="007914DC"/>
    <w:rsid w:val="007919F7"/>
    <w:rsid w:val="00791ADC"/>
    <w:rsid w:val="00792923"/>
    <w:rsid w:val="007929F3"/>
    <w:rsid w:val="00792A59"/>
    <w:rsid w:val="00792F33"/>
    <w:rsid w:val="0079316F"/>
    <w:rsid w:val="00793203"/>
    <w:rsid w:val="0079322F"/>
    <w:rsid w:val="00793717"/>
    <w:rsid w:val="007937BA"/>
    <w:rsid w:val="007937F1"/>
    <w:rsid w:val="00793CEF"/>
    <w:rsid w:val="00793E1F"/>
    <w:rsid w:val="00794185"/>
    <w:rsid w:val="00794854"/>
    <w:rsid w:val="007949AA"/>
    <w:rsid w:val="00794F62"/>
    <w:rsid w:val="00794FB5"/>
    <w:rsid w:val="007950E3"/>
    <w:rsid w:val="007951CC"/>
    <w:rsid w:val="00795219"/>
    <w:rsid w:val="007958AA"/>
    <w:rsid w:val="00795BA9"/>
    <w:rsid w:val="00795CB4"/>
    <w:rsid w:val="00796078"/>
    <w:rsid w:val="00796351"/>
    <w:rsid w:val="00796A42"/>
    <w:rsid w:val="00797B78"/>
    <w:rsid w:val="00797CE8"/>
    <w:rsid w:val="00797E6D"/>
    <w:rsid w:val="007A03A4"/>
    <w:rsid w:val="007A0988"/>
    <w:rsid w:val="007A0C27"/>
    <w:rsid w:val="007A0C3D"/>
    <w:rsid w:val="007A1056"/>
    <w:rsid w:val="007A13D2"/>
    <w:rsid w:val="007A17F7"/>
    <w:rsid w:val="007A1810"/>
    <w:rsid w:val="007A1861"/>
    <w:rsid w:val="007A1C6C"/>
    <w:rsid w:val="007A25A3"/>
    <w:rsid w:val="007A289E"/>
    <w:rsid w:val="007A2B42"/>
    <w:rsid w:val="007A2B85"/>
    <w:rsid w:val="007A2EBF"/>
    <w:rsid w:val="007A3642"/>
    <w:rsid w:val="007A3BB4"/>
    <w:rsid w:val="007A3C6B"/>
    <w:rsid w:val="007A3FB9"/>
    <w:rsid w:val="007A417B"/>
    <w:rsid w:val="007A4322"/>
    <w:rsid w:val="007A4450"/>
    <w:rsid w:val="007A4518"/>
    <w:rsid w:val="007A451A"/>
    <w:rsid w:val="007A4581"/>
    <w:rsid w:val="007A4C00"/>
    <w:rsid w:val="007A540C"/>
    <w:rsid w:val="007A54D8"/>
    <w:rsid w:val="007A5BBC"/>
    <w:rsid w:val="007A5D65"/>
    <w:rsid w:val="007A5EE7"/>
    <w:rsid w:val="007A6A3C"/>
    <w:rsid w:val="007A6E7E"/>
    <w:rsid w:val="007A70EE"/>
    <w:rsid w:val="007A7474"/>
    <w:rsid w:val="007A7501"/>
    <w:rsid w:val="007A76E5"/>
    <w:rsid w:val="007A77B0"/>
    <w:rsid w:val="007A7D96"/>
    <w:rsid w:val="007A7EBF"/>
    <w:rsid w:val="007A7ECA"/>
    <w:rsid w:val="007B01BA"/>
    <w:rsid w:val="007B025F"/>
    <w:rsid w:val="007B0348"/>
    <w:rsid w:val="007B070B"/>
    <w:rsid w:val="007B0ECB"/>
    <w:rsid w:val="007B1172"/>
    <w:rsid w:val="007B11C9"/>
    <w:rsid w:val="007B11F1"/>
    <w:rsid w:val="007B1D39"/>
    <w:rsid w:val="007B1F99"/>
    <w:rsid w:val="007B2413"/>
    <w:rsid w:val="007B2962"/>
    <w:rsid w:val="007B2D96"/>
    <w:rsid w:val="007B2F68"/>
    <w:rsid w:val="007B3309"/>
    <w:rsid w:val="007B3798"/>
    <w:rsid w:val="007B3D58"/>
    <w:rsid w:val="007B45BD"/>
    <w:rsid w:val="007B4635"/>
    <w:rsid w:val="007B4880"/>
    <w:rsid w:val="007B4BF7"/>
    <w:rsid w:val="007B5061"/>
    <w:rsid w:val="007B5943"/>
    <w:rsid w:val="007B5B68"/>
    <w:rsid w:val="007B5D87"/>
    <w:rsid w:val="007B5DB9"/>
    <w:rsid w:val="007B6285"/>
    <w:rsid w:val="007B65F3"/>
    <w:rsid w:val="007B6A65"/>
    <w:rsid w:val="007B6AEB"/>
    <w:rsid w:val="007B6B0D"/>
    <w:rsid w:val="007B6D67"/>
    <w:rsid w:val="007B707D"/>
    <w:rsid w:val="007B7203"/>
    <w:rsid w:val="007B7221"/>
    <w:rsid w:val="007B76D9"/>
    <w:rsid w:val="007C042B"/>
    <w:rsid w:val="007C04BE"/>
    <w:rsid w:val="007C09E8"/>
    <w:rsid w:val="007C0B5B"/>
    <w:rsid w:val="007C158F"/>
    <w:rsid w:val="007C1675"/>
    <w:rsid w:val="007C1E01"/>
    <w:rsid w:val="007C223A"/>
    <w:rsid w:val="007C2746"/>
    <w:rsid w:val="007C2897"/>
    <w:rsid w:val="007C289D"/>
    <w:rsid w:val="007C29E7"/>
    <w:rsid w:val="007C2F9A"/>
    <w:rsid w:val="007C31FA"/>
    <w:rsid w:val="007C3883"/>
    <w:rsid w:val="007C3A0B"/>
    <w:rsid w:val="007C3AF4"/>
    <w:rsid w:val="007C3C7F"/>
    <w:rsid w:val="007C3D77"/>
    <w:rsid w:val="007C3E6B"/>
    <w:rsid w:val="007C4282"/>
    <w:rsid w:val="007C4285"/>
    <w:rsid w:val="007C46F3"/>
    <w:rsid w:val="007C4D23"/>
    <w:rsid w:val="007C4FA2"/>
    <w:rsid w:val="007C5084"/>
    <w:rsid w:val="007C5EE5"/>
    <w:rsid w:val="007C6216"/>
    <w:rsid w:val="007C62D0"/>
    <w:rsid w:val="007C62D7"/>
    <w:rsid w:val="007C62F8"/>
    <w:rsid w:val="007C63EB"/>
    <w:rsid w:val="007C6C0E"/>
    <w:rsid w:val="007C6E8A"/>
    <w:rsid w:val="007C6ED4"/>
    <w:rsid w:val="007C6EFA"/>
    <w:rsid w:val="007C71E9"/>
    <w:rsid w:val="007C7346"/>
    <w:rsid w:val="007C7633"/>
    <w:rsid w:val="007C76F6"/>
    <w:rsid w:val="007D018F"/>
    <w:rsid w:val="007D0F8E"/>
    <w:rsid w:val="007D1594"/>
    <w:rsid w:val="007D1791"/>
    <w:rsid w:val="007D1F21"/>
    <w:rsid w:val="007D2478"/>
    <w:rsid w:val="007D255A"/>
    <w:rsid w:val="007D27AE"/>
    <w:rsid w:val="007D2947"/>
    <w:rsid w:val="007D3651"/>
    <w:rsid w:val="007D3975"/>
    <w:rsid w:val="007D3A6A"/>
    <w:rsid w:val="007D3F87"/>
    <w:rsid w:val="007D3FAD"/>
    <w:rsid w:val="007D46B0"/>
    <w:rsid w:val="007D4A58"/>
    <w:rsid w:val="007D51EA"/>
    <w:rsid w:val="007D5620"/>
    <w:rsid w:val="007D5FD7"/>
    <w:rsid w:val="007D63D5"/>
    <w:rsid w:val="007D6482"/>
    <w:rsid w:val="007D7001"/>
    <w:rsid w:val="007D731A"/>
    <w:rsid w:val="007D75B8"/>
    <w:rsid w:val="007D79C4"/>
    <w:rsid w:val="007D7EAE"/>
    <w:rsid w:val="007E0204"/>
    <w:rsid w:val="007E027B"/>
    <w:rsid w:val="007E0AB0"/>
    <w:rsid w:val="007E188A"/>
    <w:rsid w:val="007E1BDD"/>
    <w:rsid w:val="007E2190"/>
    <w:rsid w:val="007E246E"/>
    <w:rsid w:val="007E2E7F"/>
    <w:rsid w:val="007E3575"/>
    <w:rsid w:val="007E3697"/>
    <w:rsid w:val="007E3969"/>
    <w:rsid w:val="007E3A84"/>
    <w:rsid w:val="007E3BCB"/>
    <w:rsid w:val="007E3C95"/>
    <w:rsid w:val="007E3DA5"/>
    <w:rsid w:val="007E4992"/>
    <w:rsid w:val="007E49A5"/>
    <w:rsid w:val="007E4B0F"/>
    <w:rsid w:val="007E50F5"/>
    <w:rsid w:val="007E5257"/>
    <w:rsid w:val="007E52D3"/>
    <w:rsid w:val="007E5966"/>
    <w:rsid w:val="007E5F7A"/>
    <w:rsid w:val="007E66EF"/>
    <w:rsid w:val="007E6B62"/>
    <w:rsid w:val="007E721B"/>
    <w:rsid w:val="007E729B"/>
    <w:rsid w:val="007E74C0"/>
    <w:rsid w:val="007E7D3A"/>
    <w:rsid w:val="007E7DDE"/>
    <w:rsid w:val="007F01B1"/>
    <w:rsid w:val="007F04B1"/>
    <w:rsid w:val="007F11BB"/>
    <w:rsid w:val="007F123D"/>
    <w:rsid w:val="007F144F"/>
    <w:rsid w:val="007F15D3"/>
    <w:rsid w:val="007F1787"/>
    <w:rsid w:val="007F1BEA"/>
    <w:rsid w:val="007F24AB"/>
    <w:rsid w:val="007F24CA"/>
    <w:rsid w:val="007F29BB"/>
    <w:rsid w:val="007F2B38"/>
    <w:rsid w:val="007F2DD1"/>
    <w:rsid w:val="007F2DDF"/>
    <w:rsid w:val="007F310E"/>
    <w:rsid w:val="007F3205"/>
    <w:rsid w:val="007F3504"/>
    <w:rsid w:val="007F3D60"/>
    <w:rsid w:val="007F3F99"/>
    <w:rsid w:val="007F42AD"/>
    <w:rsid w:val="007F48CA"/>
    <w:rsid w:val="007F4935"/>
    <w:rsid w:val="007F5206"/>
    <w:rsid w:val="007F54C9"/>
    <w:rsid w:val="007F589D"/>
    <w:rsid w:val="007F5996"/>
    <w:rsid w:val="007F59DF"/>
    <w:rsid w:val="007F5D36"/>
    <w:rsid w:val="007F6700"/>
    <w:rsid w:val="007F6946"/>
    <w:rsid w:val="007F711A"/>
    <w:rsid w:val="007F7900"/>
    <w:rsid w:val="007F7993"/>
    <w:rsid w:val="007F7BAB"/>
    <w:rsid w:val="007F7CF6"/>
    <w:rsid w:val="00800163"/>
    <w:rsid w:val="008003BD"/>
    <w:rsid w:val="00800F91"/>
    <w:rsid w:val="008010B7"/>
    <w:rsid w:val="00801106"/>
    <w:rsid w:val="00801873"/>
    <w:rsid w:val="00801E8E"/>
    <w:rsid w:val="00801E99"/>
    <w:rsid w:val="00801FB7"/>
    <w:rsid w:val="00802104"/>
    <w:rsid w:val="0080296D"/>
    <w:rsid w:val="00802D2B"/>
    <w:rsid w:val="00803010"/>
    <w:rsid w:val="008033F4"/>
    <w:rsid w:val="00803576"/>
    <w:rsid w:val="00803DD7"/>
    <w:rsid w:val="008040C9"/>
    <w:rsid w:val="00804CD0"/>
    <w:rsid w:val="008052C2"/>
    <w:rsid w:val="0080542F"/>
    <w:rsid w:val="0080570C"/>
    <w:rsid w:val="00805A56"/>
    <w:rsid w:val="00805A84"/>
    <w:rsid w:val="00805AE2"/>
    <w:rsid w:val="00805B35"/>
    <w:rsid w:val="00805C3C"/>
    <w:rsid w:val="00805DC6"/>
    <w:rsid w:val="00805FB0"/>
    <w:rsid w:val="008064F6"/>
    <w:rsid w:val="0080663A"/>
    <w:rsid w:val="00806782"/>
    <w:rsid w:val="008069B4"/>
    <w:rsid w:val="00806A4A"/>
    <w:rsid w:val="00806AD1"/>
    <w:rsid w:val="008078D4"/>
    <w:rsid w:val="00807E45"/>
    <w:rsid w:val="00807F6B"/>
    <w:rsid w:val="00810173"/>
    <w:rsid w:val="008103A8"/>
    <w:rsid w:val="00810558"/>
    <w:rsid w:val="008106F4"/>
    <w:rsid w:val="008107CE"/>
    <w:rsid w:val="00810A8F"/>
    <w:rsid w:val="00810AC8"/>
    <w:rsid w:val="00810D97"/>
    <w:rsid w:val="00811508"/>
    <w:rsid w:val="0081164A"/>
    <w:rsid w:val="00811E92"/>
    <w:rsid w:val="008124F1"/>
    <w:rsid w:val="00812849"/>
    <w:rsid w:val="00812A77"/>
    <w:rsid w:val="00812BA9"/>
    <w:rsid w:val="00812FE4"/>
    <w:rsid w:val="00813A8B"/>
    <w:rsid w:val="008140B4"/>
    <w:rsid w:val="0081435C"/>
    <w:rsid w:val="008146BE"/>
    <w:rsid w:val="00814BDA"/>
    <w:rsid w:val="00814D78"/>
    <w:rsid w:val="00814E3A"/>
    <w:rsid w:val="0081569E"/>
    <w:rsid w:val="00815D1F"/>
    <w:rsid w:val="00815E82"/>
    <w:rsid w:val="00816011"/>
    <w:rsid w:val="0081620F"/>
    <w:rsid w:val="00816931"/>
    <w:rsid w:val="0081694A"/>
    <w:rsid w:val="00816979"/>
    <w:rsid w:val="00816D4D"/>
    <w:rsid w:val="00816F4B"/>
    <w:rsid w:val="0081744F"/>
    <w:rsid w:val="00817494"/>
    <w:rsid w:val="008176A8"/>
    <w:rsid w:val="008176F2"/>
    <w:rsid w:val="008204E9"/>
    <w:rsid w:val="008207F8"/>
    <w:rsid w:val="00820B88"/>
    <w:rsid w:val="00820FD3"/>
    <w:rsid w:val="008213A4"/>
    <w:rsid w:val="008213D4"/>
    <w:rsid w:val="008213F7"/>
    <w:rsid w:val="008216C4"/>
    <w:rsid w:val="00822071"/>
    <w:rsid w:val="0082273F"/>
    <w:rsid w:val="00822BC7"/>
    <w:rsid w:val="00823D10"/>
    <w:rsid w:val="0082446D"/>
    <w:rsid w:val="00824DAD"/>
    <w:rsid w:val="0082560E"/>
    <w:rsid w:val="00825A23"/>
    <w:rsid w:val="00825C59"/>
    <w:rsid w:val="00825D19"/>
    <w:rsid w:val="00826589"/>
    <w:rsid w:val="00826675"/>
    <w:rsid w:val="008266E6"/>
    <w:rsid w:val="008268F0"/>
    <w:rsid w:val="00827211"/>
    <w:rsid w:val="008300C2"/>
    <w:rsid w:val="008302A7"/>
    <w:rsid w:val="008303CA"/>
    <w:rsid w:val="008303F2"/>
    <w:rsid w:val="00830826"/>
    <w:rsid w:val="008314F5"/>
    <w:rsid w:val="008315B6"/>
    <w:rsid w:val="00831735"/>
    <w:rsid w:val="00831954"/>
    <w:rsid w:val="0083283E"/>
    <w:rsid w:val="00832F62"/>
    <w:rsid w:val="00833192"/>
    <w:rsid w:val="00833388"/>
    <w:rsid w:val="0083348F"/>
    <w:rsid w:val="0083385E"/>
    <w:rsid w:val="00833947"/>
    <w:rsid w:val="00833A6F"/>
    <w:rsid w:val="00833B23"/>
    <w:rsid w:val="00833DCC"/>
    <w:rsid w:val="00833FF2"/>
    <w:rsid w:val="00834249"/>
    <w:rsid w:val="008344B5"/>
    <w:rsid w:val="00834582"/>
    <w:rsid w:val="0083490D"/>
    <w:rsid w:val="00834C6C"/>
    <w:rsid w:val="00834E56"/>
    <w:rsid w:val="00834FCD"/>
    <w:rsid w:val="008359DD"/>
    <w:rsid w:val="00835F77"/>
    <w:rsid w:val="00836367"/>
    <w:rsid w:val="00836A80"/>
    <w:rsid w:val="00836E65"/>
    <w:rsid w:val="00836F3E"/>
    <w:rsid w:val="00837180"/>
    <w:rsid w:val="00837783"/>
    <w:rsid w:val="00837BC2"/>
    <w:rsid w:val="00837E3C"/>
    <w:rsid w:val="008405E1"/>
    <w:rsid w:val="00840606"/>
    <w:rsid w:val="00840670"/>
    <w:rsid w:val="008409A3"/>
    <w:rsid w:val="00840C3D"/>
    <w:rsid w:val="00841253"/>
    <w:rsid w:val="008413BF"/>
    <w:rsid w:val="00842311"/>
    <w:rsid w:val="00842CA3"/>
    <w:rsid w:val="00843125"/>
    <w:rsid w:val="0084347C"/>
    <w:rsid w:val="008434E0"/>
    <w:rsid w:val="00843818"/>
    <w:rsid w:val="00843848"/>
    <w:rsid w:val="00843C4B"/>
    <w:rsid w:val="00843DEC"/>
    <w:rsid w:val="008443BB"/>
    <w:rsid w:val="00844B80"/>
    <w:rsid w:val="00845255"/>
    <w:rsid w:val="00845A8F"/>
    <w:rsid w:val="00845B37"/>
    <w:rsid w:val="00845CC0"/>
    <w:rsid w:val="00846061"/>
    <w:rsid w:val="008464A6"/>
    <w:rsid w:val="0084674F"/>
    <w:rsid w:val="008467C6"/>
    <w:rsid w:val="00846AF9"/>
    <w:rsid w:val="00846B21"/>
    <w:rsid w:val="00846EC1"/>
    <w:rsid w:val="0084779C"/>
    <w:rsid w:val="00847981"/>
    <w:rsid w:val="00847DEB"/>
    <w:rsid w:val="0085033A"/>
    <w:rsid w:val="0085046C"/>
    <w:rsid w:val="0085048B"/>
    <w:rsid w:val="00850B90"/>
    <w:rsid w:val="00850C87"/>
    <w:rsid w:val="00850D99"/>
    <w:rsid w:val="00850F1B"/>
    <w:rsid w:val="008514DB"/>
    <w:rsid w:val="0085201A"/>
    <w:rsid w:val="00852056"/>
    <w:rsid w:val="0085268B"/>
    <w:rsid w:val="008526C4"/>
    <w:rsid w:val="0085274E"/>
    <w:rsid w:val="008532A2"/>
    <w:rsid w:val="008532F8"/>
    <w:rsid w:val="00853866"/>
    <w:rsid w:val="0085396F"/>
    <w:rsid w:val="008539D2"/>
    <w:rsid w:val="008542C2"/>
    <w:rsid w:val="0085472E"/>
    <w:rsid w:val="00854BB5"/>
    <w:rsid w:val="008552C6"/>
    <w:rsid w:val="008557BA"/>
    <w:rsid w:val="00855B37"/>
    <w:rsid w:val="00855C77"/>
    <w:rsid w:val="00855D63"/>
    <w:rsid w:val="0085628F"/>
    <w:rsid w:val="008562C8"/>
    <w:rsid w:val="0085635A"/>
    <w:rsid w:val="00856A34"/>
    <w:rsid w:val="00856ABB"/>
    <w:rsid w:val="00857245"/>
    <w:rsid w:val="00857802"/>
    <w:rsid w:val="00857AB9"/>
    <w:rsid w:val="00857D89"/>
    <w:rsid w:val="008605FA"/>
    <w:rsid w:val="00860766"/>
    <w:rsid w:val="008608B8"/>
    <w:rsid w:val="008608C4"/>
    <w:rsid w:val="008608C7"/>
    <w:rsid w:val="00861063"/>
    <w:rsid w:val="008610BA"/>
    <w:rsid w:val="0086115F"/>
    <w:rsid w:val="0086129C"/>
    <w:rsid w:val="0086206B"/>
    <w:rsid w:val="0086225C"/>
    <w:rsid w:val="00862728"/>
    <w:rsid w:val="008627A8"/>
    <w:rsid w:val="008629A1"/>
    <w:rsid w:val="008632EC"/>
    <w:rsid w:val="00863898"/>
    <w:rsid w:val="00863929"/>
    <w:rsid w:val="00863BCE"/>
    <w:rsid w:val="00864000"/>
    <w:rsid w:val="0086436D"/>
    <w:rsid w:val="00864483"/>
    <w:rsid w:val="00864671"/>
    <w:rsid w:val="00864DE9"/>
    <w:rsid w:val="00865139"/>
    <w:rsid w:val="008652A5"/>
    <w:rsid w:val="0086555C"/>
    <w:rsid w:val="00865820"/>
    <w:rsid w:val="00865CD1"/>
    <w:rsid w:val="0086601C"/>
    <w:rsid w:val="00866295"/>
    <w:rsid w:val="0086640C"/>
    <w:rsid w:val="0086642E"/>
    <w:rsid w:val="00866756"/>
    <w:rsid w:val="00866B63"/>
    <w:rsid w:val="00866D4F"/>
    <w:rsid w:val="0086707A"/>
    <w:rsid w:val="008677FD"/>
    <w:rsid w:val="00867907"/>
    <w:rsid w:val="008704A2"/>
    <w:rsid w:val="008705ED"/>
    <w:rsid w:val="00870631"/>
    <w:rsid w:val="00870C9A"/>
    <w:rsid w:val="00871031"/>
    <w:rsid w:val="0087125F"/>
    <w:rsid w:val="008714B9"/>
    <w:rsid w:val="00871C30"/>
    <w:rsid w:val="0087201E"/>
    <w:rsid w:val="008723A4"/>
    <w:rsid w:val="00872D51"/>
    <w:rsid w:val="00872FFD"/>
    <w:rsid w:val="00873088"/>
    <w:rsid w:val="0087356A"/>
    <w:rsid w:val="00873868"/>
    <w:rsid w:val="0087394E"/>
    <w:rsid w:val="00873C1F"/>
    <w:rsid w:val="0087422B"/>
    <w:rsid w:val="00874303"/>
    <w:rsid w:val="008747C3"/>
    <w:rsid w:val="008748A5"/>
    <w:rsid w:val="008748D1"/>
    <w:rsid w:val="0087578B"/>
    <w:rsid w:val="00875CED"/>
    <w:rsid w:val="00875D7E"/>
    <w:rsid w:val="008761A5"/>
    <w:rsid w:val="008763FF"/>
    <w:rsid w:val="00876866"/>
    <w:rsid w:val="00876E2D"/>
    <w:rsid w:val="00876F07"/>
    <w:rsid w:val="008770BC"/>
    <w:rsid w:val="00877168"/>
    <w:rsid w:val="008773EB"/>
    <w:rsid w:val="0087771A"/>
    <w:rsid w:val="00877A21"/>
    <w:rsid w:val="00877AD7"/>
    <w:rsid w:val="008800C5"/>
    <w:rsid w:val="00880133"/>
    <w:rsid w:val="008804E2"/>
    <w:rsid w:val="00880AB1"/>
    <w:rsid w:val="00880D04"/>
    <w:rsid w:val="00880EE7"/>
    <w:rsid w:val="00881AC7"/>
    <w:rsid w:val="00882BBB"/>
    <w:rsid w:val="00882D73"/>
    <w:rsid w:val="00882F38"/>
    <w:rsid w:val="008847BD"/>
    <w:rsid w:val="00884D83"/>
    <w:rsid w:val="008854B9"/>
    <w:rsid w:val="008861F9"/>
    <w:rsid w:val="008864D7"/>
    <w:rsid w:val="0088699F"/>
    <w:rsid w:val="00886A05"/>
    <w:rsid w:val="00886D04"/>
    <w:rsid w:val="008873EE"/>
    <w:rsid w:val="0088782D"/>
    <w:rsid w:val="00887BDF"/>
    <w:rsid w:val="00887D8D"/>
    <w:rsid w:val="00887F03"/>
    <w:rsid w:val="00890A28"/>
    <w:rsid w:val="00890CE9"/>
    <w:rsid w:val="00890DAF"/>
    <w:rsid w:val="00891219"/>
    <w:rsid w:val="00891268"/>
    <w:rsid w:val="008912BF"/>
    <w:rsid w:val="008913AC"/>
    <w:rsid w:val="00891839"/>
    <w:rsid w:val="008919C2"/>
    <w:rsid w:val="00891B35"/>
    <w:rsid w:val="00891DFC"/>
    <w:rsid w:val="00892436"/>
    <w:rsid w:val="0089267E"/>
    <w:rsid w:val="00892768"/>
    <w:rsid w:val="008927C9"/>
    <w:rsid w:val="008928C1"/>
    <w:rsid w:val="00892A6A"/>
    <w:rsid w:val="00892B37"/>
    <w:rsid w:val="00893129"/>
    <w:rsid w:val="00894434"/>
    <w:rsid w:val="00894662"/>
    <w:rsid w:val="00894744"/>
    <w:rsid w:val="008947A7"/>
    <w:rsid w:val="00894E7B"/>
    <w:rsid w:val="00895108"/>
    <w:rsid w:val="00896494"/>
    <w:rsid w:val="00896887"/>
    <w:rsid w:val="008968AE"/>
    <w:rsid w:val="0089710C"/>
    <w:rsid w:val="0089728A"/>
    <w:rsid w:val="008972B7"/>
    <w:rsid w:val="0089734F"/>
    <w:rsid w:val="008975B5"/>
    <w:rsid w:val="008977DE"/>
    <w:rsid w:val="008978E6"/>
    <w:rsid w:val="00897CD3"/>
    <w:rsid w:val="008A0053"/>
    <w:rsid w:val="008A04A8"/>
    <w:rsid w:val="008A04FB"/>
    <w:rsid w:val="008A054D"/>
    <w:rsid w:val="008A0768"/>
    <w:rsid w:val="008A07D0"/>
    <w:rsid w:val="008A099D"/>
    <w:rsid w:val="008A0E44"/>
    <w:rsid w:val="008A0FC3"/>
    <w:rsid w:val="008A1631"/>
    <w:rsid w:val="008A1CA0"/>
    <w:rsid w:val="008A25BA"/>
    <w:rsid w:val="008A2794"/>
    <w:rsid w:val="008A2AE4"/>
    <w:rsid w:val="008A2BB5"/>
    <w:rsid w:val="008A2CBF"/>
    <w:rsid w:val="008A31FE"/>
    <w:rsid w:val="008A3237"/>
    <w:rsid w:val="008A33CB"/>
    <w:rsid w:val="008A3505"/>
    <w:rsid w:val="008A3E5D"/>
    <w:rsid w:val="008A3EBA"/>
    <w:rsid w:val="008A40FC"/>
    <w:rsid w:val="008A41D9"/>
    <w:rsid w:val="008A517F"/>
    <w:rsid w:val="008A552F"/>
    <w:rsid w:val="008A5928"/>
    <w:rsid w:val="008A5E66"/>
    <w:rsid w:val="008A62B7"/>
    <w:rsid w:val="008A63B3"/>
    <w:rsid w:val="008A74E9"/>
    <w:rsid w:val="008A7503"/>
    <w:rsid w:val="008A7685"/>
    <w:rsid w:val="008A7883"/>
    <w:rsid w:val="008A7E65"/>
    <w:rsid w:val="008B04E7"/>
    <w:rsid w:val="008B0C9C"/>
    <w:rsid w:val="008B0F3C"/>
    <w:rsid w:val="008B1114"/>
    <w:rsid w:val="008B19CD"/>
    <w:rsid w:val="008B20EB"/>
    <w:rsid w:val="008B219C"/>
    <w:rsid w:val="008B23CC"/>
    <w:rsid w:val="008B242B"/>
    <w:rsid w:val="008B2859"/>
    <w:rsid w:val="008B2983"/>
    <w:rsid w:val="008B2E20"/>
    <w:rsid w:val="008B3252"/>
    <w:rsid w:val="008B35BC"/>
    <w:rsid w:val="008B3BEE"/>
    <w:rsid w:val="008B3F59"/>
    <w:rsid w:val="008B4119"/>
    <w:rsid w:val="008B4123"/>
    <w:rsid w:val="008B414C"/>
    <w:rsid w:val="008B44E0"/>
    <w:rsid w:val="008B459C"/>
    <w:rsid w:val="008B47AB"/>
    <w:rsid w:val="008B4B4E"/>
    <w:rsid w:val="008B4B66"/>
    <w:rsid w:val="008B687C"/>
    <w:rsid w:val="008B7382"/>
    <w:rsid w:val="008B7C24"/>
    <w:rsid w:val="008B7E0D"/>
    <w:rsid w:val="008B7EB6"/>
    <w:rsid w:val="008C0747"/>
    <w:rsid w:val="008C1017"/>
    <w:rsid w:val="008C111B"/>
    <w:rsid w:val="008C124A"/>
    <w:rsid w:val="008C176F"/>
    <w:rsid w:val="008C1B16"/>
    <w:rsid w:val="008C1B9B"/>
    <w:rsid w:val="008C1C60"/>
    <w:rsid w:val="008C2191"/>
    <w:rsid w:val="008C2507"/>
    <w:rsid w:val="008C2A6D"/>
    <w:rsid w:val="008C2E0C"/>
    <w:rsid w:val="008C32BD"/>
    <w:rsid w:val="008C348F"/>
    <w:rsid w:val="008C37F7"/>
    <w:rsid w:val="008C38DA"/>
    <w:rsid w:val="008C3B17"/>
    <w:rsid w:val="008C43F7"/>
    <w:rsid w:val="008C44CB"/>
    <w:rsid w:val="008C4944"/>
    <w:rsid w:val="008C495E"/>
    <w:rsid w:val="008C5136"/>
    <w:rsid w:val="008C5292"/>
    <w:rsid w:val="008C5743"/>
    <w:rsid w:val="008C5775"/>
    <w:rsid w:val="008C5C34"/>
    <w:rsid w:val="008C5EA6"/>
    <w:rsid w:val="008C65AD"/>
    <w:rsid w:val="008C665E"/>
    <w:rsid w:val="008C6715"/>
    <w:rsid w:val="008C6CFC"/>
    <w:rsid w:val="008C6E57"/>
    <w:rsid w:val="008C789D"/>
    <w:rsid w:val="008D0312"/>
    <w:rsid w:val="008D05B1"/>
    <w:rsid w:val="008D07C2"/>
    <w:rsid w:val="008D14D7"/>
    <w:rsid w:val="008D153A"/>
    <w:rsid w:val="008D1C5F"/>
    <w:rsid w:val="008D1D80"/>
    <w:rsid w:val="008D2563"/>
    <w:rsid w:val="008D28DD"/>
    <w:rsid w:val="008D2CF3"/>
    <w:rsid w:val="008D3165"/>
    <w:rsid w:val="008D3257"/>
    <w:rsid w:val="008D32FD"/>
    <w:rsid w:val="008D34C8"/>
    <w:rsid w:val="008D3C50"/>
    <w:rsid w:val="008D4477"/>
    <w:rsid w:val="008D4544"/>
    <w:rsid w:val="008D46ED"/>
    <w:rsid w:val="008D47BC"/>
    <w:rsid w:val="008D4CF0"/>
    <w:rsid w:val="008D5106"/>
    <w:rsid w:val="008D579F"/>
    <w:rsid w:val="008D63DF"/>
    <w:rsid w:val="008D6652"/>
    <w:rsid w:val="008D6653"/>
    <w:rsid w:val="008D68C7"/>
    <w:rsid w:val="008D6B90"/>
    <w:rsid w:val="008D733C"/>
    <w:rsid w:val="008E1497"/>
    <w:rsid w:val="008E16E9"/>
    <w:rsid w:val="008E1C82"/>
    <w:rsid w:val="008E23FB"/>
    <w:rsid w:val="008E24BF"/>
    <w:rsid w:val="008E27D7"/>
    <w:rsid w:val="008E2B33"/>
    <w:rsid w:val="008E3C43"/>
    <w:rsid w:val="008E3E4C"/>
    <w:rsid w:val="008E4625"/>
    <w:rsid w:val="008E478D"/>
    <w:rsid w:val="008E4C55"/>
    <w:rsid w:val="008E4E5D"/>
    <w:rsid w:val="008E51B3"/>
    <w:rsid w:val="008E5755"/>
    <w:rsid w:val="008E5F1D"/>
    <w:rsid w:val="008E6301"/>
    <w:rsid w:val="008E67C2"/>
    <w:rsid w:val="008E6802"/>
    <w:rsid w:val="008E68E0"/>
    <w:rsid w:val="008E6A37"/>
    <w:rsid w:val="008E6C7E"/>
    <w:rsid w:val="008E6E89"/>
    <w:rsid w:val="008E70DA"/>
    <w:rsid w:val="008E7237"/>
    <w:rsid w:val="008E763C"/>
    <w:rsid w:val="008E7C25"/>
    <w:rsid w:val="008E7F0F"/>
    <w:rsid w:val="008F049A"/>
    <w:rsid w:val="008F0884"/>
    <w:rsid w:val="008F1386"/>
    <w:rsid w:val="008F19E1"/>
    <w:rsid w:val="008F1EC7"/>
    <w:rsid w:val="008F240E"/>
    <w:rsid w:val="008F279F"/>
    <w:rsid w:val="008F2992"/>
    <w:rsid w:val="008F2AD1"/>
    <w:rsid w:val="008F2B15"/>
    <w:rsid w:val="008F2B9E"/>
    <w:rsid w:val="008F2D02"/>
    <w:rsid w:val="008F3106"/>
    <w:rsid w:val="008F3754"/>
    <w:rsid w:val="008F3796"/>
    <w:rsid w:val="008F3C74"/>
    <w:rsid w:val="008F3D86"/>
    <w:rsid w:val="008F461B"/>
    <w:rsid w:val="008F47D0"/>
    <w:rsid w:val="008F4EA6"/>
    <w:rsid w:val="008F4FDE"/>
    <w:rsid w:val="008F5423"/>
    <w:rsid w:val="008F616A"/>
    <w:rsid w:val="008F61B5"/>
    <w:rsid w:val="008F620C"/>
    <w:rsid w:val="008F64EF"/>
    <w:rsid w:val="008F6DCA"/>
    <w:rsid w:val="008F7374"/>
    <w:rsid w:val="008F76D6"/>
    <w:rsid w:val="008F78D7"/>
    <w:rsid w:val="00900A41"/>
    <w:rsid w:val="009019C7"/>
    <w:rsid w:val="009019D7"/>
    <w:rsid w:val="00901AE1"/>
    <w:rsid w:val="00901D29"/>
    <w:rsid w:val="009025C2"/>
    <w:rsid w:val="00902784"/>
    <w:rsid w:val="00902863"/>
    <w:rsid w:val="009028BC"/>
    <w:rsid w:val="0090306C"/>
    <w:rsid w:val="009031D3"/>
    <w:rsid w:val="009032F4"/>
    <w:rsid w:val="00904369"/>
    <w:rsid w:val="0090445E"/>
    <w:rsid w:val="0090447C"/>
    <w:rsid w:val="009048E0"/>
    <w:rsid w:val="00904AAE"/>
    <w:rsid w:val="00904C62"/>
    <w:rsid w:val="00904E8E"/>
    <w:rsid w:val="00904EBB"/>
    <w:rsid w:val="0090583E"/>
    <w:rsid w:val="00905858"/>
    <w:rsid w:val="00905CC6"/>
    <w:rsid w:val="00905D5A"/>
    <w:rsid w:val="00906098"/>
    <w:rsid w:val="00906379"/>
    <w:rsid w:val="00906586"/>
    <w:rsid w:val="00906875"/>
    <w:rsid w:val="00906EE0"/>
    <w:rsid w:val="009070DC"/>
    <w:rsid w:val="0090736D"/>
    <w:rsid w:val="00907CBB"/>
    <w:rsid w:val="009101F0"/>
    <w:rsid w:val="00910D4A"/>
    <w:rsid w:val="00910E34"/>
    <w:rsid w:val="00911241"/>
    <w:rsid w:val="0091132A"/>
    <w:rsid w:val="0091251C"/>
    <w:rsid w:val="00912E09"/>
    <w:rsid w:val="009135DB"/>
    <w:rsid w:val="0091366A"/>
    <w:rsid w:val="00913717"/>
    <w:rsid w:val="00913AAD"/>
    <w:rsid w:val="009145D4"/>
    <w:rsid w:val="00915419"/>
    <w:rsid w:val="0091615A"/>
    <w:rsid w:val="00916364"/>
    <w:rsid w:val="009169A4"/>
    <w:rsid w:val="009169D9"/>
    <w:rsid w:val="00916A54"/>
    <w:rsid w:val="00916C4F"/>
    <w:rsid w:val="00916CA3"/>
    <w:rsid w:val="009170AD"/>
    <w:rsid w:val="00917392"/>
    <w:rsid w:val="00917465"/>
    <w:rsid w:val="00917986"/>
    <w:rsid w:val="009179CF"/>
    <w:rsid w:val="00917BC0"/>
    <w:rsid w:val="009203A2"/>
    <w:rsid w:val="0092055D"/>
    <w:rsid w:val="009206E4"/>
    <w:rsid w:val="00920969"/>
    <w:rsid w:val="00920CBC"/>
    <w:rsid w:val="00921701"/>
    <w:rsid w:val="009218F2"/>
    <w:rsid w:val="00921B39"/>
    <w:rsid w:val="00922405"/>
    <w:rsid w:val="009224A4"/>
    <w:rsid w:val="00922690"/>
    <w:rsid w:val="009227C3"/>
    <w:rsid w:val="0092296C"/>
    <w:rsid w:val="00922C14"/>
    <w:rsid w:val="00922CE7"/>
    <w:rsid w:val="00922D3C"/>
    <w:rsid w:val="0092321D"/>
    <w:rsid w:val="00923A2D"/>
    <w:rsid w:val="009242CA"/>
    <w:rsid w:val="00924348"/>
    <w:rsid w:val="009247F2"/>
    <w:rsid w:val="009248D6"/>
    <w:rsid w:val="00924FD4"/>
    <w:rsid w:val="00925407"/>
    <w:rsid w:val="009254DB"/>
    <w:rsid w:val="00925626"/>
    <w:rsid w:val="00925E30"/>
    <w:rsid w:val="00926155"/>
    <w:rsid w:val="00926516"/>
    <w:rsid w:val="00926578"/>
    <w:rsid w:val="009267DA"/>
    <w:rsid w:val="00926BE8"/>
    <w:rsid w:val="00926CB8"/>
    <w:rsid w:val="00926D03"/>
    <w:rsid w:val="0092768D"/>
    <w:rsid w:val="00927DB3"/>
    <w:rsid w:val="00927F63"/>
    <w:rsid w:val="009300A9"/>
    <w:rsid w:val="009302FD"/>
    <w:rsid w:val="0093047B"/>
    <w:rsid w:val="009305B1"/>
    <w:rsid w:val="009307AF"/>
    <w:rsid w:val="00931356"/>
    <w:rsid w:val="009315A1"/>
    <w:rsid w:val="00932AB1"/>
    <w:rsid w:val="00933298"/>
    <w:rsid w:val="00933432"/>
    <w:rsid w:val="00933760"/>
    <w:rsid w:val="00933A20"/>
    <w:rsid w:val="00933C54"/>
    <w:rsid w:val="009345BB"/>
    <w:rsid w:val="00934C0F"/>
    <w:rsid w:val="00934EAC"/>
    <w:rsid w:val="009358B5"/>
    <w:rsid w:val="009359BB"/>
    <w:rsid w:val="00935A17"/>
    <w:rsid w:val="00935A1A"/>
    <w:rsid w:val="009365DF"/>
    <w:rsid w:val="00936833"/>
    <w:rsid w:val="00936C95"/>
    <w:rsid w:val="00936FD2"/>
    <w:rsid w:val="0093746A"/>
    <w:rsid w:val="0093757C"/>
    <w:rsid w:val="0093773A"/>
    <w:rsid w:val="009377A2"/>
    <w:rsid w:val="00937C92"/>
    <w:rsid w:val="00937CE0"/>
    <w:rsid w:val="00937D47"/>
    <w:rsid w:val="00937F82"/>
    <w:rsid w:val="009402C5"/>
    <w:rsid w:val="0094046B"/>
    <w:rsid w:val="00940538"/>
    <w:rsid w:val="009406CB"/>
    <w:rsid w:val="00940861"/>
    <w:rsid w:val="00940B40"/>
    <w:rsid w:val="00940F09"/>
    <w:rsid w:val="00941184"/>
    <w:rsid w:val="00941608"/>
    <w:rsid w:val="009417DC"/>
    <w:rsid w:val="00941F4B"/>
    <w:rsid w:val="00942057"/>
    <w:rsid w:val="009420FA"/>
    <w:rsid w:val="00942156"/>
    <w:rsid w:val="009422F3"/>
    <w:rsid w:val="0094235E"/>
    <w:rsid w:val="00942E6D"/>
    <w:rsid w:val="00943B00"/>
    <w:rsid w:val="00943B44"/>
    <w:rsid w:val="00943C6E"/>
    <w:rsid w:val="00943DE5"/>
    <w:rsid w:val="009440E7"/>
    <w:rsid w:val="00944261"/>
    <w:rsid w:val="00944AB9"/>
    <w:rsid w:val="009450F0"/>
    <w:rsid w:val="00945177"/>
    <w:rsid w:val="009453AC"/>
    <w:rsid w:val="009454BA"/>
    <w:rsid w:val="0094566B"/>
    <w:rsid w:val="009461E0"/>
    <w:rsid w:val="00946597"/>
    <w:rsid w:val="0094667A"/>
    <w:rsid w:val="00946C1F"/>
    <w:rsid w:val="00946CFD"/>
    <w:rsid w:val="00946F6C"/>
    <w:rsid w:val="00946FD1"/>
    <w:rsid w:val="00947971"/>
    <w:rsid w:val="00947CA3"/>
    <w:rsid w:val="009507DE"/>
    <w:rsid w:val="00950897"/>
    <w:rsid w:val="00950B8B"/>
    <w:rsid w:val="00950CF8"/>
    <w:rsid w:val="009512AE"/>
    <w:rsid w:val="00951612"/>
    <w:rsid w:val="00951910"/>
    <w:rsid w:val="0095195A"/>
    <w:rsid w:val="00952447"/>
    <w:rsid w:val="00952815"/>
    <w:rsid w:val="00952B7D"/>
    <w:rsid w:val="00952C2E"/>
    <w:rsid w:val="00952DC7"/>
    <w:rsid w:val="00952E6A"/>
    <w:rsid w:val="00952EA5"/>
    <w:rsid w:val="00953117"/>
    <w:rsid w:val="009533EC"/>
    <w:rsid w:val="0095379A"/>
    <w:rsid w:val="00953854"/>
    <w:rsid w:val="00953B8F"/>
    <w:rsid w:val="00953E3D"/>
    <w:rsid w:val="00954A71"/>
    <w:rsid w:val="009553F0"/>
    <w:rsid w:val="00955573"/>
    <w:rsid w:val="0095564D"/>
    <w:rsid w:val="00955BFC"/>
    <w:rsid w:val="00956577"/>
    <w:rsid w:val="00956DBC"/>
    <w:rsid w:val="009570BB"/>
    <w:rsid w:val="00957252"/>
    <w:rsid w:val="009573F0"/>
    <w:rsid w:val="00957C03"/>
    <w:rsid w:val="00957C47"/>
    <w:rsid w:val="00957DEB"/>
    <w:rsid w:val="0096039A"/>
    <w:rsid w:val="009605C5"/>
    <w:rsid w:val="00960722"/>
    <w:rsid w:val="00960898"/>
    <w:rsid w:val="00960A84"/>
    <w:rsid w:val="0096164B"/>
    <w:rsid w:val="00962186"/>
    <w:rsid w:val="0096225C"/>
    <w:rsid w:val="009623C8"/>
    <w:rsid w:val="0096274C"/>
    <w:rsid w:val="00962C5F"/>
    <w:rsid w:val="00963063"/>
    <w:rsid w:val="00963DE3"/>
    <w:rsid w:val="00964285"/>
    <w:rsid w:val="009649C6"/>
    <w:rsid w:val="009657A3"/>
    <w:rsid w:val="00965C6D"/>
    <w:rsid w:val="00965D8D"/>
    <w:rsid w:val="00966B83"/>
    <w:rsid w:val="00966D40"/>
    <w:rsid w:val="009672B8"/>
    <w:rsid w:val="0096757C"/>
    <w:rsid w:val="009700D1"/>
    <w:rsid w:val="009713C2"/>
    <w:rsid w:val="00971DE5"/>
    <w:rsid w:val="00971EC3"/>
    <w:rsid w:val="00972269"/>
    <w:rsid w:val="009728A8"/>
    <w:rsid w:val="00972AB2"/>
    <w:rsid w:val="00972C49"/>
    <w:rsid w:val="00972DF5"/>
    <w:rsid w:val="009733E1"/>
    <w:rsid w:val="00973475"/>
    <w:rsid w:val="00973848"/>
    <w:rsid w:val="00974B71"/>
    <w:rsid w:val="00975995"/>
    <w:rsid w:val="00975CFD"/>
    <w:rsid w:val="00975D56"/>
    <w:rsid w:val="00975ECE"/>
    <w:rsid w:val="00975F12"/>
    <w:rsid w:val="00975F3A"/>
    <w:rsid w:val="00976315"/>
    <w:rsid w:val="009763AA"/>
    <w:rsid w:val="00976725"/>
    <w:rsid w:val="009767AB"/>
    <w:rsid w:val="00976A81"/>
    <w:rsid w:val="009772FD"/>
    <w:rsid w:val="00977D3E"/>
    <w:rsid w:val="00980552"/>
    <w:rsid w:val="00980A3D"/>
    <w:rsid w:val="00980B67"/>
    <w:rsid w:val="00980F47"/>
    <w:rsid w:val="009811B1"/>
    <w:rsid w:val="00981820"/>
    <w:rsid w:val="00981C04"/>
    <w:rsid w:val="00982CED"/>
    <w:rsid w:val="00982E25"/>
    <w:rsid w:val="00982E38"/>
    <w:rsid w:val="009830D5"/>
    <w:rsid w:val="00983807"/>
    <w:rsid w:val="00983BF8"/>
    <w:rsid w:val="0098405A"/>
    <w:rsid w:val="00984C59"/>
    <w:rsid w:val="00984FB0"/>
    <w:rsid w:val="009850E7"/>
    <w:rsid w:val="0098555C"/>
    <w:rsid w:val="00985586"/>
    <w:rsid w:val="0098589D"/>
    <w:rsid w:val="0098593A"/>
    <w:rsid w:val="00985A47"/>
    <w:rsid w:val="00985A4A"/>
    <w:rsid w:val="00985EDE"/>
    <w:rsid w:val="009862D8"/>
    <w:rsid w:val="009863B9"/>
    <w:rsid w:val="0098645B"/>
    <w:rsid w:val="00986559"/>
    <w:rsid w:val="00986BB9"/>
    <w:rsid w:val="00986F4C"/>
    <w:rsid w:val="00987380"/>
    <w:rsid w:val="0098755C"/>
    <w:rsid w:val="00987968"/>
    <w:rsid w:val="00987C31"/>
    <w:rsid w:val="00987F73"/>
    <w:rsid w:val="009903B3"/>
    <w:rsid w:val="009906E3"/>
    <w:rsid w:val="00990F2F"/>
    <w:rsid w:val="0099118C"/>
    <w:rsid w:val="009915BD"/>
    <w:rsid w:val="0099169C"/>
    <w:rsid w:val="00991A66"/>
    <w:rsid w:val="00991F65"/>
    <w:rsid w:val="00991FE2"/>
    <w:rsid w:val="009920D0"/>
    <w:rsid w:val="0099254B"/>
    <w:rsid w:val="009935F7"/>
    <w:rsid w:val="0099375A"/>
    <w:rsid w:val="009937C1"/>
    <w:rsid w:val="00993CA9"/>
    <w:rsid w:val="00994388"/>
    <w:rsid w:val="0099445B"/>
    <w:rsid w:val="00995635"/>
    <w:rsid w:val="00995873"/>
    <w:rsid w:val="009960E3"/>
    <w:rsid w:val="00996103"/>
    <w:rsid w:val="009966BB"/>
    <w:rsid w:val="00996B92"/>
    <w:rsid w:val="00996CBC"/>
    <w:rsid w:val="00996D8B"/>
    <w:rsid w:val="00996DA5"/>
    <w:rsid w:val="00996F14"/>
    <w:rsid w:val="00997298"/>
    <w:rsid w:val="009979FC"/>
    <w:rsid w:val="00997C8B"/>
    <w:rsid w:val="00997F77"/>
    <w:rsid w:val="009A03FF"/>
    <w:rsid w:val="009A0460"/>
    <w:rsid w:val="009A0808"/>
    <w:rsid w:val="009A130C"/>
    <w:rsid w:val="009A1C7A"/>
    <w:rsid w:val="009A1E6B"/>
    <w:rsid w:val="009A2599"/>
    <w:rsid w:val="009A2F28"/>
    <w:rsid w:val="009A335E"/>
    <w:rsid w:val="009A3562"/>
    <w:rsid w:val="009A3941"/>
    <w:rsid w:val="009A3B44"/>
    <w:rsid w:val="009A4209"/>
    <w:rsid w:val="009A4435"/>
    <w:rsid w:val="009A4605"/>
    <w:rsid w:val="009A4749"/>
    <w:rsid w:val="009A4A66"/>
    <w:rsid w:val="009A4DE5"/>
    <w:rsid w:val="009A5056"/>
    <w:rsid w:val="009A573C"/>
    <w:rsid w:val="009A5B87"/>
    <w:rsid w:val="009A5E54"/>
    <w:rsid w:val="009A606B"/>
    <w:rsid w:val="009A61FB"/>
    <w:rsid w:val="009A6324"/>
    <w:rsid w:val="009A63E5"/>
    <w:rsid w:val="009A643E"/>
    <w:rsid w:val="009A68B4"/>
    <w:rsid w:val="009A6ED7"/>
    <w:rsid w:val="009A78E8"/>
    <w:rsid w:val="009A7B48"/>
    <w:rsid w:val="009B116A"/>
    <w:rsid w:val="009B12E9"/>
    <w:rsid w:val="009B14F7"/>
    <w:rsid w:val="009B1879"/>
    <w:rsid w:val="009B1BF5"/>
    <w:rsid w:val="009B1CDA"/>
    <w:rsid w:val="009B1EDA"/>
    <w:rsid w:val="009B2D5E"/>
    <w:rsid w:val="009B2F72"/>
    <w:rsid w:val="009B3236"/>
    <w:rsid w:val="009B3471"/>
    <w:rsid w:val="009B3B9B"/>
    <w:rsid w:val="009B3D17"/>
    <w:rsid w:val="009B3EF3"/>
    <w:rsid w:val="009B407C"/>
    <w:rsid w:val="009B42EC"/>
    <w:rsid w:val="009B48AE"/>
    <w:rsid w:val="009B4E64"/>
    <w:rsid w:val="009B4F90"/>
    <w:rsid w:val="009B5DB7"/>
    <w:rsid w:val="009B6314"/>
    <w:rsid w:val="009B6375"/>
    <w:rsid w:val="009B63A3"/>
    <w:rsid w:val="009B64D6"/>
    <w:rsid w:val="009B66E1"/>
    <w:rsid w:val="009B6A15"/>
    <w:rsid w:val="009B6A68"/>
    <w:rsid w:val="009B6DF7"/>
    <w:rsid w:val="009B723F"/>
    <w:rsid w:val="009B7514"/>
    <w:rsid w:val="009B776A"/>
    <w:rsid w:val="009B79C6"/>
    <w:rsid w:val="009C01C5"/>
    <w:rsid w:val="009C01D6"/>
    <w:rsid w:val="009C020E"/>
    <w:rsid w:val="009C063F"/>
    <w:rsid w:val="009C0CB4"/>
    <w:rsid w:val="009C0CFB"/>
    <w:rsid w:val="009C1156"/>
    <w:rsid w:val="009C1947"/>
    <w:rsid w:val="009C243A"/>
    <w:rsid w:val="009C2579"/>
    <w:rsid w:val="009C2A8C"/>
    <w:rsid w:val="009C3528"/>
    <w:rsid w:val="009C3E75"/>
    <w:rsid w:val="009C3ED6"/>
    <w:rsid w:val="009C3F3B"/>
    <w:rsid w:val="009C4267"/>
    <w:rsid w:val="009C48E4"/>
    <w:rsid w:val="009C4EEA"/>
    <w:rsid w:val="009C6774"/>
    <w:rsid w:val="009C69BB"/>
    <w:rsid w:val="009C6A6C"/>
    <w:rsid w:val="009C6C48"/>
    <w:rsid w:val="009C7442"/>
    <w:rsid w:val="009C7508"/>
    <w:rsid w:val="009C78EB"/>
    <w:rsid w:val="009D0016"/>
    <w:rsid w:val="009D0072"/>
    <w:rsid w:val="009D0103"/>
    <w:rsid w:val="009D0295"/>
    <w:rsid w:val="009D0B1D"/>
    <w:rsid w:val="009D0ED8"/>
    <w:rsid w:val="009D1131"/>
    <w:rsid w:val="009D1FD9"/>
    <w:rsid w:val="009D21C6"/>
    <w:rsid w:val="009D27FD"/>
    <w:rsid w:val="009D3386"/>
    <w:rsid w:val="009D3672"/>
    <w:rsid w:val="009D3B1A"/>
    <w:rsid w:val="009D3C28"/>
    <w:rsid w:val="009D3E9C"/>
    <w:rsid w:val="009D47E7"/>
    <w:rsid w:val="009D5125"/>
    <w:rsid w:val="009D5ABC"/>
    <w:rsid w:val="009D5C71"/>
    <w:rsid w:val="009D6805"/>
    <w:rsid w:val="009D6A0D"/>
    <w:rsid w:val="009D7308"/>
    <w:rsid w:val="009D7458"/>
    <w:rsid w:val="009D77D3"/>
    <w:rsid w:val="009D792F"/>
    <w:rsid w:val="009E01AB"/>
    <w:rsid w:val="009E0CCC"/>
    <w:rsid w:val="009E1176"/>
    <w:rsid w:val="009E11E5"/>
    <w:rsid w:val="009E1818"/>
    <w:rsid w:val="009E2C56"/>
    <w:rsid w:val="009E402B"/>
    <w:rsid w:val="009E4253"/>
    <w:rsid w:val="009E44FC"/>
    <w:rsid w:val="009E47A6"/>
    <w:rsid w:val="009E4BCE"/>
    <w:rsid w:val="009E4F30"/>
    <w:rsid w:val="009E5FE4"/>
    <w:rsid w:val="009E6814"/>
    <w:rsid w:val="009E6C50"/>
    <w:rsid w:val="009E72B2"/>
    <w:rsid w:val="009E74E6"/>
    <w:rsid w:val="009E7852"/>
    <w:rsid w:val="009E7879"/>
    <w:rsid w:val="009E7CFC"/>
    <w:rsid w:val="009F045B"/>
    <w:rsid w:val="009F04DD"/>
    <w:rsid w:val="009F0BF5"/>
    <w:rsid w:val="009F0CC3"/>
    <w:rsid w:val="009F0F43"/>
    <w:rsid w:val="009F0F88"/>
    <w:rsid w:val="009F11D1"/>
    <w:rsid w:val="009F11DA"/>
    <w:rsid w:val="009F16CC"/>
    <w:rsid w:val="009F1854"/>
    <w:rsid w:val="009F24DB"/>
    <w:rsid w:val="009F2807"/>
    <w:rsid w:val="009F2CA7"/>
    <w:rsid w:val="009F2CD1"/>
    <w:rsid w:val="009F31F7"/>
    <w:rsid w:val="009F3359"/>
    <w:rsid w:val="009F3513"/>
    <w:rsid w:val="009F3629"/>
    <w:rsid w:val="009F3909"/>
    <w:rsid w:val="009F3C73"/>
    <w:rsid w:val="009F3DB1"/>
    <w:rsid w:val="009F4334"/>
    <w:rsid w:val="009F46EF"/>
    <w:rsid w:val="009F4A46"/>
    <w:rsid w:val="009F4DD1"/>
    <w:rsid w:val="009F4F8A"/>
    <w:rsid w:val="009F556B"/>
    <w:rsid w:val="009F5B1B"/>
    <w:rsid w:val="009F6006"/>
    <w:rsid w:val="009F65B6"/>
    <w:rsid w:val="009F6720"/>
    <w:rsid w:val="009F6BB7"/>
    <w:rsid w:val="009F6CF8"/>
    <w:rsid w:val="009F7087"/>
    <w:rsid w:val="009F72D7"/>
    <w:rsid w:val="009F7EEC"/>
    <w:rsid w:val="009F7FA3"/>
    <w:rsid w:val="00A0114C"/>
    <w:rsid w:val="00A02068"/>
    <w:rsid w:val="00A024CD"/>
    <w:rsid w:val="00A02D46"/>
    <w:rsid w:val="00A03715"/>
    <w:rsid w:val="00A039A3"/>
    <w:rsid w:val="00A03A0E"/>
    <w:rsid w:val="00A0413F"/>
    <w:rsid w:val="00A0437E"/>
    <w:rsid w:val="00A04693"/>
    <w:rsid w:val="00A046FC"/>
    <w:rsid w:val="00A047BA"/>
    <w:rsid w:val="00A04DC3"/>
    <w:rsid w:val="00A0539E"/>
    <w:rsid w:val="00A058B0"/>
    <w:rsid w:val="00A05B4E"/>
    <w:rsid w:val="00A062F1"/>
    <w:rsid w:val="00A0755F"/>
    <w:rsid w:val="00A075A4"/>
    <w:rsid w:val="00A075C4"/>
    <w:rsid w:val="00A10C4F"/>
    <w:rsid w:val="00A10F30"/>
    <w:rsid w:val="00A10FF4"/>
    <w:rsid w:val="00A1130A"/>
    <w:rsid w:val="00A11450"/>
    <w:rsid w:val="00A11F48"/>
    <w:rsid w:val="00A11F99"/>
    <w:rsid w:val="00A124E7"/>
    <w:rsid w:val="00A12EDD"/>
    <w:rsid w:val="00A136F8"/>
    <w:rsid w:val="00A13D87"/>
    <w:rsid w:val="00A13DB4"/>
    <w:rsid w:val="00A13F94"/>
    <w:rsid w:val="00A142E4"/>
    <w:rsid w:val="00A1467D"/>
    <w:rsid w:val="00A149B8"/>
    <w:rsid w:val="00A149EA"/>
    <w:rsid w:val="00A14C49"/>
    <w:rsid w:val="00A14F95"/>
    <w:rsid w:val="00A155AA"/>
    <w:rsid w:val="00A1571A"/>
    <w:rsid w:val="00A159B7"/>
    <w:rsid w:val="00A160B9"/>
    <w:rsid w:val="00A1613A"/>
    <w:rsid w:val="00A16DB8"/>
    <w:rsid w:val="00A16F9F"/>
    <w:rsid w:val="00A1721B"/>
    <w:rsid w:val="00A202AF"/>
    <w:rsid w:val="00A202CF"/>
    <w:rsid w:val="00A2040A"/>
    <w:rsid w:val="00A2085F"/>
    <w:rsid w:val="00A20CFC"/>
    <w:rsid w:val="00A2134F"/>
    <w:rsid w:val="00A214CC"/>
    <w:rsid w:val="00A2192F"/>
    <w:rsid w:val="00A21ADB"/>
    <w:rsid w:val="00A22534"/>
    <w:rsid w:val="00A227E0"/>
    <w:rsid w:val="00A22870"/>
    <w:rsid w:val="00A22C6F"/>
    <w:rsid w:val="00A22CE0"/>
    <w:rsid w:val="00A23C5D"/>
    <w:rsid w:val="00A23E03"/>
    <w:rsid w:val="00A23F61"/>
    <w:rsid w:val="00A2413E"/>
    <w:rsid w:val="00A24272"/>
    <w:rsid w:val="00A247B7"/>
    <w:rsid w:val="00A24FB8"/>
    <w:rsid w:val="00A250C7"/>
    <w:rsid w:val="00A25106"/>
    <w:rsid w:val="00A25217"/>
    <w:rsid w:val="00A253E3"/>
    <w:rsid w:val="00A25815"/>
    <w:rsid w:val="00A25945"/>
    <w:rsid w:val="00A26A6B"/>
    <w:rsid w:val="00A26A78"/>
    <w:rsid w:val="00A26CE7"/>
    <w:rsid w:val="00A26D01"/>
    <w:rsid w:val="00A26E18"/>
    <w:rsid w:val="00A27303"/>
    <w:rsid w:val="00A27F65"/>
    <w:rsid w:val="00A30054"/>
    <w:rsid w:val="00A30057"/>
    <w:rsid w:val="00A303CE"/>
    <w:rsid w:val="00A30802"/>
    <w:rsid w:val="00A310DE"/>
    <w:rsid w:val="00A316EB"/>
    <w:rsid w:val="00A31905"/>
    <w:rsid w:val="00A32196"/>
    <w:rsid w:val="00A32A8A"/>
    <w:rsid w:val="00A330B9"/>
    <w:rsid w:val="00A3315F"/>
    <w:rsid w:val="00A333D9"/>
    <w:rsid w:val="00A3380C"/>
    <w:rsid w:val="00A34044"/>
    <w:rsid w:val="00A34128"/>
    <w:rsid w:val="00A34264"/>
    <w:rsid w:val="00A3492A"/>
    <w:rsid w:val="00A34B1D"/>
    <w:rsid w:val="00A34F50"/>
    <w:rsid w:val="00A35592"/>
    <w:rsid w:val="00A357C4"/>
    <w:rsid w:val="00A35812"/>
    <w:rsid w:val="00A36041"/>
    <w:rsid w:val="00A3631D"/>
    <w:rsid w:val="00A367B8"/>
    <w:rsid w:val="00A368E5"/>
    <w:rsid w:val="00A3690E"/>
    <w:rsid w:val="00A36D94"/>
    <w:rsid w:val="00A36EE4"/>
    <w:rsid w:val="00A37049"/>
    <w:rsid w:val="00A37A73"/>
    <w:rsid w:val="00A37BF5"/>
    <w:rsid w:val="00A4076A"/>
    <w:rsid w:val="00A40808"/>
    <w:rsid w:val="00A4188A"/>
    <w:rsid w:val="00A41BD3"/>
    <w:rsid w:val="00A420F7"/>
    <w:rsid w:val="00A42355"/>
    <w:rsid w:val="00A42430"/>
    <w:rsid w:val="00A42956"/>
    <w:rsid w:val="00A433C9"/>
    <w:rsid w:val="00A436F9"/>
    <w:rsid w:val="00A4377A"/>
    <w:rsid w:val="00A43B06"/>
    <w:rsid w:val="00A43BBC"/>
    <w:rsid w:val="00A44312"/>
    <w:rsid w:val="00A44805"/>
    <w:rsid w:val="00A44C71"/>
    <w:rsid w:val="00A44E30"/>
    <w:rsid w:val="00A45A9D"/>
    <w:rsid w:val="00A45E08"/>
    <w:rsid w:val="00A45EB9"/>
    <w:rsid w:val="00A46287"/>
    <w:rsid w:val="00A467A8"/>
    <w:rsid w:val="00A46B4A"/>
    <w:rsid w:val="00A46B87"/>
    <w:rsid w:val="00A46E6A"/>
    <w:rsid w:val="00A47080"/>
    <w:rsid w:val="00A47CF6"/>
    <w:rsid w:val="00A5041A"/>
    <w:rsid w:val="00A509E6"/>
    <w:rsid w:val="00A51102"/>
    <w:rsid w:val="00A51B41"/>
    <w:rsid w:val="00A520AB"/>
    <w:rsid w:val="00A5239C"/>
    <w:rsid w:val="00A52B0D"/>
    <w:rsid w:val="00A52D39"/>
    <w:rsid w:val="00A52D6C"/>
    <w:rsid w:val="00A53388"/>
    <w:rsid w:val="00A53D3A"/>
    <w:rsid w:val="00A53E3E"/>
    <w:rsid w:val="00A53FBA"/>
    <w:rsid w:val="00A54105"/>
    <w:rsid w:val="00A5457F"/>
    <w:rsid w:val="00A548A9"/>
    <w:rsid w:val="00A54D41"/>
    <w:rsid w:val="00A54F78"/>
    <w:rsid w:val="00A5503B"/>
    <w:rsid w:val="00A5507D"/>
    <w:rsid w:val="00A55E61"/>
    <w:rsid w:val="00A55ED7"/>
    <w:rsid w:val="00A56566"/>
    <w:rsid w:val="00A56D9C"/>
    <w:rsid w:val="00A56F7C"/>
    <w:rsid w:val="00A5721E"/>
    <w:rsid w:val="00A57830"/>
    <w:rsid w:val="00A57A92"/>
    <w:rsid w:val="00A57AB4"/>
    <w:rsid w:val="00A57F35"/>
    <w:rsid w:val="00A60A6F"/>
    <w:rsid w:val="00A60F6F"/>
    <w:rsid w:val="00A612C3"/>
    <w:rsid w:val="00A614B4"/>
    <w:rsid w:val="00A616BE"/>
    <w:rsid w:val="00A617C8"/>
    <w:rsid w:val="00A6182A"/>
    <w:rsid w:val="00A620F1"/>
    <w:rsid w:val="00A6220D"/>
    <w:rsid w:val="00A6248E"/>
    <w:rsid w:val="00A62553"/>
    <w:rsid w:val="00A6256C"/>
    <w:rsid w:val="00A626F3"/>
    <w:rsid w:val="00A62A3E"/>
    <w:rsid w:val="00A62A65"/>
    <w:rsid w:val="00A63097"/>
    <w:rsid w:val="00A63314"/>
    <w:rsid w:val="00A63857"/>
    <w:rsid w:val="00A63DDB"/>
    <w:rsid w:val="00A63DE5"/>
    <w:rsid w:val="00A64A39"/>
    <w:rsid w:val="00A64DC5"/>
    <w:rsid w:val="00A657B3"/>
    <w:rsid w:val="00A6665C"/>
    <w:rsid w:val="00A66AF4"/>
    <w:rsid w:val="00A66DD1"/>
    <w:rsid w:val="00A6707F"/>
    <w:rsid w:val="00A6729E"/>
    <w:rsid w:val="00A6749F"/>
    <w:rsid w:val="00A675B6"/>
    <w:rsid w:val="00A70470"/>
    <w:rsid w:val="00A718FA"/>
    <w:rsid w:val="00A719B3"/>
    <w:rsid w:val="00A72786"/>
    <w:rsid w:val="00A72B22"/>
    <w:rsid w:val="00A733BD"/>
    <w:rsid w:val="00A735CB"/>
    <w:rsid w:val="00A7374C"/>
    <w:rsid w:val="00A737CE"/>
    <w:rsid w:val="00A738FC"/>
    <w:rsid w:val="00A73BE2"/>
    <w:rsid w:val="00A73C52"/>
    <w:rsid w:val="00A74587"/>
    <w:rsid w:val="00A74912"/>
    <w:rsid w:val="00A74A7B"/>
    <w:rsid w:val="00A7559E"/>
    <w:rsid w:val="00A762C1"/>
    <w:rsid w:val="00A765D7"/>
    <w:rsid w:val="00A767CB"/>
    <w:rsid w:val="00A76816"/>
    <w:rsid w:val="00A76FE9"/>
    <w:rsid w:val="00A8040D"/>
    <w:rsid w:val="00A80DFE"/>
    <w:rsid w:val="00A81007"/>
    <w:rsid w:val="00A815F8"/>
    <w:rsid w:val="00A81A61"/>
    <w:rsid w:val="00A81D1D"/>
    <w:rsid w:val="00A8206A"/>
    <w:rsid w:val="00A8244B"/>
    <w:rsid w:val="00A827A3"/>
    <w:rsid w:val="00A82963"/>
    <w:rsid w:val="00A82E96"/>
    <w:rsid w:val="00A83263"/>
    <w:rsid w:val="00A83265"/>
    <w:rsid w:val="00A83388"/>
    <w:rsid w:val="00A83494"/>
    <w:rsid w:val="00A83971"/>
    <w:rsid w:val="00A8397C"/>
    <w:rsid w:val="00A83A8E"/>
    <w:rsid w:val="00A83B91"/>
    <w:rsid w:val="00A84158"/>
    <w:rsid w:val="00A843AA"/>
    <w:rsid w:val="00A84AEF"/>
    <w:rsid w:val="00A858D2"/>
    <w:rsid w:val="00A85CBD"/>
    <w:rsid w:val="00A86150"/>
    <w:rsid w:val="00A8654C"/>
    <w:rsid w:val="00A86598"/>
    <w:rsid w:val="00A867BF"/>
    <w:rsid w:val="00A86AF6"/>
    <w:rsid w:val="00A87874"/>
    <w:rsid w:val="00A87C92"/>
    <w:rsid w:val="00A901CA"/>
    <w:rsid w:val="00A90790"/>
    <w:rsid w:val="00A907F1"/>
    <w:rsid w:val="00A90900"/>
    <w:rsid w:val="00A90ADD"/>
    <w:rsid w:val="00A90D7B"/>
    <w:rsid w:val="00A90E7A"/>
    <w:rsid w:val="00A90EC7"/>
    <w:rsid w:val="00A90F16"/>
    <w:rsid w:val="00A91008"/>
    <w:rsid w:val="00A919C5"/>
    <w:rsid w:val="00A91CEC"/>
    <w:rsid w:val="00A920BF"/>
    <w:rsid w:val="00A923F9"/>
    <w:rsid w:val="00A924F4"/>
    <w:rsid w:val="00A92642"/>
    <w:rsid w:val="00A93228"/>
    <w:rsid w:val="00A93278"/>
    <w:rsid w:val="00A936B6"/>
    <w:rsid w:val="00A936BA"/>
    <w:rsid w:val="00A936E9"/>
    <w:rsid w:val="00A93BA8"/>
    <w:rsid w:val="00A93D03"/>
    <w:rsid w:val="00A93F8A"/>
    <w:rsid w:val="00A94375"/>
    <w:rsid w:val="00A94681"/>
    <w:rsid w:val="00A95022"/>
    <w:rsid w:val="00A95154"/>
    <w:rsid w:val="00A95FFB"/>
    <w:rsid w:val="00A9622B"/>
    <w:rsid w:val="00A96600"/>
    <w:rsid w:val="00A966FC"/>
    <w:rsid w:val="00A97193"/>
    <w:rsid w:val="00A972F7"/>
    <w:rsid w:val="00A97567"/>
    <w:rsid w:val="00A97629"/>
    <w:rsid w:val="00A97D60"/>
    <w:rsid w:val="00AA00A7"/>
    <w:rsid w:val="00AA1315"/>
    <w:rsid w:val="00AA1D58"/>
    <w:rsid w:val="00AA1E33"/>
    <w:rsid w:val="00AA24F3"/>
    <w:rsid w:val="00AA26CE"/>
    <w:rsid w:val="00AA2822"/>
    <w:rsid w:val="00AA29F6"/>
    <w:rsid w:val="00AA2A79"/>
    <w:rsid w:val="00AA2BC7"/>
    <w:rsid w:val="00AA2C77"/>
    <w:rsid w:val="00AA3386"/>
    <w:rsid w:val="00AA3601"/>
    <w:rsid w:val="00AA39B9"/>
    <w:rsid w:val="00AA3AF6"/>
    <w:rsid w:val="00AA3C41"/>
    <w:rsid w:val="00AA4187"/>
    <w:rsid w:val="00AA41AE"/>
    <w:rsid w:val="00AA4337"/>
    <w:rsid w:val="00AA4BC5"/>
    <w:rsid w:val="00AA4F49"/>
    <w:rsid w:val="00AA614C"/>
    <w:rsid w:val="00AA648F"/>
    <w:rsid w:val="00AA66A5"/>
    <w:rsid w:val="00AA6727"/>
    <w:rsid w:val="00AA6E44"/>
    <w:rsid w:val="00AA729E"/>
    <w:rsid w:val="00AA766D"/>
    <w:rsid w:val="00AA7706"/>
    <w:rsid w:val="00AA7B51"/>
    <w:rsid w:val="00AB0061"/>
    <w:rsid w:val="00AB01C4"/>
    <w:rsid w:val="00AB04D1"/>
    <w:rsid w:val="00AB0D63"/>
    <w:rsid w:val="00AB1571"/>
    <w:rsid w:val="00AB166D"/>
    <w:rsid w:val="00AB1690"/>
    <w:rsid w:val="00AB16F1"/>
    <w:rsid w:val="00AB26B1"/>
    <w:rsid w:val="00AB33A6"/>
    <w:rsid w:val="00AB33BE"/>
    <w:rsid w:val="00AB3904"/>
    <w:rsid w:val="00AB406B"/>
    <w:rsid w:val="00AB4455"/>
    <w:rsid w:val="00AB4605"/>
    <w:rsid w:val="00AB5195"/>
    <w:rsid w:val="00AB52D2"/>
    <w:rsid w:val="00AB52EA"/>
    <w:rsid w:val="00AB6568"/>
    <w:rsid w:val="00AB7431"/>
    <w:rsid w:val="00AB77F2"/>
    <w:rsid w:val="00AC0161"/>
    <w:rsid w:val="00AC019F"/>
    <w:rsid w:val="00AC01EE"/>
    <w:rsid w:val="00AC0630"/>
    <w:rsid w:val="00AC088B"/>
    <w:rsid w:val="00AC0F32"/>
    <w:rsid w:val="00AC136D"/>
    <w:rsid w:val="00AC13FB"/>
    <w:rsid w:val="00AC20B2"/>
    <w:rsid w:val="00AC2991"/>
    <w:rsid w:val="00AC2A87"/>
    <w:rsid w:val="00AC2B0F"/>
    <w:rsid w:val="00AC3178"/>
    <w:rsid w:val="00AC3A8F"/>
    <w:rsid w:val="00AC4111"/>
    <w:rsid w:val="00AC4356"/>
    <w:rsid w:val="00AC45EF"/>
    <w:rsid w:val="00AC4A97"/>
    <w:rsid w:val="00AC4C15"/>
    <w:rsid w:val="00AC4C5E"/>
    <w:rsid w:val="00AC4DB4"/>
    <w:rsid w:val="00AC53F1"/>
    <w:rsid w:val="00AC5DE7"/>
    <w:rsid w:val="00AC62F3"/>
    <w:rsid w:val="00AC688C"/>
    <w:rsid w:val="00AC69DA"/>
    <w:rsid w:val="00AC6B77"/>
    <w:rsid w:val="00AC6CCD"/>
    <w:rsid w:val="00AC6EF3"/>
    <w:rsid w:val="00AC71CA"/>
    <w:rsid w:val="00AC7374"/>
    <w:rsid w:val="00AC76DD"/>
    <w:rsid w:val="00AC7BB6"/>
    <w:rsid w:val="00AC7E8C"/>
    <w:rsid w:val="00AC7FA3"/>
    <w:rsid w:val="00AD000E"/>
    <w:rsid w:val="00AD0017"/>
    <w:rsid w:val="00AD02CC"/>
    <w:rsid w:val="00AD0730"/>
    <w:rsid w:val="00AD07C7"/>
    <w:rsid w:val="00AD0966"/>
    <w:rsid w:val="00AD0A26"/>
    <w:rsid w:val="00AD0C03"/>
    <w:rsid w:val="00AD13E5"/>
    <w:rsid w:val="00AD1433"/>
    <w:rsid w:val="00AD14F1"/>
    <w:rsid w:val="00AD151F"/>
    <w:rsid w:val="00AD19A7"/>
    <w:rsid w:val="00AD2860"/>
    <w:rsid w:val="00AD2F5B"/>
    <w:rsid w:val="00AD2FF6"/>
    <w:rsid w:val="00AD39F2"/>
    <w:rsid w:val="00AD3B79"/>
    <w:rsid w:val="00AD3CA6"/>
    <w:rsid w:val="00AD3D20"/>
    <w:rsid w:val="00AD40F3"/>
    <w:rsid w:val="00AD420F"/>
    <w:rsid w:val="00AD4384"/>
    <w:rsid w:val="00AD4529"/>
    <w:rsid w:val="00AD4EFD"/>
    <w:rsid w:val="00AD4FB0"/>
    <w:rsid w:val="00AD510E"/>
    <w:rsid w:val="00AD51B7"/>
    <w:rsid w:val="00AD54BD"/>
    <w:rsid w:val="00AD5542"/>
    <w:rsid w:val="00AD59C8"/>
    <w:rsid w:val="00AD5DC8"/>
    <w:rsid w:val="00AD5EA9"/>
    <w:rsid w:val="00AD6311"/>
    <w:rsid w:val="00AD6886"/>
    <w:rsid w:val="00AD7066"/>
    <w:rsid w:val="00AD70A1"/>
    <w:rsid w:val="00AD7127"/>
    <w:rsid w:val="00AD784F"/>
    <w:rsid w:val="00AD7D2F"/>
    <w:rsid w:val="00AE0862"/>
    <w:rsid w:val="00AE0871"/>
    <w:rsid w:val="00AE0AEC"/>
    <w:rsid w:val="00AE1922"/>
    <w:rsid w:val="00AE19B3"/>
    <w:rsid w:val="00AE21AD"/>
    <w:rsid w:val="00AE223E"/>
    <w:rsid w:val="00AE24A8"/>
    <w:rsid w:val="00AE2D71"/>
    <w:rsid w:val="00AE304A"/>
    <w:rsid w:val="00AE3059"/>
    <w:rsid w:val="00AE3139"/>
    <w:rsid w:val="00AE342E"/>
    <w:rsid w:val="00AE345E"/>
    <w:rsid w:val="00AE385E"/>
    <w:rsid w:val="00AE3B50"/>
    <w:rsid w:val="00AE3D7C"/>
    <w:rsid w:val="00AE40ED"/>
    <w:rsid w:val="00AE410F"/>
    <w:rsid w:val="00AE4729"/>
    <w:rsid w:val="00AE4831"/>
    <w:rsid w:val="00AE4BDF"/>
    <w:rsid w:val="00AE4E34"/>
    <w:rsid w:val="00AE56EC"/>
    <w:rsid w:val="00AE5782"/>
    <w:rsid w:val="00AE5B69"/>
    <w:rsid w:val="00AE6314"/>
    <w:rsid w:val="00AE64B0"/>
    <w:rsid w:val="00AE65B7"/>
    <w:rsid w:val="00AE6A5C"/>
    <w:rsid w:val="00AE6F6F"/>
    <w:rsid w:val="00AE7802"/>
    <w:rsid w:val="00AE7DC0"/>
    <w:rsid w:val="00AE7F9F"/>
    <w:rsid w:val="00AF102E"/>
    <w:rsid w:val="00AF1394"/>
    <w:rsid w:val="00AF14EC"/>
    <w:rsid w:val="00AF17F8"/>
    <w:rsid w:val="00AF181B"/>
    <w:rsid w:val="00AF202E"/>
    <w:rsid w:val="00AF242D"/>
    <w:rsid w:val="00AF24ED"/>
    <w:rsid w:val="00AF2764"/>
    <w:rsid w:val="00AF302A"/>
    <w:rsid w:val="00AF31A7"/>
    <w:rsid w:val="00AF34C8"/>
    <w:rsid w:val="00AF3524"/>
    <w:rsid w:val="00AF355F"/>
    <w:rsid w:val="00AF373E"/>
    <w:rsid w:val="00AF3938"/>
    <w:rsid w:val="00AF3BD4"/>
    <w:rsid w:val="00AF3CD4"/>
    <w:rsid w:val="00AF47E3"/>
    <w:rsid w:val="00AF4D04"/>
    <w:rsid w:val="00AF4D2D"/>
    <w:rsid w:val="00AF4E10"/>
    <w:rsid w:val="00AF4EAF"/>
    <w:rsid w:val="00AF5133"/>
    <w:rsid w:val="00AF5223"/>
    <w:rsid w:val="00AF53C6"/>
    <w:rsid w:val="00AF53DA"/>
    <w:rsid w:val="00AF583E"/>
    <w:rsid w:val="00AF5969"/>
    <w:rsid w:val="00AF6739"/>
    <w:rsid w:val="00AF6D53"/>
    <w:rsid w:val="00AF6E3E"/>
    <w:rsid w:val="00AF6EB9"/>
    <w:rsid w:val="00AF7063"/>
    <w:rsid w:val="00AF721E"/>
    <w:rsid w:val="00AF7782"/>
    <w:rsid w:val="00AF7946"/>
    <w:rsid w:val="00AF7D41"/>
    <w:rsid w:val="00B000F4"/>
    <w:rsid w:val="00B003B5"/>
    <w:rsid w:val="00B006CE"/>
    <w:rsid w:val="00B00719"/>
    <w:rsid w:val="00B00734"/>
    <w:rsid w:val="00B00A38"/>
    <w:rsid w:val="00B00BDD"/>
    <w:rsid w:val="00B00BF4"/>
    <w:rsid w:val="00B01020"/>
    <w:rsid w:val="00B011DE"/>
    <w:rsid w:val="00B0126A"/>
    <w:rsid w:val="00B01500"/>
    <w:rsid w:val="00B01AFE"/>
    <w:rsid w:val="00B01D1D"/>
    <w:rsid w:val="00B01D4D"/>
    <w:rsid w:val="00B030B9"/>
    <w:rsid w:val="00B0329A"/>
    <w:rsid w:val="00B036AF"/>
    <w:rsid w:val="00B0385D"/>
    <w:rsid w:val="00B03897"/>
    <w:rsid w:val="00B03AC6"/>
    <w:rsid w:val="00B03BB0"/>
    <w:rsid w:val="00B03BD7"/>
    <w:rsid w:val="00B03CAE"/>
    <w:rsid w:val="00B03F1E"/>
    <w:rsid w:val="00B045DB"/>
    <w:rsid w:val="00B0460C"/>
    <w:rsid w:val="00B0466F"/>
    <w:rsid w:val="00B047E9"/>
    <w:rsid w:val="00B04AC4"/>
    <w:rsid w:val="00B04AC7"/>
    <w:rsid w:val="00B04F0B"/>
    <w:rsid w:val="00B05382"/>
    <w:rsid w:val="00B05BB8"/>
    <w:rsid w:val="00B05E19"/>
    <w:rsid w:val="00B06264"/>
    <w:rsid w:val="00B0632A"/>
    <w:rsid w:val="00B065B6"/>
    <w:rsid w:val="00B06CB5"/>
    <w:rsid w:val="00B07299"/>
    <w:rsid w:val="00B1001A"/>
    <w:rsid w:val="00B1073B"/>
    <w:rsid w:val="00B108B5"/>
    <w:rsid w:val="00B10EC2"/>
    <w:rsid w:val="00B1105F"/>
    <w:rsid w:val="00B11117"/>
    <w:rsid w:val="00B11202"/>
    <w:rsid w:val="00B117F6"/>
    <w:rsid w:val="00B1276A"/>
    <w:rsid w:val="00B127BC"/>
    <w:rsid w:val="00B12B95"/>
    <w:rsid w:val="00B12CAD"/>
    <w:rsid w:val="00B1377E"/>
    <w:rsid w:val="00B13EEC"/>
    <w:rsid w:val="00B1405A"/>
    <w:rsid w:val="00B143AC"/>
    <w:rsid w:val="00B14682"/>
    <w:rsid w:val="00B148E3"/>
    <w:rsid w:val="00B14C92"/>
    <w:rsid w:val="00B15149"/>
    <w:rsid w:val="00B15A62"/>
    <w:rsid w:val="00B15EC9"/>
    <w:rsid w:val="00B166D6"/>
    <w:rsid w:val="00B16C5A"/>
    <w:rsid w:val="00B16D17"/>
    <w:rsid w:val="00B16F86"/>
    <w:rsid w:val="00B1733A"/>
    <w:rsid w:val="00B17466"/>
    <w:rsid w:val="00B17CEF"/>
    <w:rsid w:val="00B200F3"/>
    <w:rsid w:val="00B20198"/>
    <w:rsid w:val="00B21089"/>
    <w:rsid w:val="00B2150C"/>
    <w:rsid w:val="00B217BD"/>
    <w:rsid w:val="00B2187D"/>
    <w:rsid w:val="00B21928"/>
    <w:rsid w:val="00B21DF4"/>
    <w:rsid w:val="00B21E24"/>
    <w:rsid w:val="00B2221E"/>
    <w:rsid w:val="00B22445"/>
    <w:rsid w:val="00B22573"/>
    <w:rsid w:val="00B225B1"/>
    <w:rsid w:val="00B226CD"/>
    <w:rsid w:val="00B227E6"/>
    <w:rsid w:val="00B22D54"/>
    <w:rsid w:val="00B22DDE"/>
    <w:rsid w:val="00B2308D"/>
    <w:rsid w:val="00B23498"/>
    <w:rsid w:val="00B23769"/>
    <w:rsid w:val="00B2392E"/>
    <w:rsid w:val="00B244BD"/>
    <w:rsid w:val="00B24DFB"/>
    <w:rsid w:val="00B25191"/>
    <w:rsid w:val="00B256B9"/>
    <w:rsid w:val="00B26AC1"/>
    <w:rsid w:val="00B26E4D"/>
    <w:rsid w:val="00B274E9"/>
    <w:rsid w:val="00B2759E"/>
    <w:rsid w:val="00B2784A"/>
    <w:rsid w:val="00B278CD"/>
    <w:rsid w:val="00B27F3D"/>
    <w:rsid w:val="00B27F61"/>
    <w:rsid w:val="00B27F75"/>
    <w:rsid w:val="00B30025"/>
    <w:rsid w:val="00B30406"/>
    <w:rsid w:val="00B30DC4"/>
    <w:rsid w:val="00B311D7"/>
    <w:rsid w:val="00B314F0"/>
    <w:rsid w:val="00B31519"/>
    <w:rsid w:val="00B315D8"/>
    <w:rsid w:val="00B31A09"/>
    <w:rsid w:val="00B31EA1"/>
    <w:rsid w:val="00B31F32"/>
    <w:rsid w:val="00B320D4"/>
    <w:rsid w:val="00B329A2"/>
    <w:rsid w:val="00B33024"/>
    <w:rsid w:val="00B330CF"/>
    <w:rsid w:val="00B346E3"/>
    <w:rsid w:val="00B34893"/>
    <w:rsid w:val="00B3506D"/>
    <w:rsid w:val="00B358AE"/>
    <w:rsid w:val="00B35A9F"/>
    <w:rsid w:val="00B35BBB"/>
    <w:rsid w:val="00B35C7C"/>
    <w:rsid w:val="00B35CE5"/>
    <w:rsid w:val="00B3640D"/>
    <w:rsid w:val="00B3672F"/>
    <w:rsid w:val="00B367D2"/>
    <w:rsid w:val="00B37231"/>
    <w:rsid w:val="00B3748E"/>
    <w:rsid w:val="00B37547"/>
    <w:rsid w:val="00B37AF6"/>
    <w:rsid w:val="00B37D16"/>
    <w:rsid w:val="00B37E42"/>
    <w:rsid w:val="00B37F7F"/>
    <w:rsid w:val="00B40084"/>
    <w:rsid w:val="00B40B41"/>
    <w:rsid w:val="00B40BDB"/>
    <w:rsid w:val="00B40E40"/>
    <w:rsid w:val="00B41506"/>
    <w:rsid w:val="00B41535"/>
    <w:rsid w:val="00B41AA5"/>
    <w:rsid w:val="00B41F6C"/>
    <w:rsid w:val="00B422C4"/>
    <w:rsid w:val="00B42712"/>
    <w:rsid w:val="00B42839"/>
    <w:rsid w:val="00B429DC"/>
    <w:rsid w:val="00B42C80"/>
    <w:rsid w:val="00B433BB"/>
    <w:rsid w:val="00B44789"/>
    <w:rsid w:val="00B447D2"/>
    <w:rsid w:val="00B44ACC"/>
    <w:rsid w:val="00B44BE2"/>
    <w:rsid w:val="00B44F10"/>
    <w:rsid w:val="00B44FF8"/>
    <w:rsid w:val="00B450A5"/>
    <w:rsid w:val="00B468CA"/>
    <w:rsid w:val="00B478A8"/>
    <w:rsid w:val="00B47BDD"/>
    <w:rsid w:val="00B47F2A"/>
    <w:rsid w:val="00B47F77"/>
    <w:rsid w:val="00B50315"/>
    <w:rsid w:val="00B50454"/>
    <w:rsid w:val="00B50DB0"/>
    <w:rsid w:val="00B50FC6"/>
    <w:rsid w:val="00B51DC9"/>
    <w:rsid w:val="00B51ED8"/>
    <w:rsid w:val="00B5226F"/>
    <w:rsid w:val="00B523F7"/>
    <w:rsid w:val="00B528BC"/>
    <w:rsid w:val="00B52E0B"/>
    <w:rsid w:val="00B539EC"/>
    <w:rsid w:val="00B53C2A"/>
    <w:rsid w:val="00B53E60"/>
    <w:rsid w:val="00B540F3"/>
    <w:rsid w:val="00B546EB"/>
    <w:rsid w:val="00B54777"/>
    <w:rsid w:val="00B54CF4"/>
    <w:rsid w:val="00B5532F"/>
    <w:rsid w:val="00B55444"/>
    <w:rsid w:val="00B55593"/>
    <w:rsid w:val="00B5573E"/>
    <w:rsid w:val="00B55FBF"/>
    <w:rsid w:val="00B56246"/>
    <w:rsid w:val="00B56339"/>
    <w:rsid w:val="00B56A6D"/>
    <w:rsid w:val="00B56B4B"/>
    <w:rsid w:val="00B578C5"/>
    <w:rsid w:val="00B57D12"/>
    <w:rsid w:val="00B60010"/>
    <w:rsid w:val="00B607E2"/>
    <w:rsid w:val="00B6095C"/>
    <w:rsid w:val="00B610AD"/>
    <w:rsid w:val="00B61116"/>
    <w:rsid w:val="00B612F1"/>
    <w:rsid w:val="00B614D6"/>
    <w:rsid w:val="00B6169D"/>
    <w:rsid w:val="00B6171A"/>
    <w:rsid w:val="00B617F1"/>
    <w:rsid w:val="00B61C9D"/>
    <w:rsid w:val="00B61CCA"/>
    <w:rsid w:val="00B62467"/>
    <w:rsid w:val="00B62CE5"/>
    <w:rsid w:val="00B62EF1"/>
    <w:rsid w:val="00B62F1E"/>
    <w:rsid w:val="00B630C2"/>
    <w:rsid w:val="00B63381"/>
    <w:rsid w:val="00B636CF"/>
    <w:rsid w:val="00B63D46"/>
    <w:rsid w:val="00B63FCF"/>
    <w:rsid w:val="00B641AA"/>
    <w:rsid w:val="00B642E7"/>
    <w:rsid w:val="00B642EA"/>
    <w:rsid w:val="00B6467B"/>
    <w:rsid w:val="00B64982"/>
    <w:rsid w:val="00B64ED7"/>
    <w:rsid w:val="00B651C3"/>
    <w:rsid w:val="00B65337"/>
    <w:rsid w:val="00B6539C"/>
    <w:rsid w:val="00B65ACC"/>
    <w:rsid w:val="00B65E44"/>
    <w:rsid w:val="00B664AE"/>
    <w:rsid w:val="00B67155"/>
    <w:rsid w:val="00B67A95"/>
    <w:rsid w:val="00B67CED"/>
    <w:rsid w:val="00B67D52"/>
    <w:rsid w:val="00B67D60"/>
    <w:rsid w:val="00B67F51"/>
    <w:rsid w:val="00B70CC7"/>
    <w:rsid w:val="00B70E9F"/>
    <w:rsid w:val="00B71865"/>
    <w:rsid w:val="00B72295"/>
    <w:rsid w:val="00B72602"/>
    <w:rsid w:val="00B72693"/>
    <w:rsid w:val="00B72980"/>
    <w:rsid w:val="00B729C0"/>
    <w:rsid w:val="00B72CFB"/>
    <w:rsid w:val="00B72D50"/>
    <w:rsid w:val="00B74123"/>
    <w:rsid w:val="00B74C02"/>
    <w:rsid w:val="00B75B56"/>
    <w:rsid w:val="00B75C80"/>
    <w:rsid w:val="00B75D44"/>
    <w:rsid w:val="00B75F3B"/>
    <w:rsid w:val="00B75F7B"/>
    <w:rsid w:val="00B762B4"/>
    <w:rsid w:val="00B76346"/>
    <w:rsid w:val="00B7693F"/>
    <w:rsid w:val="00B76C1A"/>
    <w:rsid w:val="00B76F80"/>
    <w:rsid w:val="00B771A8"/>
    <w:rsid w:val="00B7787C"/>
    <w:rsid w:val="00B779BB"/>
    <w:rsid w:val="00B77A26"/>
    <w:rsid w:val="00B77B60"/>
    <w:rsid w:val="00B8031C"/>
    <w:rsid w:val="00B803DC"/>
    <w:rsid w:val="00B807BF"/>
    <w:rsid w:val="00B808C3"/>
    <w:rsid w:val="00B80CE1"/>
    <w:rsid w:val="00B811C3"/>
    <w:rsid w:val="00B811E9"/>
    <w:rsid w:val="00B8159B"/>
    <w:rsid w:val="00B82549"/>
    <w:rsid w:val="00B82B39"/>
    <w:rsid w:val="00B82FC1"/>
    <w:rsid w:val="00B8322A"/>
    <w:rsid w:val="00B83DF0"/>
    <w:rsid w:val="00B84153"/>
    <w:rsid w:val="00B84304"/>
    <w:rsid w:val="00B8431F"/>
    <w:rsid w:val="00B8449F"/>
    <w:rsid w:val="00B844E7"/>
    <w:rsid w:val="00B845A5"/>
    <w:rsid w:val="00B84F32"/>
    <w:rsid w:val="00B84F7A"/>
    <w:rsid w:val="00B85F36"/>
    <w:rsid w:val="00B86206"/>
    <w:rsid w:val="00B87485"/>
    <w:rsid w:val="00B8797D"/>
    <w:rsid w:val="00B87AA0"/>
    <w:rsid w:val="00B87BA5"/>
    <w:rsid w:val="00B90FC1"/>
    <w:rsid w:val="00B915CE"/>
    <w:rsid w:val="00B916AA"/>
    <w:rsid w:val="00B91C03"/>
    <w:rsid w:val="00B91F0E"/>
    <w:rsid w:val="00B91F4E"/>
    <w:rsid w:val="00B92270"/>
    <w:rsid w:val="00B922A7"/>
    <w:rsid w:val="00B922AB"/>
    <w:rsid w:val="00B92606"/>
    <w:rsid w:val="00B927D9"/>
    <w:rsid w:val="00B92DA9"/>
    <w:rsid w:val="00B932CD"/>
    <w:rsid w:val="00B9376B"/>
    <w:rsid w:val="00B93E5E"/>
    <w:rsid w:val="00B9475A"/>
    <w:rsid w:val="00B948A9"/>
    <w:rsid w:val="00B9522E"/>
    <w:rsid w:val="00B953AC"/>
    <w:rsid w:val="00B95710"/>
    <w:rsid w:val="00B959CC"/>
    <w:rsid w:val="00B95EFA"/>
    <w:rsid w:val="00B96607"/>
    <w:rsid w:val="00B96702"/>
    <w:rsid w:val="00B96865"/>
    <w:rsid w:val="00B968DD"/>
    <w:rsid w:val="00B969D9"/>
    <w:rsid w:val="00B96D3A"/>
    <w:rsid w:val="00B97118"/>
    <w:rsid w:val="00B973D5"/>
    <w:rsid w:val="00B97714"/>
    <w:rsid w:val="00B97922"/>
    <w:rsid w:val="00B97F1A"/>
    <w:rsid w:val="00BA01E9"/>
    <w:rsid w:val="00BA073B"/>
    <w:rsid w:val="00BA0914"/>
    <w:rsid w:val="00BA0C22"/>
    <w:rsid w:val="00BA0DD3"/>
    <w:rsid w:val="00BA0F09"/>
    <w:rsid w:val="00BA1252"/>
    <w:rsid w:val="00BA1F46"/>
    <w:rsid w:val="00BA1FE2"/>
    <w:rsid w:val="00BA2111"/>
    <w:rsid w:val="00BA2755"/>
    <w:rsid w:val="00BA2971"/>
    <w:rsid w:val="00BA2B4B"/>
    <w:rsid w:val="00BA2DCB"/>
    <w:rsid w:val="00BA2F5B"/>
    <w:rsid w:val="00BA301B"/>
    <w:rsid w:val="00BA3567"/>
    <w:rsid w:val="00BA3CEB"/>
    <w:rsid w:val="00BA4202"/>
    <w:rsid w:val="00BA42D2"/>
    <w:rsid w:val="00BA44F3"/>
    <w:rsid w:val="00BA4716"/>
    <w:rsid w:val="00BA475E"/>
    <w:rsid w:val="00BA5A9E"/>
    <w:rsid w:val="00BA618D"/>
    <w:rsid w:val="00BA7001"/>
    <w:rsid w:val="00BA7054"/>
    <w:rsid w:val="00BA7168"/>
    <w:rsid w:val="00BA717F"/>
    <w:rsid w:val="00BA7653"/>
    <w:rsid w:val="00BA76A4"/>
    <w:rsid w:val="00BB00A1"/>
    <w:rsid w:val="00BB02EA"/>
    <w:rsid w:val="00BB0427"/>
    <w:rsid w:val="00BB04AD"/>
    <w:rsid w:val="00BB10EC"/>
    <w:rsid w:val="00BB126E"/>
    <w:rsid w:val="00BB1277"/>
    <w:rsid w:val="00BB129B"/>
    <w:rsid w:val="00BB148E"/>
    <w:rsid w:val="00BB15E4"/>
    <w:rsid w:val="00BB1756"/>
    <w:rsid w:val="00BB180B"/>
    <w:rsid w:val="00BB2627"/>
    <w:rsid w:val="00BB2F94"/>
    <w:rsid w:val="00BB31D6"/>
    <w:rsid w:val="00BB332A"/>
    <w:rsid w:val="00BB3711"/>
    <w:rsid w:val="00BB378B"/>
    <w:rsid w:val="00BB3D64"/>
    <w:rsid w:val="00BB3E12"/>
    <w:rsid w:val="00BB4214"/>
    <w:rsid w:val="00BB4309"/>
    <w:rsid w:val="00BB492E"/>
    <w:rsid w:val="00BB4DF5"/>
    <w:rsid w:val="00BB51FB"/>
    <w:rsid w:val="00BB5770"/>
    <w:rsid w:val="00BB5F2D"/>
    <w:rsid w:val="00BB5F4B"/>
    <w:rsid w:val="00BB6787"/>
    <w:rsid w:val="00BB68A0"/>
    <w:rsid w:val="00BB6AA6"/>
    <w:rsid w:val="00BB6BAC"/>
    <w:rsid w:val="00BB6EDD"/>
    <w:rsid w:val="00BB752F"/>
    <w:rsid w:val="00BB77BE"/>
    <w:rsid w:val="00BB79D9"/>
    <w:rsid w:val="00BB7A53"/>
    <w:rsid w:val="00BB7D12"/>
    <w:rsid w:val="00BB7E52"/>
    <w:rsid w:val="00BB7FA3"/>
    <w:rsid w:val="00BC0036"/>
    <w:rsid w:val="00BC0294"/>
    <w:rsid w:val="00BC069F"/>
    <w:rsid w:val="00BC07A1"/>
    <w:rsid w:val="00BC112E"/>
    <w:rsid w:val="00BC1B31"/>
    <w:rsid w:val="00BC22DB"/>
    <w:rsid w:val="00BC230C"/>
    <w:rsid w:val="00BC26F8"/>
    <w:rsid w:val="00BC270F"/>
    <w:rsid w:val="00BC27A6"/>
    <w:rsid w:val="00BC2B7B"/>
    <w:rsid w:val="00BC30D7"/>
    <w:rsid w:val="00BC39C0"/>
    <w:rsid w:val="00BC3DB6"/>
    <w:rsid w:val="00BC3EB8"/>
    <w:rsid w:val="00BC4484"/>
    <w:rsid w:val="00BC4FCA"/>
    <w:rsid w:val="00BC56E2"/>
    <w:rsid w:val="00BC57CD"/>
    <w:rsid w:val="00BC5801"/>
    <w:rsid w:val="00BC588D"/>
    <w:rsid w:val="00BC5895"/>
    <w:rsid w:val="00BC5AE0"/>
    <w:rsid w:val="00BC62E5"/>
    <w:rsid w:val="00BC6523"/>
    <w:rsid w:val="00BC67E8"/>
    <w:rsid w:val="00BC6A6E"/>
    <w:rsid w:val="00BC7868"/>
    <w:rsid w:val="00BC7EEE"/>
    <w:rsid w:val="00BD0B31"/>
    <w:rsid w:val="00BD0D2B"/>
    <w:rsid w:val="00BD10B0"/>
    <w:rsid w:val="00BD1444"/>
    <w:rsid w:val="00BD151C"/>
    <w:rsid w:val="00BD17E2"/>
    <w:rsid w:val="00BD1A0D"/>
    <w:rsid w:val="00BD2167"/>
    <w:rsid w:val="00BD23AD"/>
    <w:rsid w:val="00BD24BD"/>
    <w:rsid w:val="00BD2B27"/>
    <w:rsid w:val="00BD2D28"/>
    <w:rsid w:val="00BD2E85"/>
    <w:rsid w:val="00BD3026"/>
    <w:rsid w:val="00BD3064"/>
    <w:rsid w:val="00BD31A7"/>
    <w:rsid w:val="00BD325B"/>
    <w:rsid w:val="00BD4473"/>
    <w:rsid w:val="00BD45EF"/>
    <w:rsid w:val="00BD4608"/>
    <w:rsid w:val="00BD4926"/>
    <w:rsid w:val="00BD4A9B"/>
    <w:rsid w:val="00BD4C86"/>
    <w:rsid w:val="00BD4E97"/>
    <w:rsid w:val="00BD4F4C"/>
    <w:rsid w:val="00BD4FC3"/>
    <w:rsid w:val="00BD590D"/>
    <w:rsid w:val="00BD5998"/>
    <w:rsid w:val="00BD5BF4"/>
    <w:rsid w:val="00BD5D26"/>
    <w:rsid w:val="00BD5F25"/>
    <w:rsid w:val="00BD602F"/>
    <w:rsid w:val="00BD6C4C"/>
    <w:rsid w:val="00BD6D2F"/>
    <w:rsid w:val="00BD70AE"/>
    <w:rsid w:val="00BD7187"/>
    <w:rsid w:val="00BD72FA"/>
    <w:rsid w:val="00BD73FC"/>
    <w:rsid w:val="00BD7663"/>
    <w:rsid w:val="00BD7712"/>
    <w:rsid w:val="00BD7F4F"/>
    <w:rsid w:val="00BE00F4"/>
    <w:rsid w:val="00BE02A9"/>
    <w:rsid w:val="00BE0720"/>
    <w:rsid w:val="00BE0B9F"/>
    <w:rsid w:val="00BE1AB0"/>
    <w:rsid w:val="00BE1BAC"/>
    <w:rsid w:val="00BE1D83"/>
    <w:rsid w:val="00BE2035"/>
    <w:rsid w:val="00BE2A6A"/>
    <w:rsid w:val="00BE2D10"/>
    <w:rsid w:val="00BE2DB1"/>
    <w:rsid w:val="00BE31C2"/>
    <w:rsid w:val="00BE3A33"/>
    <w:rsid w:val="00BE3A61"/>
    <w:rsid w:val="00BE4805"/>
    <w:rsid w:val="00BE48DE"/>
    <w:rsid w:val="00BE4AA2"/>
    <w:rsid w:val="00BE4B34"/>
    <w:rsid w:val="00BE5049"/>
    <w:rsid w:val="00BE5777"/>
    <w:rsid w:val="00BE586E"/>
    <w:rsid w:val="00BE5886"/>
    <w:rsid w:val="00BE58EC"/>
    <w:rsid w:val="00BE66B2"/>
    <w:rsid w:val="00BE6970"/>
    <w:rsid w:val="00BE6EEB"/>
    <w:rsid w:val="00BE791C"/>
    <w:rsid w:val="00BE7D10"/>
    <w:rsid w:val="00BF0028"/>
    <w:rsid w:val="00BF0279"/>
    <w:rsid w:val="00BF02BA"/>
    <w:rsid w:val="00BF0BB9"/>
    <w:rsid w:val="00BF0C14"/>
    <w:rsid w:val="00BF13BF"/>
    <w:rsid w:val="00BF1CB6"/>
    <w:rsid w:val="00BF1DA4"/>
    <w:rsid w:val="00BF1DAB"/>
    <w:rsid w:val="00BF200C"/>
    <w:rsid w:val="00BF2929"/>
    <w:rsid w:val="00BF2D5E"/>
    <w:rsid w:val="00BF33EF"/>
    <w:rsid w:val="00BF384C"/>
    <w:rsid w:val="00BF3D4A"/>
    <w:rsid w:val="00BF43CD"/>
    <w:rsid w:val="00BF44D7"/>
    <w:rsid w:val="00BF47A3"/>
    <w:rsid w:val="00BF4BBB"/>
    <w:rsid w:val="00BF4D25"/>
    <w:rsid w:val="00BF5438"/>
    <w:rsid w:val="00BF543A"/>
    <w:rsid w:val="00BF5800"/>
    <w:rsid w:val="00BF5AEB"/>
    <w:rsid w:val="00BF5BD8"/>
    <w:rsid w:val="00BF5DDC"/>
    <w:rsid w:val="00BF5FDF"/>
    <w:rsid w:val="00BF71D2"/>
    <w:rsid w:val="00BF722E"/>
    <w:rsid w:val="00BF7230"/>
    <w:rsid w:val="00BF74A7"/>
    <w:rsid w:val="00BF7705"/>
    <w:rsid w:val="00BF7752"/>
    <w:rsid w:val="00BF7BF0"/>
    <w:rsid w:val="00C0022C"/>
    <w:rsid w:val="00C0034A"/>
    <w:rsid w:val="00C00790"/>
    <w:rsid w:val="00C008DE"/>
    <w:rsid w:val="00C00D16"/>
    <w:rsid w:val="00C01B6F"/>
    <w:rsid w:val="00C02F5E"/>
    <w:rsid w:val="00C02FC3"/>
    <w:rsid w:val="00C0356C"/>
    <w:rsid w:val="00C03C5C"/>
    <w:rsid w:val="00C03E61"/>
    <w:rsid w:val="00C03F66"/>
    <w:rsid w:val="00C0411E"/>
    <w:rsid w:val="00C04430"/>
    <w:rsid w:val="00C04C1E"/>
    <w:rsid w:val="00C04F83"/>
    <w:rsid w:val="00C04FE0"/>
    <w:rsid w:val="00C05F5D"/>
    <w:rsid w:val="00C05FE8"/>
    <w:rsid w:val="00C064D8"/>
    <w:rsid w:val="00C06A8E"/>
    <w:rsid w:val="00C06CA2"/>
    <w:rsid w:val="00C06D14"/>
    <w:rsid w:val="00C06DAD"/>
    <w:rsid w:val="00C06F18"/>
    <w:rsid w:val="00C070D9"/>
    <w:rsid w:val="00C072FB"/>
    <w:rsid w:val="00C073EC"/>
    <w:rsid w:val="00C075DF"/>
    <w:rsid w:val="00C076C1"/>
    <w:rsid w:val="00C07A30"/>
    <w:rsid w:val="00C07B3B"/>
    <w:rsid w:val="00C07BBA"/>
    <w:rsid w:val="00C07C4D"/>
    <w:rsid w:val="00C07CD0"/>
    <w:rsid w:val="00C07EB5"/>
    <w:rsid w:val="00C1000A"/>
    <w:rsid w:val="00C10129"/>
    <w:rsid w:val="00C10189"/>
    <w:rsid w:val="00C10571"/>
    <w:rsid w:val="00C10AA5"/>
    <w:rsid w:val="00C1142B"/>
    <w:rsid w:val="00C12074"/>
    <w:rsid w:val="00C1211F"/>
    <w:rsid w:val="00C125E5"/>
    <w:rsid w:val="00C12C21"/>
    <w:rsid w:val="00C132A0"/>
    <w:rsid w:val="00C13566"/>
    <w:rsid w:val="00C13750"/>
    <w:rsid w:val="00C13BF6"/>
    <w:rsid w:val="00C14746"/>
    <w:rsid w:val="00C14C51"/>
    <w:rsid w:val="00C15292"/>
    <w:rsid w:val="00C154C8"/>
    <w:rsid w:val="00C15563"/>
    <w:rsid w:val="00C15682"/>
    <w:rsid w:val="00C156DC"/>
    <w:rsid w:val="00C15A3A"/>
    <w:rsid w:val="00C15B02"/>
    <w:rsid w:val="00C166B1"/>
    <w:rsid w:val="00C16E16"/>
    <w:rsid w:val="00C173EE"/>
    <w:rsid w:val="00C2026E"/>
    <w:rsid w:val="00C203F6"/>
    <w:rsid w:val="00C20B57"/>
    <w:rsid w:val="00C21211"/>
    <w:rsid w:val="00C21311"/>
    <w:rsid w:val="00C21615"/>
    <w:rsid w:val="00C21814"/>
    <w:rsid w:val="00C21C59"/>
    <w:rsid w:val="00C22A60"/>
    <w:rsid w:val="00C22ED5"/>
    <w:rsid w:val="00C23104"/>
    <w:rsid w:val="00C231A7"/>
    <w:rsid w:val="00C232D5"/>
    <w:rsid w:val="00C23301"/>
    <w:rsid w:val="00C23F45"/>
    <w:rsid w:val="00C23FA1"/>
    <w:rsid w:val="00C240B5"/>
    <w:rsid w:val="00C2428C"/>
    <w:rsid w:val="00C243F9"/>
    <w:rsid w:val="00C24E36"/>
    <w:rsid w:val="00C24F4D"/>
    <w:rsid w:val="00C252EC"/>
    <w:rsid w:val="00C253B1"/>
    <w:rsid w:val="00C256C9"/>
    <w:rsid w:val="00C25834"/>
    <w:rsid w:val="00C25FDD"/>
    <w:rsid w:val="00C26437"/>
    <w:rsid w:val="00C2675B"/>
    <w:rsid w:val="00C267D3"/>
    <w:rsid w:val="00C26A03"/>
    <w:rsid w:val="00C26BBC"/>
    <w:rsid w:val="00C2717E"/>
    <w:rsid w:val="00C27C1E"/>
    <w:rsid w:val="00C27D76"/>
    <w:rsid w:val="00C301F8"/>
    <w:rsid w:val="00C302E3"/>
    <w:rsid w:val="00C30305"/>
    <w:rsid w:val="00C30891"/>
    <w:rsid w:val="00C31065"/>
    <w:rsid w:val="00C31163"/>
    <w:rsid w:val="00C32218"/>
    <w:rsid w:val="00C32281"/>
    <w:rsid w:val="00C32A4B"/>
    <w:rsid w:val="00C32A96"/>
    <w:rsid w:val="00C32D54"/>
    <w:rsid w:val="00C33517"/>
    <w:rsid w:val="00C33CD3"/>
    <w:rsid w:val="00C341E9"/>
    <w:rsid w:val="00C3429A"/>
    <w:rsid w:val="00C3443E"/>
    <w:rsid w:val="00C3466E"/>
    <w:rsid w:val="00C34B78"/>
    <w:rsid w:val="00C34C49"/>
    <w:rsid w:val="00C34D5A"/>
    <w:rsid w:val="00C350C2"/>
    <w:rsid w:val="00C351D9"/>
    <w:rsid w:val="00C356C4"/>
    <w:rsid w:val="00C35B16"/>
    <w:rsid w:val="00C3612D"/>
    <w:rsid w:val="00C361AF"/>
    <w:rsid w:val="00C361E8"/>
    <w:rsid w:val="00C36229"/>
    <w:rsid w:val="00C36A27"/>
    <w:rsid w:val="00C36A33"/>
    <w:rsid w:val="00C36E4F"/>
    <w:rsid w:val="00C37135"/>
    <w:rsid w:val="00C3789E"/>
    <w:rsid w:val="00C4037A"/>
    <w:rsid w:val="00C4062B"/>
    <w:rsid w:val="00C40673"/>
    <w:rsid w:val="00C40735"/>
    <w:rsid w:val="00C41187"/>
    <w:rsid w:val="00C41358"/>
    <w:rsid w:val="00C42DBC"/>
    <w:rsid w:val="00C4305D"/>
    <w:rsid w:val="00C43075"/>
    <w:rsid w:val="00C432A6"/>
    <w:rsid w:val="00C433BE"/>
    <w:rsid w:val="00C43778"/>
    <w:rsid w:val="00C43A94"/>
    <w:rsid w:val="00C43E61"/>
    <w:rsid w:val="00C44962"/>
    <w:rsid w:val="00C44BCB"/>
    <w:rsid w:val="00C44C69"/>
    <w:rsid w:val="00C44EA0"/>
    <w:rsid w:val="00C450B7"/>
    <w:rsid w:val="00C451BD"/>
    <w:rsid w:val="00C45AA2"/>
    <w:rsid w:val="00C45D88"/>
    <w:rsid w:val="00C46004"/>
    <w:rsid w:val="00C46544"/>
    <w:rsid w:val="00C46622"/>
    <w:rsid w:val="00C4696C"/>
    <w:rsid w:val="00C46C84"/>
    <w:rsid w:val="00C46EBE"/>
    <w:rsid w:val="00C470DB"/>
    <w:rsid w:val="00C47D26"/>
    <w:rsid w:val="00C47E54"/>
    <w:rsid w:val="00C50323"/>
    <w:rsid w:val="00C505E7"/>
    <w:rsid w:val="00C50FA1"/>
    <w:rsid w:val="00C51063"/>
    <w:rsid w:val="00C512E8"/>
    <w:rsid w:val="00C518B1"/>
    <w:rsid w:val="00C51925"/>
    <w:rsid w:val="00C51EF2"/>
    <w:rsid w:val="00C5233E"/>
    <w:rsid w:val="00C52355"/>
    <w:rsid w:val="00C52382"/>
    <w:rsid w:val="00C526DF"/>
    <w:rsid w:val="00C52E0F"/>
    <w:rsid w:val="00C52FCF"/>
    <w:rsid w:val="00C53267"/>
    <w:rsid w:val="00C53317"/>
    <w:rsid w:val="00C535F9"/>
    <w:rsid w:val="00C538AF"/>
    <w:rsid w:val="00C53ABF"/>
    <w:rsid w:val="00C53BE5"/>
    <w:rsid w:val="00C53D33"/>
    <w:rsid w:val="00C53EB7"/>
    <w:rsid w:val="00C541F1"/>
    <w:rsid w:val="00C54450"/>
    <w:rsid w:val="00C54C3E"/>
    <w:rsid w:val="00C54D8C"/>
    <w:rsid w:val="00C54F5C"/>
    <w:rsid w:val="00C5514F"/>
    <w:rsid w:val="00C555A6"/>
    <w:rsid w:val="00C55AB2"/>
    <w:rsid w:val="00C5616A"/>
    <w:rsid w:val="00C56533"/>
    <w:rsid w:val="00C5664E"/>
    <w:rsid w:val="00C56A71"/>
    <w:rsid w:val="00C56DDD"/>
    <w:rsid w:val="00C57168"/>
    <w:rsid w:val="00C5717E"/>
    <w:rsid w:val="00C572E8"/>
    <w:rsid w:val="00C57855"/>
    <w:rsid w:val="00C57AE6"/>
    <w:rsid w:val="00C60633"/>
    <w:rsid w:val="00C60754"/>
    <w:rsid w:val="00C609F8"/>
    <w:rsid w:val="00C60E05"/>
    <w:rsid w:val="00C61045"/>
    <w:rsid w:val="00C61100"/>
    <w:rsid w:val="00C61237"/>
    <w:rsid w:val="00C614F1"/>
    <w:rsid w:val="00C61BBD"/>
    <w:rsid w:val="00C61F0A"/>
    <w:rsid w:val="00C62A46"/>
    <w:rsid w:val="00C62A4A"/>
    <w:rsid w:val="00C63726"/>
    <w:rsid w:val="00C63B91"/>
    <w:rsid w:val="00C63C3F"/>
    <w:rsid w:val="00C63C9A"/>
    <w:rsid w:val="00C64375"/>
    <w:rsid w:val="00C644D8"/>
    <w:rsid w:val="00C64638"/>
    <w:rsid w:val="00C64755"/>
    <w:rsid w:val="00C64E3C"/>
    <w:rsid w:val="00C6554F"/>
    <w:rsid w:val="00C6566A"/>
    <w:rsid w:val="00C656D5"/>
    <w:rsid w:val="00C66330"/>
    <w:rsid w:val="00C6673B"/>
    <w:rsid w:val="00C6685D"/>
    <w:rsid w:val="00C6687E"/>
    <w:rsid w:val="00C6701E"/>
    <w:rsid w:val="00C67DFE"/>
    <w:rsid w:val="00C70601"/>
    <w:rsid w:val="00C70737"/>
    <w:rsid w:val="00C7099E"/>
    <w:rsid w:val="00C710E4"/>
    <w:rsid w:val="00C7114C"/>
    <w:rsid w:val="00C715A1"/>
    <w:rsid w:val="00C71B3B"/>
    <w:rsid w:val="00C71ED0"/>
    <w:rsid w:val="00C7291E"/>
    <w:rsid w:val="00C7313D"/>
    <w:rsid w:val="00C731BB"/>
    <w:rsid w:val="00C731E6"/>
    <w:rsid w:val="00C73C58"/>
    <w:rsid w:val="00C7408A"/>
    <w:rsid w:val="00C74493"/>
    <w:rsid w:val="00C74E38"/>
    <w:rsid w:val="00C75939"/>
    <w:rsid w:val="00C75FBF"/>
    <w:rsid w:val="00C763A9"/>
    <w:rsid w:val="00C763E5"/>
    <w:rsid w:val="00C76498"/>
    <w:rsid w:val="00C76599"/>
    <w:rsid w:val="00C76C94"/>
    <w:rsid w:val="00C76CA3"/>
    <w:rsid w:val="00C76E62"/>
    <w:rsid w:val="00C76F49"/>
    <w:rsid w:val="00C7723E"/>
    <w:rsid w:val="00C77672"/>
    <w:rsid w:val="00C778AA"/>
    <w:rsid w:val="00C77AA9"/>
    <w:rsid w:val="00C77ABD"/>
    <w:rsid w:val="00C77FBD"/>
    <w:rsid w:val="00C80510"/>
    <w:rsid w:val="00C809C8"/>
    <w:rsid w:val="00C80F62"/>
    <w:rsid w:val="00C81A56"/>
    <w:rsid w:val="00C81C3C"/>
    <w:rsid w:val="00C81CF8"/>
    <w:rsid w:val="00C827B9"/>
    <w:rsid w:val="00C82B5B"/>
    <w:rsid w:val="00C82D04"/>
    <w:rsid w:val="00C831C9"/>
    <w:rsid w:val="00C83518"/>
    <w:rsid w:val="00C83789"/>
    <w:rsid w:val="00C840A0"/>
    <w:rsid w:val="00C840B1"/>
    <w:rsid w:val="00C84181"/>
    <w:rsid w:val="00C84370"/>
    <w:rsid w:val="00C8449A"/>
    <w:rsid w:val="00C84BA9"/>
    <w:rsid w:val="00C84EC2"/>
    <w:rsid w:val="00C85966"/>
    <w:rsid w:val="00C85A55"/>
    <w:rsid w:val="00C85D90"/>
    <w:rsid w:val="00C85E08"/>
    <w:rsid w:val="00C85FB7"/>
    <w:rsid w:val="00C85FF6"/>
    <w:rsid w:val="00C86F1C"/>
    <w:rsid w:val="00C870FD"/>
    <w:rsid w:val="00C87F4D"/>
    <w:rsid w:val="00C90036"/>
    <w:rsid w:val="00C90249"/>
    <w:rsid w:val="00C90274"/>
    <w:rsid w:val="00C904EB"/>
    <w:rsid w:val="00C90A7B"/>
    <w:rsid w:val="00C90CEA"/>
    <w:rsid w:val="00C91184"/>
    <w:rsid w:val="00C912A1"/>
    <w:rsid w:val="00C914EC"/>
    <w:rsid w:val="00C91543"/>
    <w:rsid w:val="00C9178B"/>
    <w:rsid w:val="00C91C9D"/>
    <w:rsid w:val="00C91CA1"/>
    <w:rsid w:val="00C91F2E"/>
    <w:rsid w:val="00C922D1"/>
    <w:rsid w:val="00C923C5"/>
    <w:rsid w:val="00C926FB"/>
    <w:rsid w:val="00C92716"/>
    <w:rsid w:val="00C92FE2"/>
    <w:rsid w:val="00C93397"/>
    <w:rsid w:val="00C933A3"/>
    <w:rsid w:val="00C933EA"/>
    <w:rsid w:val="00C93D13"/>
    <w:rsid w:val="00C945C7"/>
    <w:rsid w:val="00C96A51"/>
    <w:rsid w:val="00C96C22"/>
    <w:rsid w:val="00C974FF"/>
    <w:rsid w:val="00C975AD"/>
    <w:rsid w:val="00C97DA6"/>
    <w:rsid w:val="00C97FEE"/>
    <w:rsid w:val="00CA0194"/>
    <w:rsid w:val="00CA0216"/>
    <w:rsid w:val="00CA081E"/>
    <w:rsid w:val="00CA0C8D"/>
    <w:rsid w:val="00CA0CF3"/>
    <w:rsid w:val="00CA1144"/>
    <w:rsid w:val="00CA149C"/>
    <w:rsid w:val="00CA178C"/>
    <w:rsid w:val="00CA1799"/>
    <w:rsid w:val="00CA1C6B"/>
    <w:rsid w:val="00CA234E"/>
    <w:rsid w:val="00CA2B76"/>
    <w:rsid w:val="00CA2E07"/>
    <w:rsid w:val="00CA3115"/>
    <w:rsid w:val="00CA3448"/>
    <w:rsid w:val="00CA3752"/>
    <w:rsid w:val="00CA3EF2"/>
    <w:rsid w:val="00CA43E1"/>
    <w:rsid w:val="00CA47CE"/>
    <w:rsid w:val="00CA4DB1"/>
    <w:rsid w:val="00CA4FC6"/>
    <w:rsid w:val="00CA5049"/>
    <w:rsid w:val="00CA5A98"/>
    <w:rsid w:val="00CA5C92"/>
    <w:rsid w:val="00CA5CCA"/>
    <w:rsid w:val="00CA5D69"/>
    <w:rsid w:val="00CA5D86"/>
    <w:rsid w:val="00CA60D5"/>
    <w:rsid w:val="00CA623F"/>
    <w:rsid w:val="00CA62AD"/>
    <w:rsid w:val="00CA66CE"/>
    <w:rsid w:val="00CA6F5D"/>
    <w:rsid w:val="00CA77E2"/>
    <w:rsid w:val="00CA7C6A"/>
    <w:rsid w:val="00CB0022"/>
    <w:rsid w:val="00CB0130"/>
    <w:rsid w:val="00CB0429"/>
    <w:rsid w:val="00CB0C5E"/>
    <w:rsid w:val="00CB1304"/>
    <w:rsid w:val="00CB245B"/>
    <w:rsid w:val="00CB2572"/>
    <w:rsid w:val="00CB25B8"/>
    <w:rsid w:val="00CB26B7"/>
    <w:rsid w:val="00CB2BD5"/>
    <w:rsid w:val="00CB2C2C"/>
    <w:rsid w:val="00CB3058"/>
    <w:rsid w:val="00CB3C79"/>
    <w:rsid w:val="00CB45C7"/>
    <w:rsid w:val="00CB5225"/>
    <w:rsid w:val="00CB5671"/>
    <w:rsid w:val="00CB5EB0"/>
    <w:rsid w:val="00CB6040"/>
    <w:rsid w:val="00CB697E"/>
    <w:rsid w:val="00CB6BA7"/>
    <w:rsid w:val="00CB6C1B"/>
    <w:rsid w:val="00CB747D"/>
    <w:rsid w:val="00CB7584"/>
    <w:rsid w:val="00CB75BE"/>
    <w:rsid w:val="00CB7645"/>
    <w:rsid w:val="00CB76B1"/>
    <w:rsid w:val="00CB7A0A"/>
    <w:rsid w:val="00CC0258"/>
    <w:rsid w:val="00CC04A4"/>
    <w:rsid w:val="00CC08AC"/>
    <w:rsid w:val="00CC0909"/>
    <w:rsid w:val="00CC0987"/>
    <w:rsid w:val="00CC0F28"/>
    <w:rsid w:val="00CC125E"/>
    <w:rsid w:val="00CC13C4"/>
    <w:rsid w:val="00CC1B84"/>
    <w:rsid w:val="00CC1C82"/>
    <w:rsid w:val="00CC1CA3"/>
    <w:rsid w:val="00CC27B8"/>
    <w:rsid w:val="00CC2874"/>
    <w:rsid w:val="00CC2D38"/>
    <w:rsid w:val="00CC2DAB"/>
    <w:rsid w:val="00CC3299"/>
    <w:rsid w:val="00CC363C"/>
    <w:rsid w:val="00CC3764"/>
    <w:rsid w:val="00CC3789"/>
    <w:rsid w:val="00CC38CD"/>
    <w:rsid w:val="00CC3942"/>
    <w:rsid w:val="00CC3982"/>
    <w:rsid w:val="00CC3D7D"/>
    <w:rsid w:val="00CC43F3"/>
    <w:rsid w:val="00CC502D"/>
    <w:rsid w:val="00CC51CC"/>
    <w:rsid w:val="00CC51E3"/>
    <w:rsid w:val="00CC5267"/>
    <w:rsid w:val="00CC557A"/>
    <w:rsid w:val="00CC55EF"/>
    <w:rsid w:val="00CC5CB4"/>
    <w:rsid w:val="00CC5E5C"/>
    <w:rsid w:val="00CC6293"/>
    <w:rsid w:val="00CC62D9"/>
    <w:rsid w:val="00CC6A46"/>
    <w:rsid w:val="00CC6E96"/>
    <w:rsid w:val="00CC7040"/>
    <w:rsid w:val="00CC708B"/>
    <w:rsid w:val="00CC7237"/>
    <w:rsid w:val="00CD0455"/>
    <w:rsid w:val="00CD076B"/>
    <w:rsid w:val="00CD0CC8"/>
    <w:rsid w:val="00CD0D33"/>
    <w:rsid w:val="00CD1223"/>
    <w:rsid w:val="00CD1670"/>
    <w:rsid w:val="00CD174D"/>
    <w:rsid w:val="00CD312E"/>
    <w:rsid w:val="00CD342D"/>
    <w:rsid w:val="00CD3748"/>
    <w:rsid w:val="00CD385A"/>
    <w:rsid w:val="00CD3AC0"/>
    <w:rsid w:val="00CD3C32"/>
    <w:rsid w:val="00CD3D24"/>
    <w:rsid w:val="00CD3F37"/>
    <w:rsid w:val="00CD42BE"/>
    <w:rsid w:val="00CD43AA"/>
    <w:rsid w:val="00CD4DC4"/>
    <w:rsid w:val="00CD500E"/>
    <w:rsid w:val="00CD504E"/>
    <w:rsid w:val="00CD5273"/>
    <w:rsid w:val="00CD5728"/>
    <w:rsid w:val="00CD5A61"/>
    <w:rsid w:val="00CD65C5"/>
    <w:rsid w:val="00CD6C2D"/>
    <w:rsid w:val="00CD6E9E"/>
    <w:rsid w:val="00CD71BE"/>
    <w:rsid w:val="00CD71C3"/>
    <w:rsid w:val="00CD7353"/>
    <w:rsid w:val="00CD79F7"/>
    <w:rsid w:val="00CD7B4D"/>
    <w:rsid w:val="00CE0188"/>
    <w:rsid w:val="00CE0251"/>
    <w:rsid w:val="00CE07DC"/>
    <w:rsid w:val="00CE0AE1"/>
    <w:rsid w:val="00CE0C0A"/>
    <w:rsid w:val="00CE0CF8"/>
    <w:rsid w:val="00CE0EC2"/>
    <w:rsid w:val="00CE137C"/>
    <w:rsid w:val="00CE15D0"/>
    <w:rsid w:val="00CE1618"/>
    <w:rsid w:val="00CE1E69"/>
    <w:rsid w:val="00CE1FD4"/>
    <w:rsid w:val="00CE22FE"/>
    <w:rsid w:val="00CE28C6"/>
    <w:rsid w:val="00CE3262"/>
    <w:rsid w:val="00CE3490"/>
    <w:rsid w:val="00CE350E"/>
    <w:rsid w:val="00CE39D6"/>
    <w:rsid w:val="00CE3A9E"/>
    <w:rsid w:val="00CE3D72"/>
    <w:rsid w:val="00CE3F4F"/>
    <w:rsid w:val="00CE445D"/>
    <w:rsid w:val="00CE4EF5"/>
    <w:rsid w:val="00CE4FEA"/>
    <w:rsid w:val="00CE51E6"/>
    <w:rsid w:val="00CE550C"/>
    <w:rsid w:val="00CE5684"/>
    <w:rsid w:val="00CE5923"/>
    <w:rsid w:val="00CE5956"/>
    <w:rsid w:val="00CE5BAF"/>
    <w:rsid w:val="00CE5E0C"/>
    <w:rsid w:val="00CE648B"/>
    <w:rsid w:val="00CE6897"/>
    <w:rsid w:val="00CE7976"/>
    <w:rsid w:val="00CE7A22"/>
    <w:rsid w:val="00CE7CEA"/>
    <w:rsid w:val="00CE7E3A"/>
    <w:rsid w:val="00CF00F3"/>
    <w:rsid w:val="00CF0945"/>
    <w:rsid w:val="00CF099C"/>
    <w:rsid w:val="00CF123D"/>
    <w:rsid w:val="00CF12C0"/>
    <w:rsid w:val="00CF14DA"/>
    <w:rsid w:val="00CF16B3"/>
    <w:rsid w:val="00CF1C25"/>
    <w:rsid w:val="00CF1EEB"/>
    <w:rsid w:val="00CF2129"/>
    <w:rsid w:val="00CF2459"/>
    <w:rsid w:val="00CF2560"/>
    <w:rsid w:val="00CF27EA"/>
    <w:rsid w:val="00CF2D15"/>
    <w:rsid w:val="00CF368D"/>
    <w:rsid w:val="00CF39D2"/>
    <w:rsid w:val="00CF3A79"/>
    <w:rsid w:val="00CF3B5B"/>
    <w:rsid w:val="00CF3BCC"/>
    <w:rsid w:val="00CF42D6"/>
    <w:rsid w:val="00CF4A8D"/>
    <w:rsid w:val="00CF4F0E"/>
    <w:rsid w:val="00CF5766"/>
    <w:rsid w:val="00CF589A"/>
    <w:rsid w:val="00CF59CB"/>
    <w:rsid w:val="00CF5BFF"/>
    <w:rsid w:val="00CF5D86"/>
    <w:rsid w:val="00CF5DFD"/>
    <w:rsid w:val="00CF623A"/>
    <w:rsid w:val="00CF627E"/>
    <w:rsid w:val="00CF6754"/>
    <w:rsid w:val="00CF6806"/>
    <w:rsid w:val="00CF6E46"/>
    <w:rsid w:val="00CF741E"/>
    <w:rsid w:val="00CF74EE"/>
    <w:rsid w:val="00CF79EE"/>
    <w:rsid w:val="00D00331"/>
    <w:rsid w:val="00D003EE"/>
    <w:rsid w:val="00D00A31"/>
    <w:rsid w:val="00D00F58"/>
    <w:rsid w:val="00D00FA7"/>
    <w:rsid w:val="00D01678"/>
    <w:rsid w:val="00D01911"/>
    <w:rsid w:val="00D019AB"/>
    <w:rsid w:val="00D022FB"/>
    <w:rsid w:val="00D02743"/>
    <w:rsid w:val="00D02FAC"/>
    <w:rsid w:val="00D0310F"/>
    <w:rsid w:val="00D03312"/>
    <w:rsid w:val="00D03320"/>
    <w:rsid w:val="00D0370C"/>
    <w:rsid w:val="00D039E1"/>
    <w:rsid w:val="00D03A23"/>
    <w:rsid w:val="00D03ACF"/>
    <w:rsid w:val="00D03EE0"/>
    <w:rsid w:val="00D03FDF"/>
    <w:rsid w:val="00D04189"/>
    <w:rsid w:val="00D043A5"/>
    <w:rsid w:val="00D04469"/>
    <w:rsid w:val="00D04581"/>
    <w:rsid w:val="00D045EB"/>
    <w:rsid w:val="00D04B3F"/>
    <w:rsid w:val="00D04CD9"/>
    <w:rsid w:val="00D04F73"/>
    <w:rsid w:val="00D05392"/>
    <w:rsid w:val="00D057A4"/>
    <w:rsid w:val="00D05989"/>
    <w:rsid w:val="00D068AF"/>
    <w:rsid w:val="00D06A30"/>
    <w:rsid w:val="00D075F5"/>
    <w:rsid w:val="00D07688"/>
    <w:rsid w:val="00D100CE"/>
    <w:rsid w:val="00D106FD"/>
    <w:rsid w:val="00D10AE4"/>
    <w:rsid w:val="00D10F43"/>
    <w:rsid w:val="00D113E0"/>
    <w:rsid w:val="00D117FA"/>
    <w:rsid w:val="00D1181E"/>
    <w:rsid w:val="00D127CF"/>
    <w:rsid w:val="00D12AA0"/>
    <w:rsid w:val="00D12AEF"/>
    <w:rsid w:val="00D12B13"/>
    <w:rsid w:val="00D1337E"/>
    <w:rsid w:val="00D133FF"/>
    <w:rsid w:val="00D13950"/>
    <w:rsid w:val="00D13EA7"/>
    <w:rsid w:val="00D148BA"/>
    <w:rsid w:val="00D14D2E"/>
    <w:rsid w:val="00D14EB8"/>
    <w:rsid w:val="00D14EF2"/>
    <w:rsid w:val="00D14F60"/>
    <w:rsid w:val="00D150B6"/>
    <w:rsid w:val="00D15439"/>
    <w:rsid w:val="00D15A45"/>
    <w:rsid w:val="00D16358"/>
    <w:rsid w:val="00D1653B"/>
    <w:rsid w:val="00D16590"/>
    <w:rsid w:val="00D165F7"/>
    <w:rsid w:val="00D1672E"/>
    <w:rsid w:val="00D16765"/>
    <w:rsid w:val="00D16812"/>
    <w:rsid w:val="00D16ACE"/>
    <w:rsid w:val="00D16FF3"/>
    <w:rsid w:val="00D17886"/>
    <w:rsid w:val="00D179A0"/>
    <w:rsid w:val="00D17B51"/>
    <w:rsid w:val="00D17BEC"/>
    <w:rsid w:val="00D17F6B"/>
    <w:rsid w:val="00D20052"/>
    <w:rsid w:val="00D2007D"/>
    <w:rsid w:val="00D202C1"/>
    <w:rsid w:val="00D2053C"/>
    <w:rsid w:val="00D20FD9"/>
    <w:rsid w:val="00D2119F"/>
    <w:rsid w:val="00D217AF"/>
    <w:rsid w:val="00D21EFC"/>
    <w:rsid w:val="00D221E0"/>
    <w:rsid w:val="00D222F9"/>
    <w:rsid w:val="00D22C7C"/>
    <w:rsid w:val="00D2304F"/>
    <w:rsid w:val="00D230B1"/>
    <w:rsid w:val="00D231D9"/>
    <w:rsid w:val="00D23733"/>
    <w:rsid w:val="00D248DA"/>
    <w:rsid w:val="00D24C27"/>
    <w:rsid w:val="00D24E5A"/>
    <w:rsid w:val="00D25013"/>
    <w:rsid w:val="00D25928"/>
    <w:rsid w:val="00D26AE1"/>
    <w:rsid w:val="00D26B79"/>
    <w:rsid w:val="00D26C1B"/>
    <w:rsid w:val="00D27387"/>
    <w:rsid w:val="00D27A4B"/>
    <w:rsid w:val="00D27A8B"/>
    <w:rsid w:val="00D27B84"/>
    <w:rsid w:val="00D30265"/>
    <w:rsid w:val="00D30840"/>
    <w:rsid w:val="00D31000"/>
    <w:rsid w:val="00D31320"/>
    <w:rsid w:val="00D31697"/>
    <w:rsid w:val="00D31EC6"/>
    <w:rsid w:val="00D32341"/>
    <w:rsid w:val="00D325A4"/>
    <w:rsid w:val="00D32716"/>
    <w:rsid w:val="00D32C59"/>
    <w:rsid w:val="00D32DEC"/>
    <w:rsid w:val="00D33855"/>
    <w:rsid w:val="00D33C84"/>
    <w:rsid w:val="00D33CD8"/>
    <w:rsid w:val="00D34552"/>
    <w:rsid w:val="00D3456A"/>
    <w:rsid w:val="00D34CBA"/>
    <w:rsid w:val="00D34D09"/>
    <w:rsid w:val="00D34FEA"/>
    <w:rsid w:val="00D3514D"/>
    <w:rsid w:val="00D35B27"/>
    <w:rsid w:val="00D35BE6"/>
    <w:rsid w:val="00D35D62"/>
    <w:rsid w:val="00D35FD7"/>
    <w:rsid w:val="00D365AD"/>
    <w:rsid w:val="00D375F9"/>
    <w:rsid w:val="00D378BD"/>
    <w:rsid w:val="00D37BC4"/>
    <w:rsid w:val="00D37DDE"/>
    <w:rsid w:val="00D40087"/>
    <w:rsid w:val="00D40258"/>
    <w:rsid w:val="00D40360"/>
    <w:rsid w:val="00D405B1"/>
    <w:rsid w:val="00D40CCB"/>
    <w:rsid w:val="00D40FA6"/>
    <w:rsid w:val="00D4167B"/>
    <w:rsid w:val="00D423A0"/>
    <w:rsid w:val="00D428A9"/>
    <w:rsid w:val="00D42D30"/>
    <w:rsid w:val="00D42FCD"/>
    <w:rsid w:val="00D43124"/>
    <w:rsid w:val="00D431E1"/>
    <w:rsid w:val="00D4336B"/>
    <w:rsid w:val="00D43770"/>
    <w:rsid w:val="00D44B9C"/>
    <w:rsid w:val="00D44DED"/>
    <w:rsid w:val="00D45203"/>
    <w:rsid w:val="00D45CF4"/>
    <w:rsid w:val="00D4650A"/>
    <w:rsid w:val="00D46689"/>
    <w:rsid w:val="00D4699E"/>
    <w:rsid w:val="00D46A42"/>
    <w:rsid w:val="00D46D38"/>
    <w:rsid w:val="00D46E18"/>
    <w:rsid w:val="00D47035"/>
    <w:rsid w:val="00D47289"/>
    <w:rsid w:val="00D47C22"/>
    <w:rsid w:val="00D47F36"/>
    <w:rsid w:val="00D50416"/>
    <w:rsid w:val="00D50649"/>
    <w:rsid w:val="00D50AD1"/>
    <w:rsid w:val="00D511FE"/>
    <w:rsid w:val="00D513F3"/>
    <w:rsid w:val="00D51446"/>
    <w:rsid w:val="00D519A7"/>
    <w:rsid w:val="00D51E2B"/>
    <w:rsid w:val="00D52711"/>
    <w:rsid w:val="00D52B6D"/>
    <w:rsid w:val="00D53031"/>
    <w:rsid w:val="00D537E5"/>
    <w:rsid w:val="00D537F8"/>
    <w:rsid w:val="00D538B8"/>
    <w:rsid w:val="00D53920"/>
    <w:rsid w:val="00D53E82"/>
    <w:rsid w:val="00D5454C"/>
    <w:rsid w:val="00D54C11"/>
    <w:rsid w:val="00D54DEB"/>
    <w:rsid w:val="00D54FC3"/>
    <w:rsid w:val="00D55044"/>
    <w:rsid w:val="00D55077"/>
    <w:rsid w:val="00D55105"/>
    <w:rsid w:val="00D55227"/>
    <w:rsid w:val="00D55775"/>
    <w:rsid w:val="00D55921"/>
    <w:rsid w:val="00D55CFB"/>
    <w:rsid w:val="00D560DE"/>
    <w:rsid w:val="00D568A5"/>
    <w:rsid w:val="00D56CB5"/>
    <w:rsid w:val="00D570B2"/>
    <w:rsid w:val="00D57250"/>
    <w:rsid w:val="00D573B8"/>
    <w:rsid w:val="00D576CE"/>
    <w:rsid w:val="00D60232"/>
    <w:rsid w:val="00D60764"/>
    <w:rsid w:val="00D609C1"/>
    <w:rsid w:val="00D60B22"/>
    <w:rsid w:val="00D60C04"/>
    <w:rsid w:val="00D60EAD"/>
    <w:rsid w:val="00D613F8"/>
    <w:rsid w:val="00D62AF4"/>
    <w:rsid w:val="00D62C14"/>
    <w:rsid w:val="00D62F3F"/>
    <w:rsid w:val="00D63D5F"/>
    <w:rsid w:val="00D63E22"/>
    <w:rsid w:val="00D641AB"/>
    <w:rsid w:val="00D641E4"/>
    <w:rsid w:val="00D64450"/>
    <w:rsid w:val="00D64C64"/>
    <w:rsid w:val="00D65307"/>
    <w:rsid w:val="00D65BE2"/>
    <w:rsid w:val="00D668C6"/>
    <w:rsid w:val="00D66A91"/>
    <w:rsid w:val="00D66B35"/>
    <w:rsid w:val="00D670CB"/>
    <w:rsid w:val="00D673DA"/>
    <w:rsid w:val="00D675F4"/>
    <w:rsid w:val="00D676DF"/>
    <w:rsid w:val="00D67E8C"/>
    <w:rsid w:val="00D70083"/>
    <w:rsid w:val="00D70365"/>
    <w:rsid w:val="00D7090A"/>
    <w:rsid w:val="00D70B51"/>
    <w:rsid w:val="00D71389"/>
    <w:rsid w:val="00D7140A"/>
    <w:rsid w:val="00D71601"/>
    <w:rsid w:val="00D71A32"/>
    <w:rsid w:val="00D725FB"/>
    <w:rsid w:val="00D72697"/>
    <w:rsid w:val="00D72927"/>
    <w:rsid w:val="00D72A5D"/>
    <w:rsid w:val="00D72D7F"/>
    <w:rsid w:val="00D72DE4"/>
    <w:rsid w:val="00D72F11"/>
    <w:rsid w:val="00D733AF"/>
    <w:rsid w:val="00D733B5"/>
    <w:rsid w:val="00D73540"/>
    <w:rsid w:val="00D73656"/>
    <w:rsid w:val="00D73A6E"/>
    <w:rsid w:val="00D73E3A"/>
    <w:rsid w:val="00D74283"/>
    <w:rsid w:val="00D742A3"/>
    <w:rsid w:val="00D743A3"/>
    <w:rsid w:val="00D74550"/>
    <w:rsid w:val="00D748C3"/>
    <w:rsid w:val="00D75593"/>
    <w:rsid w:val="00D7575D"/>
    <w:rsid w:val="00D75EF5"/>
    <w:rsid w:val="00D771DB"/>
    <w:rsid w:val="00D77A81"/>
    <w:rsid w:val="00D77B01"/>
    <w:rsid w:val="00D77D76"/>
    <w:rsid w:val="00D80198"/>
    <w:rsid w:val="00D806EB"/>
    <w:rsid w:val="00D80901"/>
    <w:rsid w:val="00D809DB"/>
    <w:rsid w:val="00D80A49"/>
    <w:rsid w:val="00D80D11"/>
    <w:rsid w:val="00D80F0D"/>
    <w:rsid w:val="00D81155"/>
    <w:rsid w:val="00D8115F"/>
    <w:rsid w:val="00D8119F"/>
    <w:rsid w:val="00D82046"/>
    <w:rsid w:val="00D82F8C"/>
    <w:rsid w:val="00D83145"/>
    <w:rsid w:val="00D835E4"/>
    <w:rsid w:val="00D837B7"/>
    <w:rsid w:val="00D83A6A"/>
    <w:rsid w:val="00D84250"/>
    <w:rsid w:val="00D8453E"/>
    <w:rsid w:val="00D8462C"/>
    <w:rsid w:val="00D84674"/>
    <w:rsid w:val="00D85025"/>
    <w:rsid w:val="00D85633"/>
    <w:rsid w:val="00D85769"/>
    <w:rsid w:val="00D85773"/>
    <w:rsid w:val="00D8607D"/>
    <w:rsid w:val="00D86808"/>
    <w:rsid w:val="00D86B7C"/>
    <w:rsid w:val="00D871F9"/>
    <w:rsid w:val="00D87287"/>
    <w:rsid w:val="00D8752D"/>
    <w:rsid w:val="00D877BB"/>
    <w:rsid w:val="00D87CF0"/>
    <w:rsid w:val="00D90089"/>
    <w:rsid w:val="00D906CF"/>
    <w:rsid w:val="00D90F91"/>
    <w:rsid w:val="00D90FFF"/>
    <w:rsid w:val="00D911C8"/>
    <w:rsid w:val="00D91463"/>
    <w:rsid w:val="00D91B64"/>
    <w:rsid w:val="00D91C86"/>
    <w:rsid w:val="00D9245E"/>
    <w:rsid w:val="00D9256E"/>
    <w:rsid w:val="00D92651"/>
    <w:rsid w:val="00D928D3"/>
    <w:rsid w:val="00D92E5A"/>
    <w:rsid w:val="00D92FD6"/>
    <w:rsid w:val="00D930C6"/>
    <w:rsid w:val="00D935A0"/>
    <w:rsid w:val="00D93604"/>
    <w:rsid w:val="00D941D2"/>
    <w:rsid w:val="00D941D4"/>
    <w:rsid w:val="00D942F2"/>
    <w:rsid w:val="00D94337"/>
    <w:rsid w:val="00D94675"/>
    <w:rsid w:val="00D94843"/>
    <w:rsid w:val="00D94BC7"/>
    <w:rsid w:val="00D94DF8"/>
    <w:rsid w:val="00D9577A"/>
    <w:rsid w:val="00D959DE"/>
    <w:rsid w:val="00D95C35"/>
    <w:rsid w:val="00D95EE4"/>
    <w:rsid w:val="00D9680C"/>
    <w:rsid w:val="00D96A4A"/>
    <w:rsid w:val="00D96AF5"/>
    <w:rsid w:val="00D96E37"/>
    <w:rsid w:val="00D9746D"/>
    <w:rsid w:val="00D977CC"/>
    <w:rsid w:val="00D97AAD"/>
    <w:rsid w:val="00DA03B4"/>
    <w:rsid w:val="00DA0A46"/>
    <w:rsid w:val="00DA10DD"/>
    <w:rsid w:val="00DA16FC"/>
    <w:rsid w:val="00DA1794"/>
    <w:rsid w:val="00DA1D06"/>
    <w:rsid w:val="00DA2340"/>
    <w:rsid w:val="00DA29E3"/>
    <w:rsid w:val="00DA2A90"/>
    <w:rsid w:val="00DA2E41"/>
    <w:rsid w:val="00DA3145"/>
    <w:rsid w:val="00DA36F9"/>
    <w:rsid w:val="00DA380C"/>
    <w:rsid w:val="00DA3966"/>
    <w:rsid w:val="00DA4791"/>
    <w:rsid w:val="00DA4A69"/>
    <w:rsid w:val="00DA4B19"/>
    <w:rsid w:val="00DA520D"/>
    <w:rsid w:val="00DA54EA"/>
    <w:rsid w:val="00DA5592"/>
    <w:rsid w:val="00DA5648"/>
    <w:rsid w:val="00DA59E9"/>
    <w:rsid w:val="00DA5C23"/>
    <w:rsid w:val="00DA5D4D"/>
    <w:rsid w:val="00DA673B"/>
    <w:rsid w:val="00DA6A08"/>
    <w:rsid w:val="00DA74E0"/>
    <w:rsid w:val="00DA7550"/>
    <w:rsid w:val="00DA76EA"/>
    <w:rsid w:val="00DA789D"/>
    <w:rsid w:val="00DA7BF3"/>
    <w:rsid w:val="00DA7EFE"/>
    <w:rsid w:val="00DB051C"/>
    <w:rsid w:val="00DB05CB"/>
    <w:rsid w:val="00DB0A1F"/>
    <w:rsid w:val="00DB0ADB"/>
    <w:rsid w:val="00DB0CAC"/>
    <w:rsid w:val="00DB1052"/>
    <w:rsid w:val="00DB12E8"/>
    <w:rsid w:val="00DB198F"/>
    <w:rsid w:val="00DB1CBB"/>
    <w:rsid w:val="00DB2041"/>
    <w:rsid w:val="00DB2141"/>
    <w:rsid w:val="00DB2236"/>
    <w:rsid w:val="00DB27B3"/>
    <w:rsid w:val="00DB2FB8"/>
    <w:rsid w:val="00DB376B"/>
    <w:rsid w:val="00DB3E7B"/>
    <w:rsid w:val="00DB43EF"/>
    <w:rsid w:val="00DB4428"/>
    <w:rsid w:val="00DB4454"/>
    <w:rsid w:val="00DB5181"/>
    <w:rsid w:val="00DB5BDA"/>
    <w:rsid w:val="00DB5C1D"/>
    <w:rsid w:val="00DB5DC9"/>
    <w:rsid w:val="00DB638A"/>
    <w:rsid w:val="00DB6E41"/>
    <w:rsid w:val="00DB72AC"/>
    <w:rsid w:val="00DB7875"/>
    <w:rsid w:val="00DB7878"/>
    <w:rsid w:val="00DB78D4"/>
    <w:rsid w:val="00DB7AD8"/>
    <w:rsid w:val="00DC0105"/>
    <w:rsid w:val="00DC0A3C"/>
    <w:rsid w:val="00DC1128"/>
    <w:rsid w:val="00DC1168"/>
    <w:rsid w:val="00DC2B79"/>
    <w:rsid w:val="00DC2C6C"/>
    <w:rsid w:val="00DC2C6E"/>
    <w:rsid w:val="00DC2CA2"/>
    <w:rsid w:val="00DC32C9"/>
    <w:rsid w:val="00DC38F4"/>
    <w:rsid w:val="00DC3A3B"/>
    <w:rsid w:val="00DC3DA2"/>
    <w:rsid w:val="00DC416D"/>
    <w:rsid w:val="00DC42C4"/>
    <w:rsid w:val="00DC465B"/>
    <w:rsid w:val="00DC4668"/>
    <w:rsid w:val="00DC469A"/>
    <w:rsid w:val="00DC47A8"/>
    <w:rsid w:val="00DC5BCE"/>
    <w:rsid w:val="00DC60B3"/>
    <w:rsid w:val="00DC6956"/>
    <w:rsid w:val="00DC6BCE"/>
    <w:rsid w:val="00DC6ED1"/>
    <w:rsid w:val="00DC6FD4"/>
    <w:rsid w:val="00DC7268"/>
    <w:rsid w:val="00DC74DF"/>
    <w:rsid w:val="00DC7515"/>
    <w:rsid w:val="00DD06D9"/>
    <w:rsid w:val="00DD0CD5"/>
    <w:rsid w:val="00DD1248"/>
    <w:rsid w:val="00DD15AB"/>
    <w:rsid w:val="00DD1972"/>
    <w:rsid w:val="00DD208A"/>
    <w:rsid w:val="00DD276D"/>
    <w:rsid w:val="00DD2796"/>
    <w:rsid w:val="00DD2E72"/>
    <w:rsid w:val="00DD3057"/>
    <w:rsid w:val="00DD33A1"/>
    <w:rsid w:val="00DD3838"/>
    <w:rsid w:val="00DD3F37"/>
    <w:rsid w:val="00DD4026"/>
    <w:rsid w:val="00DD424E"/>
    <w:rsid w:val="00DD45C5"/>
    <w:rsid w:val="00DD5419"/>
    <w:rsid w:val="00DD584C"/>
    <w:rsid w:val="00DD5A15"/>
    <w:rsid w:val="00DD5AD9"/>
    <w:rsid w:val="00DD63FD"/>
    <w:rsid w:val="00DD664E"/>
    <w:rsid w:val="00DD66BB"/>
    <w:rsid w:val="00DD6799"/>
    <w:rsid w:val="00DD68BE"/>
    <w:rsid w:val="00DD7622"/>
    <w:rsid w:val="00DD768B"/>
    <w:rsid w:val="00DD7D7E"/>
    <w:rsid w:val="00DE02D6"/>
    <w:rsid w:val="00DE05F3"/>
    <w:rsid w:val="00DE0773"/>
    <w:rsid w:val="00DE0BA5"/>
    <w:rsid w:val="00DE0D0B"/>
    <w:rsid w:val="00DE195F"/>
    <w:rsid w:val="00DE1E96"/>
    <w:rsid w:val="00DE2412"/>
    <w:rsid w:val="00DE254C"/>
    <w:rsid w:val="00DE280A"/>
    <w:rsid w:val="00DE29B0"/>
    <w:rsid w:val="00DE2CC5"/>
    <w:rsid w:val="00DE2E43"/>
    <w:rsid w:val="00DE2F4F"/>
    <w:rsid w:val="00DE327E"/>
    <w:rsid w:val="00DE3586"/>
    <w:rsid w:val="00DE3CEF"/>
    <w:rsid w:val="00DE3E4E"/>
    <w:rsid w:val="00DE48B6"/>
    <w:rsid w:val="00DE4D07"/>
    <w:rsid w:val="00DE5061"/>
    <w:rsid w:val="00DE519B"/>
    <w:rsid w:val="00DE5D10"/>
    <w:rsid w:val="00DE5D2F"/>
    <w:rsid w:val="00DE5FAE"/>
    <w:rsid w:val="00DE60AA"/>
    <w:rsid w:val="00DE62B2"/>
    <w:rsid w:val="00DE63D3"/>
    <w:rsid w:val="00DE647C"/>
    <w:rsid w:val="00DE6A3E"/>
    <w:rsid w:val="00DE7A31"/>
    <w:rsid w:val="00DE7AB2"/>
    <w:rsid w:val="00DE7B29"/>
    <w:rsid w:val="00DE7D3B"/>
    <w:rsid w:val="00DE7EAF"/>
    <w:rsid w:val="00DF0245"/>
    <w:rsid w:val="00DF0421"/>
    <w:rsid w:val="00DF0AB8"/>
    <w:rsid w:val="00DF0D05"/>
    <w:rsid w:val="00DF15FD"/>
    <w:rsid w:val="00DF1F5D"/>
    <w:rsid w:val="00DF2102"/>
    <w:rsid w:val="00DF2764"/>
    <w:rsid w:val="00DF2F22"/>
    <w:rsid w:val="00DF2F88"/>
    <w:rsid w:val="00DF2FE4"/>
    <w:rsid w:val="00DF30F4"/>
    <w:rsid w:val="00DF310E"/>
    <w:rsid w:val="00DF36D3"/>
    <w:rsid w:val="00DF39EB"/>
    <w:rsid w:val="00DF3BC4"/>
    <w:rsid w:val="00DF3E3D"/>
    <w:rsid w:val="00DF4252"/>
    <w:rsid w:val="00DF4542"/>
    <w:rsid w:val="00DF491A"/>
    <w:rsid w:val="00DF4EE7"/>
    <w:rsid w:val="00DF5290"/>
    <w:rsid w:val="00DF54F1"/>
    <w:rsid w:val="00DF5FBF"/>
    <w:rsid w:val="00DF6476"/>
    <w:rsid w:val="00DF6489"/>
    <w:rsid w:val="00DF64E2"/>
    <w:rsid w:val="00DF6B2D"/>
    <w:rsid w:val="00DF6BEF"/>
    <w:rsid w:val="00DF734B"/>
    <w:rsid w:val="00DF783C"/>
    <w:rsid w:val="00DF7A54"/>
    <w:rsid w:val="00DF7DF9"/>
    <w:rsid w:val="00E000D2"/>
    <w:rsid w:val="00E009F7"/>
    <w:rsid w:val="00E00C95"/>
    <w:rsid w:val="00E00E5D"/>
    <w:rsid w:val="00E012ED"/>
    <w:rsid w:val="00E01BCA"/>
    <w:rsid w:val="00E01BDF"/>
    <w:rsid w:val="00E01CBD"/>
    <w:rsid w:val="00E023DF"/>
    <w:rsid w:val="00E0241F"/>
    <w:rsid w:val="00E0287D"/>
    <w:rsid w:val="00E02D07"/>
    <w:rsid w:val="00E02FC4"/>
    <w:rsid w:val="00E0356C"/>
    <w:rsid w:val="00E03C3D"/>
    <w:rsid w:val="00E04D2B"/>
    <w:rsid w:val="00E055D7"/>
    <w:rsid w:val="00E05C8F"/>
    <w:rsid w:val="00E05F3F"/>
    <w:rsid w:val="00E06520"/>
    <w:rsid w:val="00E06703"/>
    <w:rsid w:val="00E06A7D"/>
    <w:rsid w:val="00E06C6D"/>
    <w:rsid w:val="00E06CFC"/>
    <w:rsid w:val="00E06D83"/>
    <w:rsid w:val="00E078CA"/>
    <w:rsid w:val="00E07C20"/>
    <w:rsid w:val="00E1000C"/>
    <w:rsid w:val="00E1036E"/>
    <w:rsid w:val="00E1042E"/>
    <w:rsid w:val="00E10452"/>
    <w:rsid w:val="00E1100F"/>
    <w:rsid w:val="00E114FB"/>
    <w:rsid w:val="00E11A88"/>
    <w:rsid w:val="00E11BA5"/>
    <w:rsid w:val="00E11C05"/>
    <w:rsid w:val="00E122DB"/>
    <w:rsid w:val="00E1248D"/>
    <w:rsid w:val="00E12557"/>
    <w:rsid w:val="00E13A4B"/>
    <w:rsid w:val="00E13EC5"/>
    <w:rsid w:val="00E14413"/>
    <w:rsid w:val="00E144A4"/>
    <w:rsid w:val="00E145C5"/>
    <w:rsid w:val="00E14898"/>
    <w:rsid w:val="00E15316"/>
    <w:rsid w:val="00E15369"/>
    <w:rsid w:val="00E1542F"/>
    <w:rsid w:val="00E161DC"/>
    <w:rsid w:val="00E1635A"/>
    <w:rsid w:val="00E175EE"/>
    <w:rsid w:val="00E17EBA"/>
    <w:rsid w:val="00E200BE"/>
    <w:rsid w:val="00E200E5"/>
    <w:rsid w:val="00E20627"/>
    <w:rsid w:val="00E20A8B"/>
    <w:rsid w:val="00E20A9D"/>
    <w:rsid w:val="00E21576"/>
    <w:rsid w:val="00E215F9"/>
    <w:rsid w:val="00E21796"/>
    <w:rsid w:val="00E21F4F"/>
    <w:rsid w:val="00E22175"/>
    <w:rsid w:val="00E22303"/>
    <w:rsid w:val="00E2262E"/>
    <w:rsid w:val="00E22BA0"/>
    <w:rsid w:val="00E22E4A"/>
    <w:rsid w:val="00E23247"/>
    <w:rsid w:val="00E23296"/>
    <w:rsid w:val="00E2334E"/>
    <w:rsid w:val="00E233CF"/>
    <w:rsid w:val="00E23B6B"/>
    <w:rsid w:val="00E23F6D"/>
    <w:rsid w:val="00E241DD"/>
    <w:rsid w:val="00E2449D"/>
    <w:rsid w:val="00E2487F"/>
    <w:rsid w:val="00E24E2E"/>
    <w:rsid w:val="00E24E76"/>
    <w:rsid w:val="00E24E8C"/>
    <w:rsid w:val="00E25460"/>
    <w:rsid w:val="00E2601C"/>
    <w:rsid w:val="00E260A7"/>
    <w:rsid w:val="00E260DA"/>
    <w:rsid w:val="00E26A5B"/>
    <w:rsid w:val="00E26B37"/>
    <w:rsid w:val="00E27A97"/>
    <w:rsid w:val="00E27D85"/>
    <w:rsid w:val="00E27E22"/>
    <w:rsid w:val="00E27F20"/>
    <w:rsid w:val="00E309DE"/>
    <w:rsid w:val="00E30B74"/>
    <w:rsid w:val="00E31025"/>
    <w:rsid w:val="00E31389"/>
    <w:rsid w:val="00E31575"/>
    <w:rsid w:val="00E322FB"/>
    <w:rsid w:val="00E32836"/>
    <w:rsid w:val="00E328B0"/>
    <w:rsid w:val="00E32C57"/>
    <w:rsid w:val="00E32E6C"/>
    <w:rsid w:val="00E33BFA"/>
    <w:rsid w:val="00E340B4"/>
    <w:rsid w:val="00E345B0"/>
    <w:rsid w:val="00E34B08"/>
    <w:rsid w:val="00E35004"/>
    <w:rsid w:val="00E352B7"/>
    <w:rsid w:val="00E3664A"/>
    <w:rsid w:val="00E369BA"/>
    <w:rsid w:val="00E36FA7"/>
    <w:rsid w:val="00E3747A"/>
    <w:rsid w:val="00E37C56"/>
    <w:rsid w:val="00E37E19"/>
    <w:rsid w:val="00E401CF"/>
    <w:rsid w:val="00E40306"/>
    <w:rsid w:val="00E40621"/>
    <w:rsid w:val="00E40638"/>
    <w:rsid w:val="00E40874"/>
    <w:rsid w:val="00E41763"/>
    <w:rsid w:val="00E41CAB"/>
    <w:rsid w:val="00E41FA5"/>
    <w:rsid w:val="00E427E3"/>
    <w:rsid w:val="00E4283B"/>
    <w:rsid w:val="00E429CE"/>
    <w:rsid w:val="00E42A88"/>
    <w:rsid w:val="00E42E3C"/>
    <w:rsid w:val="00E43FF2"/>
    <w:rsid w:val="00E446F9"/>
    <w:rsid w:val="00E449A7"/>
    <w:rsid w:val="00E45101"/>
    <w:rsid w:val="00E45229"/>
    <w:rsid w:val="00E45234"/>
    <w:rsid w:val="00E45314"/>
    <w:rsid w:val="00E45326"/>
    <w:rsid w:val="00E453EB"/>
    <w:rsid w:val="00E45810"/>
    <w:rsid w:val="00E458C2"/>
    <w:rsid w:val="00E45AB4"/>
    <w:rsid w:val="00E45E7D"/>
    <w:rsid w:val="00E462C8"/>
    <w:rsid w:val="00E46A6B"/>
    <w:rsid w:val="00E46C45"/>
    <w:rsid w:val="00E46CE2"/>
    <w:rsid w:val="00E46EF2"/>
    <w:rsid w:val="00E46FA6"/>
    <w:rsid w:val="00E47426"/>
    <w:rsid w:val="00E475E9"/>
    <w:rsid w:val="00E475EE"/>
    <w:rsid w:val="00E47AB0"/>
    <w:rsid w:val="00E47AC2"/>
    <w:rsid w:val="00E47D21"/>
    <w:rsid w:val="00E47FA6"/>
    <w:rsid w:val="00E50190"/>
    <w:rsid w:val="00E504AD"/>
    <w:rsid w:val="00E50847"/>
    <w:rsid w:val="00E50B56"/>
    <w:rsid w:val="00E5132D"/>
    <w:rsid w:val="00E517C8"/>
    <w:rsid w:val="00E51AA8"/>
    <w:rsid w:val="00E51B42"/>
    <w:rsid w:val="00E51E5F"/>
    <w:rsid w:val="00E51FFB"/>
    <w:rsid w:val="00E5204D"/>
    <w:rsid w:val="00E523A7"/>
    <w:rsid w:val="00E5248E"/>
    <w:rsid w:val="00E52623"/>
    <w:rsid w:val="00E52900"/>
    <w:rsid w:val="00E529D8"/>
    <w:rsid w:val="00E530F6"/>
    <w:rsid w:val="00E53322"/>
    <w:rsid w:val="00E53EED"/>
    <w:rsid w:val="00E54941"/>
    <w:rsid w:val="00E54F30"/>
    <w:rsid w:val="00E55360"/>
    <w:rsid w:val="00E55552"/>
    <w:rsid w:val="00E55719"/>
    <w:rsid w:val="00E557C9"/>
    <w:rsid w:val="00E56466"/>
    <w:rsid w:val="00E57470"/>
    <w:rsid w:val="00E57499"/>
    <w:rsid w:val="00E57639"/>
    <w:rsid w:val="00E57F42"/>
    <w:rsid w:val="00E60425"/>
    <w:rsid w:val="00E60578"/>
    <w:rsid w:val="00E6083E"/>
    <w:rsid w:val="00E60CE2"/>
    <w:rsid w:val="00E60E53"/>
    <w:rsid w:val="00E60E87"/>
    <w:rsid w:val="00E610CE"/>
    <w:rsid w:val="00E61A38"/>
    <w:rsid w:val="00E61C90"/>
    <w:rsid w:val="00E62B56"/>
    <w:rsid w:val="00E62EE2"/>
    <w:rsid w:val="00E63133"/>
    <w:rsid w:val="00E63473"/>
    <w:rsid w:val="00E63D6E"/>
    <w:rsid w:val="00E6460A"/>
    <w:rsid w:val="00E64D6B"/>
    <w:rsid w:val="00E64D75"/>
    <w:rsid w:val="00E64F93"/>
    <w:rsid w:val="00E6518D"/>
    <w:rsid w:val="00E65C0B"/>
    <w:rsid w:val="00E65CF2"/>
    <w:rsid w:val="00E65F2B"/>
    <w:rsid w:val="00E66058"/>
    <w:rsid w:val="00E667D2"/>
    <w:rsid w:val="00E66DAD"/>
    <w:rsid w:val="00E6739D"/>
    <w:rsid w:val="00E67BD7"/>
    <w:rsid w:val="00E70151"/>
    <w:rsid w:val="00E702AF"/>
    <w:rsid w:val="00E70302"/>
    <w:rsid w:val="00E709C9"/>
    <w:rsid w:val="00E70E70"/>
    <w:rsid w:val="00E7105D"/>
    <w:rsid w:val="00E7123A"/>
    <w:rsid w:val="00E71E38"/>
    <w:rsid w:val="00E727DB"/>
    <w:rsid w:val="00E72927"/>
    <w:rsid w:val="00E734CF"/>
    <w:rsid w:val="00E738A5"/>
    <w:rsid w:val="00E73B0A"/>
    <w:rsid w:val="00E73F0E"/>
    <w:rsid w:val="00E7412D"/>
    <w:rsid w:val="00E742F7"/>
    <w:rsid w:val="00E7430D"/>
    <w:rsid w:val="00E74AD6"/>
    <w:rsid w:val="00E74B19"/>
    <w:rsid w:val="00E74E49"/>
    <w:rsid w:val="00E74ECB"/>
    <w:rsid w:val="00E74FB3"/>
    <w:rsid w:val="00E75551"/>
    <w:rsid w:val="00E75AFF"/>
    <w:rsid w:val="00E76124"/>
    <w:rsid w:val="00E761C3"/>
    <w:rsid w:val="00E7638C"/>
    <w:rsid w:val="00E76678"/>
    <w:rsid w:val="00E767B3"/>
    <w:rsid w:val="00E773A5"/>
    <w:rsid w:val="00E7766C"/>
    <w:rsid w:val="00E77F22"/>
    <w:rsid w:val="00E80429"/>
    <w:rsid w:val="00E80669"/>
    <w:rsid w:val="00E808C2"/>
    <w:rsid w:val="00E809E4"/>
    <w:rsid w:val="00E80B60"/>
    <w:rsid w:val="00E80B7A"/>
    <w:rsid w:val="00E80D80"/>
    <w:rsid w:val="00E8126E"/>
    <w:rsid w:val="00E8143A"/>
    <w:rsid w:val="00E81481"/>
    <w:rsid w:val="00E81674"/>
    <w:rsid w:val="00E81A5D"/>
    <w:rsid w:val="00E822C3"/>
    <w:rsid w:val="00E82927"/>
    <w:rsid w:val="00E83981"/>
    <w:rsid w:val="00E839E9"/>
    <w:rsid w:val="00E83AAF"/>
    <w:rsid w:val="00E83C1D"/>
    <w:rsid w:val="00E84136"/>
    <w:rsid w:val="00E84D88"/>
    <w:rsid w:val="00E84DE6"/>
    <w:rsid w:val="00E85715"/>
    <w:rsid w:val="00E85801"/>
    <w:rsid w:val="00E859F9"/>
    <w:rsid w:val="00E8609A"/>
    <w:rsid w:val="00E861E8"/>
    <w:rsid w:val="00E86366"/>
    <w:rsid w:val="00E8677B"/>
    <w:rsid w:val="00E8690A"/>
    <w:rsid w:val="00E86A65"/>
    <w:rsid w:val="00E86A7F"/>
    <w:rsid w:val="00E86A85"/>
    <w:rsid w:val="00E86AE6"/>
    <w:rsid w:val="00E86D6A"/>
    <w:rsid w:val="00E87319"/>
    <w:rsid w:val="00E87AF6"/>
    <w:rsid w:val="00E87B3E"/>
    <w:rsid w:val="00E87B59"/>
    <w:rsid w:val="00E87BE3"/>
    <w:rsid w:val="00E87CED"/>
    <w:rsid w:val="00E87CFE"/>
    <w:rsid w:val="00E90CCA"/>
    <w:rsid w:val="00E90E7D"/>
    <w:rsid w:val="00E910EF"/>
    <w:rsid w:val="00E914CF"/>
    <w:rsid w:val="00E916C4"/>
    <w:rsid w:val="00E9171D"/>
    <w:rsid w:val="00E9188E"/>
    <w:rsid w:val="00E91AA4"/>
    <w:rsid w:val="00E91C29"/>
    <w:rsid w:val="00E91DCE"/>
    <w:rsid w:val="00E92961"/>
    <w:rsid w:val="00E93391"/>
    <w:rsid w:val="00E936F9"/>
    <w:rsid w:val="00E93E39"/>
    <w:rsid w:val="00E945A9"/>
    <w:rsid w:val="00E945EB"/>
    <w:rsid w:val="00E94B03"/>
    <w:rsid w:val="00E94E13"/>
    <w:rsid w:val="00E95682"/>
    <w:rsid w:val="00E95BCE"/>
    <w:rsid w:val="00E95EF1"/>
    <w:rsid w:val="00E95F55"/>
    <w:rsid w:val="00E960B4"/>
    <w:rsid w:val="00E96427"/>
    <w:rsid w:val="00E965F6"/>
    <w:rsid w:val="00E9664D"/>
    <w:rsid w:val="00E967EE"/>
    <w:rsid w:val="00E96A6B"/>
    <w:rsid w:val="00E96B9F"/>
    <w:rsid w:val="00E972F6"/>
    <w:rsid w:val="00E97366"/>
    <w:rsid w:val="00E973E5"/>
    <w:rsid w:val="00E97599"/>
    <w:rsid w:val="00EA021F"/>
    <w:rsid w:val="00EA0EF8"/>
    <w:rsid w:val="00EA156D"/>
    <w:rsid w:val="00EA1762"/>
    <w:rsid w:val="00EA1785"/>
    <w:rsid w:val="00EA18E3"/>
    <w:rsid w:val="00EA1B56"/>
    <w:rsid w:val="00EA1D75"/>
    <w:rsid w:val="00EA237D"/>
    <w:rsid w:val="00EA2661"/>
    <w:rsid w:val="00EA2703"/>
    <w:rsid w:val="00EA2740"/>
    <w:rsid w:val="00EA281B"/>
    <w:rsid w:val="00EA3181"/>
    <w:rsid w:val="00EA3A11"/>
    <w:rsid w:val="00EA4047"/>
    <w:rsid w:val="00EA4144"/>
    <w:rsid w:val="00EA4632"/>
    <w:rsid w:val="00EA4986"/>
    <w:rsid w:val="00EA534E"/>
    <w:rsid w:val="00EA5A19"/>
    <w:rsid w:val="00EA5C6E"/>
    <w:rsid w:val="00EA5DF2"/>
    <w:rsid w:val="00EA70AF"/>
    <w:rsid w:val="00EA7259"/>
    <w:rsid w:val="00EA76C3"/>
    <w:rsid w:val="00EA76D2"/>
    <w:rsid w:val="00EA7944"/>
    <w:rsid w:val="00EA7961"/>
    <w:rsid w:val="00EB0264"/>
    <w:rsid w:val="00EB073E"/>
    <w:rsid w:val="00EB096F"/>
    <w:rsid w:val="00EB192A"/>
    <w:rsid w:val="00EB19AA"/>
    <w:rsid w:val="00EB1BF5"/>
    <w:rsid w:val="00EB1E70"/>
    <w:rsid w:val="00EB26DC"/>
    <w:rsid w:val="00EB2B90"/>
    <w:rsid w:val="00EB3E79"/>
    <w:rsid w:val="00EB4118"/>
    <w:rsid w:val="00EB4192"/>
    <w:rsid w:val="00EB42EC"/>
    <w:rsid w:val="00EB48D7"/>
    <w:rsid w:val="00EB4B4C"/>
    <w:rsid w:val="00EB4B75"/>
    <w:rsid w:val="00EB4EDA"/>
    <w:rsid w:val="00EB5B9F"/>
    <w:rsid w:val="00EB5BE7"/>
    <w:rsid w:val="00EB6410"/>
    <w:rsid w:val="00EB6F60"/>
    <w:rsid w:val="00EB73D1"/>
    <w:rsid w:val="00EB7597"/>
    <w:rsid w:val="00EB7C41"/>
    <w:rsid w:val="00EB7D47"/>
    <w:rsid w:val="00EB7D57"/>
    <w:rsid w:val="00EB7FAE"/>
    <w:rsid w:val="00EC0116"/>
    <w:rsid w:val="00EC01A4"/>
    <w:rsid w:val="00EC03C9"/>
    <w:rsid w:val="00EC050D"/>
    <w:rsid w:val="00EC0821"/>
    <w:rsid w:val="00EC084D"/>
    <w:rsid w:val="00EC0D07"/>
    <w:rsid w:val="00EC1244"/>
    <w:rsid w:val="00EC1330"/>
    <w:rsid w:val="00EC1A39"/>
    <w:rsid w:val="00EC1E15"/>
    <w:rsid w:val="00EC2192"/>
    <w:rsid w:val="00EC2578"/>
    <w:rsid w:val="00EC2795"/>
    <w:rsid w:val="00EC27BC"/>
    <w:rsid w:val="00EC2B07"/>
    <w:rsid w:val="00EC2E8E"/>
    <w:rsid w:val="00EC3145"/>
    <w:rsid w:val="00EC32C7"/>
    <w:rsid w:val="00EC36A1"/>
    <w:rsid w:val="00EC3AD9"/>
    <w:rsid w:val="00EC3DBB"/>
    <w:rsid w:val="00EC3E0D"/>
    <w:rsid w:val="00EC3FF8"/>
    <w:rsid w:val="00EC4107"/>
    <w:rsid w:val="00EC43A7"/>
    <w:rsid w:val="00EC446B"/>
    <w:rsid w:val="00EC45FF"/>
    <w:rsid w:val="00EC4633"/>
    <w:rsid w:val="00EC4B63"/>
    <w:rsid w:val="00EC4FA9"/>
    <w:rsid w:val="00EC53F1"/>
    <w:rsid w:val="00EC5A1D"/>
    <w:rsid w:val="00EC5B66"/>
    <w:rsid w:val="00EC5D93"/>
    <w:rsid w:val="00EC61DB"/>
    <w:rsid w:val="00EC6798"/>
    <w:rsid w:val="00EC6A58"/>
    <w:rsid w:val="00EC6C1C"/>
    <w:rsid w:val="00EC6FD6"/>
    <w:rsid w:val="00EC6FE9"/>
    <w:rsid w:val="00EC7317"/>
    <w:rsid w:val="00ED0611"/>
    <w:rsid w:val="00ED0EE7"/>
    <w:rsid w:val="00ED1403"/>
    <w:rsid w:val="00ED188F"/>
    <w:rsid w:val="00ED208A"/>
    <w:rsid w:val="00ED233F"/>
    <w:rsid w:val="00ED2FCF"/>
    <w:rsid w:val="00ED32D7"/>
    <w:rsid w:val="00ED34D0"/>
    <w:rsid w:val="00ED453A"/>
    <w:rsid w:val="00ED4743"/>
    <w:rsid w:val="00ED4C44"/>
    <w:rsid w:val="00ED5136"/>
    <w:rsid w:val="00ED53F3"/>
    <w:rsid w:val="00ED54B1"/>
    <w:rsid w:val="00ED5E0F"/>
    <w:rsid w:val="00ED60CF"/>
    <w:rsid w:val="00ED649D"/>
    <w:rsid w:val="00ED6BEB"/>
    <w:rsid w:val="00ED6F16"/>
    <w:rsid w:val="00ED7171"/>
    <w:rsid w:val="00ED750E"/>
    <w:rsid w:val="00ED77CF"/>
    <w:rsid w:val="00EE040A"/>
    <w:rsid w:val="00EE0C56"/>
    <w:rsid w:val="00EE1276"/>
    <w:rsid w:val="00EE13DC"/>
    <w:rsid w:val="00EE1565"/>
    <w:rsid w:val="00EE1EA0"/>
    <w:rsid w:val="00EE23BE"/>
    <w:rsid w:val="00EE323C"/>
    <w:rsid w:val="00EE3396"/>
    <w:rsid w:val="00EE3822"/>
    <w:rsid w:val="00EE3CC0"/>
    <w:rsid w:val="00EE3ED4"/>
    <w:rsid w:val="00EE4150"/>
    <w:rsid w:val="00EE41A7"/>
    <w:rsid w:val="00EE45A5"/>
    <w:rsid w:val="00EE4A73"/>
    <w:rsid w:val="00EE4CCC"/>
    <w:rsid w:val="00EE4D31"/>
    <w:rsid w:val="00EE54B2"/>
    <w:rsid w:val="00EE559C"/>
    <w:rsid w:val="00EE5A1E"/>
    <w:rsid w:val="00EE6544"/>
    <w:rsid w:val="00EE6D4D"/>
    <w:rsid w:val="00EE72AF"/>
    <w:rsid w:val="00EE76E0"/>
    <w:rsid w:val="00EE7DF8"/>
    <w:rsid w:val="00EE7F46"/>
    <w:rsid w:val="00EE7F59"/>
    <w:rsid w:val="00EF02B9"/>
    <w:rsid w:val="00EF17AE"/>
    <w:rsid w:val="00EF1CF2"/>
    <w:rsid w:val="00EF1EC0"/>
    <w:rsid w:val="00EF2BCA"/>
    <w:rsid w:val="00EF2C9E"/>
    <w:rsid w:val="00EF30C8"/>
    <w:rsid w:val="00EF4564"/>
    <w:rsid w:val="00EF45C2"/>
    <w:rsid w:val="00EF4B9D"/>
    <w:rsid w:val="00EF5CE5"/>
    <w:rsid w:val="00EF6345"/>
    <w:rsid w:val="00EF66C2"/>
    <w:rsid w:val="00EF6800"/>
    <w:rsid w:val="00EF6BEB"/>
    <w:rsid w:val="00EF70AC"/>
    <w:rsid w:val="00EF70B2"/>
    <w:rsid w:val="00F000FE"/>
    <w:rsid w:val="00F00429"/>
    <w:rsid w:val="00F008B8"/>
    <w:rsid w:val="00F00B8D"/>
    <w:rsid w:val="00F00CAE"/>
    <w:rsid w:val="00F01865"/>
    <w:rsid w:val="00F01BD9"/>
    <w:rsid w:val="00F01EC0"/>
    <w:rsid w:val="00F021F0"/>
    <w:rsid w:val="00F026F2"/>
    <w:rsid w:val="00F04AEF"/>
    <w:rsid w:val="00F04CF6"/>
    <w:rsid w:val="00F04FFF"/>
    <w:rsid w:val="00F05AE6"/>
    <w:rsid w:val="00F06041"/>
    <w:rsid w:val="00F06315"/>
    <w:rsid w:val="00F06415"/>
    <w:rsid w:val="00F064EE"/>
    <w:rsid w:val="00F0691C"/>
    <w:rsid w:val="00F06FDA"/>
    <w:rsid w:val="00F07531"/>
    <w:rsid w:val="00F103FE"/>
    <w:rsid w:val="00F106B3"/>
    <w:rsid w:val="00F10935"/>
    <w:rsid w:val="00F109E3"/>
    <w:rsid w:val="00F10ACB"/>
    <w:rsid w:val="00F11396"/>
    <w:rsid w:val="00F1173E"/>
    <w:rsid w:val="00F11D8E"/>
    <w:rsid w:val="00F11E00"/>
    <w:rsid w:val="00F11E63"/>
    <w:rsid w:val="00F11FA4"/>
    <w:rsid w:val="00F12911"/>
    <w:rsid w:val="00F12914"/>
    <w:rsid w:val="00F12E1F"/>
    <w:rsid w:val="00F1302A"/>
    <w:rsid w:val="00F134C4"/>
    <w:rsid w:val="00F1373C"/>
    <w:rsid w:val="00F144D8"/>
    <w:rsid w:val="00F14BA0"/>
    <w:rsid w:val="00F14BC5"/>
    <w:rsid w:val="00F15044"/>
    <w:rsid w:val="00F152B4"/>
    <w:rsid w:val="00F1553F"/>
    <w:rsid w:val="00F1594A"/>
    <w:rsid w:val="00F15AD7"/>
    <w:rsid w:val="00F15E39"/>
    <w:rsid w:val="00F16147"/>
    <w:rsid w:val="00F16BB7"/>
    <w:rsid w:val="00F16F58"/>
    <w:rsid w:val="00F16FAE"/>
    <w:rsid w:val="00F17300"/>
    <w:rsid w:val="00F17773"/>
    <w:rsid w:val="00F17AAE"/>
    <w:rsid w:val="00F17D5A"/>
    <w:rsid w:val="00F17D65"/>
    <w:rsid w:val="00F17EBB"/>
    <w:rsid w:val="00F2008C"/>
    <w:rsid w:val="00F2046E"/>
    <w:rsid w:val="00F20587"/>
    <w:rsid w:val="00F209A3"/>
    <w:rsid w:val="00F20C94"/>
    <w:rsid w:val="00F21012"/>
    <w:rsid w:val="00F210F7"/>
    <w:rsid w:val="00F21596"/>
    <w:rsid w:val="00F218D4"/>
    <w:rsid w:val="00F22A48"/>
    <w:rsid w:val="00F22DA0"/>
    <w:rsid w:val="00F22E7F"/>
    <w:rsid w:val="00F22F91"/>
    <w:rsid w:val="00F23177"/>
    <w:rsid w:val="00F232E4"/>
    <w:rsid w:val="00F23993"/>
    <w:rsid w:val="00F240A9"/>
    <w:rsid w:val="00F2426C"/>
    <w:rsid w:val="00F24709"/>
    <w:rsid w:val="00F24AB5"/>
    <w:rsid w:val="00F25BE9"/>
    <w:rsid w:val="00F25BEE"/>
    <w:rsid w:val="00F261E3"/>
    <w:rsid w:val="00F266D0"/>
    <w:rsid w:val="00F26965"/>
    <w:rsid w:val="00F26A9C"/>
    <w:rsid w:val="00F26E5A"/>
    <w:rsid w:val="00F26EB2"/>
    <w:rsid w:val="00F27005"/>
    <w:rsid w:val="00F278E3"/>
    <w:rsid w:val="00F27B70"/>
    <w:rsid w:val="00F27E65"/>
    <w:rsid w:val="00F27EDB"/>
    <w:rsid w:val="00F30715"/>
    <w:rsid w:val="00F3082A"/>
    <w:rsid w:val="00F30AF5"/>
    <w:rsid w:val="00F31186"/>
    <w:rsid w:val="00F3186B"/>
    <w:rsid w:val="00F3275F"/>
    <w:rsid w:val="00F32940"/>
    <w:rsid w:val="00F32FA7"/>
    <w:rsid w:val="00F3319F"/>
    <w:rsid w:val="00F331FD"/>
    <w:rsid w:val="00F33953"/>
    <w:rsid w:val="00F33BBD"/>
    <w:rsid w:val="00F33DFE"/>
    <w:rsid w:val="00F3479B"/>
    <w:rsid w:val="00F348D8"/>
    <w:rsid w:val="00F35933"/>
    <w:rsid w:val="00F3610F"/>
    <w:rsid w:val="00F36E51"/>
    <w:rsid w:val="00F36E85"/>
    <w:rsid w:val="00F3725D"/>
    <w:rsid w:val="00F37A04"/>
    <w:rsid w:val="00F37B83"/>
    <w:rsid w:val="00F40323"/>
    <w:rsid w:val="00F40562"/>
    <w:rsid w:val="00F40681"/>
    <w:rsid w:val="00F40C37"/>
    <w:rsid w:val="00F40D61"/>
    <w:rsid w:val="00F41C50"/>
    <w:rsid w:val="00F41CD0"/>
    <w:rsid w:val="00F41D52"/>
    <w:rsid w:val="00F41E8F"/>
    <w:rsid w:val="00F41FCA"/>
    <w:rsid w:val="00F42810"/>
    <w:rsid w:val="00F428C5"/>
    <w:rsid w:val="00F42B90"/>
    <w:rsid w:val="00F433D6"/>
    <w:rsid w:val="00F434F6"/>
    <w:rsid w:val="00F43723"/>
    <w:rsid w:val="00F44113"/>
    <w:rsid w:val="00F442A0"/>
    <w:rsid w:val="00F44605"/>
    <w:rsid w:val="00F44B99"/>
    <w:rsid w:val="00F45080"/>
    <w:rsid w:val="00F456CD"/>
    <w:rsid w:val="00F45A0D"/>
    <w:rsid w:val="00F46327"/>
    <w:rsid w:val="00F46456"/>
    <w:rsid w:val="00F4709E"/>
    <w:rsid w:val="00F471A4"/>
    <w:rsid w:val="00F476A6"/>
    <w:rsid w:val="00F47708"/>
    <w:rsid w:val="00F47CB8"/>
    <w:rsid w:val="00F47F65"/>
    <w:rsid w:val="00F50298"/>
    <w:rsid w:val="00F503FB"/>
    <w:rsid w:val="00F505EE"/>
    <w:rsid w:val="00F507BB"/>
    <w:rsid w:val="00F50C7C"/>
    <w:rsid w:val="00F5109B"/>
    <w:rsid w:val="00F51710"/>
    <w:rsid w:val="00F51E20"/>
    <w:rsid w:val="00F51EC8"/>
    <w:rsid w:val="00F53D06"/>
    <w:rsid w:val="00F54831"/>
    <w:rsid w:val="00F5489F"/>
    <w:rsid w:val="00F549DF"/>
    <w:rsid w:val="00F54A2D"/>
    <w:rsid w:val="00F551EA"/>
    <w:rsid w:val="00F55320"/>
    <w:rsid w:val="00F5576A"/>
    <w:rsid w:val="00F557FD"/>
    <w:rsid w:val="00F559AD"/>
    <w:rsid w:val="00F55A5A"/>
    <w:rsid w:val="00F568B2"/>
    <w:rsid w:val="00F5706D"/>
    <w:rsid w:val="00F570C7"/>
    <w:rsid w:val="00F574BB"/>
    <w:rsid w:val="00F57581"/>
    <w:rsid w:val="00F57C2C"/>
    <w:rsid w:val="00F57F08"/>
    <w:rsid w:val="00F613FF"/>
    <w:rsid w:val="00F617B2"/>
    <w:rsid w:val="00F61946"/>
    <w:rsid w:val="00F625D9"/>
    <w:rsid w:val="00F629DB"/>
    <w:rsid w:val="00F62A44"/>
    <w:rsid w:val="00F62DE4"/>
    <w:rsid w:val="00F62DFC"/>
    <w:rsid w:val="00F63E04"/>
    <w:rsid w:val="00F63EAC"/>
    <w:rsid w:val="00F6433C"/>
    <w:rsid w:val="00F657CE"/>
    <w:rsid w:val="00F66052"/>
    <w:rsid w:val="00F66D49"/>
    <w:rsid w:val="00F66E28"/>
    <w:rsid w:val="00F67297"/>
    <w:rsid w:val="00F6740C"/>
    <w:rsid w:val="00F6751F"/>
    <w:rsid w:val="00F67A12"/>
    <w:rsid w:val="00F67D13"/>
    <w:rsid w:val="00F67FC2"/>
    <w:rsid w:val="00F70C57"/>
    <w:rsid w:val="00F711F3"/>
    <w:rsid w:val="00F71372"/>
    <w:rsid w:val="00F7174C"/>
    <w:rsid w:val="00F717AB"/>
    <w:rsid w:val="00F71F55"/>
    <w:rsid w:val="00F72030"/>
    <w:rsid w:val="00F72654"/>
    <w:rsid w:val="00F7279E"/>
    <w:rsid w:val="00F72908"/>
    <w:rsid w:val="00F72CA9"/>
    <w:rsid w:val="00F72E6D"/>
    <w:rsid w:val="00F72E99"/>
    <w:rsid w:val="00F734D5"/>
    <w:rsid w:val="00F747D4"/>
    <w:rsid w:val="00F7496C"/>
    <w:rsid w:val="00F74AD5"/>
    <w:rsid w:val="00F754FC"/>
    <w:rsid w:val="00F75688"/>
    <w:rsid w:val="00F7595D"/>
    <w:rsid w:val="00F75AFE"/>
    <w:rsid w:val="00F75B3C"/>
    <w:rsid w:val="00F75B47"/>
    <w:rsid w:val="00F75B71"/>
    <w:rsid w:val="00F75B7B"/>
    <w:rsid w:val="00F75FFD"/>
    <w:rsid w:val="00F762DD"/>
    <w:rsid w:val="00F76300"/>
    <w:rsid w:val="00F76504"/>
    <w:rsid w:val="00F76DAD"/>
    <w:rsid w:val="00F77034"/>
    <w:rsid w:val="00F775F3"/>
    <w:rsid w:val="00F806A1"/>
    <w:rsid w:val="00F809D6"/>
    <w:rsid w:val="00F80CE8"/>
    <w:rsid w:val="00F80D9C"/>
    <w:rsid w:val="00F81D97"/>
    <w:rsid w:val="00F8211C"/>
    <w:rsid w:val="00F826BA"/>
    <w:rsid w:val="00F82AE3"/>
    <w:rsid w:val="00F82B6D"/>
    <w:rsid w:val="00F83055"/>
    <w:rsid w:val="00F830F5"/>
    <w:rsid w:val="00F8332B"/>
    <w:rsid w:val="00F838C1"/>
    <w:rsid w:val="00F83D8F"/>
    <w:rsid w:val="00F84011"/>
    <w:rsid w:val="00F8485B"/>
    <w:rsid w:val="00F84BE1"/>
    <w:rsid w:val="00F856B9"/>
    <w:rsid w:val="00F85AEA"/>
    <w:rsid w:val="00F85AF0"/>
    <w:rsid w:val="00F85DB1"/>
    <w:rsid w:val="00F86138"/>
    <w:rsid w:val="00F86455"/>
    <w:rsid w:val="00F865C9"/>
    <w:rsid w:val="00F866ED"/>
    <w:rsid w:val="00F87A04"/>
    <w:rsid w:val="00F87E70"/>
    <w:rsid w:val="00F9051E"/>
    <w:rsid w:val="00F90978"/>
    <w:rsid w:val="00F90D31"/>
    <w:rsid w:val="00F90FD5"/>
    <w:rsid w:val="00F9115E"/>
    <w:rsid w:val="00F9121B"/>
    <w:rsid w:val="00F920F8"/>
    <w:rsid w:val="00F92D4B"/>
    <w:rsid w:val="00F92E7F"/>
    <w:rsid w:val="00F92F3D"/>
    <w:rsid w:val="00F92FDD"/>
    <w:rsid w:val="00F93723"/>
    <w:rsid w:val="00F93A3C"/>
    <w:rsid w:val="00F93F8F"/>
    <w:rsid w:val="00F946B2"/>
    <w:rsid w:val="00F94B82"/>
    <w:rsid w:val="00F953D6"/>
    <w:rsid w:val="00F95628"/>
    <w:rsid w:val="00F95653"/>
    <w:rsid w:val="00F95875"/>
    <w:rsid w:val="00F959F4"/>
    <w:rsid w:val="00F96460"/>
    <w:rsid w:val="00F97126"/>
    <w:rsid w:val="00F979A5"/>
    <w:rsid w:val="00FA01EE"/>
    <w:rsid w:val="00FA033A"/>
    <w:rsid w:val="00FA049E"/>
    <w:rsid w:val="00FA075E"/>
    <w:rsid w:val="00FA0843"/>
    <w:rsid w:val="00FA0DC1"/>
    <w:rsid w:val="00FA0EB5"/>
    <w:rsid w:val="00FA1997"/>
    <w:rsid w:val="00FA1C04"/>
    <w:rsid w:val="00FA1D26"/>
    <w:rsid w:val="00FA1D46"/>
    <w:rsid w:val="00FA2732"/>
    <w:rsid w:val="00FA28C7"/>
    <w:rsid w:val="00FA2B1B"/>
    <w:rsid w:val="00FA2CFF"/>
    <w:rsid w:val="00FA2D0E"/>
    <w:rsid w:val="00FA3307"/>
    <w:rsid w:val="00FA346C"/>
    <w:rsid w:val="00FA34A4"/>
    <w:rsid w:val="00FA361F"/>
    <w:rsid w:val="00FA3A39"/>
    <w:rsid w:val="00FA3ABE"/>
    <w:rsid w:val="00FA3CD0"/>
    <w:rsid w:val="00FA3D0E"/>
    <w:rsid w:val="00FA42E2"/>
    <w:rsid w:val="00FA4449"/>
    <w:rsid w:val="00FA45C7"/>
    <w:rsid w:val="00FA491D"/>
    <w:rsid w:val="00FA4B93"/>
    <w:rsid w:val="00FA4F14"/>
    <w:rsid w:val="00FA5B09"/>
    <w:rsid w:val="00FA5B20"/>
    <w:rsid w:val="00FA6120"/>
    <w:rsid w:val="00FA6324"/>
    <w:rsid w:val="00FA6347"/>
    <w:rsid w:val="00FA7991"/>
    <w:rsid w:val="00FB0044"/>
    <w:rsid w:val="00FB04D1"/>
    <w:rsid w:val="00FB0D8E"/>
    <w:rsid w:val="00FB113A"/>
    <w:rsid w:val="00FB15E6"/>
    <w:rsid w:val="00FB1604"/>
    <w:rsid w:val="00FB1A49"/>
    <w:rsid w:val="00FB2297"/>
    <w:rsid w:val="00FB29BF"/>
    <w:rsid w:val="00FB2A99"/>
    <w:rsid w:val="00FB34FB"/>
    <w:rsid w:val="00FB363A"/>
    <w:rsid w:val="00FB39E2"/>
    <w:rsid w:val="00FB3B70"/>
    <w:rsid w:val="00FB3FE1"/>
    <w:rsid w:val="00FB405C"/>
    <w:rsid w:val="00FB413E"/>
    <w:rsid w:val="00FB4DD0"/>
    <w:rsid w:val="00FB4EE9"/>
    <w:rsid w:val="00FB5543"/>
    <w:rsid w:val="00FB587F"/>
    <w:rsid w:val="00FB5B30"/>
    <w:rsid w:val="00FB5F2C"/>
    <w:rsid w:val="00FB5FCC"/>
    <w:rsid w:val="00FB6E55"/>
    <w:rsid w:val="00FB71CB"/>
    <w:rsid w:val="00FB744A"/>
    <w:rsid w:val="00FB7651"/>
    <w:rsid w:val="00FB7A0E"/>
    <w:rsid w:val="00FC047E"/>
    <w:rsid w:val="00FC1007"/>
    <w:rsid w:val="00FC10D0"/>
    <w:rsid w:val="00FC1181"/>
    <w:rsid w:val="00FC166D"/>
    <w:rsid w:val="00FC230F"/>
    <w:rsid w:val="00FC23E5"/>
    <w:rsid w:val="00FC30F1"/>
    <w:rsid w:val="00FC3363"/>
    <w:rsid w:val="00FC3540"/>
    <w:rsid w:val="00FC3F1D"/>
    <w:rsid w:val="00FC4127"/>
    <w:rsid w:val="00FC4786"/>
    <w:rsid w:val="00FC4B37"/>
    <w:rsid w:val="00FC4EE5"/>
    <w:rsid w:val="00FC5203"/>
    <w:rsid w:val="00FC55AB"/>
    <w:rsid w:val="00FC5E1C"/>
    <w:rsid w:val="00FC675C"/>
    <w:rsid w:val="00FC6D80"/>
    <w:rsid w:val="00FC712E"/>
    <w:rsid w:val="00FC732C"/>
    <w:rsid w:val="00FC741E"/>
    <w:rsid w:val="00FC758D"/>
    <w:rsid w:val="00FC7E14"/>
    <w:rsid w:val="00FD037E"/>
    <w:rsid w:val="00FD0472"/>
    <w:rsid w:val="00FD05A0"/>
    <w:rsid w:val="00FD0B34"/>
    <w:rsid w:val="00FD0E76"/>
    <w:rsid w:val="00FD0F5F"/>
    <w:rsid w:val="00FD1084"/>
    <w:rsid w:val="00FD1453"/>
    <w:rsid w:val="00FD1583"/>
    <w:rsid w:val="00FD1C38"/>
    <w:rsid w:val="00FD1E1F"/>
    <w:rsid w:val="00FD1F2B"/>
    <w:rsid w:val="00FD2161"/>
    <w:rsid w:val="00FD303F"/>
    <w:rsid w:val="00FD3461"/>
    <w:rsid w:val="00FD372F"/>
    <w:rsid w:val="00FD423B"/>
    <w:rsid w:val="00FD4B19"/>
    <w:rsid w:val="00FD4BBB"/>
    <w:rsid w:val="00FD4CB4"/>
    <w:rsid w:val="00FD53A3"/>
    <w:rsid w:val="00FD57B6"/>
    <w:rsid w:val="00FD5812"/>
    <w:rsid w:val="00FD5EE3"/>
    <w:rsid w:val="00FD61A6"/>
    <w:rsid w:val="00FD6AA1"/>
    <w:rsid w:val="00FD7734"/>
    <w:rsid w:val="00FD7DFE"/>
    <w:rsid w:val="00FD7F4C"/>
    <w:rsid w:val="00FE0534"/>
    <w:rsid w:val="00FE0678"/>
    <w:rsid w:val="00FE086F"/>
    <w:rsid w:val="00FE0C45"/>
    <w:rsid w:val="00FE0F37"/>
    <w:rsid w:val="00FE115C"/>
    <w:rsid w:val="00FE1915"/>
    <w:rsid w:val="00FE1EEC"/>
    <w:rsid w:val="00FE2463"/>
    <w:rsid w:val="00FE2479"/>
    <w:rsid w:val="00FE2524"/>
    <w:rsid w:val="00FE280B"/>
    <w:rsid w:val="00FE2918"/>
    <w:rsid w:val="00FE3ADF"/>
    <w:rsid w:val="00FE4765"/>
    <w:rsid w:val="00FE4B2A"/>
    <w:rsid w:val="00FE4CBF"/>
    <w:rsid w:val="00FE4DD3"/>
    <w:rsid w:val="00FE4FDD"/>
    <w:rsid w:val="00FE5C9B"/>
    <w:rsid w:val="00FE6080"/>
    <w:rsid w:val="00FE6751"/>
    <w:rsid w:val="00FE6CDA"/>
    <w:rsid w:val="00FE6F14"/>
    <w:rsid w:val="00FE733E"/>
    <w:rsid w:val="00FE751C"/>
    <w:rsid w:val="00FE7874"/>
    <w:rsid w:val="00FE7D52"/>
    <w:rsid w:val="00FE7D78"/>
    <w:rsid w:val="00FF00D7"/>
    <w:rsid w:val="00FF01CD"/>
    <w:rsid w:val="00FF070A"/>
    <w:rsid w:val="00FF0E99"/>
    <w:rsid w:val="00FF10B7"/>
    <w:rsid w:val="00FF13DE"/>
    <w:rsid w:val="00FF1432"/>
    <w:rsid w:val="00FF1478"/>
    <w:rsid w:val="00FF202B"/>
    <w:rsid w:val="00FF2125"/>
    <w:rsid w:val="00FF2524"/>
    <w:rsid w:val="00FF2772"/>
    <w:rsid w:val="00FF2CC2"/>
    <w:rsid w:val="00FF35D1"/>
    <w:rsid w:val="00FF35E4"/>
    <w:rsid w:val="00FF3742"/>
    <w:rsid w:val="00FF3C39"/>
    <w:rsid w:val="00FF4561"/>
    <w:rsid w:val="00FF49D2"/>
    <w:rsid w:val="00FF4A10"/>
    <w:rsid w:val="00FF501B"/>
    <w:rsid w:val="00FF504E"/>
    <w:rsid w:val="00FF51E1"/>
    <w:rsid w:val="00FF5343"/>
    <w:rsid w:val="00FF5898"/>
    <w:rsid w:val="00FF5AB0"/>
    <w:rsid w:val="00FF6A32"/>
    <w:rsid w:val="00FF6ABF"/>
    <w:rsid w:val="00FF7117"/>
    <w:rsid w:val="00FF7208"/>
    <w:rsid w:val="00FF73B7"/>
    <w:rsid w:val="00FF7402"/>
    <w:rsid w:val="00FF7D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3E"/>
    <w:pPr>
      <w:spacing w:after="100" w:line="400" w:lineRule="exact"/>
      <w:jc w:val="both"/>
    </w:pPr>
    <w:rPr>
      <w:rFonts w:ascii="Century Schoolbook" w:hAnsi="Century Schoolbook"/>
      <w:sz w:val="27"/>
    </w:rPr>
  </w:style>
  <w:style w:type="paragraph" w:styleId="Heading1">
    <w:name w:val="heading 1"/>
    <w:basedOn w:val="Normal"/>
    <w:next w:val="Normal"/>
    <w:qFormat/>
    <w:rsid w:val="00E00C95"/>
    <w:pPr>
      <w:keepNext/>
      <w:spacing w:before="140" w:line="240" w:lineRule="atLeast"/>
      <w:jc w:val="center"/>
      <w:outlineLvl w:val="0"/>
    </w:pPr>
    <w:rPr>
      <w:b/>
      <w:smallCaps/>
    </w:rPr>
  </w:style>
  <w:style w:type="paragraph" w:styleId="Heading2">
    <w:name w:val="heading 2"/>
    <w:basedOn w:val="Normal"/>
    <w:next w:val="Normal"/>
    <w:link w:val="Heading2Char"/>
    <w:qFormat/>
    <w:rsid w:val="00A2413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F27EA"/>
    <w:pPr>
      <w:jc w:val="center"/>
      <w:outlineLvl w:val="2"/>
    </w:pPr>
    <w:rPr>
      <w:b/>
      <w:bCs/>
      <w:szCs w:val="26"/>
    </w:rPr>
  </w:style>
  <w:style w:type="paragraph" w:styleId="Heading4">
    <w:name w:val="heading 4"/>
    <w:basedOn w:val="Normal"/>
    <w:rsid w:val="00A2413E"/>
    <w:pPr>
      <w:keepNext/>
      <w:tabs>
        <w:tab w:val="left" w:pos="2016"/>
      </w:tabs>
      <w:spacing w:before="140" w:line="240" w:lineRule="atLeast"/>
      <w:ind w:left="2016" w:hanging="432"/>
      <w:jc w:val="left"/>
      <w:outlineLvl w:val="3"/>
    </w:pPr>
    <w:rPr>
      <w:i/>
    </w:rPr>
  </w:style>
  <w:style w:type="paragraph" w:styleId="Heading5">
    <w:name w:val="heading 5"/>
    <w:basedOn w:val="Normal"/>
    <w:rsid w:val="00A2413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A2413E"/>
    <w:pPr>
      <w:tabs>
        <w:tab w:val="center" w:pos="3960"/>
        <w:tab w:val="right" w:pos="10080"/>
      </w:tabs>
      <w:spacing w:after="0" w:line="240" w:lineRule="auto"/>
      <w:jc w:val="center"/>
    </w:pPr>
    <w:rPr>
      <w:sz w:val="22"/>
    </w:rPr>
  </w:style>
  <w:style w:type="character" w:styleId="FootnoteReference">
    <w:name w:val="footnote reference"/>
    <w:basedOn w:val="DefaultParagraphFont"/>
    <w:uiPriority w:val="99"/>
    <w:rsid w:val="00A2413E"/>
    <w:rPr>
      <w:rFonts w:ascii="Century Schoolbook" w:hAnsi="Century Schoolbook"/>
      <w:b/>
      <w:i w:val="0"/>
      <w:position w:val="4"/>
      <w:sz w:val="27"/>
      <w:vertAlign w:val="superscript"/>
    </w:rPr>
  </w:style>
  <w:style w:type="paragraph" w:styleId="FootnoteText">
    <w:name w:val="footnote text"/>
    <w:basedOn w:val="Normal"/>
    <w:link w:val="FootnoteTextChar"/>
    <w:rsid w:val="00A2413E"/>
    <w:pPr>
      <w:spacing w:line="300" w:lineRule="exact"/>
    </w:pPr>
  </w:style>
  <w:style w:type="paragraph" w:styleId="Date">
    <w:name w:val="Date"/>
    <w:basedOn w:val="Normal"/>
    <w:semiHidden/>
    <w:rsid w:val="00A2413E"/>
    <w:pPr>
      <w:jc w:val="right"/>
    </w:pPr>
  </w:style>
  <w:style w:type="paragraph" w:styleId="Header">
    <w:name w:val="header"/>
    <w:basedOn w:val="Normal"/>
    <w:qFormat/>
    <w:rsid w:val="00A2413E"/>
    <w:pPr>
      <w:tabs>
        <w:tab w:val="center" w:pos="3960"/>
        <w:tab w:val="right" w:pos="10080"/>
      </w:tabs>
      <w:spacing w:after="80" w:line="240" w:lineRule="auto"/>
      <w:jc w:val="center"/>
    </w:pPr>
    <w:rPr>
      <w:sz w:val="22"/>
    </w:rPr>
  </w:style>
  <w:style w:type="paragraph" w:styleId="NormalIndent">
    <w:name w:val="Normal Indent"/>
    <w:basedOn w:val="Normal"/>
    <w:semiHidden/>
    <w:rsid w:val="00A2413E"/>
    <w:pPr>
      <w:ind w:left="720"/>
    </w:pPr>
  </w:style>
  <w:style w:type="character" w:styleId="PageNumber">
    <w:name w:val="page number"/>
    <w:basedOn w:val="DefaultParagraphFont"/>
    <w:semiHidden/>
    <w:rsid w:val="00A2413E"/>
  </w:style>
  <w:style w:type="paragraph" w:customStyle="1" w:styleId="Recommend">
    <w:name w:val="Recommend"/>
    <w:basedOn w:val="Normal"/>
    <w:rsid w:val="00A2413E"/>
  </w:style>
  <w:style w:type="paragraph" w:customStyle="1" w:styleId="subject">
    <w:name w:val="subject"/>
    <w:basedOn w:val="Normal"/>
    <w:rsid w:val="00A2413E"/>
    <w:pPr>
      <w:tabs>
        <w:tab w:val="left" w:pos="1008"/>
      </w:tabs>
      <w:ind w:left="990" w:hanging="990"/>
    </w:pPr>
    <w:rPr>
      <w:b/>
    </w:rPr>
  </w:style>
  <w:style w:type="paragraph" w:customStyle="1" w:styleId="Summary">
    <w:name w:val="Summary"/>
    <w:basedOn w:val="Normal"/>
    <w:rsid w:val="00A2413E"/>
    <w:pPr>
      <w:ind w:left="2160" w:hanging="2160"/>
    </w:pPr>
  </w:style>
  <w:style w:type="paragraph" w:customStyle="1" w:styleId="Text">
    <w:name w:val="Text"/>
    <w:basedOn w:val="Normal"/>
    <w:rsid w:val="00A2413E"/>
    <w:pPr>
      <w:tabs>
        <w:tab w:val="left" w:pos="720"/>
        <w:tab w:val="left" w:pos="1440"/>
        <w:tab w:val="left" w:pos="2160"/>
        <w:tab w:val="center" w:pos="4320"/>
      </w:tabs>
      <w:spacing w:line="480" w:lineRule="atLeast"/>
      <w:ind w:firstLine="540"/>
    </w:pPr>
  </w:style>
  <w:style w:type="paragraph" w:customStyle="1" w:styleId="Title1">
    <w:name w:val="Title1"/>
    <w:basedOn w:val="Normal"/>
    <w:rsid w:val="00A2413E"/>
    <w:pPr>
      <w:tabs>
        <w:tab w:val="left" w:pos="5760"/>
        <w:tab w:val="left" w:pos="6480"/>
      </w:tabs>
      <w:spacing w:line="240" w:lineRule="atLeast"/>
    </w:pPr>
  </w:style>
  <w:style w:type="paragraph" w:customStyle="1" w:styleId="Titles">
    <w:name w:val="Titles"/>
    <w:basedOn w:val="Normal"/>
    <w:rsid w:val="00A2413E"/>
    <w:pPr>
      <w:tabs>
        <w:tab w:val="left" w:pos="2160"/>
      </w:tabs>
      <w:ind w:left="2160" w:hanging="2160"/>
    </w:pPr>
    <w:rPr>
      <w:b/>
    </w:rPr>
  </w:style>
  <w:style w:type="paragraph" w:styleId="TOAHeading">
    <w:name w:val="toa heading"/>
    <w:basedOn w:val="Normal"/>
    <w:next w:val="Normal"/>
    <w:semiHidden/>
    <w:rsid w:val="00A2413E"/>
    <w:pPr>
      <w:spacing w:before="120"/>
    </w:pPr>
    <w:rPr>
      <w:b/>
    </w:rPr>
  </w:style>
  <w:style w:type="paragraph" w:styleId="TOC1">
    <w:name w:val="toc 1"/>
    <w:basedOn w:val="Normal"/>
    <w:next w:val="Normal"/>
    <w:autoRedefine/>
    <w:semiHidden/>
    <w:rsid w:val="00A2413E"/>
  </w:style>
  <w:style w:type="paragraph" w:styleId="TOC2">
    <w:name w:val="toc 2"/>
    <w:basedOn w:val="Normal"/>
    <w:next w:val="Normal"/>
    <w:autoRedefine/>
    <w:semiHidden/>
    <w:rsid w:val="00A2413E"/>
    <w:pPr>
      <w:ind w:left="259"/>
    </w:pPr>
  </w:style>
  <w:style w:type="paragraph" w:styleId="TOC3">
    <w:name w:val="toc 3"/>
    <w:basedOn w:val="Normal"/>
    <w:next w:val="Normal"/>
    <w:autoRedefine/>
    <w:semiHidden/>
    <w:rsid w:val="00A2413E"/>
    <w:pPr>
      <w:ind w:left="520"/>
    </w:pPr>
  </w:style>
  <w:style w:type="paragraph" w:styleId="TOC4">
    <w:name w:val="toc 4"/>
    <w:basedOn w:val="Normal"/>
    <w:next w:val="Normal"/>
    <w:autoRedefine/>
    <w:semiHidden/>
    <w:rsid w:val="00A2413E"/>
    <w:pPr>
      <w:ind w:left="780"/>
    </w:pPr>
  </w:style>
  <w:style w:type="paragraph" w:styleId="TOC5">
    <w:name w:val="toc 5"/>
    <w:basedOn w:val="Normal"/>
    <w:next w:val="Normal"/>
    <w:autoRedefine/>
    <w:semiHidden/>
    <w:rsid w:val="00A2413E"/>
    <w:pPr>
      <w:ind w:left="1040"/>
    </w:pPr>
  </w:style>
  <w:style w:type="paragraph" w:styleId="TOC6">
    <w:name w:val="toc 6"/>
    <w:basedOn w:val="Normal"/>
    <w:next w:val="Normal"/>
    <w:autoRedefine/>
    <w:semiHidden/>
    <w:rsid w:val="00A2413E"/>
    <w:pPr>
      <w:ind w:left="1300"/>
    </w:pPr>
  </w:style>
  <w:style w:type="paragraph" w:styleId="TOC7">
    <w:name w:val="toc 7"/>
    <w:basedOn w:val="Normal"/>
    <w:next w:val="Normal"/>
    <w:autoRedefine/>
    <w:semiHidden/>
    <w:rsid w:val="00A2413E"/>
    <w:pPr>
      <w:ind w:left="1560"/>
    </w:pPr>
  </w:style>
  <w:style w:type="paragraph" w:styleId="TOC8">
    <w:name w:val="toc 8"/>
    <w:basedOn w:val="Normal"/>
    <w:next w:val="Normal"/>
    <w:autoRedefine/>
    <w:semiHidden/>
    <w:rsid w:val="00A2413E"/>
    <w:pPr>
      <w:ind w:left="1820"/>
    </w:pPr>
  </w:style>
  <w:style w:type="paragraph" w:styleId="TOC9">
    <w:name w:val="toc 9"/>
    <w:basedOn w:val="Normal"/>
    <w:next w:val="Normal"/>
    <w:autoRedefine/>
    <w:semiHidden/>
    <w:rsid w:val="00A2413E"/>
    <w:pPr>
      <w:ind w:left="2080"/>
    </w:pPr>
  </w:style>
  <w:style w:type="paragraph" w:customStyle="1" w:styleId="Contents">
    <w:name w:val="Contents"/>
    <w:basedOn w:val="Normal"/>
    <w:rsid w:val="00A2413E"/>
    <w:pPr>
      <w:jc w:val="center"/>
    </w:pPr>
    <w:rPr>
      <w:b/>
      <w:spacing w:val="100"/>
    </w:rPr>
  </w:style>
  <w:style w:type="character" w:customStyle="1" w:styleId="FootnoteTextChar">
    <w:name w:val="Footnote Text Char"/>
    <w:basedOn w:val="DefaultParagraphFont"/>
    <w:link w:val="FootnoteText"/>
    <w:rsid w:val="000C4E28"/>
    <w:rPr>
      <w:rFonts w:ascii="Century Schoolbook" w:hAnsi="Century Schoolbook"/>
      <w:sz w:val="27"/>
    </w:rPr>
  </w:style>
  <w:style w:type="paragraph" w:styleId="ListParagraph">
    <w:name w:val="List Paragraph"/>
    <w:basedOn w:val="Normal"/>
    <w:uiPriority w:val="34"/>
    <w:qFormat/>
    <w:rsid w:val="007615A1"/>
    <w:pPr>
      <w:ind w:left="720"/>
      <w:contextualSpacing/>
    </w:pPr>
  </w:style>
  <w:style w:type="character" w:styleId="CommentReference">
    <w:name w:val="annotation reference"/>
    <w:basedOn w:val="DefaultParagraphFont"/>
    <w:uiPriority w:val="99"/>
    <w:semiHidden/>
    <w:unhideWhenUsed/>
    <w:rsid w:val="00272935"/>
    <w:rPr>
      <w:sz w:val="16"/>
      <w:szCs w:val="16"/>
    </w:rPr>
  </w:style>
  <w:style w:type="paragraph" w:styleId="CommentText">
    <w:name w:val="annotation text"/>
    <w:basedOn w:val="Normal"/>
    <w:link w:val="CommentTextChar"/>
    <w:uiPriority w:val="99"/>
    <w:unhideWhenUsed/>
    <w:qFormat/>
    <w:rsid w:val="00272935"/>
    <w:rPr>
      <w:sz w:val="20"/>
    </w:rPr>
  </w:style>
  <w:style w:type="character" w:customStyle="1" w:styleId="CommentTextChar">
    <w:name w:val="Comment Text Char"/>
    <w:basedOn w:val="DefaultParagraphFont"/>
    <w:link w:val="CommentText"/>
    <w:uiPriority w:val="99"/>
    <w:rsid w:val="00272935"/>
  </w:style>
  <w:style w:type="paragraph" w:styleId="CommentSubject">
    <w:name w:val="annotation subject"/>
    <w:basedOn w:val="CommentText"/>
    <w:next w:val="CommentText"/>
    <w:link w:val="CommentSubjectChar"/>
    <w:uiPriority w:val="99"/>
    <w:semiHidden/>
    <w:unhideWhenUsed/>
    <w:rsid w:val="00272935"/>
    <w:rPr>
      <w:b/>
      <w:bCs/>
    </w:rPr>
  </w:style>
  <w:style w:type="character" w:customStyle="1" w:styleId="CommentSubjectChar">
    <w:name w:val="Comment Subject Char"/>
    <w:basedOn w:val="CommentTextChar"/>
    <w:link w:val="CommentSubject"/>
    <w:uiPriority w:val="99"/>
    <w:semiHidden/>
    <w:rsid w:val="00272935"/>
    <w:rPr>
      <w:b/>
      <w:bCs/>
    </w:rPr>
  </w:style>
  <w:style w:type="paragraph" w:styleId="Revision">
    <w:name w:val="Revision"/>
    <w:hidden/>
    <w:uiPriority w:val="99"/>
    <w:semiHidden/>
    <w:rsid w:val="00272935"/>
    <w:rPr>
      <w:sz w:val="26"/>
    </w:rPr>
  </w:style>
  <w:style w:type="paragraph" w:styleId="BalloonText">
    <w:name w:val="Balloon Text"/>
    <w:basedOn w:val="Normal"/>
    <w:link w:val="BalloonTextChar"/>
    <w:uiPriority w:val="99"/>
    <w:semiHidden/>
    <w:unhideWhenUsed/>
    <w:rsid w:val="00272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35"/>
    <w:rPr>
      <w:rFonts w:ascii="Segoe UI" w:hAnsi="Segoe UI" w:cs="Segoe UI"/>
      <w:sz w:val="18"/>
      <w:szCs w:val="18"/>
    </w:rPr>
  </w:style>
  <w:style w:type="character" w:customStyle="1" w:styleId="costarpage">
    <w:name w:val="co_starpage"/>
    <w:basedOn w:val="DefaultParagraphFont"/>
    <w:rsid w:val="00C4696C"/>
  </w:style>
  <w:style w:type="character" w:styleId="Emphasis">
    <w:name w:val="Emphasis"/>
    <w:basedOn w:val="DefaultParagraphFont"/>
    <w:uiPriority w:val="20"/>
    <w:qFormat/>
    <w:rsid w:val="00C4696C"/>
    <w:rPr>
      <w:i/>
      <w:iCs/>
    </w:rPr>
  </w:style>
  <w:style w:type="character" w:styleId="Hyperlink">
    <w:name w:val="Hyperlink"/>
    <w:basedOn w:val="DefaultParagraphFont"/>
    <w:uiPriority w:val="99"/>
    <w:unhideWhenUsed/>
    <w:rsid w:val="00874303"/>
    <w:rPr>
      <w:color w:val="0000FF"/>
      <w:u w:val="single"/>
    </w:rPr>
  </w:style>
  <w:style w:type="character" w:styleId="Strong">
    <w:name w:val="Strong"/>
    <w:basedOn w:val="DefaultParagraphFont"/>
    <w:uiPriority w:val="22"/>
    <w:qFormat/>
    <w:rsid w:val="005D0B3E"/>
    <w:rPr>
      <w:b/>
      <w:bCs/>
    </w:rPr>
  </w:style>
  <w:style w:type="character" w:customStyle="1" w:styleId="coconcept121">
    <w:name w:val="co_concept_1_21"/>
    <w:basedOn w:val="DefaultParagraphFont"/>
    <w:rsid w:val="00A11450"/>
  </w:style>
  <w:style w:type="character" w:customStyle="1" w:styleId="counderline">
    <w:name w:val="co_underline"/>
    <w:basedOn w:val="DefaultParagraphFont"/>
    <w:rsid w:val="00F109E3"/>
  </w:style>
  <w:style w:type="character" w:customStyle="1" w:styleId="copinpointicon">
    <w:name w:val="co_pinpointicon"/>
    <w:basedOn w:val="DefaultParagraphFont"/>
    <w:rsid w:val="009028BC"/>
  </w:style>
  <w:style w:type="paragraph" w:styleId="NormalWeb">
    <w:name w:val="Normal (Web)"/>
    <w:basedOn w:val="Normal"/>
    <w:uiPriority w:val="99"/>
    <w:semiHidden/>
    <w:unhideWhenUsed/>
    <w:rsid w:val="00005EC6"/>
    <w:pPr>
      <w:spacing w:before="100" w:beforeAutospacing="1" w:afterAutospacing="1"/>
    </w:pPr>
    <w:rPr>
      <w:sz w:val="24"/>
      <w:szCs w:val="24"/>
    </w:rPr>
  </w:style>
  <w:style w:type="character" w:customStyle="1" w:styleId="coconcept122">
    <w:name w:val="co_concept_1_22"/>
    <w:basedOn w:val="DefaultParagraphFont"/>
    <w:rsid w:val="00B3672F"/>
  </w:style>
  <w:style w:type="character" w:customStyle="1" w:styleId="coconcept2831">
    <w:name w:val="co_concept_28_31"/>
    <w:basedOn w:val="DefaultParagraphFont"/>
    <w:rsid w:val="00B3672F"/>
  </w:style>
  <w:style w:type="character" w:customStyle="1" w:styleId="UnresolvedMention">
    <w:name w:val="Unresolved Mention"/>
    <w:basedOn w:val="DefaultParagraphFont"/>
    <w:uiPriority w:val="99"/>
    <w:semiHidden/>
    <w:unhideWhenUsed/>
    <w:rsid w:val="00BB7FA3"/>
    <w:rPr>
      <w:color w:val="605E5C"/>
      <w:shd w:val="clear" w:color="auto" w:fill="E1DFDD"/>
    </w:rPr>
  </w:style>
  <w:style w:type="character" w:customStyle="1" w:styleId="cosmallcaps">
    <w:name w:val="co_smallcaps"/>
    <w:basedOn w:val="DefaultParagraphFont"/>
    <w:rsid w:val="008B7E0D"/>
  </w:style>
  <w:style w:type="character" w:customStyle="1" w:styleId="coconcept114">
    <w:name w:val="co_concept_1_14"/>
    <w:basedOn w:val="DefaultParagraphFont"/>
    <w:rsid w:val="00833B23"/>
  </w:style>
  <w:style w:type="character" w:customStyle="1" w:styleId="coconcept1925">
    <w:name w:val="co_concept_19_25"/>
    <w:basedOn w:val="DefaultParagraphFont"/>
    <w:rsid w:val="00A02068"/>
  </w:style>
  <w:style w:type="character" w:styleId="FollowedHyperlink">
    <w:name w:val="FollowedHyperlink"/>
    <w:basedOn w:val="DefaultParagraphFont"/>
    <w:uiPriority w:val="99"/>
    <w:semiHidden/>
    <w:unhideWhenUsed/>
    <w:rsid w:val="007F5206"/>
    <w:rPr>
      <w:color w:val="800080" w:themeColor="followedHyperlink"/>
      <w:u w:val="single"/>
    </w:rPr>
  </w:style>
  <w:style w:type="character" w:customStyle="1" w:styleId="coconcept3238">
    <w:name w:val="co_concept_32_38"/>
    <w:basedOn w:val="DefaultParagraphFont"/>
    <w:rsid w:val="005949D3"/>
  </w:style>
  <w:style w:type="character" w:customStyle="1" w:styleId="coconcept116">
    <w:name w:val="co_concept_1_16"/>
    <w:basedOn w:val="DefaultParagraphFont"/>
    <w:rsid w:val="005949D3"/>
  </w:style>
  <w:style w:type="character" w:customStyle="1" w:styleId="coconcept2227">
    <w:name w:val="co_concept_22_27"/>
    <w:basedOn w:val="DefaultParagraphFont"/>
    <w:rsid w:val="005949D3"/>
  </w:style>
  <w:style w:type="character" w:customStyle="1" w:styleId="cosearchterm">
    <w:name w:val="co_searchterm"/>
    <w:basedOn w:val="DefaultParagraphFont"/>
    <w:rsid w:val="00B2150C"/>
  </w:style>
  <w:style w:type="character" w:customStyle="1" w:styleId="coconcept126">
    <w:name w:val="co_concept_1_26"/>
    <w:basedOn w:val="DefaultParagraphFont"/>
    <w:rsid w:val="00E13A4B"/>
  </w:style>
  <w:style w:type="character" w:customStyle="1" w:styleId="coconcept5057">
    <w:name w:val="co_concept_50_57"/>
    <w:basedOn w:val="DefaultParagraphFont"/>
    <w:rsid w:val="007B5DB9"/>
  </w:style>
  <w:style w:type="character" w:customStyle="1" w:styleId="coconcept4145">
    <w:name w:val="co_concept_41_45"/>
    <w:basedOn w:val="DefaultParagraphFont"/>
    <w:rsid w:val="007B5DB9"/>
  </w:style>
  <w:style w:type="character" w:customStyle="1" w:styleId="coconcept3234">
    <w:name w:val="co_concept_32_34"/>
    <w:basedOn w:val="DefaultParagraphFont"/>
    <w:rsid w:val="007B5DB9"/>
  </w:style>
  <w:style w:type="character" w:customStyle="1" w:styleId="coinlinekeyciteflag">
    <w:name w:val="co_inlinekeyciteflag"/>
    <w:basedOn w:val="DefaultParagraphFont"/>
    <w:rsid w:val="007B5DB9"/>
  </w:style>
  <w:style w:type="character" w:customStyle="1" w:styleId="coconcept3436">
    <w:name w:val="co_concept_34_36"/>
    <w:basedOn w:val="DefaultParagraphFont"/>
    <w:rsid w:val="005E4B0B"/>
  </w:style>
  <w:style w:type="character" w:customStyle="1" w:styleId="coconcept7276">
    <w:name w:val="co_concept_72_76"/>
    <w:basedOn w:val="DefaultParagraphFont"/>
    <w:rsid w:val="005E4B0B"/>
  </w:style>
  <w:style w:type="character" w:customStyle="1" w:styleId="coconcept328">
    <w:name w:val="co_concept_3_28"/>
    <w:basedOn w:val="DefaultParagraphFont"/>
    <w:rsid w:val="005E4B0B"/>
  </w:style>
  <w:style w:type="character" w:customStyle="1" w:styleId="Heading3Char">
    <w:name w:val="Heading 3 Char"/>
    <w:basedOn w:val="DefaultParagraphFont"/>
    <w:link w:val="Heading3"/>
    <w:rsid w:val="00CF27EA"/>
    <w:rPr>
      <w:rFonts w:ascii="Century Schoolbook" w:hAnsi="Century Schoolbook"/>
      <w:b/>
      <w:bCs/>
      <w:sz w:val="27"/>
      <w:szCs w:val="26"/>
    </w:rPr>
  </w:style>
  <w:style w:type="character" w:customStyle="1" w:styleId="coconcept2127">
    <w:name w:val="co_concept_21_27"/>
    <w:basedOn w:val="DefaultParagraphFont"/>
    <w:rsid w:val="004C44F9"/>
  </w:style>
  <w:style w:type="character" w:customStyle="1" w:styleId="coconcept117">
    <w:name w:val="co_concept_1_17"/>
    <w:basedOn w:val="DefaultParagraphFont"/>
    <w:rsid w:val="00E47AB0"/>
  </w:style>
  <w:style w:type="character" w:customStyle="1" w:styleId="opinionconcurrance">
    <w:name w:val="opinionconcurrance"/>
    <w:basedOn w:val="DefaultParagraphFont"/>
    <w:rsid w:val="00ED34D0"/>
  </w:style>
  <w:style w:type="character" w:customStyle="1" w:styleId="cohighlightpoints">
    <w:name w:val="co_highlightpoints"/>
    <w:basedOn w:val="DefaultParagraphFont"/>
    <w:rsid w:val="00D73656"/>
  </w:style>
  <w:style w:type="character" w:customStyle="1" w:styleId="coconcept3843">
    <w:name w:val="co_concept_38_43"/>
    <w:basedOn w:val="DefaultParagraphFont"/>
    <w:rsid w:val="00B75F7B"/>
  </w:style>
  <w:style w:type="character" w:customStyle="1" w:styleId="coconcept2131">
    <w:name w:val="co_concept_21_31"/>
    <w:basedOn w:val="DefaultParagraphFont"/>
    <w:rsid w:val="00B75F7B"/>
  </w:style>
  <w:style w:type="character" w:customStyle="1" w:styleId="coconcept25">
    <w:name w:val="co_concept_2_5"/>
    <w:basedOn w:val="DefaultParagraphFont"/>
    <w:rsid w:val="00B75F7B"/>
  </w:style>
  <w:style w:type="character" w:customStyle="1" w:styleId="coconcept1016">
    <w:name w:val="co_concept_10_16"/>
    <w:basedOn w:val="DefaultParagraphFont"/>
    <w:rsid w:val="00B75F7B"/>
  </w:style>
  <w:style w:type="character" w:customStyle="1" w:styleId="coconcept28">
    <w:name w:val="co_concept_2_8"/>
    <w:basedOn w:val="DefaultParagraphFont"/>
    <w:rsid w:val="004C49A9"/>
  </w:style>
  <w:style w:type="character" w:customStyle="1" w:styleId="coconcept3847">
    <w:name w:val="co_concept_38_47"/>
    <w:basedOn w:val="DefaultParagraphFont"/>
    <w:rsid w:val="004C49A9"/>
  </w:style>
  <w:style w:type="character" w:customStyle="1" w:styleId="coconcept1323">
    <w:name w:val="co_concept_13_23"/>
    <w:basedOn w:val="DefaultParagraphFont"/>
    <w:rsid w:val="004C49A9"/>
  </w:style>
  <w:style w:type="character" w:customStyle="1" w:styleId="coconcept26">
    <w:name w:val="co_concept_2_6"/>
    <w:basedOn w:val="DefaultParagraphFont"/>
    <w:rsid w:val="004827B3"/>
  </w:style>
  <w:style w:type="character" w:customStyle="1" w:styleId="coconcept813">
    <w:name w:val="co_concept_8_13"/>
    <w:basedOn w:val="DefaultParagraphFont"/>
    <w:rsid w:val="004827B3"/>
  </w:style>
  <w:style w:type="character" w:customStyle="1" w:styleId="coconcept1120">
    <w:name w:val="co_concept_11_20"/>
    <w:basedOn w:val="DefaultParagraphFont"/>
    <w:rsid w:val="004827B3"/>
  </w:style>
  <w:style w:type="character" w:customStyle="1" w:styleId="coconcept19">
    <w:name w:val="co_concept_1_9"/>
    <w:basedOn w:val="DefaultParagraphFont"/>
    <w:rsid w:val="004827B3"/>
  </w:style>
  <w:style w:type="character" w:customStyle="1" w:styleId="coconcept2835">
    <w:name w:val="co_concept_28_35"/>
    <w:basedOn w:val="DefaultParagraphFont"/>
    <w:rsid w:val="004827B3"/>
  </w:style>
  <w:style w:type="character" w:customStyle="1" w:styleId="coconcept1720">
    <w:name w:val="co_concept_17_20"/>
    <w:basedOn w:val="DefaultParagraphFont"/>
    <w:rsid w:val="00D37DDE"/>
  </w:style>
  <w:style w:type="character" w:customStyle="1" w:styleId="coconcept2230">
    <w:name w:val="co_concept_22_30"/>
    <w:basedOn w:val="DefaultParagraphFont"/>
    <w:rsid w:val="00D37DDE"/>
  </w:style>
  <w:style w:type="character" w:customStyle="1" w:styleId="coconcept2035">
    <w:name w:val="co_concept_20_35"/>
    <w:basedOn w:val="DefaultParagraphFont"/>
    <w:rsid w:val="00BA1F46"/>
  </w:style>
  <w:style w:type="character" w:customStyle="1" w:styleId="coconcept1216">
    <w:name w:val="co_concept_12_16"/>
    <w:basedOn w:val="DefaultParagraphFont"/>
    <w:rsid w:val="007448F5"/>
  </w:style>
  <w:style w:type="paragraph" w:customStyle="1" w:styleId="Default">
    <w:name w:val="Default"/>
    <w:rsid w:val="005C1EE1"/>
    <w:pPr>
      <w:autoSpaceDE w:val="0"/>
      <w:autoSpaceDN w:val="0"/>
      <w:adjustRightInd w:val="0"/>
    </w:pPr>
    <w:rPr>
      <w:rFonts w:ascii="Century Schoolbook" w:hAnsi="Century Schoolbook" w:cs="Century Schoolbook"/>
      <w:color w:val="000000"/>
      <w:sz w:val="24"/>
      <w:szCs w:val="24"/>
    </w:rPr>
  </w:style>
  <w:style w:type="character" w:customStyle="1" w:styleId="coconcept3538">
    <w:name w:val="co_concept_35_38"/>
    <w:basedOn w:val="DefaultParagraphFont"/>
    <w:rsid w:val="00653EC2"/>
  </w:style>
  <w:style w:type="character" w:customStyle="1" w:styleId="coconcept4347">
    <w:name w:val="co_concept_43_47"/>
    <w:basedOn w:val="DefaultParagraphFont"/>
    <w:rsid w:val="00653EC2"/>
  </w:style>
  <w:style w:type="character" w:customStyle="1" w:styleId="coconcept112">
    <w:name w:val="co_concept_1_12"/>
    <w:basedOn w:val="DefaultParagraphFont"/>
    <w:rsid w:val="00653EC2"/>
  </w:style>
  <w:style w:type="character" w:customStyle="1" w:styleId="coconcept1927">
    <w:name w:val="co_concept_19_27"/>
    <w:basedOn w:val="DefaultParagraphFont"/>
    <w:rsid w:val="00653EC2"/>
  </w:style>
  <w:style w:type="character" w:customStyle="1" w:styleId="coconcept1523">
    <w:name w:val="co_concept_15_23"/>
    <w:basedOn w:val="DefaultParagraphFont"/>
    <w:rsid w:val="003E5B76"/>
  </w:style>
  <w:style w:type="character" w:customStyle="1" w:styleId="coconcept711">
    <w:name w:val="co_concept_7_11"/>
    <w:basedOn w:val="DefaultParagraphFont"/>
    <w:rsid w:val="003E5B76"/>
  </w:style>
  <w:style w:type="character" w:customStyle="1" w:styleId="coconcept2732">
    <w:name w:val="co_concept_27_32"/>
    <w:basedOn w:val="DefaultParagraphFont"/>
    <w:rsid w:val="00E46EF2"/>
  </w:style>
  <w:style w:type="character" w:customStyle="1" w:styleId="Heading2Char">
    <w:name w:val="Heading 2 Char"/>
    <w:basedOn w:val="DefaultParagraphFont"/>
    <w:link w:val="Heading2"/>
    <w:rsid w:val="006757AE"/>
    <w:rPr>
      <w:rFonts w:ascii="Century Schoolbook" w:hAnsi="Century Schoolbook"/>
      <w:b/>
      <w:sz w:val="27"/>
    </w:rPr>
  </w:style>
  <w:style w:type="paragraph" w:styleId="BodyText">
    <w:name w:val="Body Text"/>
    <w:basedOn w:val="Normal"/>
    <w:link w:val="BodyTextChar"/>
    <w:qFormat/>
    <w:rsid w:val="00A2413E"/>
  </w:style>
  <w:style w:type="character" w:customStyle="1" w:styleId="BodyTextChar">
    <w:name w:val="Body Text Char"/>
    <w:basedOn w:val="DefaultParagraphFont"/>
    <w:link w:val="BodyText"/>
    <w:rsid w:val="00A2413E"/>
    <w:rPr>
      <w:rFonts w:ascii="Century Schoolbook" w:hAnsi="Century Schoolbook"/>
      <w:sz w:val="27"/>
    </w:rPr>
  </w:style>
  <w:style w:type="character" w:customStyle="1" w:styleId="cohl">
    <w:name w:val="co_hl"/>
    <w:basedOn w:val="DefaultParagraphFont"/>
    <w:rsid w:val="00855D63"/>
  </w:style>
  <w:style w:type="paragraph" w:customStyle="1" w:styleId="PRComments">
    <w:name w:val="PR Comments"/>
    <w:basedOn w:val="Normal"/>
    <w:rsid w:val="00AF3938"/>
    <w:pPr>
      <w:spacing w:after="0" w:line="360" w:lineRule="atLeast"/>
      <w:ind w:right="-360"/>
      <w:jc w:val="left"/>
    </w:pPr>
    <w:rPr>
      <w:rFonts w:ascii="Times New Roman" w:hAnsi="Times New Roman"/>
      <w:sz w:val="26"/>
    </w:rPr>
  </w:style>
  <w:style w:type="character" w:customStyle="1" w:styleId="coinlinekeyciteflagillegallinkremoved">
    <w:name w:val="co_inlinekeyciteflagillegallinkremoved"/>
    <w:basedOn w:val="DefaultParagraphFont"/>
    <w:rsid w:val="009E47A6"/>
  </w:style>
  <w:style w:type="character" w:customStyle="1" w:styleId="mswsearchterm">
    <w:name w:val="mswsearchterm"/>
    <w:basedOn w:val="DefaultParagraphFont"/>
    <w:rsid w:val="000E5402"/>
  </w:style>
  <w:style w:type="character" w:customStyle="1" w:styleId="coconcept3544">
    <w:name w:val="co_concept_35_44"/>
    <w:basedOn w:val="DefaultParagraphFont"/>
    <w:rsid w:val="007C4D23"/>
  </w:style>
  <w:style w:type="character" w:customStyle="1" w:styleId="coconcept137144">
    <w:name w:val="co_concept_137_144"/>
    <w:basedOn w:val="DefaultParagraphFont"/>
    <w:rsid w:val="007C4D23"/>
  </w:style>
  <w:style w:type="character" w:customStyle="1" w:styleId="coconcept1220">
    <w:name w:val="co_concept_12_20"/>
    <w:basedOn w:val="DefaultParagraphFont"/>
    <w:rsid w:val="001D35A8"/>
  </w:style>
  <w:style w:type="character" w:customStyle="1" w:styleId="coconcept16">
    <w:name w:val="co_concept_1_6"/>
    <w:basedOn w:val="DefaultParagraphFont"/>
    <w:rsid w:val="001D35A8"/>
  </w:style>
  <w:style w:type="character" w:customStyle="1" w:styleId="coconcept2531">
    <w:name w:val="co_concept_25_31"/>
    <w:basedOn w:val="DefaultParagraphFont"/>
    <w:rsid w:val="001D35A8"/>
  </w:style>
  <w:style w:type="character" w:customStyle="1" w:styleId="coconcept2431">
    <w:name w:val="co_concept_24_31"/>
    <w:basedOn w:val="DefaultParagraphFont"/>
    <w:rsid w:val="00AF202E"/>
  </w:style>
  <w:style w:type="paragraph" w:styleId="PlainText">
    <w:name w:val="Plain Text"/>
    <w:basedOn w:val="Normal"/>
    <w:link w:val="PlainTextChar"/>
    <w:uiPriority w:val="99"/>
    <w:semiHidden/>
    <w:unhideWhenUsed/>
    <w:rsid w:val="00713214"/>
    <w:pPr>
      <w:spacing w:after="0" w:line="240" w:lineRule="auto"/>
      <w:jc w:val="left"/>
    </w:pPr>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713214"/>
    <w:rPr>
      <w:rFonts w:ascii="Calibri" w:hAns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6273-161E-4FBB-8CF5-FC6D5037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15166</Words>
  <Characters>86452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2021-08-30T16:56:33Z</dcterms:created>
  <dcterms:modified xsi:type="dcterms:W3CDTF">2021-08-30T16:56:33Z</dcterms:modified>
</cp:coreProperties>
</file>