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D0C79" w:rsidP="00EB50FE" w14:paraId="4DD28378" w14:textId="32965724">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EB50FE" w:rsidP="00EB50FE" w14:paraId="4C99DC9D" w14:textId="45B15963">
      <w:pPr>
        <w:tabs>
          <w:tab w:val="left" w:pos="1440"/>
          <w:tab w:val="left" w:pos="4680"/>
          <w:tab w:val="center" w:pos="7200"/>
        </w:tabs>
        <w:spacing w:after="0"/>
        <w:jc w:val="center"/>
      </w:pPr>
    </w:p>
    <w:p w:rsidR="00C47072" w:rsidP="00C47072" w14:paraId="20167C56" w14:textId="49F20F44">
      <w:pPr>
        <w:tabs>
          <w:tab w:val="left" w:pos="1440"/>
        </w:tabs>
        <w:spacing w:after="0"/>
        <w:jc w:val="center"/>
        <w:rPr>
          <w:caps/>
        </w:rPr>
      </w:pPr>
      <w:r>
        <w:rPr>
          <w:caps/>
        </w:rPr>
        <w:t xml:space="preserve">YAZMIN BROWN </w:t>
      </w:r>
      <w:r w:rsidRPr="006E63E1" w:rsidR="00FA56B5">
        <w:t>et al.</w:t>
      </w:r>
      <w:r>
        <w:rPr>
          <w:caps/>
        </w:rPr>
        <w:t>,</w:t>
      </w:r>
    </w:p>
    <w:p w:rsidR="00C47072" w:rsidRPr="00B033AB" w:rsidP="00C47072" w14:paraId="19ACA74B" w14:textId="64C9E955">
      <w:pPr>
        <w:tabs>
          <w:tab w:val="left" w:pos="1440"/>
        </w:tabs>
        <w:spacing w:after="0"/>
        <w:jc w:val="center"/>
      </w:pPr>
      <w:bookmarkStart w:id="1" w:name="LD"/>
      <w:bookmarkEnd w:id="1"/>
      <w:r w:rsidRPr="00B033AB">
        <w:t>Plaintiff</w:t>
      </w:r>
      <w:r w:rsidR="001143C6">
        <w:t>s</w:t>
      </w:r>
      <w:r w:rsidRPr="00B033AB">
        <w:t xml:space="preserve"> and </w:t>
      </w:r>
      <w:r w:rsidR="00997947">
        <w:t>Appellants</w:t>
      </w:r>
      <w:r>
        <w:t>,</w:t>
      </w:r>
    </w:p>
    <w:p w:rsidR="00C47072" w:rsidRPr="00B033AB" w:rsidP="00C47072" w14:paraId="0F9A96A1" w14:textId="77777777">
      <w:pPr>
        <w:tabs>
          <w:tab w:val="left" w:pos="1440"/>
        </w:tabs>
        <w:spacing w:after="0"/>
        <w:jc w:val="center"/>
      </w:pPr>
      <w:r w:rsidRPr="00B033AB">
        <w:t>v.</w:t>
      </w:r>
    </w:p>
    <w:p w:rsidR="00C47072" w:rsidP="00C47072" w14:paraId="389162AC" w14:textId="1B8FEE20">
      <w:pPr>
        <w:tabs>
          <w:tab w:val="left" w:pos="1440"/>
        </w:tabs>
        <w:spacing w:after="0"/>
        <w:jc w:val="center"/>
        <w:rPr>
          <w:caps/>
        </w:rPr>
      </w:pPr>
      <w:bookmarkStart w:id="2" w:name="appealnum"/>
      <w:bookmarkEnd w:id="2"/>
      <w:r>
        <w:rPr>
          <w:caps/>
        </w:rPr>
        <w:t xml:space="preserve">USA Taekwondo </w:t>
      </w:r>
      <w:r w:rsidRPr="00A639B8">
        <w:t>et al</w:t>
      </w:r>
      <w:r>
        <w:rPr>
          <w:caps/>
        </w:rPr>
        <w:t>.</w:t>
      </w:r>
      <w:r>
        <w:rPr>
          <w:caps/>
        </w:rPr>
        <w:t>,</w:t>
      </w:r>
    </w:p>
    <w:p w:rsidR="00C47072" w:rsidRPr="00B033AB" w:rsidP="00C47072" w14:paraId="3C834590" w14:textId="7DD13F63">
      <w:pPr>
        <w:tabs>
          <w:tab w:val="left" w:pos="1440"/>
        </w:tabs>
        <w:spacing w:after="0"/>
        <w:jc w:val="center"/>
      </w:pPr>
      <w:bookmarkStart w:id="3" w:name="county"/>
      <w:bookmarkStart w:id="4" w:name="VD"/>
      <w:bookmarkEnd w:id="3"/>
      <w:bookmarkEnd w:id="4"/>
      <w:r w:rsidRPr="00B033AB">
        <w:t>Defendant</w:t>
      </w:r>
      <w:r w:rsidR="00E87C9E">
        <w:t>s</w:t>
      </w:r>
      <w:r w:rsidRPr="00B033AB">
        <w:t xml:space="preserve"> and </w:t>
      </w:r>
      <w:r w:rsidR="00E673B3">
        <w:t>Respondents</w:t>
      </w:r>
      <w:r w:rsidRPr="00B033AB">
        <w:t>.</w:t>
      </w:r>
    </w:p>
    <w:p w:rsidR="00EB50FE" w:rsidP="00EB50FE" w14:paraId="27A57B01" w14:textId="126CA77D">
      <w:pPr>
        <w:tabs>
          <w:tab w:val="left" w:pos="1440"/>
          <w:tab w:val="left" w:pos="4680"/>
          <w:tab w:val="center" w:pos="7200"/>
        </w:tabs>
        <w:spacing w:after="0"/>
        <w:jc w:val="center"/>
      </w:pPr>
    </w:p>
    <w:p w:rsidR="00EB50FE" w:rsidP="00EB50FE" w14:paraId="6D621CE1" w14:textId="15388652">
      <w:pPr>
        <w:tabs>
          <w:tab w:val="left" w:pos="1440"/>
          <w:tab w:val="left" w:pos="4680"/>
          <w:tab w:val="center" w:pos="7200"/>
        </w:tabs>
        <w:spacing w:after="0"/>
        <w:jc w:val="center"/>
      </w:pPr>
      <w:r>
        <w:t>S259216</w:t>
      </w:r>
    </w:p>
    <w:p w:rsidR="00EB50FE" w:rsidP="00EB50FE" w14:paraId="1B5C5CE3" w14:textId="41644090">
      <w:pPr>
        <w:tabs>
          <w:tab w:val="left" w:pos="1440"/>
          <w:tab w:val="left" w:pos="4680"/>
          <w:tab w:val="center" w:pos="7200"/>
        </w:tabs>
        <w:spacing w:after="0"/>
        <w:jc w:val="center"/>
      </w:pPr>
    </w:p>
    <w:p w:rsidR="00EB50FE" w:rsidP="00EB50FE" w14:paraId="3E0DB4D2" w14:textId="31C3C00F">
      <w:pPr>
        <w:tabs>
          <w:tab w:val="left" w:pos="1440"/>
          <w:tab w:val="left" w:pos="4680"/>
          <w:tab w:val="center" w:pos="7200"/>
        </w:tabs>
        <w:spacing w:after="0"/>
        <w:jc w:val="center"/>
      </w:pPr>
      <w:r>
        <w:t xml:space="preserve">Second </w:t>
      </w:r>
      <w:r>
        <w:t xml:space="preserve">Appellate District, Division </w:t>
      </w:r>
      <w:r w:rsidR="00EA5AF6">
        <w:t>Seven</w:t>
      </w:r>
    </w:p>
    <w:p w:rsidR="00EB50FE" w:rsidP="00EB50FE" w14:paraId="402CFC69" w14:textId="7EF1D6E4">
      <w:pPr>
        <w:tabs>
          <w:tab w:val="left" w:pos="1440"/>
          <w:tab w:val="left" w:pos="4680"/>
          <w:tab w:val="center" w:pos="7200"/>
        </w:tabs>
        <w:spacing w:after="0"/>
        <w:jc w:val="center"/>
      </w:pPr>
      <w:r>
        <w:t>B280550</w:t>
      </w:r>
    </w:p>
    <w:p w:rsidR="00EB50FE" w:rsidP="00EB50FE" w14:paraId="312287CD" w14:textId="14C09DC4">
      <w:pPr>
        <w:tabs>
          <w:tab w:val="left" w:pos="1440"/>
          <w:tab w:val="left" w:pos="4680"/>
          <w:tab w:val="center" w:pos="7200"/>
        </w:tabs>
        <w:spacing w:after="0"/>
        <w:jc w:val="center"/>
      </w:pPr>
    </w:p>
    <w:p w:rsidR="00EB50FE" w:rsidP="00EB50FE" w14:paraId="38A6D295" w14:textId="25FD0FB6">
      <w:pPr>
        <w:pBdr>
          <w:bottom w:val="single" w:sz="4" w:space="1" w:color="auto"/>
        </w:pBdr>
        <w:tabs>
          <w:tab w:val="left" w:pos="1440"/>
          <w:tab w:val="left" w:pos="4680"/>
          <w:tab w:val="center" w:pos="7200"/>
        </w:tabs>
        <w:spacing w:after="0"/>
        <w:jc w:val="center"/>
      </w:pPr>
      <w:r>
        <w:t>Los Angeles County Superior Court</w:t>
      </w:r>
    </w:p>
    <w:p w:rsidR="00C02BD9" w:rsidP="00EB50FE" w14:paraId="78508F95" w14:textId="49C866D3">
      <w:pPr>
        <w:pBdr>
          <w:bottom w:val="single" w:sz="4" w:space="1" w:color="auto"/>
        </w:pBdr>
        <w:tabs>
          <w:tab w:val="left" w:pos="1440"/>
          <w:tab w:val="left" w:pos="4680"/>
          <w:tab w:val="center" w:pos="7200"/>
        </w:tabs>
        <w:spacing w:after="0"/>
        <w:jc w:val="center"/>
      </w:pPr>
      <w:r>
        <w:t>BC</w:t>
      </w:r>
      <w:r w:rsidR="002A2DBD">
        <w:t>599321</w:t>
      </w:r>
    </w:p>
    <w:p w:rsidR="002A2DBD" w:rsidP="00EB50FE" w14:paraId="281D819F" w14:textId="77777777">
      <w:pPr>
        <w:pBdr>
          <w:bottom w:val="single" w:sz="4" w:space="1" w:color="auto"/>
        </w:pBdr>
        <w:tabs>
          <w:tab w:val="left" w:pos="1440"/>
          <w:tab w:val="left" w:pos="4680"/>
          <w:tab w:val="center" w:pos="7200"/>
        </w:tabs>
        <w:spacing w:after="0"/>
        <w:jc w:val="center"/>
      </w:pPr>
    </w:p>
    <w:p w:rsidR="00EB50FE" w:rsidP="00EB50FE" w14:paraId="016FD97C" w14:textId="3AF726F7">
      <w:pPr>
        <w:tabs>
          <w:tab w:val="left" w:pos="1440"/>
          <w:tab w:val="left" w:pos="4680"/>
          <w:tab w:val="center" w:pos="7200"/>
        </w:tabs>
        <w:spacing w:after="0"/>
        <w:jc w:val="center"/>
      </w:pPr>
    </w:p>
    <w:p w:rsidR="00761F1C" w:rsidP="00761F1C" w14:paraId="24D83160" w14:textId="77777777">
      <w:pPr>
        <w:tabs>
          <w:tab w:val="left" w:pos="1440"/>
          <w:tab w:val="left" w:pos="4680"/>
          <w:tab w:val="center" w:pos="7200"/>
        </w:tabs>
        <w:spacing w:after="0"/>
        <w:jc w:val="center"/>
      </w:pPr>
      <w:r>
        <w:t>April 1, 2021</w:t>
      </w:r>
    </w:p>
    <w:p w:rsidR="00761F1C" w:rsidP="00761F1C" w14:paraId="14EAF2DD" w14:textId="77777777">
      <w:pPr>
        <w:tabs>
          <w:tab w:val="left" w:pos="1440"/>
          <w:tab w:val="left" w:pos="4680"/>
          <w:tab w:val="center" w:pos="7200"/>
        </w:tabs>
        <w:spacing w:after="0"/>
        <w:jc w:val="center"/>
      </w:pPr>
    </w:p>
    <w:p w:rsidR="00761F1C" w:rsidP="00761F1C" w14:paraId="1473CA9A" w14:textId="77777777">
      <w:pPr>
        <w:tabs>
          <w:tab w:val="left" w:pos="1440"/>
          <w:tab w:val="left" w:pos="4680"/>
          <w:tab w:val="center" w:pos="7200"/>
        </w:tabs>
        <w:spacing w:after="0"/>
        <w:jc w:val="left"/>
      </w:pPr>
      <w:r>
        <w:t>Justice Kruger authored the opinion of the Court, in which Chief Justice Cantil-Sakauye and Justices Corrigan, Liu, Cuéllar, Groban, and Jenkins concurred.</w:t>
      </w:r>
    </w:p>
    <w:p w:rsidR="00761F1C" w:rsidP="00761F1C" w14:paraId="39301FE8" w14:textId="77777777">
      <w:pPr>
        <w:pBdr>
          <w:bottom w:val="single" w:sz="4" w:space="1" w:color="auto"/>
        </w:pBdr>
        <w:tabs>
          <w:tab w:val="left" w:pos="1440"/>
          <w:tab w:val="left" w:pos="4680"/>
          <w:tab w:val="center" w:pos="7200"/>
        </w:tabs>
        <w:spacing w:after="0"/>
        <w:jc w:val="left"/>
      </w:pPr>
    </w:p>
    <w:p w:rsidR="00EB50FE" w:rsidP="00761F1C" w14:paraId="3C848F26" w14:textId="6B05BC01">
      <w:pPr>
        <w:pBdr>
          <w:bottom w:val="single" w:sz="4" w:space="1" w:color="auto"/>
        </w:pBdr>
        <w:tabs>
          <w:tab w:val="left" w:pos="1440"/>
          <w:tab w:val="left" w:pos="4680"/>
          <w:tab w:val="center" w:pos="7200"/>
        </w:tabs>
        <w:spacing w:after="0"/>
        <w:jc w:val="left"/>
      </w:pPr>
      <w:r>
        <w:t>Justice Cuéllar filed a concurring opinion.</w:t>
      </w:r>
    </w:p>
    <w:p w:rsidR="00EB50FE" w:rsidRPr="00EB50FE" w:rsidP="00EB50FE" w14:paraId="4431115B" w14:textId="77777777">
      <w:pPr>
        <w:pBdr>
          <w:bottom w:val="single" w:sz="4" w:space="1" w:color="auto"/>
        </w:pBdr>
        <w:tabs>
          <w:tab w:val="left" w:pos="1440"/>
          <w:tab w:val="left" w:pos="4680"/>
          <w:tab w:val="center" w:pos="7200"/>
        </w:tabs>
        <w:spacing w:line="480" w:lineRule="atLeast"/>
        <w:jc w:val="left"/>
      </w:pPr>
      <w:bookmarkStart w:id="5" w:name="Return"/>
      <w:bookmarkEnd w:id="5"/>
    </w:p>
    <w:p w:rsidR="00EB50FE" w14:paraId="4EC53882" w14:textId="77777777">
      <w:pPr>
        <w:tabs>
          <w:tab w:val="left" w:pos="1440"/>
          <w:tab w:val="left" w:pos="4680"/>
          <w:tab w:val="center" w:pos="7200"/>
        </w:tabs>
        <w:spacing w:line="480" w:lineRule="atLeast"/>
        <w:sectPr w:rsidSect="00EB50FE">
          <w:headerReference w:type="even" r:id="rId6"/>
          <w:headerReference w:type="default" r:id="rId7"/>
          <w:footerReference w:type="even"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rsidR="00EB50FE" w:rsidP="00EB50FE" w14:paraId="20022C7C" w14:textId="601D68A4">
      <w:pPr>
        <w:tabs>
          <w:tab w:val="left" w:pos="1440"/>
          <w:tab w:val="left" w:pos="4680"/>
          <w:tab w:val="center" w:pos="7200"/>
        </w:tabs>
        <w:jc w:val="center"/>
      </w:pPr>
      <w:r w:rsidRPr="001804C2">
        <w:rPr>
          <w:caps/>
        </w:rPr>
        <w:t>Brown</w:t>
      </w:r>
      <w:r>
        <w:t xml:space="preserve"> v. </w:t>
      </w:r>
      <w:r w:rsidRPr="001804C2">
        <w:rPr>
          <w:caps/>
        </w:rPr>
        <w:t>USA Taekwondo</w:t>
      </w:r>
    </w:p>
    <w:p w:rsidR="00EB50FE" w:rsidP="00EB50FE" w14:paraId="5428E592" w14:textId="3F4AFE5C">
      <w:pPr>
        <w:tabs>
          <w:tab w:val="left" w:pos="1440"/>
          <w:tab w:val="left" w:pos="4680"/>
          <w:tab w:val="center" w:pos="7200"/>
        </w:tabs>
        <w:jc w:val="center"/>
      </w:pPr>
      <w:r>
        <w:t>S259216</w:t>
      </w:r>
    </w:p>
    <w:p w:rsidR="00EB50FE" w:rsidP="00EB50FE" w14:paraId="79406DC9" w14:textId="37C0BC32">
      <w:pPr>
        <w:tabs>
          <w:tab w:val="left" w:pos="1440"/>
          <w:tab w:val="left" w:pos="4680"/>
          <w:tab w:val="center" w:pos="7200"/>
        </w:tabs>
        <w:jc w:val="center"/>
      </w:pPr>
    </w:p>
    <w:p w:rsidR="00EB50FE" w:rsidP="00EB50FE" w14:paraId="78008D86" w14:textId="7169B7BA">
      <w:pPr>
        <w:tabs>
          <w:tab w:val="left" w:pos="1440"/>
          <w:tab w:val="left" w:pos="4680"/>
          <w:tab w:val="center" w:pos="7200"/>
        </w:tabs>
        <w:jc w:val="center"/>
      </w:pPr>
      <w:r>
        <w:t xml:space="preserve">Opinion of the Court by </w:t>
      </w:r>
      <w:r w:rsidR="005D2073">
        <w:t>Kruger</w:t>
      </w:r>
      <w:r>
        <w:t>, J.</w:t>
      </w:r>
    </w:p>
    <w:p w:rsidR="00EB50FE" w:rsidRPr="00EB50FE" w:rsidP="00EB50FE" w14:paraId="09BBFA89" w14:textId="77777777">
      <w:pPr>
        <w:tabs>
          <w:tab w:val="left" w:pos="1440"/>
          <w:tab w:val="left" w:pos="4680"/>
          <w:tab w:val="center" w:pos="7200"/>
        </w:tabs>
        <w:jc w:val="center"/>
      </w:pPr>
    </w:p>
    <w:p w:rsidR="009D1115" w:rsidRPr="00E21073" w:rsidP="005A3C79" w14:paraId="5DF23273" w14:textId="6FA76793">
      <w:pPr>
        <w:tabs>
          <w:tab w:val="left" w:pos="1440"/>
        </w:tabs>
        <w:ind w:firstLine="720"/>
        <w:rPr>
          <w:szCs w:val="27"/>
        </w:rPr>
      </w:pPr>
      <w:bookmarkStart w:id="6" w:name="mainstory"/>
      <w:bookmarkStart w:id="7" w:name="_Hlk48480828"/>
      <w:bookmarkStart w:id="8" w:name="_Hlk48572456"/>
      <w:bookmarkStart w:id="9" w:name="_Hlk24702724"/>
      <w:bookmarkEnd w:id="6"/>
      <w:r>
        <w:rPr>
          <w:szCs w:val="27"/>
        </w:rPr>
        <w:t xml:space="preserve">To state a cause of action for negligence, </w:t>
      </w:r>
      <w:r w:rsidR="00CF5245">
        <w:rPr>
          <w:szCs w:val="27"/>
        </w:rPr>
        <w:t xml:space="preserve">a </w:t>
      </w:r>
      <w:r>
        <w:rPr>
          <w:szCs w:val="27"/>
        </w:rPr>
        <w:t xml:space="preserve">plaintiff must establish the defendant </w:t>
      </w:r>
      <w:r w:rsidR="00377C7E">
        <w:rPr>
          <w:szCs w:val="27"/>
        </w:rPr>
        <w:t>owed a legal duty of care</w:t>
      </w:r>
      <w:r>
        <w:rPr>
          <w:szCs w:val="27"/>
        </w:rPr>
        <w:t xml:space="preserve">.  </w:t>
      </w:r>
      <w:r w:rsidR="00FB29E9">
        <w:rPr>
          <w:szCs w:val="27"/>
        </w:rPr>
        <w:t>Generally speaking</w:t>
      </w:r>
      <w:r w:rsidRPr="00457990">
        <w:rPr>
          <w:szCs w:val="27"/>
        </w:rPr>
        <w:t>, all persons have a duty to take reasonable care</w:t>
      </w:r>
      <w:r w:rsidR="0038486F">
        <w:rPr>
          <w:szCs w:val="27"/>
        </w:rPr>
        <w:t xml:space="preserve"> in their activities</w:t>
      </w:r>
      <w:r w:rsidRPr="00457990">
        <w:rPr>
          <w:szCs w:val="27"/>
        </w:rPr>
        <w:t xml:space="preserve"> to avoid causing injury, though particular policy considerations may weigh in favor of limiting that duty in certain circumstances.</w:t>
      </w:r>
      <w:r w:rsidR="00B46068">
        <w:rPr>
          <w:szCs w:val="27"/>
        </w:rPr>
        <w:t xml:space="preserve"> </w:t>
      </w:r>
      <w:bookmarkStart w:id="10" w:name="_Hlk49179464"/>
      <w:r w:rsidRPr="00457990">
        <w:rPr>
          <w:szCs w:val="27"/>
        </w:rPr>
        <w:t xml:space="preserve"> (Civ. Code, § 1714; </w:t>
      </w:r>
      <w:r w:rsidRPr="00457990">
        <w:rPr>
          <w:i/>
          <w:iCs/>
          <w:szCs w:val="27"/>
        </w:rPr>
        <w:t>Rowland v. Christian</w:t>
      </w:r>
      <w:r w:rsidRPr="00457990">
        <w:rPr>
          <w:szCs w:val="27"/>
        </w:rPr>
        <w:t xml:space="preserve"> (1968) 69 Cal.2d 108 (</w:t>
      </w:r>
      <w:r w:rsidRPr="00457990">
        <w:rPr>
          <w:i/>
          <w:iCs/>
          <w:szCs w:val="27"/>
        </w:rPr>
        <w:t>Rowland</w:t>
      </w:r>
      <w:bookmarkEnd w:id="10"/>
      <w:r w:rsidRPr="00457990">
        <w:rPr>
          <w:szCs w:val="27"/>
        </w:rPr>
        <w:t xml:space="preserve">).)  The </w:t>
      </w:r>
      <w:r w:rsidR="00BC5E77">
        <w:rPr>
          <w:szCs w:val="27"/>
        </w:rPr>
        <w:t xml:space="preserve">issue </w:t>
      </w:r>
      <w:r w:rsidR="004D3374">
        <w:rPr>
          <w:szCs w:val="27"/>
        </w:rPr>
        <w:t>before us concerns</w:t>
      </w:r>
      <w:r w:rsidRPr="00457990">
        <w:rPr>
          <w:szCs w:val="27"/>
        </w:rPr>
        <w:t xml:space="preserve"> how courts should </w:t>
      </w:r>
      <w:r w:rsidR="005A3C79">
        <w:rPr>
          <w:szCs w:val="27"/>
        </w:rPr>
        <w:t xml:space="preserve">decide </w:t>
      </w:r>
      <w:r w:rsidRPr="00457990">
        <w:rPr>
          <w:szCs w:val="27"/>
        </w:rPr>
        <w:t xml:space="preserve">whether a defendant has a legal duty to </w:t>
      </w:r>
      <w:r w:rsidR="00694B13">
        <w:rPr>
          <w:szCs w:val="27"/>
        </w:rPr>
        <w:t xml:space="preserve">take action to </w:t>
      </w:r>
      <w:r w:rsidRPr="00457990">
        <w:rPr>
          <w:szCs w:val="27"/>
        </w:rPr>
        <w:t xml:space="preserve">protect </w:t>
      </w:r>
      <w:r w:rsidR="00E67480">
        <w:rPr>
          <w:szCs w:val="27"/>
        </w:rPr>
        <w:t xml:space="preserve">the plaintiff from </w:t>
      </w:r>
      <w:r w:rsidR="00203DE8">
        <w:rPr>
          <w:szCs w:val="27"/>
        </w:rPr>
        <w:t xml:space="preserve">injuries </w:t>
      </w:r>
      <w:r w:rsidRPr="00457990">
        <w:rPr>
          <w:szCs w:val="27"/>
        </w:rPr>
        <w:t>caused by a third party</w:t>
      </w:r>
      <w:r w:rsidR="00833E52">
        <w:rPr>
          <w:szCs w:val="27"/>
        </w:rPr>
        <w:t>.</w:t>
      </w:r>
      <w:r w:rsidR="003D6AEB">
        <w:rPr>
          <w:szCs w:val="27"/>
        </w:rPr>
        <w:t xml:space="preserve">  </w:t>
      </w:r>
      <w:r w:rsidR="004530EF">
        <w:rPr>
          <w:szCs w:val="27"/>
        </w:rPr>
        <w:t xml:space="preserve">Despite a substantial body of </w:t>
      </w:r>
      <w:r w:rsidR="00074EC1">
        <w:rPr>
          <w:szCs w:val="27"/>
        </w:rPr>
        <w:t>case law addressing th</w:t>
      </w:r>
      <w:r w:rsidR="00BE6786">
        <w:rPr>
          <w:szCs w:val="27"/>
        </w:rPr>
        <w:t>e</w:t>
      </w:r>
      <w:r w:rsidR="00810F9E">
        <w:rPr>
          <w:szCs w:val="27"/>
        </w:rPr>
        <w:t xml:space="preserve"> issue</w:t>
      </w:r>
      <w:r w:rsidR="00074EC1">
        <w:rPr>
          <w:szCs w:val="27"/>
        </w:rPr>
        <w:t xml:space="preserve">, </w:t>
      </w:r>
      <w:r w:rsidR="00BC5E77">
        <w:rPr>
          <w:szCs w:val="27"/>
        </w:rPr>
        <w:t xml:space="preserve">the Courts of Appeal have remained uncertain about the proper </w:t>
      </w:r>
      <w:r w:rsidR="00302207">
        <w:rPr>
          <w:szCs w:val="27"/>
        </w:rPr>
        <w:t xml:space="preserve">legal </w:t>
      </w:r>
      <w:r w:rsidR="00BC5E77">
        <w:rPr>
          <w:szCs w:val="27"/>
        </w:rPr>
        <w:t xml:space="preserve">framework </w:t>
      </w:r>
      <w:r w:rsidR="00B703F7">
        <w:rPr>
          <w:szCs w:val="27"/>
        </w:rPr>
        <w:t>to apply.</w:t>
      </w:r>
      <w:r w:rsidR="005A3C79">
        <w:rPr>
          <w:szCs w:val="27"/>
        </w:rPr>
        <w:t xml:space="preserve">  </w:t>
      </w:r>
      <w:r w:rsidR="00074EC1">
        <w:rPr>
          <w:szCs w:val="27"/>
        </w:rPr>
        <w:t xml:space="preserve">Distilling the principles </w:t>
      </w:r>
      <w:r w:rsidR="00FE6CB7">
        <w:rPr>
          <w:szCs w:val="27"/>
        </w:rPr>
        <w:t xml:space="preserve">articulated in prior cases, we now clarify </w:t>
      </w:r>
      <w:r w:rsidR="00A246B2">
        <w:rPr>
          <w:szCs w:val="27"/>
        </w:rPr>
        <w:t xml:space="preserve">that </w:t>
      </w:r>
      <w:r w:rsidR="007D6369">
        <w:rPr>
          <w:szCs w:val="27"/>
        </w:rPr>
        <w:t xml:space="preserve">whether to </w:t>
      </w:r>
      <w:r w:rsidR="00B67445">
        <w:rPr>
          <w:szCs w:val="27"/>
        </w:rPr>
        <w:t xml:space="preserve">recognize </w:t>
      </w:r>
      <w:r w:rsidR="007D6369">
        <w:rPr>
          <w:szCs w:val="27"/>
        </w:rPr>
        <w:t xml:space="preserve">a duty </w:t>
      </w:r>
      <w:r w:rsidR="00F71823">
        <w:rPr>
          <w:szCs w:val="27"/>
        </w:rPr>
        <w:t xml:space="preserve">to protect </w:t>
      </w:r>
      <w:r w:rsidR="00F70616">
        <w:rPr>
          <w:szCs w:val="27"/>
        </w:rPr>
        <w:t xml:space="preserve">is governed by </w:t>
      </w:r>
      <w:r w:rsidR="003D6AEB">
        <w:rPr>
          <w:szCs w:val="27"/>
        </w:rPr>
        <w:t>a two-step inquiry</w:t>
      </w:r>
      <w:r w:rsidR="005808C8">
        <w:rPr>
          <w:szCs w:val="27"/>
        </w:rPr>
        <w:t>.  F</w:t>
      </w:r>
      <w:r w:rsidR="003D6AEB">
        <w:rPr>
          <w:szCs w:val="27"/>
        </w:rPr>
        <w:t xml:space="preserve">irst, the court must </w:t>
      </w:r>
      <w:r w:rsidR="002B4BA7">
        <w:rPr>
          <w:szCs w:val="27"/>
        </w:rPr>
        <w:t>determine</w:t>
      </w:r>
      <w:r w:rsidR="003D6AEB">
        <w:rPr>
          <w:szCs w:val="27"/>
        </w:rPr>
        <w:t xml:space="preserve"> whether there exists a special relationship </w:t>
      </w:r>
      <w:r w:rsidR="00DE1B6E">
        <w:rPr>
          <w:szCs w:val="27"/>
        </w:rPr>
        <w:t xml:space="preserve">between the parties </w:t>
      </w:r>
      <w:r w:rsidR="003D6AEB">
        <w:rPr>
          <w:szCs w:val="27"/>
        </w:rPr>
        <w:t xml:space="preserve">or </w:t>
      </w:r>
      <w:r w:rsidR="00DC4BE0">
        <w:rPr>
          <w:szCs w:val="27"/>
        </w:rPr>
        <w:t xml:space="preserve">some </w:t>
      </w:r>
      <w:r w:rsidR="003D6AEB">
        <w:rPr>
          <w:szCs w:val="27"/>
        </w:rPr>
        <w:t xml:space="preserve">other set of circumstances giving rise to an affirmative duty to </w:t>
      </w:r>
      <w:r w:rsidR="00505B75">
        <w:rPr>
          <w:szCs w:val="27"/>
        </w:rPr>
        <w:t>protect</w:t>
      </w:r>
      <w:r w:rsidR="003D6AEB">
        <w:rPr>
          <w:szCs w:val="27"/>
        </w:rPr>
        <w:t xml:space="preserve">.  </w:t>
      </w:r>
      <w:r w:rsidR="005808C8">
        <w:rPr>
          <w:szCs w:val="27"/>
        </w:rPr>
        <w:t>Second, i</w:t>
      </w:r>
      <w:r w:rsidR="00CC4D89">
        <w:rPr>
          <w:szCs w:val="27"/>
        </w:rPr>
        <w:t xml:space="preserve">f so, the court must consult the factors described in </w:t>
      </w:r>
      <w:r w:rsidR="00CC4D89">
        <w:rPr>
          <w:i/>
          <w:iCs/>
          <w:szCs w:val="27"/>
        </w:rPr>
        <w:t>Rowland</w:t>
      </w:r>
      <w:r w:rsidR="00CC4D89">
        <w:rPr>
          <w:szCs w:val="27"/>
        </w:rPr>
        <w:t xml:space="preserve"> to determine whether </w:t>
      </w:r>
      <w:r w:rsidR="007C4BE2">
        <w:rPr>
          <w:szCs w:val="27"/>
        </w:rPr>
        <w:t xml:space="preserve">relevant </w:t>
      </w:r>
      <w:r w:rsidR="00442481">
        <w:rPr>
          <w:szCs w:val="27"/>
        </w:rPr>
        <w:t xml:space="preserve">policy considerations </w:t>
      </w:r>
      <w:r w:rsidR="007C4BE2">
        <w:rPr>
          <w:szCs w:val="27"/>
        </w:rPr>
        <w:t xml:space="preserve">counsel </w:t>
      </w:r>
      <w:r w:rsidR="00442481">
        <w:rPr>
          <w:szCs w:val="27"/>
        </w:rPr>
        <w:t xml:space="preserve">limiting </w:t>
      </w:r>
      <w:r w:rsidR="00CC4D89">
        <w:rPr>
          <w:szCs w:val="27"/>
        </w:rPr>
        <w:t>th</w:t>
      </w:r>
      <w:r w:rsidR="009E7B88">
        <w:rPr>
          <w:szCs w:val="27"/>
        </w:rPr>
        <w:t>at duty</w:t>
      </w:r>
      <w:r w:rsidR="00442481">
        <w:rPr>
          <w:szCs w:val="27"/>
        </w:rPr>
        <w:t xml:space="preserve">.  </w:t>
      </w:r>
      <w:r w:rsidR="004D405A">
        <w:rPr>
          <w:szCs w:val="27"/>
        </w:rPr>
        <w:t xml:space="preserve">Because the Court of Appeal </w:t>
      </w:r>
      <w:r w:rsidR="0038486F">
        <w:rPr>
          <w:szCs w:val="27"/>
        </w:rPr>
        <w:t xml:space="preserve">in this case </w:t>
      </w:r>
      <w:r w:rsidR="004D405A">
        <w:rPr>
          <w:szCs w:val="27"/>
        </w:rPr>
        <w:t xml:space="preserve">employed the correct framework </w:t>
      </w:r>
      <w:r w:rsidR="007C4BE2">
        <w:rPr>
          <w:szCs w:val="27"/>
        </w:rPr>
        <w:t>for decision</w:t>
      </w:r>
      <w:r w:rsidR="004D405A">
        <w:rPr>
          <w:szCs w:val="27"/>
        </w:rPr>
        <w:t>, we affirm its judgment and remand for further proceedings.</w:t>
      </w:r>
      <w:r w:rsidR="004D405A">
        <w:rPr>
          <w:szCs w:val="27"/>
        </w:rPr>
        <w:t xml:space="preserve"> </w:t>
      </w:r>
      <w:bookmarkEnd w:id="7"/>
      <w:bookmarkEnd w:id="8"/>
    </w:p>
    <w:bookmarkEnd w:id="9"/>
    <w:p w:rsidR="00ED1700" w:rsidRPr="00E21073" w:rsidP="002A2DBD" w14:paraId="530D2AEA" w14:textId="77777777">
      <w:pPr>
        <w:pStyle w:val="Heading1"/>
        <w:spacing w:line="400" w:lineRule="exact"/>
        <w:rPr>
          <w:szCs w:val="27"/>
        </w:rPr>
      </w:pPr>
      <w:r w:rsidRPr="00E21073">
        <w:rPr>
          <w:szCs w:val="27"/>
        </w:rPr>
        <w:t>I.</w:t>
      </w:r>
      <w:bookmarkStart w:id="11" w:name="_Hlk15394496"/>
    </w:p>
    <w:p w:rsidR="007D26D2" w:rsidRPr="00DF68CD" w:rsidP="0036306D" w14:paraId="4DF05803" w14:textId="00E25515">
      <w:pPr>
        <w:ind w:firstLine="720"/>
        <w:rPr>
          <w:iCs/>
          <w:szCs w:val="26"/>
        </w:rPr>
      </w:pPr>
      <w:r>
        <w:rPr>
          <w:iCs/>
          <w:szCs w:val="26"/>
        </w:rPr>
        <w:t xml:space="preserve">This case comes to us at the demurrer stage, so for present purposes we assume the truth of the allegations in the complaint.  </w:t>
      </w:r>
      <w:r>
        <w:rPr>
          <w:szCs w:val="26"/>
        </w:rPr>
        <w:t>(</w:t>
      </w:r>
      <w:r w:rsidRPr="00924587">
        <w:rPr>
          <w:i/>
          <w:szCs w:val="26"/>
        </w:rPr>
        <w:t>Southern California Gas Leak Cases</w:t>
      </w:r>
      <w:r w:rsidRPr="00924587">
        <w:rPr>
          <w:szCs w:val="26"/>
        </w:rPr>
        <w:t xml:space="preserve"> (2019) 7 Cal.5th 391, 395 </w:t>
      </w:r>
      <w:r>
        <w:rPr>
          <w:szCs w:val="26"/>
        </w:rPr>
        <w:t>(</w:t>
      </w:r>
      <w:r>
        <w:rPr>
          <w:i/>
          <w:szCs w:val="26"/>
        </w:rPr>
        <w:t>Gas Leak Cases</w:t>
      </w:r>
      <w:r>
        <w:rPr>
          <w:szCs w:val="26"/>
        </w:rPr>
        <w:t>).)</w:t>
      </w:r>
      <w:r>
        <w:rPr>
          <w:iCs/>
          <w:szCs w:val="26"/>
        </w:rPr>
        <w:t xml:space="preserve">  As teenagers, plaintiffs Yazmin Brown, Kendra Gatt, and Brianna Bordon trained in the Olympic sport of taekwondo.  They traveled to compete at various events in California and throughout the country with their coach, Marc Gitelman.  Gitelman took advantage of these opportunities to sexually abuse the young athletes.  This went on for years until the sponsor of these competitions, USA Taekwondo (USAT), banned Gitelman from coaching.  Gitelman was ultimately convicted of multiple felonies for the sexual abuse of </w:t>
      </w:r>
      <w:r w:rsidR="00E93C05">
        <w:rPr>
          <w:iCs/>
          <w:szCs w:val="26"/>
        </w:rPr>
        <w:t xml:space="preserve">the </w:t>
      </w:r>
      <w:r w:rsidR="00B126EE">
        <w:rPr>
          <w:iCs/>
          <w:szCs w:val="26"/>
        </w:rPr>
        <w:t>minor athletes he trained</w:t>
      </w:r>
      <w:r>
        <w:rPr>
          <w:iCs/>
          <w:szCs w:val="26"/>
        </w:rPr>
        <w:t xml:space="preserve">.  </w:t>
      </w:r>
    </w:p>
    <w:p w:rsidR="007D26D2" w:rsidP="0036306D" w14:paraId="186D5292" w14:textId="35AED413">
      <w:pPr>
        <w:ind w:firstLine="720"/>
        <w:rPr>
          <w:iCs/>
          <w:szCs w:val="26"/>
        </w:rPr>
      </w:pPr>
      <w:r>
        <w:rPr>
          <w:iCs/>
          <w:szCs w:val="26"/>
        </w:rPr>
        <w:t xml:space="preserve">Plaintiffs (to whom we will generally refer as Brown) filed this civil suit against Gitelman and </w:t>
      </w:r>
      <w:r w:rsidRPr="00F944D4" w:rsidR="00A0476F">
        <w:rPr>
          <w:iCs/>
          <w:szCs w:val="26"/>
        </w:rPr>
        <w:t>several</w:t>
      </w:r>
      <w:r w:rsidR="00A0476F">
        <w:rPr>
          <w:iCs/>
          <w:szCs w:val="26"/>
        </w:rPr>
        <w:t xml:space="preserve"> </w:t>
      </w:r>
      <w:r>
        <w:rPr>
          <w:iCs/>
          <w:szCs w:val="26"/>
        </w:rPr>
        <w:t xml:space="preserve">others, including </w:t>
      </w:r>
      <w:r w:rsidR="00A0476F">
        <w:rPr>
          <w:iCs/>
          <w:szCs w:val="26"/>
        </w:rPr>
        <w:t xml:space="preserve">respondents </w:t>
      </w:r>
      <w:r>
        <w:rPr>
          <w:iCs/>
          <w:szCs w:val="26"/>
        </w:rPr>
        <w:t>USAT and the United States Olympic Committee (USOC).</w:t>
      </w:r>
      <w:r>
        <w:rPr>
          <w:rStyle w:val="FootnoteReference"/>
          <w:iCs/>
          <w:szCs w:val="26"/>
        </w:rPr>
        <w:footnoteReference w:id="3"/>
      </w:r>
      <w:r w:rsidR="00885E0C">
        <w:rPr>
          <w:iCs/>
          <w:szCs w:val="26"/>
        </w:rPr>
        <w:t xml:space="preserve">  </w:t>
      </w:r>
      <w:r>
        <w:rPr>
          <w:iCs/>
          <w:szCs w:val="26"/>
        </w:rPr>
        <w:t>USOC is a federally chartered nonprofit corporation whose central function is to coordinate amateur sports throughout the country for athletes hoping to one day compete in the Olympics.  (See 36 U.S.C.</w:t>
      </w:r>
      <w:r w:rsidRPr="00AE5BCF">
        <w:rPr>
          <w:iCs/>
          <w:szCs w:val="26"/>
        </w:rPr>
        <w:t xml:space="preserve"> §</w:t>
      </w:r>
      <w:r>
        <w:rPr>
          <w:iCs/>
          <w:szCs w:val="26"/>
        </w:rPr>
        <w:t> </w:t>
      </w:r>
      <w:r w:rsidRPr="00AE5BCF">
        <w:rPr>
          <w:iCs/>
          <w:szCs w:val="26"/>
        </w:rPr>
        <w:t>2205</w:t>
      </w:r>
      <w:r>
        <w:rPr>
          <w:iCs/>
          <w:szCs w:val="26"/>
        </w:rPr>
        <w:t>05(c)(1).)  In this rol</w:t>
      </w:r>
      <w:r w:rsidRPr="00D050E4">
        <w:rPr>
          <w:iCs/>
          <w:szCs w:val="26"/>
        </w:rPr>
        <w:t xml:space="preserve">e, USOC certifies </w:t>
      </w:r>
      <w:r>
        <w:rPr>
          <w:iCs/>
          <w:szCs w:val="26"/>
        </w:rPr>
        <w:t xml:space="preserve">and oversees each sport’s </w:t>
      </w:r>
      <w:r w:rsidRPr="00D050E4">
        <w:rPr>
          <w:iCs/>
          <w:szCs w:val="26"/>
        </w:rPr>
        <w:t>national governing bod</w:t>
      </w:r>
      <w:r>
        <w:rPr>
          <w:iCs/>
          <w:szCs w:val="26"/>
        </w:rPr>
        <w:t xml:space="preserve">y, the entity </w:t>
      </w:r>
      <w:r w:rsidRPr="00D050E4">
        <w:rPr>
          <w:iCs/>
          <w:szCs w:val="26"/>
        </w:rPr>
        <w:t>responsible for conducting and administering</w:t>
      </w:r>
      <w:r>
        <w:rPr>
          <w:iCs/>
          <w:szCs w:val="26"/>
        </w:rPr>
        <w:t xml:space="preserve"> the sport in the United States.  USAT is the national governing body for the sport of taekwondo.  If an athlete wishes to compete in taekwondo at the Olympics or in any other USAT-sponsored competition (as Brown and the other plaintiffs did), </w:t>
      </w:r>
      <w:r w:rsidR="00004C88">
        <w:rPr>
          <w:iCs/>
          <w:szCs w:val="26"/>
        </w:rPr>
        <w:t xml:space="preserve">the athlete </w:t>
      </w:r>
      <w:r>
        <w:rPr>
          <w:iCs/>
          <w:szCs w:val="26"/>
        </w:rPr>
        <w:t>must be</w:t>
      </w:r>
      <w:r w:rsidR="001904D8">
        <w:rPr>
          <w:iCs/>
          <w:szCs w:val="26"/>
        </w:rPr>
        <w:t>come</w:t>
      </w:r>
      <w:r>
        <w:rPr>
          <w:iCs/>
          <w:szCs w:val="26"/>
        </w:rPr>
        <w:t xml:space="preserve"> a member of USAT and train under a USAT-registered coach (as Gitelman was before USAT banned him).</w:t>
      </w:r>
    </w:p>
    <w:p w:rsidR="007D26D2" w:rsidP="0036306D" w14:paraId="35055899" w14:textId="6D62444B">
      <w:pPr>
        <w:ind w:firstLine="720"/>
        <w:rPr>
          <w:iCs/>
          <w:szCs w:val="26"/>
        </w:rPr>
      </w:pPr>
      <w:r>
        <w:rPr>
          <w:iCs/>
          <w:szCs w:val="26"/>
        </w:rPr>
        <w:t>As relevant here</w:t>
      </w:r>
      <w:r w:rsidR="00344983">
        <w:rPr>
          <w:iCs/>
          <w:szCs w:val="26"/>
        </w:rPr>
        <w:t xml:space="preserve">, Brown alleged that USOC and USAT were negligent in failing to protect </w:t>
      </w:r>
      <w:r w:rsidR="00DB0D00">
        <w:rPr>
          <w:iCs/>
          <w:szCs w:val="26"/>
        </w:rPr>
        <w:t xml:space="preserve">her </w:t>
      </w:r>
      <w:r w:rsidR="00344983">
        <w:rPr>
          <w:iCs/>
          <w:szCs w:val="26"/>
        </w:rPr>
        <w:t>from Gitelman’s abuse.</w:t>
      </w:r>
      <w:r>
        <w:rPr>
          <w:rStyle w:val="FootnoteReference"/>
          <w:iCs/>
          <w:szCs w:val="26"/>
        </w:rPr>
        <w:footnoteReference w:id="4"/>
      </w:r>
      <w:r w:rsidR="00441FBD">
        <w:rPr>
          <w:iCs/>
          <w:szCs w:val="26"/>
        </w:rPr>
        <w:t xml:space="preserve">  </w:t>
      </w:r>
      <w:r w:rsidR="005319B3">
        <w:rPr>
          <w:iCs/>
          <w:szCs w:val="26"/>
        </w:rPr>
        <w:t xml:space="preserve">Brown </w:t>
      </w:r>
      <w:r>
        <w:rPr>
          <w:iCs/>
          <w:szCs w:val="26"/>
        </w:rPr>
        <w:t>emphasize</w:t>
      </w:r>
      <w:r w:rsidR="007745E7">
        <w:rPr>
          <w:iCs/>
          <w:szCs w:val="26"/>
        </w:rPr>
        <w:t>d</w:t>
      </w:r>
      <w:r>
        <w:rPr>
          <w:iCs/>
          <w:szCs w:val="26"/>
        </w:rPr>
        <w:t xml:space="preserve"> that the sexual abuse of young athletes was a known problem; Gitelman’s abuse came on the heels of a series of similar instances of abuse of minors by their coaches dating back to the 1980</w:t>
      </w:r>
      <w:r w:rsidR="007D26DE">
        <w:rPr>
          <w:iCs/>
          <w:szCs w:val="26"/>
        </w:rPr>
        <w:t>’</w:t>
      </w:r>
      <w:r>
        <w:rPr>
          <w:iCs/>
          <w:szCs w:val="26"/>
        </w:rPr>
        <w:t xml:space="preserve">s. </w:t>
      </w:r>
      <w:r w:rsidR="00F74E74">
        <w:rPr>
          <w:iCs/>
          <w:szCs w:val="26"/>
        </w:rPr>
        <w:t xml:space="preserve"> </w:t>
      </w:r>
      <w:r>
        <w:rPr>
          <w:iCs/>
          <w:szCs w:val="26"/>
        </w:rPr>
        <w:t xml:space="preserve">In the wake of these incidents, USOC mandated that national governing bodies adopt a Safe Sport Program to protect athletes from such abuse.  </w:t>
      </w:r>
      <w:r w:rsidR="00910B3E">
        <w:rPr>
          <w:iCs/>
          <w:szCs w:val="26"/>
        </w:rPr>
        <w:t>Brown allege</w:t>
      </w:r>
      <w:r w:rsidR="007745E7">
        <w:rPr>
          <w:iCs/>
          <w:szCs w:val="26"/>
        </w:rPr>
        <w:t>d</w:t>
      </w:r>
      <w:r w:rsidR="00910B3E">
        <w:rPr>
          <w:iCs/>
          <w:szCs w:val="26"/>
        </w:rPr>
        <w:t xml:space="preserve"> that </w:t>
      </w:r>
      <w:r>
        <w:rPr>
          <w:iCs/>
          <w:szCs w:val="26"/>
        </w:rPr>
        <w:t>USAT failed to implement the program in a timely fashion</w:t>
      </w:r>
      <w:r w:rsidR="00910B3E">
        <w:rPr>
          <w:iCs/>
          <w:szCs w:val="26"/>
        </w:rPr>
        <w:t xml:space="preserve"> — a fact known to </w:t>
      </w:r>
      <w:r>
        <w:rPr>
          <w:iCs/>
          <w:szCs w:val="26"/>
        </w:rPr>
        <w:t>USOC</w:t>
      </w:r>
      <w:r w:rsidR="00910B3E">
        <w:rPr>
          <w:iCs/>
          <w:szCs w:val="26"/>
        </w:rPr>
        <w:t xml:space="preserve">, which </w:t>
      </w:r>
      <w:r>
        <w:rPr>
          <w:iCs/>
          <w:szCs w:val="26"/>
        </w:rPr>
        <w:t xml:space="preserve">placed </w:t>
      </w:r>
      <w:r w:rsidR="00910B3E">
        <w:rPr>
          <w:iCs/>
          <w:szCs w:val="26"/>
        </w:rPr>
        <w:t xml:space="preserve">USAT </w:t>
      </w:r>
      <w:r>
        <w:rPr>
          <w:iCs/>
          <w:szCs w:val="26"/>
        </w:rPr>
        <w:t>on probation as a result.  Brown further allege</w:t>
      </w:r>
      <w:r w:rsidR="007745E7">
        <w:rPr>
          <w:iCs/>
          <w:szCs w:val="26"/>
        </w:rPr>
        <w:t>d</w:t>
      </w:r>
      <w:r>
        <w:rPr>
          <w:iCs/>
          <w:szCs w:val="26"/>
        </w:rPr>
        <w:t xml:space="preserve"> that USAT took insufficient steps to protect Gitelman’s victims once it was made aware of her allegations:  USAT temporarily suspended Gitelman</w:t>
      </w:r>
      <w:r w:rsidR="00DD69C1">
        <w:rPr>
          <w:iCs/>
          <w:szCs w:val="26"/>
        </w:rPr>
        <w:t>,</w:t>
      </w:r>
      <w:r>
        <w:rPr>
          <w:iCs/>
          <w:szCs w:val="26"/>
        </w:rPr>
        <w:t xml:space="preserve"> but </w:t>
      </w:r>
      <w:r w:rsidR="009677DB">
        <w:rPr>
          <w:iCs/>
          <w:szCs w:val="26"/>
        </w:rPr>
        <w:t xml:space="preserve">nevertheless </w:t>
      </w:r>
      <w:r>
        <w:rPr>
          <w:iCs/>
          <w:szCs w:val="26"/>
        </w:rPr>
        <w:t xml:space="preserve">permitted him to continue coaching at USAT competitions for several months before ultimately placing him on its list of banned coaches.  </w:t>
      </w:r>
    </w:p>
    <w:p w:rsidR="007D26D2" w:rsidP="0036306D" w14:paraId="2924A9D8" w14:textId="5D7001D5">
      <w:pPr>
        <w:ind w:firstLine="720"/>
        <w:rPr>
          <w:iCs/>
          <w:szCs w:val="26"/>
        </w:rPr>
      </w:pPr>
      <w:r>
        <w:rPr>
          <w:iCs/>
          <w:szCs w:val="26"/>
        </w:rPr>
        <w:t>USOC and USAT both demurred to the complaint</w:t>
      </w:r>
      <w:r w:rsidR="007745E7">
        <w:rPr>
          <w:iCs/>
          <w:szCs w:val="26"/>
        </w:rPr>
        <w:t xml:space="preserve">.  As relevant here, they argued </w:t>
      </w:r>
      <w:r>
        <w:rPr>
          <w:iCs/>
          <w:szCs w:val="26"/>
        </w:rPr>
        <w:t xml:space="preserve">Brown had </w:t>
      </w:r>
      <w:r w:rsidR="004870B0">
        <w:rPr>
          <w:iCs/>
          <w:szCs w:val="26"/>
        </w:rPr>
        <w:t xml:space="preserve">not adequately </w:t>
      </w:r>
      <w:r>
        <w:rPr>
          <w:iCs/>
          <w:szCs w:val="26"/>
        </w:rPr>
        <w:t>allege</w:t>
      </w:r>
      <w:r w:rsidR="004870B0">
        <w:rPr>
          <w:iCs/>
          <w:szCs w:val="26"/>
        </w:rPr>
        <w:t>d</w:t>
      </w:r>
      <w:r>
        <w:rPr>
          <w:iCs/>
          <w:szCs w:val="26"/>
        </w:rPr>
        <w:t xml:space="preserve"> they had a</w:t>
      </w:r>
      <w:r w:rsidR="00DB3AD0">
        <w:rPr>
          <w:iCs/>
          <w:szCs w:val="26"/>
        </w:rPr>
        <w:t>n affirmative</w:t>
      </w:r>
      <w:r>
        <w:rPr>
          <w:iCs/>
          <w:szCs w:val="26"/>
        </w:rPr>
        <w:t xml:space="preserve"> duty to </w:t>
      </w:r>
      <w:r w:rsidR="00A56BC7">
        <w:rPr>
          <w:iCs/>
          <w:szCs w:val="26"/>
        </w:rPr>
        <w:t xml:space="preserve">take action to </w:t>
      </w:r>
      <w:r>
        <w:rPr>
          <w:iCs/>
          <w:szCs w:val="26"/>
        </w:rPr>
        <w:t>protect her and the other plaintiffs from Gitelman’s abuse.  The trial court sustained both demurrers without leave to amend and entered judgment</w:t>
      </w:r>
      <w:r w:rsidR="00F010D8">
        <w:rPr>
          <w:iCs/>
          <w:szCs w:val="26"/>
        </w:rPr>
        <w:t>s of dismissal</w:t>
      </w:r>
      <w:r>
        <w:rPr>
          <w:iCs/>
          <w:szCs w:val="26"/>
        </w:rPr>
        <w:t>.</w:t>
      </w:r>
    </w:p>
    <w:p w:rsidR="007D26D2" w:rsidP="0036306D" w14:paraId="7E948926" w14:textId="2D034390">
      <w:pPr>
        <w:ind w:firstLine="720"/>
        <w:rPr>
          <w:iCs/>
          <w:szCs w:val="26"/>
        </w:rPr>
      </w:pPr>
      <w:r>
        <w:rPr>
          <w:iCs/>
          <w:szCs w:val="26"/>
        </w:rPr>
        <w:t xml:space="preserve">Brown appealed.  </w:t>
      </w:r>
      <w:r w:rsidR="00624B68">
        <w:rPr>
          <w:iCs/>
          <w:szCs w:val="26"/>
        </w:rPr>
        <w:t xml:space="preserve">The </w:t>
      </w:r>
      <w:r>
        <w:rPr>
          <w:iCs/>
          <w:szCs w:val="26"/>
        </w:rPr>
        <w:t xml:space="preserve">Court of Appeal reversed the judgment </w:t>
      </w:r>
      <w:r w:rsidR="00FE3101">
        <w:rPr>
          <w:iCs/>
          <w:szCs w:val="26"/>
        </w:rPr>
        <w:t xml:space="preserve">dismissing </w:t>
      </w:r>
      <w:r>
        <w:rPr>
          <w:iCs/>
          <w:szCs w:val="26"/>
        </w:rPr>
        <w:t>USAT but affirmed as to USOC.  (</w:t>
      </w:r>
      <w:r w:rsidRPr="00E94767">
        <w:rPr>
          <w:i/>
          <w:iCs/>
          <w:szCs w:val="26"/>
        </w:rPr>
        <w:t xml:space="preserve">Brown v. USA Taekwondo </w:t>
      </w:r>
      <w:r w:rsidRPr="00E94767">
        <w:rPr>
          <w:iCs/>
          <w:szCs w:val="26"/>
        </w:rPr>
        <w:t>(2019) 40 Cal.App.5th 1077, 1083</w:t>
      </w:r>
      <w:r>
        <w:rPr>
          <w:iCs/>
          <w:szCs w:val="26"/>
        </w:rPr>
        <w:t xml:space="preserve"> (</w:t>
      </w:r>
      <w:r>
        <w:rPr>
          <w:i/>
          <w:iCs/>
          <w:szCs w:val="26"/>
        </w:rPr>
        <w:t>Brown</w:t>
      </w:r>
      <w:r>
        <w:rPr>
          <w:iCs/>
          <w:szCs w:val="26"/>
        </w:rPr>
        <w:t>).)  In determining whether Brown had adequately alleged each defendant had a legal duty to protect plaintiffs from Gitelman’s abuse, the court employed a two-part framework.  As a general rule, the court explained, “ </w:t>
      </w:r>
      <w:r w:rsidRPr="007426E4">
        <w:rPr>
          <w:iCs/>
          <w:szCs w:val="26"/>
        </w:rPr>
        <w:t>‘</w:t>
      </w:r>
      <w:r>
        <w:rPr>
          <w:iCs/>
          <w:szCs w:val="26"/>
        </w:rPr>
        <w:t> “</w:t>
      </w:r>
      <w:r w:rsidRPr="007426E4">
        <w:rPr>
          <w:iCs/>
          <w:szCs w:val="26"/>
        </w:rPr>
        <w:t>one owes no duty to control the conduct of another, nor to warn those endangered by such conduct</w:t>
      </w:r>
      <w:r>
        <w:rPr>
          <w:iCs/>
          <w:szCs w:val="26"/>
        </w:rPr>
        <w:t>.” </w:t>
      </w:r>
      <w:r w:rsidRPr="007426E4">
        <w:rPr>
          <w:iCs/>
          <w:szCs w:val="26"/>
        </w:rPr>
        <w:t>’</w:t>
      </w:r>
      <w:r>
        <w:rPr>
          <w:iCs/>
          <w:szCs w:val="26"/>
        </w:rPr>
        <w:t xml:space="preserve"> ”  </w:t>
      </w:r>
      <w:r w:rsidRPr="007426E4">
        <w:rPr>
          <w:iCs/>
          <w:szCs w:val="26"/>
        </w:rPr>
        <w:t>(</w:t>
      </w:r>
      <w:r>
        <w:rPr>
          <w:i/>
          <w:iCs/>
          <w:szCs w:val="26"/>
        </w:rPr>
        <w:t>Id.</w:t>
      </w:r>
      <w:r>
        <w:rPr>
          <w:iCs/>
          <w:szCs w:val="26"/>
        </w:rPr>
        <w:t xml:space="preserve"> at p. 1091, quoting </w:t>
      </w:r>
      <w:r w:rsidRPr="007426E4">
        <w:rPr>
          <w:i/>
          <w:iCs/>
          <w:szCs w:val="26"/>
        </w:rPr>
        <w:t>Regents of University of California v. Superior Court</w:t>
      </w:r>
      <w:r w:rsidRPr="007426E4">
        <w:rPr>
          <w:iCs/>
          <w:szCs w:val="26"/>
        </w:rPr>
        <w:t xml:space="preserve"> (2018) 4 Cal.5th 607, 61</w:t>
      </w:r>
      <w:r>
        <w:rPr>
          <w:iCs/>
          <w:szCs w:val="26"/>
        </w:rPr>
        <w:t xml:space="preserve">9 </w:t>
      </w:r>
      <w:r w:rsidRPr="007426E4">
        <w:rPr>
          <w:iCs/>
          <w:szCs w:val="26"/>
        </w:rPr>
        <w:t>(</w:t>
      </w:r>
      <w:r w:rsidRPr="007426E4">
        <w:rPr>
          <w:i/>
          <w:iCs/>
          <w:szCs w:val="26"/>
        </w:rPr>
        <w:t>Regents</w:t>
      </w:r>
      <w:r w:rsidRPr="007426E4">
        <w:rPr>
          <w:iCs/>
          <w:szCs w:val="26"/>
        </w:rPr>
        <w:t>)</w:t>
      </w:r>
      <w:r>
        <w:rPr>
          <w:iCs/>
          <w:szCs w:val="26"/>
        </w:rPr>
        <w:t xml:space="preserve">.)  An exception to this no-duty-to-protect rule exists for cases in which the </w:t>
      </w:r>
      <w:r w:rsidRPr="00105946">
        <w:rPr>
          <w:iCs/>
          <w:szCs w:val="26"/>
        </w:rPr>
        <w:t xml:space="preserve">defendant has a special relationship with </w:t>
      </w:r>
      <w:r>
        <w:rPr>
          <w:iCs/>
          <w:szCs w:val="26"/>
        </w:rPr>
        <w:t xml:space="preserve">either the dangerous third party or with </w:t>
      </w:r>
      <w:r w:rsidRPr="007E2D71">
        <w:rPr>
          <w:iCs/>
          <w:szCs w:val="26"/>
        </w:rPr>
        <w:t>the victim</w:t>
      </w:r>
      <w:r>
        <w:rPr>
          <w:iCs/>
          <w:szCs w:val="26"/>
        </w:rPr>
        <w:t>.  (</w:t>
      </w:r>
      <w:r w:rsidRPr="00567136">
        <w:rPr>
          <w:i/>
          <w:szCs w:val="26"/>
        </w:rPr>
        <w:t>Brown</w:t>
      </w:r>
      <w:r>
        <w:rPr>
          <w:iCs/>
          <w:szCs w:val="26"/>
        </w:rPr>
        <w:t>, at p. 1091</w:t>
      </w:r>
      <w:r>
        <w:rPr>
          <w:i/>
          <w:szCs w:val="26"/>
        </w:rPr>
        <w:t>.</w:t>
      </w:r>
      <w:r>
        <w:rPr>
          <w:iCs/>
          <w:szCs w:val="26"/>
        </w:rPr>
        <w:t xml:space="preserve">)  </w:t>
      </w:r>
      <w:r w:rsidRPr="001011FD">
        <w:rPr>
          <w:iCs/>
          <w:szCs w:val="26"/>
        </w:rPr>
        <w:t>But</w:t>
      </w:r>
      <w:r>
        <w:rPr>
          <w:iCs/>
          <w:szCs w:val="26"/>
        </w:rPr>
        <w:t xml:space="preserve"> even when the so-called special relationship exception applies, the policy considerations described in </w:t>
      </w:r>
      <w:r>
        <w:rPr>
          <w:i/>
          <w:iCs/>
          <w:szCs w:val="26"/>
        </w:rPr>
        <w:t>Rowland</w:t>
      </w:r>
      <w:r>
        <w:rPr>
          <w:szCs w:val="26"/>
        </w:rPr>
        <w:t>,</w:t>
      </w:r>
      <w:r>
        <w:rPr>
          <w:iCs/>
          <w:szCs w:val="26"/>
        </w:rPr>
        <w:t xml:space="preserve"> </w:t>
      </w:r>
      <w:r>
        <w:rPr>
          <w:i/>
          <w:iCs/>
          <w:szCs w:val="26"/>
        </w:rPr>
        <w:t>supra</w:t>
      </w:r>
      <w:r>
        <w:rPr>
          <w:iCs/>
          <w:szCs w:val="26"/>
        </w:rPr>
        <w:t xml:space="preserve">, </w:t>
      </w:r>
      <w:r w:rsidRPr="005F54B4">
        <w:rPr>
          <w:iCs/>
          <w:szCs w:val="26"/>
        </w:rPr>
        <w:t>69 Cal.2d 108</w:t>
      </w:r>
      <w:r>
        <w:rPr>
          <w:iCs/>
          <w:szCs w:val="26"/>
        </w:rPr>
        <w:t>, may weigh against imposing a duty to protect in a given case.</w:t>
      </w:r>
      <w:r>
        <w:rPr>
          <w:rStyle w:val="FootnoteReference"/>
          <w:iCs/>
          <w:szCs w:val="26"/>
        </w:rPr>
        <w:footnoteReference w:id="5"/>
      </w:r>
      <w:r>
        <w:rPr>
          <w:iCs/>
          <w:szCs w:val="26"/>
        </w:rPr>
        <w:t xml:space="preserve">  (</w:t>
      </w:r>
      <w:r>
        <w:rPr>
          <w:i/>
          <w:iCs/>
          <w:szCs w:val="26"/>
        </w:rPr>
        <w:t>Brown</w:t>
      </w:r>
      <w:r>
        <w:rPr>
          <w:iCs/>
          <w:szCs w:val="26"/>
        </w:rPr>
        <w:t xml:space="preserve">, at p. 1092.)  The court thus asked, first, whether Brown had adequately alleged a special relationship between the parties that gave rise to a legal duty to protect, and second, whether the </w:t>
      </w:r>
      <w:r>
        <w:rPr>
          <w:i/>
          <w:szCs w:val="26"/>
        </w:rPr>
        <w:t>Rowland</w:t>
      </w:r>
      <w:r>
        <w:rPr>
          <w:iCs/>
          <w:szCs w:val="26"/>
        </w:rPr>
        <w:t xml:space="preserve"> factors weighed in favor of limiting or eliminating this duty.</w:t>
      </w:r>
    </w:p>
    <w:p w:rsidR="007D26D2" w:rsidP="0036306D" w14:paraId="235E7429" w14:textId="584F2FE5">
      <w:pPr>
        <w:ind w:firstLine="720"/>
        <w:rPr>
          <w:iCs/>
          <w:szCs w:val="26"/>
        </w:rPr>
      </w:pPr>
      <w:r>
        <w:rPr>
          <w:iCs/>
          <w:szCs w:val="26"/>
        </w:rPr>
        <w:t xml:space="preserve">Applying this framework, the Court of Appeal concluded that Brown </w:t>
      </w:r>
      <w:r w:rsidR="00B54D1F">
        <w:rPr>
          <w:iCs/>
          <w:szCs w:val="26"/>
        </w:rPr>
        <w:t xml:space="preserve">had </w:t>
      </w:r>
      <w:r>
        <w:rPr>
          <w:iCs/>
          <w:szCs w:val="26"/>
        </w:rPr>
        <w:t xml:space="preserve">adequately alleged that USAT owed a duty to protect her from Gitelman.  </w:t>
      </w:r>
      <w:r w:rsidR="00E90797">
        <w:rPr>
          <w:iCs/>
          <w:szCs w:val="26"/>
        </w:rPr>
        <w:t>T</w:t>
      </w:r>
      <w:r>
        <w:rPr>
          <w:iCs/>
          <w:szCs w:val="26"/>
        </w:rPr>
        <w:t xml:space="preserve">he court </w:t>
      </w:r>
      <w:r w:rsidR="00E90797">
        <w:rPr>
          <w:iCs/>
          <w:szCs w:val="26"/>
        </w:rPr>
        <w:t xml:space="preserve">first </w:t>
      </w:r>
      <w:r>
        <w:rPr>
          <w:iCs/>
          <w:szCs w:val="26"/>
        </w:rPr>
        <w:t>concluded</w:t>
      </w:r>
      <w:r w:rsidR="00E90797">
        <w:rPr>
          <w:iCs/>
          <w:szCs w:val="26"/>
        </w:rPr>
        <w:t xml:space="preserve"> </w:t>
      </w:r>
      <w:r>
        <w:rPr>
          <w:iCs/>
          <w:szCs w:val="26"/>
        </w:rPr>
        <w:t xml:space="preserve">Brown </w:t>
      </w:r>
      <w:r w:rsidR="00CF05F1">
        <w:rPr>
          <w:iCs/>
          <w:szCs w:val="26"/>
        </w:rPr>
        <w:t xml:space="preserve">had </w:t>
      </w:r>
      <w:r>
        <w:rPr>
          <w:iCs/>
          <w:szCs w:val="26"/>
        </w:rPr>
        <w:t>sufficiently alleged a special relationship between USAT and Gitelman that enabled USAT to control Gitelman’s actions, as demonstrated by the fact that USAT had registered him as a coach, took disciplinary action against him, and ultimately barred him from coaching.  (</w:t>
      </w:r>
      <w:r w:rsidRPr="007E435B">
        <w:rPr>
          <w:i/>
          <w:szCs w:val="26"/>
        </w:rPr>
        <w:t>Brown</w:t>
      </w:r>
      <w:r>
        <w:rPr>
          <w:iCs/>
          <w:szCs w:val="26"/>
        </w:rPr>
        <w:t xml:space="preserve">, </w:t>
      </w:r>
      <w:r w:rsidRPr="007E435B">
        <w:rPr>
          <w:i/>
          <w:szCs w:val="26"/>
        </w:rPr>
        <w:t>supra</w:t>
      </w:r>
      <w:r>
        <w:rPr>
          <w:iCs/>
          <w:szCs w:val="26"/>
        </w:rPr>
        <w:t xml:space="preserve">, 40 Cal.App.5th at pp. 1094–1095.)  </w:t>
      </w:r>
      <w:r w:rsidR="00B54D1F">
        <w:rPr>
          <w:iCs/>
          <w:szCs w:val="26"/>
        </w:rPr>
        <w:t>T</w:t>
      </w:r>
      <w:r>
        <w:rPr>
          <w:iCs/>
          <w:szCs w:val="26"/>
        </w:rPr>
        <w:t xml:space="preserve">he court </w:t>
      </w:r>
      <w:r w:rsidR="00B54D1F">
        <w:rPr>
          <w:iCs/>
          <w:szCs w:val="26"/>
        </w:rPr>
        <w:t xml:space="preserve">then </w:t>
      </w:r>
      <w:r>
        <w:rPr>
          <w:iCs/>
          <w:szCs w:val="26"/>
        </w:rPr>
        <w:t xml:space="preserve">went on to </w:t>
      </w:r>
      <w:r w:rsidR="00356E02">
        <w:rPr>
          <w:iCs/>
          <w:szCs w:val="26"/>
        </w:rPr>
        <w:t xml:space="preserve">consider </w:t>
      </w:r>
      <w:r>
        <w:rPr>
          <w:iCs/>
          <w:szCs w:val="26"/>
        </w:rPr>
        <w:t xml:space="preserve">whether the </w:t>
      </w:r>
      <w:r>
        <w:rPr>
          <w:i/>
          <w:iCs/>
          <w:szCs w:val="26"/>
        </w:rPr>
        <w:t>Rowland</w:t>
      </w:r>
      <w:r>
        <w:rPr>
          <w:iCs/>
          <w:szCs w:val="26"/>
        </w:rPr>
        <w:t xml:space="preserve"> factors counseled against imposing a duty on USAT, and </w:t>
      </w:r>
      <w:r w:rsidR="001A5D2C">
        <w:rPr>
          <w:iCs/>
          <w:szCs w:val="26"/>
        </w:rPr>
        <w:t>determined they did not</w:t>
      </w:r>
      <w:r>
        <w:rPr>
          <w:iCs/>
          <w:szCs w:val="26"/>
        </w:rPr>
        <w:t>.  (</w:t>
      </w:r>
      <w:r>
        <w:rPr>
          <w:i/>
          <w:iCs/>
          <w:szCs w:val="26"/>
        </w:rPr>
        <w:t>Id.</w:t>
      </w:r>
      <w:r>
        <w:rPr>
          <w:iCs/>
          <w:szCs w:val="26"/>
        </w:rPr>
        <w:t xml:space="preserve"> at pp. 1095–1101.)  </w:t>
      </w:r>
    </w:p>
    <w:p w:rsidR="007D26D2" w:rsidRPr="00BC3274" w:rsidP="0036306D" w14:paraId="799B1E62" w14:textId="2041C5D3">
      <w:pPr>
        <w:ind w:firstLine="720"/>
        <w:rPr>
          <w:iCs/>
          <w:szCs w:val="26"/>
        </w:rPr>
      </w:pPr>
      <w:r>
        <w:rPr>
          <w:iCs/>
          <w:szCs w:val="26"/>
        </w:rPr>
        <w:t xml:space="preserve">By contrast, the Court of Appeal </w:t>
      </w:r>
      <w:r w:rsidR="00DB67D1">
        <w:rPr>
          <w:iCs/>
          <w:szCs w:val="26"/>
        </w:rPr>
        <w:t xml:space="preserve">concluded </w:t>
      </w:r>
      <w:r>
        <w:rPr>
          <w:iCs/>
          <w:szCs w:val="26"/>
        </w:rPr>
        <w:t xml:space="preserve">that USOC, unlike USAT, had no special relationship with either </w:t>
      </w:r>
      <w:r w:rsidR="009A2BDB">
        <w:rPr>
          <w:iCs/>
          <w:szCs w:val="26"/>
        </w:rPr>
        <w:t xml:space="preserve">the </w:t>
      </w:r>
      <w:r>
        <w:rPr>
          <w:iCs/>
          <w:szCs w:val="26"/>
        </w:rPr>
        <w:t>plaintiffs or Gitelman</w:t>
      </w:r>
      <w:r w:rsidR="008D5D7C">
        <w:rPr>
          <w:iCs/>
          <w:szCs w:val="26"/>
        </w:rPr>
        <w:t>, and thus no legal duty to protect the plaintiffs from Gitelman’s abuse</w:t>
      </w:r>
      <w:r w:rsidR="00CA1CA4">
        <w:rPr>
          <w:iCs/>
          <w:szCs w:val="26"/>
        </w:rPr>
        <w:t xml:space="preserve">.  </w:t>
      </w:r>
      <w:r w:rsidR="008D5D7C">
        <w:rPr>
          <w:iCs/>
          <w:szCs w:val="26"/>
        </w:rPr>
        <w:t xml:space="preserve">The court explained that </w:t>
      </w:r>
      <w:r w:rsidR="00DB67D1">
        <w:rPr>
          <w:iCs/>
          <w:szCs w:val="26"/>
        </w:rPr>
        <w:t xml:space="preserve">Brown’s case for imposing an affirmative duty on USOC rested largely on allegations </w:t>
      </w:r>
      <w:r w:rsidR="008D5D7C">
        <w:rPr>
          <w:iCs/>
          <w:szCs w:val="26"/>
        </w:rPr>
        <w:t xml:space="preserve">that USOC had the ability to regulate USAT’s conduct.  </w:t>
      </w:r>
      <w:r w:rsidR="00AF0DAB">
        <w:rPr>
          <w:iCs/>
          <w:szCs w:val="26"/>
        </w:rPr>
        <w:t xml:space="preserve">The court considered this insufficient to establish a special relationship that would enable USOC to control Gitelman’s conduct, or that would give plaintiffs </w:t>
      </w:r>
      <w:r w:rsidR="00877DB5">
        <w:rPr>
          <w:iCs/>
          <w:szCs w:val="26"/>
        </w:rPr>
        <w:t xml:space="preserve">reason to </w:t>
      </w:r>
      <w:r w:rsidR="00A5376C">
        <w:rPr>
          <w:iCs/>
          <w:szCs w:val="26"/>
        </w:rPr>
        <w:t>look to the USOC for protection</w:t>
      </w:r>
      <w:r w:rsidR="00AF0DAB">
        <w:rPr>
          <w:iCs/>
          <w:szCs w:val="26"/>
        </w:rPr>
        <w:t xml:space="preserve">.  </w:t>
      </w:r>
      <w:r>
        <w:rPr>
          <w:iCs/>
          <w:szCs w:val="26"/>
        </w:rPr>
        <w:t>(</w:t>
      </w:r>
      <w:r>
        <w:rPr>
          <w:i/>
          <w:iCs/>
          <w:szCs w:val="26"/>
        </w:rPr>
        <w:t>Brown</w:t>
      </w:r>
      <w:r>
        <w:rPr>
          <w:iCs/>
          <w:szCs w:val="26"/>
        </w:rPr>
        <w:t xml:space="preserve">, </w:t>
      </w:r>
      <w:r w:rsidRPr="00D01BFE">
        <w:rPr>
          <w:i/>
          <w:szCs w:val="26"/>
        </w:rPr>
        <w:t>supra</w:t>
      </w:r>
      <w:r>
        <w:rPr>
          <w:iCs/>
          <w:szCs w:val="26"/>
        </w:rPr>
        <w:t xml:space="preserve">, </w:t>
      </w:r>
      <w:r w:rsidRPr="00E94767">
        <w:rPr>
          <w:iCs/>
          <w:szCs w:val="26"/>
        </w:rPr>
        <w:t xml:space="preserve">40 Cal.App.5th </w:t>
      </w:r>
      <w:r>
        <w:rPr>
          <w:iCs/>
          <w:szCs w:val="26"/>
        </w:rPr>
        <w:t xml:space="preserve">at pp. 1101–1103.)  Having concluded that Brown’s allegations faltered at the first step of the analysis, the court declined to consider how the </w:t>
      </w:r>
      <w:r>
        <w:rPr>
          <w:i/>
          <w:iCs/>
          <w:szCs w:val="26"/>
        </w:rPr>
        <w:t>Rowland</w:t>
      </w:r>
      <w:r>
        <w:rPr>
          <w:iCs/>
          <w:szCs w:val="26"/>
        </w:rPr>
        <w:t xml:space="preserve"> factors might apply to USOC.  (</w:t>
      </w:r>
      <w:r w:rsidRPr="00D03AA4" w:rsidR="00D03AA4">
        <w:rPr>
          <w:i/>
          <w:szCs w:val="26"/>
        </w:rPr>
        <w:t>Id.</w:t>
      </w:r>
      <w:r w:rsidR="00D03AA4">
        <w:rPr>
          <w:iCs/>
          <w:szCs w:val="26"/>
        </w:rPr>
        <w:t xml:space="preserve"> </w:t>
      </w:r>
      <w:r>
        <w:rPr>
          <w:iCs/>
          <w:szCs w:val="26"/>
        </w:rPr>
        <w:t xml:space="preserve">at p. 1103.)  </w:t>
      </w:r>
    </w:p>
    <w:p w:rsidR="007D26D2" w:rsidP="0036306D" w14:paraId="4EE99F78" w14:textId="4DBBD430">
      <w:pPr>
        <w:ind w:firstLine="720"/>
        <w:rPr>
          <w:iCs/>
          <w:szCs w:val="26"/>
        </w:rPr>
      </w:pPr>
      <w:r>
        <w:rPr>
          <w:iCs/>
          <w:szCs w:val="26"/>
        </w:rPr>
        <w:t xml:space="preserve">The Court of Appeal’s decision added to a considerable body of law addressing the connection between the special relationship doctrine and the </w:t>
      </w:r>
      <w:r>
        <w:rPr>
          <w:i/>
          <w:szCs w:val="26"/>
        </w:rPr>
        <w:t>Rowland</w:t>
      </w:r>
      <w:r>
        <w:rPr>
          <w:iCs/>
          <w:szCs w:val="26"/>
        </w:rPr>
        <w:t xml:space="preserve"> </w:t>
      </w:r>
      <w:r w:rsidR="00D324F5">
        <w:rPr>
          <w:iCs/>
          <w:szCs w:val="26"/>
        </w:rPr>
        <w:t xml:space="preserve">factors </w:t>
      </w:r>
      <w:r>
        <w:rPr>
          <w:iCs/>
          <w:szCs w:val="26"/>
        </w:rPr>
        <w:t xml:space="preserve">in cases alleging a duty to protect the plaintiff from harms caused by third parties.  The </w:t>
      </w:r>
      <w:r w:rsidR="004535B7">
        <w:rPr>
          <w:iCs/>
          <w:szCs w:val="26"/>
        </w:rPr>
        <w:t xml:space="preserve">appellate </w:t>
      </w:r>
      <w:r>
        <w:rPr>
          <w:iCs/>
          <w:szCs w:val="26"/>
        </w:rPr>
        <w:t xml:space="preserve">courts that have addressed the issue have adopted </w:t>
      </w:r>
      <w:r w:rsidR="008077FE">
        <w:rPr>
          <w:iCs/>
          <w:szCs w:val="26"/>
        </w:rPr>
        <w:t xml:space="preserve">various </w:t>
      </w:r>
      <w:r>
        <w:rPr>
          <w:iCs/>
          <w:szCs w:val="26"/>
        </w:rPr>
        <w:t xml:space="preserve">approaches.  Several other Courts of Appeal have employed the same two-part framework as the court in this case, holding that a plaintiff must satisfy both the special relationship test and the </w:t>
      </w:r>
      <w:r>
        <w:rPr>
          <w:i/>
          <w:iCs/>
          <w:szCs w:val="26"/>
        </w:rPr>
        <w:t>Rowland</w:t>
      </w:r>
      <w:r>
        <w:rPr>
          <w:iCs/>
          <w:szCs w:val="26"/>
        </w:rPr>
        <w:t xml:space="preserve"> </w:t>
      </w:r>
      <w:r w:rsidR="00BB1D5F">
        <w:rPr>
          <w:iCs/>
          <w:szCs w:val="26"/>
        </w:rPr>
        <w:t xml:space="preserve">factors </w:t>
      </w:r>
      <w:r>
        <w:rPr>
          <w:iCs/>
          <w:szCs w:val="26"/>
        </w:rPr>
        <w:t xml:space="preserve">before a duty to protect the plaintiff from third party harm can be imposed on the defendant.  (See, e.g., </w:t>
      </w:r>
      <w:r w:rsidRPr="00406960">
        <w:rPr>
          <w:i/>
          <w:iCs/>
          <w:szCs w:val="26"/>
        </w:rPr>
        <w:t>Barenborg v. Sigma Alpha Epsilon Fraternity</w:t>
      </w:r>
      <w:r w:rsidRPr="00406960">
        <w:rPr>
          <w:iCs/>
          <w:szCs w:val="26"/>
        </w:rPr>
        <w:t xml:space="preserve"> (2019) 33 Cal.App.5th 70</w:t>
      </w:r>
      <w:r>
        <w:rPr>
          <w:iCs/>
          <w:szCs w:val="26"/>
        </w:rPr>
        <w:t>, 77 [“</w:t>
      </w:r>
      <w:r w:rsidRPr="00CF581C">
        <w:rPr>
          <w:iCs/>
          <w:szCs w:val="26"/>
        </w:rPr>
        <w:t xml:space="preserve">Thus, plaintiffs alleging a defendant had a duty to protect them must establish: </w:t>
      </w:r>
      <w:r>
        <w:rPr>
          <w:iCs/>
          <w:szCs w:val="26"/>
        </w:rPr>
        <w:t xml:space="preserve"> </w:t>
      </w:r>
      <w:r w:rsidRPr="00CF581C">
        <w:rPr>
          <w:iCs/>
          <w:szCs w:val="26"/>
        </w:rPr>
        <w:t xml:space="preserve">(1) that an exception to the general no-duty-to-protect rule applies </w:t>
      </w:r>
      <w:r w:rsidRPr="00CF581C">
        <w:rPr>
          <w:i/>
          <w:iCs/>
          <w:szCs w:val="26"/>
        </w:rPr>
        <w:t>and</w:t>
      </w:r>
      <w:r w:rsidRPr="00CF581C">
        <w:rPr>
          <w:iCs/>
          <w:szCs w:val="26"/>
        </w:rPr>
        <w:t xml:space="preserve"> (2) that the </w:t>
      </w:r>
      <w:r w:rsidRPr="00CF581C">
        <w:rPr>
          <w:i/>
          <w:iCs/>
          <w:szCs w:val="26"/>
        </w:rPr>
        <w:t>Rowland</w:t>
      </w:r>
      <w:r w:rsidRPr="00CF581C">
        <w:rPr>
          <w:iCs/>
          <w:szCs w:val="26"/>
        </w:rPr>
        <w:t xml:space="preserve"> factors support imposition of the duty.</w:t>
      </w:r>
      <w:r>
        <w:rPr>
          <w:iCs/>
          <w:szCs w:val="26"/>
        </w:rPr>
        <w:t xml:space="preserve">”]; </w:t>
      </w:r>
      <w:r w:rsidRPr="00B7528E">
        <w:rPr>
          <w:i/>
          <w:iCs/>
          <w:szCs w:val="26"/>
        </w:rPr>
        <w:t>Doe v. United States Youth Soccer Assn., Inc.</w:t>
      </w:r>
      <w:r w:rsidRPr="00B7528E">
        <w:rPr>
          <w:iCs/>
          <w:szCs w:val="26"/>
        </w:rPr>
        <w:t xml:space="preserve"> (2017) 8 Cal.App.5th 1118</w:t>
      </w:r>
      <w:r>
        <w:rPr>
          <w:iCs/>
          <w:szCs w:val="26"/>
        </w:rPr>
        <w:t xml:space="preserve">, 1128 [noting that if courts find a special relationship, they go on to “balance[] the policy factors set forth in </w:t>
      </w:r>
      <w:r>
        <w:rPr>
          <w:i/>
          <w:iCs/>
          <w:szCs w:val="26"/>
        </w:rPr>
        <w:t>Rowland</w:t>
      </w:r>
      <w:r>
        <w:rPr>
          <w:iCs/>
          <w:szCs w:val="26"/>
        </w:rPr>
        <w:t xml:space="preserve"> [citation] </w:t>
      </w:r>
      <w:r w:rsidRPr="00B0190C">
        <w:rPr>
          <w:iCs/>
          <w:szCs w:val="26"/>
        </w:rPr>
        <w:t>to assist in their determination of the existence and scope of a defendant’s duty in a particular case</w:t>
      </w:r>
      <w:r>
        <w:rPr>
          <w:iCs/>
          <w:szCs w:val="26"/>
        </w:rPr>
        <w:t>”].)</w:t>
      </w:r>
    </w:p>
    <w:p w:rsidR="007D26D2" w:rsidP="0036306D" w14:paraId="7397A0D2" w14:textId="0A8319AA">
      <w:pPr>
        <w:ind w:firstLine="720"/>
        <w:rPr>
          <w:iCs/>
          <w:szCs w:val="26"/>
        </w:rPr>
      </w:pPr>
      <w:r>
        <w:rPr>
          <w:iCs/>
          <w:szCs w:val="26"/>
        </w:rPr>
        <w:t xml:space="preserve">Other Courts of Appeal, however, have held that a plaintiff can establish a duty to protect by satisfying </w:t>
      </w:r>
      <w:r w:rsidRPr="008B42D7">
        <w:rPr>
          <w:szCs w:val="26"/>
        </w:rPr>
        <w:t>either</w:t>
      </w:r>
      <w:r>
        <w:rPr>
          <w:i/>
          <w:iCs/>
          <w:szCs w:val="26"/>
        </w:rPr>
        <w:t xml:space="preserve"> </w:t>
      </w:r>
      <w:r>
        <w:rPr>
          <w:iCs/>
          <w:szCs w:val="26"/>
        </w:rPr>
        <w:t xml:space="preserve">the special relationship </w:t>
      </w:r>
      <w:r w:rsidR="00FB3EF3">
        <w:rPr>
          <w:iCs/>
          <w:szCs w:val="26"/>
        </w:rPr>
        <w:t xml:space="preserve">doctrine </w:t>
      </w:r>
      <w:r w:rsidRPr="008B42D7">
        <w:rPr>
          <w:iCs/>
          <w:szCs w:val="26"/>
        </w:rPr>
        <w:t>or</w:t>
      </w:r>
      <w:r>
        <w:rPr>
          <w:iCs/>
          <w:szCs w:val="26"/>
        </w:rPr>
        <w:t xml:space="preserve"> the </w:t>
      </w:r>
      <w:r>
        <w:rPr>
          <w:i/>
          <w:iCs/>
          <w:szCs w:val="26"/>
        </w:rPr>
        <w:t>Rowland</w:t>
      </w:r>
      <w:r>
        <w:rPr>
          <w:iCs/>
          <w:szCs w:val="26"/>
        </w:rPr>
        <w:t xml:space="preserve"> </w:t>
      </w:r>
      <w:r w:rsidR="00FB3EF3">
        <w:rPr>
          <w:iCs/>
          <w:szCs w:val="26"/>
        </w:rPr>
        <w:t>factors</w:t>
      </w:r>
      <w:r>
        <w:rPr>
          <w:iCs/>
          <w:szCs w:val="26"/>
        </w:rPr>
        <w:t xml:space="preserve">.  Under this approach, </w:t>
      </w:r>
      <w:r>
        <w:rPr>
          <w:i/>
          <w:szCs w:val="26"/>
        </w:rPr>
        <w:t>Rowland</w:t>
      </w:r>
      <w:r>
        <w:rPr>
          <w:iCs/>
          <w:szCs w:val="26"/>
        </w:rPr>
        <w:t xml:space="preserve"> serves as an independent source of duty.  (</w:t>
      </w:r>
      <w:r w:rsidRPr="002A7760">
        <w:rPr>
          <w:i/>
          <w:iCs/>
          <w:szCs w:val="26"/>
        </w:rPr>
        <w:t>Juarez v. Boy Scouts of America, Inc.</w:t>
      </w:r>
      <w:r w:rsidRPr="00640943">
        <w:rPr>
          <w:iCs/>
          <w:szCs w:val="26"/>
        </w:rPr>
        <w:t xml:space="preserve"> (2000) 81 Cal.App.4th 377</w:t>
      </w:r>
      <w:r>
        <w:rPr>
          <w:iCs/>
          <w:szCs w:val="26"/>
        </w:rPr>
        <w:t xml:space="preserve">, 401–402, 410–411 [finding duty under </w:t>
      </w:r>
      <w:r>
        <w:rPr>
          <w:i/>
          <w:iCs/>
          <w:szCs w:val="26"/>
        </w:rPr>
        <w:t>Rowland</w:t>
      </w:r>
      <w:r>
        <w:rPr>
          <w:iCs/>
          <w:szCs w:val="26"/>
        </w:rPr>
        <w:t xml:space="preserve">, but </w:t>
      </w:r>
      <w:r w:rsidRPr="002A348F">
        <w:rPr>
          <w:iCs/>
          <w:szCs w:val="26"/>
        </w:rPr>
        <w:t xml:space="preserve">concluding in the alternative that </w:t>
      </w:r>
      <w:r>
        <w:rPr>
          <w:iCs/>
          <w:szCs w:val="26"/>
        </w:rPr>
        <w:t xml:space="preserve">the </w:t>
      </w:r>
      <w:r w:rsidRPr="002A348F">
        <w:rPr>
          <w:iCs/>
          <w:szCs w:val="26"/>
        </w:rPr>
        <w:t xml:space="preserve">plaintiff satisfied the special relationship test]; </w:t>
      </w:r>
      <w:r>
        <w:rPr>
          <w:iCs/>
          <w:szCs w:val="26"/>
        </w:rPr>
        <w:t xml:space="preserve">see </w:t>
      </w:r>
      <w:r w:rsidRPr="002A348F">
        <w:rPr>
          <w:i/>
          <w:iCs/>
          <w:szCs w:val="26"/>
        </w:rPr>
        <w:t>Adams v. City of Fremont</w:t>
      </w:r>
      <w:r w:rsidRPr="002A348F">
        <w:rPr>
          <w:iCs/>
          <w:szCs w:val="26"/>
        </w:rPr>
        <w:t xml:space="preserve"> (1998) 68 Cal.App.4th 243, 267</w:t>
      </w:r>
      <w:r>
        <w:rPr>
          <w:iCs/>
          <w:szCs w:val="26"/>
        </w:rPr>
        <w:t>–276</w:t>
      </w:r>
      <w:r w:rsidRPr="002A348F">
        <w:rPr>
          <w:iCs/>
          <w:szCs w:val="26"/>
        </w:rPr>
        <w:t>, 282–288</w:t>
      </w:r>
      <w:r w:rsidR="00AC4E94">
        <w:rPr>
          <w:iCs/>
          <w:szCs w:val="26"/>
        </w:rPr>
        <w:t xml:space="preserve"> (</w:t>
      </w:r>
      <w:r w:rsidR="00AC4E94">
        <w:rPr>
          <w:i/>
          <w:szCs w:val="26"/>
        </w:rPr>
        <w:t>Adams</w:t>
      </w:r>
      <w:r w:rsidR="00AC4E94">
        <w:rPr>
          <w:iCs/>
          <w:szCs w:val="26"/>
        </w:rPr>
        <w:t>)</w:t>
      </w:r>
      <w:r w:rsidR="000B3D94">
        <w:rPr>
          <w:iCs/>
          <w:szCs w:val="26"/>
        </w:rPr>
        <w:t xml:space="preserve"> </w:t>
      </w:r>
      <w:r w:rsidRPr="002A348F">
        <w:rPr>
          <w:iCs/>
          <w:szCs w:val="26"/>
        </w:rPr>
        <w:t>[</w:t>
      </w:r>
      <w:r>
        <w:rPr>
          <w:iCs/>
          <w:szCs w:val="26"/>
        </w:rPr>
        <w:t xml:space="preserve">noting that </w:t>
      </w:r>
      <w:r>
        <w:rPr>
          <w:i/>
          <w:iCs/>
          <w:szCs w:val="26"/>
        </w:rPr>
        <w:t>Rowland</w:t>
      </w:r>
      <w:r>
        <w:rPr>
          <w:iCs/>
          <w:szCs w:val="26"/>
        </w:rPr>
        <w:t xml:space="preserve"> </w:t>
      </w:r>
      <w:r w:rsidR="00BA14FE">
        <w:rPr>
          <w:iCs/>
          <w:szCs w:val="26"/>
        </w:rPr>
        <w:t xml:space="preserve">factors </w:t>
      </w:r>
      <w:r>
        <w:rPr>
          <w:iCs/>
          <w:szCs w:val="26"/>
        </w:rPr>
        <w:t xml:space="preserve">and </w:t>
      </w:r>
      <w:r w:rsidR="00FB3EF3">
        <w:rPr>
          <w:iCs/>
          <w:szCs w:val="26"/>
        </w:rPr>
        <w:t xml:space="preserve">the </w:t>
      </w:r>
      <w:r>
        <w:rPr>
          <w:iCs/>
          <w:szCs w:val="26"/>
        </w:rPr>
        <w:t xml:space="preserve">special relationship test are sometimes in conflict and finding no duty to protect under either test, while concluding that this court has generally favored applying </w:t>
      </w:r>
      <w:r>
        <w:rPr>
          <w:i/>
          <w:iCs/>
          <w:szCs w:val="26"/>
        </w:rPr>
        <w:t>Rowland</w:t>
      </w:r>
      <w:r>
        <w:rPr>
          <w:iCs/>
          <w:szCs w:val="26"/>
        </w:rPr>
        <w:t>’s multifactor test over the special relationship test]</w:t>
      </w:r>
      <w:r w:rsidRPr="002A348F">
        <w:rPr>
          <w:iCs/>
          <w:szCs w:val="26"/>
        </w:rPr>
        <w:t xml:space="preserve">; cf. </w:t>
      </w:r>
      <w:r w:rsidRPr="002A348F">
        <w:rPr>
          <w:i/>
          <w:iCs/>
          <w:szCs w:val="26"/>
        </w:rPr>
        <w:t>University of Southern California v. Superior Court</w:t>
      </w:r>
      <w:r w:rsidRPr="002A348F">
        <w:rPr>
          <w:iCs/>
          <w:szCs w:val="26"/>
        </w:rPr>
        <w:t xml:space="preserve"> (2018) 30 Cal.App.5th 429</w:t>
      </w:r>
      <w:r>
        <w:rPr>
          <w:iCs/>
          <w:szCs w:val="26"/>
        </w:rPr>
        <w:t xml:space="preserve">, 451 [finding no duty under either the special relationship test or </w:t>
      </w:r>
      <w:r>
        <w:rPr>
          <w:i/>
          <w:szCs w:val="26"/>
        </w:rPr>
        <w:t>Rowland</w:t>
      </w:r>
      <w:r>
        <w:rPr>
          <w:iCs/>
          <w:szCs w:val="26"/>
        </w:rPr>
        <w:t xml:space="preserve">, though recognizing that applying </w:t>
      </w:r>
      <w:r>
        <w:rPr>
          <w:i/>
          <w:szCs w:val="26"/>
        </w:rPr>
        <w:t>Rowland</w:t>
      </w:r>
      <w:r>
        <w:rPr>
          <w:iCs/>
          <w:szCs w:val="26"/>
        </w:rPr>
        <w:t xml:space="preserve"> “may be unnecessary</w:t>
      </w:r>
      <w:r w:rsidRPr="00AD0639">
        <w:rPr>
          <w:iCs/>
          <w:szCs w:val="26"/>
        </w:rPr>
        <w:t>”].)</w:t>
      </w:r>
    </w:p>
    <w:p w:rsidR="007D26D2" w:rsidP="0036306D" w14:paraId="1B019D84" w14:textId="5166E3F1">
      <w:pPr>
        <w:ind w:firstLine="720"/>
        <w:rPr>
          <w:iCs/>
          <w:szCs w:val="26"/>
        </w:rPr>
      </w:pPr>
      <w:r>
        <w:rPr>
          <w:iCs/>
          <w:szCs w:val="26"/>
        </w:rPr>
        <w:t xml:space="preserve">Still other </w:t>
      </w:r>
      <w:r w:rsidRPr="00AD0639">
        <w:rPr>
          <w:iCs/>
          <w:szCs w:val="26"/>
        </w:rPr>
        <w:t xml:space="preserve">courts have </w:t>
      </w:r>
      <w:r>
        <w:rPr>
          <w:iCs/>
          <w:szCs w:val="26"/>
        </w:rPr>
        <w:t xml:space="preserve">taken the view that the special relationship test incorporates the </w:t>
      </w:r>
      <w:r>
        <w:rPr>
          <w:i/>
          <w:szCs w:val="26"/>
        </w:rPr>
        <w:t>Rowland</w:t>
      </w:r>
      <w:r>
        <w:rPr>
          <w:iCs/>
          <w:szCs w:val="26"/>
        </w:rPr>
        <w:t xml:space="preserve"> </w:t>
      </w:r>
      <w:r w:rsidR="00E41A56">
        <w:rPr>
          <w:iCs/>
          <w:szCs w:val="26"/>
        </w:rPr>
        <w:t>factors</w:t>
      </w:r>
      <w:r w:rsidR="00436BBF">
        <w:rPr>
          <w:iCs/>
          <w:szCs w:val="26"/>
        </w:rPr>
        <w:t xml:space="preserve"> </w:t>
      </w:r>
      <w:r>
        <w:rPr>
          <w:iCs/>
          <w:szCs w:val="26"/>
        </w:rPr>
        <w:t xml:space="preserve">— that is, that “[r]esolution </w:t>
      </w:r>
      <w:r w:rsidRPr="00AD0639">
        <w:rPr>
          <w:iCs/>
          <w:szCs w:val="26"/>
        </w:rPr>
        <w:t>of the issue whether a special</w:t>
      </w:r>
      <w:r w:rsidRPr="007D6606">
        <w:rPr>
          <w:iCs/>
          <w:szCs w:val="26"/>
        </w:rPr>
        <w:t xml:space="preserve"> relationship exists giving rise to a duty to protect (or warn) comprehends consideration of the same factors underlying any duty of care analysi</w:t>
      </w:r>
      <w:r>
        <w:rPr>
          <w:iCs/>
          <w:szCs w:val="26"/>
        </w:rPr>
        <w:t xml:space="preserve">s” under </w:t>
      </w:r>
      <w:r>
        <w:rPr>
          <w:i/>
          <w:szCs w:val="26"/>
        </w:rPr>
        <w:t>Rowland</w:t>
      </w:r>
      <w:r>
        <w:rPr>
          <w:iCs/>
          <w:szCs w:val="26"/>
        </w:rPr>
        <w:t>.  (</w:t>
      </w:r>
      <w:r w:rsidRPr="007D6606">
        <w:rPr>
          <w:i/>
          <w:iCs/>
          <w:szCs w:val="26"/>
        </w:rPr>
        <w:t>Hansra v. Superior Court</w:t>
      </w:r>
      <w:r w:rsidRPr="007D6606">
        <w:rPr>
          <w:iCs/>
          <w:szCs w:val="26"/>
        </w:rPr>
        <w:t xml:space="preserve"> (1992) 7 Cal.App.4th 630, 646</w:t>
      </w:r>
      <w:r w:rsidR="004A4E9D">
        <w:rPr>
          <w:iCs/>
          <w:szCs w:val="26"/>
        </w:rPr>
        <w:t xml:space="preserve"> (</w:t>
      </w:r>
      <w:r w:rsidR="004A4E9D">
        <w:rPr>
          <w:i/>
          <w:szCs w:val="26"/>
        </w:rPr>
        <w:t>Hansra</w:t>
      </w:r>
      <w:r w:rsidR="004A4E9D">
        <w:rPr>
          <w:iCs/>
          <w:szCs w:val="26"/>
        </w:rPr>
        <w:t>)</w:t>
      </w:r>
      <w:r w:rsidRPr="007D6606">
        <w:rPr>
          <w:iCs/>
          <w:szCs w:val="26"/>
        </w:rPr>
        <w:t>;</w:t>
      </w:r>
      <w:r>
        <w:rPr>
          <w:iCs/>
          <w:szCs w:val="26"/>
        </w:rPr>
        <w:t xml:space="preserve"> accord, </w:t>
      </w:r>
      <w:r w:rsidRPr="007D6606">
        <w:rPr>
          <w:i/>
          <w:iCs/>
          <w:szCs w:val="26"/>
        </w:rPr>
        <w:t>Titus v. Canyon Lake Property Owners Assn.</w:t>
      </w:r>
      <w:r w:rsidRPr="007D6606">
        <w:rPr>
          <w:iCs/>
          <w:szCs w:val="26"/>
        </w:rPr>
        <w:t xml:space="preserve"> (2004) 118 Cal.App.4th 906, 91</w:t>
      </w:r>
      <w:r>
        <w:rPr>
          <w:iCs/>
          <w:szCs w:val="26"/>
        </w:rPr>
        <w:t>1–</w:t>
      </w:r>
      <w:r w:rsidRPr="007D6606">
        <w:rPr>
          <w:iCs/>
          <w:szCs w:val="26"/>
        </w:rPr>
        <w:t>912</w:t>
      </w:r>
      <w:r w:rsidR="00214F53">
        <w:rPr>
          <w:iCs/>
          <w:szCs w:val="26"/>
        </w:rPr>
        <w:t xml:space="preserve"> (</w:t>
      </w:r>
      <w:r w:rsidRPr="00DD6C3D" w:rsidR="00214F53">
        <w:rPr>
          <w:i/>
          <w:szCs w:val="26"/>
        </w:rPr>
        <w:t>Titus</w:t>
      </w:r>
      <w:r w:rsidR="00214F53">
        <w:rPr>
          <w:iCs/>
          <w:szCs w:val="26"/>
        </w:rPr>
        <w:t>)</w:t>
      </w:r>
      <w:r>
        <w:rPr>
          <w:iCs/>
          <w:szCs w:val="26"/>
        </w:rPr>
        <w:t xml:space="preserve">.)  Whereas the Court of Appeal in this case employed a two-part framework to evaluate defendants’ legal duty to protect, these courts have reduced the inquiry to a single step, applying the </w:t>
      </w:r>
      <w:r>
        <w:rPr>
          <w:i/>
          <w:szCs w:val="26"/>
        </w:rPr>
        <w:t>Rowland</w:t>
      </w:r>
      <w:r>
        <w:rPr>
          <w:iCs/>
          <w:szCs w:val="26"/>
        </w:rPr>
        <w:t xml:space="preserve"> factors to determine whether a special relationship exists.</w:t>
      </w:r>
    </w:p>
    <w:p w:rsidR="007D26D2" w:rsidRPr="0080765B" w:rsidP="0036306D" w14:paraId="280482EF" w14:textId="23F9E7A7">
      <w:pPr>
        <w:ind w:firstLine="720"/>
        <w:rPr>
          <w:iCs/>
          <w:szCs w:val="26"/>
        </w:rPr>
      </w:pPr>
      <w:r>
        <w:rPr>
          <w:iCs/>
          <w:szCs w:val="26"/>
        </w:rPr>
        <w:t>In view of the different approaches taken by the Courts of Appeal, we granted review to clarify the applicable framework for determining whether a defendant has a duty to protect a plaintiff from harm caused by a third party.</w:t>
      </w:r>
      <w:r w:rsidR="0056621C">
        <w:rPr>
          <w:iCs/>
          <w:szCs w:val="26"/>
        </w:rPr>
        <w:t xml:space="preserve">  </w:t>
      </w:r>
      <w:r w:rsidR="009108CE">
        <w:rPr>
          <w:iCs/>
          <w:szCs w:val="26"/>
        </w:rPr>
        <w:t>We conclude t</w:t>
      </w:r>
      <w:r w:rsidR="0056621C">
        <w:rPr>
          <w:iCs/>
          <w:szCs w:val="26"/>
        </w:rPr>
        <w:t xml:space="preserve">he two-part framework the Court of Appeal applied in this case accurately </w:t>
      </w:r>
      <w:r w:rsidR="008B09D2">
        <w:rPr>
          <w:iCs/>
          <w:szCs w:val="26"/>
        </w:rPr>
        <w:t xml:space="preserve">reflects </w:t>
      </w:r>
      <w:r w:rsidR="0056621C">
        <w:rPr>
          <w:iCs/>
          <w:szCs w:val="26"/>
        </w:rPr>
        <w:t>the law as stated in this court’s precedents</w:t>
      </w:r>
      <w:r w:rsidR="00F70616">
        <w:rPr>
          <w:iCs/>
          <w:szCs w:val="26"/>
        </w:rPr>
        <w:t>, and we accordingly affirm the court’s judgment</w:t>
      </w:r>
      <w:r w:rsidR="0056621C">
        <w:rPr>
          <w:iCs/>
          <w:szCs w:val="26"/>
        </w:rPr>
        <w:t>.</w:t>
      </w:r>
      <w:r>
        <w:rPr>
          <w:rStyle w:val="FootnoteReference"/>
          <w:iCs/>
          <w:szCs w:val="26"/>
        </w:rPr>
        <w:footnoteReference w:id="6"/>
      </w:r>
    </w:p>
    <w:bookmarkEnd w:id="11"/>
    <w:p w:rsidR="00ED1700" w:rsidRPr="00E21073" w:rsidP="00F74E74" w14:paraId="12AE2C0E" w14:textId="77777777">
      <w:pPr>
        <w:pStyle w:val="Heading1"/>
        <w:spacing w:line="400" w:lineRule="exact"/>
        <w:rPr>
          <w:szCs w:val="27"/>
        </w:rPr>
      </w:pPr>
      <w:r w:rsidRPr="00E21073">
        <w:rPr>
          <w:szCs w:val="27"/>
        </w:rPr>
        <w:t>II.</w:t>
      </w:r>
    </w:p>
    <w:p w:rsidR="00ED1700" w:rsidRPr="00E21073" w:rsidP="00F74E74" w14:paraId="3A03AB96" w14:textId="1A27340F">
      <w:pPr>
        <w:jc w:val="center"/>
        <w:rPr>
          <w:szCs w:val="27"/>
        </w:rPr>
      </w:pPr>
      <w:r w:rsidRPr="00E21073">
        <w:rPr>
          <w:b/>
          <w:bCs/>
          <w:szCs w:val="27"/>
        </w:rPr>
        <w:t>A.</w:t>
      </w:r>
    </w:p>
    <w:p w:rsidR="00D55A75" w:rsidP="0046714A" w14:paraId="321BD107" w14:textId="7AD9B9C0">
      <w:pPr>
        <w:tabs>
          <w:tab w:val="left" w:pos="1440"/>
        </w:tabs>
        <w:ind w:firstLine="720"/>
        <w:rPr>
          <w:szCs w:val="26"/>
        </w:rPr>
      </w:pPr>
      <w:r>
        <w:rPr>
          <w:szCs w:val="26"/>
        </w:rPr>
        <w:t xml:space="preserve">To </w:t>
      </w:r>
      <w:r w:rsidR="005A1A95">
        <w:rPr>
          <w:szCs w:val="26"/>
        </w:rPr>
        <w:t xml:space="preserve">establish </w:t>
      </w:r>
      <w:r>
        <w:rPr>
          <w:szCs w:val="26"/>
        </w:rPr>
        <w:t>a cause of action for negligence, the plaintiff must show that the “defendant had a duty to use due care, that he breached that duty, and that the breach was the proximate or legal cause of the resulting injury.”  (</w:t>
      </w:r>
      <w:r>
        <w:rPr>
          <w:i/>
          <w:iCs/>
          <w:szCs w:val="26"/>
        </w:rPr>
        <w:t>Nally v. Grace Community Church</w:t>
      </w:r>
      <w:r>
        <w:rPr>
          <w:szCs w:val="26"/>
        </w:rPr>
        <w:t xml:space="preserve"> (1988) 47 Cal.3d 278, 292.)  Recovery for negligence depends as a threshold matter on the existence of a legal duty of care.  (</w:t>
      </w:r>
      <w:r>
        <w:rPr>
          <w:i/>
          <w:iCs/>
          <w:szCs w:val="26"/>
        </w:rPr>
        <w:t>Gas Leak Cases</w:t>
      </w:r>
      <w:r>
        <w:rPr>
          <w:szCs w:val="26"/>
        </w:rPr>
        <w:t xml:space="preserve">, </w:t>
      </w:r>
      <w:r>
        <w:rPr>
          <w:i/>
          <w:iCs/>
          <w:szCs w:val="26"/>
        </w:rPr>
        <w:t>supra</w:t>
      </w:r>
      <w:r>
        <w:rPr>
          <w:szCs w:val="26"/>
        </w:rPr>
        <w:t>, 7 Cal.5th at p. 397.)</w:t>
      </w:r>
    </w:p>
    <w:p w:rsidR="00D55A75" w:rsidRPr="003C39A2" w:rsidP="0046714A" w14:paraId="702EC0B9" w14:textId="1D139B66">
      <w:pPr>
        <w:tabs>
          <w:tab w:val="left" w:pos="1440"/>
        </w:tabs>
        <w:ind w:firstLine="720"/>
        <w:rPr>
          <w:szCs w:val="26"/>
        </w:rPr>
      </w:pPr>
      <w:r>
        <w:rPr>
          <w:szCs w:val="26"/>
        </w:rPr>
        <w:t xml:space="preserve">Duty is not universal; not every defendant owes every plaintiff a duty of care.  </w:t>
      </w:r>
      <w:r w:rsidR="00151CA1">
        <w:rPr>
          <w:szCs w:val="26"/>
        </w:rPr>
        <w:t>A</w:t>
      </w:r>
      <w:r>
        <w:rPr>
          <w:szCs w:val="26"/>
        </w:rPr>
        <w:t xml:space="preserve"> duty exists only if “ ‘the plaintiff’s interests are entitled to legal protection against the defendant’s conduct.’ ”  (</w:t>
      </w:r>
      <w:r w:rsidRPr="00C862E1">
        <w:rPr>
          <w:i/>
          <w:szCs w:val="26"/>
        </w:rPr>
        <w:t>Dillon v. Legg</w:t>
      </w:r>
      <w:r w:rsidRPr="00C862E1">
        <w:rPr>
          <w:szCs w:val="26"/>
        </w:rPr>
        <w:t xml:space="preserve"> (1968) 68 Cal.2d 728</w:t>
      </w:r>
      <w:r>
        <w:rPr>
          <w:szCs w:val="26"/>
        </w:rPr>
        <w:t xml:space="preserve">, 734, </w:t>
      </w:r>
      <w:r w:rsidRPr="00035BDB">
        <w:rPr>
          <w:rFonts w:eastAsia="Arial"/>
          <w:iCs/>
          <w:szCs w:val="26"/>
        </w:rPr>
        <w:t xml:space="preserve">quoting Prosser, Torts (3d ed. 1964) </w:t>
      </w:r>
      <w:r w:rsidR="004401FA">
        <w:rPr>
          <w:rFonts w:eastAsia="Arial"/>
          <w:iCs/>
          <w:szCs w:val="26"/>
        </w:rPr>
        <w:t xml:space="preserve">§ 53, </w:t>
      </w:r>
      <w:r w:rsidRPr="00035BDB">
        <w:rPr>
          <w:rFonts w:eastAsia="Arial"/>
          <w:iCs/>
          <w:szCs w:val="26"/>
        </w:rPr>
        <w:t>p.</w:t>
      </w:r>
      <w:r>
        <w:rPr>
          <w:rFonts w:eastAsia="Arial"/>
          <w:iCs/>
          <w:szCs w:val="26"/>
        </w:rPr>
        <w:t> </w:t>
      </w:r>
      <w:r w:rsidRPr="00035BDB">
        <w:rPr>
          <w:rFonts w:eastAsia="Arial"/>
          <w:iCs/>
          <w:szCs w:val="26"/>
        </w:rPr>
        <w:t>332</w:t>
      </w:r>
      <w:r>
        <w:rPr>
          <w:szCs w:val="26"/>
        </w:rPr>
        <w:t>.)  Whether a duty exists is a question of law to be resolved by the court.  (</w:t>
      </w:r>
      <w:r>
        <w:rPr>
          <w:i/>
          <w:iCs/>
          <w:szCs w:val="26"/>
        </w:rPr>
        <w:t>Bily v. Arthur Young &amp; Co.</w:t>
      </w:r>
      <w:r>
        <w:rPr>
          <w:szCs w:val="26"/>
        </w:rPr>
        <w:t xml:space="preserve"> (1992) 3 Cal.4th 370, 397.)</w:t>
      </w:r>
    </w:p>
    <w:p w:rsidR="00D55A75" w:rsidP="0046714A" w14:paraId="4CA4687A" w14:textId="35D2E0BE">
      <w:pPr>
        <w:tabs>
          <w:tab w:val="left" w:pos="1440"/>
        </w:tabs>
        <w:ind w:firstLine="720"/>
        <w:rPr>
          <w:rFonts w:eastAsia="Arial"/>
          <w:iCs/>
          <w:szCs w:val="26"/>
        </w:rPr>
      </w:pPr>
      <w:r>
        <w:rPr>
          <w:rFonts w:eastAsia="Arial"/>
          <w:iCs/>
          <w:szCs w:val="26"/>
        </w:rPr>
        <w:t>The “general rule” governing duty is set forth in Civil Code section 1714 (section 1714).  (</w:t>
      </w:r>
      <w:r w:rsidRPr="00EF03ED">
        <w:rPr>
          <w:rFonts w:eastAsia="Arial"/>
          <w:i/>
          <w:iCs/>
          <w:szCs w:val="26"/>
        </w:rPr>
        <w:t>Cabral v. Ralphs Grocery Co.</w:t>
      </w:r>
      <w:r w:rsidRPr="004031BC">
        <w:rPr>
          <w:rFonts w:eastAsia="Arial"/>
          <w:iCs/>
          <w:szCs w:val="26"/>
        </w:rPr>
        <w:t xml:space="preserve"> (2011) 51 Cal.4th 764, 7</w:t>
      </w:r>
      <w:r>
        <w:rPr>
          <w:rFonts w:eastAsia="Arial"/>
          <w:iCs/>
          <w:szCs w:val="26"/>
        </w:rPr>
        <w:t>71</w:t>
      </w:r>
      <w:r w:rsidRPr="004031BC">
        <w:rPr>
          <w:rFonts w:eastAsia="Arial"/>
          <w:iCs/>
          <w:szCs w:val="26"/>
        </w:rPr>
        <w:t xml:space="preserve"> (</w:t>
      </w:r>
      <w:r w:rsidRPr="007E3AE3">
        <w:rPr>
          <w:rFonts w:eastAsia="Arial"/>
          <w:i/>
          <w:iCs/>
          <w:szCs w:val="26"/>
        </w:rPr>
        <w:t>Cabral</w:t>
      </w:r>
      <w:r w:rsidRPr="004031BC">
        <w:rPr>
          <w:rFonts w:eastAsia="Arial"/>
          <w:iCs/>
          <w:szCs w:val="26"/>
        </w:rPr>
        <w:t>)</w:t>
      </w:r>
      <w:r>
        <w:rPr>
          <w:rFonts w:eastAsia="Arial"/>
          <w:iCs/>
          <w:szCs w:val="26"/>
        </w:rPr>
        <w:t xml:space="preserve">.)  First enacted in 1872, section 1714 provides:  </w:t>
      </w:r>
      <w:r w:rsidRPr="004031BC">
        <w:rPr>
          <w:rFonts w:eastAsia="Arial"/>
          <w:iCs/>
          <w:szCs w:val="26"/>
        </w:rPr>
        <w:t>“</w:t>
      </w:r>
      <w:r>
        <w:rPr>
          <w:rFonts w:eastAsia="Arial"/>
          <w:iCs/>
          <w:szCs w:val="26"/>
        </w:rPr>
        <w:t>E</w:t>
      </w:r>
      <w:r w:rsidRPr="004031BC">
        <w:rPr>
          <w:rFonts w:eastAsia="Arial"/>
          <w:iCs/>
          <w:szCs w:val="26"/>
        </w:rPr>
        <w:t>veryone is responsible .</w:t>
      </w:r>
      <w:r>
        <w:rPr>
          <w:rFonts w:eastAsia="Arial"/>
          <w:iCs/>
          <w:szCs w:val="26"/>
        </w:rPr>
        <w:t> </w:t>
      </w:r>
      <w:r w:rsidRPr="004031BC">
        <w:rPr>
          <w:rFonts w:eastAsia="Arial"/>
          <w:iCs/>
          <w:szCs w:val="26"/>
        </w:rPr>
        <w:t>.</w:t>
      </w:r>
      <w:r>
        <w:rPr>
          <w:rFonts w:eastAsia="Arial"/>
          <w:iCs/>
          <w:szCs w:val="26"/>
        </w:rPr>
        <w:t> </w:t>
      </w:r>
      <w:r w:rsidRPr="004031BC">
        <w:rPr>
          <w:rFonts w:eastAsia="Arial"/>
          <w:iCs/>
          <w:szCs w:val="26"/>
        </w:rPr>
        <w:t>. for an injury occasioned to another by his or her want of ordinary care or skill in the management of his or her property or perso</w:t>
      </w:r>
      <w:r>
        <w:rPr>
          <w:rFonts w:eastAsia="Arial"/>
          <w:iCs/>
          <w:szCs w:val="26"/>
        </w:rPr>
        <w:t>n . . . .</w:t>
      </w:r>
      <w:r w:rsidRPr="004031BC">
        <w:rPr>
          <w:rFonts w:eastAsia="Arial"/>
          <w:iCs/>
          <w:szCs w:val="26"/>
        </w:rPr>
        <w:t>”  (</w:t>
      </w:r>
      <w:r w:rsidRPr="004401FA" w:rsidR="004401FA">
        <w:rPr>
          <w:rFonts w:eastAsia="Arial"/>
          <w:i/>
          <w:szCs w:val="26"/>
        </w:rPr>
        <w:t>Id.</w:t>
      </w:r>
      <w:r w:rsidR="004401FA">
        <w:rPr>
          <w:rFonts w:eastAsia="Arial"/>
          <w:iCs/>
          <w:szCs w:val="26"/>
        </w:rPr>
        <w:t>,</w:t>
      </w:r>
      <w:r w:rsidRPr="004031BC">
        <w:rPr>
          <w:rFonts w:eastAsia="Arial"/>
          <w:iCs/>
          <w:szCs w:val="26"/>
        </w:rPr>
        <w:t xml:space="preserve"> subd. (a)</w:t>
      </w:r>
      <w:r>
        <w:rPr>
          <w:rFonts w:eastAsia="Arial"/>
          <w:iCs/>
          <w:szCs w:val="26"/>
        </w:rPr>
        <w:t>.)  This statute establishes the default rule that each person has a duty “</w:t>
      </w:r>
      <w:r w:rsidRPr="004031BC">
        <w:rPr>
          <w:rFonts w:eastAsia="Arial"/>
          <w:iCs/>
          <w:szCs w:val="26"/>
        </w:rPr>
        <w:t>to exercise, in his or her activities, reasonable care for the safety of others</w:t>
      </w:r>
      <w:r>
        <w:rPr>
          <w:rFonts w:eastAsia="Arial"/>
          <w:iCs/>
          <w:szCs w:val="26"/>
        </w:rPr>
        <w:t>.”  (</w:t>
      </w:r>
      <w:r w:rsidRPr="00D06A4A">
        <w:rPr>
          <w:rFonts w:eastAsia="Arial"/>
          <w:i/>
          <w:iCs/>
          <w:szCs w:val="26"/>
        </w:rPr>
        <w:t>Cabral</w:t>
      </w:r>
      <w:r>
        <w:rPr>
          <w:rFonts w:eastAsia="Arial"/>
          <w:iCs/>
          <w:szCs w:val="26"/>
        </w:rPr>
        <w:t>, at p. </w:t>
      </w:r>
      <w:r w:rsidRPr="00D06A4A">
        <w:rPr>
          <w:rFonts w:eastAsia="Arial"/>
          <w:iCs/>
          <w:szCs w:val="26"/>
        </w:rPr>
        <w:t>768</w:t>
      </w:r>
      <w:r>
        <w:rPr>
          <w:rFonts w:eastAsia="Arial"/>
          <w:iCs/>
          <w:szCs w:val="26"/>
        </w:rPr>
        <w:t xml:space="preserve">.) </w:t>
      </w:r>
    </w:p>
    <w:p w:rsidR="00D55A75" w:rsidP="0046714A" w14:paraId="5A48E01E" w14:textId="5F546C22">
      <w:pPr>
        <w:tabs>
          <w:tab w:val="left" w:pos="1440"/>
        </w:tabs>
        <w:ind w:firstLine="720"/>
        <w:rPr>
          <w:szCs w:val="26"/>
        </w:rPr>
      </w:pPr>
      <w:r>
        <w:rPr>
          <w:szCs w:val="26"/>
        </w:rPr>
        <w:t xml:space="preserve">Section 1714 states a broad rule, but it </w:t>
      </w:r>
      <w:r w:rsidR="00E54892">
        <w:rPr>
          <w:szCs w:val="26"/>
        </w:rPr>
        <w:t xml:space="preserve">has </w:t>
      </w:r>
      <w:r>
        <w:rPr>
          <w:szCs w:val="26"/>
        </w:rPr>
        <w:t>limits.  W</w:t>
      </w:r>
      <w:r w:rsidRPr="00035BDB">
        <w:rPr>
          <w:rFonts w:eastAsia="Arial"/>
          <w:iCs/>
          <w:szCs w:val="26"/>
        </w:rPr>
        <w:t xml:space="preserve">e have </w:t>
      </w:r>
      <w:r>
        <w:rPr>
          <w:rFonts w:eastAsia="Arial"/>
          <w:iCs/>
          <w:szCs w:val="26"/>
        </w:rPr>
        <w:t xml:space="preserve">explained </w:t>
      </w:r>
      <w:r w:rsidRPr="00035BDB">
        <w:rPr>
          <w:rFonts w:eastAsia="Arial"/>
          <w:iCs/>
          <w:szCs w:val="26"/>
        </w:rPr>
        <w:t xml:space="preserve">that </w:t>
      </w:r>
      <w:r>
        <w:rPr>
          <w:rFonts w:eastAsia="Arial"/>
          <w:iCs/>
          <w:szCs w:val="26"/>
        </w:rPr>
        <w:t xml:space="preserve">the law imposes a general </w:t>
      </w:r>
      <w:r w:rsidRPr="00035BDB">
        <w:rPr>
          <w:rFonts w:eastAsia="Arial"/>
          <w:iCs/>
          <w:szCs w:val="26"/>
        </w:rPr>
        <w:t xml:space="preserve">duty of care </w:t>
      </w:r>
      <w:r>
        <w:rPr>
          <w:rFonts w:eastAsia="Arial"/>
          <w:iCs/>
          <w:szCs w:val="26"/>
        </w:rPr>
        <w:t>on a defendant only when it is the defendant who has “ ‘created a risk’ ” of harm to the plaintiff</w:t>
      </w:r>
      <w:r w:rsidR="00493194">
        <w:rPr>
          <w:rFonts w:eastAsia="Arial"/>
          <w:iCs/>
          <w:szCs w:val="26"/>
        </w:rPr>
        <w:t>, including when</w:t>
      </w:r>
      <w:r>
        <w:rPr>
          <w:rFonts w:eastAsia="Arial"/>
          <w:iCs/>
          <w:szCs w:val="26"/>
        </w:rPr>
        <w:t xml:space="preserve"> </w:t>
      </w:r>
      <w:r w:rsidRPr="00035BDB">
        <w:rPr>
          <w:rFonts w:eastAsia="Arial"/>
          <w:iCs/>
          <w:szCs w:val="26"/>
        </w:rPr>
        <w:t>“</w:t>
      </w:r>
      <w:r>
        <w:rPr>
          <w:rFonts w:eastAsia="Arial"/>
          <w:iCs/>
          <w:szCs w:val="26"/>
        </w:rPr>
        <w:t> ‘</w:t>
      </w:r>
      <w:r w:rsidRPr="00035BDB">
        <w:rPr>
          <w:rFonts w:eastAsia="Arial"/>
          <w:iCs/>
          <w:szCs w:val="26"/>
        </w:rPr>
        <w:t>the defendant is responsible for making the plaintiff’s position worse</w:t>
      </w:r>
      <w:r w:rsidR="008A5661">
        <w:rPr>
          <w:rFonts w:eastAsia="Arial"/>
          <w:iCs/>
          <w:szCs w:val="26"/>
        </w:rPr>
        <w:t>.</w:t>
      </w:r>
      <w:r>
        <w:rPr>
          <w:rFonts w:eastAsia="Arial"/>
          <w:iCs/>
          <w:szCs w:val="26"/>
        </w:rPr>
        <w:t xml:space="preserve">’ ”  </w:t>
      </w:r>
      <w:r w:rsidRPr="00035BDB">
        <w:rPr>
          <w:rFonts w:eastAsia="Arial"/>
          <w:iCs/>
          <w:szCs w:val="26"/>
        </w:rPr>
        <w:t>(</w:t>
      </w:r>
      <w:r w:rsidRPr="006F6DA6">
        <w:rPr>
          <w:rFonts w:eastAsia="Arial"/>
          <w:i/>
          <w:iCs/>
          <w:szCs w:val="26"/>
        </w:rPr>
        <w:t xml:space="preserve">Lugtu v. California Highway Patrol </w:t>
      </w:r>
      <w:r w:rsidRPr="006F6DA6">
        <w:rPr>
          <w:rFonts w:eastAsia="Arial"/>
          <w:iCs/>
          <w:szCs w:val="26"/>
        </w:rPr>
        <w:t>(2001) 26 Cal.4th 703</w:t>
      </w:r>
      <w:r>
        <w:rPr>
          <w:rFonts w:eastAsia="Arial"/>
          <w:iCs/>
          <w:szCs w:val="26"/>
        </w:rPr>
        <w:t xml:space="preserve">, 716, quoting </w:t>
      </w:r>
      <w:r w:rsidRPr="00E13CC1">
        <w:rPr>
          <w:i/>
          <w:iCs/>
          <w:szCs w:val="26"/>
        </w:rPr>
        <w:t>Weirum v. RKO Gen</w:t>
      </w:r>
      <w:r>
        <w:rPr>
          <w:i/>
          <w:iCs/>
          <w:szCs w:val="26"/>
        </w:rPr>
        <w:t>eral</w:t>
      </w:r>
      <w:r w:rsidRPr="00E13CC1">
        <w:rPr>
          <w:i/>
          <w:iCs/>
          <w:szCs w:val="26"/>
        </w:rPr>
        <w:t>, Inc.</w:t>
      </w:r>
      <w:r w:rsidRPr="00E67090">
        <w:rPr>
          <w:iCs/>
          <w:szCs w:val="26"/>
        </w:rPr>
        <w:t xml:space="preserve"> (1975) 15 Cal.3d 40, 49</w:t>
      </w:r>
      <w:r>
        <w:rPr>
          <w:rFonts w:eastAsia="Arial"/>
          <w:iCs/>
          <w:szCs w:val="26"/>
        </w:rPr>
        <w:t xml:space="preserve">; see </w:t>
      </w:r>
      <w:r>
        <w:rPr>
          <w:rFonts w:eastAsia="Arial"/>
          <w:i/>
          <w:iCs/>
          <w:szCs w:val="26"/>
        </w:rPr>
        <w:t>Lugtu</w:t>
      </w:r>
      <w:r>
        <w:rPr>
          <w:rFonts w:eastAsia="Arial"/>
          <w:iCs/>
          <w:szCs w:val="26"/>
        </w:rPr>
        <w:t>, at p. 716 [</w:t>
      </w:r>
      <w:r w:rsidRPr="006F6DA6">
        <w:rPr>
          <w:rFonts w:eastAsia="Arial"/>
          <w:iCs/>
          <w:szCs w:val="26"/>
        </w:rPr>
        <w:t>“Under general negligence principles,</w:t>
      </w:r>
      <w:r>
        <w:rPr>
          <w:rFonts w:eastAsia="Arial"/>
          <w:iCs/>
          <w:szCs w:val="26"/>
        </w:rPr>
        <w:t> . . .</w:t>
      </w:r>
      <w:r w:rsidRPr="006F6DA6">
        <w:rPr>
          <w:rFonts w:eastAsia="Arial"/>
          <w:iCs/>
          <w:szCs w:val="26"/>
        </w:rPr>
        <w:t xml:space="preserve"> a person ordinarily is obligated to exercise due care in his or her own actions so as not to </w:t>
      </w:r>
      <w:r w:rsidRPr="00300C44">
        <w:rPr>
          <w:rFonts w:eastAsia="Arial"/>
          <w:iCs/>
          <w:szCs w:val="26"/>
        </w:rPr>
        <w:t>create an unreasonable risk of injury to others</w:t>
      </w:r>
      <w:r>
        <w:rPr>
          <w:rFonts w:eastAsia="Arial"/>
          <w:iCs/>
          <w:szCs w:val="26"/>
        </w:rPr>
        <w:t> </w:t>
      </w:r>
      <w:r w:rsidRPr="006F6DA6">
        <w:rPr>
          <w:rFonts w:eastAsia="Arial"/>
          <w:iCs/>
          <w:szCs w:val="26"/>
        </w:rPr>
        <w:t>.</w:t>
      </w:r>
      <w:r>
        <w:rPr>
          <w:rFonts w:eastAsia="Arial"/>
          <w:iCs/>
          <w:szCs w:val="26"/>
        </w:rPr>
        <w:t> . . .</w:t>
      </w:r>
      <w:r w:rsidRPr="006F6DA6">
        <w:rPr>
          <w:rFonts w:eastAsia="Arial"/>
          <w:iCs/>
          <w:szCs w:val="26"/>
        </w:rPr>
        <w:t>”</w:t>
      </w:r>
      <w:r>
        <w:rPr>
          <w:rFonts w:eastAsia="Arial"/>
          <w:iCs/>
          <w:szCs w:val="26"/>
        </w:rPr>
        <w:t xml:space="preserve">  (Citing </w:t>
      </w:r>
      <w:r w:rsidRPr="006F6DA6">
        <w:rPr>
          <w:rFonts w:eastAsia="Arial"/>
          <w:iCs/>
          <w:szCs w:val="26"/>
        </w:rPr>
        <w:t>§</w:t>
      </w:r>
      <w:r>
        <w:rPr>
          <w:rFonts w:eastAsia="Arial"/>
          <w:iCs/>
          <w:szCs w:val="26"/>
        </w:rPr>
        <w:t> </w:t>
      </w:r>
      <w:r w:rsidRPr="006F6DA6">
        <w:rPr>
          <w:rFonts w:eastAsia="Arial"/>
          <w:iCs/>
          <w:szCs w:val="26"/>
        </w:rPr>
        <w:t>1714</w:t>
      </w:r>
      <w:r>
        <w:rPr>
          <w:rFonts w:eastAsia="Arial"/>
          <w:iCs/>
          <w:szCs w:val="26"/>
        </w:rPr>
        <w:t>.)].)</w:t>
      </w:r>
      <w:r>
        <w:rPr>
          <w:szCs w:val="26"/>
        </w:rPr>
        <w:t xml:space="preserve">  The </w:t>
      </w:r>
      <w:r w:rsidR="00A07F04">
        <w:rPr>
          <w:szCs w:val="26"/>
        </w:rPr>
        <w:t xml:space="preserve">law does not impose the same duty on a </w:t>
      </w:r>
      <w:r>
        <w:rPr>
          <w:szCs w:val="26"/>
        </w:rPr>
        <w:t>defendant who did not contribute to the risk that the plaintiff would suffer the harm alleged.  G</w:t>
      </w:r>
      <w:r w:rsidRPr="00BF0139">
        <w:rPr>
          <w:szCs w:val="26"/>
        </w:rPr>
        <w:t>enerally</w:t>
      </w:r>
      <w:r>
        <w:rPr>
          <w:szCs w:val="26"/>
        </w:rPr>
        <w:t>,</w:t>
      </w:r>
      <w:r w:rsidRPr="00BF0139">
        <w:rPr>
          <w:szCs w:val="26"/>
        </w:rPr>
        <w:t xml:space="preserve"> </w:t>
      </w:r>
      <w:r>
        <w:rPr>
          <w:szCs w:val="26"/>
        </w:rPr>
        <w:t>the</w:t>
      </w:r>
      <w:r w:rsidRPr="00BF0139">
        <w:rPr>
          <w:szCs w:val="26"/>
        </w:rPr>
        <w:t xml:space="preserve"> “person who has not created a peril is not liable in tort merely for failure to take affirmative action to assist or protect another”</w:t>
      </w:r>
      <w:r>
        <w:rPr>
          <w:szCs w:val="26"/>
        </w:rPr>
        <w:t xml:space="preserve"> from that peril.  </w:t>
      </w:r>
      <w:r w:rsidRPr="00BF0139">
        <w:rPr>
          <w:szCs w:val="26"/>
        </w:rPr>
        <w:t>(</w:t>
      </w:r>
      <w:r w:rsidRPr="00CD6AAA">
        <w:rPr>
          <w:i/>
          <w:szCs w:val="26"/>
        </w:rPr>
        <w:t>Williams v. State of California</w:t>
      </w:r>
      <w:r w:rsidRPr="00BF0139">
        <w:rPr>
          <w:szCs w:val="26"/>
        </w:rPr>
        <w:t xml:space="preserve"> (1983) 34 Cal.3d 18, 23 (</w:t>
      </w:r>
      <w:r w:rsidRPr="00CD6AAA">
        <w:rPr>
          <w:i/>
          <w:szCs w:val="26"/>
        </w:rPr>
        <w:t>Williams</w:t>
      </w:r>
      <w:r w:rsidRPr="00BF0139">
        <w:rPr>
          <w:szCs w:val="26"/>
        </w:rPr>
        <w:t>)</w:t>
      </w:r>
      <w:r>
        <w:rPr>
          <w:szCs w:val="26"/>
        </w:rPr>
        <w:t xml:space="preserve">; accord, </w:t>
      </w:r>
      <w:r w:rsidRPr="00BF0139">
        <w:rPr>
          <w:i/>
          <w:szCs w:val="26"/>
        </w:rPr>
        <w:t>Weirum</w:t>
      </w:r>
      <w:r w:rsidRPr="00BF0139">
        <w:rPr>
          <w:szCs w:val="26"/>
        </w:rPr>
        <w:t xml:space="preserve">, </w:t>
      </w:r>
      <w:r>
        <w:rPr>
          <w:iCs/>
          <w:szCs w:val="26"/>
        </w:rPr>
        <w:t>at p.</w:t>
      </w:r>
      <w:r>
        <w:rPr>
          <w:szCs w:val="26"/>
        </w:rPr>
        <w:t> </w:t>
      </w:r>
      <w:r w:rsidRPr="00BF0139">
        <w:rPr>
          <w:szCs w:val="26"/>
        </w:rPr>
        <w:t>49</w:t>
      </w:r>
      <w:r>
        <w:rPr>
          <w:szCs w:val="26"/>
        </w:rPr>
        <w:t xml:space="preserve">; see </w:t>
      </w:r>
      <w:r w:rsidRPr="00035BDB">
        <w:rPr>
          <w:rFonts w:eastAsia="Arial"/>
          <w:iCs/>
          <w:szCs w:val="26"/>
        </w:rPr>
        <w:t>Rest.3d Torts, Liability for Physical and Emotional Harm</w:t>
      </w:r>
      <w:r>
        <w:rPr>
          <w:rFonts w:eastAsia="Arial"/>
          <w:iCs/>
          <w:szCs w:val="26"/>
        </w:rPr>
        <w:t xml:space="preserve"> (2012)</w:t>
      </w:r>
      <w:r w:rsidRPr="00035BDB">
        <w:rPr>
          <w:rFonts w:eastAsia="Arial"/>
          <w:iCs/>
          <w:szCs w:val="26"/>
        </w:rPr>
        <w:t xml:space="preserve"> §</w:t>
      </w:r>
      <w:r>
        <w:rPr>
          <w:rFonts w:eastAsia="Arial"/>
          <w:iCs/>
          <w:szCs w:val="26"/>
        </w:rPr>
        <w:t> 37</w:t>
      </w:r>
      <w:r w:rsidR="000F5410">
        <w:rPr>
          <w:rFonts w:eastAsia="Arial"/>
          <w:iCs/>
          <w:szCs w:val="26"/>
        </w:rPr>
        <w:t xml:space="preserve"> </w:t>
      </w:r>
      <w:r>
        <w:rPr>
          <w:rFonts w:eastAsia="Arial"/>
          <w:iCs/>
          <w:szCs w:val="26"/>
        </w:rPr>
        <w:t>[Generally, “[a]</w:t>
      </w:r>
      <w:r w:rsidRPr="006B3CD7">
        <w:rPr>
          <w:rFonts w:eastAsia="Arial"/>
          <w:iCs/>
          <w:szCs w:val="26"/>
        </w:rPr>
        <w:t>n actor whose conduct has not created a risk of physical or emotional harm to another has no duty of care to the oth</w:t>
      </w:r>
      <w:r w:rsidR="000F5410">
        <w:rPr>
          <w:rFonts w:eastAsia="Arial"/>
          <w:iCs/>
          <w:szCs w:val="26"/>
        </w:rPr>
        <w:t>er.</w:t>
      </w:r>
      <w:r>
        <w:rPr>
          <w:szCs w:val="26"/>
        </w:rPr>
        <w:t>”].)</w:t>
      </w:r>
      <w:r w:rsidRPr="00BF0139">
        <w:rPr>
          <w:szCs w:val="26"/>
        </w:rPr>
        <w:t xml:space="preserve">  </w:t>
      </w:r>
      <w:r>
        <w:rPr>
          <w:szCs w:val="26"/>
        </w:rPr>
        <w:t>For example, a person who stumbles upon someone drowning generally has no legal duty to help the victim.  The same rule applies to a person who stumbles upon</w:t>
      </w:r>
      <w:r w:rsidR="00FB328E">
        <w:rPr>
          <w:szCs w:val="26"/>
        </w:rPr>
        <w:t xml:space="preserve"> </w:t>
      </w:r>
      <w:r>
        <w:rPr>
          <w:szCs w:val="26"/>
        </w:rPr>
        <w:t>a mugging, for</w:t>
      </w:r>
      <w:r w:rsidR="006842DD">
        <w:rPr>
          <w:szCs w:val="26"/>
        </w:rPr>
        <w:t xml:space="preserve"> </w:t>
      </w:r>
      <w:r>
        <w:rPr>
          <w:szCs w:val="26"/>
        </w:rPr>
        <w:t>“a</w:t>
      </w:r>
      <w:r w:rsidRPr="00BF0139">
        <w:rPr>
          <w:szCs w:val="26"/>
        </w:rPr>
        <w:t>s a general matter, there is no duty to act to protect others from the conduct of third parties.”  (</w:t>
      </w:r>
      <w:r w:rsidRPr="008875C3">
        <w:rPr>
          <w:i/>
          <w:szCs w:val="26"/>
        </w:rPr>
        <w:t>Delgado v. Trax Bar &amp; Grill</w:t>
      </w:r>
      <w:r w:rsidRPr="00BF0139">
        <w:rPr>
          <w:szCs w:val="26"/>
        </w:rPr>
        <w:t xml:space="preserve"> (2005) 36 Cal.4th 224, 235 (</w:t>
      </w:r>
      <w:r w:rsidRPr="008875C3">
        <w:rPr>
          <w:i/>
          <w:szCs w:val="26"/>
        </w:rPr>
        <w:t>Delgado</w:t>
      </w:r>
      <w:r w:rsidRPr="00BF0139">
        <w:rPr>
          <w:szCs w:val="26"/>
        </w:rPr>
        <w:t>); see</w:t>
      </w:r>
      <w:r>
        <w:rPr>
          <w:szCs w:val="26"/>
        </w:rPr>
        <w:t xml:space="preserve"> also</w:t>
      </w:r>
      <w:r w:rsidRPr="00BF0139">
        <w:rPr>
          <w:szCs w:val="26"/>
        </w:rPr>
        <w:t xml:space="preserve"> </w:t>
      </w:r>
      <w:r w:rsidRPr="008875C3">
        <w:rPr>
          <w:i/>
          <w:szCs w:val="26"/>
        </w:rPr>
        <w:t>Regents</w:t>
      </w:r>
      <w:r>
        <w:rPr>
          <w:szCs w:val="26"/>
        </w:rPr>
        <w:t xml:space="preserve">, </w:t>
      </w:r>
      <w:r w:rsidRPr="008875C3">
        <w:rPr>
          <w:i/>
          <w:szCs w:val="26"/>
        </w:rPr>
        <w:t>supra</w:t>
      </w:r>
      <w:r>
        <w:rPr>
          <w:szCs w:val="26"/>
        </w:rPr>
        <w:t xml:space="preserve">, </w:t>
      </w:r>
      <w:r w:rsidRPr="008875C3">
        <w:rPr>
          <w:szCs w:val="26"/>
        </w:rPr>
        <w:t>4</w:t>
      </w:r>
      <w:r w:rsidRPr="00BF0139">
        <w:rPr>
          <w:szCs w:val="26"/>
        </w:rPr>
        <w:t xml:space="preserve"> Cal.5th </w:t>
      </w:r>
      <w:r>
        <w:rPr>
          <w:szCs w:val="26"/>
        </w:rPr>
        <w:t>at p. </w:t>
      </w:r>
      <w:r w:rsidRPr="00BF0139">
        <w:rPr>
          <w:szCs w:val="26"/>
        </w:rPr>
        <w:t>619 [Generally, “</w:t>
      </w:r>
      <w:r>
        <w:rPr>
          <w:szCs w:val="26"/>
        </w:rPr>
        <w:t> ‘</w:t>
      </w:r>
      <w:r w:rsidRPr="00BF0139">
        <w:rPr>
          <w:szCs w:val="26"/>
        </w:rPr>
        <w:t>one owes no duty to control the conduct of another, nor to warn those endangered by such conduct.</w:t>
      </w:r>
      <w:r>
        <w:rPr>
          <w:szCs w:val="26"/>
        </w:rPr>
        <w:t>’ </w:t>
      </w:r>
      <w:r w:rsidRPr="00BF0139">
        <w:rPr>
          <w:szCs w:val="26"/>
        </w:rPr>
        <w:t>”].)</w:t>
      </w:r>
      <w:r>
        <w:rPr>
          <w:rStyle w:val="FootnoteReference"/>
          <w:szCs w:val="26"/>
        </w:rPr>
        <w:footnoteReference w:id="7"/>
      </w:r>
    </w:p>
    <w:p w:rsidR="00D55A75" w:rsidP="00A055DD" w14:paraId="38CAC9E6" w14:textId="5197DAEF">
      <w:pPr>
        <w:tabs>
          <w:tab w:val="left" w:pos="1440"/>
        </w:tabs>
        <w:ind w:firstLine="720"/>
        <w:rPr>
          <w:szCs w:val="26"/>
        </w:rPr>
      </w:pPr>
      <w:r>
        <w:rPr>
          <w:szCs w:val="26"/>
        </w:rPr>
        <w:t>This general rule, we have explained, “derives from the common law’s distinction between misfeasance and nonfeasance, and its reluctance to impose liability for the latter.”  (</w:t>
      </w:r>
      <w:r w:rsidRPr="00302712">
        <w:rPr>
          <w:rFonts w:eastAsia="Arial"/>
          <w:i/>
          <w:iCs/>
          <w:szCs w:val="26"/>
        </w:rPr>
        <w:t>Tarasoff v. Regents of University of California</w:t>
      </w:r>
      <w:r w:rsidRPr="00302712">
        <w:rPr>
          <w:rFonts w:eastAsia="Arial"/>
          <w:iCs/>
          <w:szCs w:val="26"/>
        </w:rPr>
        <w:t xml:space="preserve"> (1976) 17 Cal.3d 425</w:t>
      </w:r>
      <w:r>
        <w:rPr>
          <w:rFonts w:eastAsia="Arial"/>
          <w:iCs/>
          <w:szCs w:val="26"/>
        </w:rPr>
        <w:t xml:space="preserve">, </w:t>
      </w:r>
      <w:r>
        <w:rPr>
          <w:szCs w:val="26"/>
        </w:rPr>
        <w:t xml:space="preserve">435, fn. 5.)  </w:t>
      </w:r>
      <w:r w:rsidR="005F6DF4">
        <w:rPr>
          <w:szCs w:val="26"/>
        </w:rPr>
        <w:t>Th</w:t>
      </w:r>
      <w:r w:rsidR="00FE586E">
        <w:rPr>
          <w:szCs w:val="26"/>
        </w:rPr>
        <w:t>at</w:t>
      </w:r>
      <w:r w:rsidR="005F6DF4">
        <w:rPr>
          <w:szCs w:val="26"/>
        </w:rPr>
        <w:t xml:space="preserve"> distinction </w:t>
      </w:r>
      <w:r w:rsidR="002B3D23">
        <w:rPr>
          <w:szCs w:val="26"/>
        </w:rPr>
        <w:t xml:space="preserve">has deep roots </w:t>
      </w:r>
      <w:r>
        <w:rPr>
          <w:szCs w:val="26"/>
        </w:rPr>
        <w:t>in the law</w:t>
      </w:r>
      <w:r w:rsidR="009C29CE">
        <w:rPr>
          <w:szCs w:val="26"/>
        </w:rPr>
        <w:t>.</w:t>
      </w:r>
      <w:r>
        <w:rPr>
          <w:szCs w:val="26"/>
        </w:rPr>
        <w:t xml:space="preserve"> </w:t>
      </w:r>
      <w:r w:rsidR="009C29CE">
        <w:rPr>
          <w:szCs w:val="26"/>
        </w:rPr>
        <w:t xml:space="preserve"> </w:t>
      </w:r>
      <w:r w:rsidR="0038481D">
        <w:rPr>
          <w:szCs w:val="26"/>
        </w:rPr>
        <w:t>(See</w:t>
      </w:r>
      <w:r w:rsidR="008C6F4B">
        <w:rPr>
          <w:szCs w:val="26"/>
        </w:rPr>
        <w:t xml:space="preserve">, e.g., Bohlen, </w:t>
      </w:r>
      <w:r w:rsidR="008C6F4B">
        <w:rPr>
          <w:i/>
          <w:iCs/>
          <w:szCs w:val="26"/>
        </w:rPr>
        <w:t>The Moral Duty to Aid Others as a Basis of Tort Liability</w:t>
      </w:r>
      <w:r w:rsidR="008C6F4B">
        <w:rPr>
          <w:szCs w:val="26"/>
        </w:rPr>
        <w:t xml:space="preserve"> (1908) 56 U.Pa. L.Rev. 217, 219 [“There is no distinction more deeply rooted in the common law and more fundamental than that between misfeasance and non-feasance, between active misconduct working positive injury to others and passive in action, a failure to take positive steps to benefit others, or to protect them from harm not created by any wrongful act of the defendant.”].)</w:t>
      </w:r>
      <w:r>
        <w:rPr>
          <w:rStyle w:val="FootnoteReference"/>
          <w:szCs w:val="26"/>
        </w:rPr>
        <w:footnoteReference w:id="8"/>
      </w:r>
      <w:r w:rsidR="005F6DF4">
        <w:rPr>
          <w:szCs w:val="26"/>
        </w:rPr>
        <w:t xml:space="preserve">  </w:t>
      </w:r>
      <w:r w:rsidR="0093172A">
        <w:rPr>
          <w:szCs w:val="26"/>
        </w:rPr>
        <w:t>A</w:t>
      </w:r>
      <w:r w:rsidR="00307E16">
        <w:rPr>
          <w:szCs w:val="26"/>
        </w:rPr>
        <w:t>nd a</w:t>
      </w:r>
      <w:r w:rsidR="005F6DF4">
        <w:rPr>
          <w:szCs w:val="26"/>
        </w:rPr>
        <w:t xml:space="preserve">lthough it may sometimes produce </w:t>
      </w:r>
      <w:r w:rsidR="00DA24C4">
        <w:rPr>
          <w:szCs w:val="26"/>
        </w:rPr>
        <w:t xml:space="preserve">outcomes that appear </w:t>
      </w:r>
      <w:r w:rsidR="000B08DC">
        <w:rPr>
          <w:szCs w:val="26"/>
        </w:rPr>
        <w:t>“</w:t>
      </w:r>
      <w:r w:rsidR="004401FA">
        <w:rPr>
          <w:szCs w:val="26"/>
        </w:rPr>
        <w:t>[</w:t>
      </w:r>
      <w:r w:rsidR="000B08DC">
        <w:rPr>
          <w:szCs w:val="26"/>
        </w:rPr>
        <w:t>m</w:t>
      </w:r>
      <w:r w:rsidR="004401FA">
        <w:rPr>
          <w:szCs w:val="26"/>
        </w:rPr>
        <w:t>]</w:t>
      </w:r>
      <w:r w:rsidR="005F6DF4">
        <w:rPr>
          <w:szCs w:val="26"/>
        </w:rPr>
        <w:t xml:space="preserve">orally questionable” </w:t>
      </w:r>
      <w:r w:rsidR="002C56A0">
        <w:rPr>
          <w:szCs w:val="26"/>
        </w:rPr>
        <w:t>(</w:t>
      </w:r>
      <w:r w:rsidR="002C56A0">
        <w:rPr>
          <w:i/>
          <w:iCs/>
          <w:szCs w:val="26"/>
        </w:rPr>
        <w:t>Tarasoff</w:t>
      </w:r>
      <w:r w:rsidR="002C56A0">
        <w:rPr>
          <w:szCs w:val="26"/>
        </w:rPr>
        <w:t xml:space="preserve">, </w:t>
      </w:r>
      <w:r w:rsidR="004401FA">
        <w:rPr>
          <w:szCs w:val="26"/>
        </w:rPr>
        <w:t xml:space="preserve">at </w:t>
      </w:r>
      <w:r w:rsidR="00716EA6">
        <w:rPr>
          <w:szCs w:val="26"/>
        </w:rPr>
        <w:t>p.</w:t>
      </w:r>
      <w:r w:rsidR="00B46068">
        <w:rPr>
          <w:szCs w:val="26"/>
        </w:rPr>
        <w:t> </w:t>
      </w:r>
      <w:r w:rsidR="00716EA6">
        <w:rPr>
          <w:szCs w:val="26"/>
        </w:rPr>
        <w:t>435</w:t>
      </w:r>
      <w:r w:rsidR="004401FA">
        <w:rPr>
          <w:szCs w:val="26"/>
        </w:rPr>
        <w:t>, fn. 5</w:t>
      </w:r>
      <w:r w:rsidR="00716EA6">
        <w:rPr>
          <w:szCs w:val="26"/>
        </w:rPr>
        <w:t>)</w:t>
      </w:r>
      <w:r w:rsidR="00481B59">
        <w:rPr>
          <w:szCs w:val="26"/>
        </w:rPr>
        <w:t>,</w:t>
      </w:r>
      <w:r w:rsidR="00716EA6">
        <w:rPr>
          <w:szCs w:val="26"/>
        </w:rPr>
        <w:t xml:space="preserve"> </w:t>
      </w:r>
      <w:r w:rsidR="008A2059">
        <w:rPr>
          <w:szCs w:val="26"/>
        </w:rPr>
        <w:t xml:space="preserve">there are </w:t>
      </w:r>
      <w:r w:rsidR="00481B59">
        <w:rPr>
          <w:szCs w:val="26"/>
        </w:rPr>
        <w:t xml:space="preserve">several </w:t>
      </w:r>
      <w:r w:rsidR="008A2059">
        <w:rPr>
          <w:szCs w:val="26"/>
        </w:rPr>
        <w:t xml:space="preserve">reasons </w:t>
      </w:r>
      <w:r w:rsidR="00FB462D">
        <w:rPr>
          <w:szCs w:val="26"/>
        </w:rPr>
        <w:t xml:space="preserve">the no-duty-to-protect rule </w:t>
      </w:r>
      <w:r w:rsidR="001B638F">
        <w:rPr>
          <w:szCs w:val="26"/>
        </w:rPr>
        <w:t xml:space="preserve">has </w:t>
      </w:r>
      <w:r w:rsidR="00722DE3">
        <w:rPr>
          <w:szCs w:val="26"/>
        </w:rPr>
        <w:t>endured</w:t>
      </w:r>
      <w:r w:rsidR="00B105A9">
        <w:rPr>
          <w:szCs w:val="26"/>
        </w:rPr>
        <w:t xml:space="preserve">. </w:t>
      </w:r>
      <w:r w:rsidR="00857559">
        <w:rPr>
          <w:szCs w:val="26"/>
        </w:rPr>
        <w:t xml:space="preserve"> </w:t>
      </w:r>
      <w:r w:rsidR="00F46608">
        <w:rPr>
          <w:szCs w:val="26"/>
        </w:rPr>
        <w:t xml:space="preserve">The most commonly cited reason for the rule </w:t>
      </w:r>
      <w:r w:rsidR="008E6898">
        <w:rPr>
          <w:szCs w:val="26"/>
        </w:rPr>
        <w:t>is rooted in “the liberal tradition of individual freedom and autonomy”</w:t>
      </w:r>
      <w:r w:rsidR="00F37853">
        <w:rPr>
          <w:szCs w:val="26"/>
        </w:rPr>
        <w:t xml:space="preserve"> — the idea that a person should be able to </w:t>
      </w:r>
      <w:r w:rsidR="007D6ED4">
        <w:rPr>
          <w:szCs w:val="26"/>
        </w:rPr>
        <w:t xml:space="preserve">freely </w:t>
      </w:r>
      <w:r w:rsidR="00F37853">
        <w:rPr>
          <w:szCs w:val="26"/>
        </w:rPr>
        <w:t>choose whether to come to the aid of a stranger</w:t>
      </w:r>
      <w:r w:rsidR="007D6ED4">
        <w:rPr>
          <w:szCs w:val="26"/>
        </w:rPr>
        <w:t xml:space="preserve">, without fear of </w:t>
      </w:r>
      <w:r w:rsidR="003C53F6">
        <w:rPr>
          <w:szCs w:val="26"/>
        </w:rPr>
        <w:t xml:space="preserve">incurring legal </w:t>
      </w:r>
      <w:r w:rsidR="007D6ED4">
        <w:rPr>
          <w:szCs w:val="26"/>
        </w:rPr>
        <w:t>liability</w:t>
      </w:r>
      <w:r w:rsidR="0093248D">
        <w:rPr>
          <w:szCs w:val="26"/>
        </w:rPr>
        <w:t xml:space="preserve"> for the choice</w:t>
      </w:r>
      <w:r w:rsidR="007D6ED4">
        <w:rPr>
          <w:szCs w:val="26"/>
        </w:rPr>
        <w:t>.</w:t>
      </w:r>
      <w:r w:rsidR="008E6898">
        <w:rPr>
          <w:szCs w:val="26"/>
        </w:rPr>
        <w:t xml:space="preserve">  (</w:t>
      </w:r>
      <w:r w:rsidR="00EF147C">
        <w:rPr>
          <w:szCs w:val="26"/>
        </w:rPr>
        <w:t xml:space="preserve">Rest.3d Torts, </w:t>
      </w:r>
      <w:r w:rsidR="00EF147C">
        <w:rPr>
          <w:i/>
          <w:iCs/>
          <w:szCs w:val="26"/>
        </w:rPr>
        <w:t>supra</w:t>
      </w:r>
      <w:r w:rsidR="00EF147C">
        <w:rPr>
          <w:szCs w:val="26"/>
        </w:rPr>
        <w:t>,</w:t>
      </w:r>
      <w:r w:rsidR="00C60BB8">
        <w:rPr>
          <w:szCs w:val="26"/>
        </w:rPr>
        <w:t xml:space="preserve"> § 37, com. e, p. 5</w:t>
      </w:r>
      <w:r w:rsidR="00C9169A">
        <w:rPr>
          <w:szCs w:val="26"/>
        </w:rPr>
        <w:t xml:space="preserve">.)  </w:t>
      </w:r>
      <w:r w:rsidR="000C3272">
        <w:rPr>
          <w:szCs w:val="26"/>
        </w:rPr>
        <w:t xml:space="preserve">But </w:t>
      </w:r>
      <w:r w:rsidR="00B854EC">
        <w:rPr>
          <w:szCs w:val="26"/>
        </w:rPr>
        <w:t xml:space="preserve">our cases have recognized other reasons as well, </w:t>
      </w:r>
      <w:r>
        <w:rPr>
          <w:szCs w:val="26"/>
        </w:rPr>
        <w:t>including “ ‘the difficulties of setting any standards of unselfish service to fellow men,</w:t>
      </w:r>
      <w:r w:rsidR="004401FA">
        <w:rPr>
          <w:szCs w:val="26"/>
        </w:rPr>
        <w:t>’ </w:t>
      </w:r>
      <w:r w:rsidR="001904EA">
        <w:rPr>
          <w:szCs w:val="26"/>
        </w:rPr>
        <w:t xml:space="preserve">” </w:t>
      </w:r>
      <w:r w:rsidR="00104459">
        <w:rPr>
          <w:szCs w:val="26"/>
        </w:rPr>
        <w:t xml:space="preserve">and </w:t>
      </w:r>
      <w:r w:rsidR="001904EA">
        <w:rPr>
          <w:szCs w:val="26"/>
        </w:rPr>
        <w:t>the challenge of</w:t>
      </w:r>
      <w:r>
        <w:rPr>
          <w:szCs w:val="26"/>
        </w:rPr>
        <w:t xml:space="preserve"> </w:t>
      </w:r>
      <w:r w:rsidR="001904EA">
        <w:rPr>
          <w:szCs w:val="26"/>
        </w:rPr>
        <w:t>“</w:t>
      </w:r>
      <w:r w:rsidR="00DA3E76">
        <w:rPr>
          <w:szCs w:val="26"/>
        </w:rPr>
        <w:t> ‘</w:t>
      </w:r>
      <w:r>
        <w:rPr>
          <w:szCs w:val="26"/>
        </w:rPr>
        <w:t>making any workable rule to cover possible situations where fifty people might fail to rescue.’ ”  (</w:t>
      </w:r>
      <w:r w:rsidR="00D85670">
        <w:rPr>
          <w:i/>
          <w:iCs/>
          <w:szCs w:val="26"/>
        </w:rPr>
        <w:t>Tarasoff</w:t>
      </w:r>
      <w:r w:rsidR="00D85670">
        <w:rPr>
          <w:szCs w:val="26"/>
        </w:rPr>
        <w:t>, at p.</w:t>
      </w:r>
      <w:r w:rsidR="00B46068">
        <w:rPr>
          <w:szCs w:val="26"/>
        </w:rPr>
        <w:t> </w:t>
      </w:r>
      <w:r w:rsidR="00D85670">
        <w:rPr>
          <w:szCs w:val="26"/>
        </w:rPr>
        <w:t>435</w:t>
      </w:r>
      <w:r>
        <w:rPr>
          <w:szCs w:val="26"/>
        </w:rPr>
        <w:t xml:space="preserve">, </w:t>
      </w:r>
      <w:r w:rsidR="004401FA">
        <w:rPr>
          <w:szCs w:val="26"/>
        </w:rPr>
        <w:t>fn.</w:t>
      </w:r>
      <w:r w:rsidR="0052505E">
        <w:rPr>
          <w:szCs w:val="26"/>
        </w:rPr>
        <w:t> </w:t>
      </w:r>
      <w:r w:rsidR="004401FA">
        <w:rPr>
          <w:szCs w:val="26"/>
        </w:rPr>
        <w:t xml:space="preserve">5, </w:t>
      </w:r>
      <w:r>
        <w:rPr>
          <w:szCs w:val="26"/>
        </w:rPr>
        <w:t xml:space="preserve">quoting </w:t>
      </w:r>
      <w:r w:rsidRPr="005E0827">
        <w:rPr>
          <w:szCs w:val="26"/>
        </w:rPr>
        <w:t>Prosser, Torts (4th ed. 1971) §</w:t>
      </w:r>
      <w:r>
        <w:rPr>
          <w:szCs w:val="26"/>
        </w:rPr>
        <w:t> </w:t>
      </w:r>
      <w:r w:rsidRPr="005E0827">
        <w:rPr>
          <w:szCs w:val="26"/>
        </w:rPr>
        <w:t>56, p.</w:t>
      </w:r>
      <w:r>
        <w:rPr>
          <w:szCs w:val="26"/>
        </w:rPr>
        <w:t> </w:t>
      </w:r>
      <w:r w:rsidRPr="005E0827">
        <w:rPr>
          <w:szCs w:val="26"/>
        </w:rPr>
        <w:t>341</w:t>
      </w:r>
      <w:r w:rsidR="00E07A2B">
        <w:rPr>
          <w:szCs w:val="26"/>
        </w:rPr>
        <w:t>.)</w:t>
      </w:r>
    </w:p>
    <w:p w:rsidR="00D55A75" w:rsidRPr="00C60C2E" w:rsidP="0046714A" w14:paraId="56B03EB7" w14:textId="043D6ABE">
      <w:pPr>
        <w:tabs>
          <w:tab w:val="left" w:pos="1440"/>
        </w:tabs>
        <w:ind w:firstLine="720"/>
        <w:rPr>
          <w:szCs w:val="26"/>
        </w:rPr>
      </w:pPr>
      <w:r>
        <w:rPr>
          <w:szCs w:val="26"/>
        </w:rPr>
        <w:t xml:space="preserve">The no-duty-to-protect rule is </w:t>
      </w:r>
      <w:r w:rsidR="00467A47">
        <w:rPr>
          <w:szCs w:val="26"/>
        </w:rPr>
        <w:t>not absolute</w:t>
      </w:r>
      <w:r w:rsidR="00F70616">
        <w:rPr>
          <w:szCs w:val="26"/>
        </w:rPr>
        <w:t>, however</w:t>
      </w:r>
      <w:r w:rsidR="00122A99">
        <w:rPr>
          <w:szCs w:val="26"/>
        </w:rPr>
        <w:t>; this court has recognized a number of exceptions</w:t>
      </w:r>
      <w:r>
        <w:rPr>
          <w:szCs w:val="26"/>
        </w:rPr>
        <w:t xml:space="preserve">.  </w:t>
      </w:r>
      <w:r>
        <w:rPr>
          <w:rFonts w:eastAsia="Arial"/>
          <w:iCs/>
          <w:szCs w:val="26"/>
        </w:rPr>
        <w:t>(</w:t>
      </w:r>
      <w:r>
        <w:rPr>
          <w:rFonts w:eastAsia="Arial"/>
          <w:i/>
          <w:iCs/>
          <w:szCs w:val="26"/>
        </w:rPr>
        <w:t>Delgado</w:t>
      </w:r>
      <w:r>
        <w:rPr>
          <w:rFonts w:eastAsia="Arial"/>
          <w:iCs/>
          <w:szCs w:val="26"/>
        </w:rPr>
        <w:t xml:space="preserve">, </w:t>
      </w:r>
      <w:r>
        <w:rPr>
          <w:rFonts w:eastAsia="Arial"/>
          <w:i/>
          <w:iCs/>
          <w:szCs w:val="26"/>
        </w:rPr>
        <w:t>supra</w:t>
      </w:r>
      <w:r>
        <w:rPr>
          <w:rFonts w:eastAsia="Arial"/>
          <w:iCs/>
          <w:szCs w:val="26"/>
        </w:rPr>
        <w:t>, 36 Cal.4th at p. 235.)  Under some circumstances, a defendant may have an affirmative duty to protect the plaintiff from harm</w:t>
      </w:r>
      <w:r w:rsidR="003134B3">
        <w:rPr>
          <w:rFonts w:eastAsia="Arial"/>
          <w:iCs/>
          <w:szCs w:val="26"/>
        </w:rPr>
        <w:t xml:space="preserve"> at the hands of a third party</w:t>
      </w:r>
      <w:r>
        <w:rPr>
          <w:rFonts w:eastAsia="Arial"/>
          <w:iCs/>
          <w:szCs w:val="26"/>
        </w:rPr>
        <w:t>, even though the risk of harm is not of the defendant’s own making.  (</w:t>
      </w:r>
      <w:r w:rsidRPr="00BC0F4C">
        <w:rPr>
          <w:rFonts w:eastAsia="Arial"/>
          <w:i/>
          <w:szCs w:val="26"/>
        </w:rPr>
        <w:t>Ibid.</w:t>
      </w:r>
      <w:r>
        <w:rPr>
          <w:rFonts w:eastAsia="Arial"/>
          <w:iCs/>
          <w:szCs w:val="26"/>
        </w:rPr>
        <w:t xml:space="preserve">; see also Rest.3d Torts, </w:t>
      </w:r>
      <w:r>
        <w:rPr>
          <w:rFonts w:eastAsia="Arial"/>
          <w:i/>
          <w:iCs/>
          <w:szCs w:val="26"/>
        </w:rPr>
        <w:t>supra</w:t>
      </w:r>
      <w:r>
        <w:rPr>
          <w:rFonts w:eastAsia="Arial"/>
          <w:iCs/>
          <w:szCs w:val="26"/>
        </w:rPr>
        <w:t xml:space="preserve">, </w:t>
      </w:r>
      <w:r w:rsidRPr="00035BDB">
        <w:rPr>
          <w:rFonts w:eastAsia="Arial"/>
          <w:iCs/>
          <w:szCs w:val="26"/>
        </w:rPr>
        <w:t>§</w:t>
      </w:r>
      <w:r>
        <w:rPr>
          <w:rFonts w:eastAsia="Arial"/>
          <w:iCs/>
          <w:szCs w:val="26"/>
        </w:rPr>
        <w:t> 37.)  For example,</w:t>
      </w:r>
      <w:r w:rsidRPr="00F53028">
        <w:rPr>
          <w:szCs w:val="26"/>
        </w:rPr>
        <w:t xml:space="preserve"> </w:t>
      </w:r>
      <w:r>
        <w:rPr>
          <w:szCs w:val="26"/>
        </w:rPr>
        <w:t>if a person does</w:t>
      </w:r>
      <w:r w:rsidR="000068F7">
        <w:rPr>
          <w:szCs w:val="26"/>
        </w:rPr>
        <w:t xml:space="preserve"> choose to</w:t>
      </w:r>
      <w:r>
        <w:rPr>
          <w:szCs w:val="26"/>
        </w:rPr>
        <w:t xml:space="preserve"> </w:t>
      </w:r>
      <w:r w:rsidRPr="0021104C">
        <w:rPr>
          <w:szCs w:val="26"/>
        </w:rPr>
        <w:t>“undertake</w:t>
      </w:r>
      <w:r>
        <w:rPr>
          <w:szCs w:val="26"/>
        </w:rPr>
        <w:t>[]</w:t>
      </w:r>
      <w:r w:rsidRPr="0021104C">
        <w:rPr>
          <w:szCs w:val="26"/>
        </w:rPr>
        <w:t xml:space="preserve"> to come to the aid of another</w:t>
      </w:r>
      <w:r>
        <w:rPr>
          <w:szCs w:val="26"/>
        </w:rPr>
        <w:t xml:space="preserve">,” she may </w:t>
      </w:r>
      <w:r w:rsidR="00FE4BFB">
        <w:rPr>
          <w:szCs w:val="26"/>
        </w:rPr>
        <w:t xml:space="preserve">then </w:t>
      </w:r>
      <w:r>
        <w:rPr>
          <w:szCs w:val="26"/>
        </w:rPr>
        <w:t xml:space="preserve">have an affirmative duty to exercise reasonable care in </w:t>
      </w:r>
      <w:r w:rsidR="004D4D56">
        <w:rPr>
          <w:szCs w:val="26"/>
        </w:rPr>
        <w:t xml:space="preserve">that </w:t>
      </w:r>
      <w:r>
        <w:rPr>
          <w:szCs w:val="26"/>
        </w:rPr>
        <w:t xml:space="preserve">undertaking.  </w:t>
      </w:r>
      <w:r w:rsidRPr="0021104C">
        <w:rPr>
          <w:szCs w:val="26"/>
        </w:rPr>
        <w:t>(</w:t>
      </w:r>
      <w:r w:rsidRPr="00816C98">
        <w:rPr>
          <w:i/>
          <w:szCs w:val="26"/>
        </w:rPr>
        <w:t>Williams</w:t>
      </w:r>
      <w:r w:rsidRPr="0021104C">
        <w:rPr>
          <w:szCs w:val="26"/>
        </w:rPr>
        <w:t xml:space="preserve">, </w:t>
      </w:r>
      <w:r w:rsidRPr="00816C98">
        <w:rPr>
          <w:i/>
          <w:szCs w:val="26"/>
        </w:rPr>
        <w:t>supra</w:t>
      </w:r>
      <w:r w:rsidRPr="0021104C">
        <w:rPr>
          <w:szCs w:val="26"/>
        </w:rPr>
        <w:t>, 34 Cal.3d at p.</w:t>
      </w:r>
      <w:r>
        <w:rPr>
          <w:szCs w:val="26"/>
        </w:rPr>
        <w:t> </w:t>
      </w:r>
      <w:r w:rsidRPr="0021104C">
        <w:rPr>
          <w:szCs w:val="26"/>
        </w:rPr>
        <w:t>23</w:t>
      </w:r>
      <w:r>
        <w:rPr>
          <w:szCs w:val="26"/>
        </w:rPr>
        <w:t xml:space="preserve"> [describing the negligent undertaking doctrine]; see, e.g., </w:t>
      </w:r>
      <w:r w:rsidRPr="00777C15">
        <w:rPr>
          <w:i/>
          <w:szCs w:val="26"/>
        </w:rPr>
        <w:t>Paz v. State of California</w:t>
      </w:r>
      <w:r w:rsidRPr="0021104C">
        <w:rPr>
          <w:szCs w:val="26"/>
        </w:rPr>
        <w:t xml:space="preserve"> (2000) 22 Cal.4th 550, 559</w:t>
      </w:r>
      <w:r>
        <w:rPr>
          <w:szCs w:val="26"/>
        </w:rPr>
        <w:t xml:space="preserve">; </w:t>
      </w:r>
      <w:r w:rsidRPr="0021104C">
        <w:rPr>
          <w:szCs w:val="26"/>
        </w:rPr>
        <w:t>Rest.3d Torts,</w:t>
      </w:r>
      <w:r>
        <w:rPr>
          <w:szCs w:val="26"/>
        </w:rPr>
        <w:t xml:space="preserve"> </w:t>
      </w:r>
      <w:r>
        <w:rPr>
          <w:i/>
          <w:szCs w:val="26"/>
        </w:rPr>
        <w:t>supra</w:t>
      </w:r>
      <w:r>
        <w:rPr>
          <w:szCs w:val="26"/>
        </w:rPr>
        <w:t>,</w:t>
      </w:r>
      <w:r w:rsidRPr="0021104C">
        <w:rPr>
          <w:szCs w:val="26"/>
        </w:rPr>
        <w:t xml:space="preserve"> §</w:t>
      </w:r>
      <w:r>
        <w:rPr>
          <w:szCs w:val="26"/>
        </w:rPr>
        <w:t> </w:t>
      </w:r>
      <w:r w:rsidRPr="0021104C">
        <w:rPr>
          <w:szCs w:val="26"/>
        </w:rPr>
        <w:t>42</w:t>
      </w:r>
      <w:r>
        <w:rPr>
          <w:szCs w:val="26"/>
        </w:rPr>
        <w:t xml:space="preserve">.)  </w:t>
      </w:r>
      <w:r w:rsidR="0073578B">
        <w:rPr>
          <w:szCs w:val="26"/>
        </w:rPr>
        <w:t xml:space="preserve">We here focus, </w:t>
      </w:r>
      <w:r w:rsidR="00C22D94">
        <w:rPr>
          <w:szCs w:val="26"/>
        </w:rPr>
        <w:t xml:space="preserve">along </w:t>
      </w:r>
      <w:r w:rsidR="0073578B">
        <w:rPr>
          <w:szCs w:val="26"/>
        </w:rPr>
        <w:t xml:space="preserve">with the parties, on </w:t>
      </w:r>
      <w:r w:rsidR="00B07B95">
        <w:rPr>
          <w:szCs w:val="26"/>
        </w:rPr>
        <w:t>a</w:t>
      </w:r>
      <w:r w:rsidR="00500D3B">
        <w:rPr>
          <w:szCs w:val="26"/>
        </w:rPr>
        <w:t xml:space="preserve">nother </w:t>
      </w:r>
      <w:r w:rsidR="002313C9">
        <w:rPr>
          <w:szCs w:val="26"/>
        </w:rPr>
        <w:t xml:space="preserve">basis for finding an affirmative duty:  </w:t>
      </w:r>
      <w:r w:rsidR="00640C49">
        <w:rPr>
          <w:szCs w:val="26"/>
        </w:rPr>
        <w:t>I</w:t>
      </w:r>
      <w:r>
        <w:rPr>
          <w:szCs w:val="26"/>
        </w:rPr>
        <w:t xml:space="preserve">n a case involving harm caused by a third party, a person may have an affirmative duty to protect the victim of another’s harm if that person is in what the law calls a “special relationship” with either the victim or the person who created the harm.  </w:t>
      </w:r>
      <w:r w:rsidRPr="0029088C">
        <w:rPr>
          <w:szCs w:val="26"/>
        </w:rPr>
        <w:t>(</w:t>
      </w:r>
      <w:r>
        <w:rPr>
          <w:szCs w:val="26"/>
        </w:rPr>
        <w:t xml:space="preserve">See, e.g., </w:t>
      </w:r>
      <w:r w:rsidRPr="004A2AD9">
        <w:rPr>
          <w:i/>
          <w:szCs w:val="26"/>
        </w:rPr>
        <w:t>Regents</w:t>
      </w:r>
      <w:r w:rsidRPr="0029088C">
        <w:rPr>
          <w:szCs w:val="26"/>
        </w:rPr>
        <w:t xml:space="preserve">, </w:t>
      </w:r>
      <w:r w:rsidRPr="004A2AD9">
        <w:rPr>
          <w:i/>
          <w:szCs w:val="26"/>
        </w:rPr>
        <w:t>supra</w:t>
      </w:r>
      <w:r w:rsidRPr="0029088C">
        <w:rPr>
          <w:szCs w:val="26"/>
        </w:rPr>
        <w:t>, 4 Cal.5th at pp.</w:t>
      </w:r>
      <w:r>
        <w:rPr>
          <w:szCs w:val="26"/>
        </w:rPr>
        <w:t> </w:t>
      </w:r>
      <w:r w:rsidRPr="0029088C">
        <w:rPr>
          <w:szCs w:val="26"/>
        </w:rPr>
        <w:t xml:space="preserve">619–620; </w:t>
      </w:r>
      <w:r w:rsidRPr="004A2AD9">
        <w:rPr>
          <w:i/>
          <w:szCs w:val="26"/>
        </w:rPr>
        <w:t>Delgado</w:t>
      </w:r>
      <w:r w:rsidRPr="0029088C">
        <w:rPr>
          <w:szCs w:val="26"/>
        </w:rPr>
        <w:t xml:space="preserve">, </w:t>
      </w:r>
      <w:r w:rsidRPr="00BC0F4C">
        <w:rPr>
          <w:rFonts w:eastAsia="Arial"/>
          <w:szCs w:val="26"/>
        </w:rPr>
        <w:t xml:space="preserve">at </w:t>
      </w:r>
      <w:r>
        <w:rPr>
          <w:rFonts w:eastAsia="Arial"/>
          <w:iCs/>
          <w:szCs w:val="26"/>
        </w:rPr>
        <w:t>p. 235</w:t>
      </w:r>
      <w:r w:rsidRPr="0029088C">
        <w:rPr>
          <w:szCs w:val="26"/>
        </w:rPr>
        <w:t xml:space="preserve">; </w:t>
      </w:r>
      <w:r w:rsidRPr="004A2AD9">
        <w:rPr>
          <w:i/>
          <w:szCs w:val="26"/>
        </w:rPr>
        <w:t>Williams</w:t>
      </w:r>
      <w:r w:rsidRPr="0029088C">
        <w:rPr>
          <w:szCs w:val="26"/>
        </w:rPr>
        <w:t xml:space="preserve">, </w:t>
      </w:r>
      <w:r w:rsidRPr="004A2AD9">
        <w:rPr>
          <w:szCs w:val="26"/>
        </w:rPr>
        <w:t>at</w:t>
      </w:r>
      <w:r w:rsidRPr="0029088C">
        <w:rPr>
          <w:szCs w:val="26"/>
        </w:rPr>
        <w:t xml:space="preserve"> p.</w:t>
      </w:r>
      <w:r>
        <w:rPr>
          <w:szCs w:val="26"/>
        </w:rPr>
        <w:t> </w:t>
      </w:r>
      <w:r w:rsidRPr="0029088C">
        <w:rPr>
          <w:szCs w:val="26"/>
        </w:rPr>
        <w:t xml:space="preserve">23; </w:t>
      </w:r>
      <w:r>
        <w:rPr>
          <w:szCs w:val="26"/>
        </w:rPr>
        <w:t xml:space="preserve">see generally </w:t>
      </w:r>
      <w:r w:rsidRPr="0029088C">
        <w:rPr>
          <w:szCs w:val="26"/>
        </w:rPr>
        <w:t xml:space="preserve">Rest.3d Torts, </w:t>
      </w:r>
      <w:r w:rsidRPr="00BC0F4C">
        <w:rPr>
          <w:i/>
          <w:iCs/>
          <w:szCs w:val="26"/>
        </w:rPr>
        <w:t>supra</w:t>
      </w:r>
      <w:r>
        <w:rPr>
          <w:szCs w:val="26"/>
        </w:rPr>
        <w:t xml:space="preserve">, </w:t>
      </w:r>
      <w:r w:rsidRPr="0029088C">
        <w:rPr>
          <w:szCs w:val="26"/>
        </w:rPr>
        <w:t>§§</w:t>
      </w:r>
      <w:r>
        <w:rPr>
          <w:szCs w:val="26"/>
        </w:rPr>
        <w:t> </w:t>
      </w:r>
      <w:r w:rsidRPr="0029088C">
        <w:rPr>
          <w:szCs w:val="26"/>
        </w:rPr>
        <w:t>40, 41.)</w:t>
      </w:r>
      <w:r>
        <w:rPr>
          <w:rStyle w:val="FootnoteReference"/>
          <w:rFonts w:eastAsia="Arial"/>
          <w:iCs/>
          <w:szCs w:val="26"/>
        </w:rPr>
        <w:footnoteReference w:id="9"/>
      </w:r>
    </w:p>
    <w:p w:rsidR="00D55A75" w:rsidP="0046714A" w14:paraId="4262DB3B" w14:textId="40603553">
      <w:pPr>
        <w:tabs>
          <w:tab w:val="left" w:pos="1440"/>
          <w:tab w:val="left" w:pos="2070"/>
        </w:tabs>
        <w:ind w:firstLine="720"/>
        <w:rPr>
          <w:szCs w:val="26"/>
        </w:rPr>
      </w:pPr>
      <w:r>
        <w:rPr>
          <w:szCs w:val="26"/>
        </w:rPr>
        <w:t>A</w:t>
      </w:r>
      <w:r w:rsidRPr="0029088C">
        <w:rPr>
          <w:szCs w:val="26"/>
        </w:rPr>
        <w:t xml:space="preserve"> special relationship </w:t>
      </w:r>
      <w:r>
        <w:rPr>
          <w:szCs w:val="26"/>
        </w:rPr>
        <w:t xml:space="preserve">between the defendant and </w:t>
      </w:r>
      <w:r w:rsidRPr="0029088C">
        <w:rPr>
          <w:szCs w:val="26"/>
        </w:rPr>
        <w:t>the victim</w:t>
      </w:r>
      <w:r w:rsidR="00707378">
        <w:rPr>
          <w:szCs w:val="26"/>
        </w:rPr>
        <w:t xml:space="preserve"> </w:t>
      </w:r>
      <w:r>
        <w:rPr>
          <w:szCs w:val="26"/>
        </w:rPr>
        <w:t xml:space="preserve">is one that </w:t>
      </w:r>
      <w:r w:rsidRPr="0029088C">
        <w:rPr>
          <w:szCs w:val="26"/>
        </w:rPr>
        <w:t xml:space="preserve">“gives the victim </w:t>
      </w:r>
      <w:r>
        <w:rPr>
          <w:szCs w:val="26"/>
        </w:rPr>
        <w:t>a</w:t>
      </w:r>
      <w:r w:rsidRPr="0029088C">
        <w:rPr>
          <w:szCs w:val="26"/>
        </w:rPr>
        <w:t xml:space="preserve"> right to expect</w:t>
      </w:r>
      <w:r>
        <w:rPr>
          <w:szCs w:val="26"/>
        </w:rPr>
        <w:t>” protection from the defendant, while a</w:t>
      </w:r>
      <w:r w:rsidRPr="0029088C">
        <w:rPr>
          <w:szCs w:val="26"/>
        </w:rPr>
        <w:t xml:space="preserve"> special relationship </w:t>
      </w:r>
      <w:r>
        <w:rPr>
          <w:szCs w:val="26"/>
        </w:rPr>
        <w:t>between the defendant and</w:t>
      </w:r>
      <w:r w:rsidRPr="0029088C">
        <w:rPr>
          <w:szCs w:val="26"/>
        </w:rPr>
        <w:t xml:space="preserve"> the </w:t>
      </w:r>
      <w:r>
        <w:rPr>
          <w:szCs w:val="26"/>
        </w:rPr>
        <w:t xml:space="preserve">dangerous </w:t>
      </w:r>
      <w:r w:rsidRPr="0029088C">
        <w:rPr>
          <w:szCs w:val="26"/>
        </w:rPr>
        <w:t xml:space="preserve">third party </w:t>
      </w:r>
      <w:r>
        <w:rPr>
          <w:szCs w:val="26"/>
        </w:rPr>
        <w:t xml:space="preserve">is one that </w:t>
      </w:r>
      <w:r w:rsidRPr="0029088C">
        <w:rPr>
          <w:szCs w:val="26"/>
        </w:rPr>
        <w:t xml:space="preserve">“entails an ability to control </w:t>
      </w:r>
      <w:r>
        <w:rPr>
          <w:szCs w:val="26"/>
        </w:rPr>
        <w:t>[the third party’s]</w:t>
      </w:r>
      <w:r w:rsidRPr="0029088C">
        <w:rPr>
          <w:szCs w:val="26"/>
        </w:rPr>
        <w:t xml:space="preserve"> conduct</w:t>
      </w:r>
      <w:r>
        <w:rPr>
          <w:szCs w:val="26"/>
        </w:rPr>
        <w:t>.</w:t>
      </w:r>
      <w:r w:rsidRPr="0029088C">
        <w:rPr>
          <w:szCs w:val="26"/>
        </w:rPr>
        <w:t>”  (</w:t>
      </w:r>
      <w:r w:rsidRPr="001422AB">
        <w:rPr>
          <w:i/>
          <w:szCs w:val="26"/>
        </w:rPr>
        <w:t>Regents</w:t>
      </w:r>
      <w:r w:rsidRPr="0029088C">
        <w:rPr>
          <w:szCs w:val="26"/>
        </w:rPr>
        <w:t>,</w:t>
      </w:r>
      <w:r>
        <w:rPr>
          <w:szCs w:val="26"/>
        </w:rPr>
        <w:t xml:space="preserve"> </w:t>
      </w:r>
      <w:r w:rsidRPr="00BC0F4C">
        <w:rPr>
          <w:i/>
          <w:iCs/>
          <w:szCs w:val="26"/>
        </w:rPr>
        <w:t>supra</w:t>
      </w:r>
      <w:r>
        <w:rPr>
          <w:szCs w:val="26"/>
        </w:rPr>
        <w:t>, 4 Cal.5th</w:t>
      </w:r>
      <w:r w:rsidRPr="0029088C">
        <w:rPr>
          <w:szCs w:val="26"/>
        </w:rPr>
        <w:t xml:space="preserve"> at p.</w:t>
      </w:r>
      <w:r>
        <w:rPr>
          <w:szCs w:val="26"/>
        </w:rPr>
        <w:t> </w:t>
      </w:r>
      <w:r w:rsidRPr="0029088C">
        <w:rPr>
          <w:szCs w:val="26"/>
        </w:rPr>
        <w:t>619.)</w:t>
      </w:r>
      <w:r>
        <w:rPr>
          <w:szCs w:val="26"/>
        </w:rPr>
        <w:t xml:space="preserve">  Relationships between</w:t>
      </w:r>
      <w:r w:rsidRPr="0029088C">
        <w:rPr>
          <w:szCs w:val="26"/>
        </w:rPr>
        <w:t xml:space="preserve"> parents and children, colleges and students, employers and employees, common carriers and passengers, and innkeepers and guests</w:t>
      </w:r>
      <w:r>
        <w:rPr>
          <w:szCs w:val="26"/>
        </w:rPr>
        <w:t>, are all examples of special relationships that give rise to an affirmative duty to protect</w:t>
      </w:r>
      <w:r w:rsidRPr="0029088C">
        <w:rPr>
          <w:szCs w:val="26"/>
        </w:rPr>
        <w:t>.  (</w:t>
      </w:r>
      <w:r w:rsidRPr="00BC0F4C">
        <w:rPr>
          <w:i/>
          <w:iCs/>
          <w:szCs w:val="26"/>
        </w:rPr>
        <w:t>Id.</w:t>
      </w:r>
      <w:r>
        <w:rPr>
          <w:szCs w:val="26"/>
        </w:rPr>
        <w:t xml:space="preserve"> </w:t>
      </w:r>
      <w:r w:rsidRPr="0029088C">
        <w:rPr>
          <w:szCs w:val="26"/>
        </w:rPr>
        <w:t>at pp.</w:t>
      </w:r>
      <w:r>
        <w:rPr>
          <w:szCs w:val="26"/>
        </w:rPr>
        <w:t> </w:t>
      </w:r>
      <w:r w:rsidRPr="0029088C">
        <w:rPr>
          <w:szCs w:val="26"/>
        </w:rPr>
        <w:t xml:space="preserve">619–620; see Rest.3d Torts, </w:t>
      </w:r>
      <w:r w:rsidRPr="00BC0F4C">
        <w:rPr>
          <w:i/>
          <w:iCs/>
          <w:szCs w:val="26"/>
        </w:rPr>
        <w:t>supra</w:t>
      </w:r>
      <w:r>
        <w:rPr>
          <w:szCs w:val="26"/>
        </w:rPr>
        <w:t xml:space="preserve">, </w:t>
      </w:r>
      <w:r w:rsidRPr="0029088C">
        <w:rPr>
          <w:szCs w:val="26"/>
        </w:rPr>
        <w:t>§§</w:t>
      </w:r>
      <w:r>
        <w:rPr>
          <w:szCs w:val="26"/>
        </w:rPr>
        <w:t> </w:t>
      </w:r>
      <w:r w:rsidRPr="0029088C">
        <w:rPr>
          <w:szCs w:val="26"/>
        </w:rPr>
        <w:t>4</w:t>
      </w:r>
      <w:r>
        <w:rPr>
          <w:szCs w:val="26"/>
        </w:rPr>
        <w:t>0</w:t>
      </w:r>
      <w:r w:rsidRPr="0029088C">
        <w:rPr>
          <w:szCs w:val="26"/>
        </w:rPr>
        <w:t>–4</w:t>
      </w:r>
      <w:r>
        <w:rPr>
          <w:szCs w:val="26"/>
        </w:rPr>
        <w:t>1</w:t>
      </w:r>
      <w:r w:rsidRPr="0029088C">
        <w:rPr>
          <w:szCs w:val="26"/>
        </w:rPr>
        <w:t>.)</w:t>
      </w:r>
      <w:r>
        <w:rPr>
          <w:szCs w:val="26"/>
        </w:rPr>
        <w:t xml:space="preserve">  The existence of such a special relationship puts the defendant in a unique position to protect the plaintiff from injury.  The law requires the defendant to use this position accordingly.  (</w:t>
      </w:r>
      <w:r w:rsidR="00FA164A">
        <w:rPr>
          <w:szCs w:val="26"/>
        </w:rPr>
        <w:t>See, e</w:t>
      </w:r>
      <w:r>
        <w:rPr>
          <w:szCs w:val="26"/>
        </w:rPr>
        <w:t xml:space="preserve">.g., Rest.3d Torts, </w:t>
      </w:r>
      <w:r>
        <w:rPr>
          <w:i/>
          <w:szCs w:val="26"/>
        </w:rPr>
        <w:t>supra</w:t>
      </w:r>
      <w:r>
        <w:rPr>
          <w:szCs w:val="26"/>
        </w:rPr>
        <w:t xml:space="preserve">, </w:t>
      </w:r>
      <w:r w:rsidRPr="0029088C">
        <w:rPr>
          <w:szCs w:val="26"/>
        </w:rPr>
        <w:t>§</w:t>
      </w:r>
      <w:r>
        <w:rPr>
          <w:szCs w:val="26"/>
        </w:rPr>
        <w:t> </w:t>
      </w:r>
      <w:r w:rsidRPr="0029088C">
        <w:rPr>
          <w:szCs w:val="26"/>
        </w:rPr>
        <w:t>4</w:t>
      </w:r>
      <w:r>
        <w:rPr>
          <w:szCs w:val="26"/>
        </w:rPr>
        <w:t>0, com. h, pp. 42</w:t>
      </w:r>
      <w:r>
        <w:t>–43</w:t>
      </w:r>
      <w:r>
        <w:rPr>
          <w:szCs w:val="26"/>
        </w:rPr>
        <w:t>.)</w:t>
      </w:r>
    </w:p>
    <w:p w:rsidR="00D55A75" w:rsidRPr="008A4E45" w:rsidP="0046714A" w14:paraId="65813DB9" w14:textId="76FBB2E8">
      <w:pPr>
        <w:tabs>
          <w:tab w:val="left" w:pos="1440"/>
          <w:tab w:val="left" w:pos="2070"/>
        </w:tabs>
        <w:ind w:firstLine="720"/>
        <w:rPr>
          <w:rFonts w:eastAsia="Arial"/>
          <w:iCs/>
          <w:szCs w:val="26"/>
        </w:rPr>
      </w:pPr>
      <w:r>
        <w:rPr>
          <w:rFonts w:eastAsia="Arial"/>
          <w:iCs/>
          <w:szCs w:val="26"/>
        </w:rPr>
        <w:t xml:space="preserve">Where the defendant has neither performed an act that increases the risk of injury to the plaintiff nor sits in a relation to the parties that creates an affirmative duty to protect the plaintiff from harm, </w:t>
      </w:r>
      <w:r w:rsidR="00B30BCB">
        <w:rPr>
          <w:rFonts w:eastAsia="Arial"/>
          <w:iCs/>
          <w:szCs w:val="26"/>
        </w:rPr>
        <w:t xml:space="preserve">however, </w:t>
      </w:r>
      <w:r>
        <w:rPr>
          <w:rFonts w:eastAsia="Arial"/>
          <w:iCs/>
          <w:szCs w:val="26"/>
        </w:rPr>
        <w:t xml:space="preserve">our cases have uniformly held the defendant owes no legal duty to the plaintiff.  Our decision in </w:t>
      </w:r>
      <w:r w:rsidRPr="002E5DF0">
        <w:rPr>
          <w:rFonts w:eastAsia="Arial"/>
          <w:i/>
          <w:iCs/>
          <w:szCs w:val="26"/>
        </w:rPr>
        <w:t>Williams</w:t>
      </w:r>
      <w:r>
        <w:rPr>
          <w:rFonts w:eastAsia="Arial"/>
          <w:iCs/>
          <w:szCs w:val="26"/>
        </w:rPr>
        <w:t xml:space="preserve">, </w:t>
      </w:r>
      <w:r w:rsidRPr="002E5DF0">
        <w:rPr>
          <w:rFonts w:eastAsia="Arial"/>
          <w:i/>
          <w:iCs/>
          <w:szCs w:val="26"/>
        </w:rPr>
        <w:t>supra</w:t>
      </w:r>
      <w:r w:rsidRPr="00035BDB">
        <w:rPr>
          <w:rFonts w:eastAsia="Arial"/>
          <w:iCs/>
          <w:szCs w:val="26"/>
        </w:rPr>
        <w:t>, 34 Cal.3d</w:t>
      </w:r>
      <w:r>
        <w:rPr>
          <w:rFonts w:eastAsia="Arial"/>
          <w:iCs/>
          <w:szCs w:val="26"/>
        </w:rPr>
        <w:t xml:space="preserve"> 18, is illustrative.  </w:t>
      </w:r>
      <w:r w:rsidRPr="00035BDB">
        <w:rPr>
          <w:rFonts w:eastAsia="Arial"/>
          <w:iCs/>
          <w:szCs w:val="26"/>
        </w:rPr>
        <w:t xml:space="preserve">The question </w:t>
      </w:r>
      <w:r>
        <w:rPr>
          <w:rFonts w:eastAsia="Arial"/>
          <w:iCs/>
          <w:szCs w:val="26"/>
        </w:rPr>
        <w:t xml:space="preserve">there </w:t>
      </w:r>
      <w:r w:rsidRPr="00035BDB">
        <w:rPr>
          <w:rFonts w:eastAsia="Arial"/>
          <w:iCs/>
          <w:szCs w:val="26"/>
        </w:rPr>
        <w:t xml:space="preserve">was whether </w:t>
      </w:r>
      <w:r>
        <w:rPr>
          <w:rFonts w:eastAsia="Arial"/>
          <w:iCs/>
          <w:szCs w:val="26"/>
        </w:rPr>
        <w:t>highway patrol officers</w:t>
      </w:r>
      <w:r w:rsidRPr="00035BDB">
        <w:rPr>
          <w:rFonts w:eastAsia="Arial"/>
          <w:iCs/>
          <w:szCs w:val="26"/>
        </w:rPr>
        <w:t xml:space="preserve"> who </w:t>
      </w:r>
      <w:r>
        <w:rPr>
          <w:rFonts w:eastAsia="Arial"/>
          <w:iCs/>
          <w:szCs w:val="26"/>
        </w:rPr>
        <w:t xml:space="preserve">had </w:t>
      </w:r>
      <w:r w:rsidRPr="00035BDB">
        <w:rPr>
          <w:rFonts w:eastAsia="Arial"/>
          <w:iCs/>
          <w:szCs w:val="26"/>
        </w:rPr>
        <w:t>aided a</w:t>
      </w:r>
      <w:r>
        <w:rPr>
          <w:rFonts w:eastAsia="Arial"/>
          <w:iCs/>
          <w:szCs w:val="26"/>
        </w:rPr>
        <w:t>n injured</w:t>
      </w:r>
      <w:r w:rsidRPr="00035BDB">
        <w:rPr>
          <w:rFonts w:eastAsia="Arial"/>
          <w:iCs/>
          <w:szCs w:val="26"/>
        </w:rPr>
        <w:t xml:space="preserve"> motorist </w:t>
      </w:r>
      <w:r>
        <w:rPr>
          <w:rFonts w:eastAsia="Arial"/>
          <w:iCs/>
          <w:szCs w:val="26"/>
        </w:rPr>
        <w:t xml:space="preserve">after an accident </w:t>
      </w:r>
      <w:r w:rsidRPr="00035BDB">
        <w:rPr>
          <w:rFonts w:eastAsia="Arial"/>
          <w:iCs/>
          <w:szCs w:val="26"/>
        </w:rPr>
        <w:t>had a duty to investigate, secure information, or preserve evidence</w:t>
      </w:r>
      <w:r>
        <w:rPr>
          <w:rFonts w:eastAsia="Arial"/>
          <w:iCs/>
          <w:szCs w:val="26"/>
        </w:rPr>
        <w:t xml:space="preserve"> for the motorist to use in later civil litigation against the driver who caused her injury.</w:t>
      </w:r>
      <w:r w:rsidRPr="00035BDB">
        <w:rPr>
          <w:rFonts w:eastAsia="Arial"/>
          <w:iCs/>
          <w:szCs w:val="26"/>
        </w:rPr>
        <w:t xml:space="preserve">  (</w:t>
      </w:r>
      <w:r>
        <w:rPr>
          <w:rFonts w:eastAsia="Arial"/>
          <w:i/>
          <w:iCs/>
          <w:szCs w:val="26"/>
        </w:rPr>
        <w:t>Id.</w:t>
      </w:r>
      <w:r>
        <w:rPr>
          <w:rFonts w:eastAsia="Arial"/>
          <w:iCs/>
          <w:szCs w:val="26"/>
        </w:rPr>
        <w:t xml:space="preserve"> </w:t>
      </w:r>
      <w:r w:rsidRPr="00035BDB">
        <w:rPr>
          <w:rFonts w:eastAsia="Arial"/>
          <w:iCs/>
          <w:szCs w:val="26"/>
        </w:rPr>
        <w:t>at p.</w:t>
      </w:r>
      <w:r>
        <w:rPr>
          <w:rFonts w:eastAsia="Arial"/>
          <w:iCs/>
          <w:szCs w:val="26"/>
        </w:rPr>
        <w:t> </w:t>
      </w:r>
      <w:r w:rsidRPr="00035BDB">
        <w:rPr>
          <w:rFonts w:eastAsia="Arial"/>
          <w:iCs/>
          <w:szCs w:val="26"/>
        </w:rPr>
        <w:t>2</w:t>
      </w:r>
      <w:r>
        <w:rPr>
          <w:rFonts w:eastAsia="Arial"/>
          <w:iCs/>
          <w:szCs w:val="26"/>
        </w:rPr>
        <w:t>1</w:t>
      </w:r>
      <w:r w:rsidRPr="00035BDB">
        <w:rPr>
          <w:rFonts w:eastAsia="Arial"/>
          <w:iCs/>
          <w:szCs w:val="26"/>
        </w:rPr>
        <w:t xml:space="preserve">.)  </w:t>
      </w:r>
      <w:r>
        <w:rPr>
          <w:rFonts w:eastAsia="Arial"/>
          <w:iCs/>
          <w:szCs w:val="26"/>
        </w:rPr>
        <w:t>We began our analysis by reciting the</w:t>
      </w:r>
      <w:r w:rsidRPr="00035BDB">
        <w:rPr>
          <w:rFonts w:eastAsia="Arial"/>
          <w:iCs/>
          <w:szCs w:val="26"/>
        </w:rPr>
        <w:t xml:space="preserve"> </w:t>
      </w:r>
      <w:r>
        <w:rPr>
          <w:rFonts w:eastAsia="Arial"/>
          <w:iCs/>
          <w:szCs w:val="26"/>
        </w:rPr>
        <w:t>general</w:t>
      </w:r>
      <w:r w:rsidRPr="00035BDB">
        <w:rPr>
          <w:rFonts w:eastAsia="Arial"/>
          <w:iCs/>
          <w:szCs w:val="26"/>
        </w:rPr>
        <w:t xml:space="preserve"> rule that one has no duty to come to the aid of another.  </w:t>
      </w:r>
      <w:r>
        <w:rPr>
          <w:rFonts w:eastAsia="Arial"/>
          <w:iCs/>
          <w:szCs w:val="26"/>
        </w:rPr>
        <w:t>(</w:t>
      </w:r>
      <w:r w:rsidRPr="00FD7456">
        <w:rPr>
          <w:rFonts w:eastAsia="Arial"/>
          <w:i/>
          <w:szCs w:val="26"/>
        </w:rPr>
        <w:t>Id.</w:t>
      </w:r>
      <w:r>
        <w:rPr>
          <w:rFonts w:eastAsia="Arial"/>
          <w:iCs/>
          <w:szCs w:val="26"/>
        </w:rPr>
        <w:t xml:space="preserve"> at pp. 23</w:t>
      </w:r>
      <w:r w:rsidRPr="0029088C">
        <w:rPr>
          <w:szCs w:val="26"/>
        </w:rPr>
        <w:t>–</w:t>
      </w:r>
      <w:r>
        <w:rPr>
          <w:szCs w:val="26"/>
        </w:rPr>
        <w:t xml:space="preserve">24.)  </w:t>
      </w:r>
      <w:r>
        <w:rPr>
          <w:rFonts w:eastAsia="Arial"/>
          <w:iCs/>
          <w:szCs w:val="26"/>
        </w:rPr>
        <w:t xml:space="preserve">We then went on to consider whether the special relationship or negligent undertaking exceptions to the rule applied.  Answering that question in the negative, we concluded the officers owed no duty to assist the motorist in preserving evidence.  </w:t>
      </w:r>
      <w:r w:rsidRPr="00035BDB">
        <w:rPr>
          <w:rFonts w:eastAsia="Arial"/>
          <w:iCs/>
          <w:szCs w:val="26"/>
        </w:rPr>
        <w:t>(</w:t>
      </w:r>
      <w:r w:rsidRPr="00BC0F4C">
        <w:rPr>
          <w:rFonts w:eastAsia="Arial"/>
          <w:i/>
          <w:szCs w:val="26"/>
        </w:rPr>
        <w:t>Id.</w:t>
      </w:r>
      <w:r>
        <w:rPr>
          <w:rFonts w:eastAsia="Arial"/>
          <w:iCs/>
          <w:szCs w:val="26"/>
        </w:rPr>
        <w:t xml:space="preserve"> </w:t>
      </w:r>
      <w:r w:rsidRPr="003A3F0E">
        <w:rPr>
          <w:rFonts w:eastAsia="Arial"/>
          <w:iCs/>
          <w:szCs w:val="26"/>
        </w:rPr>
        <w:t>at</w:t>
      </w:r>
      <w:r w:rsidRPr="00035BDB">
        <w:rPr>
          <w:rFonts w:eastAsia="Arial"/>
          <w:iCs/>
          <w:szCs w:val="26"/>
        </w:rPr>
        <w:t xml:space="preserve"> p</w:t>
      </w:r>
      <w:r>
        <w:rPr>
          <w:rFonts w:eastAsia="Arial"/>
          <w:iCs/>
          <w:szCs w:val="26"/>
        </w:rPr>
        <w:t>p</w:t>
      </w:r>
      <w:r w:rsidRPr="00035BDB">
        <w:rPr>
          <w:rFonts w:eastAsia="Arial"/>
          <w:iCs/>
          <w:szCs w:val="26"/>
        </w:rPr>
        <w:t>.</w:t>
      </w:r>
      <w:r>
        <w:rPr>
          <w:rFonts w:eastAsia="Arial"/>
          <w:iCs/>
          <w:szCs w:val="26"/>
        </w:rPr>
        <w:t> </w:t>
      </w:r>
      <w:r w:rsidRPr="00035BDB">
        <w:rPr>
          <w:rFonts w:eastAsia="Arial"/>
          <w:iCs/>
          <w:szCs w:val="26"/>
        </w:rPr>
        <w:t>27</w:t>
      </w:r>
      <w:r>
        <w:rPr>
          <w:rFonts w:eastAsia="Arial"/>
          <w:iCs/>
          <w:szCs w:val="26"/>
        </w:rPr>
        <w:t xml:space="preserve">–28.)  Other cases are to similar effect.  </w:t>
      </w:r>
      <w:r w:rsidRPr="00EE43F3">
        <w:rPr>
          <w:rFonts w:eastAsia="Arial"/>
          <w:iCs/>
          <w:szCs w:val="26"/>
        </w:rPr>
        <w:t xml:space="preserve">(See, e.g., </w:t>
      </w:r>
      <w:r w:rsidRPr="00EE43F3">
        <w:rPr>
          <w:rFonts w:eastAsia="Arial"/>
          <w:i/>
          <w:szCs w:val="26"/>
        </w:rPr>
        <w:t>Davidson</w:t>
      </w:r>
      <w:r>
        <w:rPr>
          <w:rFonts w:eastAsia="Arial"/>
          <w:i/>
          <w:szCs w:val="26"/>
        </w:rPr>
        <w:t xml:space="preserve"> v. City of Westminster </w:t>
      </w:r>
      <w:r>
        <w:rPr>
          <w:rFonts w:eastAsia="Arial"/>
          <w:iCs/>
          <w:szCs w:val="26"/>
        </w:rPr>
        <w:t xml:space="preserve">(1982) </w:t>
      </w:r>
      <w:r w:rsidRPr="00EE43F3">
        <w:rPr>
          <w:rFonts w:eastAsia="Arial"/>
          <w:iCs/>
          <w:szCs w:val="26"/>
        </w:rPr>
        <w:t xml:space="preserve">32 Cal.3d </w:t>
      </w:r>
      <w:r>
        <w:rPr>
          <w:rFonts w:eastAsia="Arial"/>
          <w:iCs/>
          <w:szCs w:val="26"/>
        </w:rPr>
        <w:t xml:space="preserve">197, </w:t>
      </w:r>
      <w:r w:rsidRPr="00EE43F3">
        <w:rPr>
          <w:rFonts w:eastAsia="Arial"/>
          <w:iCs/>
          <w:szCs w:val="26"/>
        </w:rPr>
        <w:t xml:space="preserve">203–209 [officers had no duty to protect victim of assault because they had not increased the risk of harm to the victim, they had no special relationship with the assailant or the victim, and they had not invited the plaintiff to depend on their protection]; </w:t>
      </w:r>
      <w:r w:rsidRPr="00EE43F3">
        <w:rPr>
          <w:rFonts w:eastAsia="Arial"/>
          <w:i/>
          <w:szCs w:val="26"/>
        </w:rPr>
        <w:t>Zelig v. County of Los Angeles</w:t>
      </w:r>
      <w:r w:rsidRPr="00EE43F3">
        <w:rPr>
          <w:rFonts w:eastAsia="Arial"/>
          <w:iCs/>
          <w:szCs w:val="26"/>
        </w:rPr>
        <w:t xml:space="preserve"> (2002) 27 Cal.4th 1112, 1130 [officers had no duty to protect </w:t>
      </w:r>
      <w:r>
        <w:rPr>
          <w:rFonts w:eastAsia="Arial"/>
          <w:iCs/>
          <w:szCs w:val="26"/>
        </w:rPr>
        <w:t xml:space="preserve">courthouse </w:t>
      </w:r>
      <w:r w:rsidRPr="00EE43F3">
        <w:rPr>
          <w:rFonts w:eastAsia="Arial"/>
          <w:iCs/>
          <w:szCs w:val="26"/>
        </w:rPr>
        <w:t xml:space="preserve">visitors from </w:t>
      </w:r>
      <w:r>
        <w:rPr>
          <w:rFonts w:eastAsia="Arial"/>
          <w:iCs/>
          <w:szCs w:val="26"/>
        </w:rPr>
        <w:t xml:space="preserve">a </w:t>
      </w:r>
      <w:r w:rsidRPr="00EE43F3">
        <w:rPr>
          <w:rFonts w:eastAsia="Arial"/>
          <w:iCs/>
          <w:szCs w:val="26"/>
        </w:rPr>
        <w:t xml:space="preserve">third party assailant </w:t>
      </w:r>
      <w:r>
        <w:rPr>
          <w:rFonts w:eastAsia="Arial"/>
          <w:iCs/>
          <w:szCs w:val="26"/>
        </w:rPr>
        <w:t>where officers had not increased the risk of harm to the victim, had no special relationship with either party, and had not given the victim a false sense of security by inviting her to depend on special protection</w:t>
      </w:r>
      <w:r w:rsidRPr="00EE43F3">
        <w:rPr>
          <w:rFonts w:eastAsia="Arial"/>
          <w:iCs/>
          <w:szCs w:val="26"/>
        </w:rPr>
        <w:t>].)</w:t>
      </w:r>
      <w:r w:rsidR="004809F7">
        <w:rPr>
          <w:rStyle w:val="FootnoteReference"/>
          <w:rFonts w:eastAsia="Arial"/>
          <w:iCs/>
          <w:szCs w:val="26"/>
        </w:rPr>
        <w:t xml:space="preserve"> </w:t>
      </w:r>
    </w:p>
    <w:p w:rsidR="00ED1700" w:rsidRPr="00E21073" w:rsidP="002E1703" w14:paraId="7A3ABEC3" w14:textId="77777777">
      <w:pPr>
        <w:keepNext/>
        <w:tabs>
          <w:tab w:val="left" w:pos="0"/>
        </w:tabs>
        <w:jc w:val="center"/>
        <w:rPr>
          <w:b/>
          <w:szCs w:val="27"/>
        </w:rPr>
      </w:pPr>
      <w:r w:rsidRPr="00E21073">
        <w:rPr>
          <w:b/>
          <w:szCs w:val="27"/>
        </w:rPr>
        <w:t>B.</w:t>
      </w:r>
    </w:p>
    <w:p w:rsidR="00BF5920" w:rsidP="00BC1AE6" w14:paraId="2F94C360" w14:textId="140DFB67">
      <w:pPr>
        <w:keepLines/>
        <w:tabs>
          <w:tab w:val="left" w:pos="1440"/>
        </w:tabs>
        <w:ind w:firstLine="720"/>
        <w:rPr>
          <w:szCs w:val="26"/>
        </w:rPr>
      </w:pPr>
      <w:r>
        <w:rPr>
          <w:szCs w:val="26"/>
        </w:rPr>
        <w:t xml:space="preserve">Brown argues for a different approach to the duty to protect.  She argues that even if the defendant lacks any special relationship with the parties </w:t>
      </w:r>
      <w:r w:rsidR="00E110E8">
        <w:rPr>
          <w:szCs w:val="26"/>
        </w:rPr>
        <w:t xml:space="preserve">and there are no other circumstances that </w:t>
      </w:r>
      <w:r>
        <w:rPr>
          <w:szCs w:val="26"/>
        </w:rPr>
        <w:t xml:space="preserve">would give rise to an affirmative duty to protect, such a duty may nonetheless </w:t>
      </w:r>
      <w:r w:rsidR="0078516E">
        <w:rPr>
          <w:szCs w:val="26"/>
        </w:rPr>
        <w:t xml:space="preserve">arise </w:t>
      </w:r>
      <w:r>
        <w:rPr>
          <w:szCs w:val="26"/>
        </w:rPr>
        <w:t xml:space="preserve">after considering the policy factors set out in the landmark decision in </w:t>
      </w:r>
      <w:r>
        <w:rPr>
          <w:i/>
          <w:iCs/>
          <w:szCs w:val="26"/>
        </w:rPr>
        <w:t>Rowland</w:t>
      </w:r>
      <w:r>
        <w:rPr>
          <w:szCs w:val="26"/>
        </w:rPr>
        <w:t xml:space="preserve">, </w:t>
      </w:r>
      <w:r>
        <w:rPr>
          <w:i/>
          <w:iCs/>
          <w:szCs w:val="26"/>
        </w:rPr>
        <w:t>supra</w:t>
      </w:r>
      <w:r>
        <w:rPr>
          <w:szCs w:val="26"/>
        </w:rPr>
        <w:t xml:space="preserve">, </w:t>
      </w:r>
      <w:r>
        <w:rPr>
          <w:iCs/>
          <w:szCs w:val="26"/>
        </w:rPr>
        <w:t>69 Cal.2d 108</w:t>
      </w:r>
      <w:r>
        <w:rPr>
          <w:szCs w:val="26"/>
        </w:rPr>
        <w:t xml:space="preserve">.  </w:t>
      </w:r>
      <w:r>
        <w:rPr>
          <w:szCs w:val="26"/>
        </w:rPr>
        <w:t xml:space="preserve">We reject the argument.  </w:t>
      </w:r>
    </w:p>
    <w:p w:rsidR="00255012" w:rsidP="00255012" w14:paraId="677345AC" w14:textId="75F379FC">
      <w:pPr>
        <w:tabs>
          <w:tab w:val="left" w:pos="1440"/>
        </w:tabs>
        <w:ind w:firstLine="720"/>
      </w:pPr>
      <w:r>
        <w:rPr>
          <w:szCs w:val="26"/>
        </w:rPr>
        <w:t xml:space="preserve">The multifactor test </w:t>
      </w:r>
      <w:r w:rsidR="004C3FA7">
        <w:rPr>
          <w:szCs w:val="26"/>
        </w:rPr>
        <w:t xml:space="preserve">set forth </w:t>
      </w:r>
      <w:r>
        <w:rPr>
          <w:szCs w:val="26"/>
        </w:rPr>
        <w:t xml:space="preserve">in </w:t>
      </w:r>
      <w:r>
        <w:rPr>
          <w:i/>
          <w:szCs w:val="26"/>
        </w:rPr>
        <w:t>Rowland</w:t>
      </w:r>
      <w:r>
        <w:rPr>
          <w:iCs/>
          <w:szCs w:val="26"/>
        </w:rPr>
        <w:t xml:space="preserve"> was not designed as a </w:t>
      </w:r>
      <w:r w:rsidR="00E2383C">
        <w:rPr>
          <w:iCs/>
          <w:szCs w:val="26"/>
        </w:rPr>
        <w:t xml:space="preserve">freestanding </w:t>
      </w:r>
      <w:r>
        <w:rPr>
          <w:iCs/>
          <w:szCs w:val="26"/>
        </w:rPr>
        <w:t xml:space="preserve">means of </w:t>
      </w:r>
      <w:r w:rsidRPr="005B5C35">
        <w:rPr>
          <w:iCs/>
          <w:szCs w:val="26"/>
        </w:rPr>
        <w:t>establishing</w:t>
      </w:r>
      <w:r>
        <w:rPr>
          <w:iCs/>
          <w:szCs w:val="26"/>
        </w:rPr>
        <w:t xml:space="preserve"> duty, but instead as a means for deciding whether to </w:t>
      </w:r>
      <w:r w:rsidRPr="005B5C35">
        <w:rPr>
          <w:iCs/>
          <w:szCs w:val="26"/>
        </w:rPr>
        <w:t>limit</w:t>
      </w:r>
      <w:r>
        <w:rPr>
          <w:iCs/>
          <w:szCs w:val="26"/>
        </w:rPr>
        <w:t xml:space="preserve"> a duty derived from other sources.</w:t>
      </w:r>
      <w:r w:rsidR="003E44BB">
        <w:t xml:space="preserve">  </w:t>
      </w:r>
      <w:r>
        <w:t xml:space="preserve">The specific question in </w:t>
      </w:r>
      <w:r w:rsidRPr="00534A42" w:rsidR="0024786A">
        <w:rPr>
          <w:i/>
          <w:iCs/>
        </w:rPr>
        <w:t>Rowland</w:t>
      </w:r>
      <w:r w:rsidR="0024786A">
        <w:t xml:space="preserve"> </w:t>
      </w:r>
      <w:r>
        <w:t>concerned the relationship between the common law duties of landowners and the general duty of care codified in section 1714.  A</w:t>
      </w:r>
      <w:r w:rsidRPr="00F85F17">
        <w:t xml:space="preserve">t common law, </w:t>
      </w:r>
      <w:r>
        <w:t>a landowner’s duty of care to his or her visitors varied based on the type of visitor.  While landowners owed invitees an ordinary duty of care to maintain the premises in a safe condition, they generally owed trespassers and licensees only a duty to refrain from willful injury.  (</w:t>
      </w:r>
      <w:r w:rsidRPr="0061790A">
        <w:rPr>
          <w:i/>
        </w:rPr>
        <w:t>Rowland</w:t>
      </w:r>
      <w:r>
        <w:t xml:space="preserve">, </w:t>
      </w:r>
      <w:r w:rsidRPr="0061790A">
        <w:rPr>
          <w:i/>
        </w:rPr>
        <w:t>supra</w:t>
      </w:r>
      <w:r>
        <w:t>, 69 Cal.2d at p. 114.)  We held, however, that these “rigid common law classifications” were incompatible with California law.  (</w:t>
      </w:r>
      <w:r>
        <w:rPr>
          <w:i/>
          <w:iCs/>
        </w:rPr>
        <w:t>Id.</w:t>
      </w:r>
      <w:r>
        <w:t xml:space="preserve"> at p. 118.)  We explained that “the basic policy of this state set forth by the Legislature in section 1714 . . . is that everyone is responsible for an injury caused to another by his want of ordinary care or skill in the management of his property.”  (</w:t>
      </w:r>
      <w:r w:rsidRPr="00A71800">
        <w:rPr>
          <w:i/>
          <w:iCs/>
        </w:rPr>
        <w:t>Rowland</w:t>
      </w:r>
      <w:r>
        <w:t>, at pp. 118</w:t>
      </w:r>
      <w:bookmarkStart w:id="12" w:name="_Hlk54423894"/>
      <w:r>
        <w:t>–</w:t>
      </w:r>
      <w:bookmarkEnd w:id="12"/>
      <w:r>
        <w:t xml:space="preserve">119.)  And while there are exceptions to section 1714’s general rule, </w:t>
      </w:r>
      <w:r w:rsidRPr="00F85F17">
        <w:t>“in the absence of [a] statutory provision declaring an exception</w:t>
      </w:r>
      <w:r>
        <w:t xml:space="preserve"> . . . </w:t>
      </w:r>
      <w:r w:rsidRPr="00F85F17">
        <w:t>, no such exception should be made unless clearly supported by public policy.”  (</w:t>
      </w:r>
      <w:r w:rsidRPr="00A71800">
        <w:rPr>
          <w:i/>
          <w:iCs/>
        </w:rPr>
        <w:t>Rowland</w:t>
      </w:r>
      <w:r>
        <w:t xml:space="preserve">, </w:t>
      </w:r>
      <w:r w:rsidRPr="00F85F17">
        <w:t>at p.</w:t>
      </w:r>
      <w:r>
        <w:t> </w:t>
      </w:r>
      <w:r w:rsidRPr="00F85F17">
        <w:t>11</w:t>
      </w:r>
      <w:r>
        <w:t>2</w:t>
      </w:r>
      <w:r w:rsidRPr="00F85F17">
        <w:t>.)</w:t>
      </w:r>
    </w:p>
    <w:p w:rsidR="00255012" w:rsidRPr="00D1310F" w:rsidP="00255012" w14:paraId="4C44D55D" w14:textId="4D4C2ADE">
      <w:pPr>
        <w:tabs>
          <w:tab w:val="left" w:pos="1440"/>
        </w:tabs>
        <w:ind w:firstLine="720"/>
      </w:pPr>
      <w:r>
        <w:t xml:space="preserve">In the passage of </w:t>
      </w:r>
      <w:r>
        <w:rPr>
          <w:i/>
          <w:iCs/>
        </w:rPr>
        <w:t xml:space="preserve">Rowland </w:t>
      </w:r>
      <w:r>
        <w:t>that has now become a touchstone of our negligence jurisprudence, we summarized the policy considerations that guide the inquiry.  To depart from the general principle that all persons owe a duty of care to avoid injuring others, we explained, “</w:t>
      </w:r>
      <w:r w:rsidRPr="00F85F17">
        <w:t xml:space="preserve">involves </w:t>
      </w:r>
      <w:r>
        <w:t>the</w:t>
      </w:r>
      <w:r w:rsidRPr="00F85F17">
        <w:t xml:space="preserve"> balancing of a number of considerations”</w:t>
      </w:r>
      <w:r>
        <w:t>:  “</w:t>
      </w:r>
      <w:r w:rsidRPr="000A45B0">
        <w:t>the foreseeability of harm to the plaintiff, the degree of certainty that the plaintiff suffered injury, the closeness of the connection between the defendant</w:t>
      </w:r>
      <w:r>
        <w:t>’</w:t>
      </w:r>
      <w:r w:rsidRPr="000A45B0">
        <w:t>s conduct and the injury suffered, the moral blame attached to the defendant</w:t>
      </w:r>
      <w:r>
        <w:t>’</w:t>
      </w:r>
      <w:r w:rsidRPr="000A45B0">
        <w:t>s conduct, the policy of preventing future harm, the extent of the burden to the defendant and consequences to the community of imposing a duty to exercise care with resulting liability for breach, and the availability, cost, and prevalence of insurance for the risk involved.</w:t>
      </w:r>
      <w:r>
        <w:t>”</w:t>
      </w:r>
      <w:r w:rsidRPr="00F85F17">
        <w:t xml:space="preserve">  (</w:t>
      </w:r>
      <w:r w:rsidRPr="00280BCD">
        <w:rPr>
          <w:i/>
          <w:iCs/>
        </w:rPr>
        <w:t>Rowland</w:t>
      </w:r>
      <w:r>
        <w:t xml:space="preserve">, </w:t>
      </w:r>
      <w:r w:rsidRPr="00280BCD">
        <w:rPr>
          <w:i/>
          <w:iCs/>
        </w:rPr>
        <w:t>supra</w:t>
      </w:r>
      <w:r>
        <w:t>, 69 Cal.2d at pp. 112–113.</w:t>
      </w:r>
      <w:r w:rsidRPr="00F85F17">
        <w:t>)</w:t>
      </w:r>
      <w:r>
        <w:t xml:space="preserve">  We reasoned that while the common law categories of landowner duties might align with some of these considerations in some cases, they did not align in every case.  It followed that a victim’s status as a trespasser, licensee, or invitee cannot be determinative of a landowner’s duties.  The inquiry whether a landowner owes a duty to her invitees instead begins with the “basic policy” that “everyone is responsible for an injury caused to another by his want of ordinary care or skill in the management of his property,” and then considers whether more particular considerations of policy call for departure from the basic rule.  (</w:t>
      </w:r>
      <w:r>
        <w:rPr>
          <w:i/>
          <w:iCs/>
        </w:rPr>
        <w:t>Id.</w:t>
      </w:r>
      <w:r>
        <w:t xml:space="preserve"> at pp. 118–119.)</w:t>
      </w:r>
      <w:r w:rsidR="00C01AB1">
        <w:rPr>
          <w:rStyle w:val="FootnoteReference"/>
        </w:rPr>
        <w:t xml:space="preserve"> </w:t>
      </w:r>
    </w:p>
    <w:p w:rsidR="00255012" w:rsidRPr="0095674C" w:rsidP="00255012" w14:paraId="07BA309F" w14:textId="627C5198">
      <w:pPr>
        <w:tabs>
          <w:tab w:val="left" w:pos="1440"/>
        </w:tabs>
        <w:ind w:firstLine="720"/>
        <w:rPr>
          <w:i/>
          <w:iCs/>
        </w:rPr>
      </w:pPr>
      <w:r>
        <w:rPr>
          <w:i/>
        </w:rPr>
        <w:t>Rowland</w:t>
      </w:r>
      <w:r>
        <w:rPr>
          <w:iCs/>
        </w:rPr>
        <w:t xml:space="preserve"> itself referred to </w:t>
      </w:r>
      <w:r w:rsidR="006B51B3">
        <w:rPr>
          <w:iCs/>
        </w:rPr>
        <w:t xml:space="preserve">this </w:t>
      </w:r>
      <w:r>
        <w:rPr>
          <w:iCs/>
        </w:rPr>
        <w:t>multifactor test as a guide for determining whether to recognize an “exception” to the general duty of care under section 1714.</w:t>
      </w:r>
      <w:r>
        <w:t xml:space="preserve">  (</w:t>
      </w:r>
      <w:r w:rsidRPr="0061790A">
        <w:rPr>
          <w:i/>
        </w:rPr>
        <w:t>Rowland</w:t>
      </w:r>
      <w:r>
        <w:t xml:space="preserve">, </w:t>
      </w:r>
      <w:r w:rsidRPr="0061790A">
        <w:rPr>
          <w:i/>
        </w:rPr>
        <w:t>supra</w:t>
      </w:r>
      <w:r>
        <w:t xml:space="preserve">, 69 Cal.2d at p. 113.)  </w:t>
      </w:r>
      <w:r>
        <w:rPr>
          <w:iCs/>
        </w:rPr>
        <w:t xml:space="preserve">And in numerous cases since </w:t>
      </w:r>
      <w:r>
        <w:rPr>
          <w:i/>
          <w:iCs/>
        </w:rPr>
        <w:t>Rowland</w:t>
      </w:r>
      <w:r>
        <w:rPr>
          <w:iCs/>
        </w:rPr>
        <w:t xml:space="preserve">, we have repeated that the </w:t>
      </w:r>
      <w:r>
        <w:rPr>
          <w:i/>
          <w:iCs/>
        </w:rPr>
        <w:t xml:space="preserve">Rowland </w:t>
      </w:r>
      <w:r w:rsidR="00C61996">
        <w:t xml:space="preserve">factors </w:t>
      </w:r>
      <w:r>
        <w:rPr>
          <w:iCs/>
        </w:rPr>
        <w:t xml:space="preserve">serve to determine whether an exception to section 1714’s general duty </w:t>
      </w:r>
      <w:r w:rsidR="0048797B">
        <w:rPr>
          <w:iCs/>
        </w:rPr>
        <w:t xml:space="preserve">of reasonable care </w:t>
      </w:r>
      <w:r>
        <w:rPr>
          <w:iCs/>
        </w:rPr>
        <w:t>is warranted</w:t>
      </w:r>
      <w:r w:rsidR="00F81934">
        <w:rPr>
          <w:iCs/>
        </w:rPr>
        <w:t xml:space="preserve">, </w:t>
      </w:r>
      <w:r w:rsidR="007B0C8A">
        <w:rPr>
          <w:iCs/>
        </w:rPr>
        <w:t xml:space="preserve">not to </w:t>
      </w:r>
      <w:r>
        <w:rPr>
          <w:iCs/>
        </w:rPr>
        <w:t>determine whether a “</w:t>
      </w:r>
      <w:r w:rsidR="00B968CE">
        <w:rPr>
          <w:iCs/>
        </w:rPr>
        <w:t> </w:t>
      </w:r>
      <w:r w:rsidR="00F81934">
        <w:rPr>
          <w:iCs/>
        </w:rPr>
        <w:t>‘</w:t>
      </w:r>
      <w:r w:rsidRPr="00583B4F">
        <w:rPr>
          <w:i/>
        </w:rPr>
        <w:t>new duty</w:t>
      </w:r>
      <w:r w:rsidR="00F81934">
        <w:rPr>
          <w:iCs/>
        </w:rPr>
        <w:t>’</w:t>
      </w:r>
      <w:r w:rsidR="00B968CE">
        <w:rPr>
          <w:iCs/>
        </w:rPr>
        <w:t> </w:t>
      </w:r>
      <w:r>
        <w:rPr>
          <w:iCs/>
        </w:rPr>
        <w:t>” should be created.</w:t>
      </w:r>
      <w:r w:rsidRPr="00B258A1">
        <w:rPr>
          <w:iCs/>
        </w:rPr>
        <w:t xml:space="preserve"> </w:t>
      </w:r>
      <w:r>
        <w:rPr>
          <w:iCs/>
        </w:rPr>
        <w:t xml:space="preserve"> </w:t>
      </w:r>
      <w:r w:rsidRPr="00B258A1">
        <w:rPr>
          <w:iCs/>
        </w:rPr>
        <w:t>(</w:t>
      </w:r>
      <w:r w:rsidRPr="00B258A1">
        <w:rPr>
          <w:i/>
          <w:iCs/>
        </w:rPr>
        <w:t>Kesner v. Superior Court</w:t>
      </w:r>
      <w:r w:rsidRPr="004401FA" w:rsidR="004401FA">
        <w:t>,</w:t>
      </w:r>
      <w:r w:rsidR="004401FA">
        <w:rPr>
          <w:i/>
          <w:iCs/>
        </w:rPr>
        <w:t xml:space="preserve"> supra</w:t>
      </w:r>
      <w:r w:rsidRPr="004401FA" w:rsidR="004401FA">
        <w:t>,</w:t>
      </w:r>
      <w:r w:rsidRPr="004401FA">
        <w:t xml:space="preserve"> </w:t>
      </w:r>
      <w:r w:rsidRPr="00B258A1">
        <w:rPr>
          <w:iCs/>
        </w:rPr>
        <w:t xml:space="preserve">1 Cal.5th </w:t>
      </w:r>
      <w:r w:rsidR="004401FA">
        <w:rPr>
          <w:iCs/>
        </w:rPr>
        <w:t>at p. </w:t>
      </w:r>
      <w:r w:rsidRPr="00B258A1">
        <w:rPr>
          <w:iCs/>
        </w:rPr>
        <w:t>1143 [</w:t>
      </w:r>
      <w:r>
        <w:rPr>
          <w:iCs/>
        </w:rPr>
        <w:t>“Because Civil Code section 1714 establishes a general duty to exercise ordinary care in one’s activities, . . . we rely on th</w:t>
      </w:r>
      <w:r w:rsidR="002A2DBD">
        <w:rPr>
          <w:iCs/>
        </w:rPr>
        <w:t>e</w:t>
      </w:r>
      <w:r>
        <w:rPr>
          <w:iCs/>
        </w:rPr>
        <w:t xml:space="preserve">se factors not to determine ‘whether a </w:t>
      </w:r>
      <w:r>
        <w:rPr>
          <w:i/>
        </w:rPr>
        <w:t>new duty</w:t>
      </w:r>
      <w:r>
        <w:rPr>
          <w:iCs/>
        </w:rPr>
        <w:t xml:space="preserve"> should be created, but whether an </w:t>
      </w:r>
      <w:r>
        <w:rPr>
          <w:i/>
        </w:rPr>
        <w:t xml:space="preserve">exception </w:t>
      </w:r>
      <w:r>
        <w:rPr>
          <w:iCs/>
        </w:rPr>
        <w:t xml:space="preserve">to Civil Code section 1714 . . . should be created,’ ” quoting </w:t>
      </w:r>
      <w:r w:rsidRPr="00B258A1">
        <w:rPr>
          <w:i/>
          <w:iCs/>
        </w:rPr>
        <w:t>Cabral</w:t>
      </w:r>
      <w:r w:rsidRPr="00B258A1">
        <w:rPr>
          <w:iCs/>
        </w:rPr>
        <w:t xml:space="preserve">, </w:t>
      </w:r>
      <w:r w:rsidRPr="00B258A1">
        <w:rPr>
          <w:i/>
          <w:iCs/>
        </w:rPr>
        <w:t>supra</w:t>
      </w:r>
      <w:r w:rsidRPr="00B258A1">
        <w:rPr>
          <w:iCs/>
        </w:rPr>
        <w:t>, 51 Cal.4th at p.</w:t>
      </w:r>
      <w:r>
        <w:rPr>
          <w:iCs/>
        </w:rPr>
        <w:t xml:space="preserve"> 783]; accord, e.g., </w:t>
      </w:r>
      <w:r w:rsidRPr="00B258A1">
        <w:rPr>
          <w:i/>
          <w:iCs/>
        </w:rPr>
        <w:t>Gas Leak Cases</w:t>
      </w:r>
      <w:r>
        <w:rPr>
          <w:iCs/>
        </w:rPr>
        <w:t xml:space="preserve">, </w:t>
      </w:r>
      <w:r w:rsidRPr="00924587">
        <w:rPr>
          <w:i/>
          <w:iCs/>
        </w:rPr>
        <w:t>supra</w:t>
      </w:r>
      <w:r>
        <w:rPr>
          <w:iCs/>
        </w:rPr>
        <w:t xml:space="preserve">, </w:t>
      </w:r>
      <w:r w:rsidRPr="00924587">
        <w:rPr>
          <w:iCs/>
        </w:rPr>
        <w:t>7</w:t>
      </w:r>
      <w:r w:rsidRPr="00B258A1">
        <w:rPr>
          <w:iCs/>
        </w:rPr>
        <w:t xml:space="preserve"> Cal.5th </w:t>
      </w:r>
      <w:r>
        <w:rPr>
          <w:iCs/>
        </w:rPr>
        <w:t>at p. </w:t>
      </w:r>
      <w:r w:rsidRPr="00B258A1">
        <w:rPr>
          <w:iCs/>
        </w:rPr>
        <w:t>398 [“</w:t>
      </w:r>
      <w:r>
        <w:rPr>
          <w:iCs/>
        </w:rPr>
        <w:t xml:space="preserve">[Under </w:t>
      </w:r>
      <w:r w:rsidR="00183BBC">
        <w:rPr>
          <w:iCs/>
        </w:rPr>
        <w:t xml:space="preserve">section </w:t>
      </w:r>
      <w:r>
        <w:rPr>
          <w:iCs/>
        </w:rPr>
        <w:t>1714], w</w:t>
      </w:r>
      <w:r w:rsidRPr="00B258A1">
        <w:rPr>
          <w:iCs/>
        </w:rPr>
        <w:t>e presume the defendant owed the plaintiff a duty of care and then ask whether the circumstances ‘justify a departure’ from that usual presumption</w:t>
      </w:r>
      <w:r>
        <w:rPr>
          <w:iCs/>
        </w:rPr>
        <w:t>.</w:t>
      </w:r>
      <w:r w:rsidRPr="00B258A1">
        <w:rPr>
          <w:iCs/>
        </w:rPr>
        <w:t>”]</w:t>
      </w:r>
      <w:r>
        <w:rPr>
          <w:iCs/>
        </w:rPr>
        <w:t xml:space="preserve">; </w:t>
      </w:r>
      <w:r w:rsidRPr="00924587">
        <w:rPr>
          <w:i/>
          <w:iCs/>
        </w:rPr>
        <w:t>Ballard v. Uribe</w:t>
      </w:r>
      <w:r w:rsidRPr="00924587">
        <w:rPr>
          <w:iCs/>
        </w:rPr>
        <w:t xml:space="preserve"> (1986) 41 Cal.3d 564, 57</w:t>
      </w:r>
      <w:r>
        <w:rPr>
          <w:iCs/>
        </w:rPr>
        <w:t>2</w:t>
      </w:r>
      <w:r w:rsidRPr="00924587">
        <w:rPr>
          <w:iCs/>
        </w:rPr>
        <w:t>, fn.</w:t>
      </w:r>
      <w:r>
        <w:rPr>
          <w:iCs/>
        </w:rPr>
        <w:t> </w:t>
      </w:r>
      <w:r w:rsidRPr="00924587">
        <w:rPr>
          <w:iCs/>
        </w:rPr>
        <w:t>6 [</w:t>
      </w:r>
      <w:r w:rsidR="00F9753D">
        <w:rPr>
          <w:iCs/>
        </w:rPr>
        <w:t>similar]</w:t>
      </w:r>
      <w:r>
        <w:rPr>
          <w:iCs/>
        </w:rPr>
        <w:t xml:space="preserve">.)  </w:t>
      </w:r>
    </w:p>
    <w:p w:rsidR="00255012" w:rsidRPr="00BF0271" w:rsidP="00255012" w14:paraId="0CE80374" w14:textId="10439301">
      <w:pPr>
        <w:tabs>
          <w:tab w:val="left" w:pos="1440"/>
        </w:tabs>
        <w:ind w:firstLine="720"/>
        <w:rPr>
          <w:iCs/>
        </w:rPr>
      </w:pPr>
      <w:r>
        <w:rPr>
          <w:iCs/>
        </w:rPr>
        <w:t xml:space="preserve">Although </w:t>
      </w:r>
      <w:r>
        <w:rPr>
          <w:i/>
        </w:rPr>
        <w:t>Rowland</w:t>
      </w:r>
      <w:r>
        <w:rPr>
          <w:iCs/>
        </w:rPr>
        <w:t xml:space="preserve"> itself concerned </w:t>
      </w:r>
      <w:r>
        <w:rPr>
          <w:iCs/>
        </w:rPr>
        <w:t>the general duty of care in section 1714, w</w:t>
      </w:r>
      <w:r w:rsidRPr="00B90F36">
        <w:rPr>
          <w:iCs/>
        </w:rPr>
        <w:t xml:space="preserve">e </w:t>
      </w:r>
      <w:r>
        <w:rPr>
          <w:iCs/>
        </w:rPr>
        <w:t xml:space="preserve">have also routinely applied </w:t>
      </w:r>
      <w:r w:rsidRPr="00B90F36">
        <w:rPr>
          <w:i/>
          <w:iCs/>
        </w:rPr>
        <w:t>Rowland</w:t>
      </w:r>
      <w:r w:rsidRPr="00B90F36">
        <w:rPr>
          <w:iCs/>
        </w:rPr>
        <w:t xml:space="preserve"> </w:t>
      </w:r>
      <w:r>
        <w:rPr>
          <w:iCs/>
        </w:rPr>
        <w:t xml:space="preserve">to </w:t>
      </w:r>
      <w:r w:rsidR="00B07C08">
        <w:rPr>
          <w:iCs/>
        </w:rPr>
        <w:t xml:space="preserve">consider whether to recognize </w:t>
      </w:r>
      <w:r>
        <w:rPr>
          <w:iCs/>
        </w:rPr>
        <w:t xml:space="preserve">exceptions to affirmative duties to protect or warn.  For example, in our recent decision in </w:t>
      </w:r>
      <w:r w:rsidRPr="00B90F36">
        <w:rPr>
          <w:i/>
          <w:iCs/>
        </w:rPr>
        <w:t>Regents</w:t>
      </w:r>
      <w:r w:rsidRPr="00B90F36">
        <w:rPr>
          <w:iCs/>
        </w:rPr>
        <w:t xml:space="preserve">, </w:t>
      </w:r>
      <w:r w:rsidRPr="00B90F36">
        <w:rPr>
          <w:i/>
          <w:iCs/>
        </w:rPr>
        <w:t>supra</w:t>
      </w:r>
      <w:r w:rsidRPr="00B90F36">
        <w:rPr>
          <w:iCs/>
        </w:rPr>
        <w:t>,</w:t>
      </w:r>
      <w:r w:rsidRPr="00B90F36">
        <w:rPr>
          <w:i/>
          <w:iCs/>
        </w:rPr>
        <w:t xml:space="preserve"> </w:t>
      </w:r>
      <w:r w:rsidRPr="00B90F36">
        <w:rPr>
          <w:iCs/>
        </w:rPr>
        <w:t>4 Cal.5th at p</w:t>
      </w:r>
      <w:r>
        <w:rPr>
          <w:iCs/>
        </w:rPr>
        <w:t>age</w:t>
      </w:r>
      <w:r w:rsidRPr="00B90F36">
        <w:rPr>
          <w:iCs/>
        </w:rPr>
        <w:t xml:space="preserve"> 6</w:t>
      </w:r>
      <w:r>
        <w:rPr>
          <w:iCs/>
        </w:rPr>
        <w:t xml:space="preserve">27, we held that the special relationship between a university and its students creates a “duty to use reasonable care to protect their students from foreseeable acts of violence in the classroom or during curricular activities.”  We then turned to </w:t>
      </w:r>
      <w:r w:rsidRPr="00B90F36">
        <w:rPr>
          <w:i/>
          <w:iCs/>
        </w:rPr>
        <w:t>Rowland</w:t>
      </w:r>
      <w:r w:rsidRPr="00B90F36">
        <w:rPr>
          <w:iCs/>
        </w:rPr>
        <w:t xml:space="preserve"> </w:t>
      </w:r>
      <w:r>
        <w:rPr>
          <w:iCs/>
        </w:rPr>
        <w:t>to decide whether policy considerations “justif[ied] excusing or limiting” that duty to protect, and concluded the answer was no.  (</w:t>
      </w:r>
      <w:r w:rsidRPr="00304A66">
        <w:rPr>
          <w:i/>
        </w:rPr>
        <w:t>Regents</w:t>
      </w:r>
      <w:r>
        <w:rPr>
          <w:iCs/>
        </w:rPr>
        <w:t xml:space="preserve">, at p. 628; see </w:t>
      </w:r>
      <w:r>
        <w:rPr>
          <w:i/>
        </w:rPr>
        <w:t>id.</w:t>
      </w:r>
      <w:r>
        <w:rPr>
          <w:iCs/>
        </w:rPr>
        <w:t xml:space="preserve"> at pp. 628–634.)</w:t>
      </w:r>
      <w:r w:rsidR="00147678">
        <w:rPr>
          <w:iCs/>
        </w:rPr>
        <w:t xml:space="preserve">  </w:t>
      </w:r>
      <w:r w:rsidR="004D1E54">
        <w:rPr>
          <w:iCs/>
        </w:rPr>
        <w:t>This is but one example of many; a</w:t>
      </w:r>
      <w:r w:rsidR="00147678">
        <w:rPr>
          <w:iCs/>
        </w:rPr>
        <w:t xml:space="preserve"> long line of cases before </w:t>
      </w:r>
      <w:r w:rsidR="00147678">
        <w:rPr>
          <w:i/>
        </w:rPr>
        <w:t>Regents</w:t>
      </w:r>
      <w:r w:rsidR="00147678">
        <w:rPr>
          <w:iCs/>
        </w:rPr>
        <w:t xml:space="preserve"> </w:t>
      </w:r>
      <w:r w:rsidR="005F3886">
        <w:rPr>
          <w:iCs/>
        </w:rPr>
        <w:t xml:space="preserve">had </w:t>
      </w:r>
      <w:r w:rsidR="00147678">
        <w:rPr>
          <w:iCs/>
        </w:rPr>
        <w:t>t</w:t>
      </w:r>
      <w:r w:rsidR="005F3886">
        <w:rPr>
          <w:iCs/>
        </w:rPr>
        <w:t>aken</w:t>
      </w:r>
      <w:r w:rsidR="00147678">
        <w:rPr>
          <w:iCs/>
        </w:rPr>
        <w:t xml:space="preserve"> the same approach</w:t>
      </w:r>
      <w:r>
        <w:rPr>
          <w:iCs/>
        </w:rPr>
        <w:t>.  (</w:t>
      </w:r>
      <w:r w:rsidRPr="00B90F36">
        <w:rPr>
          <w:i/>
          <w:iCs/>
        </w:rPr>
        <w:t xml:space="preserve">C.A. v. William S. Hart Union High School Dist. </w:t>
      </w:r>
      <w:r w:rsidRPr="00B90F36">
        <w:rPr>
          <w:iCs/>
        </w:rPr>
        <w:t>(2012) 53 Cal.4th 861, 877</w:t>
      </w:r>
      <w:r>
        <w:rPr>
          <w:iCs/>
        </w:rPr>
        <w:t xml:space="preserve"> (</w:t>
      </w:r>
      <w:r w:rsidRPr="00CB0021">
        <w:rPr>
          <w:i/>
        </w:rPr>
        <w:t>William S. Hart</w:t>
      </w:r>
      <w:r>
        <w:rPr>
          <w:iCs/>
        </w:rPr>
        <w:t xml:space="preserve">) </w:t>
      </w:r>
      <w:r w:rsidRPr="00B90F36">
        <w:rPr>
          <w:iCs/>
        </w:rPr>
        <w:t xml:space="preserve">[finding </w:t>
      </w:r>
      <w:r>
        <w:rPr>
          <w:iCs/>
        </w:rPr>
        <w:t>special relationship between school employees and students</w:t>
      </w:r>
      <w:r w:rsidRPr="00B90F36">
        <w:rPr>
          <w:iCs/>
        </w:rPr>
        <w:t xml:space="preserve"> </w:t>
      </w:r>
      <w:r>
        <w:rPr>
          <w:iCs/>
        </w:rPr>
        <w:t xml:space="preserve">and </w:t>
      </w:r>
      <w:r w:rsidRPr="00B90F36">
        <w:rPr>
          <w:iCs/>
        </w:rPr>
        <w:t xml:space="preserve">then analyzing </w:t>
      </w:r>
      <w:r w:rsidRPr="00B90F36">
        <w:rPr>
          <w:i/>
          <w:iCs/>
        </w:rPr>
        <w:t>Rowland</w:t>
      </w:r>
      <w:r w:rsidRPr="00B90F36">
        <w:rPr>
          <w:iCs/>
        </w:rPr>
        <w:t xml:space="preserve"> factors to determine “[a]dditional limits”</w:t>
      </w:r>
      <w:r>
        <w:rPr>
          <w:iCs/>
        </w:rPr>
        <w:t xml:space="preserve"> on the “scope of the duty implicated in this and similar cases”</w:t>
      </w:r>
      <w:r w:rsidRPr="00B90F36">
        <w:rPr>
          <w:iCs/>
        </w:rPr>
        <w:t xml:space="preserve">]; </w:t>
      </w:r>
      <w:r w:rsidR="009E15BD">
        <w:rPr>
          <w:i/>
        </w:rPr>
        <w:t>id.</w:t>
      </w:r>
      <w:r w:rsidR="009E15BD">
        <w:rPr>
          <w:iCs/>
        </w:rPr>
        <w:t xml:space="preserve"> at pp. 869–871, 877–879</w:t>
      </w:r>
      <w:r w:rsidR="00F77E10">
        <w:rPr>
          <w:iCs/>
        </w:rPr>
        <w:t>;</w:t>
      </w:r>
      <w:r w:rsidR="009E15BD">
        <w:rPr>
          <w:iCs/>
        </w:rPr>
        <w:t xml:space="preserve"> </w:t>
      </w:r>
      <w:r w:rsidRPr="00B90F36">
        <w:rPr>
          <w:i/>
          <w:iCs/>
        </w:rPr>
        <w:t>Cast</w:t>
      </w:r>
      <w:r>
        <w:rPr>
          <w:i/>
          <w:iCs/>
        </w:rPr>
        <w:t>a</w:t>
      </w:r>
      <w:r w:rsidRPr="00B90F36">
        <w:rPr>
          <w:i/>
          <w:iCs/>
        </w:rPr>
        <w:t>neda v. Olsher</w:t>
      </w:r>
      <w:r w:rsidRPr="00B90F36">
        <w:rPr>
          <w:iCs/>
        </w:rPr>
        <w:t xml:space="preserve"> (2007) 41 Cal.4th 1205, 1213 [finding </w:t>
      </w:r>
      <w:r>
        <w:rPr>
          <w:iCs/>
        </w:rPr>
        <w:t xml:space="preserve">affirmative duty based on </w:t>
      </w:r>
      <w:r w:rsidRPr="00B90F36">
        <w:rPr>
          <w:iCs/>
        </w:rPr>
        <w:t xml:space="preserve">special relationship between landlord and tenants and then analyzing </w:t>
      </w:r>
      <w:r w:rsidRPr="00B90F36">
        <w:rPr>
          <w:i/>
          <w:iCs/>
        </w:rPr>
        <w:t>Rowland</w:t>
      </w:r>
      <w:r w:rsidRPr="00B90F36">
        <w:rPr>
          <w:iCs/>
        </w:rPr>
        <w:t xml:space="preserve"> factors to determine “duty’s existence and scope”]; </w:t>
      </w:r>
      <w:r w:rsidRPr="00B90F36">
        <w:rPr>
          <w:i/>
          <w:iCs/>
        </w:rPr>
        <w:t>Delgado</w:t>
      </w:r>
      <w:r w:rsidRPr="00B90F36">
        <w:rPr>
          <w:iCs/>
        </w:rPr>
        <w:t xml:space="preserve">, </w:t>
      </w:r>
      <w:r w:rsidRPr="00235B8C">
        <w:rPr>
          <w:i/>
        </w:rPr>
        <w:t>supra</w:t>
      </w:r>
      <w:r>
        <w:rPr>
          <w:iCs/>
        </w:rPr>
        <w:t xml:space="preserve">, </w:t>
      </w:r>
      <w:r w:rsidRPr="00B90F36">
        <w:rPr>
          <w:iCs/>
        </w:rPr>
        <w:t>36 Cal.4th at p.</w:t>
      </w:r>
      <w:r>
        <w:rPr>
          <w:iCs/>
        </w:rPr>
        <w:t> </w:t>
      </w:r>
      <w:r w:rsidRPr="00B90F36">
        <w:rPr>
          <w:iCs/>
        </w:rPr>
        <w:t xml:space="preserve">244 [finding special relationship between </w:t>
      </w:r>
      <w:r>
        <w:rPr>
          <w:iCs/>
        </w:rPr>
        <w:t>business proprietor</w:t>
      </w:r>
      <w:r w:rsidRPr="00B90F36">
        <w:rPr>
          <w:iCs/>
        </w:rPr>
        <w:t xml:space="preserve"> and its</w:t>
      </w:r>
      <w:r>
        <w:rPr>
          <w:iCs/>
        </w:rPr>
        <w:t xml:space="preserve"> tenants, </w:t>
      </w:r>
      <w:r w:rsidRPr="00B90F36">
        <w:rPr>
          <w:iCs/>
        </w:rPr>
        <w:t>patron</w:t>
      </w:r>
      <w:r>
        <w:rPr>
          <w:iCs/>
        </w:rPr>
        <w:t>s, and invitees imposed general duty on proprietor to take “ ‘reasonable steps to secure common areas against foreseeable criminal acts of third parties’ ”</w:t>
      </w:r>
      <w:r w:rsidRPr="00B90F36">
        <w:rPr>
          <w:iCs/>
        </w:rPr>
        <w:t xml:space="preserve"> and then analyzing </w:t>
      </w:r>
      <w:r w:rsidRPr="00B90F36">
        <w:rPr>
          <w:i/>
          <w:iCs/>
        </w:rPr>
        <w:t>Rowland</w:t>
      </w:r>
      <w:r w:rsidRPr="00B90F36">
        <w:rPr>
          <w:iCs/>
        </w:rPr>
        <w:t xml:space="preserve"> factors to determine scope of duty]; </w:t>
      </w:r>
      <w:r w:rsidR="008E5C10">
        <w:rPr>
          <w:i/>
        </w:rPr>
        <w:t>id.</w:t>
      </w:r>
      <w:r w:rsidR="008E5C10">
        <w:rPr>
          <w:iCs/>
        </w:rPr>
        <w:t xml:space="preserve"> at pp.</w:t>
      </w:r>
      <w:r w:rsidR="000B15FB">
        <w:rPr>
          <w:iCs/>
        </w:rPr>
        <w:t> </w:t>
      </w:r>
      <w:r w:rsidR="008E5C10">
        <w:rPr>
          <w:iCs/>
        </w:rPr>
        <w:t xml:space="preserve">235–236, </w:t>
      </w:r>
      <w:r w:rsidRPr="00B90F36" w:rsidR="008E5C10">
        <w:rPr>
          <w:iCs/>
        </w:rPr>
        <w:t>244–247</w:t>
      </w:r>
      <w:r w:rsidR="008E5C10">
        <w:rPr>
          <w:iCs/>
        </w:rPr>
        <w:t xml:space="preserve">; </w:t>
      </w:r>
      <w:r w:rsidRPr="00B90F36">
        <w:rPr>
          <w:i/>
          <w:iCs/>
        </w:rPr>
        <w:t>Morris v. De La Torre</w:t>
      </w:r>
      <w:r w:rsidRPr="00B90F36">
        <w:rPr>
          <w:iCs/>
        </w:rPr>
        <w:t xml:space="preserve"> (2005) 36 Cal.4th 260, 269, </w:t>
      </w:r>
      <w:r>
        <w:rPr>
          <w:iCs/>
        </w:rPr>
        <w:t xml:space="preserve">271–272, </w:t>
      </w:r>
      <w:r w:rsidRPr="00B90F36">
        <w:rPr>
          <w:iCs/>
        </w:rPr>
        <w:t>276–277 [</w:t>
      </w:r>
      <w:r>
        <w:rPr>
          <w:iCs/>
        </w:rPr>
        <w:t>same</w:t>
      </w:r>
      <w:r w:rsidRPr="00B90F36">
        <w:rPr>
          <w:iCs/>
        </w:rPr>
        <w:t>].)</w:t>
      </w:r>
      <w:r w:rsidR="00152276">
        <w:rPr>
          <w:iCs/>
        </w:rPr>
        <w:t xml:space="preserve">  The cases recognize that e</w:t>
      </w:r>
      <w:r w:rsidR="0042716E">
        <w:rPr>
          <w:iCs/>
        </w:rPr>
        <w:t>ven whe</w:t>
      </w:r>
      <w:r w:rsidR="00397DA1">
        <w:rPr>
          <w:iCs/>
        </w:rPr>
        <w:t>n</w:t>
      </w:r>
      <w:r w:rsidR="0042716E">
        <w:rPr>
          <w:iCs/>
        </w:rPr>
        <w:t xml:space="preserve"> </w:t>
      </w:r>
      <w:r w:rsidR="00BF0271">
        <w:rPr>
          <w:iCs/>
        </w:rPr>
        <w:t xml:space="preserve">two parties may be in a special relationship, </w:t>
      </w:r>
      <w:r w:rsidR="00465739">
        <w:rPr>
          <w:iCs/>
        </w:rPr>
        <w:t xml:space="preserve">the unforeseeability of </w:t>
      </w:r>
      <w:r w:rsidR="00CC49F9">
        <w:rPr>
          <w:iCs/>
        </w:rPr>
        <w:t xml:space="preserve">the kind of harm suffered by the plaintiff or other policy factors may </w:t>
      </w:r>
      <w:r w:rsidR="00BB44E3">
        <w:rPr>
          <w:iCs/>
        </w:rPr>
        <w:t xml:space="preserve">counsel against establishing an affirmative </w:t>
      </w:r>
      <w:r w:rsidR="007B089C">
        <w:rPr>
          <w:iCs/>
        </w:rPr>
        <w:t xml:space="preserve">duty for one party to protect the other. </w:t>
      </w:r>
      <w:r w:rsidR="00E36ABC">
        <w:rPr>
          <w:iCs/>
        </w:rPr>
        <w:t xml:space="preserve"> </w:t>
      </w:r>
    </w:p>
    <w:p w:rsidR="00255012" w:rsidP="00255012" w14:paraId="3BD93BC1" w14:textId="7E632CFC">
      <w:pPr>
        <w:tabs>
          <w:tab w:val="left" w:pos="1440"/>
        </w:tabs>
        <w:ind w:firstLine="720"/>
        <w:rPr>
          <w:iCs/>
        </w:rPr>
      </w:pPr>
      <w:r>
        <w:rPr>
          <w:iCs/>
        </w:rPr>
        <w:t xml:space="preserve">Notwithstanding this considerable body of case law, Brown points to our decision in </w:t>
      </w:r>
      <w:r w:rsidRPr="001F016F">
        <w:rPr>
          <w:i/>
          <w:iCs/>
        </w:rPr>
        <w:t>Nally v. Grace Community Church</w:t>
      </w:r>
      <w:r>
        <w:t xml:space="preserve">, </w:t>
      </w:r>
      <w:r w:rsidRPr="00280BCD">
        <w:rPr>
          <w:i/>
          <w:iCs/>
        </w:rPr>
        <w:t>supra</w:t>
      </w:r>
      <w:r>
        <w:t>,</w:t>
      </w:r>
      <w:r w:rsidRPr="001F016F">
        <w:rPr>
          <w:iCs/>
        </w:rPr>
        <w:t xml:space="preserve"> 47 Cal.3d 278</w:t>
      </w:r>
      <w:r>
        <w:rPr>
          <w:iCs/>
        </w:rPr>
        <w:t xml:space="preserve"> as evidence that we have sometimes treated </w:t>
      </w:r>
      <w:r>
        <w:rPr>
          <w:i/>
          <w:iCs/>
        </w:rPr>
        <w:t>Rowland</w:t>
      </w:r>
      <w:r>
        <w:rPr>
          <w:iCs/>
        </w:rPr>
        <w:t xml:space="preserve"> as an independent source of duty, and not merely as a guide to whether to create an exception to a duty otherwise established.  </w:t>
      </w:r>
      <w:r w:rsidRPr="00427DF1">
        <w:rPr>
          <w:iCs/>
        </w:rPr>
        <w:t xml:space="preserve">In </w:t>
      </w:r>
      <w:r>
        <w:rPr>
          <w:iCs/>
        </w:rPr>
        <w:t>that case</w:t>
      </w:r>
      <w:r w:rsidRPr="00427DF1">
        <w:rPr>
          <w:iCs/>
        </w:rPr>
        <w:t xml:space="preserve">, </w:t>
      </w:r>
      <w:r>
        <w:rPr>
          <w:iCs/>
        </w:rPr>
        <w:t>parents of a suicide victim sued the victim’s</w:t>
      </w:r>
      <w:r w:rsidRPr="00427DF1">
        <w:rPr>
          <w:iCs/>
        </w:rPr>
        <w:t xml:space="preserve"> </w:t>
      </w:r>
      <w:r>
        <w:rPr>
          <w:iCs/>
        </w:rPr>
        <w:t xml:space="preserve">nontherapist </w:t>
      </w:r>
      <w:r w:rsidRPr="00427DF1">
        <w:rPr>
          <w:iCs/>
        </w:rPr>
        <w:t xml:space="preserve">church counselors </w:t>
      </w:r>
      <w:r>
        <w:rPr>
          <w:iCs/>
        </w:rPr>
        <w:t>for failure to protect the victim from suicide</w:t>
      </w:r>
      <w:r w:rsidRPr="00427DF1">
        <w:rPr>
          <w:iCs/>
        </w:rPr>
        <w:t>.  (</w:t>
      </w:r>
      <w:r w:rsidRPr="003B5CF0" w:rsidR="003B5CF0">
        <w:rPr>
          <w:i/>
        </w:rPr>
        <w:t>Nally</w:t>
      </w:r>
      <w:r w:rsidR="003B5CF0">
        <w:rPr>
          <w:iCs/>
        </w:rPr>
        <w:t>, a</w:t>
      </w:r>
      <w:r w:rsidRPr="00427DF1">
        <w:rPr>
          <w:iCs/>
        </w:rPr>
        <w:t>t p</w:t>
      </w:r>
      <w:r>
        <w:rPr>
          <w:iCs/>
        </w:rPr>
        <w:t>. </w:t>
      </w:r>
      <w:r w:rsidRPr="00427DF1">
        <w:rPr>
          <w:iCs/>
        </w:rPr>
        <w:t xml:space="preserve">292.)  </w:t>
      </w:r>
      <w:r>
        <w:rPr>
          <w:iCs/>
        </w:rPr>
        <w:t xml:space="preserve">We held the nontherapist counselors had no duty to protect, consistent with the </w:t>
      </w:r>
      <w:r w:rsidRPr="00427DF1">
        <w:rPr>
          <w:iCs/>
        </w:rPr>
        <w:t>traditional rule that “one is ordinarily not liable for the actions of another</w:t>
      </w:r>
      <w:r>
        <w:rPr>
          <w:iCs/>
        </w:rPr>
        <w:t xml:space="preserve"> and is under no duty to protect another from harm, </w:t>
      </w:r>
      <w:r w:rsidRPr="00E43D95">
        <w:rPr>
          <w:iCs/>
        </w:rPr>
        <w:t>in the absence of a special relationship of custody or control</w:t>
      </w:r>
      <w:r>
        <w:rPr>
          <w:iCs/>
        </w:rPr>
        <w:t>.</w:t>
      </w:r>
      <w:r w:rsidRPr="00427DF1">
        <w:rPr>
          <w:iCs/>
        </w:rPr>
        <w:t xml:space="preserve">” </w:t>
      </w:r>
      <w:r>
        <w:rPr>
          <w:iCs/>
        </w:rPr>
        <w:t xml:space="preserve"> </w:t>
      </w:r>
      <w:r w:rsidRPr="00427DF1">
        <w:rPr>
          <w:iCs/>
        </w:rPr>
        <w:t>(</w:t>
      </w:r>
      <w:r w:rsidRPr="00427DF1">
        <w:rPr>
          <w:i/>
          <w:iCs/>
        </w:rPr>
        <w:t>Id.</w:t>
      </w:r>
      <w:r w:rsidRPr="00427DF1">
        <w:rPr>
          <w:iCs/>
        </w:rPr>
        <w:t xml:space="preserve"> at p.</w:t>
      </w:r>
      <w:r>
        <w:rPr>
          <w:iCs/>
        </w:rPr>
        <w:t> </w:t>
      </w:r>
      <w:r w:rsidRPr="00427DF1">
        <w:rPr>
          <w:iCs/>
        </w:rPr>
        <w:t xml:space="preserve">293.)  </w:t>
      </w:r>
      <w:r>
        <w:rPr>
          <w:iCs/>
        </w:rPr>
        <w:t xml:space="preserve">We </w:t>
      </w:r>
      <w:r w:rsidR="0057295D">
        <w:rPr>
          <w:iCs/>
        </w:rPr>
        <w:t>next</w:t>
      </w:r>
      <w:r w:rsidR="00630F6D">
        <w:rPr>
          <w:iCs/>
        </w:rPr>
        <w:t xml:space="preserve"> </w:t>
      </w:r>
      <w:r>
        <w:rPr>
          <w:iCs/>
        </w:rPr>
        <w:t>held there was no such special relationship involved in the case.  (</w:t>
      </w:r>
      <w:r>
        <w:rPr>
          <w:i/>
        </w:rPr>
        <w:t>Id.</w:t>
      </w:r>
      <w:r>
        <w:rPr>
          <w:iCs/>
        </w:rPr>
        <w:t xml:space="preserve"> at p. 296.)  But we then </w:t>
      </w:r>
      <w:r w:rsidR="00E6643C">
        <w:rPr>
          <w:iCs/>
        </w:rPr>
        <w:t xml:space="preserve">considered </w:t>
      </w:r>
      <w:r>
        <w:rPr>
          <w:iCs/>
        </w:rPr>
        <w:t xml:space="preserve">the </w:t>
      </w:r>
      <w:r>
        <w:rPr>
          <w:i/>
        </w:rPr>
        <w:t xml:space="preserve">Rowland </w:t>
      </w:r>
      <w:r>
        <w:rPr>
          <w:iCs/>
        </w:rPr>
        <w:t>factors, in belt-and-suspenders fashion, to “explain further why we should not impose a duty to prevent suicide on defendants and other nontherapist counselors.”  (</w:t>
      </w:r>
      <w:r w:rsidRPr="00D03AA4" w:rsidR="00D03AA4">
        <w:rPr>
          <w:i/>
        </w:rPr>
        <w:t>Ibid.</w:t>
      </w:r>
      <w:r>
        <w:rPr>
          <w:iCs/>
        </w:rPr>
        <w:t>)</w:t>
      </w:r>
    </w:p>
    <w:p w:rsidR="00255012" w:rsidRPr="00B42677" w:rsidP="00255012" w14:paraId="17D620F3" w14:textId="41D04D29">
      <w:pPr>
        <w:tabs>
          <w:tab w:val="left" w:pos="1440"/>
        </w:tabs>
        <w:ind w:firstLine="720"/>
        <w:rPr>
          <w:iCs/>
        </w:rPr>
      </w:pPr>
      <w:r>
        <w:rPr>
          <w:iCs/>
        </w:rPr>
        <w:t xml:space="preserve">As Brown notes, some Courts of Appeal have understood </w:t>
      </w:r>
      <w:r>
        <w:rPr>
          <w:i/>
          <w:iCs/>
        </w:rPr>
        <w:t>Nally</w:t>
      </w:r>
      <w:r>
        <w:rPr>
          <w:iCs/>
        </w:rPr>
        <w:t xml:space="preserve"> to mean </w:t>
      </w:r>
      <w:r w:rsidRPr="00427DF1">
        <w:rPr>
          <w:iCs/>
        </w:rPr>
        <w:t>that</w:t>
      </w:r>
      <w:r w:rsidR="00791BE4">
        <w:rPr>
          <w:iCs/>
        </w:rPr>
        <w:t xml:space="preserve"> the</w:t>
      </w:r>
      <w:r w:rsidRPr="00427DF1">
        <w:rPr>
          <w:iCs/>
        </w:rPr>
        <w:t xml:space="preserve"> </w:t>
      </w:r>
      <w:r w:rsidRPr="00427DF1">
        <w:rPr>
          <w:i/>
          <w:iCs/>
        </w:rPr>
        <w:t xml:space="preserve">Rowland </w:t>
      </w:r>
      <w:r w:rsidR="00C61996">
        <w:t>factors</w:t>
      </w:r>
      <w:r w:rsidRPr="00427DF1">
        <w:rPr>
          <w:iCs/>
        </w:rPr>
        <w:t xml:space="preserve"> and the special relationship test </w:t>
      </w:r>
      <w:r>
        <w:rPr>
          <w:iCs/>
        </w:rPr>
        <w:t>are both sources of duty</w:t>
      </w:r>
      <w:r w:rsidRPr="00427DF1">
        <w:rPr>
          <w:iCs/>
        </w:rPr>
        <w:t>.  (See</w:t>
      </w:r>
      <w:r>
        <w:rPr>
          <w:iCs/>
        </w:rPr>
        <w:t>, e.g.,</w:t>
      </w:r>
      <w:r w:rsidRPr="00427DF1">
        <w:rPr>
          <w:iCs/>
        </w:rPr>
        <w:t xml:space="preserve"> </w:t>
      </w:r>
      <w:r w:rsidRPr="00427DF1">
        <w:rPr>
          <w:i/>
          <w:iCs/>
        </w:rPr>
        <w:t>Adams</w:t>
      </w:r>
      <w:r>
        <w:rPr>
          <w:szCs w:val="26"/>
        </w:rPr>
        <w:t>,</w:t>
      </w:r>
      <w:r w:rsidRPr="00427DF1">
        <w:rPr>
          <w:i/>
          <w:iCs/>
        </w:rPr>
        <w:t xml:space="preserve"> supra</w:t>
      </w:r>
      <w:r w:rsidRPr="00427DF1">
        <w:rPr>
          <w:iCs/>
        </w:rPr>
        <w:t>, 68 Cal.App.4th at p.</w:t>
      </w:r>
      <w:r>
        <w:rPr>
          <w:iCs/>
        </w:rPr>
        <w:t> </w:t>
      </w:r>
      <w:r w:rsidRPr="00427DF1">
        <w:rPr>
          <w:iCs/>
        </w:rPr>
        <w:t>267.)</w:t>
      </w:r>
      <w:r>
        <w:rPr>
          <w:iCs/>
        </w:rPr>
        <w:t xml:space="preserve">  This understanding is mistaken.  </w:t>
      </w:r>
      <w:r>
        <w:rPr>
          <w:i/>
        </w:rPr>
        <w:t>Nally</w:t>
      </w:r>
      <w:r>
        <w:rPr>
          <w:iCs/>
        </w:rPr>
        <w:t xml:space="preserve"> never squarely addressed the proper role of </w:t>
      </w:r>
      <w:r>
        <w:rPr>
          <w:i/>
        </w:rPr>
        <w:t>Rowland</w:t>
      </w:r>
      <w:r>
        <w:rPr>
          <w:iCs/>
        </w:rPr>
        <w:t xml:space="preserve"> in its analysis, nor did it </w:t>
      </w:r>
      <w:r w:rsidR="00F144AF">
        <w:rPr>
          <w:iCs/>
        </w:rPr>
        <w:t xml:space="preserve">purport to </w:t>
      </w:r>
      <w:r w:rsidR="004B7E04">
        <w:rPr>
          <w:iCs/>
        </w:rPr>
        <w:t xml:space="preserve">qualify </w:t>
      </w:r>
      <w:r w:rsidR="00857A9E">
        <w:rPr>
          <w:iCs/>
        </w:rPr>
        <w:t xml:space="preserve">or limit </w:t>
      </w:r>
      <w:r>
        <w:rPr>
          <w:iCs/>
        </w:rPr>
        <w:t xml:space="preserve">the considerable body of case law explaining that </w:t>
      </w:r>
      <w:r>
        <w:rPr>
          <w:i/>
          <w:iCs/>
        </w:rPr>
        <w:t>Rowland</w:t>
      </w:r>
      <w:r>
        <w:rPr>
          <w:iCs/>
        </w:rPr>
        <w:t xml:space="preserve"> is a guide to determining when to create exceptions from duties otherwise established.  And </w:t>
      </w:r>
      <w:r w:rsidR="003D4F16">
        <w:rPr>
          <w:iCs/>
        </w:rPr>
        <w:t xml:space="preserve">as Brown acknowledged at oral argument, </w:t>
      </w:r>
      <w:r>
        <w:rPr>
          <w:iCs/>
        </w:rPr>
        <w:t xml:space="preserve">neither </w:t>
      </w:r>
      <w:r>
        <w:rPr>
          <w:i/>
        </w:rPr>
        <w:t>Nally</w:t>
      </w:r>
      <w:r>
        <w:rPr>
          <w:iCs/>
        </w:rPr>
        <w:t xml:space="preserve"> nor any other decision of this court ha</w:t>
      </w:r>
      <w:r w:rsidR="000B711F">
        <w:rPr>
          <w:iCs/>
        </w:rPr>
        <w:t>s</w:t>
      </w:r>
      <w:r>
        <w:rPr>
          <w:iCs/>
        </w:rPr>
        <w:t xml:space="preserve"> done what Brown now asks us to do:  rely </w:t>
      </w:r>
      <w:r w:rsidR="00312DB5">
        <w:rPr>
          <w:iCs/>
        </w:rPr>
        <w:t xml:space="preserve">solely </w:t>
      </w:r>
      <w:r>
        <w:rPr>
          <w:iCs/>
        </w:rPr>
        <w:t xml:space="preserve">on the </w:t>
      </w:r>
      <w:r>
        <w:rPr>
          <w:i/>
        </w:rPr>
        <w:t>Rowland</w:t>
      </w:r>
      <w:r>
        <w:rPr>
          <w:iCs/>
        </w:rPr>
        <w:t xml:space="preserve"> factors to create a</w:t>
      </w:r>
      <w:r w:rsidR="00C46898">
        <w:rPr>
          <w:iCs/>
        </w:rPr>
        <w:t xml:space="preserve"> duty to take action to protect the plaintiff from third</w:t>
      </w:r>
      <w:r w:rsidR="004401FA">
        <w:rPr>
          <w:iCs/>
        </w:rPr>
        <w:t xml:space="preserve"> </w:t>
      </w:r>
      <w:r w:rsidR="00C46898">
        <w:rPr>
          <w:iCs/>
        </w:rPr>
        <w:t>party harm.</w:t>
      </w:r>
      <w:r>
        <w:rPr>
          <w:rStyle w:val="FootnoteReference"/>
          <w:iCs/>
        </w:rPr>
        <w:footnoteReference w:id="10"/>
      </w:r>
      <w:r w:rsidR="00C46898">
        <w:rPr>
          <w:iCs/>
        </w:rPr>
        <w:t xml:space="preserve">  </w:t>
      </w:r>
    </w:p>
    <w:p w:rsidR="00255012" w:rsidP="00255012" w14:paraId="0CBAC8D9" w14:textId="5A64749C">
      <w:pPr>
        <w:tabs>
          <w:tab w:val="left" w:pos="1440"/>
        </w:tabs>
        <w:ind w:firstLine="720"/>
        <w:rPr>
          <w:szCs w:val="26"/>
        </w:rPr>
      </w:pPr>
      <w:r>
        <w:rPr>
          <w:iCs/>
        </w:rPr>
        <w:t xml:space="preserve">Precedent </w:t>
      </w:r>
      <w:r>
        <w:rPr>
          <w:iCs/>
        </w:rPr>
        <w:t>aside, Brown argues we should now take that step in order to establish what she terms a “more flexible and holistic approach to duty</w:t>
      </w:r>
      <w:r w:rsidR="00893C17">
        <w:rPr>
          <w:iCs/>
        </w:rPr>
        <w:t>,</w:t>
      </w:r>
      <w:r>
        <w:rPr>
          <w:iCs/>
        </w:rPr>
        <w:t xml:space="preserve">” </w:t>
      </w:r>
      <w:r w:rsidR="00893C17">
        <w:rPr>
          <w:iCs/>
        </w:rPr>
        <w:t xml:space="preserve">particularly </w:t>
      </w:r>
      <w:r>
        <w:rPr>
          <w:iCs/>
        </w:rPr>
        <w:t xml:space="preserve">in cases involving minor victims of sexual abuse.  </w:t>
      </w:r>
      <w:r>
        <w:rPr>
          <w:szCs w:val="26"/>
        </w:rPr>
        <w:t xml:space="preserve">This approach would allow courts to make a case-by-case policy judgment under </w:t>
      </w:r>
      <w:r>
        <w:rPr>
          <w:i/>
          <w:iCs/>
          <w:szCs w:val="26"/>
        </w:rPr>
        <w:t>Rowland</w:t>
      </w:r>
      <w:r>
        <w:rPr>
          <w:szCs w:val="26"/>
        </w:rPr>
        <w:t xml:space="preserve"> as to whether a defendant may be held liable for failing to protect the victim of harm caused by another, even if the defendant </w:t>
      </w:r>
      <w:r w:rsidR="009A4AF9">
        <w:rPr>
          <w:szCs w:val="26"/>
        </w:rPr>
        <w:t>were</w:t>
      </w:r>
      <w:r>
        <w:rPr>
          <w:szCs w:val="26"/>
        </w:rPr>
        <w:t xml:space="preserve"> in no special position to control the wrongdoer or to offer protection to the victim</w:t>
      </w:r>
      <w:r w:rsidR="00523C35">
        <w:rPr>
          <w:szCs w:val="26"/>
        </w:rPr>
        <w:t>, and there were no other circumstances giving rise to an affirmative duty to take action.</w:t>
      </w:r>
    </w:p>
    <w:p w:rsidR="001867D8" w:rsidP="00FE54FC" w14:paraId="68F1E055" w14:textId="5ADA6062">
      <w:pPr>
        <w:tabs>
          <w:tab w:val="left" w:pos="1440"/>
        </w:tabs>
        <w:ind w:firstLine="720"/>
        <w:rPr>
          <w:szCs w:val="26"/>
        </w:rPr>
      </w:pPr>
      <w:r>
        <w:rPr>
          <w:szCs w:val="26"/>
        </w:rPr>
        <w:t xml:space="preserve">Without denying the gravity of the injuries </w:t>
      </w:r>
      <w:r w:rsidR="00997ED9">
        <w:rPr>
          <w:szCs w:val="26"/>
        </w:rPr>
        <w:t xml:space="preserve">these </w:t>
      </w:r>
      <w:r>
        <w:rPr>
          <w:szCs w:val="26"/>
        </w:rPr>
        <w:t xml:space="preserve">plaintiffs suffered, nor the broader problem of sexual abuse of minors in organized youth sports </w:t>
      </w:r>
      <w:r w:rsidR="00D41D39">
        <w:rPr>
          <w:szCs w:val="26"/>
        </w:rPr>
        <w:t xml:space="preserve">and </w:t>
      </w:r>
      <w:r>
        <w:rPr>
          <w:szCs w:val="26"/>
        </w:rPr>
        <w:t xml:space="preserve">other activities, we decline </w:t>
      </w:r>
      <w:r w:rsidR="00B229DE">
        <w:rPr>
          <w:szCs w:val="26"/>
        </w:rPr>
        <w:t xml:space="preserve">Brown’s invitation to </w:t>
      </w:r>
      <w:r w:rsidR="00437D3C">
        <w:rPr>
          <w:szCs w:val="26"/>
        </w:rPr>
        <w:t>take that step</w:t>
      </w:r>
      <w:r w:rsidR="00AE2CB8">
        <w:rPr>
          <w:szCs w:val="26"/>
        </w:rPr>
        <w:t xml:space="preserve">.  </w:t>
      </w:r>
      <w:r>
        <w:rPr>
          <w:szCs w:val="26"/>
        </w:rPr>
        <w:t>The requirement of a</w:t>
      </w:r>
      <w:r w:rsidR="008526F4">
        <w:rPr>
          <w:szCs w:val="26"/>
        </w:rPr>
        <w:t xml:space="preserve">n affirmative duty to protect </w:t>
      </w:r>
      <w:r w:rsidR="00C66C38">
        <w:rPr>
          <w:szCs w:val="26"/>
        </w:rPr>
        <w:t xml:space="preserve">itself </w:t>
      </w:r>
      <w:r>
        <w:rPr>
          <w:szCs w:val="26"/>
        </w:rPr>
        <w:t>embodies a policy judgment of considerable standing:  A defendant cannot be held liable in negligence for harms it did not cause</w:t>
      </w:r>
      <w:r w:rsidR="00C51819">
        <w:rPr>
          <w:szCs w:val="26"/>
        </w:rPr>
        <w:t xml:space="preserve"> unless there are special circumstances — such as a </w:t>
      </w:r>
      <w:r w:rsidR="00163717">
        <w:rPr>
          <w:szCs w:val="26"/>
        </w:rPr>
        <w:t xml:space="preserve">special </w:t>
      </w:r>
      <w:r w:rsidR="00C51819">
        <w:rPr>
          <w:szCs w:val="26"/>
        </w:rPr>
        <w:t xml:space="preserve">relationship to the parties </w:t>
      </w:r>
      <w:r w:rsidR="008B677F">
        <w:rPr>
          <w:szCs w:val="26"/>
        </w:rPr>
        <w:t xml:space="preserve">— </w:t>
      </w:r>
      <w:r w:rsidR="00C51819">
        <w:rPr>
          <w:szCs w:val="26"/>
        </w:rPr>
        <w:t xml:space="preserve">that give the defendant </w:t>
      </w:r>
      <w:r>
        <w:rPr>
          <w:szCs w:val="26"/>
        </w:rPr>
        <w:t>a special obligation to offer protection or assistance.</w:t>
      </w:r>
      <w:r w:rsidR="00F23F77">
        <w:rPr>
          <w:szCs w:val="26"/>
        </w:rPr>
        <w:t xml:space="preserve">  </w:t>
      </w:r>
      <w:r w:rsidR="00643479">
        <w:rPr>
          <w:szCs w:val="26"/>
        </w:rPr>
        <w:t>Th</w:t>
      </w:r>
      <w:r w:rsidR="00247766">
        <w:rPr>
          <w:szCs w:val="26"/>
        </w:rPr>
        <w:t>is</w:t>
      </w:r>
      <w:r w:rsidR="00643479">
        <w:rPr>
          <w:szCs w:val="26"/>
        </w:rPr>
        <w:t xml:space="preserve"> </w:t>
      </w:r>
      <w:r w:rsidR="000E03C5">
        <w:rPr>
          <w:szCs w:val="26"/>
        </w:rPr>
        <w:t xml:space="preserve">rule </w:t>
      </w:r>
      <w:r w:rsidR="00893C17">
        <w:rPr>
          <w:szCs w:val="26"/>
        </w:rPr>
        <w:t>reflects a long</w:t>
      </w:r>
      <w:r w:rsidR="004401FA">
        <w:rPr>
          <w:szCs w:val="26"/>
        </w:rPr>
        <w:t>-</w:t>
      </w:r>
      <w:r w:rsidR="00893C17">
        <w:rPr>
          <w:szCs w:val="26"/>
        </w:rPr>
        <w:t xml:space="preserve">standing </w:t>
      </w:r>
      <w:r w:rsidR="000E03C5">
        <w:rPr>
          <w:szCs w:val="26"/>
        </w:rPr>
        <w:t xml:space="preserve">balance between </w:t>
      </w:r>
      <w:r w:rsidR="00247766">
        <w:rPr>
          <w:szCs w:val="26"/>
        </w:rPr>
        <w:t>several competing interests</w:t>
      </w:r>
      <w:r w:rsidR="000E03C5">
        <w:rPr>
          <w:szCs w:val="26"/>
        </w:rPr>
        <w:t xml:space="preserve">.  It avoids </w:t>
      </w:r>
      <w:r w:rsidR="008B7EF1">
        <w:rPr>
          <w:szCs w:val="26"/>
        </w:rPr>
        <w:t xml:space="preserve">difficult questions about how to measure the </w:t>
      </w:r>
      <w:r w:rsidR="00B2567E">
        <w:rPr>
          <w:szCs w:val="26"/>
        </w:rPr>
        <w:t xml:space="preserve">legal </w:t>
      </w:r>
      <w:r w:rsidR="000E03C5">
        <w:rPr>
          <w:szCs w:val="26"/>
        </w:rPr>
        <w:t>liability o</w:t>
      </w:r>
      <w:r w:rsidR="008B7EF1">
        <w:rPr>
          <w:szCs w:val="26"/>
        </w:rPr>
        <w:t>f</w:t>
      </w:r>
      <w:r w:rsidR="000E03C5">
        <w:rPr>
          <w:szCs w:val="26"/>
        </w:rPr>
        <w:t xml:space="preserve"> the </w:t>
      </w:r>
      <w:r w:rsidR="005F56B9">
        <w:rPr>
          <w:szCs w:val="26"/>
        </w:rPr>
        <w:t xml:space="preserve">stranger </w:t>
      </w:r>
      <w:r w:rsidR="000E03C5">
        <w:rPr>
          <w:szCs w:val="26"/>
        </w:rPr>
        <w:t xml:space="preserve">who </w:t>
      </w:r>
      <w:r w:rsidR="005F56B9">
        <w:rPr>
          <w:szCs w:val="26"/>
        </w:rPr>
        <w:t xml:space="preserve">fails to </w:t>
      </w:r>
      <w:r w:rsidR="004401FA">
        <w:rPr>
          <w:szCs w:val="26"/>
        </w:rPr>
        <w:t xml:space="preserve">take </w:t>
      </w:r>
      <w:r w:rsidR="000E03C5">
        <w:rPr>
          <w:szCs w:val="26"/>
        </w:rPr>
        <w:t xml:space="preserve">affirmative steps to </w:t>
      </w:r>
      <w:r w:rsidR="000F0961">
        <w:rPr>
          <w:szCs w:val="26"/>
        </w:rPr>
        <w:t>prevent foreseeable harm</w:t>
      </w:r>
      <w:r w:rsidR="00FA6F5A">
        <w:rPr>
          <w:szCs w:val="26"/>
        </w:rPr>
        <w:t xml:space="preserve">, </w:t>
      </w:r>
      <w:r w:rsidR="005F56B9">
        <w:rPr>
          <w:szCs w:val="26"/>
        </w:rPr>
        <w:t xml:space="preserve">instead </w:t>
      </w:r>
      <w:r w:rsidR="00FA6F5A">
        <w:rPr>
          <w:szCs w:val="26"/>
        </w:rPr>
        <w:t>leav</w:t>
      </w:r>
      <w:r w:rsidR="005F56B9">
        <w:rPr>
          <w:szCs w:val="26"/>
        </w:rPr>
        <w:t>ing</w:t>
      </w:r>
      <w:r w:rsidR="00FA6F5A">
        <w:rPr>
          <w:szCs w:val="26"/>
        </w:rPr>
        <w:t xml:space="preserve"> </w:t>
      </w:r>
      <w:r w:rsidR="00B2567E">
        <w:rPr>
          <w:szCs w:val="26"/>
        </w:rPr>
        <w:t xml:space="preserve">the stranger to make his or her own choices about what assistance to offer.  </w:t>
      </w:r>
      <w:r w:rsidRPr="001534D7" w:rsidR="00F71241">
        <w:rPr>
          <w:szCs w:val="26"/>
        </w:rPr>
        <w:t>(See pp.</w:t>
      </w:r>
      <w:r w:rsidR="00B968CE">
        <w:rPr>
          <w:szCs w:val="26"/>
        </w:rPr>
        <w:t> </w:t>
      </w:r>
      <w:r w:rsidRPr="001534D7" w:rsidR="003D3FC6">
        <w:rPr>
          <w:szCs w:val="26"/>
        </w:rPr>
        <w:t>9</w:t>
      </w:r>
      <w:r w:rsidRPr="005C36C9" w:rsidR="00A7799A">
        <w:rPr>
          <w:szCs w:val="26"/>
        </w:rPr>
        <w:t>–</w:t>
      </w:r>
      <w:r w:rsidRPr="001534D7" w:rsidR="003D3FC6">
        <w:rPr>
          <w:szCs w:val="26"/>
        </w:rPr>
        <w:t>10</w:t>
      </w:r>
      <w:r w:rsidRPr="001534D7" w:rsidR="00F71241">
        <w:rPr>
          <w:szCs w:val="26"/>
        </w:rPr>
        <w:t xml:space="preserve">, </w:t>
      </w:r>
      <w:r w:rsidRPr="001534D7" w:rsidR="00F71241">
        <w:rPr>
          <w:i/>
          <w:iCs/>
          <w:szCs w:val="26"/>
        </w:rPr>
        <w:t>ante.</w:t>
      </w:r>
      <w:r w:rsidRPr="001534D7" w:rsidR="00F71241">
        <w:rPr>
          <w:szCs w:val="26"/>
        </w:rPr>
        <w:t>)</w:t>
      </w:r>
      <w:r w:rsidR="00F71241">
        <w:rPr>
          <w:szCs w:val="26"/>
        </w:rPr>
        <w:t xml:space="preserve">  </w:t>
      </w:r>
      <w:r w:rsidR="00B2567E">
        <w:rPr>
          <w:szCs w:val="26"/>
        </w:rPr>
        <w:t xml:space="preserve">At the same time, it </w:t>
      </w:r>
      <w:r w:rsidR="00A633F0">
        <w:rPr>
          <w:szCs w:val="26"/>
        </w:rPr>
        <w:t>exten</w:t>
      </w:r>
      <w:r w:rsidR="0007452F">
        <w:rPr>
          <w:szCs w:val="26"/>
        </w:rPr>
        <w:t xml:space="preserve">ds a right of recovery </w:t>
      </w:r>
      <w:r w:rsidR="00A633F0">
        <w:rPr>
          <w:szCs w:val="26"/>
        </w:rPr>
        <w:t xml:space="preserve">to </w:t>
      </w:r>
      <w:r w:rsidR="00B2567E">
        <w:rPr>
          <w:szCs w:val="26"/>
        </w:rPr>
        <w:t>individuals in relationships involving dependence or control</w:t>
      </w:r>
      <w:r w:rsidR="00F71241">
        <w:rPr>
          <w:szCs w:val="26"/>
        </w:rPr>
        <w:t xml:space="preserve">, and who by virtue of those relationships have reason to expect </w:t>
      </w:r>
      <w:r w:rsidR="000872E9">
        <w:rPr>
          <w:szCs w:val="26"/>
        </w:rPr>
        <w:t>the defendant’s protection</w:t>
      </w:r>
      <w:r w:rsidR="000725B3">
        <w:rPr>
          <w:szCs w:val="26"/>
        </w:rPr>
        <w:t xml:space="preserve">.  (See </w:t>
      </w:r>
      <w:r w:rsidR="000725B3">
        <w:rPr>
          <w:i/>
          <w:iCs/>
          <w:szCs w:val="26"/>
        </w:rPr>
        <w:t>Regents</w:t>
      </w:r>
      <w:r w:rsidR="000725B3">
        <w:rPr>
          <w:szCs w:val="26"/>
        </w:rPr>
        <w:t xml:space="preserve">, </w:t>
      </w:r>
      <w:r w:rsidR="000725B3">
        <w:rPr>
          <w:i/>
          <w:iCs/>
          <w:szCs w:val="26"/>
        </w:rPr>
        <w:t>supra</w:t>
      </w:r>
      <w:r w:rsidR="000725B3">
        <w:rPr>
          <w:szCs w:val="26"/>
        </w:rPr>
        <w:t>, 4 Cal.5th at p.</w:t>
      </w:r>
      <w:r w:rsidR="00B968CE">
        <w:rPr>
          <w:szCs w:val="26"/>
        </w:rPr>
        <w:t> </w:t>
      </w:r>
      <w:r w:rsidR="000725B3">
        <w:rPr>
          <w:szCs w:val="26"/>
        </w:rPr>
        <w:t>621 [“</w:t>
      </w:r>
      <w:r w:rsidR="00EF0B86">
        <w:rPr>
          <w:szCs w:val="26"/>
        </w:rPr>
        <w:t> </w:t>
      </w:r>
      <w:r w:rsidR="000725B3">
        <w:rPr>
          <w:szCs w:val="26"/>
        </w:rPr>
        <w:t>‘[A] typical setting for the recognition of a special relationship is where “the plaintiff is particularly vulnerable and dependent upon the defendant who, correspondingly, has some control over the plaintiff’s welfare.”</w:t>
      </w:r>
      <w:r w:rsidR="00273FBD">
        <w:rPr>
          <w:szCs w:val="26"/>
        </w:rPr>
        <w:t> </w:t>
      </w:r>
      <w:r w:rsidR="000725B3">
        <w:rPr>
          <w:szCs w:val="26"/>
        </w:rPr>
        <w:t>’</w:t>
      </w:r>
      <w:r w:rsidR="00BE4A57">
        <w:rPr>
          <w:szCs w:val="26"/>
        </w:rPr>
        <w:t> </w:t>
      </w:r>
      <w:r w:rsidR="000725B3">
        <w:rPr>
          <w:szCs w:val="26"/>
        </w:rPr>
        <w:t>”</w:t>
      </w:r>
      <w:r w:rsidR="00955FB7">
        <w:rPr>
          <w:szCs w:val="26"/>
        </w:rPr>
        <w:t>]</w:t>
      </w:r>
      <w:r w:rsidR="00FA6F5A">
        <w:rPr>
          <w:szCs w:val="26"/>
        </w:rPr>
        <w:t>.</w:t>
      </w:r>
      <w:r w:rsidR="00462625">
        <w:rPr>
          <w:szCs w:val="26"/>
        </w:rPr>
        <w:t>)</w:t>
      </w:r>
    </w:p>
    <w:p w:rsidR="00CC717C" w:rsidP="00ED1786" w14:paraId="0CA81339" w14:textId="68F430F1">
      <w:pPr>
        <w:tabs>
          <w:tab w:val="left" w:pos="1440"/>
        </w:tabs>
        <w:ind w:firstLine="720"/>
        <w:rPr>
          <w:szCs w:val="26"/>
        </w:rPr>
      </w:pPr>
      <w:r>
        <w:rPr>
          <w:szCs w:val="26"/>
        </w:rPr>
        <w:t xml:space="preserve">Where such a </w:t>
      </w:r>
      <w:r w:rsidR="001867D8">
        <w:rPr>
          <w:szCs w:val="26"/>
        </w:rPr>
        <w:t xml:space="preserve">special </w:t>
      </w:r>
      <w:r>
        <w:rPr>
          <w:szCs w:val="26"/>
        </w:rPr>
        <w:t>relationship exists</w:t>
      </w:r>
      <w:r w:rsidR="00457A07">
        <w:rPr>
          <w:szCs w:val="26"/>
        </w:rPr>
        <w:t xml:space="preserve"> between the defendant and a minor</w:t>
      </w:r>
      <w:r>
        <w:rPr>
          <w:szCs w:val="26"/>
        </w:rPr>
        <w:t>, t</w:t>
      </w:r>
      <w:r w:rsidR="00B924CA">
        <w:rPr>
          <w:szCs w:val="26"/>
        </w:rPr>
        <w:t xml:space="preserve">he obligation to provide such protection and assistance may include a duty to protect </w:t>
      </w:r>
      <w:r w:rsidR="003F1F4A">
        <w:rPr>
          <w:szCs w:val="26"/>
        </w:rPr>
        <w:t xml:space="preserve">the minor </w:t>
      </w:r>
      <w:r w:rsidR="00B924CA">
        <w:rPr>
          <w:szCs w:val="26"/>
        </w:rPr>
        <w:t xml:space="preserve">from third party abuse.  </w:t>
      </w:r>
      <w:r w:rsidR="00255012">
        <w:rPr>
          <w:szCs w:val="26"/>
        </w:rPr>
        <w:t xml:space="preserve">(See, e.g., </w:t>
      </w:r>
      <w:r w:rsidRPr="00934E97" w:rsidR="00255012">
        <w:rPr>
          <w:i/>
          <w:szCs w:val="26"/>
        </w:rPr>
        <w:t>William S. Hart</w:t>
      </w:r>
      <w:r w:rsidR="00255012">
        <w:rPr>
          <w:iCs/>
          <w:szCs w:val="26"/>
        </w:rPr>
        <w:t xml:space="preserve">, </w:t>
      </w:r>
      <w:r w:rsidRPr="008A711C" w:rsidR="00255012">
        <w:rPr>
          <w:i/>
          <w:szCs w:val="26"/>
        </w:rPr>
        <w:t>supra</w:t>
      </w:r>
      <w:r w:rsidR="00255012">
        <w:rPr>
          <w:iCs/>
          <w:szCs w:val="26"/>
        </w:rPr>
        <w:t>,</w:t>
      </w:r>
      <w:r w:rsidRPr="00934E97" w:rsidR="00255012">
        <w:rPr>
          <w:szCs w:val="26"/>
        </w:rPr>
        <w:t xml:space="preserve"> 53 Cal.4th </w:t>
      </w:r>
      <w:r w:rsidR="00255012">
        <w:rPr>
          <w:szCs w:val="26"/>
        </w:rPr>
        <w:t>at pp. 869–872, 879</w:t>
      </w:r>
      <w:r w:rsidR="001867D8">
        <w:rPr>
          <w:szCs w:val="26"/>
        </w:rPr>
        <w:t xml:space="preserve"> [imposing such a duty]</w:t>
      </w:r>
      <w:r w:rsidR="00255012">
        <w:rPr>
          <w:szCs w:val="26"/>
        </w:rPr>
        <w:t xml:space="preserve">; </w:t>
      </w:r>
      <w:r w:rsidR="00255012">
        <w:rPr>
          <w:i/>
          <w:szCs w:val="26"/>
        </w:rPr>
        <w:t>Pamela L.</w:t>
      </w:r>
      <w:r w:rsidR="004401FA">
        <w:rPr>
          <w:i/>
          <w:szCs w:val="26"/>
        </w:rPr>
        <w:t xml:space="preserve"> v. Farmer </w:t>
      </w:r>
      <w:r w:rsidRPr="004401FA" w:rsidR="004401FA">
        <w:rPr>
          <w:iCs/>
          <w:szCs w:val="26"/>
        </w:rPr>
        <w:t xml:space="preserve">(1980) 112 Cal.App.3d 206, </w:t>
      </w:r>
      <w:r w:rsidR="00255012">
        <w:rPr>
          <w:szCs w:val="26"/>
        </w:rPr>
        <w:t>211</w:t>
      </w:r>
      <w:r w:rsidR="001867D8">
        <w:rPr>
          <w:szCs w:val="26"/>
        </w:rPr>
        <w:t xml:space="preserve"> [same]</w:t>
      </w:r>
      <w:r w:rsidR="00255012">
        <w:rPr>
          <w:szCs w:val="26"/>
        </w:rPr>
        <w:t>.</w:t>
      </w:r>
      <w:r w:rsidR="00FF4AE4">
        <w:rPr>
          <w:szCs w:val="26"/>
        </w:rPr>
        <w:t>)</w:t>
      </w:r>
      <w:r w:rsidR="001867D8">
        <w:rPr>
          <w:szCs w:val="26"/>
        </w:rPr>
        <w:t xml:space="preserve">  And there may be other circumstances that give rise</w:t>
      </w:r>
      <w:r w:rsidR="006734CF">
        <w:rPr>
          <w:szCs w:val="26"/>
        </w:rPr>
        <w:t xml:space="preserve"> to a comparable affirmative duty to protect.  </w:t>
      </w:r>
      <w:r w:rsidRPr="00D06C79" w:rsidR="000302BA">
        <w:rPr>
          <w:szCs w:val="26"/>
        </w:rPr>
        <w:t>(</w:t>
      </w:r>
      <w:r w:rsidR="000302BA">
        <w:rPr>
          <w:i/>
          <w:iCs/>
          <w:szCs w:val="26"/>
        </w:rPr>
        <w:t>Kesner</w:t>
      </w:r>
      <w:r w:rsidR="004401FA">
        <w:rPr>
          <w:i/>
          <w:iCs/>
          <w:szCs w:val="26"/>
        </w:rPr>
        <w:t xml:space="preserve"> v. Superior Court</w:t>
      </w:r>
      <w:r w:rsidR="000302BA">
        <w:rPr>
          <w:szCs w:val="26"/>
        </w:rPr>
        <w:t xml:space="preserve">, </w:t>
      </w:r>
      <w:r w:rsidR="000302BA">
        <w:rPr>
          <w:i/>
          <w:iCs/>
          <w:szCs w:val="26"/>
        </w:rPr>
        <w:t>supra</w:t>
      </w:r>
      <w:r w:rsidR="000302BA">
        <w:rPr>
          <w:szCs w:val="26"/>
        </w:rPr>
        <w:t>,</w:t>
      </w:r>
      <w:r w:rsidR="000302BA">
        <w:rPr>
          <w:i/>
          <w:iCs/>
          <w:szCs w:val="26"/>
        </w:rPr>
        <w:t xml:space="preserve"> </w:t>
      </w:r>
      <w:r w:rsidR="000302BA">
        <w:rPr>
          <w:szCs w:val="26"/>
        </w:rPr>
        <w:t>1</w:t>
      </w:r>
      <w:r w:rsidR="003205A9">
        <w:rPr>
          <w:szCs w:val="26"/>
        </w:rPr>
        <w:t> </w:t>
      </w:r>
      <w:r w:rsidR="000302BA">
        <w:rPr>
          <w:szCs w:val="26"/>
        </w:rPr>
        <w:t>Cal.5th at p.</w:t>
      </w:r>
      <w:r w:rsidR="00085280">
        <w:rPr>
          <w:szCs w:val="26"/>
        </w:rPr>
        <w:t> </w:t>
      </w:r>
      <w:r w:rsidR="000302BA">
        <w:rPr>
          <w:szCs w:val="26"/>
        </w:rPr>
        <w:t>1163</w:t>
      </w:r>
      <w:r w:rsidRPr="00D06C79" w:rsidR="000302BA">
        <w:rPr>
          <w:szCs w:val="26"/>
        </w:rPr>
        <w:t>.)</w:t>
      </w:r>
      <w:r w:rsidR="00F47DED">
        <w:rPr>
          <w:szCs w:val="26"/>
        </w:rPr>
        <w:t xml:space="preserve"> </w:t>
      </w:r>
      <w:r w:rsidR="008D6A55">
        <w:rPr>
          <w:szCs w:val="26"/>
        </w:rPr>
        <w:t xml:space="preserve"> </w:t>
      </w:r>
      <w:r w:rsidR="006734CF">
        <w:rPr>
          <w:szCs w:val="26"/>
        </w:rPr>
        <w:t xml:space="preserve">But </w:t>
      </w:r>
      <w:r w:rsidR="00D258B2">
        <w:rPr>
          <w:szCs w:val="26"/>
        </w:rPr>
        <w:t xml:space="preserve">where no such circumstances exist, the </w:t>
      </w:r>
      <w:r w:rsidR="00D258B2">
        <w:rPr>
          <w:i/>
          <w:iCs/>
          <w:szCs w:val="26"/>
        </w:rPr>
        <w:t>Rowland</w:t>
      </w:r>
      <w:r w:rsidR="00D258B2">
        <w:rPr>
          <w:szCs w:val="26"/>
        </w:rPr>
        <w:t xml:space="preserve"> </w:t>
      </w:r>
      <w:r w:rsidR="00803DA9">
        <w:rPr>
          <w:szCs w:val="26"/>
        </w:rPr>
        <w:t xml:space="preserve">factors do </w:t>
      </w:r>
      <w:r w:rsidR="00D258B2">
        <w:rPr>
          <w:szCs w:val="26"/>
        </w:rPr>
        <w:t xml:space="preserve">not serve as an </w:t>
      </w:r>
      <w:r w:rsidR="00402FDF">
        <w:rPr>
          <w:szCs w:val="26"/>
        </w:rPr>
        <w:t xml:space="preserve">alternative </w:t>
      </w:r>
      <w:r w:rsidR="00D258B2">
        <w:rPr>
          <w:szCs w:val="26"/>
        </w:rPr>
        <w:t xml:space="preserve">basis for </w:t>
      </w:r>
      <w:r w:rsidR="00B4545D">
        <w:rPr>
          <w:szCs w:val="26"/>
        </w:rPr>
        <w:t>imposing duties to protect</w:t>
      </w:r>
      <w:r w:rsidR="00A06472">
        <w:rPr>
          <w:szCs w:val="26"/>
        </w:rPr>
        <w:t>.</w:t>
      </w:r>
      <w:r w:rsidR="00A8102A">
        <w:rPr>
          <w:szCs w:val="26"/>
        </w:rPr>
        <w:t xml:space="preserve">  </w:t>
      </w:r>
      <w:r w:rsidR="00AD681A">
        <w:rPr>
          <w:szCs w:val="26"/>
        </w:rPr>
        <w:t xml:space="preserve">The </w:t>
      </w:r>
      <w:r w:rsidR="00C47D45">
        <w:rPr>
          <w:szCs w:val="26"/>
        </w:rPr>
        <w:t xml:space="preserve">purpose </w:t>
      </w:r>
      <w:r w:rsidR="00AD681A">
        <w:rPr>
          <w:szCs w:val="26"/>
        </w:rPr>
        <w:t xml:space="preserve">of the </w:t>
      </w:r>
      <w:r w:rsidR="00AD681A">
        <w:rPr>
          <w:i/>
          <w:iCs/>
          <w:szCs w:val="26"/>
        </w:rPr>
        <w:t>Rowland</w:t>
      </w:r>
      <w:r w:rsidR="00AD681A">
        <w:rPr>
          <w:szCs w:val="26"/>
        </w:rPr>
        <w:t xml:space="preserve"> </w:t>
      </w:r>
      <w:r w:rsidR="00745ACF">
        <w:rPr>
          <w:szCs w:val="26"/>
        </w:rPr>
        <w:t xml:space="preserve">factors </w:t>
      </w:r>
      <w:r w:rsidR="00AD681A">
        <w:rPr>
          <w:szCs w:val="26"/>
        </w:rPr>
        <w:t xml:space="preserve">is to determine </w:t>
      </w:r>
      <w:r w:rsidR="00AD681A">
        <w:t>whether the relevant circumstances warrant limiting a duty already established</w:t>
      </w:r>
      <w:r>
        <w:t xml:space="preserve">, not to </w:t>
      </w:r>
      <w:r w:rsidR="007808AC">
        <w:t xml:space="preserve">recognize </w:t>
      </w:r>
      <w:r>
        <w:t>legal duties</w:t>
      </w:r>
      <w:r w:rsidR="006E5170">
        <w:t xml:space="preserve"> in new contexts</w:t>
      </w:r>
      <w:r w:rsidR="00AD681A">
        <w:t xml:space="preserve">.  </w:t>
      </w:r>
      <w:r w:rsidRPr="00DD6084" w:rsidR="00AD681A">
        <w:t xml:space="preserve">(See </w:t>
      </w:r>
      <w:r w:rsidRPr="00DD6084" w:rsidR="00AD681A">
        <w:rPr>
          <w:i/>
        </w:rPr>
        <w:t>Rowland</w:t>
      </w:r>
      <w:r w:rsidRPr="00DD6084" w:rsidR="00AD681A">
        <w:t xml:space="preserve">, </w:t>
      </w:r>
      <w:r w:rsidRPr="00DD6084" w:rsidR="00AD681A">
        <w:rPr>
          <w:i/>
        </w:rPr>
        <w:t>supra</w:t>
      </w:r>
      <w:r w:rsidRPr="00DD6084" w:rsidR="00AD681A">
        <w:t>, 69 Cal.2d at p.</w:t>
      </w:r>
      <w:r w:rsidR="00AD681A">
        <w:t> </w:t>
      </w:r>
      <w:r w:rsidRPr="00DD6084" w:rsidR="00AD681A">
        <w:t xml:space="preserve">113; </w:t>
      </w:r>
      <w:r w:rsidR="00AD681A">
        <w:t xml:space="preserve">see also, e.g., </w:t>
      </w:r>
      <w:r w:rsidRPr="00B90F36" w:rsidR="00AD681A">
        <w:rPr>
          <w:i/>
          <w:iCs/>
        </w:rPr>
        <w:t>Regents</w:t>
      </w:r>
      <w:r w:rsidRPr="00B90F36" w:rsidR="00AD681A">
        <w:rPr>
          <w:iCs/>
        </w:rPr>
        <w:t xml:space="preserve">, </w:t>
      </w:r>
      <w:r w:rsidRPr="00B90F36" w:rsidR="00AD681A">
        <w:rPr>
          <w:i/>
          <w:iCs/>
        </w:rPr>
        <w:t>supra</w:t>
      </w:r>
      <w:r w:rsidRPr="00B90F36" w:rsidR="00AD681A">
        <w:rPr>
          <w:iCs/>
        </w:rPr>
        <w:t>,</w:t>
      </w:r>
      <w:r w:rsidRPr="00B90F36" w:rsidR="00AD681A">
        <w:rPr>
          <w:i/>
          <w:iCs/>
        </w:rPr>
        <w:t xml:space="preserve"> </w:t>
      </w:r>
      <w:r w:rsidRPr="00B90F36" w:rsidR="00AD681A">
        <w:rPr>
          <w:iCs/>
        </w:rPr>
        <w:t>4 Cal.5th at p.</w:t>
      </w:r>
      <w:r w:rsidR="00AD681A">
        <w:rPr>
          <w:iCs/>
        </w:rPr>
        <w:t> </w:t>
      </w:r>
      <w:r w:rsidRPr="00B90F36" w:rsidR="00AD681A">
        <w:rPr>
          <w:iCs/>
        </w:rPr>
        <w:t>6</w:t>
      </w:r>
      <w:r w:rsidR="00AD681A">
        <w:rPr>
          <w:iCs/>
        </w:rPr>
        <w:t xml:space="preserve">28; </w:t>
      </w:r>
      <w:r w:rsidR="00AD681A">
        <w:t xml:space="preserve">cf. </w:t>
      </w:r>
      <w:r w:rsidRPr="00DD6084" w:rsidR="00AD681A">
        <w:t xml:space="preserve">Rest.3d Torts, </w:t>
      </w:r>
      <w:r w:rsidRPr="008A711C" w:rsidR="00AD681A">
        <w:rPr>
          <w:i/>
          <w:iCs/>
        </w:rPr>
        <w:t>supra</w:t>
      </w:r>
      <w:r w:rsidR="00AD681A">
        <w:t xml:space="preserve">, </w:t>
      </w:r>
      <w:r w:rsidRPr="00DD6084" w:rsidR="00AD681A">
        <w:t>§</w:t>
      </w:r>
      <w:r w:rsidR="00AD681A">
        <w:t> </w:t>
      </w:r>
      <w:r w:rsidRPr="00DD6084" w:rsidR="00AD681A">
        <w:t>40, com.</w:t>
      </w:r>
      <w:r w:rsidR="00AD681A">
        <w:t> </w:t>
      </w:r>
      <w:r w:rsidRPr="00DD6084" w:rsidR="00AD681A">
        <w:t>b</w:t>
      </w:r>
      <w:r w:rsidR="00AD681A">
        <w:t xml:space="preserve">, p. 40 </w:t>
      </w:r>
      <w:r w:rsidRPr="00DD6084" w:rsidR="00AD681A">
        <w:t>[“Even though an affirmative duty might exist pursuant to this Section, a court may decide, based on special problems of principle or policy, that no duty or a duty other than reasonable care exists.”].)</w:t>
      </w:r>
    </w:p>
    <w:p w:rsidR="00FB33A7" w:rsidP="00781BBD" w14:paraId="0E79029A" w14:textId="5FF7892B">
      <w:pPr>
        <w:tabs>
          <w:tab w:val="left" w:pos="1440"/>
        </w:tabs>
        <w:ind w:firstLine="720"/>
      </w:pPr>
      <w:r>
        <w:rPr>
          <w:szCs w:val="26"/>
        </w:rPr>
        <w:t xml:space="preserve">The question remains whether </w:t>
      </w:r>
      <w:r>
        <w:rPr>
          <w:i/>
          <w:iCs/>
          <w:szCs w:val="26"/>
        </w:rPr>
        <w:t>Rowland</w:t>
      </w:r>
      <w:r>
        <w:rPr>
          <w:szCs w:val="26"/>
        </w:rPr>
        <w:t xml:space="preserve"> has any role to play at all in cases concerning affirmative duties to protect.  </w:t>
      </w:r>
      <w:r w:rsidR="00F227D0">
        <w:rPr>
          <w:szCs w:val="26"/>
        </w:rPr>
        <w:t xml:space="preserve">As noted, some courts have </w:t>
      </w:r>
      <w:r w:rsidR="004D7BC0">
        <w:rPr>
          <w:szCs w:val="26"/>
        </w:rPr>
        <w:t xml:space="preserve">suggested the answer is no; that the special relationship test essentially encompasses the policy considerations set out in </w:t>
      </w:r>
      <w:r w:rsidR="004D7BC0">
        <w:rPr>
          <w:i/>
          <w:iCs/>
          <w:szCs w:val="26"/>
        </w:rPr>
        <w:t>Rowland</w:t>
      </w:r>
      <w:r w:rsidR="004D7BC0">
        <w:rPr>
          <w:szCs w:val="26"/>
        </w:rPr>
        <w:t xml:space="preserve"> and renders it unnecessary to give separate consideration to the </w:t>
      </w:r>
      <w:r w:rsidR="004D7BC0">
        <w:rPr>
          <w:i/>
          <w:iCs/>
          <w:szCs w:val="26"/>
        </w:rPr>
        <w:t xml:space="preserve">Rowland </w:t>
      </w:r>
      <w:r w:rsidR="004D7BC0">
        <w:rPr>
          <w:szCs w:val="26"/>
        </w:rPr>
        <w:t>factors</w:t>
      </w:r>
      <w:r w:rsidR="004B1FA8">
        <w:rPr>
          <w:szCs w:val="26"/>
        </w:rPr>
        <w:t xml:space="preserve"> in determining whether to recognize a legal duty to protect.</w:t>
      </w:r>
      <w:r w:rsidR="00F55AB8">
        <w:rPr>
          <w:szCs w:val="26"/>
        </w:rPr>
        <w:t xml:space="preserve">  (Compare </w:t>
      </w:r>
      <w:r w:rsidRPr="007D6606" w:rsidR="00F55AB8">
        <w:rPr>
          <w:i/>
          <w:iCs/>
          <w:szCs w:val="26"/>
        </w:rPr>
        <w:t>Hansra</w:t>
      </w:r>
      <w:r w:rsidR="00F55AB8">
        <w:rPr>
          <w:szCs w:val="26"/>
        </w:rPr>
        <w:t xml:space="preserve">, </w:t>
      </w:r>
      <w:r w:rsidR="00F55AB8">
        <w:rPr>
          <w:i/>
          <w:iCs/>
          <w:szCs w:val="26"/>
        </w:rPr>
        <w:t>supra</w:t>
      </w:r>
      <w:r w:rsidR="00F55AB8">
        <w:rPr>
          <w:szCs w:val="26"/>
        </w:rPr>
        <w:t>,</w:t>
      </w:r>
      <w:r w:rsidRPr="007D6606" w:rsidR="00F55AB8">
        <w:rPr>
          <w:i/>
          <w:iCs/>
          <w:szCs w:val="26"/>
        </w:rPr>
        <w:t xml:space="preserve"> </w:t>
      </w:r>
      <w:r w:rsidRPr="007D6606" w:rsidR="00F55AB8">
        <w:rPr>
          <w:iCs/>
          <w:szCs w:val="26"/>
        </w:rPr>
        <w:t xml:space="preserve">7 Cal.App.4th </w:t>
      </w:r>
      <w:r w:rsidR="00F55AB8">
        <w:rPr>
          <w:iCs/>
          <w:szCs w:val="26"/>
        </w:rPr>
        <w:t>at p.</w:t>
      </w:r>
      <w:r w:rsidR="00B968CE">
        <w:rPr>
          <w:iCs/>
          <w:szCs w:val="26"/>
        </w:rPr>
        <w:t> </w:t>
      </w:r>
      <w:r w:rsidRPr="007D6606" w:rsidR="00F55AB8">
        <w:rPr>
          <w:iCs/>
          <w:szCs w:val="26"/>
        </w:rPr>
        <w:t>646</w:t>
      </w:r>
      <w:r w:rsidR="00F55AB8">
        <w:rPr>
          <w:iCs/>
          <w:szCs w:val="26"/>
        </w:rPr>
        <w:t xml:space="preserve"> [considering both tests together as one] and </w:t>
      </w:r>
      <w:r w:rsidRPr="007D6606" w:rsidR="00F55AB8">
        <w:rPr>
          <w:i/>
          <w:iCs/>
          <w:szCs w:val="26"/>
        </w:rPr>
        <w:t>Titus</w:t>
      </w:r>
      <w:r w:rsidR="00F55AB8">
        <w:rPr>
          <w:szCs w:val="26"/>
        </w:rPr>
        <w:t xml:space="preserve">, </w:t>
      </w:r>
      <w:r w:rsidR="00F55AB8">
        <w:rPr>
          <w:i/>
          <w:iCs/>
          <w:szCs w:val="26"/>
        </w:rPr>
        <w:t>supra</w:t>
      </w:r>
      <w:r w:rsidR="00F55AB8">
        <w:rPr>
          <w:szCs w:val="26"/>
        </w:rPr>
        <w:t>,</w:t>
      </w:r>
      <w:r w:rsidRPr="007D6606" w:rsidR="00F55AB8">
        <w:rPr>
          <w:i/>
          <w:iCs/>
          <w:szCs w:val="26"/>
        </w:rPr>
        <w:t xml:space="preserve"> </w:t>
      </w:r>
      <w:r w:rsidRPr="007D6606" w:rsidR="00F55AB8">
        <w:rPr>
          <w:iCs/>
          <w:szCs w:val="26"/>
        </w:rPr>
        <w:t xml:space="preserve">118 Cal.App.4th </w:t>
      </w:r>
      <w:r w:rsidR="00F55AB8">
        <w:rPr>
          <w:iCs/>
          <w:szCs w:val="26"/>
        </w:rPr>
        <w:t>at pp. </w:t>
      </w:r>
      <w:r w:rsidRPr="007D6606" w:rsidR="00F55AB8">
        <w:rPr>
          <w:iCs/>
          <w:szCs w:val="26"/>
        </w:rPr>
        <w:t>91</w:t>
      </w:r>
      <w:r w:rsidR="00F55AB8">
        <w:rPr>
          <w:iCs/>
          <w:szCs w:val="26"/>
        </w:rPr>
        <w:t>1–</w:t>
      </w:r>
      <w:r w:rsidRPr="007D6606" w:rsidR="00F55AB8">
        <w:rPr>
          <w:iCs/>
          <w:szCs w:val="26"/>
        </w:rPr>
        <w:t>912</w:t>
      </w:r>
      <w:r w:rsidR="00F55AB8">
        <w:rPr>
          <w:iCs/>
          <w:szCs w:val="26"/>
        </w:rPr>
        <w:t xml:space="preserve"> [same] with </w:t>
      </w:r>
      <w:r w:rsidRPr="002A348F" w:rsidR="00F55AB8">
        <w:rPr>
          <w:i/>
          <w:iCs/>
          <w:szCs w:val="26"/>
        </w:rPr>
        <w:t>Adams</w:t>
      </w:r>
      <w:r w:rsidR="00F55AB8">
        <w:rPr>
          <w:szCs w:val="26"/>
        </w:rPr>
        <w:t xml:space="preserve">, </w:t>
      </w:r>
      <w:r w:rsidR="00F55AB8">
        <w:rPr>
          <w:i/>
          <w:iCs/>
          <w:szCs w:val="26"/>
        </w:rPr>
        <w:t>supra</w:t>
      </w:r>
      <w:r w:rsidR="00F55AB8">
        <w:rPr>
          <w:szCs w:val="26"/>
        </w:rPr>
        <w:t>,</w:t>
      </w:r>
      <w:r w:rsidR="00F55AB8">
        <w:rPr>
          <w:i/>
          <w:iCs/>
          <w:szCs w:val="26"/>
        </w:rPr>
        <w:t xml:space="preserve"> </w:t>
      </w:r>
      <w:r w:rsidRPr="002A348F" w:rsidR="00F55AB8">
        <w:rPr>
          <w:iCs/>
          <w:szCs w:val="26"/>
        </w:rPr>
        <w:t xml:space="preserve">68 Cal.App.4th </w:t>
      </w:r>
      <w:r w:rsidR="00F55AB8">
        <w:rPr>
          <w:iCs/>
          <w:szCs w:val="26"/>
        </w:rPr>
        <w:t>at pp.</w:t>
      </w:r>
      <w:r w:rsidR="00531E4C">
        <w:rPr>
          <w:iCs/>
          <w:szCs w:val="26"/>
        </w:rPr>
        <w:t> </w:t>
      </w:r>
      <w:r w:rsidRPr="002A348F" w:rsidR="00F55AB8">
        <w:rPr>
          <w:iCs/>
          <w:szCs w:val="26"/>
        </w:rPr>
        <w:t>267</w:t>
      </w:r>
      <w:r w:rsidR="00F55AB8">
        <w:rPr>
          <w:iCs/>
          <w:szCs w:val="26"/>
        </w:rPr>
        <w:t>–276</w:t>
      </w:r>
      <w:r w:rsidRPr="002A348F" w:rsidR="00F55AB8">
        <w:rPr>
          <w:iCs/>
          <w:szCs w:val="26"/>
        </w:rPr>
        <w:t>, 282–288</w:t>
      </w:r>
      <w:r w:rsidR="00F55AB8">
        <w:rPr>
          <w:iCs/>
          <w:szCs w:val="26"/>
        </w:rPr>
        <w:t xml:space="preserve"> [recognizing differences between them].)</w:t>
      </w:r>
      <w:r w:rsidR="002A25A1">
        <w:rPr>
          <w:iCs/>
          <w:szCs w:val="26"/>
        </w:rPr>
        <w:t xml:space="preserve">  The suggestion is incorrect.  </w:t>
      </w:r>
      <w:r w:rsidR="009E7A8C">
        <w:rPr>
          <w:iCs/>
          <w:szCs w:val="26"/>
        </w:rPr>
        <w:t xml:space="preserve">While the </w:t>
      </w:r>
      <w:r w:rsidR="005D3B83">
        <w:rPr>
          <w:i/>
          <w:iCs/>
          <w:szCs w:val="26"/>
        </w:rPr>
        <w:t>Rowland</w:t>
      </w:r>
      <w:r w:rsidR="005D3B83">
        <w:rPr>
          <w:szCs w:val="26"/>
        </w:rPr>
        <w:t xml:space="preserve"> factors </w:t>
      </w:r>
      <w:r w:rsidR="009E7A8C">
        <w:rPr>
          <w:szCs w:val="26"/>
        </w:rPr>
        <w:t xml:space="preserve">do </w:t>
      </w:r>
      <w:r w:rsidR="005D3B83">
        <w:rPr>
          <w:szCs w:val="26"/>
        </w:rPr>
        <w:t xml:space="preserve">overlap to some degree with the considerations </w:t>
      </w:r>
      <w:r w:rsidR="00A84023">
        <w:rPr>
          <w:szCs w:val="26"/>
        </w:rPr>
        <w:t>that determine the existence of a special relationship</w:t>
      </w:r>
      <w:r w:rsidR="009E7A8C">
        <w:rPr>
          <w:szCs w:val="26"/>
        </w:rPr>
        <w:t xml:space="preserve">, application of one test does not obviate the </w:t>
      </w:r>
      <w:r w:rsidR="00DC4FF7">
        <w:rPr>
          <w:szCs w:val="26"/>
        </w:rPr>
        <w:t xml:space="preserve">need </w:t>
      </w:r>
      <w:r w:rsidR="0050316F">
        <w:rPr>
          <w:szCs w:val="26"/>
        </w:rPr>
        <w:t xml:space="preserve">for </w:t>
      </w:r>
      <w:r w:rsidR="00DC4FF7">
        <w:rPr>
          <w:szCs w:val="26"/>
        </w:rPr>
        <w:t xml:space="preserve">the </w:t>
      </w:r>
      <w:r w:rsidR="009E7A8C">
        <w:rPr>
          <w:szCs w:val="26"/>
        </w:rPr>
        <w:t>other.  Th</w:t>
      </w:r>
      <w:r w:rsidR="00C42710">
        <w:rPr>
          <w:szCs w:val="26"/>
        </w:rPr>
        <w:t>is is because the</w:t>
      </w:r>
      <w:r w:rsidR="009E7A8C">
        <w:rPr>
          <w:szCs w:val="26"/>
        </w:rPr>
        <w:t xml:space="preserve"> two tests operate differently</w:t>
      </w:r>
      <w:r w:rsidR="00C42710">
        <w:rPr>
          <w:szCs w:val="26"/>
        </w:rPr>
        <w:t xml:space="preserve">.  A court considers whether the parties have a special relationship by considering the particular facts and circumstances of their association with one another.  The </w:t>
      </w:r>
      <w:r w:rsidR="00C42710">
        <w:rPr>
          <w:i/>
          <w:iCs/>
          <w:szCs w:val="26"/>
        </w:rPr>
        <w:t>Rowland</w:t>
      </w:r>
      <w:r w:rsidR="00C42710">
        <w:rPr>
          <w:szCs w:val="26"/>
        </w:rPr>
        <w:t xml:space="preserve"> factors, by contrast, consider, “at a relatively broad level of factual generality,” whether policy considerations justify limiting any resulting duty of protection.  </w:t>
      </w:r>
      <w:r w:rsidR="00ED1786">
        <w:t>(</w:t>
      </w:r>
      <w:r w:rsidR="00ED1786">
        <w:rPr>
          <w:i/>
          <w:iCs/>
        </w:rPr>
        <w:t>Cabral</w:t>
      </w:r>
      <w:r w:rsidR="00ED1786">
        <w:t xml:space="preserve">, </w:t>
      </w:r>
      <w:r w:rsidR="00ED1786">
        <w:rPr>
          <w:i/>
          <w:iCs/>
        </w:rPr>
        <w:t>supra</w:t>
      </w:r>
      <w:r w:rsidR="00ED1786">
        <w:t xml:space="preserve">, </w:t>
      </w:r>
      <w:r w:rsidRPr="00B258A1" w:rsidR="00ED1786">
        <w:rPr>
          <w:iCs/>
        </w:rPr>
        <w:t>51 Cal.4th at</w:t>
      </w:r>
      <w:r w:rsidR="00ED1786">
        <w:rPr>
          <w:iCs/>
        </w:rPr>
        <w:t> </w:t>
      </w:r>
      <w:r w:rsidRPr="00B258A1" w:rsidR="00ED1786">
        <w:rPr>
          <w:iCs/>
        </w:rPr>
        <w:t>p.</w:t>
      </w:r>
      <w:r w:rsidR="00ED1786">
        <w:t xml:space="preserve"> 772; </w:t>
      </w:r>
      <w:r w:rsidR="005F1CBF">
        <w:t xml:space="preserve">see </w:t>
      </w:r>
      <w:r w:rsidR="00ED1786">
        <w:rPr>
          <w:i/>
          <w:iCs/>
        </w:rPr>
        <w:t>Regents</w:t>
      </w:r>
      <w:r w:rsidR="00ED1786">
        <w:t xml:space="preserve">, </w:t>
      </w:r>
      <w:r w:rsidR="00ED1786">
        <w:rPr>
          <w:i/>
          <w:iCs/>
        </w:rPr>
        <w:t>supra</w:t>
      </w:r>
      <w:r w:rsidR="00ED1786">
        <w:t>, 4 Cal.5th at p.</w:t>
      </w:r>
      <w:r w:rsidR="00531E4C">
        <w:t> </w:t>
      </w:r>
      <w:r w:rsidR="00ED1786">
        <w:t xml:space="preserve">629 [“In considering [the </w:t>
      </w:r>
      <w:r w:rsidR="00ED1786">
        <w:rPr>
          <w:i/>
          <w:iCs/>
        </w:rPr>
        <w:t>Rowland</w:t>
      </w:r>
      <w:r w:rsidR="00ED1786">
        <w:t xml:space="preserve"> factors], we determine ‘not whether they support an exception to the general duty of reasonable care on the facts of the particular case before us, but whether carving out an entire category of cases from that general duty rule is justified by clear considerations of policy.’ ”].)</w:t>
      </w:r>
      <w:r w:rsidR="000364DE">
        <w:t xml:space="preserve">  </w:t>
      </w:r>
    </w:p>
    <w:p w:rsidR="00AC37E4" w:rsidP="005978B8" w14:paraId="16BF3C65" w14:textId="393B7F04">
      <w:pPr>
        <w:tabs>
          <w:tab w:val="left" w:pos="1440"/>
        </w:tabs>
        <w:ind w:firstLine="720"/>
      </w:pPr>
      <w:r>
        <w:t xml:space="preserve">Our opinion in </w:t>
      </w:r>
      <w:r w:rsidR="009546CB">
        <w:rPr>
          <w:i/>
          <w:iCs/>
        </w:rPr>
        <w:t xml:space="preserve">Castaneda v. </w:t>
      </w:r>
      <w:r w:rsidR="00953009">
        <w:rPr>
          <w:i/>
          <w:iCs/>
        </w:rPr>
        <w:t>Olsher</w:t>
      </w:r>
      <w:r w:rsidR="00953009">
        <w:t xml:space="preserve">, </w:t>
      </w:r>
      <w:r w:rsidRPr="004401FA" w:rsidR="004401FA">
        <w:rPr>
          <w:i/>
          <w:iCs/>
        </w:rPr>
        <w:t>supra</w:t>
      </w:r>
      <w:r w:rsidR="004401FA">
        <w:t xml:space="preserve">, </w:t>
      </w:r>
      <w:r w:rsidR="00953009">
        <w:t>41 Cal.4th 1205 is illustrative</w:t>
      </w:r>
      <w:r>
        <w:t xml:space="preserve"> of the difference between the two inquiries</w:t>
      </w:r>
      <w:r w:rsidR="00953009">
        <w:t xml:space="preserve">.  In that case, </w:t>
      </w:r>
      <w:r w:rsidR="004679AC">
        <w:t xml:space="preserve">the plaintiff </w:t>
      </w:r>
      <w:r w:rsidR="005978B8">
        <w:t xml:space="preserve">was injured as a bystander to a gang-related shooting at the mobilehome park where he lived.  He sued </w:t>
      </w:r>
      <w:r w:rsidR="00F043CA">
        <w:t>his landlord for negligence</w:t>
      </w:r>
      <w:r w:rsidR="00CA50A8">
        <w:t>.  (</w:t>
      </w:r>
      <w:r w:rsidR="006B05A5">
        <w:rPr>
          <w:i/>
          <w:iCs/>
        </w:rPr>
        <w:t>Id.</w:t>
      </w:r>
      <w:r w:rsidR="006B05A5">
        <w:t xml:space="preserve"> at </w:t>
      </w:r>
      <w:r w:rsidR="002A2DBD">
        <w:t>p</w:t>
      </w:r>
      <w:r w:rsidR="006B05A5">
        <w:t>p.</w:t>
      </w:r>
      <w:r w:rsidR="00531E4C">
        <w:t> </w:t>
      </w:r>
      <w:r w:rsidR="006B05A5">
        <w:t>1211</w:t>
      </w:r>
      <w:r w:rsidRPr="002A348F" w:rsidR="00817290">
        <w:rPr>
          <w:iCs/>
          <w:szCs w:val="26"/>
        </w:rPr>
        <w:t>–</w:t>
      </w:r>
      <w:r w:rsidR="006B05A5">
        <w:t>1212.)</w:t>
      </w:r>
      <w:r w:rsidR="00A37211">
        <w:t xml:space="preserve">  </w:t>
      </w:r>
      <w:r w:rsidR="003D43AA">
        <w:t xml:space="preserve">Although the parties were in a special relationship, </w:t>
      </w:r>
      <w:r w:rsidR="00760EF9">
        <w:t xml:space="preserve">we concluded </w:t>
      </w:r>
      <w:r w:rsidR="006901D6">
        <w:t xml:space="preserve">that </w:t>
      </w:r>
      <w:r w:rsidR="00A2355F">
        <w:t>the</w:t>
      </w:r>
      <w:r w:rsidR="006901D6">
        <w:t xml:space="preserve"> landlord </w:t>
      </w:r>
      <w:r w:rsidR="00E41DD9">
        <w:t xml:space="preserve">did not have a duty </w:t>
      </w:r>
      <w:r w:rsidR="006901D6">
        <w:t>to</w:t>
      </w:r>
      <w:r w:rsidR="00431E58">
        <w:t xml:space="preserve"> </w:t>
      </w:r>
      <w:r w:rsidR="001633A5">
        <w:t>“</w:t>
      </w:r>
      <w:r w:rsidR="00911BA9">
        <w:t>withhold rental units from those they believe to be gang members”</w:t>
      </w:r>
      <w:r w:rsidR="00517DDE">
        <w:t xml:space="preserve"> in order to protect his other tenants.</w:t>
      </w:r>
      <w:r w:rsidR="00911BA9">
        <w:t xml:space="preserve">  (</w:t>
      </w:r>
      <w:r w:rsidR="00E41512">
        <w:rPr>
          <w:i/>
          <w:iCs/>
        </w:rPr>
        <w:t>Id.</w:t>
      </w:r>
      <w:r w:rsidR="006C650E">
        <w:t> </w:t>
      </w:r>
      <w:r w:rsidR="00E41512">
        <w:t>at p.</w:t>
      </w:r>
      <w:r w:rsidR="00531E4C">
        <w:t> </w:t>
      </w:r>
      <w:r w:rsidR="00E41512">
        <w:t xml:space="preserve">1216.)  </w:t>
      </w:r>
      <w:r w:rsidR="003F08E4">
        <w:t>W</w:t>
      </w:r>
      <w:r w:rsidR="00C242D0">
        <w:t xml:space="preserve">e </w:t>
      </w:r>
      <w:r w:rsidR="007A614D">
        <w:t xml:space="preserve">reasoned that </w:t>
      </w:r>
      <w:r w:rsidR="00D65574">
        <w:t>requiring as much would</w:t>
      </w:r>
      <w:r w:rsidR="00775D7A">
        <w:t>, as a general proposition,</w:t>
      </w:r>
      <w:r w:rsidR="00DC29EB">
        <w:t xml:space="preserve"> result in “arbitrary discrimination on the basis of race, ethnicity, family composition, dress and appearance, or reputation” — </w:t>
      </w:r>
      <w:r w:rsidR="006F5C14">
        <w:t xml:space="preserve">all </w:t>
      </w:r>
      <w:r w:rsidR="00C418F6">
        <w:t xml:space="preserve">in service of </w:t>
      </w:r>
      <w:r w:rsidR="001C7390">
        <w:t xml:space="preserve">a tenant screening process that </w:t>
      </w:r>
      <w:r w:rsidR="00964BF1">
        <w:t xml:space="preserve">was </w:t>
      </w:r>
      <w:r w:rsidR="0051367E">
        <w:t xml:space="preserve">unlikely </w:t>
      </w:r>
      <w:r w:rsidR="00964BF1">
        <w:t xml:space="preserve">to effectively prevent </w:t>
      </w:r>
      <w:r w:rsidR="0006156B">
        <w:t xml:space="preserve">injuries like those </w:t>
      </w:r>
      <w:r w:rsidR="0062006B">
        <w:t xml:space="preserve">the plaintiff </w:t>
      </w:r>
      <w:r w:rsidR="001C7390">
        <w:t>had suffered.</w:t>
      </w:r>
      <w:r w:rsidR="007D5F94">
        <w:t xml:space="preserve">  (</w:t>
      </w:r>
      <w:r w:rsidR="00AE18A0">
        <w:rPr>
          <w:i/>
          <w:iCs/>
        </w:rPr>
        <w:t>I</w:t>
      </w:r>
      <w:r w:rsidR="004401FA">
        <w:rPr>
          <w:i/>
          <w:iCs/>
        </w:rPr>
        <w:t>bi</w:t>
      </w:r>
      <w:r w:rsidR="00AE18A0">
        <w:rPr>
          <w:i/>
          <w:iCs/>
        </w:rPr>
        <w:t>d</w:t>
      </w:r>
      <w:r w:rsidR="004401FA">
        <w:rPr>
          <w:i/>
          <w:iCs/>
        </w:rPr>
        <w:t>.</w:t>
      </w:r>
      <w:r w:rsidR="007B1249">
        <w:t xml:space="preserve">)  </w:t>
      </w:r>
      <w:r w:rsidR="00700F90">
        <w:t>Thus,</w:t>
      </w:r>
      <w:r w:rsidR="0091323F">
        <w:t xml:space="preserve"> </w:t>
      </w:r>
      <w:r w:rsidR="007E300B">
        <w:t>despite</w:t>
      </w:r>
      <w:r w:rsidR="00414F70">
        <w:t xml:space="preserve"> the existence of a special relationship, </w:t>
      </w:r>
      <w:r w:rsidR="00B1459D">
        <w:t xml:space="preserve">imposing such a duty on landlords </w:t>
      </w:r>
      <w:r w:rsidR="00585A6D">
        <w:t xml:space="preserve">would </w:t>
      </w:r>
      <w:r w:rsidR="00BD3F13">
        <w:t xml:space="preserve">not </w:t>
      </w:r>
      <w:r w:rsidR="00E239C4">
        <w:t xml:space="preserve">be “fair or workable,” nor </w:t>
      </w:r>
      <w:r w:rsidR="005E7199">
        <w:t xml:space="preserve">would it be </w:t>
      </w:r>
      <w:r w:rsidR="00E239C4">
        <w:t>“consistent with our state’s public policy as a whole.”  (</w:t>
      </w:r>
      <w:r w:rsidR="00E239C4">
        <w:rPr>
          <w:i/>
          <w:iCs/>
        </w:rPr>
        <w:t>Ibid.</w:t>
      </w:r>
      <w:r w:rsidR="00E239C4">
        <w:t>)</w:t>
      </w:r>
    </w:p>
    <w:p w:rsidR="00AC37E4" w:rsidRPr="00AC37E4" w:rsidP="005978B8" w14:paraId="209287B5" w14:textId="557948CB">
      <w:pPr>
        <w:tabs>
          <w:tab w:val="left" w:pos="1440"/>
        </w:tabs>
        <w:ind w:firstLine="720"/>
      </w:pPr>
      <w:r>
        <w:t>In other cases, a court might conclude that</w:t>
      </w:r>
      <w:r w:rsidR="00DC4FF7">
        <w:t xml:space="preserve"> </w:t>
      </w:r>
      <w:r>
        <w:t>duty should not be imposed because</w:t>
      </w:r>
      <w:r w:rsidR="00DC4FF7">
        <w:t>, for example,</w:t>
      </w:r>
      <w:r>
        <w:t xml:space="preserve"> the </w:t>
      </w:r>
      <w:r w:rsidR="001D08E8">
        <w:t xml:space="preserve">type of </w:t>
      </w:r>
      <w:r>
        <w:t xml:space="preserve">harm the plaintiff suffered was unforeseeable, or because there was no moral blameworthiness associated with the defendant’s conduct, notwithstanding the defendant’s special relationship to </w:t>
      </w:r>
      <w:r w:rsidR="00A306AE">
        <w:t>the plaintiff</w:t>
      </w:r>
      <w:r>
        <w:t xml:space="preserve">.  Put differently, even when a special relationship gives rise to an affirmative duty to protect, a court must </w:t>
      </w:r>
      <w:r w:rsidR="009327FE">
        <w:t xml:space="preserve">still </w:t>
      </w:r>
      <w:r>
        <w:t xml:space="preserve">consider whether the policy considerations set out in </w:t>
      </w:r>
      <w:r>
        <w:rPr>
          <w:i/>
          <w:iCs/>
        </w:rPr>
        <w:t>Rowland</w:t>
      </w:r>
      <w:r>
        <w:t xml:space="preserve"> warrant a departure from that duty</w:t>
      </w:r>
      <w:r w:rsidR="001D08E8">
        <w:t xml:space="preserve"> in the relevant category of cases</w:t>
      </w:r>
      <w:r>
        <w:t>.</w:t>
      </w:r>
    </w:p>
    <w:p w:rsidR="00ED1700" w:rsidRPr="00E21073" w:rsidP="00085280" w14:paraId="382F1B4A" w14:textId="77777777">
      <w:pPr>
        <w:pStyle w:val="Heading1"/>
        <w:spacing w:line="400" w:lineRule="exact"/>
        <w:rPr>
          <w:szCs w:val="27"/>
        </w:rPr>
      </w:pPr>
      <w:r w:rsidRPr="00E21073">
        <w:rPr>
          <w:szCs w:val="27"/>
        </w:rPr>
        <w:t>III.</w:t>
      </w:r>
    </w:p>
    <w:p w:rsidR="00CD5CBE" w:rsidP="00584807" w14:paraId="4A8B0753" w14:textId="4F5C410B">
      <w:pPr>
        <w:tabs>
          <w:tab w:val="left" w:pos="1440"/>
        </w:tabs>
        <w:ind w:firstLine="720"/>
        <w:rPr>
          <w:szCs w:val="26"/>
        </w:rPr>
      </w:pPr>
      <w:r>
        <w:t xml:space="preserve">Brown alleged that USAT and USOC acted negligently by failing to </w:t>
      </w:r>
      <w:r w:rsidR="002A78DA">
        <w:t xml:space="preserve">take steps to </w:t>
      </w:r>
      <w:r>
        <w:t xml:space="preserve">protect </w:t>
      </w:r>
      <w:r w:rsidR="006A0499">
        <w:t xml:space="preserve">her </w:t>
      </w:r>
      <w:r>
        <w:t xml:space="preserve">from </w:t>
      </w:r>
      <w:r w:rsidR="009C2B06">
        <w:t xml:space="preserve">her </w:t>
      </w:r>
      <w:r>
        <w:t>coach’s abuse.</w:t>
      </w:r>
      <w:r w:rsidR="002A3B19">
        <w:t xml:space="preserve"> </w:t>
      </w:r>
      <w:r w:rsidR="006144B2">
        <w:rPr>
          <w:szCs w:val="26"/>
        </w:rPr>
        <w:t xml:space="preserve"> </w:t>
      </w:r>
      <w:r w:rsidR="006144B2">
        <w:rPr>
          <w:szCs w:val="26"/>
        </w:rPr>
        <w:t xml:space="preserve">To evaluate </w:t>
      </w:r>
      <w:r w:rsidR="00322486">
        <w:rPr>
          <w:szCs w:val="26"/>
        </w:rPr>
        <w:t xml:space="preserve">her </w:t>
      </w:r>
      <w:r w:rsidR="006144B2">
        <w:rPr>
          <w:szCs w:val="26"/>
        </w:rPr>
        <w:t>claim, t</w:t>
      </w:r>
      <w:r w:rsidR="00FD604A">
        <w:rPr>
          <w:szCs w:val="26"/>
        </w:rPr>
        <w:t xml:space="preserve">he Court of Appeal first asked whether a duty existed </w:t>
      </w:r>
      <w:r w:rsidR="00AA4230">
        <w:rPr>
          <w:szCs w:val="26"/>
        </w:rPr>
        <w:t xml:space="preserve">based on a </w:t>
      </w:r>
      <w:r w:rsidR="00FD604A">
        <w:rPr>
          <w:szCs w:val="26"/>
        </w:rPr>
        <w:t>special relationship.  Concluding that USOC had no such relationship</w:t>
      </w:r>
      <w:r w:rsidR="004B3ACB">
        <w:rPr>
          <w:szCs w:val="26"/>
        </w:rPr>
        <w:t xml:space="preserve"> with Brown</w:t>
      </w:r>
      <w:r w:rsidR="00FD604A">
        <w:rPr>
          <w:szCs w:val="26"/>
        </w:rPr>
        <w:t>, the court ended its analysis</w:t>
      </w:r>
      <w:r w:rsidR="00FE219F">
        <w:rPr>
          <w:szCs w:val="26"/>
        </w:rPr>
        <w:t xml:space="preserve"> with respect to that defendant</w:t>
      </w:r>
      <w:r w:rsidR="00FD604A">
        <w:rPr>
          <w:szCs w:val="26"/>
        </w:rPr>
        <w:t xml:space="preserve">.  This approach was sound.  </w:t>
      </w:r>
      <w:r w:rsidR="0020665B">
        <w:rPr>
          <w:szCs w:val="26"/>
        </w:rPr>
        <w:t xml:space="preserve">And after concluding </w:t>
      </w:r>
      <w:r w:rsidR="00FD604A">
        <w:rPr>
          <w:szCs w:val="26"/>
        </w:rPr>
        <w:t xml:space="preserve">that USAT </w:t>
      </w:r>
      <w:r w:rsidRPr="00040CCD" w:rsidR="00FD604A">
        <w:rPr>
          <w:i/>
          <w:iCs/>
          <w:szCs w:val="26"/>
        </w:rPr>
        <w:t>did</w:t>
      </w:r>
      <w:r w:rsidR="00FD604A">
        <w:rPr>
          <w:szCs w:val="26"/>
        </w:rPr>
        <w:t xml:space="preserve"> have a special relationship</w:t>
      </w:r>
      <w:r w:rsidR="004F67CD">
        <w:rPr>
          <w:szCs w:val="26"/>
        </w:rPr>
        <w:t xml:space="preserve"> with plaintiffs</w:t>
      </w:r>
      <w:r w:rsidR="00FD604A">
        <w:rPr>
          <w:szCs w:val="26"/>
        </w:rPr>
        <w:t xml:space="preserve">, the court went on to apply </w:t>
      </w:r>
      <w:r w:rsidR="00FD604A">
        <w:rPr>
          <w:i/>
          <w:szCs w:val="26"/>
        </w:rPr>
        <w:t>Rowland</w:t>
      </w:r>
      <w:r w:rsidR="00FD604A">
        <w:rPr>
          <w:szCs w:val="26"/>
        </w:rPr>
        <w:t xml:space="preserve"> to determine whether to limit that potential duty</w:t>
      </w:r>
      <w:r w:rsidR="00136192">
        <w:rPr>
          <w:szCs w:val="26"/>
        </w:rPr>
        <w:t xml:space="preserve"> </w:t>
      </w:r>
      <w:r w:rsidR="00254F9A">
        <w:rPr>
          <w:szCs w:val="26"/>
        </w:rPr>
        <w:t xml:space="preserve">— deciding </w:t>
      </w:r>
      <w:r w:rsidR="00136192">
        <w:rPr>
          <w:szCs w:val="26"/>
        </w:rPr>
        <w:t>the answer to that question was no</w:t>
      </w:r>
      <w:r w:rsidR="00FD604A">
        <w:rPr>
          <w:szCs w:val="26"/>
        </w:rPr>
        <w:t>.  This, too, was the correct approach.</w:t>
      </w:r>
      <w:r>
        <w:rPr>
          <w:rStyle w:val="FootnoteReference"/>
          <w:szCs w:val="26"/>
        </w:rPr>
        <w:footnoteReference w:id="11"/>
      </w:r>
      <w:r w:rsidR="00FD604A">
        <w:rPr>
          <w:szCs w:val="26"/>
        </w:rPr>
        <w:t xml:space="preserve">  </w:t>
      </w:r>
    </w:p>
    <w:p w:rsidR="002D426E" w:rsidP="00584807" w14:paraId="0203FD56" w14:textId="1A0846A6">
      <w:pPr>
        <w:tabs>
          <w:tab w:val="left" w:pos="1440"/>
        </w:tabs>
        <w:ind w:firstLine="720"/>
        <w:rPr>
          <w:szCs w:val="26"/>
        </w:rPr>
      </w:pPr>
      <w:r>
        <w:rPr>
          <w:szCs w:val="26"/>
        </w:rPr>
        <w:t>T</w:t>
      </w:r>
      <w:r w:rsidR="00DB3F57">
        <w:rPr>
          <w:szCs w:val="26"/>
        </w:rPr>
        <w:t>he Court of Appeal’s judgment does not mark the end of the case</w:t>
      </w:r>
      <w:r>
        <w:rPr>
          <w:szCs w:val="26"/>
        </w:rPr>
        <w:t xml:space="preserve">.  It affirms </w:t>
      </w:r>
      <w:r w:rsidR="00DB3F57">
        <w:rPr>
          <w:szCs w:val="26"/>
        </w:rPr>
        <w:t xml:space="preserve">the trial court’s decision to dismiss </w:t>
      </w:r>
      <w:r>
        <w:rPr>
          <w:szCs w:val="26"/>
        </w:rPr>
        <w:t xml:space="preserve">one </w:t>
      </w:r>
      <w:r w:rsidR="003A0043">
        <w:rPr>
          <w:szCs w:val="26"/>
        </w:rPr>
        <w:t xml:space="preserve">of several named </w:t>
      </w:r>
      <w:r>
        <w:rPr>
          <w:szCs w:val="26"/>
        </w:rPr>
        <w:t>defendant</w:t>
      </w:r>
      <w:r w:rsidR="003A0043">
        <w:rPr>
          <w:szCs w:val="26"/>
        </w:rPr>
        <w:t>s</w:t>
      </w:r>
      <w:r>
        <w:rPr>
          <w:szCs w:val="26"/>
        </w:rPr>
        <w:t xml:space="preserve">, USOC, for failure to adequately allege a special relationship giving rise to an affirmative duty to protect.  </w:t>
      </w:r>
      <w:r w:rsidR="00385852">
        <w:rPr>
          <w:szCs w:val="26"/>
        </w:rPr>
        <w:t xml:space="preserve">Having concluded </w:t>
      </w:r>
      <w:r w:rsidR="00306906">
        <w:rPr>
          <w:szCs w:val="26"/>
        </w:rPr>
        <w:t xml:space="preserve">the </w:t>
      </w:r>
      <w:r w:rsidR="001146F2">
        <w:rPr>
          <w:szCs w:val="26"/>
        </w:rPr>
        <w:t xml:space="preserve">Court of Appeal </w:t>
      </w:r>
      <w:r w:rsidR="00306906">
        <w:rPr>
          <w:szCs w:val="26"/>
        </w:rPr>
        <w:t xml:space="preserve">did not err by </w:t>
      </w:r>
      <w:r w:rsidR="003A0043">
        <w:rPr>
          <w:szCs w:val="26"/>
        </w:rPr>
        <w:t xml:space="preserve">declining to </w:t>
      </w:r>
      <w:r w:rsidR="00C22C62">
        <w:rPr>
          <w:szCs w:val="26"/>
        </w:rPr>
        <w:t xml:space="preserve">apply </w:t>
      </w:r>
      <w:r w:rsidR="00430934">
        <w:rPr>
          <w:szCs w:val="26"/>
        </w:rPr>
        <w:t xml:space="preserve">the </w:t>
      </w:r>
      <w:r w:rsidR="00430934">
        <w:rPr>
          <w:i/>
          <w:iCs/>
          <w:szCs w:val="26"/>
        </w:rPr>
        <w:t>Rowland</w:t>
      </w:r>
      <w:r w:rsidR="00430934">
        <w:rPr>
          <w:szCs w:val="26"/>
        </w:rPr>
        <w:t xml:space="preserve"> factors as an alternative source of duty, we </w:t>
      </w:r>
      <w:r>
        <w:rPr>
          <w:szCs w:val="26"/>
        </w:rPr>
        <w:t xml:space="preserve">now </w:t>
      </w:r>
      <w:r w:rsidR="00430934">
        <w:rPr>
          <w:szCs w:val="26"/>
        </w:rPr>
        <w:t xml:space="preserve">affirm the court’s judgment.  </w:t>
      </w:r>
      <w:r w:rsidR="00431F22">
        <w:rPr>
          <w:szCs w:val="26"/>
        </w:rPr>
        <w:t>On remand, Brown may continue to pursue her suit against USAT and the other remaining defendants.</w:t>
      </w:r>
    </w:p>
    <w:p w:rsidR="00F6268C" w:rsidP="00ED1700" w14:paraId="5A935E75" w14:textId="6ABC2DD4">
      <w:pPr>
        <w:tabs>
          <w:tab w:val="left" w:pos="1440"/>
        </w:tabs>
        <w:spacing w:line="400" w:lineRule="atLeast"/>
        <w:ind w:firstLine="720"/>
      </w:pPr>
      <w:r w:rsidRPr="00E21073">
        <w:rPr>
          <w:b/>
          <w:szCs w:val="27"/>
        </w:rPr>
        <w:tab/>
      </w:r>
      <w:r w:rsidRPr="00B64CB7">
        <w:rPr>
          <w:b/>
          <w:szCs w:val="26"/>
        </w:rPr>
        <w:tab/>
      </w:r>
      <w:r w:rsidRPr="00B64CB7">
        <w:rPr>
          <w:b/>
          <w:szCs w:val="26"/>
        </w:rPr>
        <w:tab/>
      </w:r>
      <w:r w:rsidRPr="00B64CB7">
        <w:rPr>
          <w:b/>
          <w:szCs w:val="26"/>
        </w:rPr>
        <w:tab/>
      </w:r>
      <w:r w:rsidRPr="00B64CB7">
        <w:rPr>
          <w:b/>
          <w:szCs w:val="26"/>
        </w:rPr>
        <w:tab/>
      </w:r>
      <w:r w:rsidRPr="00B64CB7">
        <w:rPr>
          <w:b/>
          <w:szCs w:val="26"/>
        </w:rPr>
        <w:tab/>
      </w:r>
      <w:r w:rsidRPr="00B64CB7">
        <w:rPr>
          <w:b/>
          <w:szCs w:val="26"/>
        </w:rPr>
        <w:tab/>
      </w:r>
      <w:r w:rsidR="00F252E2">
        <w:rPr>
          <w:b/>
          <w:szCs w:val="26"/>
        </w:rPr>
        <w:t xml:space="preserve"> </w:t>
      </w:r>
      <w:r w:rsidR="00B55395">
        <w:rPr>
          <w:b/>
          <w:szCs w:val="26"/>
        </w:rPr>
        <w:t xml:space="preserve"> </w:t>
      </w:r>
      <w:r w:rsidR="00F252E2">
        <w:rPr>
          <w:b/>
          <w:szCs w:val="26"/>
        </w:rPr>
        <w:t xml:space="preserve">   </w:t>
      </w:r>
      <w:r w:rsidRPr="00B64CB7">
        <w:rPr>
          <w:b/>
          <w:szCs w:val="26"/>
        </w:rPr>
        <w:t>KRUGER, J.</w:t>
      </w:r>
    </w:p>
    <w:p w:rsidR="000718F0" w:rsidRPr="00B46068" w:rsidP="000718F0" w14:paraId="648F1337" w14:textId="77777777">
      <w:pPr>
        <w:tabs>
          <w:tab w:val="left" w:pos="1440"/>
        </w:tabs>
        <w:spacing w:line="400" w:lineRule="atLeast"/>
        <w:rPr>
          <w:b/>
          <w:bCs/>
        </w:rPr>
      </w:pPr>
      <w:r w:rsidRPr="00B46068">
        <w:rPr>
          <w:b/>
          <w:bCs/>
        </w:rPr>
        <w:t>We Concur:</w:t>
      </w:r>
    </w:p>
    <w:p w:rsidR="000718F0" w:rsidRPr="00F67995" w:rsidP="000718F0" w14:paraId="5FE11599" w14:textId="77777777">
      <w:pPr>
        <w:tabs>
          <w:tab w:val="left" w:pos="1440"/>
        </w:tabs>
        <w:spacing w:after="0" w:line="240" w:lineRule="auto"/>
        <w:rPr>
          <w:b/>
          <w:bCs/>
          <w:szCs w:val="26"/>
        </w:rPr>
      </w:pPr>
      <w:r w:rsidRPr="00F67995">
        <w:rPr>
          <w:b/>
          <w:bCs/>
          <w:szCs w:val="26"/>
        </w:rPr>
        <w:t>CANTIL-SAKAUYE, C. J.</w:t>
      </w:r>
    </w:p>
    <w:p w:rsidR="000718F0" w:rsidRPr="00F67995" w:rsidP="000718F0" w14:paraId="590668A5" w14:textId="77777777">
      <w:pPr>
        <w:tabs>
          <w:tab w:val="left" w:pos="1440"/>
        </w:tabs>
        <w:spacing w:after="0" w:line="240" w:lineRule="auto"/>
        <w:rPr>
          <w:b/>
          <w:bCs/>
          <w:szCs w:val="26"/>
        </w:rPr>
      </w:pPr>
      <w:r w:rsidRPr="00F67995">
        <w:rPr>
          <w:b/>
          <w:bCs/>
          <w:szCs w:val="26"/>
        </w:rPr>
        <w:t>CORRIGAN, J.</w:t>
      </w:r>
    </w:p>
    <w:p w:rsidR="000718F0" w:rsidRPr="00F67995" w:rsidP="000718F0" w14:paraId="65E96884" w14:textId="77777777">
      <w:pPr>
        <w:tabs>
          <w:tab w:val="left" w:pos="1440"/>
        </w:tabs>
        <w:spacing w:after="0" w:line="240" w:lineRule="auto"/>
        <w:rPr>
          <w:b/>
          <w:bCs/>
          <w:szCs w:val="26"/>
        </w:rPr>
      </w:pPr>
      <w:r w:rsidRPr="00F67995">
        <w:rPr>
          <w:b/>
          <w:bCs/>
          <w:szCs w:val="26"/>
        </w:rPr>
        <w:t>LIU, J.</w:t>
      </w:r>
    </w:p>
    <w:p w:rsidR="000718F0" w:rsidP="000718F0" w14:paraId="465B8358" w14:textId="77777777">
      <w:pPr>
        <w:tabs>
          <w:tab w:val="left" w:pos="1440"/>
        </w:tabs>
        <w:spacing w:after="0" w:line="240" w:lineRule="auto"/>
        <w:rPr>
          <w:b/>
          <w:bCs/>
          <w:szCs w:val="26"/>
        </w:rPr>
      </w:pPr>
      <w:r>
        <w:rPr>
          <w:b/>
          <w:bCs/>
          <w:szCs w:val="26"/>
        </w:rPr>
        <w:t>CUÉLLAR, J.</w:t>
      </w:r>
    </w:p>
    <w:p w:rsidR="000718F0" w:rsidRPr="00F67995" w:rsidP="000718F0" w14:paraId="3FCA9651" w14:textId="77777777">
      <w:pPr>
        <w:tabs>
          <w:tab w:val="left" w:pos="1440"/>
        </w:tabs>
        <w:spacing w:after="0" w:line="240" w:lineRule="auto"/>
        <w:rPr>
          <w:b/>
          <w:bCs/>
          <w:szCs w:val="26"/>
        </w:rPr>
      </w:pPr>
      <w:r w:rsidRPr="00F67995">
        <w:rPr>
          <w:b/>
          <w:bCs/>
          <w:szCs w:val="26"/>
        </w:rPr>
        <w:t>GROBAN, J.</w:t>
      </w:r>
    </w:p>
    <w:p w:rsidR="000718F0" w:rsidRPr="00F67995" w:rsidP="000718F0" w14:paraId="59F588FA" w14:textId="77777777">
      <w:pPr>
        <w:tabs>
          <w:tab w:val="left" w:pos="1440"/>
        </w:tabs>
        <w:spacing w:after="0" w:line="240" w:lineRule="auto"/>
        <w:rPr>
          <w:b/>
          <w:bCs/>
          <w:szCs w:val="26"/>
        </w:rPr>
      </w:pPr>
      <w:r w:rsidRPr="00F67995">
        <w:rPr>
          <w:b/>
          <w:bCs/>
          <w:szCs w:val="26"/>
        </w:rPr>
        <w:t>JENKINS, J.</w:t>
      </w:r>
    </w:p>
    <w:p w:rsidR="00C9513B" w:rsidP="000718F0" w14:paraId="3E65239E" w14:textId="77777777">
      <w:pPr>
        <w:tabs>
          <w:tab w:val="left" w:pos="1440"/>
        </w:tabs>
        <w:spacing w:line="400" w:lineRule="atLeast"/>
        <w:jc w:val="left"/>
        <w:rPr>
          <w:szCs w:val="26"/>
        </w:rPr>
        <w:sectPr w:rsidSect="00EB50FE">
          <w:footerReference w:type="first" r:id="rId12"/>
          <w:pgSz w:w="12240" w:h="15840"/>
          <w:pgMar w:top="1800" w:right="2160" w:bottom="1440" w:left="2160" w:header="720" w:footer="720" w:gutter="0"/>
          <w:pgNumType w:start="1"/>
          <w:cols w:space="720"/>
          <w:titlePg/>
          <w:docGrid w:linePitch="367"/>
        </w:sectPr>
      </w:pPr>
    </w:p>
    <w:p w:rsidR="007462EB" w:rsidRPr="007462EB" w:rsidP="007462EB" w14:paraId="34FA95B5" w14:textId="77777777">
      <w:pPr>
        <w:jc w:val="center"/>
      </w:pPr>
      <w:r w:rsidRPr="007462EB">
        <w:t>BROWN v. USA TAEKWONDO</w:t>
      </w:r>
    </w:p>
    <w:p w:rsidR="007462EB" w:rsidRPr="007462EB" w:rsidP="007462EB" w14:paraId="0C4E00AC" w14:textId="77777777">
      <w:pPr>
        <w:jc w:val="center"/>
      </w:pPr>
      <w:r w:rsidRPr="007462EB">
        <w:t>S259216</w:t>
      </w:r>
    </w:p>
    <w:p w:rsidR="007462EB" w:rsidRPr="007462EB" w:rsidP="007462EB" w14:paraId="277C77A4" w14:textId="77777777">
      <w:pPr>
        <w:jc w:val="center"/>
      </w:pPr>
    </w:p>
    <w:p w:rsidR="007462EB" w:rsidRPr="007462EB" w:rsidP="007462EB" w14:paraId="6D06880C" w14:textId="77777777">
      <w:pPr>
        <w:jc w:val="center"/>
      </w:pPr>
      <w:r w:rsidRPr="007462EB">
        <w:t>Concurring Opinion by Justice Cuéllar</w:t>
      </w:r>
    </w:p>
    <w:p w:rsidR="007462EB" w:rsidRPr="007462EB" w:rsidP="007462EB" w14:paraId="2E9E1A6A" w14:textId="77777777">
      <w:pPr>
        <w:jc w:val="center"/>
      </w:pPr>
    </w:p>
    <w:p w:rsidR="007462EB" w:rsidRPr="007462EB" w:rsidP="007462EB" w14:paraId="02681746" w14:textId="77777777">
      <w:pPr>
        <w:ind w:firstLine="720"/>
      </w:pPr>
      <w:r w:rsidRPr="007462EB">
        <w:t>The young women who are plaintiffs in this case achieved, in taekwondo, uncommon excellence.  What these young women nonetheless experienced in the process is all too common: someone they knew, trusted and relied on — their credentialed taekwondo coach — betrayed their trust and sexually assaulted them.  The majority opinion specifies how a court must consider certain presumptions and exceptions when resolving whether such plaintiffs have any right to recover from entities at whose events and facilities the wrongs occurred — in this case, the United States Olympic Committee (USOC).  I write separately to explain how those presumptions and exceptions realize a fundamental substantive principle:  In California, “[t]ort law” — the law of when and how individuals who have suffered harm may seek compensation for their injuries through private actions — “serves society’s interest in allocating risks and costs to those who can better prevent them, and it provides aggrieved parties with just compensation.”  (</w:t>
      </w:r>
      <w:r w:rsidRPr="007462EB">
        <w:rPr>
          <w:i/>
          <w:iCs/>
        </w:rPr>
        <w:t>Southern California Gas Leak Cases</w:t>
      </w:r>
      <w:r w:rsidRPr="007462EB">
        <w:t xml:space="preserve"> (2019) 7 Cal.5th 391, 394 (</w:t>
      </w:r>
      <w:r w:rsidRPr="007462EB">
        <w:rPr>
          <w:i/>
          <w:iCs/>
        </w:rPr>
        <w:t>SoCal Gas</w:t>
      </w:r>
      <w:r w:rsidRPr="007462EB">
        <w:t>).)</w:t>
      </w:r>
    </w:p>
    <w:p w:rsidR="007462EB" w:rsidRPr="007462EB" w:rsidP="007462EB" w14:paraId="6E5185D5" w14:textId="77777777">
      <w:pPr>
        <w:ind w:firstLine="720"/>
      </w:pPr>
      <w:r w:rsidRPr="007462EB">
        <w:t xml:space="preserve">The majority specifically holds that when a plaintiff argues defendant owes a duty based on a “special relationship,” the policy analysis we first discussed in </w:t>
      </w:r>
      <w:r w:rsidRPr="007462EB">
        <w:rPr>
          <w:i/>
          <w:iCs/>
        </w:rPr>
        <w:t>Rowland v. Christian</w:t>
      </w:r>
      <w:r w:rsidRPr="007462EB">
        <w:t xml:space="preserve"> is only relevant to decide whether to limit that duty.  (See maj. opn., </w:t>
      </w:r>
      <w:r w:rsidRPr="007462EB">
        <w:rPr>
          <w:i/>
          <w:iCs/>
        </w:rPr>
        <w:t>ante</w:t>
      </w:r>
      <w:r w:rsidRPr="007462EB">
        <w:t xml:space="preserve">, at pp. 15–19; </w:t>
      </w:r>
      <w:r w:rsidRPr="007462EB">
        <w:rPr>
          <w:i/>
          <w:iCs/>
        </w:rPr>
        <w:t>Rowland v. Christian</w:t>
      </w:r>
      <w:r w:rsidRPr="007462EB">
        <w:t xml:space="preserve"> (1968) 69 Cal.2d 108, 112–113, 119 (</w:t>
      </w:r>
      <w:r w:rsidRPr="007462EB">
        <w:rPr>
          <w:i/>
          <w:iCs/>
        </w:rPr>
        <w:t>Rowland</w:t>
      </w:r>
      <w:r w:rsidRPr="007462EB">
        <w:t>).)  As the majority opinion explains, that procedure — first decide whether policy considerations support a duty based on a “special relationship” and then consider whether public policy “clearly require[s] an exception” (</w:t>
      </w:r>
      <w:r w:rsidRPr="007462EB">
        <w:rPr>
          <w:i/>
          <w:iCs/>
          <w:szCs w:val="26"/>
        </w:rPr>
        <w:t>Regents of University of California v. Superior Court</w:t>
      </w:r>
      <w:r w:rsidRPr="007462EB">
        <w:rPr>
          <w:iCs/>
          <w:szCs w:val="26"/>
        </w:rPr>
        <w:t xml:space="preserve"> (2018) 4 Cal.5th 607, </w:t>
      </w:r>
      <w:r w:rsidRPr="007462EB">
        <w:t>628 (</w:t>
      </w:r>
      <w:r w:rsidRPr="007462EB">
        <w:rPr>
          <w:i/>
          <w:iCs/>
        </w:rPr>
        <w:t>Regents</w:t>
      </w:r>
      <w:r w:rsidRPr="007462EB">
        <w:t>)) — reflects our precedents and provides a consistent way for courts to answer the threshold duty question.</w:t>
      </w:r>
    </w:p>
    <w:p w:rsidR="007462EB" w:rsidRPr="007462EB" w:rsidP="007462EB" w14:paraId="48883F6E" w14:textId="77777777">
      <w:pPr>
        <w:ind w:firstLine="720"/>
      </w:pPr>
      <w:r w:rsidRPr="007462EB">
        <w:t xml:space="preserve">I write separately to clarify how that procedure fits with and furthers our principles and priorities in tort law.  First, we generally start by presuming everyone has a duty of reasonable care “ ‘in the management of his or her property or person’ ”; we limit it based on policy considerations like those in </w:t>
      </w:r>
      <w:r w:rsidRPr="007462EB">
        <w:rPr>
          <w:i/>
          <w:iCs/>
        </w:rPr>
        <w:t>Rowland</w:t>
      </w:r>
      <w:r w:rsidRPr="007462EB">
        <w:t xml:space="preserve"> only in “a particular </w:t>
      </w:r>
      <w:r w:rsidRPr="007462EB">
        <w:rPr>
          <w:i/>
          <w:iCs/>
        </w:rPr>
        <w:t xml:space="preserve">category </w:t>
      </w:r>
      <w:r w:rsidRPr="007462EB">
        <w:t>of cases” and only if “ ‘ “</w:t>
      </w:r>
      <w:r w:rsidRPr="007462EB">
        <w:rPr>
          <w:i/>
          <w:iCs/>
        </w:rPr>
        <w:t>clearly</w:t>
      </w:r>
      <w:r w:rsidRPr="007462EB">
        <w:t xml:space="preserve"> supported by </w:t>
      </w:r>
      <w:r w:rsidRPr="007462EB">
        <w:rPr>
          <w:i/>
          <w:iCs/>
        </w:rPr>
        <w:t>public</w:t>
      </w:r>
      <w:r w:rsidRPr="007462EB">
        <w:t xml:space="preserve"> policy.” ’ ”  (</w:t>
      </w:r>
      <w:r w:rsidRPr="007462EB">
        <w:rPr>
          <w:i/>
          <w:iCs/>
        </w:rPr>
        <w:t>Kesner v. Superior Court</w:t>
      </w:r>
      <w:r w:rsidRPr="007462EB">
        <w:t xml:space="preserve"> (2016) 1 Cal.5th 1132, 1143, italics added (</w:t>
      </w:r>
      <w:r w:rsidRPr="007462EB">
        <w:rPr>
          <w:i/>
          <w:iCs/>
        </w:rPr>
        <w:t>Kesner</w:t>
      </w:r>
      <w:r w:rsidRPr="007462EB">
        <w:t xml:space="preserve">).)  Second, in some cases, a defendant may argue that he or she was nothing more than a disengaged bystander — someone society recognizes as categorically outside the scope of any responsibility, having no material role in creating the risk of plaintiff’s harm and so no duty of reasonable care.  Such cases of a named </w:t>
      </w:r>
      <w:r w:rsidRPr="007462EB">
        <w:rPr>
          <w:i/>
          <w:iCs/>
        </w:rPr>
        <w:t>defendant</w:t>
      </w:r>
      <w:r w:rsidRPr="007462EB">
        <w:t xml:space="preserve"> whom society considers a true bystander are presumably rare.  But the distinction between the putative bystander and the risk creator can be as subtle in principle as it is challenging to apply in many cases.  So, we have developed a doctrinal mechanism to sidestep the distinction and make arguable edge cases more tractable:  we allow a plaintiff to establish defendant owed a duty of reasonable care in virtue of a “special relationship” </w:t>
      </w:r>
      <w:r w:rsidRPr="007462EB">
        <w:rPr>
          <w:i/>
          <w:iCs/>
        </w:rPr>
        <w:t>regardless</w:t>
      </w:r>
      <w:r w:rsidRPr="007462EB">
        <w:t xml:space="preserve"> of whether defendant contributed to the risk of plaintiff’s harm.  As a matter of tradition, “recognizing” or “identifying” a “special relationship” is the label for weighing up those policy considerations our legal system treats as most relevant in such arguably ambiguous contexts.  As the majority explains, once a court recognizes a duty based on a “special relationship,” it should also confirm that public policy doesn’t clearly support limiting the duty in a clearly defined category of cases.  Third, ensuring that the duty inquiry remains focused at a relatively high level of generality on public policy preserves the proper balance between the court and the jury.  And so, fourth, the procedure we reaffirm today — presuming a general duty of reasonable care or “recognizing” a “special relationship” before deciding whether public policy clearly supports limiting that duty in a category of cases — flexibly serves society’s interest in providing just compensation to aggrieved parties and allocating risks and costs to those who can better prevent them.</w:t>
      </w:r>
    </w:p>
    <w:p w:rsidR="007462EB" w:rsidRPr="007462EB" w:rsidP="007462EB" w14:paraId="2DF643E4" w14:textId="77777777">
      <w:pPr>
        <w:jc w:val="center"/>
      </w:pPr>
      <w:r w:rsidRPr="007462EB">
        <w:t>I.</w:t>
      </w:r>
    </w:p>
    <w:p w:rsidR="007462EB" w:rsidRPr="007462EB" w:rsidP="007462EB" w14:paraId="5B974F01" w14:textId="77777777">
      <w:pPr>
        <w:jc w:val="center"/>
      </w:pPr>
      <w:r w:rsidRPr="007462EB">
        <w:t>A.</w:t>
      </w:r>
    </w:p>
    <w:p w:rsidR="007462EB" w:rsidRPr="007462EB" w:rsidP="007462EB" w14:paraId="56BEB6A6" w14:textId="77777777">
      <w:pPr>
        <w:ind w:firstLine="720"/>
      </w:pPr>
      <w:r w:rsidRPr="007462EB">
        <w:t>At the core of California tort law is a rule born of common law judgments and reaffirmed in statute:  “Everyone is responsible, not only for the result of his or her willful acts, but also for an injury occasioned to another by his or her want of ordinary care or skill in the management of his or her property or person . . . .”  (Civ. Code, § 1714, subd. (a).)</w:t>
      </w:r>
      <w:r>
        <w:rPr>
          <w:b/>
          <w:position w:val="4"/>
          <w:vertAlign w:val="superscript"/>
        </w:rPr>
        <w:footnoteReference w:id="12"/>
      </w:r>
      <w:r w:rsidRPr="007462EB">
        <w:t xml:space="preserve">  This is the Legislature’s “conclusory expression[]” that, as “legal duties are not discoverable facts of nature,” generally speaking, “liability should be imposed for damage done.”  (</w:t>
      </w:r>
      <w:r w:rsidRPr="007462EB">
        <w:rPr>
          <w:i/>
          <w:iCs/>
        </w:rPr>
        <w:t>Tarasoff v. Regents of University of California</w:t>
      </w:r>
      <w:r w:rsidRPr="007462EB">
        <w:t xml:space="preserve"> (1976) 17 Cal.3d 425, 434 (</w:t>
      </w:r>
      <w:r w:rsidRPr="007462EB">
        <w:rPr>
          <w:i/>
          <w:iCs/>
        </w:rPr>
        <w:t>Tarasoff</w:t>
      </w:r>
      <w:r w:rsidRPr="007462EB">
        <w:t>).)  For “injur[ies] occasioned” to others, this principle cuts — other things being equal — in favor of widespread liability.  (§ 1714, subd. (a).)</w:t>
      </w:r>
    </w:p>
    <w:p w:rsidR="007462EB" w:rsidRPr="007462EB" w:rsidP="007462EB" w14:paraId="6D71DD9C" w14:textId="77777777">
      <w:pPr>
        <w:ind w:firstLine="720"/>
      </w:pPr>
      <w:r w:rsidRPr="007462EB">
        <w:t xml:space="preserve">Of course, other things aren’t always equal.  In </w:t>
      </w:r>
      <w:r w:rsidRPr="007462EB">
        <w:rPr>
          <w:i/>
          <w:iCs/>
        </w:rPr>
        <w:t>Rowland</w:t>
      </w:r>
      <w:r w:rsidRPr="007462EB">
        <w:t xml:space="preserve">, we recognized that the simple statutory presumption of a duty of reasonable care, rather than rigid common law categories, should generally guide our analysis of whether a defendant could be responsible at all.  (See </w:t>
      </w:r>
      <w:r w:rsidRPr="007462EB">
        <w:rPr>
          <w:i/>
          <w:iCs/>
        </w:rPr>
        <w:t>Rowland</w:t>
      </w:r>
      <w:r w:rsidRPr="007462EB">
        <w:t xml:space="preserve">, </w:t>
      </w:r>
      <w:r w:rsidRPr="007462EB">
        <w:rPr>
          <w:i/>
          <w:iCs/>
        </w:rPr>
        <w:t>supra</w:t>
      </w:r>
      <w:r w:rsidRPr="007462EB">
        <w:t xml:space="preserve">, 69 Cal.2d 108, 118 [common law rules for landowner liability “obscure rather than illuminate the proper considerations which should govern determination of the question of duty”].)  So, </w:t>
      </w:r>
      <w:r w:rsidRPr="007462EB">
        <w:rPr>
          <w:i/>
          <w:iCs/>
        </w:rPr>
        <w:t>Rowland</w:t>
      </w:r>
      <w:r w:rsidRPr="007462EB">
        <w:t xml:space="preserve"> rejected a common law system that placed great weight on subtle, perhaps vanishing doctrinal distinctions without obvious practical or moral significance.  (See </w:t>
      </w:r>
      <w:r w:rsidRPr="007462EB">
        <w:rPr>
          <w:i/>
          <w:iCs/>
        </w:rPr>
        <w:t>id.</w:t>
      </w:r>
      <w:r w:rsidRPr="007462EB">
        <w:t xml:space="preserve"> at p. 119 [“we are satisfied that continued adherence to the common law distinctions can only lead to injustice or, if we are to avoid injustice, further fictions with resulting complexity and confusion”].)  It replaced that system with a focus on the relevant consequences.  (See </w:t>
      </w:r>
      <w:r w:rsidRPr="007462EB">
        <w:rPr>
          <w:i/>
          <w:iCs/>
        </w:rPr>
        <w:t>id.</w:t>
      </w:r>
      <w:r w:rsidRPr="007462EB">
        <w:t xml:space="preserve"> at pp. 112–113, 117–119.)  As we’d conveyed earlier that year, duty is just “ ‘an expression of the sum total of those considerations of policy which lead the law to say that the particular plaintiff is entitled to protection.’ ”  (</w:t>
      </w:r>
      <w:r w:rsidRPr="007462EB">
        <w:rPr>
          <w:i/>
          <w:iCs/>
        </w:rPr>
        <w:t>Dillon v. Legg</w:t>
      </w:r>
      <w:r w:rsidRPr="007462EB">
        <w:t xml:space="preserve"> (1968) 68 Cal.2d 728, 734.)  That focus is how courts should determine when other things aren’t equal:  presume a general duty of reasonable care, as described in section 1714, and create an exception only if “clearly supported by public policy.”</w:t>
      </w:r>
      <w:r>
        <w:rPr>
          <w:b/>
          <w:position w:val="4"/>
          <w:vertAlign w:val="superscript"/>
        </w:rPr>
        <w:footnoteReference w:id="13"/>
      </w:r>
      <w:r w:rsidRPr="007462EB">
        <w:t xml:space="preserve">  (</w:t>
      </w:r>
      <w:r w:rsidRPr="007462EB">
        <w:rPr>
          <w:i/>
          <w:iCs/>
        </w:rPr>
        <w:t>Rowland</w:t>
      </w:r>
      <w:r w:rsidRPr="007462EB">
        <w:t>, at p. 112.)</w:t>
      </w:r>
    </w:p>
    <w:p w:rsidR="007462EB" w:rsidRPr="007462EB" w:rsidP="007462EB" w14:paraId="444FABAC" w14:textId="37E1EC83">
      <w:pPr>
        <w:ind w:firstLine="720"/>
      </w:pPr>
      <w:r w:rsidRPr="007462EB">
        <w:rPr>
          <w:szCs w:val="27"/>
        </w:rPr>
        <w:t xml:space="preserve">When we decide on such exceptions, we endeavor to take account of reasonable inferences about social burdens and benefits </w:t>
      </w:r>
      <w:r w:rsidR="00BD2C65">
        <w:rPr>
          <w:szCs w:val="27"/>
        </w:rPr>
        <w:t>—</w:t>
      </w:r>
      <w:r w:rsidRPr="007462EB">
        <w:rPr>
          <w:szCs w:val="27"/>
        </w:rPr>
        <w:t xml:space="preserve"> or “policy considerations.”  We do so in relatively general terms to ensure that public policy as it applies to a certain broad class of situations with sufficiently common features, rather than the bespoke details of any particular case,</w:t>
      </w:r>
      <w:r w:rsidRPr="007462EB">
        <w:t xml:space="preserve">  supports a </w:t>
      </w:r>
      <w:r w:rsidRPr="007462EB">
        <w:rPr>
          <w:i/>
          <w:iCs/>
        </w:rPr>
        <w:t>clearly</w:t>
      </w:r>
      <w:r w:rsidRPr="007462EB">
        <w:t xml:space="preserve"> defined departure from the general principle that “a person is liable for injuries caused by his failure to exercise reasonable care in the circumstances.”  (</w:t>
      </w:r>
      <w:r w:rsidRPr="007462EB">
        <w:rPr>
          <w:i/>
          <w:iCs/>
        </w:rPr>
        <w:t>Rowland</w:t>
      </w:r>
      <w:r w:rsidRPr="007462EB">
        <w:t xml:space="preserve">, </w:t>
      </w:r>
      <w:r w:rsidRPr="007462EB">
        <w:rPr>
          <w:i/>
          <w:iCs/>
        </w:rPr>
        <w:t>supra</w:t>
      </w:r>
      <w:r w:rsidRPr="007462EB">
        <w:t xml:space="preserve">, 69 Cal.2d at p. 112; see also </w:t>
      </w:r>
      <w:r w:rsidRPr="007462EB">
        <w:rPr>
          <w:i/>
          <w:iCs/>
        </w:rPr>
        <w:t>T.H. v. Novartis Pharmaceuticals Corp.</w:t>
      </w:r>
      <w:r w:rsidRPr="007462EB">
        <w:t xml:space="preserve"> (2017) 4 Cal.5th 145, 165 (</w:t>
      </w:r>
      <w:r w:rsidRPr="007462EB">
        <w:rPr>
          <w:i/>
          <w:iCs/>
        </w:rPr>
        <w:t>Novartis</w:t>
      </w:r>
      <w:r w:rsidRPr="007462EB">
        <w:t>);</w:t>
      </w:r>
      <w:r w:rsidRPr="007462EB">
        <w:rPr>
          <w:i/>
          <w:iCs/>
        </w:rPr>
        <w:t xml:space="preserve"> Kesner</w:t>
      </w:r>
      <w:r w:rsidRPr="007462EB">
        <w:t xml:space="preserve">, </w:t>
      </w:r>
      <w:r w:rsidRPr="007462EB">
        <w:rPr>
          <w:i/>
          <w:iCs/>
        </w:rPr>
        <w:t>supra</w:t>
      </w:r>
      <w:r w:rsidRPr="007462EB">
        <w:t>, 1 Cal.5th 1132, 1143–1144;</w:t>
      </w:r>
      <w:r w:rsidRPr="007462EB">
        <w:rPr>
          <w:i/>
          <w:iCs/>
        </w:rPr>
        <w:t xml:space="preserve"> Cabral v. Ralphs Grocery Co. </w:t>
      </w:r>
      <w:r w:rsidRPr="007462EB">
        <w:t>(2011) 51 Cal.4th 764, 772 (</w:t>
      </w:r>
      <w:r w:rsidRPr="007462EB">
        <w:rPr>
          <w:i/>
          <w:iCs/>
        </w:rPr>
        <w:t>Cabral</w:t>
      </w:r>
      <w:r w:rsidRPr="007462EB">
        <w:t xml:space="preserve">); Rest.3d Torts, Liability for Physical and Emotional Harm (2012) § 7, com. a (Rest.3d) [“when liability depends on factors applicable to </w:t>
      </w:r>
      <w:r w:rsidRPr="007462EB">
        <w:rPr>
          <w:i/>
          <w:iCs/>
        </w:rPr>
        <w:t>categories</w:t>
      </w:r>
      <w:r w:rsidRPr="007462EB">
        <w:t xml:space="preserve"> of actors or patterns of conduct, the appropriate rubric is duty” (italics added)].)  </w:t>
      </w:r>
    </w:p>
    <w:p w:rsidR="007462EB" w:rsidRPr="007462EB" w:rsidP="007462EB" w14:paraId="3F79C505" w14:textId="77777777">
      <w:pPr>
        <w:ind w:firstLine="720"/>
      </w:pPr>
      <w:r w:rsidRPr="007462EB">
        <w:t xml:space="preserve">Against this backdrop, a court-imposed limitation on a duty of care is appropriate “only when a court can promulgate relatively clear, categorical, bright-line rules of law applicable to a general class of cases.”  (Rest.3d, </w:t>
      </w:r>
      <w:r w:rsidRPr="007462EB">
        <w:rPr>
          <w:i/>
          <w:iCs/>
        </w:rPr>
        <w:t>supra</w:t>
      </w:r>
      <w:r w:rsidRPr="007462EB">
        <w:t xml:space="preserve">, § 7, com. a; see also </w:t>
      </w:r>
      <w:r w:rsidRPr="007462EB">
        <w:rPr>
          <w:i/>
          <w:iCs/>
        </w:rPr>
        <w:t>Kesner</w:t>
      </w:r>
      <w:r w:rsidRPr="007462EB">
        <w:t xml:space="preserve">, </w:t>
      </w:r>
      <w:r w:rsidRPr="007462EB">
        <w:rPr>
          <w:i/>
          <w:iCs/>
        </w:rPr>
        <w:t>supra</w:t>
      </w:r>
      <w:r w:rsidRPr="007462EB">
        <w:t>, 1 Cal.5th</w:t>
      </w:r>
      <w:r w:rsidRPr="007462EB">
        <w:rPr>
          <w:i/>
          <w:iCs/>
        </w:rPr>
        <w:t xml:space="preserve"> </w:t>
      </w:r>
      <w:r w:rsidRPr="007462EB">
        <w:t xml:space="preserve">1132, 1143 [“The conclusion that a defendant did not have a duty constitutes a determination by the court that </w:t>
      </w:r>
      <w:r w:rsidRPr="007462EB">
        <w:rPr>
          <w:i/>
          <w:iCs/>
        </w:rPr>
        <w:t>public policy concerns outweigh, for a particular category of cases</w:t>
      </w:r>
      <w:r w:rsidRPr="007462EB">
        <w:t xml:space="preserve">, the broad principle enacted by the Legislature . . . ” (italics added)].)  And likewise under </w:t>
      </w:r>
      <w:r w:rsidRPr="007462EB">
        <w:rPr>
          <w:i/>
          <w:iCs/>
        </w:rPr>
        <w:t xml:space="preserve">Rowland </w:t>
      </w:r>
      <w:r w:rsidRPr="007462EB">
        <w:t xml:space="preserve">and our subsequent decisions, the relevant policy considerations primarily relate to the </w:t>
      </w:r>
      <w:r w:rsidRPr="007462EB">
        <w:rPr>
          <w:i/>
          <w:iCs/>
        </w:rPr>
        <w:t>social</w:t>
      </w:r>
      <w:r w:rsidRPr="007462EB">
        <w:t xml:space="preserve"> cost (or benefit) of recognizing a duty in a category of cases, whether </w:t>
      </w:r>
      <w:r w:rsidRPr="007462EB">
        <w:rPr>
          <w:i/>
          <w:iCs/>
        </w:rPr>
        <w:t>society</w:t>
      </w:r>
      <w:r w:rsidRPr="007462EB">
        <w:t xml:space="preserve"> would be worse off for having a particular class of defendants potentially liable.  (See </w:t>
      </w:r>
      <w:r w:rsidRPr="007462EB">
        <w:rPr>
          <w:i/>
          <w:iCs/>
        </w:rPr>
        <w:t>Novartis</w:t>
      </w:r>
      <w:r w:rsidRPr="007462EB">
        <w:t xml:space="preserve">, </w:t>
      </w:r>
      <w:r w:rsidRPr="007462EB">
        <w:rPr>
          <w:i/>
          <w:iCs/>
        </w:rPr>
        <w:t>supra</w:t>
      </w:r>
      <w:r w:rsidRPr="007462EB">
        <w:t xml:space="preserve">, 4 Cal.5th at p. 168 [we limit duty “ ‘where the social utility of the activity concerned is so great, and avoidance of the injuries so burdensome to </w:t>
      </w:r>
      <w:r w:rsidRPr="007462EB">
        <w:rPr>
          <w:i/>
          <w:iCs/>
        </w:rPr>
        <w:t>society</w:t>
      </w:r>
      <w:r w:rsidRPr="007462EB">
        <w:t xml:space="preserve">, as to outweigh the compensatory and cost-internalization values of negligence liability’ ” (italics added)]; see also, e.g., </w:t>
      </w:r>
      <w:r w:rsidRPr="007462EB">
        <w:rPr>
          <w:i/>
          <w:iCs/>
        </w:rPr>
        <w:t xml:space="preserve">Vasilenko v. Grace Family Church </w:t>
      </w:r>
      <w:r w:rsidRPr="007462EB">
        <w:t xml:space="preserve">(2017) 3 Cal.5th 1077, 1092, 1096; </w:t>
      </w:r>
      <w:r w:rsidRPr="007462EB">
        <w:rPr>
          <w:i/>
          <w:iCs/>
        </w:rPr>
        <w:t>Castaneda v. Olsher</w:t>
      </w:r>
      <w:r w:rsidRPr="007462EB">
        <w:t xml:space="preserve"> (2007) 41 Cal.4th 1205, 1216–1218 (</w:t>
      </w:r>
      <w:r w:rsidRPr="007462EB">
        <w:rPr>
          <w:i/>
          <w:iCs/>
        </w:rPr>
        <w:t>Castaneda</w:t>
      </w:r>
      <w:r w:rsidRPr="007462EB">
        <w:t xml:space="preserve">).)  </w:t>
      </w:r>
    </w:p>
    <w:p w:rsidR="007462EB" w:rsidRPr="007462EB" w:rsidP="007462EB" w14:paraId="3D881AFF" w14:textId="77777777">
      <w:pPr>
        <w:ind w:firstLine="720"/>
      </w:pPr>
      <w:r w:rsidRPr="007462EB">
        <w:t xml:space="preserve">In deciding whether to limit the general duty, our cases, starting with </w:t>
      </w:r>
      <w:r w:rsidRPr="007462EB">
        <w:rPr>
          <w:i/>
          <w:iCs/>
        </w:rPr>
        <w:t>Rowland</w:t>
      </w:r>
      <w:r w:rsidRPr="007462EB">
        <w:t xml:space="preserve">, have repeatedly emphasized defendants’ reasonable ability to anticipate a particular kind of harm.  A court might limit the duty of some category of defendants who have no way to anticipate or avoid a category of harm, ensuring responsibility falls on those who can.  (See, e.g., </w:t>
      </w:r>
      <w:r w:rsidRPr="007462EB">
        <w:rPr>
          <w:i/>
          <w:iCs/>
        </w:rPr>
        <w:t>Novartis</w:t>
      </w:r>
      <w:r w:rsidRPr="007462EB">
        <w:t xml:space="preserve">, </w:t>
      </w:r>
      <w:r w:rsidRPr="007462EB">
        <w:rPr>
          <w:i/>
          <w:iCs/>
        </w:rPr>
        <w:t>supra</w:t>
      </w:r>
      <w:r w:rsidRPr="007462EB">
        <w:t xml:space="preserve">, 4 Cal.5th 145, 166–167; see also </w:t>
      </w:r>
      <w:r w:rsidRPr="007462EB">
        <w:rPr>
          <w:i/>
          <w:iCs/>
        </w:rPr>
        <w:t>Tarasoff</w:t>
      </w:r>
      <w:r w:rsidRPr="007462EB">
        <w:t xml:space="preserve">, </w:t>
      </w:r>
      <w:r w:rsidRPr="007462EB">
        <w:rPr>
          <w:i/>
          <w:iCs/>
        </w:rPr>
        <w:t>supra</w:t>
      </w:r>
      <w:r w:rsidRPr="007462EB">
        <w:t xml:space="preserve">, 17 Cal.3d at pp. 434–435.)  As a matter of public policy, we seek to shift losses to those most able to spread the loss or prevent the kind of harm in question — doing so reduces the number of injuries and the costs of reducing the number of injuries.  (See, e.g., </w:t>
      </w:r>
      <w:r w:rsidRPr="007462EB">
        <w:rPr>
          <w:i/>
          <w:iCs/>
        </w:rPr>
        <w:t>Kesner</w:t>
      </w:r>
      <w:r w:rsidRPr="007462EB">
        <w:t xml:space="preserve">, </w:t>
      </w:r>
      <w:r w:rsidRPr="007462EB">
        <w:rPr>
          <w:i/>
          <w:iCs/>
        </w:rPr>
        <w:t>supra</w:t>
      </w:r>
      <w:r w:rsidRPr="007462EB">
        <w:t xml:space="preserve">, 1 Cal.5th at p. 1153.)  And of course, such considerations may cut in the other direction and simply support the usual duty of reasonable care in a certain category of cases.  (See, e.g., </w:t>
      </w:r>
      <w:r w:rsidRPr="007462EB">
        <w:rPr>
          <w:i/>
          <w:iCs/>
        </w:rPr>
        <w:t xml:space="preserve">Peterson v. San Francisco Community College Dist. </w:t>
      </w:r>
      <w:r w:rsidRPr="007462EB">
        <w:t>(1984) 36 Cal.3d 799, 807–809 (</w:t>
      </w:r>
      <w:r w:rsidRPr="007462EB">
        <w:rPr>
          <w:i/>
          <w:iCs/>
        </w:rPr>
        <w:t>Peterson</w:t>
      </w:r>
      <w:r w:rsidRPr="007462EB">
        <w:t xml:space="preserve">); </w:t>
      </w:r>
      <w:r w:rsidRPr="007462EB">
        <w:rPr>
          <w:i/>
          <w:iCs/>
        </w:rPr>
        <w:t>Palma v. U.S. Industrial Fasteners, Inc.</w:t>
      </w:r>
      <w:r w:rsidRPr="007462EB">
        <w:t xml:space="preserve"> (1984) 36 Cal.3d 171, 184–185 (</w:t>
      </w:r>
      <w:r w:rsidRPr="007462EB">
        <w:rPr>
          <w:i/>
          <w:iCs/>
        </w:rPr>
        <w:t>Palma</w:t>
      </w:r>
      <w:r w:rsidRPr="007462EB">
        <w:t>).)</w:t>
      </w:r>
    </w:p>
    <w:p w:rsidR="007462EB" w:rsidRPr="007462EB" w:rsidP="007462EB" w14:paraId="29807BBC" w14:textId="77777777">
      <w:pPr>
        <w:jc w:val="center"/>
      </w:pPr>
      <w:r w:rsidRPr="007462EB">
        <w:t>B.</w:t>
      </w:r>
    </w:p>
    <w:p w:rsidR="007462EB" w:rsidRPr="007462EB" w:rsidP="007462EB" w14:paraId="41179FA2" w14:textId="77777777">
      <w:pPr>
        <w:ind w:firstLine="720"/>
      </w:pPr>
      <w:r w:rsidRPr="007462EB">
        <w:t>Sometimes defendants may assert that they were mere bystanders to the risk of plaintiff’s harm — that the risk had nothing to do with defendants’ “activities” and so defendants had no duty to exercise “reasonable care for the safety of others.”  (</w:t>
      </w:r>
      <w:r w:rsidRPr="007462EB">
        <w:rPr>
          <w:i/>
          <w:iCs/>
        </w:rPr>
        <w:t>Cabral</w:t>
      </w:r>
      <w:r w:rsidRPr="007462EB">
        <w:t xml:space="preserve">, </w:t>
      </w:r>
      <w:r w:rsidRPr="007462EB">
        <w:rPr>
          <w:i/>
          <w:iCs/>
        </w:rPr>
        <w:t>supra</w:t>
      </w:r>
      <w:r w:rsidRPr="007462EB">
        <w:t>, 51 Cal.4th at p. 768.)  Arguments that sound in this key are particularly relevant in this case.</w:t>
      </w:r>
    </w:p>
    <w:p w:rsidR="007462EB" w:rsidRPr="007462EB" w:rsidP="007462EB" w14:paraId="4253D681" w14:textId="77777777">
      <w:pPr>
        <w:ind w:firstLine="720"/>
      </w:pPr>
      <w:r w:rsidRPr="007462EB">
        <w:t>In some cases, defendant may, of course, just be wrong.  Whether someone is a “bystander” to a particular risk is shorthand for whether we as a society are willing to say, based on reasonable inferences about the benefits and burdens of potential liability, that a particular defendant should bear no responsibility for the risk.  Though the question isn’t before us in this case, it bears emphasis, given the all-too-common fact pattern, that USOC is hardly a bystander to plaintiffs’ harm.  USOC is the organizer of the activity where the harm occurred.  Between the organizer of an activity where someone is wronged and a mere bystander there is generally a world of difference:  one at least sets the stage for what ends up becoming a tragedy; the other at most stumbles into the theater in the last act, when the story has unfolded and its casualties are known.  The person who sets the stage owes the players a general duty to exercise reasonable care.  (See</w:t>
      </w:r>
      <w:r w:rsidRPr="007462EB">
        <w:rPr>
          <w:i/>
          <w:iCs/>
        </w:rPr>
        <w:t xml:space="preserve"> Lugtu v. Cal. Highway Patrol </w:t>
      </w:r>
      <w:r w:rsidRPr="007462EB">
        <w:t xml:space="preserve">(2001) 26 Cal.4th 703, 716 [“one’s general duty to exercise due care includes the duty not to place another person in a situation in which the other person is exposed to an unreasonable risk of harm through the reasonably foreseeable conduct (including the reasonably foreseeable negligent conduct) of a third person”].)  The organizer, by bringing people together, may “creat[e] the risk” even if less directly than a criminal or intentional tortfeasor.  (Rest.3d, </w:t>
      </w:r>
      <w:r w:rsidRPr="007462EB">
        <w:rPr>
          <w:i/>
          <w:iCs/>
        </w:rPr>
        <w:t>supra</w:t>
      </w:r>
      <w:r w:rsidRPr="007462EB">
        <w:t xml:space="preserve">, § 40, com. c.; cf. </w:t>
      </w:r>
      <w:r w:rsidRPr="007462EB">
        <w:rPr>
          <w:i/>
          <w:iCs/>
        </w:rPr>
        <w:t>Williams v. State of California</w:t>
      </w:r>
      <w:r w:rsidRPr="007462EB">
        <w:t xml:space="preserve"> (1983) 34 Cal.3d 18, 23.)  Considering the benefits and burdens of imposing some responsibility on that person, a court may decide that an organizer — even one lacking either awareness of a material risk or full control of every administrative nuance — is no bystander at all.</w:t>
      </w:r>
    </w:p>
    <w:p w:rsidR="007462EB" w:rsidRPr="007462EB" w:rsidP="007462EB" w14:paraId="2558E5BC" w14:textId="77777777">
      <w:pPr>
        <w:ind w:firstLine="720"/>
      </w:pPr>
      <w:r w:rsidRPr="007462EB">
        <w:t xml:space="preserve">But in difficult cases, plaintiffs may argue that defendants owed them a duty of care in virtue of a “special relationship.”  (See maj. opn., </w:t>
      </w:r>
      <w:r w:rsidRPr="007462EB">
        <w:rPr>
          <w:i/>
          <w:iCs/>
        </w:rPr>
        <w:t>ante</w:t>
      </w:r>
      <w:r w:rsidRPr="007462EB">
        <w:t>, at pp. 11–12.)  In deciding whether defendant made plaintiff worse off, courts need not envision a world where defendant never existed.  Instead they can conclude that:  “</w:t>
      </w:r>
      <w:r w:rsidRPr="007462EB">
        <w:rPr>
          <w:i/>
          <w:iCs/>
        </w:rPr>
        <w:t>[r]egardless</w:t>
      </w:r>
      <w:r w:rsidRPr="007462EB">
        <w:t xml:space="preserve"> of whether the actor played any role in the creation of the risk, a special relationship</w:t>
      </w:r>
      <w:r w:rsidRPr="007462EB">
        <w:rPr>
          <w:i/>
          <w:iCs/>
        </w:rPr>
        <w:t xml:space="preserve"> </w:t>
      </w:r>
      <w:r w:rsidRPr="007462EB">
        <w:t>with others imposes a duty of reasonable care.”</w:t>
      </w:r>
      <w:r>
        <w:rPr>
          <w:b/>
          <w:position w:val="4"/>
          <w:vertAlign w:val="superscript"/>
        </w:rPr>
        <w:footnoteReference w:id="14"/>
      </w:r>
      <w:r w:rsidRPr="007462EB">
        <w:t xml:space="preserve">  (Rest.3d, </w:t>
      </w:r>
      <w:r w:rsidRPr="007462EB">
        <w:rPr>
          <w:i/>
          <w:iCs/>
        </w:rPr>
        <w:t>supra</w:t>
      </w:r>
      <w:r w:rsidRPr="007462EB">
        <w:t xml:space="preserve">, § 40, com. c, italics added; see also </w:t>
      </w:r>
      <w:r w:rsidRPr="007462EB">
        <w:rPr>
          <w:i/>
          <w:iCs/>
        </w:rPr>
        <w:t>Regents</w:t>
      </w:r>
      <w:r w:rsidRPr="007462EB">
        <w:t xml:space="preserve">, </w:t>
      </w:r>
      <w:r w:rsidRPr="007462EB">
        <w:rPr>
          <w:i/>
          <w:iCs/>
        </w:rPr>
        <w:t>supra</w:t>
      </w:r>
      <w:r w:rsidRPr="007462EB">
        <w:t>, 4 Cal.5th at pp. 619–620;</w:t>
      </w:r>
      <w:r w:rsidRPr="007462EB">
        <w:rPr>
          <w:i/>
          <w:iCs/>
        </w:rPr>
        <w:t xml:space="preserve"> Tarasoff</w:t>
      </w:r>
      <w:r w:rsidRPr="007462EB">
        <w:t xml:space="preserve">, </w:t>
      </w:r>
      <w:r w:rsidRPr="007462EB">
        <w:rPr>
          <w:i/>
          <w:iCs/>
        </w:rPr>
        <w:t>supra</w:t>
      </w:r>
      <w:r w:rsidRPr="007462EB">
        <w:t xml:space="preserve">, 17 Cal.3d at p. 435.) </w:t>
      </w:r>
    </w:p>
    <w:p w:rsidR="007462EB" w:rsidRPr="007462EB" w:rsidP="007462EB" w14:paraId="5E723317" w14:textId="77777777">
      <w:pPr>
        <w:ind w:firstLine="720"/>
      </w:pPr>
      <w:r w:rsidRPr="007462EB">
        <w:t xml:space="preserve">“Special relationship” is merely a label for those policy considerations that our shared experience has taught us to treat as especially relevant in such contexts.  As the Restatement explains, “The term ‘special relationship’ has no independent significance. . . . Whether a relationship is deemed special is a conclusion based on reasons of principle or policy.”  (Rest.3d, </w:t>
      </w:r>
      <w:r w:rsidRPr="007462EB">
        <w:rPr>
          <w:i/>
          <w:iCs/>
        </w:rPr>
        <w:t>supra</w:t>
      </w:r>
      <w:r w:rsidRPr="007462EB">
        <w:t xml:space="preserve">, § 40, com. h.) </w:t>
      </w:r>
      <w:r w:rsidRPr="007462EB">
        <w:rPr>
          <w:i/>
          <w:iCs/>
        </w:rPr>
        <w:t xml:space="preserve"> </w:t>
      </w:r>
      <w:r w:rsidRPr="007462EB">
        <w:t xml:space="preserve">Among reasons of principle or policy, our precedents place special emphasis on two reasons in particular:  defendant’s ability to control the environment, to predict and prevent the risk, and plaintiff’s reasonable dependency.  A college or university may be well suited to foresee and control risks to students in the campus environment, and students reasonably expect such protection and are especially vulnerable without it.  (See, e.g., </w:t>
      </w:r>
      <w:r w:rsidRPr="007462EB">
        <w:rPr>
          <w:i/>
          <w:iCs/>
        </w:rPr>
        <w:t>Regents</w:t>
      </w:r>
      <w:r w:rsidRPr="007462EB">
        <w:t xml:space="preserve">, </w:t>
      </w:r>
      <w:r w:rsidRPr="007462EB">
        <w:rPr>
          <w:i/>
          <w:iCs/>
        </w:rPr>
        <w:t>supra</w:t>
      </w:r>
      <w:r w:rsidRPr="007462EB">
        <w:t xml:space="preserve">, 4 Cal.5th at p. 625; see also </w:t>
      </w:r>
      <w:r w:rsidRPr="007462EB">
        <w:rPr>
          <w:i/>
          <w:iCs/>
        </w:rPr>
        <w:t>Peterson</w:t>
      </w:r>
      <w:r w:rsidRPr="007462EB">
        <w:t xml:space="preserve">, </w:t>
      </w:r>
      <w:r w:rsidRPr="007462EB">
        <w:rPr>
          <w:i/>
          <w:iCs/>
        </w:rPr>
        <w:t>supra</w:t>
      </w:r>
      <w:r w:rsidRPr="007462EB">
        <w:t>,</w:t>
      </w:r>
      <w:r w:rsidRPr="007462EB">
        <w:rPr>
          <w:i/>
          <w:iCs/>
        </w:rPr>
        <w:t xml:space="preserve"> </w:t>
      </w:r>
      <w:r w:rsidRPr="007462EB">
        <w:t xml:space="preserve">36 Cal.3d 799, 807–809, 813–814.)  Or a proprietor should be aware of a danger of assault; customers are at the mercy of the proprietor; and so the proprietor has a duty of reasonable care to reduce such risks.  (See, e.g., </w:t>
      </w:r>
      <w:r w:rsidRPr="007462EB">
        <w:rPr>
          <w:i/>
          <w:iCs/>
          <w:szCs w:val="27"/>
        </w:rPr>
        <w:t>Morris v. De La Torre</w:t>
      </w:r>
      <w:r w:rsidRPr="007462EB">
        <w:rPr>
          <w:szCs w:val="27"/>
        </w:rPr>
        <w:t xml:space="preserve"> (2005) 36 Cal.4th 260, 270; </w:t>
      </w:r>
      <w:r w:rsidRPr="007462EB">
        <w:rPr>
          <w:i/>
          <w:iCs/>
          <w:szCs w:val="27"/>
        </w:rPr>
        <w:t xml:space="preserve">Delgado v. Trax Bar &amp; Grill </w:t>
      </w:r>
      <w:r w:rsidRPr="007462EB">
        <w:rPr>
          <w:szCs w:val="27"/>
        </w:rPr>
        <w:t xml:space="preserve">(2005) 36 Cal.4th 224, 241–242.)  In some cases, we have also emphasized the burden on defendant of avoiding certain risks.  (See </w:t>
      </w:r>
      <w:r w:rsidRPr="007462EB">
        <w:rPr>
          <w:i/>
          <w:iCs/>
          <w:szCs w:val="27"/>
        </w:rPr>
        <w:t>Castaneda</w:t>
      </w:r>
      <w:r w:rsidRPr="007462EB">
        <w:rPr>
          <w:szCs w:val="27"/>
        </w:rPr>
        <w:t xml:space="preserve">, </w:t>
      </w:r>
      <w:r w:rsidRPr="007462EB">
        <w:rPr>
          <w:i/>
          <w:iCs/>
          <w:szCs w:val="27"/>
        </w:rPr>
        <w:t>supra</w:t>
      </w:r>
      <w:r w:rsidRPr="007462EB">
        <w:rPr>
          <w:szCs w:val="27"/>
        </w:rPr>
        <w:t xml:space="preserve">, </w:t>
      </w:r>
      <w:r w:rsidRPr="007462EB">
        <w:t>41 Cal.4th</w:t>
      </w:r>
      <w:r w:rsidRPr="007462EB">
        <w:rPr>
          <w:szCs w:val="27"/>
        </w:rPr>
        <w:t xml:space="preserve"> at p. 1213.)  </w:t>
      </w:r>
      <w:r w:rsidRPr="007462EB">
        <w:t xml:space="preserve">This focus on foreseeability and defendant’s burden tracks defendant’s particular ability to reduce risk; the focus on </w:t>
      </w:r>
      <w:r w:rsidRPr="007462EB">
        <w:rPr>
          <w:i/>
          <w:iCs/>
        </w:rPr>
        <w:t>reasonable</w:t>
      </w:r>
      <w:r w:rsidRPr="007462EB">
        <w:t xml:space="preserve"> dependence tracks the value society places on reducing that risk.  </w:t>
      </w:r>
    </w:p>
    <w:p w:rsidR="007462EB" w:rsidRPr="007462EB" w:rsidP="007462EB" w14:paraId="5E1ED25E" w14:textId="7B4F5325">
      <w:pPr>
        <w:ind w:firstLine="720"/>
      </w:pPr>
      <w:r w:rsidRPr="007462EB">
        <w:t xml:space="preserve">As the majority explains, there is a second step when considering a duty based on a “special relationship” </w:t>
      </w:r>
      <w:r w:rsidR="008630C6">
        <w:t>—</w:t>
      </w:r>
      <w:r w:rsidRPr="007462EB">
        <w:t xml:space="preserve"> whether public policy supports limiting the duty.  (Maj. opn., </w:t>
      </w:r>
      <w:r w:rsidRPr="007462EB">
        <w:rPr>
          <w:i/>
          <w:iCs/>
        </w:rPr>
        <w:t>ante</w:t>
      </w:r>
      <w:r w:rsidRPr="007462EB">
        <w:t xml:space="preserve">, at pp. 20, 22.)  As when we consider the general duty of reasonable care, the analysis of public policy rationales occurs at a relatively high level of generality.  (See </w:t>
      </w:r>
      <w:r w:rsidRPr="007462EB">
        <w:rPr>
          <w:i/>
          <w:iCs/>
        </w:rPr>
        <w:t>id.</w:t>
      </w:r>
      <w:r w:rsidRPr="007462EB">
        <w:t xml:space="preserve"> at p. 21.)  But identifying a “special relationship” already means that certain policy reasons — especially defendant’s ability to reduce the risk in question and blameworthiness for failing to do so — favor requiring reasonable care.  Those reasons are not likely to justify excusing from liability a category of defendants that includes the particular defendant.  The “special relationship” analysis determines that any such category, whatever its precise parameters, would exclude at least the particular defendant.  Instead, primarily the undesirable consequences, the social cost, of holding a category of defendants liable for a category of risk would support limiting defendant’s duty if anything would.  (See, e.g., </w:t>
      </w:r>
      <w:r w:rsidRPr="007462EB">
        <w:rPr>
          <w:i/>
          <w:iCs/>
        </w:rPr>
        <w:t>Castaneda</w:t>
      </w:r>
      <w:r w:rsidRPr="007462EB">
        <w:t xml:space="preserve">, </w:t>
      </w:r>
      <w:r w:rsidRPr="007462EB">
        <w:rPr>
          <w:i/>
          <w:iCs/>
        </w:rPr>
        <w:t>supra</w:t>
      </w:r>
      <w:r w:rsidRPr="007462EB">
        <w:t>, 41 Cal.4th at p. 1216 [no duty because requiring landlords to screen tenants for gang affiliations would lead to discrimination].)</w:t>
      </w:r>
    </w:p>
    <w:p w:rsidR="007462EB" w:rsidRPr="007462EB" w:rsidP="007462EB" w14:paraId="5F795842" w14:textId="77777777">
      <w:pPr>
        <w:jc w:val="center"/>
      </w:pPr>
      <w:r w:rsidRPr="007462EB">
        <w:t xml:space="preserve">C.  </w:t>
      </w:r>
    </w:p>
    <w:p w:rsidR="007462EB" w:rsidRPr="007462EB" w:rsidP="007462EB" w14:paraId="4D3BBC55" w14:textId="77777777">
      <w:pPr>
        <w:ind w:firstLine="720"/>
      </w:pPr>
      <w:r w:rsidRPr="007462EB">
        <w:t xml:space="preserve">While many of our previous decisions focus on duty, they readily convey that analyzing duty is just one part of the negligence inquiry.   A duty’s existence does not determine whether defendant is liable and to what extent.  (See </w:t>
      </w:r>
      <w:r w:rsidRPr="007462EB">
        <w:rPr>
          <w:i/>
          <w:iCs/>
        </w:rPr>
        <w:t>Regents</w:t>
      </w:r>
      <w:r w:rsidRPr="007462EB">
        <w:t xml:space="preserve">, </w:t>
      </w:r>
      <w:r w:rsidRPr="007462EB">
        <w:rPr>
          <w:i/>
          <w:iCs/>
        </w:rPr>
        <w:t>supra</w:t>
      </w:r>
      <w:r w:rsidRPr="007462EB">
        <w:t xml:space="preserve">, 4 Cal.5th at p. 634.)  Most liability questions are case-specific and so not amenable to analysis in terms of duty — they do not allow a categorical determination whether defendant had to exercise reasonable care at all.  (See </w:t>
      </w:r>
      <w:r w:rsidRPr="007462EB">
        <w:rPr>
          <w:i/>
          <w:iCs/>
        </w:rPr>
        <w:t>Cabral</w:t>
      </w:r>
      <w:r w:rsidRPr="007462EB">
        <w:t xml:space="preserve">, </w:t>
      </w:r>
      <w:r w:rsidRPr="007462EB">
        <w:rPr>
          <w:i/>
          <w:iCs/>
        </w:rPr>
        <w:t>supra</w:t>
      </w:r>
      <w:r w:rsidRPr="007462EB">
        <w:t>, 51 Cal.4th at pp. 772–774.)</w:t>
      </w:r>
    </w:p>
    <w:p w:rsidR="007462EB" w:rsidRPr="007462EB" w:rsidP="007462EB" w14:paraId="07B4F95A" w14:textId="77777777">
      <w:pPr>
        <w:ind w:firstLine="720"/>
      </w:pPr>
      <w:r w:rsidRPr="007462EB">
        <w:t xml:space="preserve">Unlike duty, the remaining liability questions — breach as well as factual and legal causation — are usually questions for the jury.  What counts as reasonable care in a specific case, for instance, is characteristically a question of breach.  (See </w:t>
      </w:r>
      <w:r w:rsidRPr="007462EB">
        <w:rPr>
          <w:i/>
          <w:iCs/>
        </w:rPr>
        <w:t>Cabral</w:t>
      </w:r>
      <w:r w:rsidRPr="007462EB">
        <w:t xml:space="preserve">, </w:t>
      </w:r>
      <w:r w:rsidRPr="007462EB">
        <w:rPr>
          <w:i/>
          <w:iCs/>
        </w:rPr>
        <w:t>supra</w:t>
      </w:r>
      <w:r w:rsidRPr="007462EB">
        <w:t xml:space="preserve">, 51 Cal.4th at p. 773.)  As a policy matter, we tend to leave questions of breach to the jury as the institutional actor best situated to express, in a particular case, society’s judgment of whether the particular cost of avoiding a particular injury outweighs the particular cost of the injury.  (See, e.g., Dobbs et al., The Law of Torts (2d ed. 2020) §§ 21, 161; cf. Calabresi, </w:t>
      </w:r>
      <w:r w:rsidRPr="007462EB">
        <w:rPr>
          <w:i/>
          <w:iCs/>
        </w:rPr>
        <w:t>Concerning Cause and the Law of Torts: An Essay for Harry Kalven Jr.</w:t>
      </w:r>
      <w:r w:rsidRPr="007462EB">
        <w:t xml:space="preserve"> (1975) 43 U. Chi. L.Rev. 69, 75–76.)  As we and other courts have long recognized, that judgment is the heart of what courts ask in assessing negligence.  (See, e.g., </w:t>
      </w:r>
      <w:r w:rsidRPr="007462EB">
        <w:rPr>
          <w:i/>
          <w:iCs/>
        </w:rPr>
        <w:t>United States v. Carroll Towing Co.</w:t>
      </w:r>
      <w:r w:rsidRPr="007462EB">
        <w:t xml:space="preserve"> (2d Cir. 1947) 159 F.2d 169, 173; </w:t>
      </w:r>
      <w:r w:rsidRPr="007462EB">
        <w:rPr>
          <w:i/>
          <w:iCs/>
        </w:rPr>
        <w:t>Crane v. Smith</w:t>
      </w:r>
      <w:r w:rsidRPr="007462EB">
        <w:t xml:space="preserve"> (1944) 23 Cal.2d 288, 298 [“ ‘Where an act is one which a reasonable man would recognize as involving a risk of harm to another, the risk is unreasonable and the act is negligent if the risk is of such magnitude as to outweigh what the law regards as the utility of the act or of the particular manner in which it is done’ ”].)</w:t>
      </w:r>
      <w:r w:rsidRPr="007462EB">
        <w:rPr>
          <w:i/>
          <w:iCs/>
        </w:rPr>
        <w:t xml:space="preserve"> </w:t>
      </w:r>
      <w:r w:rsidRPr="007462EB">
        <w:t xml:space="preserve"> </w:t>
      </w:r>
    </w:p>
    <w:p w:rsidR="007462EB" w:rsidRPr="007462EB" w:rsidP="007462EB" w14:paraId="44CE9776" w14:textId="77777777">
      <w:pPr>
        <w:jc w:val="center"/>
      </w:pPr>
      <w:r w:rsidRPr="007462EB">
        <w:t>II.</w:t>
      </w:r>
    </w:p>
    <w:p w:rsidR="007462EB" w:rsidRPr="007462EB" w:rsidP="007462EB" w14:paraId="44955253" w14:textId="77777777">
      <w:pPr>
        <w:jc w:val="center"/>
      </w:pPr>
      <w:r w:rsidRPr="007462EB">
        <w:t>A.</w:t>
      </w:r>
    </w:p>
    <w:p w:rsidR="007462EB" w:rsidRPr="007462EB" w:rsidP="007462EB" w14:paraId="2F84066E" w14:textId="77777777">
      <w:pPr>
        <w:ind w:firstLine="720"/>
      </w:pPr>
      <w:r w:rsidRPr="007462EB">
        <w:t xml:space="preserve">We granted review for one purpose:  to clarify what steps a court should take when deciding whether a duty based on a “special relationship” exists.  To provide that clarification, the majority restates the two-step process we endorsed in </w:t>
      </w:r>
      <w:r w:rsidRPr="007462EB">
        <w:rPr>
          <w:i/>
          <w:iCs/>
        </w:rPr>
        <w:t>Rowland</w:t>
      </w:r>
      <w:r w:rsidRPr="007462EB">
        <w:t xml:space="preserve"> and have regularly followed since — start from a general duty of reasonable care based on section 1714 or a “special relationship” and then decide whether public policy requires limiting it in a clearly defined category of cases.  (See maj. opn., </w:t>
      </w:r>
      <w:r w:rsidRPr="007462EB">
        <w:rPr>
          <w:i/>
          <w:iCs/>
        </w:rPr>
        <w:t>ante</w:t>
      </w:r>
      <w:r w:rsidRPr="007462EB">
        <w:t xml:space="preserve">, at pp. 13–17; see also, e.g., </w:t>
      </w:r>
      <w:r w:rsidRPr="007462EB">
        <w:rPr>
          <w:i/>
          <w:iCs/>
        </w:rPr>
        <w:t>Kesner</w:t>
      </w:r>
      <w:r w:rsidRPr="007462EB">
        <w:t xml:space="preserve">, </w:t>
      </w:r>
      <w:r w:rsidRPr="007462EB">
        <w:rPr>
          <w:i/>
          <w:iCs/>
        </w:rPr>
        <w:t>supra</w:t>
      </w:r>
      <w:r w:rsidRPr="007462EB">
        <w:t>,</w:t>
      </w:r>
      <w:r w:rsidRPr="007462EB">
        <w:rPr>
          <w:i/>
          <w:iCs/>
        </w:rPr>
        <w:t xml:space="preserve"> </w:t>
      </w:r>
      <w:r w:rsidRPr="007462EB">
        <w:t xml:space="preserve">1 Cal.5th at pp. 1143–1144.)  Through that process, California tort law structures a court’s threshold decision about how potential liability affects society’s interests even as it also embodies and preserves a degree of flexibility.  Maintaining the balance between structure and flexibility, guided by important, longstanding values — allocating risks and costs to those who can avoid them, and ensuring just compensation — is critical to making tort law both relevant and useful. </w:t>
      </w:r>
    </w:p>
    <w:p w:rsidR="007462EB" w:rsidRPr="007462EB" w:rsidP="007462EB" w14:paraId="76F7805A" w14:textId="77777777">
      <w:pPr>
        <w:ind w:firstLine="720"/>
      </w:pPr>
      <w:r w:rsidRPr="007462EB">
        <w:t xml:space="preserve">The following scenario shows how.  A plaintiff alleges that a youth organization did not exercise reasonable care leading to a program leader molesting him.  (See </w:t>
      </w:r>
      <w:r w:rsidRPr="007462EB">
        <w:rPr>
          <w:i/>
          <w:iCs/>
        </w:rPr>
        <w:t>Juarez v. Boy Scouts of America, Inc.</w:t>
      </w:r>
      <w:r w:rsidRPr="007462EB">
        <w:t xml:space="preserve"> (2000) 81 Cal.App.4th 377, 385–386 (</w:t>
      </w:r>
      <w:r w:rsidRPr="007462EB">
        <w:rPr>
          <w:i/>
          <w:iCs/>
        </w:rPr>
        <w:t>Juarez</w:t>
      </w:r>
      <w:r w:rsidRPr="007462EB">
        <w:t xml:space="preserve">).)  The defendant organization makes six arguments that it should not have a duty of reasonable care.  First, it argues that it was merely a bystander.  Second, it argues that organizations like it are not generally well-situated to predict and prevent molestation.  (See </w:t>
      </w:r>
      <w:r w:rsidRPr="007462EB">
        <w:rPr>
          <w:i/>
          <w:iCs/>
        </w:rPr>
        <w:t>id.</w:t>
      </w:r>
      <w:r w:rsidRPr="007462EB">
        <w:t xml:space="preserve"> at pp. 408–409.)  Third, it is specifically not well-situated to predict and prevent molestation.  (See </w:t>
      </w:r>
      <w:r w:rsidRPr="007462EB">
        <w:rPr>
          <w:i/>
          <w:iCs/>
        </w:rPr>
        <w:t>ibid.</w:t>
      </w:r>
      <w:r w:rsidRPr="007462EB">
        <w:t xml:space="preserve">)  Fourth, requiring organizations like it to prevent molestation would divert funds from youth programs and charitable enterprises thus harming society.  (See </w:t>
      </w:r>
      <w:r w:rsidRPr="007462EB">
        <w:rPr>
          <w:i/>
          <w:iCs/>
        </w:rPr>
        <w:t>id.</w:t>
      </w:r>
      <w:r w:rsidRPr="007462EB">
        <w:t xml:space="preserve"> at p. 409.)  Fifth, it had procedures in place to prevent molestation.  (See </w:t>
      </w:r>
      <w:r w:rsidRPr="007462EB">
        <w:rPr>
          <w:i/>
          <w:iCs/>
        </w:rPr>
        <w:t>id.</w:t>
      </w:r>
      <w:r w:rsidRPr="007462EB">
        <w:t xml:space="preserve"> at pp. 405–406.)  And sixth, the likelihood of abuse was low, so plaintiff’s molestation was not foreseeable.  (See </w:t>
      </w:r>
      <w:r w:rsidRPr="007462EB">
        <w:rPr>
          <w:i/>
          <w:iCs/>
        </w:rPr>
        <w:t xml:space="preserve">id. </w:t>
      </w:r>
      <w:r w:rsidRPr="007462EB">
        <w:t>at pp. 403–404.)</w:t>
      </w:r>
    </w:p>
    <w:p w:rsidR="007462EB" w:rsidRPr="007462EB" w:rsidP="007462EB" w14:paraId="1003E719" w14:textId="77777777">
      <w:pPr>
        <w:ind w:firstLine="720"/>
      </w:pPr>
      <w:r w:rsidRPr="007462EB">
        <w:t xml:space="preserve">Of course, the court may reject defendant’s “bystander” argument out of hand.  If it does, the court should start with defendant’s general duty of reasonable care.  And </w:t>
      </w:r>
      <w:r w:rsidRPr="007462EB">
        <w:rPr>
          <w:i/>
          <w:iCs/>
        </w:rPr>
        <w:t xml:space="preserve">then </w:t>
      </w:r>
      <w:r w:rsidRPr="007462EB">
        <w:t>the court considers whether large organizations’ purported inability to prevent molestation and the risk of charities diverting funds “ ‘clearly support[]’ ” limiting or eliminating the duty in an “entire category of cases.”  (</w:t>
      </w:r>
      <w:r w:rsidRPr="007462EB">
        <w:rPr>
          <w:i/>
          <w:iCs/>
        </w:rPr>
        <w:t>Cabral</w:t>
      </w:r>
      <w:r w:rsidRPr="007462EB">
        <w:t xml:space="preserve">, </w:t>
      </w:r>
      <w:r w:rsidRPr="007462EB">
        <w:rPr>
          <w:i/>
          <w:iCs/>
        </w:rPr>
        <w:t>supra</w:t>
      </w:r>
      <w:r w:rsidRPr="007462EB">
        <w:t xml:space="preserve">, 51 Cal.4th at pp. 771, 772.)  To assess those arguments, the court will need to determine whether “large organizations” or “charities” form a clearly defined category.  But those arguments are the right </w:t>
      </w:r>
      <w:r w:rsidRPr="007462EB">
        <w:rPr>
          <w:i/>
          <w:iCs/>
        </w:rPr>
        <w:t>kind</w:t>
      </w:r>
      <w:r w:rsidRPr="007462EB">
        <w:t xml:space="preserve"> of reason, at the right level of generality, to consider as a basis for limiting a duty.  And so it is a question for the court whether, in light of any and all other policy considerations, those reasons are sufficiently substantial to support limiting a duty for charitable organizations, if that category can be clearly defined.  </w:t>
      </w:r>
    </w:p>
    <w:p w:rsidR="007462EB" w:rsidRPr="007462EB" w:rsidP="007462EB" w14:paraId="00C55ADD" w14:textId="77777777">
      <w:pPr>
        <w:ind w:firstLine="720"/>
      </w:pPr>
      <w:r w:rsidRPr="007462EB">
        <w:t xml:space="preserve">On the other hand, the court could worry that defendant may be no more than a bystander.  Perhaps the organization has an educational mission but primarily licenses its name to local chapters.  Nonetheless, the court may decide defendant is in fact well-situated to prevent molestation, notwithstanding defendant’s argument to the contrary.  For example, the court might reason that children in the local chapters are especially vulnerable because they are children, and the organization can control local chapters’ activities through the licensing process.  So, defendant should exercise reasonable care to limit the risk of molestation regardless of whether it “created that risk.”  In drawing that inference, the court “recognizes” defendant has a “special relationship” with plaintiff.  The court then proceeds to a second step:  deciding whether public policy “clearly supports” limiting the duty of reasonable care in a category of cases.  At this step in the analysis, large organizations’ purported inability to avoid molestation can have little relevance — whatever may be true of other large organizations, the court has already rejected the argument as to </w:t>
      </w:r>
      <w:r w:rsidRPr="007462EB">
        <w:rPr>
          <w:i/>
          <w:iCs/>
        </w:rPr>
        <w:t>this</w:t>
      </w:r>
      <w:r w:rsidRPr="007462EB">
        <w:t xml:space="preserve"> organization.  But it remains for the court, in light of all other relevant public policy considerations, to decide whether concerns about charitable organizations diverting funds “clearly require an exception.”  (</w:t>
      </w:r>
      <w:r w:rsidRPr="007462EB">
        <w:rPr>
          <w:i/>
          <w:iCs/>
        </w:rPr>
        <w:t>Regents</w:t>
      </w:r>
      <w:r w:rsidRPr="007462EB">
        <w:t xml:space="preserve">, </w:t>
      </w:r>
      <w:r w:rsidRPr="007462EB">
        <w:rPr>
          <w:i/>
          <w:iCs/>
        </w:rPr>
        <w:t>supra</w:t>
      </w:r>
      <w:r w:rsidRPr="007462EB">
        <w:t xml:space="preserve">, 4 Cal.5th at p. 628.) </w:t>
      </w:r>
    </w:p>
    <w:p w:rsidR="007462EB" w:rsidRPr="007462EB" w:rsidP="007462EB" w14:paraId="2E3B8D47" w14:textId="77777777">
      <w:pPr>
        <w:ind w:firstLine="720"/>
      </w:pPr>
      <w:r w:rsidRPr="007462EB">
        <w:t xml:space="preserve">In both these versions of the scenario, the court trains attention on reasons of </w:t>
      </w:r>
      <w:r w:rsidRPr="007462EB">
        <w:rPr>
          <w:i/>
          <w:iCs/>
        </w:rPr>
        <w:t>public</w:t>
      </w:r>
      <w:r w:rsidRPr="007462EB">
        <w:t xml:space="preserve"> policy when deciding whether to limit a duty.  It does so by considering possible consequences at a high level of generality and with an eye to the loss to society from imposing liability.  A court can more effectively focus at the appropriate level of generality if it considers policy reasons to limit a duty after presuming a duty or recognizing the duty of a specific defendant based on a “special relationship.”  (See maj. opn., </w:t>
      </w:r>
      <w:r w:rsidRPr="007462EB">
        <w:rPr>
          <w:i/>
          <w:iCs/>
        </w:rPr>
        <w:t>ante</w:t>
      </w:r>
      <w:r w:rsidRPr="007462EB">
        <w:t xml:space="preserve">, at pp. 21–22.)  And the requirement that such reasons </w:t>
      </w:r>
      <w:r w:rsidRPr="007462EB">
        <w:rPr>
          <w:i/>
          <w:iCs/>
        </w:rPr>
        <w:t>clearly</w:t>
      </w:r>
      <w:r w:rsidRPr="007462EB">
        <w:t xml:space="preserve"> support limiting a duty of reasonable care ensures that courts act for good reason and not based on idle speculation.</w:t>
      </w:r>
    </w:p>
    <w:p w:rsidR="007462EB" w:rsidRPr="007462EB" w:rsidP="007462EB" w14:paraId="3DA7B117" w14:textId="77777777">
      <w:r w:rsidRPr="007462EB">
        <w:tab/>
        <w:t xml:space="preserve">By contrast, defendant’s other arguments — about specific measures it has already taken or its ability to predict that a specific harm would arise — bear simply on the details of the present case, and not on duty.  (See </w:t>
      </w:r>
      <w:r w:rsidRPr="007462EB">
        <w:rPr>
          <w:i/>
          <w:iCs/>
        </w:rPr>
        <w:t>Cabral</w:t>
      </w:r>
      <w:r w:rsidRPr="007462EB">
        <w:t xml:space="preserve">, </w:t>
      </w:r>
      <w:r w:rsidRPr="007462EB">
        <w:rPr>
          <w:i/>
          <w:iCs/>
        </w:rPr>
        <w:t>supra</w:t>
      </w:r>
      <w:r w:rsidRPr="007462EB">
        <w:t xml:space="preserve">, 51 Cal.4th at p. 773.) </w:t>
      </w:r>
      <w:r w:rsidRPr="007462EB">
        <w:rPr>
          <w:i/>
          <w:iCs/>
        </w:rPr>
        <w:t xml:space="preserve"> </w:t>
      </w:r>
      <w:r w:rsidRPr="007462EB">
        <w:t>The argument about having done enough concerns whether defendant in fact took reasonable care, a question of breach usually for the jury.  (</w:t>
      </w:r>
      <w:r w:rsidRPr="007462EB">
        <w:rPr>
          <w:i/>
          <w:iCs/>
        </w:rPr>
        <w:t xml:space="preserve">Id. </w:t>
      </w:r>
      <w:r w:rsidRPr="007462EB">
        <w:t>at p. 772.)  And the argument about specific foreseeability would be relevant to whether plaintiff had established proximate cause, also usually a question for the jury.  (</w:t>
      </w:r>
      <w:r w:rsidRPr="007462EB">
        <w:rPr>
          <w:i/>
          <w:iCs/>
        </w:rPr>
        <w:t xml:space="preserve">Id. </w:t>
      </w:r>
      <w:r w:rsidRPr="007462EB">
        <w:t xml:space="preserve">at pp. 772–773.) </w:t>
      </w:r>
    </w:p>
    <w:p w:rsidR="007462EB" w:rsidRPr="007462EB" w:rsidP="007462EB" w14:paraId="65418B98" w14:textId="77777777">
      <w:r w:rsidRPr="007462EB">
        <w:tab/>
        <w:t>Here too, the two-step process we endorse today serves an important function:  it helps courts guard against inappropriately taking questions from the jury.  At the stage of deciding whether to limit a duty, courts should not look to features of the specific case but to considerations of public policy, clearly defined.  By first presuming a duty or recognizing a duty based on a “special relationship” and then deciding whether public policy clearly requires limiting that duty, courts focus at the right level of generality at the right time.  And that focus serves as a check on courts wading into fact-specific questions of breach or causation.  (</w:t>
      </w:r>
      <w:r w:rsidRPr="007462EB">
        <w:rPr>
          <w:i/>
          <w:iCs/>
        </w:rPr>
        <w:t>Cabral</w:t>
      </w:r>
      <w:r w:rsidRPr="007462EB">
        <w:t xml:space="preserve">, </w:t>
      </w:r>
      <w:r w:rsidRPr="007462EB">
        <w:rPr>
          <w:i/>
          <w:iCs/>
        </w:rPr>
        <w:t>supra</w:t>
      </w:r>
      <w:r w:rsidRPr="007462EB">
        <w:t>, 51 Cal.4th at pp. 772–773</w:t>
      </w:r>
      <w:r w:rsidRPr="007462EB">
        <w:rPr>
          <w:i/>
          <w:iCs/>
        </w:rPr>
        <w:t>.</w:t>
      </w:r>
      <w:r w:rsidRPr="007462EB">
        <w:t>)</w:t>
      </w:r>
    </w:p>
    <w:p w:rsidR="007462EB" w:rsidRPr="007462EB" w:rsidP="007462EB" w14:paraId="1E952C46" w14:textId="77777777">
      <w:r w:rsidRPr="007462EB">
        <w:tab/>
        <w:t xml:space="preserve">In addition to these clarifying functions, the procedure we approve today remains flexible.  We don’t disapprove our prior precedents that quickly or silently presume or recognize a duty before focusing primarily or entirely on whether policy considerations support it.  (See maj. opn., </w:t>
      </w:r>
      <w:r w:rsidRPr="007462EB">
        <w:rPr>
          <w:i/>
          <w:iCs/>
        </w:rPr>
        <w:t>ante</w:t>
      </w:r>
      <w:r w:rsidRPr="007462EB">
        <w:t xml:space="preserve">, at pp. 18–19, fn. 8 [discussing </w:t>
      </w:r>
      <w:r w:rsidRPr="007462EB">
        <w:rPr>
          <w:i/>
          <w:iCs/>
        </w:rPr>
        <w:t>Palma</w:t>
      </w:r>
      <w:r w:rsidRPr="007462EB">
        <w:t xml:space="preserve">, </w:t>
      </w:r>
      <w:r w:rsidRPr="007462EB">
        <w:rPr>
          <w:i/>
          <w:iCs/>
        </w:rPr>
        <w:t>supra</w:t>
      </w:r>
      <w:r w:rsidRPr="007462EB">
        <w:t>,</w:t>
      </w:r>
      <w:r w:rsidRPr="007462EB">
        <w:rPr>
          <w:i/>
          <w:iCs/>
        </w:rPr>
        <w:t xml:space="preserve"> </w:t>
      </w:r>
      <w:r w:rsidRPr="007462EB">
        <w:t xml:space="preserve">36 Cal.3d at pp. 184–185].)  And while we disapprove several Court of Appeal cases, we don’t disapprove them to the extent they presume a general duty of reasonable care and find the policy considerations in </w:t>
      </w:r>
      <w:r w:rsidRPr="007462EB">
        <w:rPr>
          <w:i/>
          <w:iCs/>
        </w:rPr>
        <w:t>Rowland</w:t>
      </w:r>
      <w:r w:rsidRPr="007462EB">
        <w:t xml:space="preserve"> support holding defendants to that duty.  (See, e.g., </w:t>
      </w:r>
      <w:r w:rsidRPr="007462EB">
        <w:rPr>
          <w:i/>
          <w:iCs/>
        </w:rPr>
        <w:t>Juarez</w:t>
      </w:r>
      <w:r w:rsidRPr="007462EB">
        <w:t xml:space="preserve">, </w:t>
      </w:r>
      <w:r w:rsidRPr="007462EB">
        <w:rPr>
          <w:i/>
          <w:iCs/>
        </w:rPr>
        <w:t>supra</w:t>
      </w:r>
      <w:r w:rsidRPr="007462EB">
        <w:t xml:space="preserve">, 81 Cal.App.4th 377, 401–410.)  </w:t>
      </w:r>
    </w:p>
    <w:p w:rsidR="007462EB" w:rsidRPr="007462EB" w:rsidP="007462EB" w14:paraId="5BD03C0A" w14:textId="77777777">
      <w:pPr>
        <w:ind w:firstLine="720"/>
      </w:pPr>
      <w:r w:rsidRPr="007462EB">
        <w:t xml:space="preserve">This flexibility is rooted in tort law’s decidedly limber structure:  a duty of reasonable care based on a “special relationship” may be functionally indistinguishable from the general duty of reasonable care.  As the Restatement acknowledges, some special-relationship-type duties “overlap with the general duty of reasonable care”; they are “a specialized application” of that general duty.  (Rest.3d, </w:t>
      </w:r>
      <w:r w:rsidRPr="007462EB">
        <w:rPr>
          <w:i/>
          <w:iCs/>
        </w:rPr>
        <w:t>supra</w:t>
      </w:r>
      <w:r w:rsidRPr="007462EB">
        <w:t xml:space="preserve">, § 40, com. h.)  In cases where “the actor’s conduct </w:t>
      </w:r>
      <w:r w:rsidRPr="007462EB">
        <w:rPr>
          <w:i/>
          <w:iCs/>
        </w:rPr>
        <w:t>might</w:t>
      </w:r>
      <w:r w:rsidRPr="007462EB">
        <w:t xml:space="preserve"> have played a role in creating the risk to the injured party” there is a general “duty of reasonable care” even without any sort of “special relationship.”  (</w:t>
      </w:r>
      <w:r w:rsidRPr="007462EB">
        <w:rPr>
          <w:i/>
          <w:iCs/>
        </w:rPr>
        <w:t>Id.</w:t>
      </w:r>
      <w:r w:rsidRPr="007462EB">
        <w:t xml:space="preserve">, § 40, com. c, italics added.)  What we must discern is if society has defensible reasons to restrict liability in certain situations; otherwise, a person’s duty is to exercise reasonable care.  Whether there’s a “special relationship” is a question that structures, without ever supplanting, the ultimate inquiry — guiding deliberation just enough to avoid turning every duty question into a fact-specific monologue about the defendant’s role in creating the risk.  (See, e.g., </w:t>
      </w:r>
      <w:r w:rsidRPr="007462EB">
        <w:rPr>
          <w:i/>
          <w:iCs/>
        </w:rPr>
        <w:t>Tarasoff</w:t>
      </w:r>
      <w:r w:rsidRPr="007462EB">
        <w:t xml:space="preserve">, </w:t>
      </w:r>
      <w:r w:rsidRPr="007462EB">
        <w:rPr>
          <w:i/>
          <w:iCs/>
        </w:rPr>
        <w:t>supra</w:t>
      </w:r>
      <w:r w:rsidRPr="007462EB">
        <w:t xml:space="preserve">, 17 Cal.3d at pp. 434–435; Rest.3d, </w:t>
      </w:r>
      <w:r w:rsidRPr="007462EB">
        <w:rPr>
          <w:i/>
          <w:iCs/>
        </w:rPr>
        <w:t>supra</w:t>
      </w:r>
      <w:r w:rsidRPr="007462EB">
        <w:t>, § 40, com. h.)</w:t>
      </w:r>
    </w:p>
    <w:p w:rsidR="007462EB" w:rsidRPr="007462EB" w:rsidP="007462EB" w14:paraId="5E9C37D4" w14:textId="77777777">
      <w:pPr>
        <w:jc w:val="center"/>
      </w:pPr>
      <w:r w:rsidRPr="007462EB">
        <w:t>B.</w:t>
      </w:r>
    </w:p>
    <w:p w:rsidR="007462EB" w:rsidRPr="007462EB" w:rsidP="007462EB" w14:paraId="2A16A4F2" w14:textId="77777777">
      <w:r w:rsidRPr="007462EB">
        <w:tab/>
        <w:t xml:space="preserve">Properly understood, the special relationship question plays a limited but important role under our law.  If plaintiffs don’t want to wade into whether defendants “created the risk” of the harm plaintiffs experienced, they can argue that defendant owed a duty of reasonable care, based on a “special relationship.”  To do so, plaintiffs have to show why specific policy factors under the “special relationship” rubric supported such a duty.  We don’t address whether plaintiffs in this case did in fact make such a showing.  And we don’t address the possibility, because it was not presented to us, that USOC had a general duty to exercise reasonable care in the management of its property or person.  (See § 1714, subd. (a).)  It presumptively would if it were not a “bystander,” and we certainly don’t decide public policy clearly supports exempting a category of organizations including USOC from that general duty.  (See generally House Energy &amp; Commerce Committee, Nassar and Beyond: A Review of the Olympic Community’s Efforts to Protect Athletes from Sexual Abuse (Dec. 20, 2018).) </w:t>
      </w:r>
    </w:p>
    <w:p w:rsidR="007462EB" w:rsidRPr="007462EB" w:rsidP="007462EB" w14:paraId="41C2A517" w14:textId="77777777">
      <w:pPr>
        <w:ind w:firstLine="720"/>
        <w:rPr>
          <w:i/>
          <w:iCs/>
        </w:rPr>
      </w:pPr>
      <w:r w:rsidRPr="007462EB">
        <w:t xml:space="preserve">While we don’t address those claims today, we reaffirm that courts should assess such claims with the ultimate aim of deciding whether requiring reasonable care serves the goals tort law embodies: to achieve appropriate deterrence and compensate victims.  (See </w:t>
      </w:r>
      <w:r w:rsidRPr="007462EB">
        <w:rPr>
          <w:i/>
          <w:iCs/>
        </w:rPr>
        <w:t>SoCal Gas</w:t>
      </w:r>
      <w:r w:rsidRPr="007462EB">
        <w:t xml:space="preserve">, </w:t>
      </w:r>
      <w:r w:rsidRPr="007462EB">
        <w:rPr>
          <w:i/>
          <w:iCs/>
        </w:rPr>
        <w:t>supra</w:t>
      </w:r>
      <w:r w:rsidRPr="007462EB">
        <w:t xml:space="preserve">, 7 Cal.5th 391, 394; see also Rest.3d, </w:t>
      </w:r>
      <w:r w:rsidRPr="007462EB">
        <w:rPr>
          <w:i/>
          <w:iCs/>
        </w:rPr>
        <w:t>supra</w:t>
      </w:r>
      <w:r w:rsidRPr="007462EB">
        <w:t xml:space="preserve">, § 40, com. h.) </w:t>
      </w:r>
      <w:r w:rsidRPr="007462EB">
        <w:rPr>
          <w:i/>
          <w:iCs/>
        </w:rPr>
        <w:t xml:space="preserve"> </w:t>
      </w:r>
    </w:p>
    <w:p w:rsidR="007462EB" w:rsidRPr="007462EB" w:rsidP="007462EB" w14:paraId="634440A4" w14:textId="77777777">
      <w:pPr>
        <w:jc w:val="center"/>
      </w:pPr>
      <w:r w:rsidRPr="007462EB">
        <w:t>III.</w:t>
      </w:r>
    </w:p>
    <w:p w:rsidR="007462EB" w:rsidRPr="007462EB" w:rsidP="007462EB" w14:paraId="4C70B2E3" w14:textId="77777777">
      <w:pPr>
        <w:ind w:firstLine="720"/>
      </w:pPr>
      <w:r w:rsidRPr="007462EB">
        <w:t>Tort law relies heavily on the concept of duty to render tractable a reality where lives are at risk in the very world that sustains them, and people are bound by intricate and far-reaching ties of responsibility and norms of reciprocity.  But “ ‘ “duty” is not sacrosanct in itself’ ”; it is a means to an end, “ ‘only an expression of the sum total of those considerations of policy which lead the law to say that the particular plaintiff is entitled to protection.’ ”  (</w:t>
      </w:r>
      <w:r w:rsidRPr="007462EB">
        <w:rPr>
          <w:i/>
          <w:iCs/>
        </w:rPr>
        <w:t>Dillon v. Legg</w:t>
      </w:r>
      <w:r w:rsidRPr="007462EB">
        <w:t>,</w:t>
      </w:r>
      <w:r w:rsidRPr="007462EB">
        <w:rPr>
          <w:i/>
          <w:iCs/>
        </w:rPr>
        <w:t xml:space="preserve"> supra</w:t>
      </w:r>
      <w:r w:rsidRPr="007462EB">
        <w:t xml:space="preserve">, 68 Cal.2d at p. 734.)  The majority opinion today sensibly clarifies the procedure for recognizing a duty where plaintiff attempts, by arguing for a “special relationship,” to cut through the knot of whether defendant did or didn’t create a risk.  Specifically, it holds that the </w:t>
      </w:r>
      <w:r w:rsidRPr="007462EB">
        <w:rPr>
          <w:i/>
          <w:iCs/>
        </w:rPr>
        <w:t xml:space="preserve">Rowland </w:t>
      </w:r>
      <w:r w:rsidRPr="007462EB">
        <w:t xml:space="preserve">factors as such just feature in deciding whether to limit a duty.  In so doing, it reaffirms that under California law everyone presumptively owes a duty of reasonable care in the management of his or her property or person to avoid injuring others.  And it doesn’t suggest that a corporate person’s duty of reasonable care in the management of its person or property extends any less than to the limits of foreseeable harm without substantial, concrete policy reasons to the contrary. </w:t>
      </w:r>
    </w:p>
    <w:p w:rsidR="007462EB" w:rsidRPr="007462EB" w:rsidP="007462EB" w14:paraId="1A8B8A1B" w14:textId="77777777">
      <w:pPr>
        <w:ind w:firstLine="720"/>
      </w:pPr>
      <w:r w:rsidRPr="007462EB">
        <w:t>The two-step procedure we endorse is grounded in long-established principles, emphasizing not only the importance of offering civil recourse and compensation to those harmed but also the value of allocating responsibility for losses to minimize future harm.  We start from the premise that a duty of reasonable care ordinarily exists, whether arising generally or based on a “special relationship.”  We then consider whether public policy requires limiting that duty in a clearly defined category of cases, assessed at the right level of generality.  Implicit in this arrangement is the latitude for courts to minimize harms through the proper allocation of losses, and to compensate victims for their uncommon injuries — including in cases where the facts are not only tragic, but tragically all-too-common.  Which is why I concur.</w:t>
      </w:r>
    </w:p>
    <w:p w:rsidR="007462EB" w:rsidRPr="007462EB" w:rsidP="007462EB" w14:paraId="763DE6E7" w14:textId="77777777">
      <w:pPr>
        <w:ind w:left="4320" w:firstLine="720"/>
        <w:rPr>
          <w:b/>
        </w:rPr>
      </w:pPr>
      <w:r w:rsidRPr="007462EB">
        <w:rPr>
          <w:b/>
        </w:rPr>
        <w:t>CUÉLLAR, J.</w:t>
      </w:r>
    </w:p>
    <w:p w:rsidR="007462EB" w:rsidRPr="007462EB" w:rsidP="007462EB" w14:paraId="3FD0157E" w14:textId="77777777">
      <w:pPr>
        <w:ind w:firstLine="720"/>
      </w:pPr>
    </w:p>
    <w:p w:rsidR="00F76DA2" w:rsidP="000718F0" w14:paraId="6482448D" w14:textId="77777777">
      <w:pPr>
        <w:tabs>
          <w:tab w:val="left" w:pos="1440"/>
        </w:tabs>
        <w:spacing w:line="400" w:lineRule="atLeast"/>
        <w:jc w:val="left"/>
        <w:rPr>
          <w:szCs w:val="26"/>
        </w:rPr>
        <w:sectPr w:rsidSect="00EB50FE">
          <w:headerReference w:type="default" r:id="rId13"/>
          <w:headerReference w:type="first" r:id="rId14"/>
          <w:footerReference w:type="first" r:id="rId15"/>
          <w:footnotePr>
            <w:numRestart w:val="eachSect"/>
          </w:footnotePr>
          <w:pgSz w:w="12240" w:h="15840"/>
          <w:pgMar w:top="1800" w:right="2160" w:bottom="1440" w:left="2160" w:header="720" w:footer="720" w:gutter="0"/>
          <w:pgNumType w:start="1"/>
          <w:cols w:space="720"/>
          <w:titlePg/>
          <w:docGrid w:linePitch="367"/>
        </w:sectPr>
      </w:pPr>
    </w:p>
    <w:p w:rsidR="003301CD" w:rsidRPr="003301CD" w:rsidP="003301CD" w14:paraId="7A44461B" w14:textId="77777777">
      <w:pPr>
        <w:spacing w:after="0" w:line="240" w:lineRule="auto"/>
        <w:jc w:val="left"/>
        <w:rPr>
          <w:rFonts w:ascii="Times New Roman" w:hAnsi="Times New Roman"/>
          <w:i/>
          <w:sz w:val="20"/>
        </w:rPr>
      </w:pPr>
      <w:r w:rsidRPr="003301CD">
        <w:rPr>
          <w:rFonts w:ascii="Times New Roman" w:hAnsi="Times New Roman"/>
          <w:i/>
          <w:sz w:val="20"/>
        </w:rPr>
        <w:t>See next page for addresses and telephone numbers for counsel who argued in Supreme Court.</w:t>
      </w:r>
    </w:p>
    <w:p w:rsidR="003301CD" w:rsidRPr="003301CD" w:rsidP="003301CD" w14:paraId="2842828E" w14:textId="77777777">
      <w:pPr>
        <w:spacing w:after="0" w:line="240" w:lineRule="auto"/>
        <w:jc w:val="left"/>
        <w:rPr>
          <w:rFonts w:ascii="Times New Roman" w:hAnsi="Times New Roman"/>
          <w:i/>
          <w:sz w:val="20"/>
        </w:rPr>
      </w:pPr>
    </w:p>
    <w:p w:rsidR="003301CD" w:rsidRPr="003301CD" w:rsidP="003301CD" w14:paraId="1A974819" w14:textId="77777777">
      <w:pPr>
        <w:spacing w:after="0" w:line="240" w:lineRule="auto"/>
        <w:jc w:val="left"/>
        <w:rPr>
          <w:rFonts w:ascii="Times New Roman" w:hAnsi="Times New Roman"/>
          <w:b/>
          <w:sz w:val="20"/>
        </w:rPr>
      </w:pPr>
      <w:r w:rsidRPr="003301CD">
        <w:rPr>
          <w:rFonts w:ascii="Times New Roman" w:hAnsi="Times New Roman"/>
          <w:b/>
          <w:sz w:val="20"/>
        </w:rPr>
        <w:t xml:space="preserve">Name of Opinion </w:t>
      </w:r>
      <w:r w:rsidRPr="003301CD">
        <w:rPr>
          <w:rFonts w:ascii="Times New Roman" w:hAnsi="Times New Roman"/>
          <w:bCs/>
          <w:sz w:val="20"/>
        </w:rPr>
        <w:t xml:space="preserve"> Brown v. USA Taekwondo</w:t>
      </w:r>
      <w:r w:rsidRPr="003301CD">
        <w:rPr>
          <w:rFonts w:ascii="Times New Roman" w:hAnsi="Times New Roman"/>
          <w:b/>
          <w:sz w:val="20"/>
        </w:rPr>
        <w:t xml:space="preserve"> </w:t>
      </w:r>
      <w:r w:rsidRPr="003301CD">
        <w:rPr>
          <w:rFonts w:ascii="Times New Roman" w:hAnsi="Times New Roman"/>
          <w:bCs/>
          <w:sz w:val="20"/>
        </w:rPr>
        <w:t xml:space="preserve"> </w:t>
      </w:r>
      <w:r w:rsidRPr="003301CD">
        <w:rPr>
          <w:rFonts w:ascii="Times New Roman" w:hAnsi="Times New Roman"/>
          <w:sz w:val="20"/>
        </w:rPr>
        <w:t xml:space="preserve"> </w:t>
      </w:r>
      <w:r w:rsidRPr="003301CD">
        <w:rPr>
          <w:rFonts w:ascii="Times New Roman" w:hAnsi="Times New Roman"/>
          <w:b/>
          <w:sz w:val="20"/>
        </w:rPr>
        <w:t>__________________________________________________________________________________</w:t>
      </w:r>
    </w:p>
    <w:p w:rsidR="003301CD" w:rsidRPr="003301CD" w:rsidP="003301CD" w14:paraId="38B597A3" w14:textId="77777777">
      <w:pPr>
        <w:spacing w:after="0" w:line="240" w:lineRule="auto"/>
        <w:jc w:val="left"/>
        <w:rPr>
          <w:rFonts w:ascii="Times New Roman" w:hAnsi="Times New Roman"/>
          <w:b/>
          <w:sz w:val="20"/>
        </w:rPr>
      </w:pPr>
    </w:p>
    <w:p w:rsidR="003301CD" w:rsidRPr="003301CD" w:rsidP="003301CD" w14:paraId="298716AB" w14:textId="77777777">
      <w:pPr>
        <w:spacing w:after="0" w:line="240" w:lineRule="auto"/>
        <w:jc w:val="left"/>
        <w:rPr>
          <w:rFonts w:ascii="Times New Roman" w:hAnsi="Times New Roman"/>
          <w:bCs/>
          <w:sz w:val="20"/>
        </w:rPr>
      </w:pPr>
      <w:r w:rsidRPr="003301CD">
        <w:rPr>
          <w:rFonts w:ascii="Times New Roman" w:hAnsi="Times New Roman"/>
          <w:b/>
          <w:sz w:val="20"/>
        </w:rPr>
        <w:t>Unpublished Opinion</w:t>
      </w:r>
    </w:p>
    <w:p w:rsidR="003301CD" w:rsidRPr="003301CD" w:rsidP="003301CD" w14:paraId="3E7D586A" w14:textId="77777777">
      <w:pPr>
        <w:spacing w:after="0" w:line="240" w:lineRule="auto"/>
        <w:jc w:val="left"/>
        <w:rPr>
          <w:rFonts w:ascii="Times New Roman" w:hAnsi="Times New Roman"/>
          <w:sz w:val="20"/>
        </w:rPr>
      </w:pPr>
      <w:r w:rsidRPr="003301CD">
        <w:rPr>
          <w:rFonts w:ascii="Times New Roman" w:hAnsi="Times New Roman"/>
          <w:b/>
          <w:sz w:val="20"/>
        </w:rPr>
        <w:t>Original Appeal</w:t>
      </w:r>
    </w:p>
    <w:p w:rsidR="003301CD" w:rsidRPr="003301CD" w:rsidP="003301CD" w14:paraId="69B5C07C" w14:textId="77777777">
      <w:pPr>
        <w:spacing w:after="0" w:line="240" w:lineRule="auto"/>
        <w:jc w:val="left"/>
        <w:rPr>
          <w:rFonts w:ascii="Times New Roman" w:hAnsi="Times New Roman"/>
          <w:b/>
          <w:sz w:val="20"/>
        </w:rPr>
      </w:pPr>
      <w:r w:rsidRPr="003301CD">
        <w:rPr>
          <w:rFonts w:ascii="Times New Roman" w:hAnsi="Times New Roman"/>
          <w:b/>
          <w:sz w:val="20"/>
        </w:rPr>
        <w:t xml:space="preserve">Original Proceeding </w:t>
      </w:r>
    </w:p>
    <w:p w:rsidR="003301CD" w:rsidRPr="003301CD" w:rsidP="003301CD" w14:paraId="7CA6370D" w14:textId="77777777">
      <w:pPr>
        <w:spacing w:after="0" w:line="240" w:lineRule="auto"/>
        <w:jc w:val="left"/>
        <w:rPr>
          <w:rFonts w:ascii="Times New Roman" w:hAnsi="Times New Roman"/>
          <w:bCs/>
          <w:sz w:val="20"/>
        </w:rPr>
      </w:pPr>
      <w:r w:rsidRPr="003301CD">
        <w:rPr>
          <w:rFonts w:ascii="Times New Roman" w:hAnsi="Times New Roman"/>
          <w:b/>
          <w:sz w:val="20"/>
        </w:rPr>
        <w:t xml:space="preserve">Review Granted </w:t>
      </w:r>
      <w:r w:rsidRPr="003301CD">
        <w:rPr>
          <w:rFonts w:ascii="Times New Roman" w:hAnsi="Times New Roman"/>
          <w:bCs/>
          <w:sz w:val="20"/>
        </w:rPr>
        <w:t xml:space="preserve">XX 40 Cal.App.5th 1077 </w:t>
      </w:r>
    </w:p>
    <w:p w:rsidR="003301CD" w:rsidRPr="003301CD" w:rsidP="003301CD" w14:paraId="0F9ADE0B" w14:textId="77777777">
      <w:pPr>
        <w:spacing w:after="0" w:line="240" w:lineRule="auto"/>
        <w:jc w:val="left"/>
        <w:rPr>
          <w:rFonts w:ascii="Times New Roman" w:hAnsi="Times New Roman"/>
          <w:b/>
          <w:sz w:val="20"/>
        </w:rPr>
      </w:pPr>
      <w:r w:rsidRPr="003301CD">
        <w:rPr>
          <w:rFonts w:ascii="Times New Roman" w:hAnsi="Times New Roman"/>
          <w:b/>
          <w:sz w:val="20"/>
        </w:rPr>
        <w:t>Rehearing Granted</w:t>
      </w:r>
    </w:p>
    <w:p w:rsidR="003301CD" w:rsidRPr="003301CD" w:rsidP="003301CD" w14:paraId="43450A43" w14:textId="77777777">
      <w:pPr>
        <w:spacing w:after="0" w:line="240" w:lineRule="auto"/>
        <w:jc w:val="left"/>
        <w:rPr>
          <w:rFonts w:ascii="Times New Roman" w:hAnsi="Times New Roman"/>
          <w:b/>
          <w:sz w:val="20"/>
        </w:rPr>
      </w:pPr>
    </w:p>
    <w:p w:rsidR="003301CD" w:rsidRPr="003301CD" w:rsidP="003301CD" w14:paraId="4AA78401" w14:textId="77777777">
      <w:pPr>
        <w:spacing w:after="0" w:line="240" w:lineRule="auto"/>
        <w:jc w:val="left"/>
        <w:rPr>
          <w:rFonts w:ascii="Times New Roman" w:hAnsi="Times New Roman"/>
          <w:b/>
          <w:sz w:val="20"/>
        </w:rPr>
      </w:pPr>
      <w:r w:rsidRPr="003301CD">
        <w:rPr>
          <w:rFonts w:ascii="Times New Roman" w:hAnsi="Times New Roman"/>
          <w:b/>
          <w:sz w:val="20"/>
        </w:rPr>
        <w:t>__________________________________________________________________________________</w:t>
      </w:r>
    </w:p>
    <w:p w:rsidR="003301CD" w:rsidRPr="003301CD" w:rsidP="003301CD" w14:paraId="17800823" w14:textId="77777777">
      <w:pPr>
        <w:spacing w:after="0" w:line="240" w:lineRule="auto"/>
        <w:jc w:val="left"/>
        <w:rPr>
          <w:rFonts w:ascii="Times New Roman" w:hAnsi="Times New Roman"/>
          <w:b/>
          <w:sz w:val="20"/>
        </w:rPr>
      </w:pPr>
    </w:p>
    <w:p w:rsidR="003301CD" w:rsidRPr="003301CD" w:rsidP="003301CD" w14:paraId="25C4DE2A" w14:textId="77777777">
      <w:pPr>
        <w:spacing w:after="0" w:line="240" w:lineRule="auto"/>
        <w:jc w:val="left"/>
        <w:rPr>
          <w:rFonts w:ascii="Times New Roman" w:hAnsi="Times New Roman"/>
          <w:bCs/>
          <w:sz w:val="20"/>
        </w:rPr>
      </w:pPr>
      <w:r w:rsidRPr="003301CD">
        <w:rPr>
          <w:rFonts w:ascii="Times New Roman" w:hAnsi="Times New Roman"/>
          <w:b/>
          <w:sz w:val="20"/>
        </w:rPr>
        <w:t>Opinion No.</w:t>
      </w:r>
      <w:r w:rsidRPr="003301CD">
        <w:rPr>
          <w:rFonts w:ascii="Times New Roman" w:hAnsi="Times New Roman"/>
          <w:sz w:val="20"/>
        </w:rPr>
        <w:t xml:space="preserve"> S259216 </w:t>
      </w:r>
    </w:p>
    <w:p w:rsidR="003301CD" w:rsidRPr="003301CD" w:rsidP="003301CD" w14:paraId="0C8BB49F" w14:textId="77777777">
      <w:pPr>
        <w:spacing w:after="0" w:line="240" w:lineRule="auto"/>
        <w:jc w:val="left"/>
        <w:rPr>
          <w:rFonts w:ascii="Times New Roman" w:hAnsi="Times New Roman"/>
          <w:bCs/>
          <w:sz w:val="20"/>
        </w:rPr>
      </w:pPr>
      <w:r w:rsidRPr="003301CD">
        <w:rPr>
          <w:rFonts w:ascii="Times New Roman" w:hAnsi="Times New Roman"/>
          <w:b/>
          <w:sz w:val="20"/>
        </w:rPr>
        <w:t>Date Filed:</w:t>
      </w:r>
      <w:r w:rsidRPr="003301CD">
        <w:rPr>
          <w:rFonts w:ascii="Times New Roman" w:hAnsi="Times New Roman"/>
          <w:sz w:val="20"/>
        </w:rPr>
        <w:t xml:space="preserve">  April 1, 2021</w:t>
      </w:r>
    </w:p>
    <w:p w:rsidR="003301CD" w:rsidRPr="003301CD" w:rsidP="003301CD" w14:paraId="669CF68D" w14:textId="77777777">
      <w:pPr>
        <w:spacing w:after="0" w:line="240" w:lineRule="auto"/>
        <w:jc w:val="left"/>
        <w:rPr>
          <w:rFonts w:ascii="Times New Roman" w:hAnsi="Times New Roman"/>
          <w:b/>
          <w:sz w:val="20"/>
        </w:rPr>
      </w:pPr>
      <w:r w:rsidRPr="003301CD">
        <w:rPr>
          <w:rFonts w:ascii="Times New Roman" w:hAnsi="Times New Roman"/>
          <w:b/>
          <w:sz w:val="20"/>
        </w:rPr>
        <w:t>__________________________________________________________________________________</w:t>
      </w:r>
    </w:p>
    <w:p w:rsidR="003301CD" w:rsidRPr="003301CD" w:rsidP="003301CD" w14:paraId="2EAB614E" w14:textId="77777777">
      <w:pPr>
        <w:spacing w:after="0" w:line="240" w:lineRule="auto"/>
        <w:jc w:val="left"/>
        <w:rPr>
          <w:rFonts w:ascii="Times New Roman" w:hAnsi="Times New Roman"/>
          <w:b/>
          <w:sz w:val="20"/>
        </w:rPr>
      </w:pPr>
    </w:p>
    <w:p w:rsidR="003301CD" w:rsidRPr="003301CD" w:rsidP="003301CD" w14:paraId="7FC0BE41" w14:textId="77777777">
      <w:pPr>
        <w:spacing w:after="0" w:line="240" w:lineRule="auto"/>
        <w:jc w:val="left"/>
        <w:rPr>
          <w:rFonts w:ascii="Times New Roman" w:hAnsi="Times New Roman"/>
          <w:bCs/>
          <w:sz w:val="20"/>
        </w:rPr>
      </w:pPr>
      <w:r w:rsidRPr="003301CD">
        <w:rPr>
          <w:rFonts w:ascii="Times New Roman" w:hAnsi="Times New Roman"/>
          <w:b/>
          <w:sz w:val="20"/>
        </w:rPr>
        <w:t xml:space="preserve">Court:  </w:t>
      </w:r>
      <w:r w:rsidRPr="003301CD">
        <w:rPr>
          <w:rFonts w:ascii="Times New Roman" w:hAnsi="Times New Roman"/>
          <w:bCs/>
          <w:sz w:val="20"/>
        </w:rPr>
        <w:t>Superior</w:t>
      </w:r>
      <w:r w:rsidRPr="003301CD">
        <w:rPr>
          <w:rFonts w:ascii="Times New Roman" w:hAnsi="Times New Roman"/>
          <w:b/>
          <w:sz w:val="20"/>
        </w:rPr>
        <w:t xml:space="preserve"> </w:t>
      </w:r>
    </w:p>
    <w:p w:rsidR="003301CD" w:rsidRPr="003301CD" w:rsidP="003301CD" w14:paraId="204FCA69" w14:textId="77777777">
      <w:pPr>
        <w:spacing w:after="0" w:line="240" w:lineRule="auto"/>
        <w:jc w:val="left"/>
        <w:rPr>
          <w:rFonts w:ascii="Times New Roman" w:hAnsi="Times New Roman"/>
          <w:bCs/>
          <w:sz w:val="20"/>
        </w:rPr>
      </w:pPr>
      <w:r w:rsidRPr="003301CD">
        <w:rPr>
          <w:rFonts w:ascii="Times New Roman" w:hAnsi="Times New Roman"/>
          <w:b/>
          <w:sz w:val="20"/>
        </w:rPr>
        <w:t xml:space="preserve">County:  </w:t>
      </w:r>
      <w:r w:rsidRPr="003301CD">
        <w:rPr>
          <w:rFonts w:ascii="Times New Roman" w:hAnsi="Times New Roman"/>
          <w:bCs/>
          <w:sz w:val="20"/>
        </w:rPr>
        <w:t>Los Angeles</w:t>
      </w:r>
      <w:r w:rsidRPr="003301CD">
        <w:rPr>
          <w:rFonts w:ascii="Times New Roman" w:hAnsi="Times New Roman"/>
          <w:b/>
          <w:sz w:val="20"/>
        </w:rPr>
        <w:t xml:space="preserve">  </w:t>
      </w:r>
      <w:r w:rsidRPr="003301CD">
        <w:rPr>
          <w:rFonts w:ascii="Times New Roman" w:hAnsi="Times New Roman"/>
          <w:bCs/>
          <w:sz w:val="20"/>
        </w:rPr>
        <w:t xml:space="preserve"> </w:t>
      </w:r>
    </w:p>
    <w:p w:rsidR="003301CD" w:rsidRPr="003301CD" w:rsidP="003301CD" w14:paraId="3014EF4B" w14:textId="77777777">
      <w:pPr>
        <w:spacing w:after="0" w:line="240" w:lineRule="auto"/>
        <w:ind w:left="720" w:hanging="720"/>
        <w:jc w:val="left"/>
        <w:rPr>
          <w:rFonts w:ascii="Times New Roman" w:hAnsi="Times New Roman"/>
          <w:bCs/>
          <w:sz w:val="20"/>
        </w:rPr>
      </w:pPr>
      <w:r w:rsidRPr="003301CD">
        <w:rPr>
          <w:rFonts w:ascii="Times New Roman" w:hAnsi="Times New Roman"/>
          <w:b/>
          <w:sz w:val="20"/>
        </w:rPr>
        <w:t xml:space="preserve">Judge:  </w:t>
      </w:r>
      <w:r w:rsidRPr="003301CD">
        <w:rPr>
          <w:rFonts w:ascii="Times New Roman" w:hAnsi="Times New Roman"/>
          <w:bCs/>
          <w:sz w:val="20"/>
        </w:rPr>
        <w:t>Michael P. Vicencia</w:t>
      </w:r>
      <w:r w:rsidRPr="003301CD">
        <w:rPr>
          <w:rFonts w:ascii="Times New Roman" w:hAnsi="Times New Roman"/>
          <w:b/>
          <w:sz w:val="20"/>
        </w:rPr>
        <w:t xml:space="preserve">  </w:t>
      </w:r>
      <w:r w:rsidRPr="003301CD">
        <w:rPr>
          <w:rFonts w:ascii="Times New Roman" w:hAnsi="Times New Roman"/>
          <w:bCs/>
          <w:sz w:val="20"/>
        </w:rPr>
        <w:t xml:space="preserve"> </w:t>
      </w:r>
    </w:p>
    <w:p w:rsidR="003301CD" w:rsidRPr="003301CD" w:rsidP="003301CD" w14:paraId="2E2CDF39" w14:textId="77777777">
      <w:pPr>
        <w:spacing w:after="0" w:line="240" w:lineRule="auto"/>
        <w:jc w:val="left"/>
        <w:rPr>
          <w:rFonts w:ascii="Times New Roman" w:hAnsi="Times New Roman"/>
          <w:b/>
          <w:sz w:val="20"/>
        </w:rPr>
      </w:pPr>
    </w:p>
    <w:p w:rsidR="003301CD" w:rsidRPr="003301CD" w:rsidP="003301CD" w14:paraId="0A7C526B" w14:textId="77777777">
      <w:pPr>
        <w:spacing w:after="0" w:line="240" w:lineRule="auto"/>
        <w:jc w:val="left"/>
        <w:rPr>
          <w:rFonts w:ascii="Times New Roman" w:hAnsi="Times New Roman"/>
          <w:b/>
          <w:sz w:val="20"/>
        </w:rPr>
      </w:pPr>
      <w:r w:rsidRPr="003301CD">
        <w:rPr>
          <w:rFonts w:ascii="Times New Roman" w:hAnsi="Times New Roman"/>
          <w:b/>
          <w:sz w:val="20"/>
        </w:rPr>
        <w:t>__________________________________________________________________________________</w:t>
      </w:r>
    </w:p>
    <w:p w:rsidR="003301CD" w:rsidRPr="003301CD" w:rsidP="003301CD" w14:paraId="5E729C00" w14:textId="77777777">
      <w:pPr>
        <w:spacing w:after="0" w:line="240" w:lineRule="auto"/>
        <w:jc w:val="left"/>
        <w:rPr>
          <w:rFonts w:ascii="Times New Roman" w:hAnsi="Times New Roman"/>
          <w:b/>
          <w:sz w:val="20"/>
        </w:rPr>
      </w:pPr>
    </w:p>
    <w:p w:rsidR="003301CD" w:rsidRPr="003301CD" w:rsidP="003301CD" w14:paraId="6DD790A0" w14:textId="77777777">
      <w:pPr>
        <w:spacing w:after="0" w:line="240" w:lineRule="auto"/>
        <w:jc w:val="left"/>
        <w:rPr>
          <w:rFonts w:ascii="Times New Roman" w:hAnsi="Times New Roman"/>
          <w:b/>
          <w:sz w:val="20"/>
        </w:rPr>
      </w:pPr>
      <w:r w:rsidRPr="003301CD">
        <w:rPr>
          <w:rFonts w:ascii="Times New Roman" w:hAnsi="Times New Roman"/>
          <w:b/>
          <w:sz w:val="20"/>
        </w:rPr>
        <w:t>Counsel:</w:t>
      </w:r>
    </w:p>
    <w:p w:rsidR="003301CD" w:rsidRPr="003301CD" w:rsidP="003301CD" w14:paraId="01D44829" w14:textId="77777777">
      <w:pPr>
        <w:spacing w:after="0" w:line="240" w:lineRule="auto"/>
        <w:jc w:val="left"/>
        <w:rPr>
          <w:rFonts w:ascii="Times New Roman" w:hAnsi="Times New Roman"/>
          <w:b/>
          <w:sz w:val="20"/>
        </w:rPr>
      </w:pPr>
    </w:p>
    <w:p w:rsidR="003301CD" w:rsidRPr="003301CD" w:rsidP="003301CD" w14:paraId="47E0EE16"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sz w:val="20"/>
          <w:bdr w:val="none" w:sz="0" w:space="0" w:color="auto" w:frame="1"/>
        </w:rPr>
        <w:t>Estey &amp; Bomberger</w:t>
      </w:r>
      <w:r w:rsidRPr="003301CD">
        <w:rPr>
          <w:rFonts w:ascii="Times New Roman" w:hAnsi="Times New Roman"/>
          <w:color w:val="212121"/>
          <w:sz w:val="20"/>
          <w:shd w:val="clear" w:color="auto" w:fill="FFFFFF"/>
        </w:rPr>
        <w:t xml:space="preserve">, </w:t>
      </w:r>
      <w:r w:rsidRPr="003301CD">
        <w:rPr>
          <w:rFonts w:ascii="Times New Roman" w:hAnsi="Times New Roman"/>
          <w:sz w:val="20"/>
          <w:bdr w:val="none" w:sz="0" w:space="0" w:color="auto" w:frame="1"/>
        </w:rPr>
        <w:t>Stephen J. Estey</w:t>
      </w:r>
      <w:r w:rsidRPr="003301CD">
        <w:rPr>
          <w:rFonts w:ascii="Times New Roman" w:hAnsi="Times New Roman"/>
          <w:color w:val="212121"/>
          <w:sz w:val="20"/>
          <w:shd w:val="clear" w:color="auto" w:fill="FFFFFF"/>
        </w:rPr>
        <w:t xml:space="preserve">; </w:t>
      </w:r>
      <w:r w:rsidRPr="003301CD">
        <w:rPr>
          <w:rFonts w:ascii="Times New Roman" w:hAnsi="Times New Roman"/>
          <w:sz w:val="20"/>
          <w:bdr w:val="none" w:sz="0" w:space="0" w:color="auto" w:frame="1"/>
        </w:rPr>
        <w:t>Corsiglia McMahon &amp; Allard</w:t>
      </w:r>
      <w:r w:rsidRPr="003301CD">
        <w:rPr>
          <w:rFonts w:ascii="Times New Roman" w:hAnsi="Times New Roman"/>
          <w:color w:val="212121"/>
          <w:sz w:val="20"/>
          <w:shd w:val="clear" w:color="auto" w:fill="FFFFFF"/>
        </w:rPr>
        <w:t xml:space="preserve">, </w:t>
      </w:r>
      <w:r w:rsidRPr="003301CD">
        <w:rPr>
          <w:rFonts w:ascii="Times New Roman" w:hAnsi="Times New Roman"/>
          <w:sz w:val="20"/>
          <w:bdr w:val="none" w:sz="0" w:space="0" w:color="auto" w:frame="1"/>
        </w:rPr>
        <w:t>B. Robert Allard</w:t>
      </w:r>
      <w:r w:rsidRPr="003301CD">
        <w:rPr>
          <w:rFonts w:ascii="Times New Roman" w:hAnsi="Times New Roman"/>
          <w:color w:val="212121"/>
          <w:sz w:val="20"/>
          <w:shd w:val="clear" w:color="auto" w:fill="FFFFFF"/>
        </w:rPr>
        <w:t>; Turek Law, Kenneth C. Turek; Williams Iagmin and Jon R. Williams for Plaintiffs and Appellants.</w:t>
      </w:r>
    </w:p>
    <w:p w:rsidR="003301CD" w:rsidRPr="003301CD" w:rsidP="003301CD" w14:paraId="1B1AADBE" w14:textId="77777777">
      <w:pPr>
        <w:spacing w:after="0" w:line="240" w:lineRule="auto"/>
        <w:jc w:val="left"/>
        <w:rPr>
          <w:rFonts w:ascii="Times New Roman" w:hAnsi="Times New Roman"/>
          <w:color w:val="212121"/>
          <w:sz w:val="20"/>
          <w:shd w:val="clear" w:color="auto" w:fill="FFFFFF"/>
        </w:rPr>
      </w:pPr>
    </w:p>
    <w:p w:rsidR="003301CD" w:rsidRPr="003301CD" w:rsidP="003301CD" w14:paraId="69882425"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Arbogast Law, David M. Arbogast; Siminou Appeals, Benjamin I. Siminou; Herzog, Yuhas, Ehrlich &amp; Ardell, Ian I. Herzog; The Bronson Firm and Steven M. Bronson for Consumer Attorneys of California as Amicus Curiae on behalf of Plaintiffs and Appellants.</w:t>
      </w:r>
    </w:p>
    <w:p w:rsidR="003301CD" w:rsidRPr="003301CD" w:rsidP="003301CD" w14:paraId="26DF7C48" w14:textId="77777777">
      <w:pPr>
        <w:spacing w:after="0" w:line="240" w:lineRule="auto"/>
        <w:jc w:val="left"/>
        <w:rPr>
          <w:rFonts w:ascii="Times New Roman" w:hAnsi="Times New Roman"/>
          <w:color w:val="212121"/>
          <w:sz w:val="20"/>
          <w:shd w:val="clear" w:color="auto" w:fill="FFFFFF"/>
        </w:rPr>
      </w:pPr>
    </w:p>
    <w:p w:rsidR="003301CD" w:rsidRPr="003301CD" w:rsidP="003301CD" w14:paraId="66AF8BA7"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Esner, Chang &amp; Boyer, Holly N. Boyer and Shea S. Murphy for National Crime Victim Bar Association and Manly, Stewart &amp; Finaldi as Amici Curiae on behalf of Plaintiffs and Appellants.</w:t>
      </w:r>
      <w:r w:rsidRPr="003301CD">
        <w:rPr>
          <w:rFonts w:ascii="Times New Roman" w:hAnsi="Times New Roman"/>
          <w:color w:val="212121"/>
          <w:sz w:val="20"/>
        </w:rPr>
        <w:br/>
      </w:r>
      <w:r w:rsidRPr="003301CD">
        <w:rPr>
          <w:rFonts w:ascii="Times New Roman" w:hAnsi="Times New Roman"/>
          <w:color w:val="212121"/>
          <w:sz w:val="20"/>
        </w:rPr>
        <w:br/>
      </w:r>
      <w:r w:rsidRPr="003301CD">
        <w:rPr>
          <w:rFonts w:ascii="Times New Roman" w:hAnsi="Times New Roman"/>
          <w:color w:val="212121"/>
          <w:sz w:val="20"/>
          <w:shd w:val="clear" w:color="auto" w:fill="FFFFFF"/>
        </w:rPr>
        <w:t xml:space="preserve">Kjar, McKenna, Stockalper, </w:t>
      </w:r>
      <w:r w:rsidRPr="003301CD">
        <w:rPr>
          <w:rFonts w:ascii="Times New Roman" w:hAnsi="Times New Roman"/>
          <w:sz w:val="20"/>
          <w:bdr w:val="none" w:sz="0" w:space="0" w:color="auto" w:frame="1"/>
        </w:rPr>
        <w:t>Patrick E. Stockalper, Matthew A. Schiller</w:t>
      </w:r>
      <w:r w:rsidRPr="003301CD">
        <w:rPr>
          <w:rFonts w:ascii="Times New Roman" w:hAnsi="Times New Roman"/>
          <w:color w:val="212121"/>
          <w:sz w:val="20"/>
          <w:shd w:val="clear" w:color="auto" w:fill="FFFFFF"/>
        </w:rPr>
        <w:t xml:space="preserve"> and Mina M. Morkos; Horvitz &amp; Levy, Mitchell C. Tilner, Steven S. Fleischman and Yen-Shyang Tseng for Defendant and Respondent USA Taekwondo.</w:t>
      </w:r>
      <w:r w:rsidRPr="003301CD">
        <w:rPr>
          <w:rFonts w:ascii="Times New Roman" w:hAnsi="Times New Roman"/>
          <w:color w:val="212121"/>
          <w:sz w:val="20"/>
        </w:rPr>
        <w:br/>
      </w:r>
      <w:r w:rsidRPr="003301CD">
        <w:rPr>
          <w:rFonts w:ascii="Times New Roman" w:hAnsi="Times New Roman"/>
          <w:color w:val="212121"/>
          <w:sz w:val="20"/>
        </w:rPr>
        <w:br/>
      </w:r>
      <w:r w:rsidRPr="003301CD">
        <w:rPr>
          <w:rFonts w:ascii="Times New Roman" w:hAnsi="Times New Roman"/>
          <w:color w:val="212121"/>
          <w:sz w:val="20"/>
          <w:shd w:val="clear" w:color="auto" w:fill="FFFFFF"/>
        </w:rPr>
        <w:t xml:space="preserve">Clyde &amp; Co. US, </w:t>
      </w:r>
      <w:r w:rsidRPr="003301CD">
        <w:rPr>
          <w:rFonts w:ascii="Times New Roman" w:hAnsi="Times New Roman"/>
          <w:sz w:val="20"/>
          <w:bdr w:val="none" w:sz="0" w:space="0" w:color="auto" w:frame="1"/>
        </w:rPr>
        <w:t>Douglas J. Collodel</w:t>
      </w:r>
      <w:r w:rsidRPr="003301CD">
        <w:rPr>
          <w:rFonts w:ascii="Times New Roman" w:hAnsi="Times New Roman"/>
          <w:color w:val="212121"/>
          <w:sz w:val="20"/>
          <w:shd w:val="clear" w:color="auto" w:fill="FFFFFF"/>
        </w:rPr>
        <w:t xml:space="preserve">, </w:t>
      </w:r>
      <w:r w:rsidRPr="003301CD">
        <w:rPr>
          <w:rFonts w:ascii="Times New Roman" w:hAnsi="Times New Roman"/>
          <w:sz w:val="20"/>
          <w:bdr w:val="none" w:sz="0" w:space="0" w:color="auto" w:frame="1"/>
        </w:rPr>
        <w:t>Margaret M. Holm</w:t>
      </w:r>
      <w:r w:rsidRPr="003301CD">
        <w:rPr>
          <w:rFonts w:ascii="Times New Roman" w:hAnsi="Times New Roman"/>
          <w:color w:val="212121"/>
          <w:sz w:val="20"/>
          <w:shd w:val="clear" w:color="auto" w:fill="FFFFFF"/>
        </w:rPr>
        <w:t>, M. Christopher Hall; Covington &amp; Burling, Beth Brinkmann, Mitch A. Kamin and Carolyn J. Kubota for Defendant and Respondent United States Olympic Committee.</w:t>
      </w:r>
    </w:p>
    <w:p w:rsidR="003301CD" w:rsidRPr="003301CD" w:rsidP="003301CD" w14:paraId="778D7A07" w14:textId="77777777">
      <w:pPr>
        <w:spacing w:after="0" w:line="240" w:lineRule="auto"/>
        <w:jc w:val="left"/>
        <w:rPr>
          <w:rFonts w:ascii="Times New Roman" w:hAnsi="Times New Roman"/>
          <w:color w:val="212121"/>
          <w:sz w:val="20"/>
          <w:shd w:val="clear" w:color="auto" w:fill="FFFFFF"/>
        </w:rPr>
      </w:pPr>
    </w:p>
    <w:p w:rsidR="003301CD" w:rsidRPr="003301CD" w:rsidP="003301CD" w14:paraId="098F621F" w14:textId="77777777">
      <w:pPr>
        <w:spacing w:after="0" w:line="240" w:lineRule="auto"/>
        <w:jc w:val="left"/>
        <w:rPr>
          <w:rFonts w:ascii="Times New Roman" w:hAnsi="Times New Roman"/>
          <w:b/>
          <w:sz w:val="20"/>
        </w:rPr>
      </w:pPr>
      <w:r w:rsidRPr="003301CD">
        <w:rPr>
          <w:rFonts w:ascii="Times New Roman" w:hAnsi="Times New Roman"/>
          <w:color w:val="212121"/>
          <w:sz w:val="20"/>
          <w:shd w:val="clear" w:color="auto" w:fill="FFFFFF"/>
        </w:rPr>
        <w:t>Munger, Tolles &amp; Olson, Donald B. Verrilli, Jr.,  Hailyn J. Chen and John B. Major for National Collegiate Athletic Association as Amicus Curiae on behalf of Defendant and Respondent United States Olympic Committee.</w:t>
      </w:r>
      <w:r w:rsidRPr="003301CD">
        <w:rPr>
          <w:rFonts w:ascii="Times New Roman" w:hAnsi="Times New Roman"/>
          <w:b/>
          <w:sz w:val="20"/>
        </w:rPr>
        <w:br w:type="page"/>
        <w:t>Counsel who argued in Supreme Court (not intended for publication with opinion):</w:t>
      </w:r>
    </w:p>
    <w:p w:rsidR="003301CD" w:rsidRPr="003301CD" w:rsidP="003301CD" w14:paraId="5CB3F13D" w14:textId="77777777">
      <w:pPr>
        <w:spacing w:after="0" w:line="240" w:lineRule="auto"/>
        <w:jc w:val="left"/>
        <w:rPr>
          <w:rFonts w:ascii="Times New Roman" w:hAnsi="Times New Roman"/>
          <w:b/>
          <w:sz w:val="20"/>
        </w:rPr>
      </w:pPr>
    </w:p>
    <w:p w:rsidR="003301CD" w:rsidRPr="003301CD" w:rsidP="003301CD" w14:paraId="7E3A90EA" w14:textId="77777777">
      <w:pPr>
        <w:spacing w:after="0" w:line="240" w:lineRule="auto"/>
        <w:jc w:val="left"/>
        <w:rPr>
          <w:rFonts w:ascii="Times New Roman" w:hAnsi="Times New Roman"/>
          <w:sz w:val="20"/>
        </w:rPr>
      </w:pPr>
      <w:r w:rsidRPr="003301CD">
        <w:rPr>
          <w:rFonts w:ascii="Times New Roman" w:hAnsi="Times New Roman"/>
          <w:sz w:val="20"/>
        </w:rPr>
        <w:t>Jon R. Williams</w:t>
      </w:r>
    </w:p>
    <w:p w:rsidR="003301CD" w:rsidRPr="003301CD" w:rsidP="003301CD" w14:paraId="27D66675"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Williams Iagmin LLP</w:t>
      </w:r>
    </w:p>
    <w:p w:rsidR="003301CD" w:rsidRPr="003301CD" w:rsidP="003301CD" w14:paraId="67255D4F"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666 State Street</w:t>
      </w:r>
    </w:p>
    <w:p w:rsidR="003301CD" w:rsidRPr="003301CD" w:rsidP="003301CD" w14:paraId="1F79927E"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San Diego, CA 92101</w:t>
      </w:r>
    </w:p>
    <w:p w:rsidR="003301CD" w:rsidRPr="003301CD" w:rsidP="003301CD" w14:paraId="15F5A9BE"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(619) 238-0370</w:t>
      </w:r>
    </w:p>
    <w:p w:rsidR="003301CD" w:rsidRPr="003301CD" w:rsidP="003301CD" w14:paraId="0C7D99D2" w14:textId="77777777">
      <w:pPr>
        <w:spacing w:after="0" w:line="240" w:lineRule="auto"/>
        <w:jc w:val="left"/>
        <w:rPr>
          <w:rFonts w:ascii="Times New Roman" w:hAnsi="Times New Roman"/>
          <w:color w:val="212121"/>
          <w:sz w:val="20"/>
          <w:shd w:val="clear" w:color="auto" w:fill="FFFFFF"/>
        </w:rPr>
      </w:pPr>
    </w:p>
    <w:p w:rsidR="003301CD" w:rsidRPr="003301CD" w:rsidP="003301CD" w14:paraId="4982BED1"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Yen-Shyang Tseng</w:t>
      </w:r>
    </w:p>
    <w:p w:rsidR="003301CD" w:rsidRPr="003301CD" w:rsidP="003301CD" w14:paraId="37DF343D"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Horvitz &amp; Levy LLP</w:t>
      </w:r>
    </w:p>
    <w:p w:rsidR="003301CD" w:rsidRPr="003301CD" w:rsidP="003301CD" w14:paraId="08E3D99C"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3601 W. Olive Ave., 8th Floor</w:t>
      </w:r>
    </w:p>
    <w:p w:rsidR="003301CD" w:rsidRPr="003301CD" w:rsidP="003301CD" w14:paraId="281FFA28"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Burbank, CA 91505-4681</w:t>
      </w:r>
    </w:p>
    <w:p w:rsidR="003301CD" w:rsidRPr="003301CD" w:rsidP="003301CD" w14:paraId="6DCCAB1E"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(818) 995-0800</w:t>
      </w:r>
    </w:p>
    <w:p w:rsidR="003301CD" w:rsidRPr="003301CD" w:rsidP="003301CD" w14:paraId="5FCD8EE4" w14:textId="77777777">
      <w:pPr>
        <w:spacing w:after="0" w:line="240" w:lineRule="auto"/>
        <w:jc w:val="left"/>
        <w:rPr>
          <w:rFonts w:ascii="Times New Roman" w:hAnsi="Times New Roman"/>
          <w:color w:val="212121"/>
          <w:sz w:val="20"/>
          <w:shd w:val="clear" w:color="auto" w:fill="FFFFFF"/>
        </w:rPr>
      </w:pPr>
    </w:p>
    <w:p w:rsidR="003301CD" w:rsidRPr="003301CD" w:rsidP="003301CD" w14:paraId="6BEF975E"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Beth S. Brinkmann</w:t>
      </w:r>
    </w:p>
    <w:p w:rsidR="003301CD" w:rsidRPr="003301CD" w:rsidP="003301CD" w14:paraId="618EE97B"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Covington &amp; Burling LLP</w:t>
      </w:r>
    </w:p>
    <w:p w:rsidR="003301CD" w:rsidRPr="003301CD" w:rsidP="003301CD" w14:paraId="42A00919"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1 CityCenter, 850 10th St. NW</w:t>
      </w:r>
    </w:p>
    <w:p w:rsidR="003301CD" w:rsidRPr="003301CD" w:rsidP="003301CD" w14:paraId="1089CFC3"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Washington, DC 20001</w:t>
      </w:r>
    </w:p>
    <w:p w:rsidR="003301CD" w:rsidRPr="003301CD" w:rsidP="003301CD" w14:paraId="11F430DA" w14:textId="77777777">
      <w:pPr>
        <w:spacing w:after="0" w:line="240" w:lineRule="auto"/>
        <w:jc w:val="left"/>
        <w:rPr>
          <w:rFonts w:ascii="Times New Roman" w:hAnsi="Times New Roman"/>
          <w:color w:val="212121"/>
          <w:sz w:val="20"/>
          <w:shd w:val="clear" w:color="auto" w:fill="FFFFFF"/>
        </w:rPr>
      </w:pPr>
      <w:r w:rsidRPr="003301CD">
        <w:rPr>
          <w:rFonts w:ascii="Times New Roman" w:hAnsi="Times New Roman"/>
          <w:color w:val="212121"/>
          <w:sz w:val="20"/>
          <w:shd w:val="clear" w:color="auto" w:fill="FFFFFF"/>
        </w:rPr>
        <w:t>(202) 662-5312</w:t>
      </w:r>
    </w:p>
    <w:p w:rsidR="003301CD" w:rsidRPr="003301CD" w:rsidP="003301CD" w14:paraId="6002D9D5" w14:textId="77777777">
      <w:pPr>
        <w:spacing w:after="0" w:line="240" w:lineRule="auto"/>
        <w:jc w:val="left"/>
        <w:rPr>
          <w:rFonts w:ascii="Times New Roman" w:hAnsi="Times New Roman"/>
          <w:sz w:val="20"/>
        </w:rPr>
      </w:pPr>
    </w:p>
    <w:p w:rsidR="00B46068" w:rsidRPr="009606B2" w:rsidP="000718F0" w14:paraId="0CF8BD33" w14:textId="2A283B93">
      <w:pPr>
        <w:tabs>
          <w:tab w:val="left" w:pos="1440"/>
        </w:tabs>
        <w:spacing w:line="400" w:lineRule="atLeast"/>
        <w:jc w:val="left"/>
        <w:rPr>
          <w:szCs w:val="26"/>
        </w:rPr>
      </w:pPr>
    </w:p>
    <w:sectPr w:rsidSect="00F76DA2">
      <w:headerReference w:type="default" r:id="rId16"/>
      <w:footerReference w:type="default" r:id="rId17"/>
      <w:footnotePr>
        <w:numRestart w:val="eachSect"/>
      </w:footnotePr>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527" w14:paraId="07088C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D34" w14:paraId="16A97EB0" w14:textId="77777777">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527" w14:paraId="7150181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D34" w14:paraId="39DC4CAE" w14:textId="77777777">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513B" w:rsidRPr="00F76DA2" w:rsidP="00F76DA2" w14:paraId="540C23E6" w14:textId="23F6BA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1CD" w:rsidRPr="003301CD" w:rsidP="003301CD" w14:paraId="538EDCC5" w14:textId="2AB8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60BC" w14:paraId="5DC3B564" w14:textId="77777777">
      <w:r>
        <w:separator/>
      </w:r>
    </w:p>
  </w:footnote>
  <w:footnote w:type="continuationSeparator" w:id="1">
    <w:p w:rsidR="006660BC" w14:paraId="3E8883E9" w14:textId="77777777">
      <w:pPr>
        <w:rPr>
          <w:sz w:val="22"/>
        </w:rPr>
      </w:pPr>
      <w:r>
        <w:continuationSeparator/>
      </w:r>
    </w:p>
  </w:footnote>
  <w:footnote w:type="continuationNotice" w:id="2">
    <w:p w:rsidR="006660BC" w14:paraId="31E4B0CE" w14:textId="77777777">
      <w:pPr>
        <w:jc w:val="right"/>
        <w:rPr>
          <w:i/>
          <w:sz w:val="20"/>
        </w:rPr>
      </w:pPr>
    </w:p>
  </w:footnote>
  <w:footnote w:id="3">
    <w:p w:rsidR="00071D34" w:rsidRPr="001621AB" w:rsidP="00885E0C" w14:paraId="20364F61" w14:textId="13B52989">
      <w:pPr>
        <w:pStyle w:val="NormalWeb"/>
        <w:spacing w:before="0" w:beforeAutospacing="0" w:after="0" w:afterAutospacing="0" w:line="300" w:lineRule="exact"/>
        <w:rPr>
          <w:sz w:val="27"/>
          <w:szCs w:val="27"/>
        </w:rPr>
      </w:pPr>
      <w:r w:rsidRPr="001621AB">
        <w:rPr>
          <w:rStyle w:val="FootnoteReference"/>
          <w:szCs w:val="27"/>
        </w:rPr>
        <w:footnoteRef/>
      </w:r>
      <w:r w:rsidRPr="001621AB">
        <w:rPr>
          <w:sz w:val="27"/>
          <w:szCs w:val="27"/>
        </w:rPr>
        <w:t xml:space="preserve"> </w:t>
      </w:r>
      <w:r w:rsidRPr="001621AB">
        <w:rPr>
          <w:sz w:val="27"/>
          <w:szCs w:val="27"/>
        </w:rPr>
        <w:tab/>
        <w:t xml:space="preserve">In June 2019, USOC’s name was changed to the United States Olympic and Paralympic Committee.  </w:t>
      </w:r>
    </w:p>
  </w:footnote>
  <w:footnote w:id="4">
    <w:p w:rsidR="0070336F" w:rsidRPr="00CC553B" w:rsidP="00C418A0" w14:paraId="701D05BF" w14:textId="600A425D">
      <w:pPr>
        <w:pStyle w:val="FootnoteText"/>
        <w:rPr>
          <w:iCs/>
          <w:szCs w:val="26"/>
        </w:rPr>
      </w:pPr>
      <w:r>
        <w:rPr>
          <w:rStyle w:val="FootnoteReference"/>
        </w:rPr>
        <w:footnoteRef/>
      </w:r>
      <w:r>
        <w:t xml:space="preserve"> </w:t>
      </w:r>
      <w:r>
        <w:tab/>
      </w:r>
      <w:r w:rsidR="00C418A0">
        <w:t>Brown also raised various other claims against USOC and USAT, including claims that USOC and USAT were vicariously liable for Gitelman’s conduct and claims for negligent hiring and intentional infliction of emotional distress.</w:t>
      </w:r>
      <w:r w:rsidR="00EA51EF">
        <w:t xml:space="preserve"> </w:t>
      </w:r>
      <w:r w:rsidR="00C418A0">
        <w:t xml:space="preserve"> </w:t>
      </w:r>
      <w:r w:rsidR="00D0015E">
        <w:rPr>
          <w:iCs/>
          <w:szCs w:val="26"/>
        </w:rPr>
        <w:t xml:space="preserve">Those </w:t>
      </w:r>
      <w:r w:rsidR="008036A5">
        <w:rPr>
          <w:iCs/>
          <w:szCs w:val="26"/>
        </w:rPr>
        <w:t>claims are not before us here.</w:t>
      </w:r>
    </w:p>
  </w:footnote>
  <w:footnote w:id="5">
    <w:p w:rsidR="00071D34" w:rsidRPr="00851925" w:rsidP="007D26D2" w14:paraId="6DB7776D" w14:textId="0C091EB2">
      <w:pPr>
        <w:pStyle w:val="FootnoteText"/>
      </w:pPr>
      <w:r>
        <w:rPr>
          <w:rStyle w:val="FootnoteReference"/>
        </w:rPr>
        <w:footnoteRef/>
      </w:r>
      <w:r>
        <w:t xml:space="preserve"> </w:t>
      </w:r>
      <w:r>
        <w:tab/>
      </w:r>
      <w:r w:rsidRPr="00B501C0">
        <w:rPr>
          <w:szCs w:val="27"/>
        </w:rPr>
        <w:t>These considerations include “the foreseeability of harm to the plaintiff, the degree of certainty that the plaintiff suffered injury, the closeness of the connection between the defendant’s conduct and the injury suffered, the moral blame attached to the defendant’s conduct, the policy of preventing future harm, the extent of the burden to the defendant and consequences to the community of imposing a duty to exercise care with resulting liability for breach, and the availability, cost, and prevalence of insurance for the risk involved.”  (</w:t>
      </w:r>
      <w:r w:rsidRPr="00B501C0">
        <w:rPr>
          <w:i/>
          <w:iCs/>
          <w:szCs w:val="27"/>
        </w:rPr>
        <w:t>Rowland</w:t>
      </w:r>
      <w:r w:rsidRPr="00B501C0">
        <w:rPr>
          <w:szCs w:val="27"/>
        </w:rPr>
        <w:t xml:space="preserve">, </w:t>
      </w:r>
      <w:r w:rsidRPr="00B46068">
        <w:rPr>
          <w:i/>
          <w:iCs/>
          <w:szCs w:val="27"/>
        </w:rPr>
        <w:t>supra</w:t>
      </w:r>
      <w:r w:rsidRPr="00B501C0">
        <w:rPr>
          <w:szCs w:val="27"/>
        </w:rPr>
        <w:t>, 69 Cal.2d at p. 113.)</w:t>
      </w:r>
    </w:p>
  </w:footnote>
  <w:footnote w:id="6">
    <w:p w:rsidR="000414D7" w14:paraId="7DB3EC0A" w14:textId="1F9098A1">
      <w:pPr>
        <w:pStyle w:val="FootnoteText"/>
      </w:pPr>
      <w:r>
        <w:rPr>
          <w:rStyle w:val="FootnoteReference"/>
        </w:rPr>
        <w:footnoteRef/>
      </w:r>
      <w:r>
        <w:tab/>
      </w:r>
      <w:r>
        <w:rPr>
          <w:szCs w:val="26"/>
        </w:rPr>
        <w:t xml:space="preserve">We express no view on the </w:t>
      </w:r>
      <w:r>
        <w:rPr>
          <w:szCs w:val="26"/>
        </w:rPr>
        <w:t xml:space="preserve">merits </w:t>
      </w:r>
      <w:r>
        <w:rPr>
          <w:szCs w:val="26"/>
        </w:rPr>
        <w:t>of the Court of Appeal’s application of the special relationship test to either USAT or USOC</w:t>
      </w:r>
      <w:r w:rsidR="006320FD">
        <w:rPr>
          <w:szCs w:val="26"/>
        </w:rPr>
        <w:t>.  T</w:t>
      </w:r>
      <w:r>
        <w:rPr>
          <w:szCs w:val="26"/>
        </w:rPr>
        <w:t>h</w:t>
      </w:r>
      <w:r w:rsidR="006320FD">
        <w:rPr>
          <w:szCs w:val="26"/>
        </w:rPr>
        <w:t>ese</w:t>
      </w:r>
      <w:r w:rsidR="00702FD3">
        <w:rPr>
          <w:szCs w:val="26"/>
        </w:rPr>
        <w:t xml:space="preserve"> </w:t>
      </w:r>
      <w:r>
        <w:rPr>
          <w:szCs w:val="26"/>
        </w:rPr>
        <w:t xml:space="preserve">fact-dependent </w:t>
      </w:r>
      <w:r w:rsidR="006320FD">
        <w:rPr>
          <w:szCs w:val="26"/>
        </w:rPr>
        <w:t xml:space="preserve">issues </w:t>
      </w:r>
      <w:r>
        <w:rPr>
          <w:szCs w:val="26"/>
        </w:rPr>
        <w:t xml:space="preserve">fall outside the scope of the only question presented </w:t>
      </w:r>
      <w:r w:rsidR="00DD0D79">
        <w:rPr>
          <w:szCs w:val="26"/>
        </w:rPr>
        <w:t>for</w:t>
      </w:r>
      <w:r>
        <w:rPr>
          <w:szCs w:val="26"/>
        </w:rPr>
        <w:t xml:space="preserve"> </w:t>
      </w:r>
      <w:r w:rsidR="00702FD3">
        <w:rPr>
          <w:szCs w:val="26"/>
        </w:rPr>
        <w:t xml:space="preserve">our </w:t>
      </w:r>
      <w:r>
        <w:rPr>
          <w:szCs w:val="26"/>
        </w:rPr>
        <w:t>review.</w:t>
      </w:r>
    </w:p>
  </w:footnote>
  <w:footnote w:id="7">
    <w:p w:rsidR="00EA20E6" w:rsidP="00060C09" w14:paraId="311C3E29" w14:textId="5C6A1562">
      <w:pPr>
        <w:pStyle w:val="FootnoteText"/>
      </w:pPr>
      <w:r>
        <w:rPr>
          <w:rStyle w:val="FootnoteReference"/>
        </w:rPr>
        <w:footnoteRef/>
      </w:r>
      <w:r w:rsidR="001660E9">
        <w:tab/>
      </w:r>
      <w:r w:rsidR="007E3DBF">
        <w:t>While these examples involve bystanders in the usual sense of the term, it bears emphasis that the relevant legal question is whether the defendant has engaged in activities that created or increased the plaintiff’s risk of harm</w:t>
      </w:r>
      <w:r w:rsidR="00060C09">
        <w:t xml:space="preserve">.  A defendant may have greater involvement in the plaintiff’s activities than a chance spectator </w:t>
      </w:r>
      <w:r w:rsidR="00595C3B">
        <w:t xml:space="preserve">yet </w:t>
      </w:r>
      <w:r w:rsidR="00060C09">
        <w:t xml:space="preserve">play no meaningful part in </w:t>
      </w:r>
      <w:r w:rsidR="00595C3B">
        <w:t>exposing the plaintiff to harm</w:t>
      </w:r>
      <w:r w:rsidR="002D66C5">
        <w:t>.</w:t>
      </w:r>
      <w:r w:rsidR="00595C3B">
        <w:t xml:space="preserve">  (Cf. </w:t>
      </w:r>
      <w:r w:rsidR="009E23C0">
        <w:t>c</w:t>
      </w:r>
      <w:r w:rsidR="00BF7A6B">
        <w:t xml:space="preserve">onc. </w:t>
      </w:r>
      <w:r w:rsidR="003606FE">
        <w:t>opn.</w:t>
      </w:r>
      <w:r w:rsidR="0091027D">
        <w:t xml:space="preserve">, </w:t>
      </w:r>
      <w:r w:rsidR="0091027D">
        <w:rPr>
          <w:i/>
          <w:iCs/>
        </w:rPr>
        <w:t>post</w:t>
      </w:r>
      <w:r w:rsidR="0091027D">
        <w:t>,</w:t>
      </w:r>
      <w:r w:rsidR="003606FE">
        <w:t xml:space="preserve"> </w:t>
      </w:r>
      <w:r w:rsidR="00BF7A6B">
        <w:t>at p.</w:t>
      </w:r>
      <w:r w:rsidR="000F5410">
        <w:t> </w:t>
      </w:r>
      <w:r w:rsidR="004D70B0">
        <w:t xml:space="preserve">7 </w:t>
      </w:r>
      <w:r w:rsidR="00BF7A6B">
        <w:t>[</w:t>
      </w:r>
      <w:r w:rsidR="00C816DD">
        <w:t xml:space="preserve">rejecting the </w:t>
      </w:r>
      <w:r w:rsidR="00C67904">
        <w:t xml:space="preserve">idea </w:t>
      </w:r>
      <w:r w:rsidR="00C816DD">
        <w:t xml:space="preserve">that USOC was a bystander in this case].)  </w:t>
      </w:r>
    </w:p>
  </w:footnote>
  <w:footnote w:id="8">
    <w:p w:rsidR="007E3DBF" w:rsidP="007E3DBF" w14:paraId="00464A0D" w14:textId="4C953D9A">
      <w:pPr>
        <w:pStyle w:val="FootnoteText"/>
      </w:pPr>
      <w:r>
        <w:rPr>
          <w:rStyle w:val="FootnoteReference"/>
        </w:rPr>
        <w:footnoteRef/>
      </w:r>
      <w:r>
        <w:t xml:space="preserve"> </w:t>
      </w:r>
      <w:r>
        <w:tab/>
        <w:t xml:space="preserve">Although our precedents </w:t>
      </w:r>
      <w:r w:rsidR="00FB462D">
        <w:t xml:space="preserve">have </w:t>
      </w:r>
      <w:r>
        <w:t>sometimes refer</w:t>
      </w:r>
      <w:r w:rsidR="00FB462D">
        <w:t>red</w:t>
      </w:r>
      <w:r>
        <w:t xml:space="preserve"> to </w:t>
      </w:r>
      <w:r w:rsidR="00A055DD">
        <w:t xml:space="preserve">the </w:t>
      </w:r>
      <w:r>
        <w:t xml:space="preserve">distinction between “misfeasance” and “nonfeasance,” </w:t>
      </w:r>
      <w:r w:rsidR="00A055DD">
        <w:t xml:space="preserve">we now understand this </w:t>
      </w:r>
      <w:r>
        <w:t>terminology to be imprecise and prone to misinterpretation.  “The proper question is not whether an actor’s failure to exercise reasonable care entails the commission o</w:t>
      </w:r>
      <w:r w:rsidR="00BA14FE">
        <w:t>r</w:t>
      </w:r>
      <w:r>
        <w:t xml:space="preserve"> omission of a specific act.”  (Rest.3d Torts, </w:t>
      </w:r>
      <w:r>
        <w:rPr>
          <w:i/>
          <w:iCs/>
        </w:rPr>
        <w:t>supra</w:t>
      </w:r>
      <w:r>
        <w:t xml:space="preserve">, </w:t>
      </w:r>
      <w:r w:rsidRPr="003D20E4">
        <w:t>§ </w:t>
      </w:r>
      <w:r>
        <w:t>37, com. c</w:t>
      </w:r>
      <w:r w:rsidR="00B24B07">
        <w:t>, p. 3</w:t>
      </w:r>
      <w:r>
        <w:t>.)  Rather, it is “whether the actor’s entire conduct created a risk of harm.”  (</w:t>
      </w:r>
      <w:r>
        <w:rPr>
          <w:i/>
          <w:iCs/>
        </w:rPr>
        <w:t>Ibid.</w:t>
      </w:r>
      <w:r>
        <w:t xml:space="preserve">)  </w:t>
      </w:r>
    </w:p>
  </w:footnote>
  <w:footnote w:id="9">
    <w:p w:rsidR="00122A99" w:rsidRPr="001D4406" w:rsidP="00122A99" w14:paraId="2CEBC895" w14:textId="5DA5FD33">
      <w:pPr>
        <w:pStyle w:val="FootnoteText"/>
        <w:rPr>
          <w:rFonts w:eastAsia="Arial"/>
          <w:iCs/>
          <w:szCs w:val="26"/>
        </w:rPr>
      </w:pPr>
      <w:r w:rsidRPr="0021104C">
        <w:rPr>
          <w:rStyle w:val="FootnoteReference"/>
          <w:szCs w:val="26"/>
        </w:rPr>
        <w:footnoteRef/>
      </w:r>
      <w:r w:rsidRPr="0021104C">
        <w:rPr>
          <w:szCs w:val="26"/>
        </w:rPr>
        <w:t xml:space="preserve"> </w:t>
      </w:r>
      <w:r w:rsidRPr="0004121A">
        <w:rPr>
          <w:szCs w:val="26"/>
        </w:rPr>
        <w:tab/>
      </w:r>
      <w:r>
        <w:rPr>
          <w:szCs w:val="26"/>
        </w:rPr>
        <w:t>This is not an exhaustive list</w:t>
      </w:r>
      <w:r w:rsidR="003F7B9A">
        <w:rPr>
          <w:szCs w:val="26"/>
        </w:rPr>
        <w:t>.  An</w:t>
      </w:r>
      <w:r w:rsidR="003C0764">
        <w:rPr>
          <w:szCs w:val="26"/>
        </w:rPr>
        <w:t xml:space="preserve"> affirmative duty to protect may also arise if, for example, the Legislature imposes one by statute.  (</w:t>
      </w:r>
      <w:r w:rsidR="00EA3AA2">
        <w:rPr>
          <w:szCs w:val="26"/>
        </w:rPr>
        <w:t xml:space="preserve">See </w:t>
      </w:r>
      <w:r w:rsidRPr="00B274CB">
        <w:rPr>
          <w:rFonts w:eastAsia="Arial"/>
          <w:i/>
          <w:iCs/>
          <w:szCs w:val="26"/>
        </w:rPr>
        <w:t>Hoff v. Vacaville Unified School Dist.</w:t>
      </w:r>
      <w:r w:rsidRPr="00B274CB">
        <w:rPr>
          <w:rFonts w:eastAsia="Arial"/>
          <w:iCs/>
          <w:szCs w:val="26"/>
        </w:rPr>
        <w:t xml:space="preserve"> (1998) 19 Cal.4th 925, 938</w:t>
      </w:r>
      <w:r w:rsidR="003C0764">
        <w:rPr>
          <w:rFonts w:eastAsia="Arial"/>
          <w:iCs/>
          <w:szCs w:val="26"/>
        </w:rPr>
        <w:t xml:space="preserve">; </w:t>
      </w:r>
      <w:r w:rsidRPr="00B274CB">
        <w:rPr>
          <w:szCs w:val="26"/>
        </w:rPr>
        <w:t>Rest</w:t>
      </w:r>
      <w:r w:rsidRPr="00D81E68">
        <w:rPr>
          <w:szCs w:val="26"/>
        </w:rPr>
        <w:t xml:space="preserve">.3d Torts, </w:t>
      </w:r>
      <w:r w:rsidRPr="00BC0F4C">
        <w:rPr>
          <w:i/>
          <w:iCs/>
          <w:szCs w:val="26"/>
        </w:rPr>
        <w:t>supra</w:t>
      </w:r>
      <w:r>
        <w:rPr>
          <w:szCs w:val="26"/>
        </w:rPr>
        <w:t xml:space="preserve">, </w:t>
      </w:r>
      <w:r w:rsidRPr="00D81E68">
        <w:rPr>
          <w:rFonts w:eastAsia="Arial"/>
          <w:iCs/>
          <w:szCs w:val="26"/>
        </w:rPr>
        <w:t>§</w:t>
      </w:r>
      <w:r>
        <w:rPr>
          <w:rFonts w:eastAsia="Arial"/>
          <w:iCs/>
          <w:szCs w:val="26"/>
        </w:rPr>
        <w:t> </w:t>
      </w:r>
      <w:r w:rsidRPr="00D81E68">
        <w:rPr>
          <w:rFonts w:eastAsia="Arial"/>
          <w:iCs/>
          <w:szCs w:val="26"/>
        </w:rPr>
        <w:t>38</w:t>
      </w:r>
      <w:r>
        <w:rPr>
          <w:rFonts w:eastAsia="Arial"/>
          <w:iCs/>
          <w:szCs w:val="26"/>
        </w:rPr>
        <w:t>.</w:t>
      </w:r>
      <w:r w:rsidRPr="00D81E68">
        <w:rPr>
          <w:rFonts w:eastAsia="Arial"/>
          <w:iCs/>
          <w:szCs w:val="26"/>
        </w:rPr>
        <w:t>)</w:t>
      </w:r>
      <w:r w:rsidR="00CD4EA2">
        <w:rPr>
          <w:rFonts w:eastAsia="Arial"/>
          <w:iCs/>
          <w:szCs w:val="26"/>
        </w:rPr>
        <w:t xml:space="preserve">  </w:t>
      </w:r>
      <w:r w:rsidR="00970ADE">
        <w:rPr>
          <w:rFonts w:eastAsia="Arial"/>
          <w:iCs/>
          <w:szCs w:val="26"/>
        </w:rPr>
        <w:t>R</w:t>
      </w:r>
      <w:r w:rsidR="00CD4EA2">
        <w:rPr>
          <w:rFonts w:eastAsia="Arial"/>
          <w:iCs/>
          <w:szCs w:val="26"/>
        </w:rPr>
        <w:t>egardless of whether there is a basis for recognizing an affirmative duty, t</w:t>
      </w:r>
      <w:r w:rsidR="00000319">
        <w:rPr>
          <w:rFonts w:eastAsia="Arial"/>
          <w:iCs/>
          <w:szCs w:val="26"/>
        </w:rPr>
        <w:t xml:space="preserve">he </w:t>
      </w:r>
      <w:r>
        <w:rPr>
          <w:szCs w:val="26"/>
        </w:rPr>
        <w:t xml:space="preserve">no-duty-to-protect rule </w:t>
      </w:r>
      <w:r w:rsidR="00637D3F">
        <w:rPr>
          <w:szCs w:val="26"/>
        </w:rPr>
        <w:t xml:space="preserve">will not </w:t>
      </w:r>
      <w:r>
        <w:rPr>
          <w:szCs w:val="26"/>
        </w:rPr>
        <w:t xml:space="preserve">relieve the defendant of an otherwise applicable duty to exercise reasonable care when, by its own conduct, the defendant has increased the risk of harm to the plaintiff.  (See, e.g., </w:t>
      </w:r>
      <w:r>
        <w:rPr>
          <w:i/>
          <w:iCs/>
          <w:szCs w:val="26"/>
        </w:rPr>
        <w:t>Kesner v. Superior Court</w:t>
      </w:r>
      <w:r>
        <w:rPr>
          <w:szCs w:val="26"/>
        </w:rPr>
        <w:t xml:space="preserve"> (2016) 1 Cal.5th 1132, 1163 [“Although we have held that the existence of a relationship between the plaintiff and the defendant is one basis for finding liability premised on the conduct of a third party [citation</w:t>
      </w:r>
      <w:r w:rsidR="004401FA">
        <w:rPr>
          <w:szCs w:val="26"/>
        </w:rPr>
        <w:t>s</w:t>
      </w:r>
      <w:r>
        <w:rPr>
          <w:szCs w:val="26"/>
        </w:rPr>
        <w:t>]</w:t>
      </w:r>
      <w:r w:rsidR="004401FA">
        <w:rPr>
          <w:szCs w:val="26"/>
        </w:rPr>
        <w:t>,</w:t>
      </w:r>
      <w:r>
        <w:rPr>
          <w:szCs w:val="26"/>
        </w:rPr>
        <w:t xml:space="preserve"> we have never held that such a relationship is a prerequisite to finding that a defendant had a duty to prevent injuries due to its own conduct or possessory control.”].)</w:t>
      </w:r>
    </w:p>
  </w:footnote>
  <w:footnote w:id="10">
    <w:p w:rsidR="00612A5C" w:rsidRPr="00FE54FC" w14:paraId="79CF5981" w14:textId="58217A06">
      <w:pPr>
        <w:pStyle w:val="FootnoteText"/>
      </w:pPr>
      <w:r>
        <w:rPr>
          <w:rStyle w:val="FootnoteReference"/>
        </w:rPr>
        <w:footnoteRef/>
      </w:r>
      <w:r>
        <w:tab/>
        <w:t xml:space="preserve">Although Brown has not raised </w:t>
      </w:r>
      <w:r w:rsidR="00603B38">
        <w:t>the point</w:t>
      </w:r>
      <w:r w:rsidR="00AB2DE0">
        <w:t xml:space="preserve"> in her brief</w:t>
      </w:r>
      <w:r w:rsidR="002C7BE1">
        <w:t>ing</w:t>
      </w:r>
      <w:r>
        <w:t>, we acknowledge that certain language in other cases could be read as suggesting such an approach.</w:t>
      </w:r>
      <w:r w:rsidR="00B34F2B">
        <w:t xml:space="preserve">  For example, in </w:t>
      </w:r>
      <w:r w:rsidR="007C13A0">
        <w:rPr>
          <w:i/>
          <w:iCs/>
        </w:rPr>
        <w:t>Palma v. U.S. Industrial Fasteners, Inc.</w:t>
      </w:r>
      <w:r w:rsidR="007C13A0">
        <w:t xml:space="preserve"> (1984) 36 Cal.3d 171, we said</w:t>
      </w:r>
      <w:r w:rsidR="00C52B9D">
        <w:t xml:space="preserve"> of a suit seeking to impose liability for leaving a commercial truck unsecured in a high-crime area, where it was stolen and </w:t>
      </w:r>
      <w:r w:rsidR="006213BB">
        <w:t xml:space="preserve">later </w:t>
      </w:r>
      <w:r w:rsidR="00C52B9D">
        <w:t>used to cause injury</w:t>
      </w:r>
      <w:r w:rsidR="007C13A0">
        <w:t>:  “[O]rdinarily in the absence of a special relationship there is no duty to control the conduct of a third person so as to prevent him from harming another, but where special circumstances exist in which there is ‘a greater potentiality of foreseeable risk or more serious injury, or [which] require a lesser burden of preventative action,’ the risk is deemed unreasonable and imposes a duty to third persons.”  (</w:t>
      </w:r>
      <w:r w:rsidRPr="00FF176B" w:rsidR="007C13A0">
        <w:rPr>
          <w:i/>
          <w:iCs/>
        </w:rPr>
        <w:t>Id.</w:t>
      </w:r>
      <w:r w:rsidR="007C13A0">
        <w:t xml:space="preserve"> at pp. 184–185, quoting </w:t>
      </w:r>
      <w:r w:rsidR="007C13A0">
        <w:rPr>
          <w:i/>
          <w:iCs/>
        </w:rPr>
        <w:t>Hergenrether v. East</w:t>
      </w:r>
      <w:r w:rsidR="007C13A0">
        <w:t xml:space="preserve"> (1964) 61 Cal.2d 440, 444.)  But </w:t>
      </w:r>
      <w:r w:rsidR="005A644D">
        <w:t xml:space="preserve">as the broader context of </w:t>
      </w:r>
      <w:r w:rsidR="005A644D">
        <w:rPr>
          <w:i/>
          <w:iCs/>
        </w:rPr>
        <w:t>Palma</w:t>
      </w:r>
      <w:r w:rsidR="005A644D">
        <w:t xml:space="preserve"> and other related cases makes clear, the focus of the duty inquiry in these cases is not on the defendant’s duty to protect the victim from the conduct of a third party, but instead on the defendant’s general duty under section 1714 to exercise due care in his or her own conduct.  </w:t>
      </w:r>
      <w:r w:rsidR="006213BB">
        <w:t xml:space="preserve">While a </w:t>
      </w:r>
      <w:r w:rsidR="0009205D">
        <w:t xml:space="preserve">car owner </w:t>
      </w:r>
      <w:r w:rsidR="006213BB">
        <w:t xml:space="preserve">ordinarily cannot be held liable </w:t>
      </w:r>
      <w:r w:rsidR="009D1C19">
        <w:t xml:space="preserve">simply </w:t>
      </w:r>
      <w:r w:rsidR="006213BB">
        <w:t xml:space="preserve">for </w:t>
      </w:r>
      <w:r w:rsidR="009D1C19">
        <w:t xml:space="preserve">allowing her car to be stolen and used for harm </w:t>
      </w:r>
      <w:r w:rsidR="006213BB">
        <w:t>(</w:t>
      </w:r>
      <w:r w:rsidR="005A644D">
        <w:rPr>
          <w:i/>
          <w:iCs/>
        </w:rPr>
        <w:t>Cabral</w:t>
      </w:r>
      <w:r w:rsidR="005A644D">
        <w:t xml:space="preserve">, </w:t>
      </w:r>
      <w:r w:rsidR="005A644D">
        <w:rPr>
          <w:i/>
          <w:iCs/>
        </w:rPr>
        <w:t>supra</w:t>
      </w:r>
      <w:r w:rsidR="005A644D">
        <w:t>,</w:t>
      </w:r>
      <w:r w:rsidR="005A644D">
        <w:rPr>
          <w:i/>
          <w:iCs/>
        </w:rPr>
        <w:t xml:space="preserve"> </w:t>
      </w:r>
      <w:r w:rsidR="005A644D">
        <w:t>51 Cal.4th at p. 779)</w:t>
      </w:r>
      <w:r w:rsidR="00AF68BA">
        <w:t xml:space="preserve">, </w:t>
      </w:r>
      <w:r w:rsidR="005A644D">
        <w:t xml:space="preserve">in </w:t>
      </w:r>
      <w:r w:rsidR="006213BB">
        <w:t>some cases</w:t>
      </w:r>
      <w:r w:rsidR="004C318A">
        <w:t xml:space="preserve">, like </w:t>
      </w:r>
      <w:r w:rsidR="004C318A">
        <w:rPr>
          <w:i/>
          <w:iCs/>
        </w:rPr>
        <w:t>Palma</w:t>
      </w:r>
      <w:r w:rsidR="004C318A">
        <w:t xml:space="preserve">, </w:t>
      </w:r>
      <w:r w:rsidR="005A644D">
        <w:t xml:space="preserve">the defendant’s decision to leave a vehicle unguarded </w:t>
      </w:r>
      <w:r w:rsidR="009D06B3">
        <w:t xml:space="preserve">does </w:t>
      </w:r>
      <w:r w:rsidR="005A644D">
        <w:t xml:space="preserve">increase the risks the vehicle </w:t>
      </w:r>
      <w:r w:rsidR="00FA4147">
        <w:t xml:space="preserve">will </w:t>
      </w:r>
      <w:r w:rsidR="005A644D">
        <w:t xml:space="preserve">be harmfully misused.  (See Rest.3d Torts, </w:t>
      </w:r>
      <w:r w:rsidRPr="004401FA" w:rsidR="005A644D">
        <w:rPr>
          <w:i/>
          <w:iCs/>
        </w:rPr>
        <w:t>supra</w:t>
      </w:r>
      <w:r w:rsidR="005A644D">
        <w:t>, § 19, reporter</w:t>
      </w:r>
      <w:r w:rsidR="00C85B85">
        <w:t>s</w:t>
      </w:r>
      <w:r w:rsidR="005A644D">
        <w:t>’ note, com. c, p. </w:t>
      </w:r>
      <w:r w:rsidR="005E5AEB">
        <w:t xml:space="preserve">222 </w:t>
      </w:r>
      <w:r w:rsidR="005A644D">
        <w:t>[citing vehicle-theft cases to illustrate the proposition that “[i]f the third party’s misconduct is among the risks making the defendant’s conduct negligent, then ordinarily plaintiff’s harm will be within the defendant’s scope of liability” (</w:t>
      </w:r>
      <w:r w:rsidR="005A644D">
        <w:rPr>
          <w:i/>
          <w:iCs/>
        </w:rPr>
        <w:t>id.</w:t>
      </w:r>
      <w:r w:rsidR="005A644D">
        <w:t>, com. c, p. 216)].)</w:t>
      </w:r>
      <w:r w:rsidR="000F5410">
        <w:t xml:space="preserve">  </w:t>
      </w:r>
      <w:r w:rsidR="000900DD">
        <w:t xml:space="preserve">Such cases </w:t>
      </w:r>
      <w:r w:rsidR="005A644D">
        <w:t xml:space="preserve">“can be contrasted to cases in which the defendant merely takes no action to protect the plaintiff against the possibility of third-party misconduct” — which is Brown’s theory of liability in asserting the existence of a special relationship.  (Rest.3d Torts, </w:t>
      </w:r>
      <w:r w:rsidRPr="004401FA" w:rsidR="005A644D">
        <w:rPr>
          <w:i/>
          <w:iCs/>
        </w:rPr>
        <w:t>supra</w:t>
      </w:r>
      <w:r w:rsidR="005A644D">
        <w:t>, § 19, com. e,</w:t>
      </w:r>
      <w:r w:rsidR="006113FF">
        <w:t xml:space="preserve"> p.</w:t>
      </w:r>
      <w:r w:rsidR="000F5410">
        <w:t> </w:t>
      </w:r>
      <w:r w:rsidR="006113FF">
        <w:t>218; see also</w:t>
      </w:r>
      <w:r w:rsidR="005A644D">
        <w:t xml:space="preserve"> </w:t>
      </w:r>
      <w:r w:rsidR="006113FF">
        <w:rPr>
          <w:i/>
          <w:iCs/>
        </w:rPr>
        <w:t>id.</w:t>
      </w:r>
      <w:r w:rsidR="006113FF">
        <w:t>,</w:t>
      </w:r>
      <w:r w:rsidR="00C61996">
        <w:t xml:space="preserve"> illus.</w:t>
      </w:r>
      <w:r w:rsidR="007E73C1">
        <w:t> </w:t>
      </w:r>
      <w:r w:rsidR="00C61996">
        <w:t>1</w:t>
      </w:r>
      <w:r w:rsidRPr="005C36C9" w:rsidR="00C61996">
        <w:rPr>
          <w:szCs w:val="26"/>
        </w:rPr>
        <w:t>–</w:t>
      </w:r>
      <w:r w:rsidR="00C61996">
        <w:rPr>
          <w:szCs w:val="26"/>
        </w:rPr>
        <w:t xml:space="preserve">3, </w:t>
      </w:r>
      <w:r w:rsidR="005A644D">
        <w:t>p</w:t>
      </w:r>
      <w:r w:rsidR="00931802">
        <w:t>p</w:t>
      </w:r>
      <w:r w:rsidR="005A644D">
        <w:t>. 218</w:t>
      </w:r>
      <w:r w:rsidRPr="005C36C9" w:rsidR="00931802">
        <w:rPr>
          <w:szCs w:val="26"/>
        </w:rPr>
        <w:t>–</w:t>
      </w:r>
      <w:r w:rsidR="00931802">
        <w:rPr>
          <w:szCs w:val="26"/>
        </w:rPr>
        <w:t>219</w:t>
      </w:r>
      <w:r w:rsidR="005A644D">
        <w:t xml:space="preserve"> [discussing circumstances where foreseeable risk makes a defendant’s conduct negligent].)</w:t>
      </w:r>
      <w:r w:rsidR="002F1F26">
        <w:t xml:space="preserve"> </w:t>
      </w:r>
    </w:p>
  </w:footnote>
  <w:footnote w:id="11">
    <w:p w:rsidR="00071D34" w:rsidP="000E2957" w14:paraId="42A06712" w14:textId="137DDC97">
      <w:pPr>
        <w:pStyle w:val="FootnoteText"/>
      </w:pPr>
      <w:r>
        <w:rPr>
          <w:rStyle w:val="FootnoteReference"/>
        </w:rPr>
        <w:footnoteRef/>
      </w:r>
      <w:r>
        <w:tab/>
        <w:t xml:space="preserve">We disapprove the following decisions to the extent they applied the </w:t>
      </w:r>
      <w:r>
        <w:rPr>
          <w:i/>
          <w:iCs/>
        </w:rPr>
        <w:t>Rowland</w:t>
      </w:r>
      <w:r>
        <w:t xml:space="preserve"> factors as an alternative source of duty </w:t>
      </w:r>
      <w:r w:rsidR="00E82C9E">
        <w:t>where defendant did not c</w:t>
      </w:r>
      <w:r w:rsidR="00A855D4">
        <w:t xml:space="preserve">reate the risk that </w:t>
      </w:r>
      <w:r w:rsidR="00BC747F">
        <w:t xml:space="preserve">resulted in </w:t>
      </w:r>
      <w:r w:rsidR="00A855D4">
        <w:t>plaintiff</w:t>
      </w:r>
      <w:r w:rsidR="00BC747F">
        <w:t>’s injuries</w:t>
      </w:r>
      <w:r>
        <w:t xml:space="preserve">:  </w:t>
      </w:r>
      <w:r w:rsidRPr="001D7449">
        <w:rPr>
          <w:i/>
          <w:iCs/>
          <w:szCs w:val="26"/>
        </w:rPr>
        <w:t>University of Southern California v. Superior Court</w:t>
      </w:r>
      <w:r w:rsidRPr="008A711C">
        <w:rPr>
          <w:szCs w:val="26"/>
        </w:rPr>
        <w:t>,</w:t>
      </w:r>
      <w:r>
        <w:rPr>
          <w:i/>
          <w:iCs/>
          <w:szCs w:val="26"/>
        </w:rPr>
        <w:t xml:space="preserve"> supra</w:t>
      </w:r>
      <w:r w:rsidRPr="008A711C">
        <w:rPr>
          <w:szCs w:val="26"/>
        </w:rPr>
        <w:t xml:space="preserve">, </w:t>
      </w:r>
      <w:r w:rsidRPr="001D7449">
        <w:rPr>
          <w:iCs/>
          <w:szCs w:val="26"/>
        </w:rPr>
        <w:t>30 Cal.App.5th 429</w:t>
      </w:r>
      <w:r>
        <w:rPr>
          <w:iCs/>
          <w:szCs w:val="26"/>
        </w:rPr>
        <w:t xml:space="preserve">; </w:t>
      </w:r>
      <w:r w:rsidRPr="002A7760">
        <w:rPr>
          <w:i/>
          <w:iCs/>
          <w:szCs w:val="26"/>
        </w:rPr>
        <w:t>Juarez v. Boy Scouts of America, Inc.</w:t>
      </w:r>
      <w:r w:rsidRPr="008A711C">
        <w:rPr>
          <w:szCs w:val="26"/>
        </w:rPr>
        <w:t>,</w:t>
      </w:r>
      <w:r>
        <w:rPr>
          <w:i/>
          <w:iCs/>
          <w:szCs w:val="26"/>
        </w:rPr>
        <w:t xml:space="preserve"> supra</w:t>
      </w:r>
      <w:r w:rsidRPr="008A711C">
        <w:rPr>
          <w:szCs w:val="26"/>
        </w:rPr>
        <w:t>,</w:t>
      </w:r>
      <w:r>
        <w:rPr>
          <w:i/>
          <w:iCs/>
          <w:szCs w:val="26"/>
        </w:rPr>
        <w:t xml:space="preserve"> </w:t>
      </w:r>
      <w:r w:rsidRPr="00640943">
        <w:rPr>
          <w:iCs/>
          <w:szCs w:val="26"/>
        </w:rPr>
        <w:t>81 Cal.App.4th 377</w:t>
      </w:r>
      <w:r>
        <w:rPr>
          <w:iCs/>
          <w:szCs w:val="26"/>
        </w:rPr>
        <w:t xml:space="preserve">; </w:t>
      </w:r>
      <w:r w:rsidRPr="00943183">
        <w:rPr>
          <w:i/>
          <w:iCs/>
          <w:szCs w:val="26"/>
        </w:rPr>
        <w:t>Adams</w:t>
      </w:r>
      <w:r w:rsidR="00A47237">
        <w:rPr>
          <w:i/>
          <w:iCs/>
          <w:szCs w:val="26"/>
        </w:rPr>
        <w:t xml:space="preserve"> v. City of Fremont</w:t>
      </w:r>
      <w:r w:rsidRPr="008A711C">
        <w:rPr>
          <w:szCs w:val="26"/>
        </w:rPr>
        <w:t>,</w:t>
      </w:r>
      <w:r>
        <w:rPr>
          <w:i/>
          <w:iCs/>
          <w:szCs w:val="26"/>
        </w:rPr>
        <w:t xml:space="preserve"> supra</w:t>
      </w:r>
      <w:r w:rsidRPr="008A711C">
        <w:rPr>
          <w:szCs w:val="26"/>
        </w:rPr>
        <w:t xml:space="preserve">, </w:t>
      </w:r>
      <w:r w:rsidRPr="00943183">
        <w:rPr>
          <w:iCs/>
          <w:szCs w:val="26"/>
        </w:rPr>
        <w:t>68 Cal.App.4th 243</w:t>
      </w:r>
      <w:r>
        <w:rPr>
          <w:iCs/>
          <w:szCs w:val="26"/>
        </w:rPr>
        <w:t xml:space="preserve">; </w:t>
      </w:r>
      <w:r w:rsidRPr="007D6606">
        <w:rPr>
          <w:i/>
          <w:iCs/>
          <w:szCs w:val="26"/>
        </w:rPr>
        <w:t>Titus</w:t>
      </w:r>
      <w:r w:rsidR="00A47237">
        <w:rPr>
          <w:i/>
          <w:iCs/>
          <w:szCs w:val="26"/>
        </w:rPr>
        <w:t xml:space="preserve"> v. </w:t>
      </w:r>
      <w:r w:rsidRPr="007D6606" w:rsidR="00A47237">
        <w:rPr>
          <w:i/>
          <w:iCs/>
          <w:szCs w:val="26"/>
        </w:rPr>
        <w:t>Canyon Lake Property Owners Assn.</w:t>
      </w:r>
      <w:r w:rsidRPr="008A711C">
        <w:rPr>
          <w:szCs w:val="26"/>
        </w:rPr>
        <w:t>,</w:t>
      </w:r>
      <w:r>
        <w:rPr>
          <w:i/>
          <w:iCs/>
          <w:szCs w:val="26"/>
        </w:rPr>
        <w:t xml:space="preserve"> supra</w:t>
      </w:r>
      <w:r w:rsidRPr="008A711C">
        <w:rPr>
          <w:szCs w:val="26"/>
        </w:rPr>
        <w:t>,</w:t>
      </w:r>
      <w:r w:rsidRPr="007D6606">
        <w:rPr>
          <w:iCs/>
          <w:szCs w:val="26"/>
        </w:rPr>
        <w:t xml:space="preserve"> 118 Cal.App.4th 906</w:t>
      </w:r>
      <w:r>
        <w:rPr>
          <w:iCs/>
          <w:szCs w:val="26"/>
        </w:rPr>
        <w:t xml:space="preserve">; </w:t>
      </w:r>
      <w:r>
        <w:rPr>
          <w:i/>
          <w:szCs w:val="26"/>
        </w:rPr>
        <w:t>Doe 1 v. City of Murrieta</w:t>
      </w:r>
      <w:r>
        <w:rPr>
          <w:iCs/>
          <w:szCs w:val="26"/>
        </w:rPr>
        <w:t xml:space="preserve"> (2002) 102 Cal.App.4th 899.</w:t>
      </w:r>
    </w:p>
  </w:footnote>
  <w:footnote w:id="12">
    <w:p w:rsidR="007462EB" w:rsidP="007462EB" w14:paraId="2CD55A11" w14:textId="77777777">
      <w:pPr>
        <w:pStyle w:val="FootnoteText"/>
        <w:rPr>
          <w:szCs w:val="27"/>
        </w:rPr>
      </w:pPr>
      <w:r>
        <w:rPr>
          <w:rStyle w:val="FootnoteReference"/>
        </w:rPr>
        <w:footnoteRef/>
      </w:r>
      <w:r>
        <w:t xml:space="preserve"> </w:t>
      </w:r>
      <w:r>
        <w:tab/>
      </w:r>
      <w:r>
        <w:rPr>
          <w:szCs w:val="27"/>
        </w:rPr>
        <w:t>All further statutory references are to the Civil Code.</w:t>
      </w:r>
    </w:p>
  </w:footnote>
  <w:footnote w:id="13">
    <w:p w:rsidR="007462EB" w:rsidP="007462EB" w14:paraId="0FED091B" w14:textId="77777777">
      <w:pPr>
        <w:pStyle w:val="FootnoteText"/>
        <w:rPr>
          <w:szCs w:val="27"/>
        </w:rPr>
      </w:pPr>
      <w:r>
        <w:rPr>
          <w:rStyle w:val="FootnoteReference"/>
        </w:rPr>
        <w:footnoteRef/>
      </w:r>
      <w:r>
        <w:t xml:space="preserve"> </w:t>
      </w:r>
      <w:r>
        <w:tab/>
      </w:r>
      <w:r>
        <w:rPr>
          <w:i/>
          <w:iCs/>
          <w:szCs w:val="27"/>
        </w:rPr>
        <w:t xml:space="preserve">Rowland </w:t>
      </w:r>
      <w:r>
        <w:rPr>
          <w:szCs w:val="27"/>
        </w:rPr>
        <w:t>identified a list of such considerations that would often be relevant.  (</w:t>
      </w:r>
      <w:r>
        <w:rPr>
          <w:i/>
          <w:iCs/>
          <w:szCs w:val="27"/>
        </w:rPr>
        <w:t>Rowland</w:t>
      </w:r>
      <w:r>
        <w:rPr>
          <w:szCs w:val="27"/>
        </w:rPr>
        <w:t xml:space="preserve">, </w:t>
      </w:r>
      <w:r>
        <w:rPr>
          <w:i/>
          <w:iCs/>
          <w:szCs w:val="27"/>
        </w:rPr>
        <w:t>supra</w:t>
      </w:r>
      <w:r>
        <w:rPr>
          <w:szCs w:val="27"/>
        </w:rPr>
        <w:t xml:space="preserve">, </w:t>
      </w:r>
      <w:r>
        <w:t xml:space="preserve">69 Cal.2d </w:t>
      </w:r>
      <w:r>
        <w:rPr>
          <w:szCs w:val="27"/>
        </w:rPr>
        <w:t xml:space="preserve">at pp. 112–113.)  We have recognized, though, that the “inquiry hinges not on mere rote application of the[] separate so-called </w:t>
      </w:r>
      <w:r>
        <w:rPr>
          <w:i/>
          <w:iCs/>
          <w:szCs w:val="27"/>
        </w:rPr>
        <w:t>Rowland</w:t>
      </w:r>
      <w:r>
        <w:rPr>
          <w:szCs w:val="27"/>
        </w:rPr>
        <w:t xml:space="preserve"> factors, but instead on a comprehensive look at the ‘ “sum total” ’ of the policy considerations at play in the context before us.”  (</w:t>
      </w:r>
      <w:r>
        <w:rPr>
          <w:i/>
          <w:iCs/>
          <w:szCs w:val="27"/>
        </w:rPr>
        <w:t>SoCal Gas</w:t>
      </w:r>
      <w:r>
        <w:rPr>
          <w:szCs w:val="27"/>
        </w:rPr>
        <w:t xml:space="preserve">, </w:t>
      </w:r>
      <w:r>
        <w:rPr>
          <w:i/>
          <w:iCs/>
          <w:szCs w:val="27"/>
        </w:rPr>
        <w:t>supra</w:t>
      </w:r>
      <w:r>
        <w:rPr>
          <w:szCs w:val="27"/>
        </w:rPr>
        <w:t xml:space="preserve">, 7 Cal.5th 391, 399.)  </w:t>
      </w:r>
    </w:p>
  </w:footnote>
  <w:footnote w:id="14">
    <w:p w:rsidR="007462EB" w:rsidP="007462EB" w14:paraId="13831CDD" w14:textId="77777777">
      <w:pPr>
        <w:pStyle w:val="FootnoteText"/>
        <w:rPr>
          <w:szCs w:val="27"/>
        </w:rPr>
      </w:pPr>
      <w:r>
        <w:rPr>
          <w:rStyle w:val="FootnoteReference"/>
        </w:rPr>
        <w:footnoteRef/>
      </w:r>
      <w:r>
        <w:t xml:space="preserve"> </w:t>
      </w:r>
      <w:r>
        <w:tab/>
      </w:r>
      <w:r>
        <w:rPr>
          <w:szCs w:val="27"/>
        </w:rPr>
        <w:t xml:space="preserve">Courts may have sometimes suggested that a “special relationship” is relevant when defendant is engaged in “nonfeasance.”  (See maj. opn., </w:t>
      </w:r>
      <w:r>
        <w:rPr>
          <w:i/>
          <w:iCs/>
          <w:szCs w:val="27"/>
        </w:rPr>
        <w:t>ante</w:t>
      </w:r>
      <w:r>
        <w:rPr>
          <w:szCs w:val="27"/>
        </w:rPr>
        <w:t>, at pp. 9–10 &amp; fn. 6.)  But our reference today to the confused and confusing “</w:t>
      </w:r>
      <w:r>
        <w:rPr>
          <w:i/>
          <w:iCs/>
          <w:szCs w:val="27"/>
        </w:rPr>
        <w:t>mis</w:t>
      </w:r>
      <w:r>
        <w:rPr>
          <w:szCs w:val="27"/>
        </w:rPr>
        <w:t>feasance”/“</w:t>
      </w:r>
      <w:r>
        <w:rPr>
          <w:i/>
          <w:iCs/>
          <w:szCs w:val="27"/>
        </w:rPr>
        <w:t>non</w:t>
      </w:r>
      <w:r>
        <w:rPr>
          <w:szCs w:val="27"/>
        </w:rPr>
        <w:t xml:space="preserve">feasance” distinction is just an acknowledgement of a now outmoded oddity.  (See, e.g., </w:t>
      </w:r>
      <w:r>
        <w:rPr>
          <w:i/>
          <w:iCs/>
          <w:szCs w:val="27"/>
        </w:rPr>
        <w:t>Kesner</w:t>
      </w:r>
      <w:r>
        <w:rPr>
          <w:szCs w:val="27"/>
        </w:rPr>
        <w:t xml:space="preserve">, </w:t>
      </w:r>
      <w:r>
        <w:rPr>
          <w:i/>
          <w:iCs/>
          <w:szCs w:val="27"/>
        </w:rPr>
        <w:t>supra</w:t>
      </w:r>
      <w:r>
        <w:rPr>
          <w:szCs w:val="27"/>
        </w:rPr>
        <w:t xml:space="preserve">, </w:t>
      </w:r>
      <w:r>
        <w:t>1 Cal.5th</w:t>
      </w:r>
      <w:r>
        <w:rPr>
          <w:szCs w:val="27"/>
        </w:rPr>
        <w:t xml:space="preserve"> at p. 1163; see also </w:t>
      </w:r>
      <w:r>
        <w:rPr>
          <w:i/>
          <w:szCs w:val="27"/>
        </w:rPr>
        <w:t>Sommer v. Federal Signal Corp.</w:t>
      </w:r>
      <w:r>
        <w:rPr>
          <w:szCs w:val="27"/>
        </w:rPr>
        <w:t xml:space="preserve"> (1992) 583 N.Y.S.2d 957, 961–962; Rest.3d, </w:t>
      </w:r>
      <w:r>
        <w:rPr>
          <w:i/>
          <w:iCs/>
          <w:szCs w:val="27"/>
        </w:rPr>
        <w:t>supra</w:t>
      </w:r>
      <w:r>
        <w:rPr>
          <w:szCs w:val="27"/>
        </w:rPr>
        <w:t>,</w:t>
      </w:r>
      <w:r>
        <w:rPr>
          <w:i/>
          <w:iCs/>
          <w:szCs w:val="27"/>
        </w:rPr>
        <w:t xml:space="preserve"> </w:t>
      </w:r>
      <w:r>
        <w:rPr>
          <w:szCs w:val="27"/>
        </w:rPr>
        <w:t xml:space="preserve">§ 37, com. c.; Abraham &amp; Kendrick, </w:t>
      </w:r>
      <w:r>
        <w:rPr>
          <w:i/>
          <w:iCs/>
          <w:szCs w:val="27"/>
        </w:rPr>
        <w:t>There’s No Such Thing as Affirmative Duty</w:t>
      </w:r>
      <w:r>
        <w:rPr>
          <w:szCs w:val="27"/>
        </w:rPr>
        <w:t xml:space="preserve"> (2019) 104 Iowa L.Rev. 1649, 1682–1685.)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527" w14:paraId="4B178E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D34" w14:paraId="673A0007" w14:textId="0530E94F">
    <w:pPr>
      <w:pStyle w:val="Header"/>
    </w:pPr>
    <w:r w:rsidRPr="001804C2">
      <w:rPr>
        <w:caps/>
      </w:rPr>
      <w:t>Brown</w:t>
    </w:r>
    <w:r>
      <w:t xml:space="preserve"> v. </w:t>
    </w:r>
    <w:r w:rsidRPr="001804C2">
      <w:rPr>
        <w:caps/>
      </w:rPr>
      <w:t>USA Taekwondo</w:t>
    </w:r>
  </w:p>
  <w:p w:rsidR="00071D34" w14:paraId="3A995CBF" w14:textId="51F7CABE">
    <w:pPr>
      <w:pStyle w:val="Header"/>
    </w:pPr>
    <w:r>
      <w:t>Opinion of the Court by Kruger, J.</w:t>
    </w:r>
  </w:p>
  <w:p w:rsidR="00071D34" w14:paraId="7E25BC6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527" w14:paraId="7F0D3A2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62EB" w14:paraId="1732CDC3" w14:textId="77777777">
    <w:pPr>
      <w:pStyle w:val="Header"/>
    </w:pPr>
    <w:r w:rsidRPr="001804C2">
      <w:rPr>
        <w:caps/>
      </w:rPr>
      <w:t>Brown</w:t>
    </w:r>
    <w:r>
      <w:t xml:space="preserve"> v. </w:t>
    </w:r>
    <w:r w:rsidRPr="001804C2">
      <w:rPr>
        <w:caps/>
      </w:rPr>
      <w:t>USA Taekwondo</w:t>
    </w:r>
  </w:p>
  <w:p w:rsidR="007462EB" w14:paraId="130C80AB" w14:textId="231B4292">
    <w:pPr>
      <w:pStyle w:val="Header"/>
    </w:pPr>
    <w:r>
      <w:t>Cuéllar</w:t>
    </w:r>
    <w:r>
      <w:t>, J.</w:t>
    </w:r>
    <w:r>
      <w:t>, concurring</w:t>
    </w:r>
  </w:p>
  <w:p w:rsidR="007462EB" w14:paraId="61B0D6E4"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513B" w14:paraId="0FD34F46"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1CD" w:rsidRPr="003301CD" w:rsidP="003301CD" w14:paraId="20A6D4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C74A0"/>
    <w:multiLevelType w:val="hybridMultilevel"/>
    <w:tmpl w:val="1DB62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BF6AC7"/>
    <w:multiLevelType w:val="hybridMultilevel"/>
    <w:tmpl w:val="3E22F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A55233"/>
    <w:multiLevelType w:val="hybridMultilevel"/>
    <w:tmpl w:val="5BC2A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4D4A36"/>
    <w:multiLevelType w:val="hybridMultilevel"/>
    <w:tmpl w:val="D21030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4212D4F"/>
    <w:multiLevelType w:val="hybridMultilevel"/>
    <w:tmpl w:val="CC02E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C919CB"/>
    <w:multiLevelType w:val="hybridMultilevel"/>
    <w:tmpl w:val="03264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125820"/>
    <w:multiLevelType w:val="hybridMultilevel"/>
    <w:tmpl w:val="3F8C4B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E1700D6"/>
    <w:multiLevelType w:val="hybridMultilevel"/>
    <w:tmpl w:val="4968924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44C3666"/>
    <w:multiLevelType w:val="hybridMultilevel"/>
    <w:tmpl w:val="13700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4"/>
  </w:num>
  <w:num w:numId="6">
    <w:abstractNumId w:val="1"/>
  </w:num>
  <w:num w:numId="7">
    <w:abstractNumId w:val="0"/>
  </w:num>
  <w:num w:numId="8">
    <w:abstractNumId w:val="2"/>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26"/>
    <w:rsid w:val="000000F6"/>
    <w:rsid w:val="00000144"/>
    <w:rsid w:val="00000319"/>
    <w:rsid w:val="00000670"/>
    <w:rsid w:val="000006A3"/>
    <w:rsid w:val="00000BF6"/>
    <w:rsid w:val="00002680"/>
    <w:rsid w:val="00002C60"/>
    <w:rsid w:val="00003160"/>
    <w:rsid w:val="000032EA"/>
    <w:rsid w:val="000038AB"/>
    <w:rsid w:val="00003E8F"/>
    <w:rsid w:val="0000474B"/>
    <w:rsid w:val="00004C88"/>
    <w:rsid w:val="00004D0C"/>
    <w:rsid w:val="00005571"/>
    <w:rsid w:val="0000593E"/>
    <w:rsid w:val="00005A85"/>
    <w:rsid w:val="00005C58"/>
    <w:rsid w:val="000061A0"/>
    <w:rsid w:val="0000688C"/>
    <w:rsid w:val="000068F7"/>
    <w:rsid w:val="00006A30"/>
    <w:rsid w:val="00006C74"/>
    <w:rsid w:val="00010311"/>
    <w:rsid w:val="00010744"/>
    <w:rsid w:val="00010973"/>
    <w:rsid w:val="00010E9E"/>
    <w:rsid w:val="00011319"/>
    <w:rsid w:val="000117AA"/>
    <w:rsid w:val="00011876"/>
    <w:rsid w:val="00012C81"/>
    <w:rsid w:val="00012D01"/>
    <w:rsid w:val="00012EFE"/>
    <w:rsid w:val="00012F5C"/>
    <w:rsid w:val="00013118"/>
    <w:rsid w:val="000133DD"/>
    <w:rsid w:val="00013568"/>
    <w:rsid w:val="0001363C"/>
    <w:rsid w:val="000137B5"/>
    <w:rsid w:val="0001407E"/>
    <w:rsid w:val="00014162"/>
    <w:rsid w:val="000143D2"/>
    <w:rsid w:val="00014859"/>
    <w:rsid w:val="00014A5D"/>
    <w:rsid w:val="00014FB9"/>
    <w:rsid w:val="0001510A"/>
    <w:rsid w:val="00015835"/>
    <w:rsid w:val="00015949"/>
    <w:rsid w:val="000161D9"/>
    <w:rsid w:val="00016378"/>
    <w:rsid w:val="00016C34"/>
    <w:rsid w:val="00016EB0"/>
    <w:rsid w:val="00016FC3"/>
    <w:rsid w:val="000174FC"/>
    <w:rsid w:val="00017E6E"/>
    <w:rsid w:val="000200BF"/>
    <w:rsid w:val="00020500"/>
    <w:rsid w:val="00020936"/>
    <w:rsid w:val="00020E7D"/>
    <w:rsid w:val="00021114"/>
    <w:rsid w:val="000212D1"/>
    <w:rsid w:val="000213E6"/>
    <w:rsid w:val="00021CA9"/>
    <w:rsid w:val="00021CCA"/>
    <w:rsid w:val="000220C5"/>
    <w:rsid w:val="00022176"/>
    <w:rsid w:val="00022775"/>
    <w:rsid w:val="000232E4"/>
    <w:rsid w:val="00023C5C"/>
    <w:rsid w:val="00024107"/>
    <w:rsid w:val="00024120"/>
    <w:rsid w:val="0002419E"/>
    <w:rsid w:val="00024E5A"/>
    <w:rsid w:val="00024F2D"/>
    <w:rsid w:val="0002526C"/>
    <w:rsid w:val="000254CF"/>
    <w:rsid w:val="00025607"/>
    <w:rsid w:val="000258E6"/>
    <w:rsid w:val="000259CF"/>
    <w:rsid w:val="00025BCB"/>
    <w:rsid w:val="00025FFE"/>
    <w:rsid w:val="000260AA"/>
    <w:rsid w:val="00026C2B"/>
    <w:rsid w:val="00026F95"/>
    <w:rsid w:val="000277C5"/>
    <w:rsid w:val="0002780D"/>
    <w:rsid w:val="00027984"/>
    <w:rsid w:val="000279F8"/>
    <w:rsid w:val="00027D98"/>
    <w:rsid w:val="000302BA"/>
    <w:rsid w:val="000303B8"/>
    <w:rsid w:val="00030598"/>
    <w:rsid w:val="00030653"/>
    <w:rsid w:val="000307B6"/>
    <w:rsid w:val="000309F8"/>
    <w:rsid w:val="00030D07"/>
    <w:rsid w:val="000311B8"/>
    <w:rsid w:val="00031245"/>
    <w:rsid w:val="00031565"/>
    <w:rsid w:val="00031A02"/>
    <w:rsid w:val="000326A3"/>
    <w:rsid w:val="0003277A"/>
    <w:rsid w:val="00032CD9"/>
    <w:rsid w:val="00033167"/>
    <w:rsid w:val="000332B3"/>
    <w:rsid w:val="000339B6"/>
    <w:rsid w:val="00033BF6"/>
    <w:rsid w:val="00033D0D"/>
    <w:rsid w:val="00034181"/>
    <w:rsid w:val="00034E09"/>
    <w:rsid w:val="00035000"/>
    <w:rsid w:val="0003517F"/>
    <w:rsid w:val="000355DA"/>
    <w:rsid w:val="00035B85"/>
    <w:rsid w:val="00035BDB"/>
    <w:rsid w:val="00035EBE"/>
    <w:rsid w:val="00035FC9"/>
    <w:rsid w:val="000364DE"/>
    <w:rsid w:val="00036637"/>
    <w:rsid w:val="00036729"/>
    <w:rsid w:val="00037104"/>
    <w:rsid w:val="00037669"/>
    <w:rsid w:val="00037DB3"/>
    <w:rsid w:val="000402A9"/>
    <w:rsid w:val="00040557"/>
    <w:rsid w:val="00040B04"/>
    <w:rsid w:val="00040CCD"/>
    <w:rsid w:val="00041090"/>
    <w:rsid w:val="0004121A"/>
    <w:rsid w:val="0004134E"/>
    <w:rsid w:val="000414D7"/>
    <w:rsid w:val="00041B1E"/>
    <w:rsid w:val="0004238D"/>
    <w:rsid w:val="000430B4"/>
    <w:rsid w:val="0004390E"/>
    <w:rsid w:val="000439AA"/>
    <w:rsid w:val="00043D7D"/>
    <w:rsid w:val="00043EBB"/>
    <w:rsid w:val="00043F92"/>
    <w:rsid w:val="0004417D"/>
    <w:rsid w:val="00044ACF"/>
    <w:rsid w:val="00044D9D"/>
    <w:rsid w:val="000450E3"/>
    <w:rsid w:val="000451E7"/>
    <w:rsid w:val="0004526F"/>
    <w:rsid w:val="0004570C"/>
    <w:rsid w:val="00045893"/>
    <w:rsid w:val="000458B9"/>
    <w:rsid w:val="000463A6"/>
    <w:rsid w:val="00046BE5"/>
    <w:rsid w:val="000478A8"/>
    <w:rsid w:val="00047908"/>
    <w:rsid w:val="00047B27"/>
    <w:rsid w:val="00047CB4"/>
    <w:rsid w:val="00047F91"/>
    <w:rsid w:val="000509D1"/>
    <w:rsid w:val="00050AB7"/>
    <w:rsid w:val="00050CB6"/>
    <w:rsid w:val="00050EE8"/>
    <w:rsid w:val="0005100F"/>
    <w:rsid w:val="000510B1"/>
    <w:rsid w:val="0005186D"/>
    <w:rsid w:val="0005188E"/>
    <w:rsid w:val="00051895"/>
    <w:rsid w:val="000518B8"/>
    <w:rsid w:val="00051D17"/>
    <w:rsid w:val="000520F2"/>
    <w:rsid w:val="0005241A"/>
    <w:rsid w:val="0005250F"/>
    <w:rsid w:val="00052552"/>
    <w:rsid w:val="00052647"/>
    <w:rsid w:val="000529C3"/>
    <w:rsid w:val="00052AFD"/>
    <w:rsid w:val="0005372E"/>
    <w:rsid w:val="000538A2"/>
    <w:rsid w:val="00053F7B"/>
    <w:rsid w:val="000540A6"/>
    <w:rsid w:val="000543E0"/>
    <w:rsid w:val="0005476A"/>
    <w:rsid w:val="00054FAE"/>
    <w:rsid w:val="00055164"/>
    <w:rsid w:val="0005541A"/>
    <w:rsid w:val="00055A9F"/>
    <w:rsid w:val="00056096"/>
    <w:rsid w:val="000561C3"/>
    <w:rsid w:val="0005667F"/>
    <w:rsid w:val="000577C4"/>
    <w:rsid w:val="000578EC"/>
    <w:rsid w:val="00060542"/>
    <w:rsid w:val="0006057B"/>
    <w:rsid w:val="00060732"/>
    <w:rsid w:val="000609D0"/>
    <w:rsid w:val="00060A4C"/>
    <w:rsid w:val="00060B0F"/>
    <w:rsid w:val="00060BFD"/>
    <w:rsid w:val="00060C09"/>
    <w:rsid w:val="00061112"/>
    <w:rsid w:val="00061526"/>
    <w:rsid w:val="0006156B"/>
    <w:rsid w:val="00061661"/>
    <w:rsid w:val="0006183E"/>
    <w:rsid w:val="00061B26"/>
    <w:rsid w:val="00061B7B"/>
    <w:rsid w:val="00061BCE"/>
    <w:rsid w:val="00061E3A"/>
    <w:rsid w:val="00062579"/>
    <w:rsid w:val="0006299E"/>
    <w:rsid w:val="000629AD"/>
    <w:rsid w:val="000629F1"/>
    <w:rsid w:val="00062C1E"/>
    <w:rsid w:val="00062F48"/>
    <w:rsid w:val="000631E9"/>
    <w:rsid w:val="0006327C"/>
    <w:rsid w:val="000635A0"/>
    <w:rsid w:val="0006379B"/>
    <w:rsid w:val="00063B42"/>
    <w:rsid w:val="00063B8A"/>
    <w:rsid w:val="0006406D"/>
    <w:rsid w:val="00064099"/>
    <w:rsid w:val="00064231"/>
    <w:rsid w:val="00065408"/>
    <w:rsid w:val="00065E8E"/>
    <w:rsid w:val="000662A9"/>
    <w:rsid w:val="00066397"/>
    <w:rsid w:val="000668DE"/>
    <w:rsid w:val="0006706D"/>
    <w:rsid w:val="00067161"/>
    <w:rsid w:val="00067297"/>
    <w:rsid w:val="0006761E"/>
    <w:rsid w:val="000677C2"/>
    <w:rsid w:val="00067F84"/>
    <w:rsid w:val="0007018B"/>
    <w:rsid w:val="000704F6"/>
    <w:rsid w:val="00070A46"/>
    <w:rsid w:val="00071660"/>
    <w:rsid w:val="000716F2"/>
    <w:rsid w:val="00071743"/>
    <w:rsid w:val="000718F0"/>
    <w:rsid w:val="00071A43"/>
    <w:rsid w:val="00071D34"/>
    <w:rsid w:val="00071F0F"/>
    <w:rsid w:val="0007211A"/>
    <w:rsid w:val="00072514"/>
    <w:rsid w:val="000725B3"/>
    <w:rsid w:val="000728C6"/>
    <w:rsid w:val="00074319"/>
    <w:rsid w:val="0007452F"/>
    <w:rsid w:val="00074E85"/>
    <w:rsid w:val="00074EC1"/>
    <w:rsid w:val="0007540A"/>
    <w:rsid w:val="000760E1"/>
    <w:rsid w:val="00076209"/>
    <w:rsid w:val="0007637A"/>
    <w:rsid w:val="00076CA8"/>
    <w:rsid w:val="000777DA"/>
    <w:rsid w:val="00077BF2"/>
    <w:rsid w:val="00077E3F"/>
    <w:rsid w:val="00077FDA"/>
    <w:rsid w:val="000811EB"/>
    <w:rsid w:val="000812E4"/>
    <w:rsid w:val="00081321"/>
    <w:rsid w:val="00081375"/>
    <w:rsid w:val="00081FDE"/>
    <w:rsid w:val="000822E5"/>
    <w:rsid w:val="00082D85"/>
    <w:rsid w:val="00082EA6"/>
    <w:rsid w:val="00083224"/>
    <w:rsid w:val="000835E3"/>
    <w:rsid w:val="00083A77"/>
    <w:rsid w:val="00083DB3"/>
    <w:rsid w:val="00083EBB"/>
    <w:rsid w:val="00083F69"/>
    <w:rsid w:val="00084DF5"/>
    <w:rsid w:val="00084EEA"/>
    <w:rsid w:val="00084F0A"/>
    <w:rsid w:val="000851B2"/>
    <w:rsid w:val="00085280"/>
    <w:rsid w:val="00085696"/>
    <w:rsid w:val="00085897"/>
    <w:rsid w:val="00085DAB"/>
    <w:rsid w:val="00085EDD"/>
    <w:rsid w:val="0008663A"/>
    <w:rsid w:val="000869CB"/>
    <w:rsid w:val="00087094"/>
    <w:rsid w:val="000872E9"/>
    <w:rsid w:val="0008762A"/>
    <w:rsid w:val="00087EFF"/>
    <w:rsid w:val="00087FC6"/>
    <w:rsid w:val="000900DD"/>
    <w:rsid w:val="00090C8A"/>
    <w:rsid w:val="000911D9"/>
    <w:rsid w:val="000912FE"/>
    <w:rsid w:val="00091408"/>
    <w:rsid w:val="0009205D"/>
    <w:rsid w:val="000920F8"/>
    <w:rsid w:val="00092365"/>
    <w:rsid w:val="00092F72"/>
    <w:rsid w:val="000934EB"/>
    <w:rsid w:val="000935D5"/>
    <w:rsid w:val="00093C43"/>
    <w:rsid w:val="00093DD4"/>
    <w:rsid w:val="00093EB9"/>
    <w:rsid w:val="000943E0"/>
    <w:rsid w:val="0009487A"/>
    <w:rsid w:val="00094A3E"/>
    <w:rsid w:val="0009505E"/>
    <w:rsid w:val="00095184"/>
    <w:rsid w:val="0009523F"/>
    <w:rsid w:val="000953EF"/>
    <w:rsid w:val="00095CB8"/>
    <w:rsid w:val="000960F0"/>
    <w:rsid w:val="000964B6"/>
    <w:rsid w:val="0009682C"/>
    <w:rsid w:val="000968AC"/>
    <w:rsid w:val="00096C44"/>
    <w:rsid w:val="00096E1E"/>
    <w:rsid w:val="00096FC2"/>
    <w:rsid w:val="0009710A"/>
    <w:rsid w:val="00097299"/>
    <w:rsid w:val="00097391"/>
    <w:rsid w:val="0009768A"/>
    <w:rsid w:val="000976BF"/>
    <w:rsid w:val="00097990"/>
    <w:rsid w:val="00097F75"/>
    <w:rsid w:val="000A0648"/>
    <w:rsid w:val="000A08F0"/>
    <w:rsid w:val="000A0E52"/>
    <w:rsid w:val="000A106C"/>
    <w:rsid w:val="000A136F"/>
    <w:rsid w:val="000A14BE"/>
    <w:rsid w:val="000A1C8E"/>
    <w:rsid w:val="000A204E"/>
    <w:rsid w:val="000A242D"/>
    <w:rsid w:val="000A250C"/>
    <w:rsid w:val="000A2B9F"/>
    <w:rsid w:val="000A3379"/>
    <w:rsid w:val="000A35B9"/>
    <w:rsid w:val="000A3A35"/>
    <w:rsid w:val="000A459A"/>
    <w:rsid w:val="000A45B0"/>
    <w:rsid w:val="000A4B12"/>
    <w:rsid w:val="000A4B3B"/>
    <w:rsid w:val="000A4CA7"/>
    <w:rsid w:val="000A4F06"/>
    <w:rsid w:val="000A5633"/>
    <w:rsid w:val="000A5EF5"/>
    <w:rsid w:val="000A70A5"/>
    <w:rsid w:val="000B0222"/>
    <w:rsid w:val="000B038F"/>
    <w:rsid w:val="000B08DC"/>
    <w:rsid w:val="000B0CBC"/>
    <w:rsid w:val="000B0E3E"/>
    <w:rsid w:val="000B15FB"/>
    <w:rsid w:val="000B2158"/>
    <w:rsid w:val="000B2346"/>
    <w:rsid w:val="000B2409"/>
    <w:rsid w:val="000B255A"/>
    <w:rsid w:val="000B28F7"/>
    <w:rsid w:val="000B2A87"/>
    <w:rsid w:val="000B2AD0"/>
    <w:rsid w:val="000B2B67"/>
    <w:rsid w:val="000B2E69"/>
    <w:rsid w:val="000B397B"/>
    <w:rsid w:val="000B3C29"/>
    <w:rsid w:val="000B3D94"/>
    <w:rsid w:val="000B3EB1"/>
    <w:rsid w:val="000B4680"/>
    <w:rsid w:val="000B4CB0"/>
    <w:rsid w:val="000B5505"/>
    <w:rsid w:val="000B5540"/>
    <w:rsid w:val="000B56C7"/>
    <w:rsid w:val="000B5897"/>
    <w:rsid w:val="000B5B7A"/>
    <w:rsid w:val="000B60B7"/>
    <w:rsid w:val="000B6D9A"/>
    <w:rsid w:val="000B711F"/>
    <w:rsid w:val="000B729C"/>
    <w:rsid w:val="000B74FB"/>
    <w:rsid w:val="000B7738"/>
    <w:rsid w:val="000C072E"/>
    <w:rsid w:val="000C07DF"/>
    <w:rsid w:val="000C0ADD"/>
    <w:rsid w:val="000C0F9B"/>
    <w:rsid w:val="000C141C"/>
    <w:rsid w:val="000C14D2"/>
    <w:rsid w:val="000C20F3"/>
    <w:rsid w:val="000C24F5"/>
    <w:rsid w:val="000C280A"/>
    <w:rsid w:val="000C3272"/>
    <w:rsid w:val="000C3323"/>
    <w:rsid w:val="000C3368"/>
    <w:rsid w:val="000C3590"/>
    <w:rsid w:val="000C35C1"/>
    <w:rsid w:val="000C37E3"/>
    <w:rsid w:val="000C4359"/>
    <w:rsid w:val="000C443C"/>
    <w:rsid w:val="000C4546"/>
    <w:rsid w:val="000C4C74"/>
    <w:rsid w:val="000C5031"/>
    <w:rsid w:val="000C5676"/>
    <w:rsid w:val="000C6E1B"/>
    <w:rsid w:val="000C7308"/>
    <w:rsid w:val="000C7C24"/>
    <w:rsid w:val="000C7F69"/>
    <w:rsid w:val="000D00C5"/>
    <w:rsid w:val="000D0C79"/>
    <w:rsid w:val="000D0EE1"/>
    <w:rsid w:val="000D0F5E"/>
    <w:rsid w:val="000D14AB"/>
    <w:rsid w:val="000D1862"/>
    <w:rsid w:val="000D1C7E"/>
    <w:rsid w:val="000D24F7"/>
    <w:rsid w:val="000D285B"/>
    <w:rsid w:val="000D347C"/>
    <w:rsid w:val="000D34F3"/>
    <w:rsid w:val="000D3674"/>
    <w:rsid w:val="000D449F"/>
    <w:rsid w:val="000D4527"/>
    <w:rsid w:val="000D507D"/>
    <w:rsid w:val="000D56B6"/>
    <w:rsid w:val="000D58CD"/>
    <w:rsid w:val="000D59FE"/>
    <w:rsid w:val="000D5DC2"/>
    <w:rsid w:val="000D61A5"/>
    <w:rsid w:val="000D631D"/>
    <w:rsid w:val="000D6831"/>
    <w:rsid w:val="000D6938"/>
    <w:rsid w:val="000D6C5B"/>
    <w:rsid w:val="000D6F42"/>
    <w:rsid w:val="000D72EA"/>
    <w:rsid w:val="000D7AC4"/>
    <w:rsid w:val="000D7E56"/>
    <w:rsid w:val="000E0041"/>
    <w:rsid w:val="000E03C5"/>
    <w:rsid w:val="000E05B7"/>
    <w:rsid w:val="000E0810"/>
    <w:rsid w:val="000E0CCE"/>
    <w:rsid w:val="000E129B"/>
    <w:rsid w:val="000E1371"/>
    <w:rsid w:val="000E14B5"/>
    <w:rsid w:val="000E1786"/>
    <w:rsid w:val="000E1823"/>
    <w:rsid w:val="000E185B"/>
    <w:rsid w:val="000E1B2E"/>
    <w:rsid w:val="000E2957"/>
    <w:rsid w:val="000E2D65"/>
    <w:rsid w:val="000E2FDC"/>
    <w:rsid w:val="000E32A9"/>
    <w:rsid w:val="000E3555"/>
    <w:rsid w:val="000E3A9F"/>
    <w:rsid w:val="000E3BD0"/>
    <w:rsid w:val="000E3BDD"/>
    <w:rsid w:val="000E44BB"/>
    <w:rsid w:val="000E48F0"/>
    <w:rsid w:val="000E49ED"/>
    <w:rsid w:val="000E4AC5"/>
    <w:rsid w:val="000E4DED"/>
    <w:rsid w:val="000E5710"/>
    <w:rsid w:val="000E5F51"/>
    <w:rsid w:val="000E61FB"/>
    <w:rsid w:val="000E6272"/>
    <w:rsid w:val="000E72F3"/>
    <w:rsid w:val="000E768C"/>
    <w:rsid w:val="000E77F7"/>
    <w:rsid w:val="000E7EF5"/>
    <w:rsid w:val="000E7FE6"/>
    <w:rsid w:val="000F07E2"/>
    <w:rsid w:val="000F0915"/>
    <w:rsid w:val="000F0961"/>
    <w:rsid w:val="000F09D0"/>
    <w:rsid w:val="000F0B45"/>
    <w:rsid w:val="000F0C0D"/>
    <w:rsid w:val="000F0F4F"/>
    <w:rsid w:val="000F10EC"/>
    <w:rsid w:val="000F1403"/>
    <w:rsid w:val="000F1D87"/>
    <w:rsid w:val="000F339D"/>
    <w:rsid w:val="000F381E"/>
    <w:rsid w:val="000F3B4F"/>
    <w:rsid w:val="000F412E"/>
    <w:rsid w:val="000F5410"/>
    <w:rsid w:val="000F596C"/>
    <w:rsid w:val="000F5B81"/>
    <w:rsid w:val="000F6702"/>
    <w:rsid w:val="000F711C"/>
    <w:rsid w:val="000F78E2"/>
    <w:rsid w:val="000F7ADC"/>
    <w:rsid w:val="000F7FAA"/>
    <w:rsid w:val="00100454"/>
    <w:rsid w:val="001008B3"/>
    <w:rsid w:val="00100D67"/>
    <w:rsid w:val="001011FD"/>
    <w:rsid w:val="001017A8"/>
    <w:rsid w:val="0010191D"/>
    <w:rsid w:val="00101986"/>
    <w:rsid w:val="00101AF0"/>
    <w:rsid w:val="00101DBE"/>
    <w:rsid w:val="0010233B"/>
    <w:rsid w:val="0010247C"/>
    <w:rsid w:val="00102A08"/>
    <w:rsid w:val="00103412"/>
    <w:rsid w:val="00103BD2"/>
    <w:rsid w:val="0010441E"/>
    <w:rsid w:val="00104459"/>
    <w:rsid w:val="00104488"/>
    <w:rsid w:val="00104696"/>
    <w:rsid w:val="001047A2"/>
    <w:rsid w:val="001048E0"/>
    <w:rsid w:val="00104CDB"/>
    <w:rsid w:val="00105198"/>
    <w:rsid w:val="00105946"/>
    <w:rsid w:val="00105C53"/>
    <w:rsid w:val="00106661"/>
    <w:rsid w:val="00106669"/>
    <w:rsid w:val="00107941"/>
    <w:rsid w:val="00107ECD"/>
    <w:rsid w:val="0011031F"/>
    <w:rsid w:val="00110476"/>
    <w:rsid w:val="001116A2"/>
    <w:rsid w:val="0011185D"/>
    <w:rsid w:val="00111EE2"/>
    <w:rsid w:val="00112EC5"/>
    <w:rsid w:val="00113036"/>
    <w:rsid w:val="00113104"/>
    <w:rsid w:val="00113417"/>
    <w:rsid w:val="00113454"/>
    <w:rsid w:val="00113887"/>
    <w:rsid w:val="00113D0F"/>
    <w:rsid w:val="00114255"/>
    <w:rsid w:val="001142E3"/>
    <w:rsid w:val="001143AA"/>
    <w:rsid w:val="001143C6"/>
    <w:rsid w:val="001146F2"/>
    <w:rsid w:val="001149D2"/>
    <w:rsid w:val="001152C3"/>
    <w:rsid w:val="0011557B"/>
    <w:rsid w:val="00115B3E"/>
    <w:rsid w:val="00115B7E"/>
    <w:rsid w:val="00116279"/>
    <w:rsid w:val="001164B9"/>
    <w:rsid w:val="00116824"/>
    <w:rsid w:val="0011682C"/>
    <w:rsid w:val="00117D5A"/>
    <w:rsid w:val="00120447"/>
    <w:rsid w:val="0012062A"/>
    <w:rsid w:val="0012093D"/>
    <w:rsid w:val="00121707"/>
    <w:rsid w:val="0012171B"/>
    <w:rsid w:val="00122217"/>
    <w:rsid w:val="00122A56"/>
    <w:rsid w:val="00122A99"/>
    <w:rsid w:val="00122D49"/>
    <w:rsid w:val="00122DE8"/>
    <w:rsid w:val="00123973"/>
    <w:rsid w:val="00124987"/>
    <w:rsid w:val="00124B0E"/>
    <w:rsid w:val="001251C8"/>
    <w:rsid w:val="00125D88"/>
    <w:rsid w:val="0012623D"/>
    <w:rsid w:val="00126533"/>
    <w:rsid w:val="001267AE"/>
    <w:rsid w:val="001268DE"/>
    <w:rsid w:val="001269D4"/>
    <w:rsid w:val="00126C6C"/>
    <w:rsid w:val="00126D62"/>
    <w:rsid w:val="001270D7"/>
    <w:rsid w:val="00130758"/>
    <w:rsid w:val="00130C21"/>
    <w:rsid w:val="00130E48"/>
    <w:rsid w:val="00130EAB"/>
    <w:rsid w:val="00130F5A"/>
    <w:rsid w:val="001310B4"/>
    <w:rsid w:val="00131588"/>
    <w:rsid w:val="001319EF"/>
    <w:rsid w:val="00132323"/>
    <w:rsid w:val="001326C1"/>
    <w:rsid w:val="00132765"/>
    <w:rsid w:val="001332EF"/>
    <w:rsid w:val="00133EBD"/>
    <w:rsid w:val="001344C7"/>
    <w:rsid w:val="001346F1"/>
    <w:rsid w:val="00134841"/>
    <w:rsid w:val="00134AFF"/>
    <w:rsid w:val="00135797"/>
    <w:rsid w:val="00136192"/>
    <w:rsid w:val="001363C2"/>
    <w:rsid w:val="00136C63"/>
    <w:rsid w:val="00136F86"/>
    <w:rsid w:val="00137A47"/>
    <w:rsid w:val="001405E9"/>
    <w:rsid w:val="001408E5"/>
    <w:rsid w:val="00140C25"/>
    <w:rsid w:val="00140CBE"/>
    <w:rsid w:val="001414EF"/>
    <w:rsid w:val="001422AB"/>
    <w:rsid w:val="00143349"/>
    <w:rsid w:val="001433A6"/>
    <w:rsid w:val="00143956"/>
    <w:rsid w:val="0014405F"/>
    <w:rsid w:val="00144591"/>
    <w:rsid w:val="0014492A"/>
    <w:rsid w:val="001451EC"/>
    <w:rsid w:val="001452CB"/>
    <w:rsid w:val="001454BA"/>
    <w:rsid w:val="0014561E"/>
    <w:rsid w:val="00145A4D"/>
    <w:rsid w:val="00145AB3"/>
    <w:rsid w:val="00146079"/>
    <w:rsid w:val="00146269"/>
    <w:rsid w:val="00146491"/>
    <w:rsid w:val="00146A74"/>
    <w:rsid w:val="00146ADE"/>
    <w:rsid w:val="00147678"/>
    <w:rsid w:val="0014785A"/>
    <w:rsid w:val="00147AF1"/>
    <w:rsid w:val="00150051"/>
    <w:rsid w:val="001501C8"/>
    <w:rsid w:val="0015046E"/>
    <w:rsid w:val="001504B1"/>
    <w:rsid w:val="001505D9"/>
    <w:rsid w:val="00151094"/>
    <w:rsid w:val="001511CF"/>
    <w:rsid w:val="0015123A"/>
    <w:rsid w:val="001518E3"/>
    <w:rsid w:val="00151CA1"/>
    <w:rsid w:val="00151CD8"/>
    <w:rsid w:val="00152086"/>
    <w:rsid w:val="00152276"/>
    <w:rsid w:val="001523D7"/>
    <w:rsid w:val="00152BAF"/>
    <w:rsid w:val="00152D32"/>
    <w:rsid w:val="0015347A"/>
    <w:rsid w:val="001534D7"/>
    <w:rsid w:val="00154374"/>
    <w:rsid w:val="001545DC"/>
    <w:rsid w:val="0015489E"/>
    <w:rsid w:val="00155630"/>
    <w:rsid w:val="0015574F"/>
    <w:rsid w:val="00155AFE"/>
    <w:rsid w:val="00155B77"/>
    <w:rsid w:val="00156174"/>
    <w:rsid w:val="0015645E"/>
    <w:rsid w:val="00156C9E"/>
    <w:rsid w:val="00156ECB"/>
    <w:rsid w:val="001573B6"/>
    <w:rsid w:val="00157757"/>
    <w:rsid w:val="00157EB1"/>
    <w:rsid w:val="0016008E"/>
    <w:rsid w:val="00160463"/>
    <w:rsid w:val="00160656"/>
    <w:rsid w:val="00160759"/>
    <w:rsid w:val="00160C01"/>
    <w:rsid w:val="00160FF4"/>
    <w:rsid w:val="0016111E"/>
    <w:rsid w:val="00161C9B"/>
    <w:rsid w:val="0016205F"/>
    <w:rsid w:val="00162067"/>
    <w:rsid w:val="001621AB"/>
    <w:rsid w:val="00162203"/>
    <w:rsid w:val="00162DAE"/>
    <w:rsid w:val="001633A5"/>
    <w:rsid w:val="00163717"/>
    <w:rsid w:val="00163B96"/>
    <w:rsid w:val="00163F05"/>
    <w:rsid w:val="0016459C"/>
    <w:rsid w:val="00164688"/>
    <w:rsid w:val="00165331"/>
    <w:rsid w:val="00165FA1"/>
    <w:rsid w:val="001660E9"/>
    <w:rsid w:val="00166475"/>
    <w:rsid w:val="001677FE"/>
    <w:rsid w:val="00167869"/>
    <w:rsid w:val="00167D8B"/>
    <w:rsid w:val="001703B7"/>
    <w:rsid w:val="00170F40"/>
    <w:rsid w:val="00170F48"/>
    <w:rsid w:val="001716BA"/>
    <w:rsid w:val="00171C14"/>
    <w:rsid w:val="00171F84"/>
    <w:rsid w:val="0017204F"/>
    <w:rsid w:val="00172191"/>
    <w:rsid w:val="00172318"/>
    <w:rsid w:val="0017255C"/>
    <w:rsid w:val="001725F1"/>
    <w:rsid w:val="001725FA"/>
    <w:rsid w:val="00172665"/>
    <w:rsid w:val="00172B11"/>
    <w:rsid w:val="00172BE6"/>
    <w:rsid w:val="001731D9"/>
    <w:rsid w:val="0017329C"/>
    <w:rsid w:val="00173B13"/>
    <w:rsid w:val="00174463"/>
    <w:rsid w:val="00174DDA"/>
    <w:rsid w:val="00174F5C"/>
    <w:rsid w:val="00176795"/>
    <w:rsid w:val="00176B61"/>
    <w:rsid w:val="00176EB9"/>
    <w:rsid w:val="001772B4"/>
    <w:rsid w:val="001775A1"/>
    <w:rsid w:val="00177647"/>
    <w:rsid w:val="0017783D"/>
    <w:rsid w:val="001779A9"/>
    <w:rsid w:val="001779BB"/>
    <w:rsid w:val="00177C95"/>
    <w:rsid w:val="00177C9D"/>
    <w:rsid w:val="00180027"/>
    <w:rsid w:val="001802CB"/>
    <w:rsid w:val="001804C2"/>
    <w:rsid w:val="00181276"/>
    <w:rsid w:val="00181789"/>
    <w:rsid w:val="00181F0D"/>
    <w:rsid w:val="0018212A"/>
    <w:rsid w:val="001821CD"/>
    <w:rsid w:val="00182851"/>
    <w:rsid w:val="00182BFA"/>
    <w:rsid w:val="00183608"/>
    <w:rsid w:val="00183B79"/>
    <w:rsid w:val="00183BBC"/>
    <w:rsid w:val="0018410A"/>
    <w:rsid w:val="0018435E"/>
    <w:rsid w:val="001848E0"/>
    <w:rsid w:val="00184E81"/>
    <w:rsid w:val="00184FC5"/>
    <w:rsid w:val="001850AB"/>
    <w:rsid w:val="001857AA"/>
    <w:rsid w:val="0018591D"/>
    <w:rsid w:val="00185DDA"/>
    <w:rsid w:val="00185E2F"/>
    <w:rsid w:val="001862D7"/>
    <w:rsid w:val="00186597"/>
    <w:rsid w:val="001867D8"/>
    <w:rsid w:val="00186AA0"/>
    <w:rsid w:val="001877C5"/>
    <w:rsid w:val="00187B3C"/>
    <w:rsid w:val="00187E40"/>
    <w:rsid w:val="001904D8"/>
    <w:rsid w:val="001904EA"/>
    <w:rsid w:val="001905A3"/>
    <w:rsid w:val="00190783"/>
    <w:rsid w:val="00190856"/>
    <w:rsid w:val="00190B36"/>
    <w:rsid w:val="00190D96"/>
    <w:rsid w:val="00191020"/>
    <w:rsid w:val="0019299C"/>
    <w:rsid w:val="00192BC3"/>
    <w:rsid w:val="00192EA5"/>
    <w:rsid w:val="00193574"/>
    <w:rsid w:val="0019422C"/>
    <w:rsid w:val="001945D7"/>
    <w:rsid w:val="0019491D"/>
    <w:rsid w:val="00194AAA"/>
    <w:rsid w:val="00194E54"/>
    <w:rsid w:val="001957B3"/>
    <w:rsid w:val="00195E84"/>
    <w:rsid w:val="001960C9"/>
    <w:rsid w:val="001961BE"/>
    <w:rsid w:val="001967E7"/>
    <w:rsid w:val="00196914"/>
    <w:rsid w:val="001969D0"/>
    <w:rsid w:val="00197B47"/>
    <w:rsid w:val="00197D85"/>
    <w:rsid w:val="001A0449"/>
    <w:rsid w:val="001A0558"/>
    <w:rsid w:val="001A0702"/>
    <w:rsid w:val="001A07C4"/>
    <w:rsid w:val="001A096F"/>
    <w:rsid w:val="001A0C65"/>
    <w:rsid w:val="001A137A"/>
    <w:rsid w:val="001A14D9"/>
    <w:rsid w:val="001A15C8"/>
    <w:rsid w:val="001A1A6F"/>
    <w:rsid w:val="001A1A9E"/>
    <w:rsid w:val="001A2BCF"/>
    <w:rsid w:val="001A46A3"/>
    <w:rsid w:val="001A4C65"/>
    <w:rsid w:val="001A4ECD"/>
    <w:rsid w:val="001A5D2C"/>
    <w:rsid w:val="001A6781"/>
    <w:rsid w:val="001A6C45"/>
    <w:rsid w:val="001A75EA"/>
    <w:rsid w:val="001A7908"/>
    <w:rsid w:val="001A798D"/>
    <w:rsid w:val="001A7A8C"/>
    <w:rsid w:val="001B053A"/>
    <w:rsid w:val="001B061B"/>
    <w:rsid w:val="001B10F4"/>
    <w:rsid w:val="001B17FD"/>
    <w:rsid w:val="001B2190"/>
    <w:rsid w:val="001B29FD"/>
    <w:rsid w:val="001B31A2"/>
    <w:rsid w:val="001B3327"/>
    <w:rsid w:val="001B372E"/>
    <w:rsid w:val="001B376A"/>
    <w:rsid w:val="001B433C"/>
    <w:rsid w:val="001B4BCE"/>
    <w:rsid w:val="001B52B7"/>
    <w:rsid w:val="001B53D0"/>
    <w:rsid w:val="001B5476"/>
    <w:rsid w:val="001B5E48"/>
    <w:rsid w:val="001B5EBD"/>
    <w:rsid w:val="001B602A"/>
    <w:rsid w:val="001B638F"/>
    <w:rsid w:val="001B6C1B"/>
    <w:rsid w:val="001B6DC7"/>
    <w:rsid w:val="001B722F"/>
    <w:rsid w:val="001B7365"/>
    <w:rsid w:val="001B7606"/>
    <w:rsid w:val="001B784D"/>
    <w:rsid w:val="001B7A8F"/>
    <w:rsid w:val="001B7C1C"/>
    <w:rsid w:val="001C03AF"/>
    <w:rsid w:val="001C092A"/>
    <w:rsid w:val="001C0F96"/>
    <w:rsid w:val="001C0FC2"/>
    <w:rsid w:val="001C1472"/>
    <w:rsid w:val="001C1712"/>
    <w:rsid w:val="001C1B56"/>
    <w:rsid w:val="001C1CE4"/>
    <w:rsid w:val="001C24CD"/>
    <w:rsid w:val="001C2BF3"/>
    <w:rsid w:val="001C2FCD"/>
    <w:rsid w:val="001C3080"/>
    <w:rsid w:val="001C3122"/>
    <w:rsid w:val="001C31BC"/>
    <w:rsid w:val="001C3432"/>
    <w:rsid w:val="001C34BA"/>
    <w:rsid w:val="001C3A9A"/>
    <w:rsid w:val="001C3CF3"/>
    <w:rsid w:val="001C4593"/>
    <w:rsid w:val="001C4ACA"/>
    <w:rsid w:val="001C4B76"/>
    <w:rsid w:val="001C4D49"/>
    <w:rsid w:val="001C50C7"/>
    <w:rsid w:val="001C5B6D"/>
    <w:rsid w:val="001C616C"/>
    <w:rsid w:val="001C67A9"/>
    <w:rsid w:val="001C70C1"/>
    <w:rsid w:val="001C7142"/>
    <w:rsid w:val="001C7216"/>
    <w:rsid w:val="001C7325"/>
    <w:rsid w:val="001C7390"/>
    <w:rsid w:val="001C7440"/>
    <w:rsid w:val="001C7867"/>
    <w:rsid w:val="001C7AF1"/>
    <w:rsid w:val="001C7B4E"/>
    <w:rsid w:val="001C7ED0"/>
    <w:rsid w:val="001D0181"/>
    <w:rsid w:val="001D0644"/>
    <w:rsid w:val="001D08E8"/>
    <w:rsid w:val="001D0C7C"/>
    <w:rsid w:val="001D101F"/>
    <w:rsid w:val="001D1058"/>
    <w:rsid w:val="001D17D8"/>
    <w:rsid w:val="001D1B7A"/>
    <w:rsid w:val="001D21D7"/>
    <w:rsid w:val="001D2286"/>
    <w:rsid w:val="001D285B"/>
    <w:rsid w:val="001D2862"/>
    <w:rsid w:val="001D305D"/>
    <w:rsid w:val="001D3403"/>
    <w:rsid w:val="001D393F"/>
    <w:rsid w:val="001D3B8E"/>
    <w:rsid w:val="001D4406"/>
    <w:rsid w:val="001D4A38"/>
    <w:rsid w:val="001D4E67"/>
    <w:rsid w:val="001D5224"/>
    <w:rsid w:val="001D5412"/>
    <w:rsid w:val="001D585F"/>
    <w:rsid w:val="001D592B"/>
    <w:rsid w:val="001D64FC"/>
    <w:rsid w:val="001D7266"/>
    <w:rsid w:val="001D7449"/>
    <w:rsid w:val="001D7649"/>
    <w:rsid w:val="001D7871"/>
    <w:rsid w:val="001D7A50"/>
    <w:rsid w:val="001D7BB8"/>
    <w:rsid w:val="001E01B0"/>
    <w:rsid w:val="001E0346"/>
    <w:rsid w:val="001E0630"/>
    <w:rsid w:val="001E0A4F"/>
    <w:rsid w:val="001E0D82"/>
    <w:rsid w:val="001E0EDF"/>
    <w:rsid w:val="001E1417"/>
    <w:rsid w:val="001E1789"/>
    <w:rsid w:val="001E19C8"/>
    <w:rsid w:val="001E223E"/>
    <w:rsid w:val="001E2826"/>
    <w:rsid w:val="001E29FB"/>
    <w:rsid w:val="001E324E"/>
    <w:rsid w:val="001E3541"/>
    <w:rsid w:val="001E3A03"/>
    <w:rsid w:val="001E3BAB"/>
    <w:rsid w:val="001E4760"/>
    <w:rsid w:val="001E4DBA"/>
    <w:rsid w:val="001E5317"/>
    <w:rsid w:val="001E531B"/>
    <w:rsid w:val="001E562F"/>
    <w:rsid w:val="001E573D"/>
    <w:rsid w:val="001E5C7F"/>
    <w:rsid w:val="001E5D12"/>
    <w:rsid w:val="001E649B"/>
    <w:rsid w:val="001E65F3"/>
    <w:rsid w:val="001E6CAC"/>
    <w:rsid w:val="001E6CC4"/>
    <w:rsid w:val="001E7B96"/>
    <w:rsid w:val="001E7DC0"/>
    <w:rsid w:val="001F016F"/>
    <w:rsid w:val="001F025E"/>
    <w:rsid w:val="001F0548"/>
    <w:rsid w:val="001F1658"/>
    <w:rsid w:val="001F17B9"/>
    <w:rsid w:val="001F2F16"/>
    <w:rsid w:val="001F3352"/>
    <w:rsid w:val="001F3708"/>
    <w:rsid w:val="001F4C59"/>
    <w:rsid w:val="001F4F2A"/>
    <w:rsid w:val="001F51D2"/>
    <w:rsid w:val="001F533F"/>
    <w:rsid w:val="001F550B"/>
    <w:rsid w:val="001F55C5"/>
    <w:rsid w:val="001F566E"/>
    <w:rsid w:val="001F57A1"/>
    <w:rsid w:val="001F5F0B"/>
    <w:rsid w:val="001F6270"/>
    <w:rsid w:val="001F6622"/>
    <w:rsid w:val="001F6966"/>
    <w:rsid w:val="002001A7"/>
    <w:rsid w:val="00200568"/>
    <w:rsid w:val="00200B0C"/>
    <w:rsid w:val="0020100D"/>
    <w:rsid w:val="00201607"/>
    <w:rsid w:val="00201EBA"/>
    <w:rsid w:val="00202015"/>
    <w:rsid w:val="00202D94"/>
    <w:rsid w:val="00203469"/>
    <w:rsid w:val="00203DE8"/>
    <w:rsid w:val="00204074"/>
    <w:rsid w:val="002040EA"/>
    <w:rsid w:val="002048FF"/>
    <w:rsid w:val="00204C59"/>
    <w:rsid w:val="00204CC3"/>
    <w:rsid w:val="00204CD4"/>
    <w:rsid w:val="002051AE"/>
    <w:rsid w:val="002054A4"/>
    <w:rsid w:val="00205B0A"/>
    <w:rsid w:val="00205B6B"/>
    <w:rsid w:val="00205B85"/>
    <w:rsid w:val="00205BAD"/>
    <w:rsid w:val="00205D04"/>
    <w:rsid w:val="00205FD7"/>
    <w:rsid w:val="00206538"/>
    <w:rsid w:val="0020665B"/>
    <w:rsid w:val="0020669E"/>
    <w:rsid w:val="002067BB"/>
    <w:rsid w:val="002070E0"/>
    <w:rsid w:val="00207448"/>
    <w:rsid w:val="00210133"/>
    <w:rsid w:val="0021048C"/>
    <w:rsid w:val="00210D96"/>
    <w:rsid w:val="0021104C"/>
    <w:rsid w:val="00211370"/>
    <w:rsid w:val="00211574"/>
    <w:rsid w:val="00211AE5"/>
    <w:rsid w:val="00211B29"/>
    <w:rsid w:val="00211D5C"/>
    <w:rsid w:val="002124E8"/>
    <w:rsid w:val="00212791"/>
    <w:rsid w:val="00212F90"/>
    <w:rsid w:val="0021364C"/>
    <w:rsid w:val="002136AB"/>
    <w:rsid w:val="0021381E"/>
    <w:rsid w:val="002138BA"/>
    <w:rsid w:val="00213A36"/>
    <w:rsid w:val="00214269"/>
    <w:rsid w:val="00214702"/>
    <w:rsid w:val="00214D27"/>
    <w:rsid w:val="00214D9B"/>
    <w:rsid w:val="00214ED3"/>
    <w:rsid w:val="00214F53"/>
    <w:rsid w:val="00214F9F"/>
    <w:rsid w:val="00215F9B"/>
    <w:rsid w:val="0021633E"/>
    <w:rsid w:val="0021681A"/>
    <w:rsid w:val="00217290"/>
    <w:rsid w:val="002176E5"/>
    <w:rsid w:val="00217A50"/>
    <w:rsid w:val="00217BD5"/>
    <w:rsid w:val="00220C85"/>
    <w:rsid w:val="00221578"/>
    <w:rsid w:val="0022177B"/>
    <w:rsid w:val="00221792"/>
    <w:rsid w:val="0022243A"/>
    <w:rsid w:val="00222FBA"/>
    <w:rsid w:val="00223344"/>
    <w:rsid w:val="00223621"/>
    <w:rsid w:val="0022380B"/>
    <w:rsid w:val="00223E84"/>
    <w:rsid w:val="00223F5D"/>
    <w:rsid w:val="002247AE"/>
    <w:rsid w:val="00224E39"/>
    <w:rsid w:val="00224E87"/>
    <w:rsid w:val="00224E94"/>
    <w:rsid w:val="00225990"/>
    <w:rsid w:val="00225B78"/>
    <w:rsid w:val="00226195"/>
    <w:rsid w:val="00226D86"/>
    <w:rsid w:val="00230B7A"/>
    <w:rsid w:val="00230BF1"/>
    <w:rsid w:val="00230CB3"/>
    <w:rsid w:val="00230E41"/>
    <w:rsid w:val="00230F69"/>
    <w:rsid w:val="002313C9"/>
    <w:rsid w:val="0023153E"/>
    <w:rsid w:val="002315AC"/>
    <w:rsid w:val="002318B3"/>
    <w:rsid w:val="002318E0"/>
    <w:rsid w:val="00231989"/>
    <w:rsid w:val="00232C71"/>
    <w:rsid w:val="002330E3"/>
    <w:rsid w:val="002337B8"/>
    <w:rsid w:val="00233B53"/>
    <w:rsid w:val="00233DEB"/>
    <w:rsid w:val="00234A17"/>
    <w:rsid w:val="0023554A"/>
    <w:rsid w:val="0023598E"/>
    <w:rsid w:val="00235A98"/>
    <w:rsid w:val="00235B8C"/>
    <w:rsid w:val="002362F1"/>
    <w:rsid w:val="002365A3"/>
    <w:rsid w:val="0023676F"/>
    <w:rsid w:val="00236B30"/>
    <w:rsid w:val="00236B40"/>
    <w:rsid w:val="00236CFB"/>
    <w:rsid w:val="00237039"/>
    <w:rsid w:val="00237159"/>
    <w:rsid w:val="002371D3"/>
    <w:rsid w:val="00237AD9"/>
    <w:rsid w:val="00240347"/>
    <w:rsid w:val="00240C13"/>
    <w:rsid w:val="00240ED1"/>
    <w:rsid w:val="0024134D"/>
    <w:rsid w:val="00242F43"/>
    <w:rsid w:val="00243095"/>
    <w:rsid w:val="0024426B"/>
    <w:rsid w:val="00244517"/>
    <w:rsid w:val="002448BD"/>
    <w:rsid w:val="002448BE"/>
    <w:rsid w:val="00244A3D"/>
    <w:rsid w:val="00244E2E"/>
    <w:rsid w:val="00244FCF"/>
    <w:rsid w:val="00245489"/>
    <w:rsid w:val="00245D4D"/>
    <w:rsid w:val="002467A9"/>
    <w:rsid w:val="00246CEA"/>
    <w:rsid w:val="0024727F"/>
    <w:rsid w:val="002476CB"/>
    <w:rsid w:val="00247766"/>
    <w:rsid w:val="0024786A"/>
    <w:rsid w:val="002507AB"/>
    <w:rsid w:val="00250F52"/>
    <w:rsid w:val="0025123D"/>
    <w:rsid w:val="0025135F"/>
    <w:rsid w:val="002516CB"/>
    <w:rsid w:val="00251B30"/>
    <w:rsid w:val="0025242A"/>
    <w:rsid w:val="00252B59"/>
    <w:rsid w:val="00252CC6"/>
    <w:rsid w:val="00252D8E"/>
    <w:rsid w:val="00252F61"/>
    <w:rsid w:val="002530DC"/>
    <w:rsid w:val="00253850"/>
    <w:rsid w:val="00253C55"/>
    <w:rsid w:val="00253DC5"/>
    <w:rsid w:val="0025426F"/>
    <w:rsid w:val="00254545"/>
    <w:rsid w:val="0025490D"/>
    <w:rsid w:val="00254F9A"/>
    <w:rsid w:val="00255012"/>
    <w:rsid w:val="00255244"/>
    <w:rsid w:val="00255799"/>
    <w:rsid w:val="00255DA0"/>
    <w:rsid w:val="002560DE"/>
    <w:rsid w:val="00256D9F"/>
    <w:rsid w:val="00257248"/>
    <w:rsid w:val="00257BA4"/>
    <w:rsid w:val="00260A06"/>
    <w:rsid w:val="0026119E"/>
    <w:rsid w:val="002613C7"/>
    <w:rsid w:val="002616D1"/>
    <w:rsid w:val="00261D54"/>
    <w:rsid w:val="00261DFC"/>
    <w:rsid w:val="00261FAF"/>
    <w:rsid w:val="00262057"/>
    <w:rsid w:val="0026225D"/>
    <w:rsid w:val="0026228A"/>
    <w:rsid w:val="00262448"/>
    <w:rsid w:val="002632DB"/>
    <w:rsid w:val="00263640"/>
    <w:rsid w:val="002638DD"/>
    <w:rsid w:val="00263F8B"/>
    <w:rsid w:val="00264129"/>
    <w:rsid w:val="00264286"/>
    <w:rsid w:val="00264413"/>
    <w:rsid w:val="00264879"/>
    <w:rsid w:val="00265068"/>
    <w:rsid w:val="002657AC"/>
    <w:rsid w:val="00265ADB"/>
    <w:rsid w:val="00265F5D"/>
    <w:rsid w:val="0026675B"/>
    <w:rsid w:val="00266850"/>
    <w:rsid w:val="002668AE"/>
    <w:rsid w:val="00266B1D"/>
    <w:rsid w:val="00266D0C"/>
    <w:rsid w:val="002673BC"/>
    <w:rsid w:val="00267472"/>
    <w:rsid w:val="00267506"/>
    <w:rsid w:val="002678D3"/>
    <w:rsid w:val="00267C6D"/>
    <w:rsid w:val="00267FD8"/>
    <w:rsid w:val="002701E9"/>
    <w:rsid w:val="00270A46"/>
    <w:rsid w:val="002713D6"/>
    <w:rsid w:val="00271777"/>
    <w:rsid w:val="00271D92"/>
    <w:rsid w:val="00271FB2"/>
    <w:rsid w:val="00272CFD"/>
    <w:rsid w:val="00273EF4"/>
    <w:rsid w:val="00273FBD"/>
    <w:rsid w:val="002746D0"/>
    <w:rsid w:val="0027488F"/>
    <w:rsid w:val="002755CE"/>
    <w:rsid w:val="002759E0"/>
    <w:rsid w:val="00275E49"/>
    <w:rsid w:val="00277932"/>
    <w:rsid w:val="00277E4A"/>
    <w:rsid w:val="00280B13"/>
    <w:rsid w:val="00280BCD"/>
    <w:rsid w:val="00280DD7"/>
    <w:rsid w:val="00281181"/>
    <w:rsid w:val="0028162C"/>
    <w:rsid w:val="002817D2"/>
    <w:rsid w:val="002817E3"/>
    <w:rsid w:val="00281EE2"/>
    <w:rsid w:val="002823D4"/>
    <w:rsid w:val="00282A0E"/>
    <w:rsid w:val="00282BD7"/>
    <w:rsid w:val="00282C75"/>
    <w:rsid w:val="002831D1"/>
    <w:rsid w:val="0028362F"/>
    <w:rsid w:val="0028376E"/>
    <w:rsid w:val="0028398E"/>
    <w:rsid w:val="00283B23"/>
    <w:rsid w:val="00284799"/>
    <w:rsid w:val="0028511D"/>
    <w:rsid w:val="002854A6"/>
    <w:rsid w:val="0028624F"/>
    <w:rsid w:val="00286D9F"/>
    <w:rsid w:val="00286F0A"/>
    <w:rsid w:val="002872D6"/>
    <w:rsid w:val="0029088C"/>
    <w:rsid w:val="00290FB2"/>
    <w:rsid w:val="0029145D"/>
    <w:rsid w:val="00291770"/>
    <w:rsid w:val="00291930"/>
    <w:rsid w:val="00291CAA"/>
    <w:rsid w:val="00291E8A"/>
    <w:rsid w:val="00292598"/>
    <w:rsid w:val="002927B3"/>
    <w:rsid w:val="00292B40"/>
    <w:rsid w:val="00292E06"/>
    <w:rsid w:val="00292F0E"/>
    <w:rsid w:val="00293592"/>
    <w:rsid w:val="00293614"/>
    <w:rsid w:val="00293A6B"/>
    <w:rsid w:val="00293D4A"/>
    <w:rsid w:val="00293E0E"/>
    <w:rsid w:val="00293F89"/>
    <w:rsid w:val="00294807"/>
    <w:rsid w:val="00294824"/>
    <w:rsid w:val="00295244"/>
    <w:rsid w:val="00296010"/>
    <w:rsid w:val="002969F9"/>
    <w:rsid w:val="00296CA9"/>
    <w:rsid w:val="00296F82"/>
    <w:rsid w:val="002974E0"/>
    <w:rsid w:val="002975ED"/>
    <w:rsid w:val="00297B7B"/>
    <w:rsid w:val="00297C4E"/>
    <w:rsid w:val="002A0025"/>
    <w:rsid w:val="002A04DB"/>
    <w:rsid w:val="002A15DD"/>
    <w:rsid w:val="002A1D58"/>
    <w:rsid w:val="002A2351"/>
    <w:rsid w:val="002A23C4"/>
    <w:rsid w:val="002A2478"/>
    <w:rsid w:val="002A25A1"/>
    <w:rsid w:val="002A2D07"/>
    <w:rsid w:val="002A2DBD"/>
    <w:rsid w:val="002A2E03"/>
    <w:rsid w:val="002A2E88"/>
    <w:rsid w:val="002A348F"/>
    <w:rsid w:val="002A3B19"/>
    <w:rsid w:val="002A4402"/>
    <w:rsid w:val="002A4ADC"/>
    <w:rsid w:val="002A4EDF"/>
    <w:rsid w:val="002A5901"/>
    <w:rsid w:val="002A5B58"/>
    <w:rsid w:val="002A5FF5"/>
    <w:rsid w:val="002A6B9E"/>
    <w:rsid w:val="002A705F"/>
    <w:rsid w:val="002A7588"/>
    <w:rsid w:val="002A7760"/>
    <w:rsid w:val="002A78DA"/>
    <w:rsid w:val="002A7952"/>
    <w:rsid w:val="002A79DB"/>
    <w:rsid w:val="002A7D37"/>
    <w:rsid w:val="002B018F"/>
    <w:rsid w:val="002B0BD2"/>
    <w:rsid w:val="002B0C3B"/>
    <w:rsid w:val="002B0C90"/>
    <w:rsid w:val="002B1655"/>
    <w:rsid w:val="002B16E4"/>
    <w:rsid w:val="002B1740"/>
    <w:rsid w:val="002B1CBD"/>
    <w:rsid w:val="002B1F42"/>
    <w:rsid w:val="002B206B"/>
    <w:rsid w:val="002B25EB"/>
    <w:rsid w:val="002B2BE0"/>
    <w:rsid w:val="002B33BE"/>
    <w:rsid w:val="002B36B0"/>
    <w:rsid w:val="002B38E9"/>
    <w:rsid w:val="002B392C"/>
    <w:rsid w:val="002B398D"/>
    <w:rsid w:val="002B3B31"/>
    <w:rsid w:val="002B3D23"/>
    <w:rsid w:val="002B3D31"/>
    <w:rsid w:val="002B426E"/>
    <w:rsid w:val="002B43A5"/>
    <w:rsid w:val="002B4570"/>
    <w:rsid w:val="002B498E"/>
    <w:rsid w:val="002B4BA7"/>
    <w:rsid w:val="002B5003"/>
    <w:rsid w:val="002B5AB3"/>
    <w:rsid w:val="002B5AB8"/>
    <w:rsid w:val="002B5D27"/>
    <w:rsid w:val="002B61C2"/>
    <w:rsid w:val="002B6273"/>
    <w:rsid w:val="002B62F4"/>
    <w:rsid w:val="002B64A4"/>
    <w:rsid w:val="002B6643"/>
    <w:rsid w:val="002B6F4D"/>
    <w:rsid w:val="002B6F8E"/>
    <w:rsid w:val="002B78FA"/>
    <w:rsid w:val="002B7AF5"/>
    <w:rsid w:val="002B7B0B"/>
    <w:rsid w:val="002B7C3A"/>
    <w:rsid w:val="002C0038"/>
    <w:rsid w:val="002C0B8B"/>
    <w:rsid w:val="002C0D6F"/>
    <w:rsid w:val="002C1384"/>
    <w:rsid w:val="002C1AF9"/>
    <w:rsid w:val="002C200E"/>
    <w:rsid w:val="002C2DD7"/>
    <w:rsid w:val="002C2FC6"/>
    <w:rsid w:val="002C3456"/>
    <w:rsid w:val="002C3611"/>
    <w:rsid w:val="002C37B5"/>
    <w:rsid w:val="002C405D"/>
    <w:rsid w:val="002C40AF"/>
    <w:rsid w:val="002C4102"/>
    <w:rsid w:val="002C4407"/>
    <w:rsid w:val="002C4BD1"/>
    <w:rsid w:val="002C5028"/>
    <w:rsid w:val="002C5149"/>
    <w:rsid w:val="002C54E3"/>
    <w:rsid w:val="002C56A0"/>
    <w:rsid w:val="002C7043"/>
    <w:rsid w:val="002C7275"/>
    <w:rsid w:val="002C75AC"/>
    <w:rsid w:val="002C7AC9"/>
    <w:rsid w:val="002C7BE1"/>
    <w:rsid w:val="002D01F7"/>
    <w:rsid w:val="002D03B8"/>
    <w:rsid w:val="002D06E9"/>
    <w:rsid w:val="002D0BE0"/>
    <w:rsid w:val="002D10EF"/>
    <w:rsid w:val="002D1949"/>
    <w:rsid w:val="002D1B47"/>
    <w:rsid w:val="002D1FA2"/>
    <w:rsid w:val="002D20EC"/>
    <w:rsid w:val="002D21C7"/>
    <w:rsid w:val="002D30C1"/>
    <w:rsid w:val="002D3139"/>
    <w:rsid w:val="002D3320"/>
    <w:rsid w:val="002D367D"/>
    <w:rsid w:val="002D3A06"/>
    <w:rsid w:val="002D426E"/>
    <w:rsid w:val="002D452D"/>
    <w:rsid w:val="002D47C1"/>
    <w:rsid w:val="002D487A"/>
    <w:rsid w:val="002D4AD7"/>
    <w:rsid w:val="002D4E01"/>
    <w:rsid w:val="002D5216"/>
    <w:rsid w:val="002D6275"/>
    <w:rsid w:val="002D642B"/>
    <w:rsid w:val="002D66C5"/>
    <w:rsid w:val="002D738F"/>
    <w:rsid w:val="002D7553"/>
    <w:rsid w:val="002D77D1"/>
    <w:rsid w:val="002D7DD2"/>
    <w:rsid w:val="002E0327"/>
    <w:rsid w:val="002E05A8"/>
    <w:rsid w:val="002E0894"/>
    <w:rsid w:val="002E0AF6"/>
    <w:rsid w:val="002E0C36"/>
    <w:rsid w:val="002E0E5A"/>
    <w:rsid w:val="002E11BE"/>
    <w:rsid w:val="002E1703"/>
    <w:rsid w:val="002E200B"/>
    <w:rsid w:val="002E2135"/>
    <w:rsid w:val="002E3013"/>
    <w:rsid w:val="002E33C5"/>
    <w:rsid w:val="002E347B"/>
    <w:rsid w:val="002E350F"/>
    <w:rsid w:val="002E36D7"/>
    <w:rsid w:val="002E39E2"/>
    <w:rsid w:val="002E3FF8"/>
    <w:rsid w:val="002E4003"/>
    <w:rsid w:val="002E446D"/>
    <w:rsid w:val="002E479B"/>
    <w:rsid w:val="002E48A6"/>
    <w:rsid w:val="002E4982"/>
    <w:rsid w:val="002E4BE3"/>
    <w:rsid w:val="002E4C07"/>
    <w:rsid w:val="002E520F"/>
    <w:rsid w:val="002E53C3"/>
    <w:rsid w:val="002E53EF"/>
    <w:rsid w:val="002E5DF0"/>
    <w:rsid w:val="002E5DF4"/>
    <w:rsid w:val="002E5DFD"/>
    <w:rsid w:val="002E5F9F"/>
    <w:rsid w:val="002E62EC"/>
    <w:rsid w:val="002E65E1"/>
    <w:rsid w:val="002E660B"/>
    <w:rsid w:val="002E71A3"/>
    <w:rsid w:val="002E7B99"/>
    <w:rsid w:val="002F00A5"/>
    <w:rsid w:val="002F01B8"/>
    <w:rsid w:val="002F0284"/>
    <w:rsid w:val="002F06A3"/>
    <w:rsid w:val="002F079C"/>
    <w:rsid w:val="002F07AC"/>
    <w:rsid w:val="002F0A64"/>
    <w:rsid w:val="002F1014"/>
    <w:rsid w:val="002F1080"/>
    <w:rsid w:val="002F1157"/>
    <w:rsid w:val="002F1184"/>
    <w:rsid w:val="002F1743"/>
    <w:rsid w:val="002F1869"/>
    <w:rsid w:val="002F1E35"/>
    <w:rsid w:val="002F1F26"/>
    <w:rsid w:val="002F23E5"/>
    <w:rsid w:val="002F27F1"/>
    <w:rsid w:val="002F33E2"/>
    <w:rsid w:val="002F3B91"/>
    <w:rsid w:val="002F3D2D"/>
    <w:rsid w:val="002F3FFE"/>
    <w:rsid w:val="002F44FB"/>
    <w:rsid w:val="002F5093"/>
    <w:rsid w:val="002F5501"/>
    <w:rsid w:val="002F5801"/>
    <w:rsid w:val="002F5BE3"/>
    <w:rsid w:val="002F65C3"/>
    <w:rsid w:val="002F6FD3"/>
    <w:rsid w:val="002F7518"/>
    <w:rsid w:val="002F7ACE"/>
    <w:rsid w:val="002F7CB4"/>
    <w:rsid w:val="003004BB"/>
    <w:rsid w:val="00300622"/>
    <w:rsid w:val="00300AF9"/>
    <w:rsid w:val="00300C44"/>
    <w:rsid w:val="00301456"/>
    <w:rsid w:val="00301A9A"/>
    <w:rsid w:val="00302207"/>
    <w:rsid w:val="00302215"/>
    <w:rsid w:val="00302712"/>
    <w:rsid w:val="00302A16"/>
    <w:rsid w:val="00302CAA"/>
    <w:rsid w:val="00303509"/>
    <w:rsid w:val="00304187"/>
    <w:rsid w:val="00304511"/>
    <w:rsid w:val="00304A66"/>
    <w:rsid w:val="00305009"/>
    <w:rsid w:val="003055D6"/>
    <w:rsid w:val="00305969"/>
    <w:rsid w:val="00305C6E"/>
    <w:rsid w:val="00305D40"/>
    <w:rsid w:val="00306481"/>
    <w:rsid w:val="00306844"/>
    <w:rsid w:val="00306906"/>
    <w:rsid w:val="00306ED4"/>
    <w:rsid w:val="00307238"/>
    <w:rsid w:val="003079FD"/>
    <w:rsid w:val="00307E16"/>
    <w:rsid w:val="003104FB"/>
    <w:rsid w:val="00310601"/>
    <w:rsid w:val="0031070C"/>
    <w:rsid w:val="00310AF3"/>
    <w:rsid w:val="00310BF7"/>
    <w:rsid w:val="003120D8"/>
    <w:rsid w:val="003122CE"/>
    <w:rsid w:val="00312336"/>
    <w:rsid w:val="0031284A"/>
    <w:rsid w:val="00312C12"/>
    <w:rsid w:val="00312DB5"/>
    <w:rsid w:val="00312DC1"/>
    <w:rsid w:val="00312E01"/>
    <w:rsid w:val="00312EE5"/>
    <w:rsid w:val="00312F65"/>
    <w:rsid w:val="003130B8"/>
    <w:rsid w:val="00313405"/>
    <w:rsid w:val="003134B3"/>
    <w:rsid w:val="00313A00"/>
    <w:rsid w:val="00313AE2"/>
    <w:rsid w:val="003142A1"/>
    <w:rsid w:val="00314564"/>
    <w:rsid w:val="00315542"/>
    <w:rsid w:val="00315565"/>
    <w:rsid w:val="00315584"/>
    <w:rsid w:val="003155EA"/>
    <w:rsid w:val="0031690D"/>
    <w:rsid w:val="00316DEA"/>
    <w:rsid w:val="00317766"/>
    <w:rsid w:val="00317AAA"/>
    <w:rsid w:val="00317B7D"/>
    <w:rsid w:val="00317CE0"/>
    <w:rsid w:val="00320554"/>
    <w:rsid w:val="003205A9"/>
    <w:rsid w:val="00320C68"/>
    <w:rsid w:val="00320E37"/>
    <w:rsid w:val="00321AA2"/>
    <w:rsid w:val="00322084"/>
    <w:rsid w:val="00322153"/>
    <w:rsid w:val="003222DD"/>
    <w:rsid w:val="00322486"/>
    <w:rsid w:val="00322972"/>
    <w:rsid w:val="00322A43"/>
    <w:rsid w:val="00322C0A"/>
    <w:rsid w:val="00322EC8"/>
    <w:rsid w:val="00323059"/>
    <w:rsid w:val="00323F0D"/>
    <w:rsid w:val="00323FA5"/>
    <w:rsid w:val="0032433C"/>
    <w:rsid w:val="003243F8"/>
    <w:rsid w:val="00324A27"/>
    <w:rsid w:val="00324A7B"/>
    <w:rsid w:val="00325224"/>
    <w:rsid w:val="003258B2"/>
    <w:rsid w:val="00325B88"/>
    <w:rsid w:val="003264D1"/>
    <w:rsid w:val="00327127"/>
    <w:rsid w:val="003271DB"/>
    <w:rsid w:val="00327577"/>
    <w:rsid w:val="003275F6"/>
    <w:rsid w:val="003301CD"/>
    <w:rsid w:val="00330388"/>
    <w:rsid w:val="00330628"/>
    <w:rsid w:val="00331D89"/>
    <w:rsid w:val="00331E0A"/>
    <w:rsid w:val="00331E66"/>
    <w:rsid w:val="00332359"/>
    <w:rsid w:val="00332498"/>
    <w:rsid w:val="003326F9"/>
    <w:rsid w:val="003329B5"/>
    <w:rsid w:val="00332A2F"/>
    <w:rsid w:val="00332C98"/>
    <w:rsid w:val="00332F42"/>
    <w:rsid w:val="0033339D"/>
    <w:rsid w:val="00333779"/>
    <w:rsid w:val="00333977"/>
    <w:rsid w:val="00333A99"/>
    <w:rsid w:val="0033419C"/>
    <w:rsid w:val="00334962"/>
    <w:rsid w:val="00334EB6"/>
    <w:rsid w:val="00334EF1"/>
    <w:rsid w:val="00335610"/>
    <w:rsid w:val="0033594E"/>
    <w:rsid w:val="00335BE9"/>
    <w:rsid w:val="00335D8A"/>
    <w:rsid w:val="00335E23"/>
    <w:rsid w:val="00336158"/>
    <w:rsid w:val="003362F8"/>
    <w:rsid w:val="00336B86"/>
    <w:rsid w:val="00336DB9"/>
    <w:rsid w:val="0033789B"/>
    <w:rsid w:val="00337C77"/>
    <w:rsid w:val="00337DCA"/>
    <w:rsid w:val="00337EE4"/>
    <w:rsid w:val="00337F91"/>
    <w:rsid w:val="00340167"/>
    <w:rsid w:val="00340188"/>
    <w:rsid w:val="003401AA"/>
    <w:rsid w:val="00340543"/>
    <w:rsid w:val="003405E7"/>
    <w:rsid w:val="00340C29"/>
    <w:rsid w:val="00341171"/>
    <w:rsid w:val="00341469"/>
    <w:rsid w:val="00341FBF"/>
    <w:rsid w:val="003425CE"/>
    <w:rsid w:val="003427C6"/>
    <w:rsid w:val="003428F0"/>
    <w:rsid w:val="00343410"/>
    <w:rsid w:val="00343915"/>
    <w:rsid w:val="00343C1A"/>
    <w:rsid w:val="0034442B"/>
    <w:rsid w:val="0034468A"/>
    <w:rsid w:val="00344983"/>
    <w:rsid w:val="00344CE1"/>
    <w:rsid w:val="00344F7D"/>
    <w:rsid w:val="0034513D"/>
    <w:rsid w:val="00345396"/>
    <w:rsid w:val="00345656"/>
    <w:rsid w:val="003456DF"/>
    <w:rsid w:val="00345A0B"/>
    <w:rsid w:val="00345DC3"/>
    <w:rsid w:val="00346204"/>
    <w:rsid w:val="0034661C"/>
    <w:rsid w:val="00346D0F"/>
    <w:rsid w:val="00346F7F"/>
    <w:rsid w:val="003470D7"/>
    <w:rsid w:val="003479CD"/>
    <w:rsid w:val="00347F86"/>
    <w:rsid w:val="00350052"/>
    <w:rsid w:val="003500FC"/>
    <w:rsid w:val="00351005"/>
    <w:rsid w:val="0035252C"/>
    <w:rsid w:val="00352740"/>
    <w:rsid w:val="00352AB4"/>
    <w:rsid w:val="00352ACE"/>
    <w:rsid w:val="00352BFB"/>
    <w:rsid w:val="0035348B"/>
    <w:rsid w:val="003538D1"/>
    <w:rsid w:val="00353C76"/>
    <w:rsid w:val="00354BEA"/>
    <w:rsid w:val="0035512D"/>
    <w:rsid w:val="003554C3"/>
    <w:rsid w:val="00356279"/>
    <w:rsid w:val="003563CE"/>
    <w:rsid w:val="00356CA0"/>
    <w:rsid w:val="00356E02"/>
    <w:rsid w:val="00356E63"/>
    <w:rsid w:val="00356F47"/>
    <w:rsid w:val="003570F9"/>
    <w:rsid w:val="003578BF"/>
    <w:rsid w:val="00357A23"/>
    <w:rsid w:val="00360130"/>
    <w:rsid w:val="00360696"/>
    <w:rsid w:val="003606FE"/>
    <w:rsid w:val="00360CC8"/>
    <w:rsid w:val="00360FD8"/>
    <w:rsid w:val="00361602"/>
    <w:rsid w:val="003616E3"/>
    <w:rsid w:val="00361BB8"/>
    <w:rsid w:val="00361BF3"/>
    <w:rsid w:val="003625E2"/>
    <w:rsid w:val="0036306D"/>
    <w:rsid w:val="003630CE"/>
    <w:rsid w:val="00363157"/>
    <w:rsid w:val="003631D7"/>
    <w:rsid w:val="0036346B"/>
    <w:rsid w:val="00363502"/>
    <w:rsid w:val="00363CC0"/>
    <w:rsid w:val="00364211"/>
    <w:rsid w:val="00364676"/>
    <w:rsid w:val="003647A5"/>
    <w:rsid w:val="00364FF2"/>
    <w:rsid w:val="003652D3"/>
    <w:rsid w:val="003656E1"/>
    <w:rsid w:val="00365C9D"/>
    <w:rsid w:val="003664C9"/>
    <w:rsid w:val="0037013E"/>
    <w:rsid w:val="003704F3"/>
    <w:rsid w:val="00370E78"/>
    <w:rsid w:val="00372336"/>
    <w:rsid w:val="00372398"/>
    <w:rsid w:val="0037250B"/>
    <w:rsid w:val="00372525"/>
    <w:rsid w:val="003728A0"/>
    <w:rsid w:val="00372AB1"/>
    <w:rsid w:val="00372AFE"/>
    <w:rsid w:val="00372BFD"/>
    <w:rsid w:val="0037304B"/>
    <w:rsid w:val="0037356E"/>
    <w:rsid w:val="00373746"/>
    <w:rsid w:val="003737EF"/>
    <w:rsid w:val="00373926"/>
    <w:rsid w:val="00373A73"/>
    <w:rsid w:val="00373BC9"/>
    <w:rsid w:val="00373ED2"/>
    <w:rsid w:val="00373F0B"/>
    <w:rsid w:val="00373F4D"/>
    <w:rsid w:val="003746BF"/>
    <w:rsid w:val="00374C6D"/>
    <w:rsid w:val="00374E6A"/>
    <w:rsid w:val="003750B7"/>
    <w:rsid w:val="003753B0"/>
    <w:rsid w:val="003754C4"/>
    <w:rsid w:val="00375B34"/>
    <w:rsid w:val="003760FA"/>
    <w:rsid w:val="00376603"/>
    <w:rsid w:val="00376EC6"/>
    <w:rsid w:val="00377103"/>
    <w:rsid w:val="00377C7E"/>
    <w:rsid w:val="00377DBD"/>
    <w:rsid w:val="00380D4C"/>
    <w:rsid w:val="003811D5"/>
    <w:rsid w:val="0038169B"/>
    <w:rsid w:val="00381A14"/>
    <w:rsid w:val="00381C77"/>
    <w:rsid w:val="003822B9"/>
    <w:rsid w:val="00382A69"/>
    <w:rsid w:val="00383C7F"/>
    <w:rsid w:val="003842F6"/>
    <w:rsid w:val="003844A1"/>
    <w:rsid w:val="0038481D"/>
    <w:rsid w:val="0038486F"/>
    <w:rsid w:val="0038496A"/>
    <w:rsid w:val="00384B0C"/>
    <w:rsid w:val="00384ED9"/>
    <w:rsid w:val="0038512C"/>
    <w:rsid w:val="003853FC"/>
    <w:rsid w:val="00385852"/>
    <w:rsid w:val="00385AC5"/>
    <w:rsid w:val="00385FCD"/>
    <w:rsid w:val="003866B5"/>
    <w:rsid w:val="00386CDD"/>
    <w:rsid w:val="00386D50"/>
    <w:rsid w:val="0038706C"/>
    <w:rsid w:val="003870D9"/>
    <w:rsid w:val="00387622"/>
    <w:rsid w:val="003876C8"/>
    <w:rsid w:val="00391290"/>
    <w:rsid w:val="00391C72"/>
    <w:rsid w:val="00392144"/>
    <w:rsid w:val="00392264"/>
    <w:rsid w:val="00392CAB"/>
    <w:rsid w:val="00392E14"/>
    <w:rsid w:val="00393C7D"/>
    <w:rsid w:val="003940D6"/>
    <w:rsid w:val="0039481B"/>
    <w:rsid w:val="00394852"/>
    <w:rsid w:val="00394944"/>
    <w:rsid w:val="00394D6E"/>
    <w:rsid w:val="003954CF"/>
    <w:rsid w:val="00395833"/>
    <w:rsid w:val="00396458"/>
    <w:rsid w:val="0039770D"/>
    <w:rsid w:val="003978A5"/>
    <w:rsid w:val="00397B4A"/>
    <w:rsid w:val="00397BD0"/>
    <w:rsid w:val="00397DA1"/>
    <w:rsid w:val="00397E62"/>
    <w:rsid w:val="003A0043"/>
    <w:rsid w:val="003A06A9"/>
    <w:rsid w:val="003A166C"/>
    <w:rsid w:val="003A196E"/>
    <w:rsid w:val="003A1A0C"/>
    <w:rsid w:val="003A1D4F"/>
    <w:rsid w:val="003A1E54"/>
    <w:rsid w:val="003A2D94"/>
    <w:rsid w:val="003A3F0E"/>
    <w:rsid w:val="003A426A"/>
    <w:rsid w:val="003A446C"/>
    <w:rsid w:val="003A45F9"/>
    <w:rsid w:val="003A47A3"/>
    <w:rsid w:val="003A4B20"/>
    <w:rsid w:val="003A4DCD"/>
    <w:rsid w:val="003A50CC"/>
    <w:rsid w:val="003A6313"/>
    <w:rsid w:val="003A6941"/>
    <w:rsid w:val="003A6ACE"/>
    <w:rsid w:val="003A751C"/>
    <w:rsid w:val="003A7E24"/>
    <w:rsid w:val="003A7E80"/>
    <w:rsid w:val="003A7FC6"/>
    <w:rsid w:val="003B02FC"/>
    <w:rsid w:val="003B0E04"/>
    <w:rsid w:val="003B1044"/>
    <w:rsid w:val="003B30C2"/>
    <w:rsid w:val="003B3747"/>
    <w:rsid w:val="003B3E40"/>
    <w:rsid w:val="003B44F6"/>
    <w:rsid w:val="003B466A"/>
    <w:rsid w:val="003B470C"/>
    <w:rsid w:val="003B4D87"/>
    <w:rsid w:val="003B4DE1"/>
    <w:rsid w:val="003B5162"/>
    <w:rsid w:val="003B5207"/>
    <w:rsid w:val="003B564C"/>
    <w:rsid w:val="003B5888"/>
    <w:rsid w:val="003B5CF0"/>
    <w:rsid w:val="003B5DE5"/>
    <w:rsid w:val="003B5E9A"/>
    <w:rsid w:val="003B5F1F"/>
    <w:rsid w:val="003B66AC"/>
    <w:rsid w:val="003B6B03"/>
    <w:rsid w:val="003B6B21"/>
    <w:rsid w:val="003B6C77"/>
    <w:rsid w:val="003B6D8B"/>
    <w:rsid w:val="003B78E6"/>
    <w:rsid w:val="003B7A74"/>
    <w:rsid w:val="003B7B3B"/>
    <w:rsid w:val="003C00EC"/>
    <w:rsid w:val="003C0764"/>
    <w:rsid w:val="003C139E"/>
    <w:rsid w:val="003C17E1"/>
    <w:rsid w:val="003C20EB"/>
    <w:rsid w:val="003C276E"/>
    <w:rsid w:val="003C330D"/>
    <w:rsid w:val="003C3335"/>
    <w:rsid w:val="003C338F"/>
    <w:rsid w:val="003C3697"/>
    <w:rsid w:val="003C39A2"/>
    <w:rsid w:val="003C4018"/>
    <w:rsid w:val="003C41BD"/>
    <w:rsid w:val="003C42F5"/>
    <w:rsid w:val="003C4B81"/>
    <w:rsid w:val="003C517B"/>
    <w:rsid w:val="003C52AD"/>
    <w:rsid w:val="003C5321"/>
    <w:rsid w:val="003C538B"/>
    <w:rsid w:val="003C53F6"/>
    <w:rsid w:val="003C54A2"/>
    <w:rsid w:val="003C5C95"/>
    <w:rsid w:val="003C5EE7"/>
    <w:rsid w:val="003C5F63"/>
    <w:rsid w:val="003C6DC0"/>
    <w:rsid w:val="003C7068"/>
    <w:rsid w:val="003C74AB"/>
    <w:rsid w:val="003C7923"/>
    <w:rsid w:val="003C79ED"/>
    <w:rsid w:val="003C7CA7"/>
    <w:rsid w:val="003C7F09"/>
    <w:rsid w:val="003D0DE3"/>
    <w:rsid w:val="003D1CCB"/>
    <w:rsid w:val="003D1DAA"/>
    <w:rsid w:val="003D20E4"/>
    <w:rsid w:val="003D214E"/>
    <w:rsid w:val="003D28A1"/>
    <w:rsid w:val="003D2AE8"/>
    <w:rsid w:val="003D31A8"/>
    <w:rsid w:val="003D34BD"/>
    <w:rsid w:val="003D37E8"/>
    <w:rsid w:val="003D398C"/>
    <w:rsid w:val="003D3B90"/>
    <w:rsid w:val="003D3FC6"/>
    <w:rsid w:val="003D43AA"/>
    <w:rsid w:val="003D46EC"/>
    <w:rsid w:val="003D47AF"/>
    <w:rsid w:val="003D47FF"/>
    <w:rsid w:val="003D4F16"/>
    <w:rsid w:val="003D4F56"/>
    <w:rsid w:val="003D4F8A"/>
    <w:rsid w:val="003D50BB"/>
    <w:rsid w:val="003D58B7"/>
    <w:rsid w:val="003D5E53"/>
    <w:rsid w:val="003D6282"/>
    <w:rsid w:val="003D6AEB"/>
    <w:rsid w:val="003D6CD4"/>
    <w:rsid w:val="003D7ACF"/>
    <w:rsid w:val="003E00A1"/>
    <w:rsid w:val="003E079C"/>
    <w:rsid w:val="003E0845"/>
    <w:rsid w:val="003E0C35"/>
    <w:rsid w:val="003E104C"/>
    <w:rsid w:val="003E111A"/>
    <w:rsid w:val="003E141F"/>
    <w:rsid w:val="003E1533"/>
    <w:rsid w:val="003E17DE"/>
    <w:rsid w:val="003E1D31"/>
    <w:rsid w:val="003E1E76"/>
    <w:rsid w:val="003E245E"/>
    <w:rsid w:val="003E26E0"/>
    <w:rsid w:val="003E28EC"/>
    <w:rsid w:val="003E3383"/>
    <w:rsid w:val="003E34C3"/>
    <w:rsid w:val="003E3572"/>
    <w:rsid w:val="003E3AE3"/>
    <w:rsid w:val="003E44BB"/>
    <w:rsid w:val="003E502F"/>
    <w:rsid w:val="003E575C"/>
    <w:rsid w:val="003E65EA"/>
    <w:rsid w:val="003E67FD"/>
    <w:rsid w:val="003E7014"/>
    <w:rsid w:val="003E733C"/>
    <w:rsid w:val="003E765B"/>
    <w:rsid w:val="003E76A2"/>
    <w:rsid w:val="003E77D8"/>
    <w:rsid w:val="003E7D4A"/>
    <w:rsid w:val="003F0678"/>
    <w:rsid w:val="003F08E4"/>
    <w:rsid w:val="003F0CAB"/>
    <w:rsid w:val="003F0F8F"/>
    <w:rsid w:val="003F10E3"/>
    <w:rsid w:val="003F1227"/>
    <w:rsid w:val="003F16C6"/>
    <w:rsid w:val="003F16E7"/>
    <w:rsid w:val="003F1E42"/>
    <w:rsid w:val="003F1F4A"/>
    <w:rsid w:val="003F20E7"/>
    <w:rsid w:val="003F2107"/>
    <w:rsid w:val="003F43C5"/>
    <w:rsid w:val="003F4449"/>
    <w:rsid w:val="003F44DE"/>
    <w:rsid w:val="003F49D4"/>
    <w:rsid w:val="003F4DAD"/>
    <w:rsid w:val="003F4DB7"/>
    <w:rsid w:val="003F4E54"/>
    <w:rsid w:val="003F4EA5"/>
    <w:rsid w:val="003F54FE"/>
    <w:rsid w:val="003F5B1A"/>
    <w:rsid w:val="003F6431"/>
    <w:rsid w:val="003F6716"/>
    <w:rsid w:val="003F67C2"/>
    <w:rsid w:val="003F6A2B"/>
    <w:rsid w:val="003F6B7C"/>
    <w:rsid w:val="003F6CAB"/>
    <w:rsid w:val="003F6DCB"/>
    <w:rsid w:val="003F6E39"/>
    <w:rsid w:val="003F6E87"/>
    <w:rsid w:val="003F7089"/>
    <w:rsid w:val="003F7224"/>
    <w:rsid w:val="003F7773"/>
    <w:rsid w:val="003F782F"/>
    <w:rsid w:val="003F7B9A"/>
    <w:rsid w:val="003F7D9B"/>
    <w:rsid w:val="004003DB"/>
    <w:rsid w:val="00400AD7"/>
    <w:rsid w:val="004011A8"/>
    <w:rsid w:val="0040149C"/>
    <w:rsid w:val="0040152E"/>
    <w:rsid w:val="00401701"/>
    <w:rsid w:val="0040180E"/>
    <w:rsid w:val="00401EE3"/>
    <w:rsid w:val="00402799"/>
    <w:rsid w:val="00402FDF"/>
    <w:rsid w:val="004031BC"/>
    <w:rsid w:val="004034FE"/>
    <w:rsid w:val="00403D37"/>
    <w:rsid w:val="00403F3C"/>
    <w:rsid w:val="004044C4"/>
    <w:rsid w:val="00404647"/>
    <w:rsid w:val="004046BA"/>
    <w:rsid w:val="00404930"/>
    <w:rsid w:val="00404C64"/>
    <w:rsid w:val="00405502"/>
    <w:rsid w:val="004055FA"/>
    <w:rsid w:val="00405C98"/>
    <w:rsid w:val="00405E51"/>
    <w:rsid w:val="00406526"/>
    <w:rsid w:val="00406624"/>
    <w:rsid w:val="00406750"/>
    <w:rsid w:val="00406960"/>
    <w:rsid w:val="004069EA"/>
    <w:rsid w:val="0040764F"/>
    <w:rsid w:val="004078B2"/>
    <w:rsid w:val="00407DE2"/>
    <w:rsid w:val="00407FC2"/>
    <w:rsid w:val="004111BC"/>
    <w:rsid w:val="0041141D"/>
    <w:rsid w:val="00411D18"/>
    <w:rsid w:val="004121AB"/>
    <w:rsid w:val="00412E47"/>
    <w:rsid w:val="00412F7E"/>
    <w:rsid w:val="00413078"/>
    <w:rsid w:val="004131F3"/>
    <w:rsid w:val="004133C9"/>
    <w:rsid w:val="0041357C"/>
    <w:rsid w:val="00414176"/>
    <w:rsid w:val="0041433F"/>
    <w:rsid w:val="004149C6"/>
    <w:rsid w:val="00414B56"/>
    <w:rsid w:val="00414D31"/>
    <w:rsid w:val="00414DBC"/>
    <w:rsid w:val="00414F70"/>
    <w:rsid w:val="00415EBB"/>
    <w:rsid w:val="00415EF8"/>
    <w:rsid w:val="00416A19"/>
    <w:rsid w:val="00416DD0"/>
    <w:rsid w:val="004173C8"/>
    <w:rsid w:val="00417794"/>
    <w:rsid w:val="0041793E"/>
    <w:rsid w:val="004200E9"/>
    <w:rsid w:val="00420FB3"/>
    <w:rsid w:val="004216E7"/>
    <w:rsid w:val="00421E50"/>
    <w:rsid w:val="0042266A"/>
    <w:rsid w:val="00422E60"/>
    <w:rsid w:val="0042364B"/>
    <w:rsid w:val="004240F4"/>
    <w:rsid w:val="004247FA"/>
    <w:rsid w:val="004249C8"/>
    <w:rsid w:val="00424DD5"/>
    <w:rsid w:val="00424F1F"/>
    <w:rsid w:val="004253F5"/>
    <w:rsid w:val="00425E92"/>
    <w:rsid w:val="00426170"/>
    <w:rsid w:val="00426194"/>
    <w:rsid w:val="0042645F"/>
    <w:rsid w:val="0042716E"/>
    <w:rsid w:val="004271CA"/>
    <w:rsid w:val="004274C2"/>
    <w:rsid w:val="00427B16"/>
    <w:rsid w:val="00427DF1"/>
    <w:rsid w:val="00427F2B"/>
    <w:rsid w:val="00430934"/>
    <w:rsid w:val="0043124C"/>
    <w:rsid w:val="00431328"/>
    <w:rsid w:val="004316A9"/>
    <w:rsid w:val="00431A16"/>
    <w:rsid w:val="00431E58"/>
    <w:rsid w:val="00431F22"/>
    <w:rsid w:val="004327ED"/>
    <w:rsid w:val="00432A1C"/>
    <w:rsid w:val="00432F1D"/>
    <w:rsid w:val="00433333"/>
    <w:rsid w:val="00433391"/>
    <w:rsid w:val="00433C24"/>
    <w:rsid w:val="004340C8"/>
    <w:rsid w:val="004344A6"/>
    <w:rsid w:val="004344E0"/>
    <w:rsid w:val="004345A2"/>
    <w:rsid w:val="004346D8"/>
    <w:rsid w:val="00435612"/>
    <w:rsid w:val="00435764"/>
    <w:rsid w:val="00435833"/>
    <w:rsid w:val="00435EA4"/>
    <w:rsid w:val="00436BBF"/>
    <w:rsid w:val="00436EEF"/>
    <w:rsid w:val="004379AC"/>
    <w:rsid w:val="00437D3C"/>
    <w:rsid w:val="00437E53"/>
    <w:rsid w:val="00437EBD"/>
    <w:rsid w:val="004400F7"/>
    <w:rsid w:val="004401FA"/>
    <w:rsid w:val="004404B0"/>
    <w:rsid w:val="00440D74"/>
    <w:rsid w:val="00440FCE"/>
    <w:rsid w:val="00441B9C"/>
    <w:rsid w:val="00441DD8"/>
    <w:rsid w:val="00441FBD"/>
    <w:rsid w:val="00442481"/>
    <w:rsid w:val="00442A16"/>
    <w:rsid w:val="00442C45"/>
    <w:rsid w:val="0044356D"/>
    <w:rsid w:val="00443C7F"/>
    <w:rsid w:val="00443FF1"/>
    <w:rsid w:val="0044419A"/>
    <w:rsid w:val="00444564"/>
    <w:rsid w:val="00444AED"/>
    <w:rsid w:val="00444B1D"/>
    <w:rsid w:val="004450D9"/>
    <w:rsid w:val="004456D8"/>
    <w:rsid w:val="00445FAF"/>
    <w:rsid w:val="00446069"/>
    <w:rsid w:val="00446471"/>
    <w:rsid w:val="0044706C"/>
    <w:rsid w:val="0044724D"/>
    <w:rsid w:val="004478F4"/>
    <w:rsid w:val="004504C7"/>
    <w:rsid w:val="0045058C"/>
    <w:rsid w:val="0045063E"/>
    <w:rsid w:val="00450814"/>
    <w:rsid w:val="00450B7D"/>
    <w:rsid w:val="00450D2E"/>
    <w:rsid w:val="004510B4"/>
    <w:rsid w:val="004515B7"/>
    <w:rsid w:val="00451B3E"/>
    <w:rsid w:val="00451E10"/>
    <w:rsid w:val="00451E98"/>
    <w:rsid w:val="0045256C"/>
    <w:rsid w:val="004530EF"/>
    <w:rsid w:val="0045312A"/>
    <w:rsid w:val="0045319B"/>
    <w:rsid w:val="00453345"/>
    <w:rsid w:val="00453429"/>
    <w:rsid w:val="004535A8"/>
    <w:rsid w:val="004535B7"/>
    <w:rsid w:val="00453D9E"/>
    <w:rsid w:val="00454771"/>
    <w:rsid w:val="00454983"/>
    <w:rsid w:val="00454BB7"/>
    <w:rsid w:val="004556EF"/>
    <w:rsid w:val="00455778"/>
    <w:rsid w:val="00455AD9"/>
    <w:rsid w:val="00455BBF"/>
    <w:rsid w:val="0045610C"/>
    <w:rsid w:val="00456252"/>
    <w:rsid w:val="004567AF"/>
    <w:rsid w:val="00456E1E"/>
    <w:rsid w:val="00457990"/>
    <w:rsid w:val="00457A07"/>
    <w:rsid w:val="00457A0C"/>
    <w:rsid w:val="00457AA6"/>
    <w:rsid w:val="00457E24"/>
    <w:rsid w:val="00460754"/>
    <w:rsid w:val="004607B2"/>
    <w:rsid w:val="00460826"/>
    <w:rsid w:val="004608EC"/>
    <w:rsid w:val="004611C0"/>
    <w:rsid w:val="004614E6"/>
    <w:rsid w:val="0046152E"/>
    <w:rsid w:val="00461769"/>
    <w:rsid w:val="0046192E"/>
    <w:rsid w:val="0046196F"/>
    <w:rsid w:val="00461BA1"/>
    <w:rsid w:val="00461BD5"/>
    <w:rsid w:val="00462625"/>
    <w:rsid w:val="004629F0"/>
    <w:rsid w:val="00462DD5"/>
    <w:rsid w:val="00462FA2"/>
    <w:rsid w:val="004632AE"/>
    <w:rsid w:val="004636F9"/>
    <w:rsid w:val="0046378B"/>
    <w:rsid w:val="0046386A"/>
    <w:rsid w:val="004639C1"/>
    <w:rsid w:val="004639F9"/>
    <w:rsid w:val="00463AFC"/>
    <w:rsid w:val="00463BF8"/>
    <w:rsid w:val="0046416F"/>
    <w:rsid w:val="00464601"/>
    <w:rsid w:val="00464622"/>
    <w:rsid w:val="00464750"/>
    <w:rsid w:val="00464BC4"/>
    <w:rsid w:val="00464D2B"/>
    <w:rsid w:val="00464D42"/>
    <w:rsid w:val="00465001"/>
    <w:rsid w:val="00465079"/>
    <w:rsid w:val="004651A7"/>
    <w:rsid w:val="0046535B"/>
    <w:rsid w:val="00465739"/>
    <w:rsid w:val="0046591E"/>
    <w:rsid w:val="004659D1"/>
    <w:rsid w:val="00465B69"/>
    <w:rsid w:val="00466458"/>
    <w:rsid w:val="00466FF3"/>
    <w:rsid w:val="004670DE"/>
    <w:rsid w:val="0046714A"/>
    <w:rsid w:val="00467164"/>
    <w:rsid w:val="004679AC"/>
    <w:rsid w:val="00467A47"/>
    <w:rsid w:val="00470496"/>
    <w:rsid w:val="00470C03"/>
    <w:rsid w:val="00470EFC"/>
    <w:rsid w:val="0047127C"/>
    <w:rsid w:val="004719EE"/>
    <w:rsid w:val="00471A96"/>
    <w:rsid w:val="00471B26"/>
    <w:rsid w:val="0047287E"/>
    <w:rsid w:val="00472990"/>
    <w:rsid w:val="00472DD0"/>
    <w:rsid w:val="00473472"/>
    <w:rsid w:val="00473809"/>
    <w:rsid w:val="00473E17"/>
    <w:rsid w:val="0047415B"/>
    <w:rsid w:val="0047428B"/>
    <w:rsid w:val="00474562"/>
    <w:rsid w:val="00474B7F"/>
    <w:rsid w:val="00474D24"/>
    <w:rsid w:val="00474E7D"/>
    <w:rsid w:val="00475F68"/>
    <w:rsid w:val="00475F8A"/>
    <w:rsid w:val="00476545"/>
    <w:rsid w:val="004767A4"/>
    <w:rsid w:val="0047684C"/>
    <w:rsid w:val="00476A31"/>
    <w:rsid w:val="00476DC2"/>
    <w:rsid w:val="00477DD9"/>
    <w:rsid w:val="00477F39"/>
    <w:rsid w:val="004800EF"/>
    <w:rsid w:val="0048016D"/>
    <w:rsid w:val="0048033B"/>
    <w:rsid w:val="0048090F"/>
    <w:rsid w:val="004809F7"/>
    <w:rsid w:val="00480AC2"/>
    <w:rsid w:val="00480C4D"/>
    <w:rsid w:val="004813F7"/>
    <w:rsid w:val="0048188F"/>
    <w:rsid w:val="004818C8"/>
    <w:rsid w:val="00481B07"/>
    <w:rsid w:val="00481B59"/>
    <w:rsid w:val="00481BC8"/>
    <w:rsid w:val="0048210C"/>
    <w:rsid w:val="004823C4"/>
    <w:rsid w:val="00482B0B"/>
    <w:rsid w:val="00482D18"/>
    <w:rsid w:val="00482FEF"/>
    <w:rsid w:val="00483030"/>
    <w:rsid w:val="0048333B"/>
    <w:rsid w:val="0048365A"/>
    <w:rsid w:val="004836CB"/>
    <w:rsid w:val="0048474B"/>
    <w:rsid w:val="00484DB2"/>
    <w:rsid w:val="0048528D"/>
    <w:rsid w:val="004854C9"/>
    <w:rsid w:val="00485967"/>
    <w:rsid w:val="0048598F"/>
    <w:rsid w:val="00485D15"/>
    <w:rsid w:val="004860BF"/>
    <w:rsid w:val="00486A9B"/>
    <w:rsid w:val="00486DE7"/>
    <w:rsid w:val="004870B0"/>
    <w:rsid w:val="0048797B"/>
    <w:rsid w:val="00487C74"/>
    <w:rsid w:val="00487EC6"/>
    <w:rsid w:val="004903C8"/>
    <w:rsid w:val="00490BDE"/>
    <w:rsid w:val="004913F1"/>
    <w:rsid w:val="004915CC"/>
    <w:rsid w:val="0049161D"/>
    <w:rsid w:val="00492A62"/>
    <w:rsid w:val="00492D4A"/>
    <w:rsid w:val="00492DE8"/>
    <w:rsid w:val="00492FFA"/>
    <w:rsid w:val="00493194"/>
    <w:rsid w:val="004931AA"/>
    <w:rsid w:val="004935D7"/>
    <w:rsid w:val="00493F4C"/>
    <w:rsid w:val="004948AE"/>
    <w:rsid w:val="00495677"/>
    <w:rsid w:val="00495777"/>
    <w:rsid w:val="0049593B"/>
    <w:rsid w:val="00495DA3"/>
    <w:rsid w:val="004963E3"/>
    <w:rsid w:val="0049689B"/>
    <w:rsid w:val="0049699B"/>
    <w:rsid w:val="00496C3E"/>
    <w:rsid w:val="00497358"/>
    <w:rsid w:val="0049755D"/>
    <w:rsid w:val="00497981"/>
    <w:rsid w:val="004A0263"/>
    <w:rsid w:val="004A03CF"/>
    <w:rsid w:val="004A068B"/>
    <w:rsid w:val="004A1B0B"/>
    <w:rsid w:val="004A2068"/>
    <w:rsid w:val="004A2124"/>
    <w:rsid w:val="004A2AD9"/>
    <w:rsid w:val="004A2D14"/>
    <w:rsid w:val="004A3BCF"/>
    <w:rsid w:val="004A4367"/>
    <w:rsid w:val="004A4ACB"/>
    <w:rsid w:val="004A4E9D"/>
    <w:rsid w:val="004A53AB"/>
    <w:rsid w:val="004A55D4"/>
    <w:rsid w:val="004A56B9"/>
    <w:rsid w:val="004A5974"/>
    <w:rsid w:val="004A5BD9"/>
    <w:rsid w:val="004A5C62"/>
    <w:rsid w:val="004A629D"/>
    <w:rsid w:val="004A65CB"/>
    <w:rsid w:val="004A6A62"/>
    <w:rsid w:val="004A6BAA"/>
    <w:rsid w:val="004A6FE1"/>
    <w:rsid w:val="004A7193"/>
    <w:rsid w:val="004A7251"/>
    <w:rsid w:val="004A728F"/>
    <w:rsid w:val="004A730B"/>
    <w:rsid w:val="004A7A0E"/>
    <w:rsid w:val="004B0143"/>
    <w:rsid w:val="004B0188"/>
    <w:rsid w:val="004B09E5"/>
    <w:rsid w:val="004B0E44"/>
    <w:rsid w:val="004B11B3"/>
    <w:rsid w:val="004B1A4E"/>
    <w:rsid w:val="004B1C9E"/>
    <w:rsid w:val="004B1FA3"/>
    <w:rsid w:val="004B1FA8"/>
    <w:rsid w:val="004B259B"/>
    <w:rsid w:val="004B26E9"/>
    <w:rsid w:val="004B2D05"/>
    <w:rsid w:val="004B322E"/>
    <w:rsid w:val="004B327D"/>
    <w:rsid w:val="004B3360"/>
    <w:rsid w:val="004B35B0"/>
    <w:rsid w:val="004B3766"/>
    <w:rsid w:val="004B389E"/>
    <w:rsid w:val="004B3ACB"/>
    <w:rsid w:val="004B43D6"/>
    <w:rsid w:val="004B49B1"/>
    <w:rsid w:val="004B4BB0"/>
    <w:rsid w:val="004B55F7"/>
    <w:rsid w:val="004B5D95"/>
    <w:rsid w:val="004B62C8"/>
    <w:rsid w:val="004B6919"/>
    <w:rsid w:val="004B7033"/>
    <w:rsid w:val="004B7830"/>
    <w:rsid w:val="004B7E04"/>
    <w:rsid w:val="004C0222"/>
    <w:rsid w:val="004C033D"/>
    <w:rsid w:val="004C033F"/>
    <w:rsid w:val="004C073A"/>
    <w:rsid w:val="004C07DB"/>
    <w:rsid w:val="004C0A26"/>
    <w:rsid w:val="004C13A4"/>
    <w:rsid w:val="004C1472"/>
    <w:rsid w:val="004C18CB"/>
    <w:rsid w:val="004C1951"/>
    <w:rsid w:val="004C1B4F"/>
    <w:rsid w:val="004C1CFF"/>
    <w:rsid w:val="004C1D90"/>
    <w:rsid w:val="004C1E01"/>
    <w:rsid w:val="004C2655"/>
    <w:rsid w:val="004C318A"/>
    <w:rsid w:val="004C3490"/>
    <w:rsid w:val="004C38CE"/>
    <w:rsid w:val="004C3C53"/>
    <w:rsid w:val="004C3FA7"/>
    <w:rsid w:val="004C4177"/>
    <w:rsid w:val="004C4601"/>
    <w:rsid w:val="004C48BB"/>
    <w:rsid w:val="004C64A6"/>
    <w:rsid w:val="004C6516"/>
    <w:rsid w:val="004C68A5"/>
    <w:rsid w:val="004C6C45"/>
    <w:rsid w:val="004C7394"/>
    <w:rsid w:val="004C7750"/>
    <w:rsid w:val="004C7955"/>
    <w:rsid w:val="004C79D4"/>
    <w:rsid w:val="004C7D37"/>
    <w:rsid w:val="004D068B"/>
    <w:rsid w:val="004D15BF"/>
    <w:rsid w:val="004D1CF5"/>
    <w:rsid w:val="004D1E54"/>
    <w:rsid w:val="004D1E6A"/>
    <w:rsid w:val="004D21C6"/>
    <w:rsid w:val="004D2479"/>
    <w:rsid w:val="004D2B29"/>
    <w:rsid w:val="004D2E42"/>
    <w:rsid w:val="004D3374"/>
    <w:rsid w:val="004D391E"/>
    <w:rsid w:val="004D39AD"/>
    <w:rsid w:val="004D39C3"/>
    <w:rsid w:val="004D3B84"/>
    <w:rsid w:val="004D3D38"/>
    <w:rsid w:val="004D405A"/>
    <w:rsid w:val="004D40A8"/>
    <w:rsid w:val="004D450B"/>
    <w:rsid w:val="004D46F2"/>
    <w:rsid w:val="004D4987"/>
    <w:rsid w:val="004D49BC"/>
    <w:rsid w:val="004D4B6C"/>
    <w:rsid w:val="004D4BD7"/>
    <w:rsid w:val="004D4D56"/>
    <w:rsid w:val="004D4EEE"/>
    <w:rsid w:val="004D5946"/>
    <w:rsid w:val="004D5F00"/>
    <w:rsid w:val="004D70B0"/>
    <w:rsid w:val="004D7135"/>
    <w:rsid w:val="004D71DE"/>
    <w:rsid w:val="004D7285"/>
    <w:rsid w:val="004D7672"/>
    <w:rsid w:val="004D7B7D"/>
    <w:rsid w:val="004D7BC0"/>
    <w:rsid w:val="004D7C7F"/>
    <w:rsid w:val="004E0CE9"/>
    <w:rsid w:val="004E1538"/>
    <w:rsid w:val="004E16C3"/>
    <w:rsid w:val="004E2D73"/>
    <w:rsid w:val="004E3357"/>
    <w:rsid w:val="004E3371"/>
    <w:rsid w:val="004E3627"/>
    <w:rsid w:val="004E3BBE"/>
    <w:rsid w:val="004E4376"/>
    <w:rsid w:val="004E446D"/>
    <w:rsid w:val="004E4BA7"/>
    <w:rsid w:val="004E51CB"/>
    <w:rsid w:val="004E5457"/>
    <w:rsid w:val="004E5AF9"/>
    <w:rsid w:val="004E62CA"/>
    <w:rsid w:val="004E6C72"/>
    <w:rsid w:val="004E6E1E"/>
    <w:rsid w:val="004E7414"/>
    <w:rsid w:val="004E7660"/>
    <w:rsid w:val="004E7A98"/>
    <w:rsid w:val="004E7D8D"/>
    <w:rsid w:val="004F088A"/>
    <w:rsid w:val="004F1B0B"/>
    <w:rsid w:val="004F1D99"/>
    <w:rsid w:val="004F1E96"/>
    <w:rsid w:val="004F22D2"/>
    <w:rsid w:val="004F2300"/>
    <w:rsid w:val="004F2E81"/>
    <w:rsid w:val="004F2FDA"/>
    <w:rsid w:val="004F3584"/>
    <w:rsid w:val="004F3854"/>
    <w:rsid w:val="004F3C73"/>
    <w:rsid w:val="004F44E2"/>
    <w:rsid w:val="004F469D"/>
    <w:rsid w:val="004F4BF4"/>
    <w:rsid w:val="004F4C48"/>
    <w:rsid w:val="004F4CBF"/>
    <w:rsid w:val="004F5148"/>
    <w:rsid w:val="004F5247"/>
    <w:rsid w:val="004F57EC"/>
    <w:rsid w:val="004F59FA"/>
    <w:rsid w:val="004F5C51"/>
    <w:rsid w:val="004F5DE3"/>
    <w:rsid w:val="004F5DF3"/>
    <w:rsid w:val="004F6220"/>
    <w:rsid w:val="004F67CD"/>
    <w:rsid w:val="004F6D28"/>
    <w:rsid w:val="004F6EEB"/>
    <w:rsid w:val="004F74BE"/>
    <w:rsid w:val="005006C2"/>
    <w:rsid w:val="00500D3B"/>
    <w:rsid w:val="00500FAC"/>
    <w:rsid w:val="0050117B"/>
    <w:rsid w:val="00501852"/>
    <w:rsid w:val="00501893"/>
    <w:rsid w:val="00502246"/>
    <w:rsid w:val="00502A10"/>
    <w:rsid w:val="0050316F"/>
    <w:rsid w:val="0050317B"/>
    <w:rsid w:val="00503408"/>
    <w:rsid w:val="00503573"/>
    <w:rsid w:val="0050382D"/>
    <w:rsid w:val="0050475D"/>
    <w:rsid w:val="0050494D"/>
    <w:rsid w:val="00504FDD"/>
    <w:rsid w:val="005052E0"/>
    <w:rsid w:val="00505340"/>
    <w:rsid w:val="00505893"/>
    <w:rsid w:val="00505B75"/>
    <w:rsid w:val="00506507"/>
    <w:rsid w:val="005067A7"/>
    <w:rsid w:val="00506906"/>
    <w:rsid w:val="00506F90"/>
    <w:rsid w:val="005070D0"/>
    <w:rsid w:val="005076B7"/>
    <w:rsid w:val="00507740"/>
    <w:rsid w:val="00507C77"/>
    <w:rsid w:val="005102FD"/>
    <w:rsid w:val="005105CC"/>
    <w:rsid w:val="00510B5B"/>
    <w:rsid w:val="00510E76"/>
    <w:rsid w:val="00511A46"/>
    <w:rsid w:val="00511E55"/>
    <w:rsid w:val="00511FF1"/>
    <w:rsid w:val="005125DF"/>
    <w:rsid w:val="005127C6"/>
    <w:rsid w:val="00512D15"/>
    <w:rsid w:val="00512DA6"/>
    <w:rsid w:val="00513521"/>
    <w:rsid w:val="0051367E"/>
    <w:rsid w:val="00513A6E"/>
    <w:rsid w:val="0051438C"/>
    <w:rsid w:val="00514A36"/>
    <w:rsid w:val="00514E83"/>
    <w:rsid w:val="00514FB4"/>
    <w:rsid w:val="0051552A"/>
    <w:rsid w:val="00515A48"/>
    <w:rsid w:val="005161CF"/>
    <w:rsid w:val="005165FB"/>
    <w:rsid w:val="00516C9A"/>
    <w:rsid w:val="00517680"/>
    <w:rsid w:val="00517DDE"/>
    <w:rsid w:val="00520087"/>
    <w:rsid w:val="0052015B"/>
    <w:rsid w:val="00520E1D"/>
    <w:rsid w:val="005213EE"/>
    <w:rsid w:val="00521F50"/>
    <w:rsid w:val="00521F91"/>
    <w:rsid w:val="005220A7"/>
    <w:rsid w:val="0052222D"/>
    <w:rsid w:val="005222AB"/>
    <w:rsid w:val="005223BE"/>
    <w:rsid w:val="00522C2F"/>
    <w:rsid w:val="005236F8"/>
    <w:rsid w:val="00523C1F"/>
    <w:rsid w:val="00523C35"/>
    <w:rsid w:val="00523FA2"/>
    <w:rsid w:val="0052454A"/>
    <w:rsid w:val="00524716"/>
    <w:rsid w:val="00524FE6"/>
    <w:rsid w:val="0052502D"/>
    <w:rsid w:val="0052505E"/>
    <w:rsid w:val="00525254"/>
    <w:rsid w:val="005255D0"/>
    <w:rsid w:val="005257F2"/>
    <w:rsid w:val="00525D45"/>
    <w:rsid w:val="00526427"/>
    <w:rsid w:val="00526A08"/>
    <w:rsid w:val="00526CC8"/>
    <w:rsid w:val="005271BB"/>
    <w:rsid w:val="00527640"/>
    <w:rsid w:val="00530271"/>
    <w:rsid w:val="00530462"/>
    <w:rsid w:val="0053050D"/>
    <w:rsid w:val="00530E53"/>
    <w:rsid w:val="00530FAF"/>
    <w:rsid w:val="005313E8"/>
    <w:rsid w:val="005316F2"/>
    <w:rsid w:val="005319B3"/>
    <w:rsid w:val="00531E4C"/>
    <w:rsid w:val="00532414"/>
    <w:rsid w:val="0053248C"/>
    <w:rsid w:val="00533003"/>
    <w:rsid w:val="00533079"/>
    <w:rsid w:val="005337CA"/>
    <w:rsid w:val="00533F68"/>
    <w:rsid w:val="00534325"/>
    <w:rsid w:val="00534A42"/>
    <w:rsid w:val="00535533"/>
    <w:rsid w:val="00535939"/>
    <w:rsid w:val="00535A37"/>
    <w:rsid w:val="00535A85"/>
    <w:rsid w:val="005361C7"/>
    <w:rsid w:val="00536539"/>
    <w:rsid w:val="00536A1D"/>
    <w:rsid w:val="00536D9D"/>
    <w:rsid w:val="00537119"/>
    <w:rsid w:val="0053765D"/>
    <w:rsid w:val="00537BD8"/>
    <w:rsid w:val="00537DA2"/>
    <w:rsid w:val="0054064C"/>
    <w:rsid w:val="005406C5"/>
    <w:rsid w:val="00540BD6"/>
    <w:rsid w:val="00540FED"/>
    <w:rsid w:val="0054240F"/>
    <w:rsid w:val="00542732"/>
    <w:rsid w:val="00542CB5"/>
    <w:rsid w:val="00543625"/>
    <w:rsid w:val="00543775"/>
    <w:rsid w:val="00543CB6"/>
    <w:rsid w:val="00544803"/>
    <w:rsid w:val="005466D1"/>
    <w:rsid w:val="005468C1"/>
    <w:rsid w:val="00546EC2"/>
    <w:rsid w:val="0054728D"/>
    <w:rsid w:val="005476FF"/>
    <w:rsid w:val="005478AB"/>
    <w:rsid w:val="00547DE0"/>
    <w:rsid w:val="00547E9B"/>
    <w:rsid w:val="005514A4"/>
    <w:rsid w:val="005518C0"/>
    <w:rsid w:val="00551DB2"/>
    <w:rsid w:val="00551F88"/>
    <w:rsid w:val="00552012"/>
    <w:rsid w:val="00552AED"/>
    <w:rsid w:val="00552C02"/>
    <w:rsid w:val="00552C3A"/>
    <w:rsid w:val="005532F8"/>
    <w:rsid w:val="00553318"/>
    <w:rsid w:val="0055390C"/>
    <w:rsid w:val="00553B57"/>
    <w:rsid w:val="005542E7"/>
    <w:rsid w:val="0055547D"/>
    <w:rsid w:val="00555A60"/>
    <w:rsid w:val="00555B8C"/>
    <w:rsid w:val="00556F81"/>
    <w:rsid w:val="00557476"/>
    <w:rsid w:val="0055785A"/>
    <w:rsid w:val="00557AD5"/>
    <w:rsid w:val="00557BB6"/>
    <w:rsid w:val="00560061"/>
    <w:rsid w:val="0056021C"/>
    <w:rsid w:val="0056072A"/>
    <w:rsid w:val="00560BF3"/>
    <w:rsid w:val="00560EC2"/>
    <w:rsid w:val="00560F60"/>
    <w:rsid w:val="00561415"/>
    <w:rsid w:val="0056167B"/>
    <w:rsid w:val="005617B8"/>
    <w:rsid w:val="0056193E"/>
    <w:rsid w:val="005619C0"/>
    <w:rsid w:val="00561D01"/>
    <w:rsid w:val="0056218F"/>
    <w:rsid w:val="00562493"/>
    <w:rsid w:val="00563A82"/>
    <w:rsid w:val="005643B0"/>
    <w:rsid w:val="005649EE"/>
    <w:rsid w:val="00564A40"/>
    <w:rsid w:val="005653C1"/>
    <w:rsid w:val="00565DA9"/>
    <w:rsid w:val="005660BE"/>
    <w:rsid w:val="0056621C"/>
    <w:rsid w:val="0056679A"/>
    <w:rsid w:val="00566A98"/>
    <w:rsid w:val="00567136"/>
    <w:rsid w:val="00567736"/>
    <w:rsid w:val="00567BC9"/>
    <w:rsid w:val="00570048"/>
    <w:rsid w:val="00570262"/>
    <w:rsid w:val="00570AC9"/>
    <w:rsid w:val="00570ACC"/>
    <w:rsid w:val="00570FBC"/>
    <w:rsid w:val="00570FDD"/>
    <w:rsid w:val="00571207"/>
    <w:rsid w:val="005712FE"/>
    <w:rsid w:val="005718AD"/>
    <w:rsid w:val="00571AB7"/>
    <w:rsid w:val="00571EE5"/>
    <w:rsid w:val="00572308"/>
    <w:rsid w:val="00572560"/>
    <w:rsid w:val="0057273C"/>
    <w:rsid w:val="0057295D"/>
    <w:rsid w:val="00572C11"/>
    <w:rsid w:val="00572CA7"/>
    <w:rsid w:val="00572D4B"/>
    <w:rsid w:val="0057310C"/>
    <w:rsid w:val="00573128"/>
    <w:rsid w:val="005734A8"/>
    <w:rsid w:val="005737D2"/>
    <w:rsid w:val="00573887"/>
    <w:rsid w:val="005738C1"/>
    <w:rsid w:val="00574100"/>
    <w:rsid w:val="005745F2"/>
    <w:rsid w:val="005746FD"/>
    <w:rsid w:val="00574F58"/>
    <w:rsid w:val="005756D2"/>
    <w:rsid w:val="0057586C"/>
    <w:rsid w:val="00575E71"/>
    <w:rsid w:val="005763C5"/>
    <w:rsid w:val="0057713F"/>
    <w:rsid w:val="00577766"/>
    <w:rsid w:val="005777C1"/>
    <w:rsid w:val="00577AED"/>
    <w:rsid w:val="00577C88"/>
    <w:rsid w:val="00580009"/>
    <w:rsid w:val="005808C8"/>
    <w:rsid w:val="00580C36"/>
    <w:rsid w:val="00581165"/>
    <w:rsid w:val="005812C3"/>
    <w:rsid w:val="00581EDA"/>
    <w:rsid w:val="00583B4F"/>
    <w:rsid w:val="00583B98"/>
    <w:rsid w:val="00583C8B"/>
    <w:rsid w:val="00583EA0"/>
    <w:rsid w:val="00583F80"/>
    <w:rsid w:val="0058401A"/>
    <w:rsid w:val="00584807"/>
    <w:rsid w:val="00584A95"/>
    <w:rsid w:val="00585341"/>
    <w:rsid w:val="00585367"/>
    <w:rsid w:val="00585A6D"/>
    <w:rsid w:val="00585C1A"/>
    <w:rsid w:val="00586663"/>
    <w:rsid w:val="00587001"/>
    <w:rsid w:val="0058726B"/>
    <w:rsid w:val="00587A27"/>
    <w:rsid w:val="00587A42"/>
    <w:rsid w:val="00587F53"/>
    <w:rsid w:val="00590523"/>
    <w:rsid w:val="00590FD3"/>
    <w:rsid w:val="0059108D"/>
    <w:rsid w:val="00591206"/>
    <w:rsid w:val="00591512"/>
    <w:rsid w:val="0059153C"/>
    <w:rsid w:val="00591736"/>
    <w:rsid w:val="00591AB9"/>
    <w:rsid w:val="00591E26"/>
    <w:rsid w:val="00592089"/>
    <w:rsid w:val="00592304"/>
    <w:rsid w:val="005923BB"/>
    <w:rsid w:val="005924F0"/>
    <w:rsid w:val="00592AC4"/>
    <w:rsid w:val="00592CEA"/>
    <w:rsid w:val="00593B77"/>
    <w:rsid w:val="00594079"/>
    <w:rsid w:val="00594255"/>
    <w:rsid w:val="00594C47"/>
    <w:rsid w:val="00595624"/>
    <w:rsid w:val="00595C3B"/>
    <w:rsid w:val="00595CA2"/>
    <w:rsid w:val="00595E4C"/>
    <w:rsid w:val="00596577"/>
    <w:rsid w:val="005966D5"/>
    <w:rsid w:val="00596D64"/>
    <w:rsid w:val="00596DDA"/>
    <w:rsid w:val="005973CB"/>
    <w:rsid w:val="005978B8"/>
    <w:rsid w:val="00597A03"/>
    <w:rsid w:val="00597BC8"/>
    <w:rsid w:val="005A01A6"/>
    <w:rsid w:val="005A01D7"/>
    <w:rsid w:val="005A024D"/>
    <w:rsid w:val="005A0493"/>
    <w:rsid w:val="005A062B"/>
    <w:rsid w:val="005A08C7"/>
    <w:rsid w:val="005A1169"/>
    <w:rsid w:val="005A140F"/>
    <w:rsid w:val="005A15AC"/>
    <w:rsid w:val="005A171C"/>
    <w:rsid w:val="005A1A95"/>
    <w:rsid w:val="005A1D90"/>
    <w:rsid w:val="005A1DB5"/>
    <w:rsid w:val="005A22AB"/>
    <w:rsid w:val="005A2C77"/>
    <w:rsid w:val="005A2F2D"/>
    <w:rsid w:val="005A3689"/>
    <w:rsid w:val="005A398A"/>
    <w:rsid w:val="005A3A09"/>
    <w:rsid w:val="005A3B47"/>
    <w:rsid w:val="005A3C79"/>
    <w:rsid w:val="005A3CA4"/>
    <w:rsid w:val="005A3FEE"/>
    <w:rsid w:val="005A45C9"/>
    <w:rsid w:val="005A4E35"/>
    <w:rsid w:val="005A5360"/>
    <w:rsid w:val="005A57E8"/>
    <w:rsid w:val="005A6175"/>
    <w:rsid w:val="005A644D"/>
    <w:rsid w:val="005A660F"/>
    <w:rsid w:val="005A6B94"/>
    <w:rsid w:val="005A6BE4"/>
    <w:rsid w:val="005A7103"/>
    <w:rsid w:val="005A769C"/>
    <w:rsid w:val="005A7E71"/>
    <w:rsid w:val="005A7EC3"/>
    <w:rsid w:val="005A7F00"/>
    <w:rsid w:val="005B1314"/>
    <w:rsid w:val="005B14E9"/>
    <w:rsid w:val="005B1994"/>
    <w:rsid w:val="005B277F"/>
    <w:rsid w:val="005B2908"/>
    <w:rsid w:val="005B3F1A"/>
    <w:rsid w:val="005B4520"/>
    <w:rsid w:val="005B4576"/>
    <w:rsid w:val="005B4B1E"/>
    <w:rsid w:val="005B5344"/>
    <w:rsid w:val="005B56EA"/>
    <w:rsid w:val="005B5C35"/>
    <w:rsid w:val="005B5D63"/>
    <w:rsid w:val="005B668B"/>
    <w:rsid w:val="005B6E27"/>
    <w:rsid w:val="005B7621"/>
    <w:rsid w:val="005B7B83"/>
    <w:rsid w:val="005B7F8B"/>
    <w:rsid w:val="005C01FA"/>
    <w:rsid w:val="005C0260"/>
    <w:rsid w:val="005C03BE"/>
    <w:rsid w:val="005C0400"/>
    <w:rsid w:val="005C040C"/>
    <w:rsid w:val="005C05D6"/>
    <w:rsid w:val="005C1352"/>
    <w:rsid w:val="005C1DCD"/>
    <w:rsid w:val="005C2FF8"/>
    <w:rsid w:val="005C3039"/>
    <w:rsid w:val="005C31AD"/>
    <w:rsid w:val="005C36C9"/>
    <w:rsid w:val="005C4573"/>
    <w:rsid w:val="005C4643"/>
    <w:rsid w:val="005C469A"/>
    <w:rsid w:val="005C4A69"/>
    <w:rsid w:val="005C4BC9"/>
    <w:rsid w:val="005C4D72"/>
    <w:rsid w:val="005C4E75"/>
    <w:rsid w:val="005C520E"/>
    <w:rsid w:val="005C5A55"/>
    <w:rsid w:val="005C6208"/>
    <w:rsid w:val="005C6516"/>
    <w:rsid w:val="005C6C3E"/>
    <w:rsid w:val="005C6DBB"/>
    <w:rsid w:val="005C6E5A"/>
    <w:rsid w:val="005C6EAE"/>
    <w:rsid w:val="005C77C6"/>
    <w:rsid w:val="005C7B0A"/>
    <w:rsid w:val="005C7E27"/>
    <w:rsid w:val="005D0145"/>
    <w:rsid w:val="005D0327"/>
    <w:rsid w:val="005D0866"/>
    <w:rsid w:val="005D0A62"/>
    <w:rsid w:val="005D0CE6"/>
    <w:rsid w:val="005D0FF5"/>
    <w:rsid w:val="005D1255"/>
    <w:rsid w:val="005D12C6"/>
    <w:rsid w:val="005D1454"/>
    <w:rsid w:val="005D147A"/>
    <w:rsid w:val="005D2073"/>
    <w:rsid w:val="005D26B6"/>
    <w:rsid w:val="005D2F15"/>
    <w:rsid w:val="005D3005"/>
    <w:rsid w:val="005D3124"/>
    <w:rsid w:val="005D3A8B"/>
    <w:rsid w:val="005D3B1D"/>
    <w:rsid w:val="005D3B83"/>
    <w:rsid w:val="005D4AB8"/>
    <w:rsid w:val="005D512F"/>
    <w:rsid w:val="005D5270"/>
    <w:rsid w:val="005D57E2"/>
    <w:rsid w:val="005D5A5D"/>
    <w:rsid w:val="005D652D"/>
    <w:rsid w:val="005D6687"/>
    <w:rsid w:val="005D6822"/>
    <w:rsid w:val="005D6C66"/>
    <w:rsid w:val="005D6CB2"/>
    <w:rsid w:val="005D6F5C"/>
    <w:rsid w:val="005D78CC"/>
    <w:rsid w:val="005D7AB7"/>
    <w:rsid w:val="005D7C68"/>
    <w:rsid w:val="005E0827"/>
    <w:rsid w:val="005E111D"/>
    <w:rsid w:val="005E1946"/>
    <w:rsid w:val="005E1B70"/>
    <w:rsid w:val="005E224E"/>
    <w:rsid w:val="005E2541"/>
    <w:rsid w:val="005E2BDF"/>
    <w:rsid w:val="005E36D5"/>
    <w:rsid w:val="005E3754"/>
    <w:rsid w:val="005E3BF8"/>
    <w:rsid w:val="005E41B4"/>
    <w:rsid w:val="005E43D9"/>
    <w:rsid w:val="005E4483"/>
    <w:rsid w:val="005E451C"/>
    <w:rsid w:val="005E4E92"/>
    <w:rsid w:val="005E53D6"/>
    <w:rsid w:val="005E5492"/>
    <w:rsid w:val="005E5590"/>
    <w:rsid w:val="005E5662"/>
    <w:rsid w:val="005E5673"/>
    <w:rsid w:val="005E590B"/>
    <w:rsid w:val="005E5A74"/>
    <w:rsid w:val="005E5AEB"/>
    <w:rsid w:val="005E697A"/>
    <w:rsid w:val="005E69E0"/>
    <w:rsid w:val="005E6C19"/>
    <w:rsid w:val="005E7010"/>
    <w:rsid w:val="005E7199"/>
    <w:rsid w:val="005E7402"/>
    <w:rsid w:val="005E759C"/>
    <w:rsid w:val="005F049C"/>
    <w:rsid w:val="005F057F"/>
    <w:rsid w:val="005F0EBE"/>
    <w:rsid w:val="005F0F57"/>
    <w:rsid w:val="005F194B"/>
    <w:rsid w:val="005F1CBF"/>
    <w:rsid w:val="005F1EAC"/>
    <w:rsid w:val="005F20B2"/>
    <w:rsid w:val="005F22CD"/>
    <w:rsid w:val="005F2ADC"/>
    <w:rsid w:val="005F36E3"/>
    <w:rsid w:val="005F371B"/>
    <w:rsid w:val="005F379A"/>
    <w:rsid w:val="005F3886"/>
    <w:rsid w:val="005F3E7E"/>
    <w:rsid w:val="005F51B7"/>
    <w:rsid w:val="005F51D5"/>
    <w:rsid w:val="005F53C1"/>
    <w:rsid w:val="005F5466"/>
    <w:rsid w:val="005F54B4"/>
    <w:rsid w:val="005F56B9"/>
    <w:rsid w:val="005F5DB5"/>
    <w:rsid w:val="005F617D"/>
    <w:rsid w:val="005F61AD"/>
    <w:rsid w:val="005F6327"/>
    <w:rsid w:val="005F66B2"/>
    <w:rsid w:val="005F6707"/>
    <w:rsid w:val="005F6896"/>
    <w:rsid w:val="005F68BF"/>
    <w:rsid w:val="005F6CC0"/>
    <w:rsid w:val="005F6DC8"/>
    <w:rsid w:val="005F6DF4"/>
    <w:rsid w:val="005F7295"/>
    <w:rsid w:val="005F72B1"/>
    <w:rsid w:val="005F7606"/>
    <w:rsid w:val="005F7D98"/>
    <w:rsid w:val="005F7DE3"/>
    <w:rsid w:val="00600B07"/>
    <w:rsid w:val="00600C53"/>
    <w:rsid w:val="00600CAF"/>
    <w:rsid w:val="00602135"/>
    <w:rsid w:val="006024C6"/>
    <w:rsid w:val="006025CD"/>
    <w:rsid w:val="006026E0"/>
    <w:rsid w:val="006028FC"/>
    <w:rsid w:val="00602909"/>
    <w:rsid w:val="00602AD6"/>
    <w:rsid w:val="00603B38"/>
    <w:rsid w:val="0060462A"/>
    <w:rsid w:val="0060467E"/>
    <w:rsid w:val="00604B7E"/>
    <w:rsid w:val="00605CC7"/>
    <w:rsid w:val="00605EC4"/>
    <w:rsid w:val="006061C6"/>
    <w:rsid w:val="00606F26"/>
    <w:rsid w:val="006077E5"/>
    <w:rsid w:val="00607822"/>
    <w:rsid w:val="00607EFB"/>
    <w:rsid w:val="0061000E"/>
    <w:rsid w:val="006101D5"/>
    <w:rsid w:val="0061062D"/>
    <w:rsid w:val="00610A1D"/>
    <w:rsid w:val="00610DBE"/>
    <w:rsid w:val="006113FF"/>
    <w:rsid w:val="006115A0"/>
    <w:rsid w:val="006118A1"/>
    <w:rsid w:val="00611C6E"/>
    <w:rsid w:val="00611FD9"/>
    <w:rsid w:val="006125F9"/>
    <w:rsid w:val="00612A5C"/>
    <w:rsid w:val="00612C5E"/>
    <w:rsid w:val="0061303F"/>
    <w:rsid w:val="006138F9"/>
    <w:rsid w:val="00613A69"/>
    <w:rsid w:val="006141D3"/>
    <w:rsid w:val="006143A6"/>
    <w:rsid w:val="006144B2"/>
    <w:rsid w:val="006147C0"/>
    <w:rsid w:val="00614CE1"/>
    <w:rsid w:val="00614E6D"/>
    <w:rsid w:val="006155E1"/>
    <w:rsid w:val="00615604"/>
    <w:rsid w:val="00616470"/>
    <w:rsid w:val="006164EA"/>
    <w:rsid w:val="00616731"/>
    <w:rsid w:val="006170CB"/>
    <w:rsid w:val="0061741A"/>
    <w:rsid w:val="0061790A"/>
    <w:rsid w:val="0062006B"/>
    <w:rsid w:val="00620815"/>
    <w:rsid w:val="00620CD9"/>
    <w:rsid w:val="006213BB"/>
    <w:rsid w:val="00621A0E"/>
    <w:rsid w:val="00621D9C"/>
    <w:rsid w:val="006221D3"/>
    <w:rsid w:val="00622878"/>
    <w:rsid w:val="00622B74"/>
    <w:rsid w:val="006232F5"/>
    <w:rsid w:val="0062333A"/>
    <w:rsid w:val="0062361C"/>
    <w:rsid w:val="00623954"/>
    <w:rsid w:val="00623D73"/>
    <w:rsid w:val="00623E01"/>
    <w:rsid w:val="00624B68"/>
    <w:rsid w:val="00625EC2"/>
    <w:rsid w:val="006260AF"/>
    <w:rsid w:val="006261F4"/>
    <w:rsid w:val="0062647E"/>
    <w:rsid w:val="006266C7"/>
    <w:rsid w:val="0062679E"/>
    <w:rsid w:val="006268FF"/>
    <w:rsid w:val="00626B67"/>
    <w:rsid w:val="00626FD7"/>
    <w:rsid w:val="00627F82"/>
    <w:rsid w:val="00630118"/>
    <w:rsid w:val="0063095A"/>
    <w:rsid w:val="00630C1B"/>
    <w:rsid w:val="00630E1F"/>
    <w:rsid w:val="00630F6D"/>
    <w:rsid w:val="0063172E"/>
    <w:rsid w:val="00631766"/>
    <w:rsid w:val="00631A3E"/>
    <w:rsid w:val="00631F7F"/>
    <w:rsid w:val="006320FD"/>
    <w:rsid w:val="00632423"/>
    <w:rsid w:val="00632ADE"/>
    <w:rsid w:val="00632D84"/>
    <w:rsid w:val="00632F22"/>
    <w:rsid w:val="00633498"/>
    <w:rsid w:val="006338EC"/>
    <w:rsid w:val="00633A5C"/>
    <w:rsid w:val="00633C84"/>
    <w:rsid w:val="00634028"/>
    <w:rsid w:val="006340CA"/>
    <w:rsid w:val="00634775"/>
    <w:rsid w:val="0063526B"/>
    <w:rsid w:val="00635407"/>
    <w:rsid w:val="006355E8"/>
    <w:rsid w:val="00636352"/>
    <w:rsid w:val="0063672A"/>
    <w:rsid w:val="00636B9A"/>
    <w:rsid w:val="00636DA0"/>
    <w:rsid w:val="00637ADA"/>
    <w:rsid w:val="00637C97"/>
    <w:rsid w:val="00637D3F"/>
    <w:rsid w:val="00637DF4"/>
    <w:rsid w:val="00637E98"/>
    <w:rsid w:val="00640005"/>
    <w:rsid w:val="006401A0"/>
    <w:rsid w:val="00640943"/>
    <w:rsid w:val="0064094B"/>
    <w:rsid w:val="00640C49"/>
    <w:rsid w:val="00642077"/>
    <w:rsid w:val="006421C2"/>
    <w:rsid w:val="0064257A"/>
    <w:rsid w:val="006427B4"/>
    <w:rsid w:val="00642C96"/>
    <w:rsid w:val="00643479"/>
    <w:rsid w:val="0064357D"/>
    <w:rsid w:val="00643705"/>
    <w:rsid w:val="00644796"/>
    <w:rsid w:val="00644B1A"/>
    <w:rsid w:val="00644D8D"/>
    <w:rsid w:val="00645CBC"/>
    <w:rsid w:val="006462A0"/>
    <w:rsid w:val="00646734"/>
    <w:rsid w:val="00646920"/>
    <w:rsid w:val="00646A0C"/>
    <w:rsid w:val="00646A58"/>
    <w:rsid w:val="00646D2F"/>
    <w:rsid w:val="00646D92"/>
    <w:rsid w:val="00646DE7"/>
    <w:rsid w:val="006474DB"/>
    <w:rsid w:val="0064756B"/>
    <w:rsid w:val="00647599"/>
    <w:rsid w:val="00647B4C"/>
    <w:rsid w:val="00647BC4"/>
    <w:rsid w:val="006502E4"/>
    <w:rsid w:val="00650A5A"/>
    <w:rsid w:val="00650ECF"/>
    <w:rsid w:val="00651091"/>
    <w:rsid w:val="00651308"/>
    <w:rsid w:val="00651584"/>
    <w:rsid w:val="0065177A"/>
    <w:rsid w:val="00651D57"/>
    <w:rsid w:val="00652096"/>
    <w:rsid w:val="00652529"/>
    <w:rsid w:val="00653882"/>
    <w:rsid w:val="00653BDE"/>
    <w:rsid w:val="00653E51"/>
    <w:rsid w:val="00653F7E"/>
    <w:rsid w:val="006543B5"/>
    <w:rsid w:val="00654E09"/>
    <w:rsid w:val="00655188"/>
    <w:rsid w:val="00655568"/>
    <w:rsid w:val="006555AE"/>
    <w:rsid w:val="00655A32"/>
    <w:rsid w:val="006560B5"/>
    <w:rsid w:val="00656415"/>
    <w:rsid w:val="00656467"/>
    <w:rsid w:val="00656D01"/>
    <w:rsid w:val="00656FF5"/>
    <w:rsid w:val="00657ADA"/>
    <w:rsid w:val="006600CC"/>
    <w:rsid w:val="006602C3"/>
    <w:rsid w:val="006602CC"/>
    <w:rsid w:val="00660B10"/>
    <w:rsid w:val="00660BC0"/>
    <w:rsid w:val="00660EDE"/>
    <w:rsid w:val="00660F3B"/>
    <w:rsid w:val="00661050"/>
    <w:rsid w:val="0066117F"/>
    <w:rsid w:val="006619BC"/>
    <w:rsid w:val="006619C0"/>
    <w:rsid w:val="00661BE7"/>
    <w:rsid w:val="00661F02"/>
    <w:rsid w:val="0066246E"/>
    <w:rsid w:val="00663201"/>
    <w:rsid w:val="006634A9"/>
    <w:rsid w:val="00663774"/>
    <w:rsid w:val="00663A12"/>
    <w:rsid w:val="00663DD3"/>
    <w:rsid w:val="00664061"/>
    <w:rsid w:val="00664A70"/>
    <w:rsid w:val="00665A0A"/>
    <w:rsid w:val="00666018"/>
    <w:rsid w:val="006660BC"/>
    <w:rsid w:val="00666387"/>
    <w:rsid w:val="006667E0"/>
    <w:rsid w:val="00666BA8"/>
    <w:rsid w:val="00666D82"/>
    <w:rsid w:val="00666ED3"/>
    <w:rsid w:val="00667339"/>
    <w:rsid w:val="0066738B"/>
    <w:rsid w:val="00667642"/>
    <w:rsid w:val="00667A7C"/>
    <w:rsid w:val="00667CE4"/>
    <w:rsid w:val="00670172"/>
    <w:rsid w:val="00670229"/>
    <w:rsid w:val="00670CB3"/>
    <w:rsid w:val="00671450"/>
    <w:rsid w:val="006714A1"/>
    <w:rsid w:val="006715D8"/>
    <w:rsid w:val="006718E4"/>
    <w:rsid w:val="006718F5"/>
    <w:rsid w:val="00671F3C"/>
    <w:rsid w:val="00672A45"/>
    <w:rsid w:val="00672BB2"/>
    <w:rsid w:val="00672D71"/>
    <w:rsid w:val="00673115"/>
    <w:rsid w:val="0067339A"/>
    <w:rsid w:val="006734CF"/>
    <w:rsid w:val="0067351E"/>
    <w:rsid w:val="0067399C"/>
    <w:rsid w:val="00673AA9"/>
    <w:rsid w:val="00674340"/>
    <w:rsid w:val="006745D8"/>
    <w:rsid w:val="006748BB"/>
    <w:rsid w:val="00674FE4"/>
    <w:rsid w:val="006752E9"/>
    <w:rsid w:val="00675313"/>
    <w:rsid w:val="006754E2"/>
    <w:rsid w:val="00675623"/>
    <w:rsid w:val="00676001"/>
    <w:rsid w:val="00676033"/>
    <w:rsid w:val="0067621E"/>
    <w:rsid w:val="006764F5"/>
    <w:rsid w:val="0067706B"/>
    <w:rsid w:val="00677606"/>
    <w:rsid w:val="00677801"/>
    <w:rsid w:val="00677968"/>
    <w:rsid w:val="00677D9F"/>
    <w:rsid w:val="0068017D"/>
    <w:rsid w:val="00680458"/>
    <w:rsid w:val="006806C6"/>
    <w:rsid w:val="0068076D"/>
    <w:rsid w:val="006812E1"/>
    <w:rsid w:val="00681463"/>
    <w:rsid w:val="00681C24"/>
    <w:rsid w:val="00682008"/>
    <w:rsid w:val="00682370"/>
    <w:rsid w:val="00682658"/>
    <w:rsid w:val="006827B5"/>
    <w:rsid w:val="00682AE2"/>
    <w:rsid w:val="00683422"/>
    <w:rsid w:val="006838A2"/>
    <w:rsid w:val="00683B07"/>
    <w:rsid w:val="00684197"/>
    <w:rsid w:val="006842DD"/>
    <w:rsid w:val="00684462"/>
    <w:rsid w:val="00684598"/>
    <w:rsid w:val="00684884"/>
    <w:rsid w:val="006848BE"/>
    <w:rsid w:val="006848C3"/>
    <w:rsid w:val="00684E00"/>
    <w:rsid w:val="006854EA"/>
    <w:rsid w:val="00685739"/>
    <w:rsid w:val="006858EA"/>
    <w:rsid w:val="006862DD"/>
    <w:rsid w:val="0068685A"/>
    <w:rsid w:val="00686ADA"/>
    <w:rsid w:val="00686BAA"/>
    <w:rsid w:val="00686BBA"/>
    <w:rsid w:val="00686E67"/>
    <w:rsid w:val="00686F1A"/>
    <w:rsid w:val="00687C5C"/>
    <w:rsid w:val="00687D9D"/>
    <w:rsid w:val="00690089"/>
    <w:rsid w:val="006901D6"/>
    <w:rsid w:val="00690317"/>
    <w:rsid w:val="006907FE"/>
    <w:rsid w:val="006909B1"/>
    <w:rsid w:val="00690A33"/>
    <w:rsid w:val="00690C64"/>
    <w:rsid w:val="00690FAB"/>
    <w:rsid w:val="006910CC"/>
    <w:rsid w:val="006911E2"/>
    <w:rsid w:val="006914C1"/>
    <w:rsid w:val="006918A2"/>
    <w:rsid w:val="0069264B"/>
    <w:rsid w:val="0069286E"/>
    <w:rsid w:val="00692B68"/>
    <w:rsid w:val="00692FEB"/>
    <w:rsid w:val="00693391"/>
    <w:rsid w:val="00693987"/>
    <w:rsid w:val="00694558"/>
    <w:rsid w:val="00694B13"/>
    <w:rsid w:val="00695027"/>
    <w:rsid w:val="006954E5"/>
    <w:rsid w:val="00695841"/>
    <w:rsid w:val="00697CE8"/>
    <w:rsid w:val="00697D69"/>
    <w:rsid w:val="006A012A"/>
    <w:rsid w:val="006A01F7"/>
    <w:rsid w:val="006A02B5"/>
    <w:rsid w:val="006A0303"/>
    <w:rsid w:val="006A0499"/>
    <w:rsid w:val="006A0669"/>
    <w:rsid w:val="006A112E"/>
    <w:rsid w:val="006A1823"/>
    <w:rsid w:val="006A1C86"/>
    <w:rsid w:val="006A2177"/>
    <w:rsid w:val="006A21ED"/>
    <w:rsid w:val="006A26B6"/>
    <w:rsid w:val="006A26FA"/>
    <w:rsid w:val="006A29F0"/>
    <w:rsid w:val="006A2BCE"/>
    <w:rsid w:val="006A311B"/>
    <w:rsid w:val="006A3A9D"/>
    <w:rsid w:val="006A3AF8"/>
    <w:rsid w:val="006A3B95"/>
    <w:rsid w:val="006A4854"/>
    <w:rsid w:val="006A4ADA"/>
    <w:rsid w:val="006A50DB"/>
    <w:rsid w:val="006A5E2C"/>
    <w:rsid w:val="006A6DDA"/>
    <w:rsid w:val="006A70F8"/>
    <w:rsid w:val="006A71C6"/>
    <w:rsid w:val="006A71ED"/>
    <w:rsid w:val="006A7961"/>
    <w:rsid w:val="006A79D7"/>
    <w:rsid w:val="006A7EF9"/>
    <w:rsid w:val="006B00B2"/>
    <w:rsid w:val="006B0155"/>
    <w:rsid w:val="006B0240"/>
    <w:rsid w:val="006B026D"/>
    <w:rsid w:val="006B05A5"/>
    <w:rsid w:val="006B0E76"/>
    <w:rsid w:val="006B12F2"/>
    <w:rsid w:val="006B173C"/>
    <w:rsid w:val="006B1C18"/>
    <w:rsid w:val="006B27B2"/>
    <w:rsid w:val="006B28C1"/>
    <w:rsid w:val="006B3723"/>
    <w:rsid w:val="006B3CD7"/>
    <w:rsid w:val="006B3CEB"/>
    <w:rsid w:val="006B40FB"/>
    <w:rsid w:val="006B46D2"/>
    <w:rsid w:val="006B47B6"/>
    <w:rsid w:val="006B47DD"/>
    <w:rsid w:val="006B4947"/>
    <w:rsid w:val="006B4C1F"/>
    <w:rsid w:val="006B4CDE"/>
    <w:rsid w:val="006B4E21"/>
    <w:rsid w:val="006B5017"/>
    <w:rsid w:val="006B51B3"/>
    <w:rsid w:val="006B51D7"/>
    <w:rsid w:val="006B5309"/>
    <w:rsid w:val="006B5897"/>
    <w:rsid w:val="006B60C6"/>
    <w:rsid w:val="006B618E"/>
    <w:rsid w:val="006B62BD"/>
    <w:rsid w:val="006B6C7E"/>
    <w:rsid w:val="006B6FF6"/>
    <w:rsid w:val="006B71AF"/>
    <w:rsid w:val="006B7996"/>
    <w:rsid w:val="006C0139"/>
    <w:rsid w:val="006C0264"/>
    <w:rsid w:val="006C13F7"/>
    <w:rsid w:val="006C1A28"/>
    <w:rsid w:val="006C1C6E"/>
    <w:rsid w:val="006C23A4"/>
    <w:rsid w:val="006C260F"/>
    <w:rsid w:val="006C2CD6"/>
    <w:rsid w:val="006C3063"/>
    <w:rsid w:val="006C311C"/>
    <w:rsid w:val="006C33CC"/>
    <w:rsid w:val="006C37BA"/>
    <w:rsid w:val="006C3C2E"/>
    <w:rsid w:val="006C3CA9"/>
    <w:rsid w:val="006C3DFC"/>
    <w:rsid w:val="006C3FA3"/>
    <w:rsid w:val="006C49CB"/>
    <w:rsid w:val="006C4A94"/>
    <w:rsid w:val="006C4DDF"/>
    <w:rsid w:val="006C5950"/>
    <w:rsid w:val="006C5967"/>
    <w:rsid w:val="006C6433"/>
    <w:rsid w:val="006C650E"/>
    <w:rsid w:val="006C6CC4"/>
    <w:rsid w:val="006C6D19"/>
    <w:rsid w:val="006C73D0"/>
    <w:rsid w:val="006C766E"/>
    <w:rsid w:val="006C78F7"/>
    <w:rsid w:val="006D074A"/>
    <w:rsid w:val="006D0912"/>
    <w:rsid w:val="006D108E"/>
    <w:rsid w:val="006D197A"/>
    <w:rsid w:val="006D1B72"/>
    <w:rsid w:val="006D240C"/>
    <w:rsid w:val="006D26F4"/>
    <w:rsid w:val="006D2856"/>
    <w:rsid w:val="006D2E08"/>
    <w:rsid w:val="006D2E6C"/>
    <w:rsid w:val="006D3101"/>
    <w:rsid w:val="006D34CA"/>
    <w:rsid w:val="006D4315"/>
    <w:rsid w:val="006D4393"/>
    <w:rsid w:val="006D48A6"/>
    <w:rsid w:val="006D4F31"/>
    <w:rsid w:val="006D507E"/>
    <w:rsid w:val="006D5285"/>
    <w:rsid w:val="006D59CA"/>
    <w:rsid w:val="006D5AB2"/>
    <w:rsid w:val="006D5AC9"/>
    <w:rsid w:val="006D6162"/>
    <w:rsid w:val="006D6E2C"/>
    <w:rsid w:val="006D7114"/>
    <w:rsid w:val="006E0F08"/>
    <w:rsid w:val="006E13DF"/>
    <w:rsid w:val="006E17C0"/>
    <w:rsid w:val="006E2481"/>
    <w:rsid w:val="006E2611"/>
    <w:rsid w:val="006E3C00"/>
    <w:rsid w:val="006E3D4D"/>
    <w:rsid w:val="006E4340"/>
    <w:rsid w:val="006E46E0"/>
    <w:rsid w:val="006E477E"/>
    <w:rsid w:val="006E48BB"/>
    <w:rsid w:val="006E49ED"/>
    <w:rsid w:val="006E4A2C"/>
    <w:rsid w:val="006E4AF8"/>
    <w:rsid w:val="006E50F9"/>
    <w:rsid w:val="006E5170"/>
    <w:rsid w:val="006E54FD"/>
    <w:rsid w:val="006E5645"/>
    <w:rsid w:val="006E5A06"/>
    <w:rsid w:val="006E5B8F"/>
    <w:rsid w:val="006E628D"/>
    <w:rsid w:val="006E63E1"/>
    <w:rsid w:val="006E6677"/>
    <w:rsid w:val="006E66DC"/>
    <w:rsid w:val="006E6911"/>
    <w:rsid w:val="006E6FEC"/>
    <w:rsid w:val="006E74D2"/>
    <w:rsid w:val="006E7966"/>
    <w:rsid w:val="006E799A"/>
    <w:rsid w:val="006F015D"/>
    <w:rsid w:val="006F082C"/>
    <w:rsid w:val="006F0A1B"/>
    <w:rsid w:val="006F0B8C"/>
    <w:rsid w:val="006F0CB5"/>
    <w:rsid w:val="006F0E3E"/>
    <w:rsid w:val="006F0E8C"/>
    <w:rsid w:val="006F1638"/>
    <w:rsid w:val="006F2023"/>
    <w:rsid w:val="006F21C8"/>
    <w:rsid w:val="006F31FF"/>
    <w:rsid w:val="006F3253"/>
    <w:rsid w:val="006F3686"/>
    <w:rsid w:val="006F374D"/>
    <w:rsid w:val="006F3A11"/>
    <w:rsid w:val="006F424B"/>
    <w:rsid w:val="006F49C4"/>
    <w:rsid w:val="006F4B07"/>
    <w:rsid w:val="006F5C14"/>
    <w:rsid w:val="006F6081"/>
    <w:rsid w:val="006F66AC"/>
    <w:rsid w:val="006F695E"/>
    <w:rsid w:val="006F6DA6"/>
    <w:rsid w:val="006F7216"/>
    <w:rsid w:val="006F7961"/>
    <w:rsid w:val="006F7FF7"/>
    <w:rsid w:val="007003DD"/>
    <w:rsid w:val="00700F90"/>
    <w:rsid w:val="00701773"/>
    <w:rsid w:val="00701B88"/>
    <w:rsid w:val="00701B99"/>
    <w:rsid w:val="0070283B"/>
    <w:rsid w:val="00702FD3"/>
    <w:rsid w:val="0070336F"/>
    <w:rsid w:val="007039F0"/>
    <w:rsid w:val="00703BF7"/>
    <w:rsid w:val="007041EF"/>
    <w:rsid w:val="00704607"/>
    <w:rsid w:val="00704910"/>
    <w:rsid w:val="00704DB7"/>
    <w:rsid w:val="00704E20"/>
    <w:rsid w:val="00704EB6"/>
    <w:rsid w:val="00705087"/>
    <w:rsid w:val="0070517A"/>
    <w:rsid w:val="0070537C"/>
    <w:rsid w:val="007056E7"/>
    <w:rsid w:val="00705ED5"/>
    <w:rsid w:val="00705F31"/>
    <w:rsid w:val="007062CF"/>
    <w:rsid w:val="007067C2"/>
    <w:rsid w:val="00706F71"/>
    <w:rsid w:val="00707378"/>
    <w:rsid w:val="00707618"/>
    <w:rsid w:val="00707706"/>
    <w:rsid w:val="007077B0"/>
    <w:rsid w:val="007100A3"/>
    <w:rsid w:val="00710293"/>
    <w:rsid w:val="00710499"/>
    <w:rsid w:val="00710AC0"/>
    <w:rsid w:val="00710CE5"/>
    <w:rsid w:val="00711188"/>
    <w:rsid w:val="0071162F"/>
    <w:rsid w:val="00711A8D"/>
    <w:rsid w:val="00711CD2"/>
    <w:rsid w:val="007123E3"/>
    <w:rsid w:val="0071280A"/>
    <w:rsid w:val="00712F07"/>
    <w:rsid w:val="00712FB9"/>
    <w:rsid w:val="00713739"/>
    <w:rsid w:val="00713EA0"/>
    <w:rsid w:val="00714381"/>
    <w:rsid w:val="007146E6"/>
    <w:rsid w:val="007150A1"/>
    <w:rsid w:val="007151B3"/>
    <w:rsid w:val="0071593A"/>
    <w:rsid w:val="00715DEE"/>
    <w:rsid w:val="0071659D"/>
    <w:rsid w:val="00716DAB"/>
    <w:rsid w:val="00716EA6"/>
    <w:rsid w:val="007174C1"/>
    <w:rsid w:val="00717A92"/>
    <w:rsid w:val="00717BB6"/>
    <w:rsid w:val="00717FD8"/>
    <w:rsid w:val="0072092C"/>
    <w:rsid w:val="00721C11"/>
    <w:rsid w:val="00722478"/>
    <w:rsid w:val="007225EC"/>
    <w:rsid w:val="00722DE3"/>
    <w:rsid w:val="00725754"/>
    <w:rsid w:val="00726093"/>
    <w:rsid w:val="00726A3D"/>
    <w:rsid w:val="00726D69"/>
    <w:rsid w:val="00727127"/>
    <w:rsid w:val="00727631"/>
    <w:rsid w:val="00727A94"/>
    <w:rsid w:val="00727AAD"/>
    <w:rsid w:val="00730021"/>
    <w:rsid w:val="007300A6"/>
    <w:rsid w:val="00730642"/>
    <w:rsid w:val="00730FD6"/>
    <w:rsid w:val="0073115A"/>
    <w:rsid w:val="00731623"/>
    <w:rsid w:val="007318C1"/>
    <w:rsid w:val="007322A0"/>
    <w:rsid w:val="00732624"/>
    <w:rsid w:val="0073262E"/>
    <w:rsid w:val="007327BF"/>
    <w:rsid w:val="00732A05"/>
    <w:rsid w:val="007332E7"/>
    <w:rsid w:val="00733678"/>
    <w:rsid w:val="00733986"/>
    <w:rsid w:val="00733A95"/>
    <w:rsid w:val="00733CFF"/>
    <w:rsid w:val="00733D80"/>
    <w:rsid w:val="00733E9C"/>
    <w:rsid w:val="00734957"/>
    <w:rsid w:val="00734A55"/>
    <w:rsid w:val="00734C5D"/>
    <w:rsid w:val="00735043"/>
    <w:rsid w:val="007350A1"/>
    <w:rsid w:val="0073546F"/>
    <w:rsid w:val="00735613"/>
    <w:rsid w:val="0073578B"/>
    <w:rsid w:val="00735835"/>
    <w:rsid w:val="00735B6E"/>
    <w:rsid w:val="007361B7"/>
    <w:rsid w:val="007364C9"/>
    <w:rsid w:val="007365C4"/>
    <w:rsid w:val="00736B7A"/>
    <w:rsid w:val="007374A4"/>
    <w:rsid w:val="007378B4"/>
    <w:rsid w:val="00737F0D"/>
    <w:rsid w:val="0074017D"/>
    <w:rsid w:val="0074021F"/>
    <w:rsid w:val="0074034E"/>
    <w:rsid w:val="00740766"/>
    <w:rsid w:val="00740B12"/>
    <w:rsid w:val="00740D5E"/>
    <w:rsid w:val="00741522"/>
    <w:rsid w:val="00741D4F"/>
    <w:rsid w:val="00742646"/>
    <w:rsid w:val="007426BD"/>
    <w:rsid w:val="007426E4"/>
    <w:rsid w:val="00742A83"/>
    <w:rsid w:val="00742B7F"/>
    <w:rsid w:val="007430C1"/>
    <w:rsid w:val="007431A7"/>
    <w:rsid w:val="007437DA"/>
    <w:rsid w:val="0074385C"/>
    <w:rsid w:val="00743A84"/>
    <w:rsid w:val="00743FE5"/>
    <w:rsid w:val="0074404E"/>
    <w:rsid w:val="0074450B"/>
    <w:rsid w:val="007448ED"/>
    <w:rsid w:val="007449C2"/>
    <w:rsid w:val="00744E48"/>
    <w:rsid w:val="00745618"/>
    <w:rsid w:val="007457BA"/>
    <w:rsid w:val="007459EB"/>
    <w:rsid w:val="00745ACF"/>
    <w:rsid w:val="00745E17"/>
    <w:rsid w:val="00745E29"/>
    <w:rsid w:val="00746053"/>
    <w:rsid w:val="0074621F"/>
    <w:rsid w:val="007462EB"/>
    <w:rsid w:val="00746C4B"/>
    <w:rsid w:val="00746DA6"/>
    <w:rsid w:val="00746F91"/>
    <w:rsid w:val="007473A7"/>
    <w:rsid w:val="0074750F"/>
    <w:rsid w:val="007478AB"/>
    <w:rsid w:val="00747A65"/>
    <w:rsid w:val="00747BF8"/>
    <w:rsid w:val="00747E2F"/>
    <w:rsid w:val="00747EF0"/>
    <w:rsid w:val="0075029F"/>
    <w:rsid w:val="007504DD"/>
    <w:rsid w:val="0075076E"/>
    <w:rsid w:val="00750D0A"/>
    <w:rsid w:val="00752564"/>
    <w:rsid w:val="007525E0"/>
    <w:rsid w:val="00752628"/>
    <w:rsid w:val="00752A1A"/>
    <w:rsid w:val="00752A83"/>
    <w:rsid w:val="00752B54"/>
    <w:rsid w:val="00752F0C"/>
    <w:rsid w:val="0075329B"/>
    <w:rsid w:val="007546D1"/>
    <w:rsid w:val="00754785"/>
    <w:rsid w:val="00754901"/>
    <w:rsid w:val="00754D64"/>
    <w:rsid w:val="00755184"/>
    <w:rsid w:val="0075525C"/>
    <w:rsid w:val="0075645B"/>
    <w:rsid w:val="007568E7"/>
    <w:rsid w:val="00756F13"/>
    <w:rsid w:val="00757587"/>
    <w:rsid w:val="0075798B"/>
    <w:rsid w:val="00757CF3"/>
    <w:rsid w:val="00757E91"/>
    <w:rsid w:val="0076079B"/>
    <w:rsid w:val="00760C7B"/>
    <w:rsid w:val="00760D40"/>
    <w:rsid w:val="00760EF9"/>
    <w:rsid w:val="0076105D"/>
    <w:rsid w:val="00761A79"/>
    <w:rsid w:val="00761F1C"/>
    <w:rsid w:val="007621BC"/>
    <w:rsid w:val="007628E8"/>
    <w:rsid w:val="00762B66"/>
    <w:rsid w:val="00762C3F"/>
    <w:rsid w:val="00762F9A"/>
    <w:rsid w:val="00763B9E"/>
    <w:rsid w:val="0076403E"/>
    <w:rsid w:val="007642B6"/>
    <w:rsid w:val="007648B4"/>
    <w:rsid w:val="00764A7B"/>
    <w:rsid w:val="00764E19"/>
    <w:rsid w:val="00765393"/>
    <w:rsid w:val="0076570F"/>
    <w:rsid w:val="0076584B"/>
    <w:rsid w:val="0076587A"/>
    <w:rsid w:val="0076601F"/>
    <w:rsid w:val="0076622A"/>
    <w:rsid w:val="0076659A"/>
    <w:rsid w:val="00766AA5"/>
    <w:rsid w:val="007670B1"/>
    <w:rsid w:val="007701B1"/>
    <w:rsid w:val="00770282"/>
    <w:rsid w:val="007707D5"/>
    <w:rsid w:val="00770C32"/>
    <w:rsid w:val="00770C5C"/>
    <w:rsid w:val="00770CC6"/>
    <w:rsid w:val="00770FF9"/>
    <w:rsid w:val="00771075"/>
    <w:rsid w:val="007713ED"/>
    <w:rsid w:val="00771546"/>
    <w:rsid w:val="00771A75"/>
    <w:rsid w:val="00771EB8"/>
    <w:rsid w:val="0077206A"/>
    <w:rsid w:val="00772126"/>
    <w:rsid w:val="00772243"/>
    <w:rsid w:val="007727B4"/>
    <w:rsid w:val="007727E7"/>
    <w:rsid w:val="00772805"/>
    <w:rsid w:val="0077306D"/>
    <w:rsid w:val="007737C3"/>
    <w:rsid w:val="00773F57"/>
    <w:rsid w:val="00774530"/>
    <w:rsid w:val="007745E7"/>
    <w:rsid w:val="00774779"/>
    <w:rsid w:val="007748EB"/>
    <w:rsid w:val="0077526A"/>
    <w:rsid w:val="00775774"/>
    <w:rsid w:val="00775D7A"/>
    <w:rsid w:val="00776247"/>
    <w:rsid w:val="00776787"/>
    <w:rsid w:val="00776AD7"/>
    <w:rsid w:val="00776B78"/>
    <w:rsid w:val="007770A0"/>
    <w:rsid w:val="0077798E"/>
    <w:rsid w:val="00777C15"/>
    <w:rsid w:val="00777D84"/>
    <w:rsid w:val="007808AC"/>
    <w:rsid w:val="007809C3"/>
    <w:rsid w:val="00780A1E"/>
    <w:rsid w:val="00781184"/>
    <w:rsid w:val="0078123B"/>
    <w:rsid w:val="00781364"/>
    <w:rsid w:val="00781BBD"/>
    <w:rsid w:val="00781C9F"/>
    <w:rsid w:val="00781F1F"/>
    <w:rsid w:val="00782087"/>
    <w:rsid w:val="00782788"/>
    <w:rsid w:val="00782AC1"/>
    <w:rsid w:val="00782C77"/>
    <w:rsid w:val="0078376F"/>
    <w:rsid w:val="00783772"/>
    <w:rsid w:val="0078397E"/>
    <w:rsid w:val="00783BB3"/>
    <w:rsid w:val="00784257"/>
    <w:rsid w:val="007849B8"/>
    <w:rsid w:val="0078506D"/>
    <w:rsid w:val="0078516E"/>
    <w:rsid w:val="00785189"/>
    <w:rsid w:val="007852CC"/>
    <w:rsid w:val="00785664"/>
    <w:rsid w:val="00785BD1"/>
    <w:rsid w:val="00785E6C"/>
    <w:rsid w:val="00786391"/>
    <w:rsid w:val="0078661C"/>
    <w:rsid w:val="007867DD"/>
    <w:rsid w:val="00786943"/>
    <w:rsid w:val="00786CD9"/>
    <w:rsid w:val="00786F41"/>
    <w:rsid w:val="00787940"/>
    <w:rsid w:val="00787B94"/>
    <w:rsid w:val="00787CBF"/>
    <w:rsid w:val="00787D9F"/>
    <w:rsid w:val="00787F68"/>
    <w:rsid w:val="00790218"/>
    <w:rsid w:val="00790423"/>
    <w:rsid w:val="007908DF"/>
    <w:rsid w:val="007909E0"/>
    <w:rsid w:val="00790B04"/>
    <w:rsid w:val="00791BE4"/>
    <w:rsid w:val="00791C21"/>
    <w:rsid w:val="00791DC5"/>
    <w:rsid w:val="007921C0"/>
    <w:rsid w:val="007921F4"/>
    <w:rsid w:val="00792494"/>
    <w:rsid w:val="007925E3"/>
    <w:rsid w:val="00792C35"/>
    <w:rsid w:val="00793033"/>
    <w:rsid w:val="007934A0"/>
    <w:rsid w:val="0079353A"/>
    <w:rsid w:val="007937B6"/>
    <w:rsid w:val="0079416F"/>
    <w:rsid w:val="00794190"/>
    <w:rsid w:val="0079433B"/>
    <w:rsid w:val="00795016"/>
    <w:rsid w:val="00795746"/>
    <w:rsid w:val="00795AA9"/>
    <w:rsid w:val="00795AAB"/>
    <w:rsid w:val="00795ABE"/>
    <w:rsid w:val="0079639A"/>
    <w:rsid w:val="00796831"/>
    <w:rsid w:val="00796E22"/>
    <w:rsid w:val="007970BE"/>
    <w:rsid w:val="00797259"/>
    <w:rsid w:val="007972A2"/>
    <w:rsid w:val="00797490"/>
    <w:rsid w:val="00797FCD"/>
    <w:rsid w:val="007A07DB"/>
    <w:rsid w:val="007A0DEE"/>
    <w:rsid w:val="007A0FD7"/>
    <w:rsid w:val="007A1111"/>
    <w:rsid w:val="007A123C"/>
    <w:rsid w:val="007A1317"/>
    <w:rsid w:val="007A13BB"/>
    <w:rsid w:val="007A18C2"/>
    <w:rsid w:val="007A1D58"/>
    <w:rsid w:val="007A1E25"/>
    <w:rsid w:val="007A2A65"/>
    <w:rsid w:val="007A2D5F"/>
    <w:rsid w:val="007A3050"/>
    <w:rsid w:val="007A31B9"/>
    <w:rsid w:val="007A3627"/>
    <w:rsid w:val="007A3AFE"/>
    <w:rsid w:val="007A403F"/>
    <w:rsid w:val="007A41B9"/>
    <w:rsid w:val="007A4318"/>
    <w:rsid w:val="007A44B4"/>
    <w:rsid w:val="007A471E"/>
    <w:rsid w:val="007A57AB"/>
    <w:rsid w:val="007A58CA"/>
    <w:rsid w:val="007A5AA5"/>
    <w:rsid w:val="007A5AB7"/>
    <w:rsid w:val="007A614D"/>
    <w:rsid w:val="007A62D8"/>
    <w:rsid w:val="007A6A93"/>
    <w:rsid w:val="007A6AAB"/>
    <w:rsid w:val="007A70C5"/>
    <w:rsid w:val="007A71A7"/>
    <w:rsid w:val="007A763B"/>
    <w:rsid w:val="007A7EFF"/>
    <w:rsid w:val="007B0142"/>
    <w:rsid w:val="007B087E"/>
    <w:rsid w:val="007B0899"/>
    <w:rsid w:val="007B089C"/>
    <w:rsid w:val="007B0BF7"/>
    <w:rsid w:val="007B0C8A"/>
    <w:rsid w:val="007B1023"/>
    <w:rsid w:val="007B1249"/>
    <w:rsid w:val="007B129C"/>
    <w:rsid w:val="007B168E"/>
    <w:rsid w:val="007B1CF1"/>
    <w:rsid w:val="007B20F4"/>
    <w:rsid w:val="007B27EE"/>
    <w:rsid w:val="007B2C20"/>
    <w:rsid w:val="007B3119"/>
    <w:rsid w:val="007B3333"/>
    <w:rsid w:val="007B34F5"/>
    <w:rsid w:val="007B35E1"/>
    <w:rsid w:val="007B3BA1"/>
    <w:rsid w:val="007B3BAD"/>
    <w:rsid w:val="007B43CC"/>
    <w:rsid w:val="007B4B25"/>
    <w:rsid w:val="007B4D5C"/>
    <w:rsid w:val="007B4EB2"/>
    <w:rsid w:val="007B50FD"/>
    <w:rsid w:val="007B5260"/>
    <w:rsid w:val="007B55F1"/>
    <w:rsid w:val="007B561F"/>
    <w:rsid w:val="007B5909"/>
    <w:rsid w:val="007B59FF"/>
    <w:rsid w:val="007B5BD1"/>
    <w:rsid w:val="007B5CFD"/>
    <w:rsid w:val="007B664C"/>
    <w:rsid w:val="007B6C9C"/>
    <w:rsid w:val="007B6E90"/>
    <w:rsid w:val="007B711E"/>
    <w:rsid w:val="007B7778"/>
    <w:rsid w:val="007B7AAA"/>
    <w:rsid w:val="007C0086"/>
    <w:rsid w:val="007C0381"/>
    <w:rsid w:val="007C0527"/>
    <w:rsid w:val="007C05DA"/>
    <w:rsid w:val="007C0FC3"/>
    <w:rsid w:val="007C13A0"/>
    <w:rsid w:val="007C19C1"/>
    <w:rsid w:val="007C20B4"/>
    <w:rsid w:val="007C2358"/>
    <w:rsid w:val="007C2815"/>
    <w:rsid w:val="007C2D08"/>
    <w:rsid w:val="007C3497"/>
    <w:rsid w:val="007C370B"/>
    <w:rsid w:val="007C3B98"/>
    <w:rsid w:val="007C4B67"/>
    <w:rsid w:val="007C4BE2"/>
    <w:rsid w:val="007C4ED5"/>
    <w:rsid w:val="007C504A"/>
    <w:rsid w:val="007C5164"/>
    <w:rsid w:val="007C5A06"/>
    <w:rsid w:val="007C5A0A"/>
    <w:rsid w:val="007C5C41"/>
    <w:rsid w:val="007C6148"/>
    <w:rsid w:val="007C65A6"/>
    <w:rsid w:val="007C65CB"/>
    <w:rsid w:val="007C6FE2"/>
    <w:rsid w:val="007C700C"/>
    <w:rsid w:val="007D02B0"/>
    <w:rsid w:val="007D0A56"/>
    <w:rsid w:val="007D16B5"/>
    <w:rsid w:val="007D17E2"/>
    <w:rsid w:val="007D1BAD"/>
    <w:rsid w:val="007D1F5D"/>
    <w:rsid w:val="007D26D2"/>
    <w:rsid w:val="007D26DE"/>
    <w:rsid w:val="007D2BE9"/>
    <w:rsid w:val="007D2FCD"/>
    <w:rsid w:val="007D32B4"/>
    <w:rsid w:val="007D3732"/>
    <w:rsid w:val="007D38C6"/>
    <w:rsid w:val="007D46BC"/>
    <w:rsid w:val="007D46E1"/>
    <w:rsid w:val="007D4815"/>
    <w:rsid w:val="007D48D7"/>
    <w:rsid w:val="007D496A"/>
    <w:rsid w:val="007D4FD3"/>
    <w:rsid w:val="007D550D"/>
    <w:rsid w:val="007D5F94"/>
    <w:rsid w:val="007D6369"/>
    <w:rsid w:val="007D6606"/>
    <w:rsid w:val="007D67D5"/>
    <w:rsid w:val="007D69EE"/>
    <w:rsid w:val="007D6ED4"/>
    <w:rsid w:val="007D701C"/>
    <w:rsid w:val="007E1399"/>
    <w:rsid w:val="007E176A"/>
    <w:rsid w:val="007E1844"/>
    <w:rsid w:val="007E1A37"/>
    <w:rsid w:val="007E2389"/>
    <w:rsid w:val="007E2D71"/>
    <w:rsid w:val="007E2E6B"/>
    <w:rsid w:val="007E300B"/>
    <w:rsid w:val="007E366D"/>
    <w:rsid w:val="007E3AE3"/>
    <w:rsid w:val="007E3D8B"/>
    <w:rsid w:val="007E3DBF"/>
    <w:rsid w:val="007E435B"/>
    <w:rsid w:val="007E43CC"/>
    <w:rsid w:val="007E47F3"/>
    <w:rsid w:val="007E4850"/>
    <w:rsid w:val="007E4E08"/>
    <w:rsid w:val="007E5196"/>
    <w:rsid w:val="007E5538"/>
    <w:rsid w:val="007E5C73"/>
    <w:rsid w:val="007E5D39"/>
    <w:rsid w:val="007E5E28"/>
    <w:rsid w:val="007E6835"/>
    <w:rsid w:val="007E73C1"/>
    <w:rsid w:val="007E76AD"/>
    <w:rsid w:val="007E7B09"/>
    <w:rsid w:val="007E7C1D"/>
    <w:rsid w:val="007F035D"/>
    <w:rsid w:val="007F0B9E"/>
    <w:rsid w:val="007F0D32"/>
    <w:rsid w:val="007F0F45"/>
    <w:rsid w:val="007F140C"/>
    <w:rsid w:val="007F19F1"/>
    <w:rsid w:val="007F1BEB"/>
    <w:rsid w:val="007F2677"/>
    <w:rsid w:val="007F28A5"/>
    <w:rsid w:val="007F3039"/>
    <w:rsid w:val="007F44BE"/>
    <w:rsid w:val="007F4A77"/>
    <w:rsid w:val="007F4DD2"/>
    <w:rsid w:val="007F4E79"/>
    <w:rsid w:val="007F512A"/>
    <w:rsid w:val="007F54AF"/>
    <w:rsid w:val="007F568A"/>
    <w:rsid w:val="007F5C14"/>
    <w:rsid w:val="007F6AD3"/>
    <w:rsid w:val="007F748C"/>
    <w:rsid w:val="007F7826"/>
    <w:rsid w:val="007F7836"/>
    <w:rsid w:val="007F7D83"/>
    <w:rsid w:val="007F7EBE"/>
    <w:rsid w:val="0080030E"/>
    <w:rsid w:val="00800468"/>
    <w:rsid w:val="00800DDB"/>
    <w:rsid w:val="008015BC"/>
    <w:rsid w:val="00801978"/>
    <w:rsid w:val="008019D3"/>
    <w:rsid w:val="00801E01"/>
    <w:rsid w:val="00802B55"/>
    <w:rsid w:val="00802FC0"/>
    <w:rsid w:val="00803517"/>
    <w:rsid w:val="008035E2"/>
    <w:rsid w:val="008036A5"/>
    <w:rsid w:val="0080398B"/>
    <w:rsid w:val="00803A73"/>
    <w:rsid w:val="00803DA9"/>
    <w:rsid w:val="00804619"/>
    <w:rsid w:val="0080464B"/>
    <w:rsid w:val="00804CA4"/>
    <w:rsid w:val="0080548F"/>
    <w:rsid w:val="008058E3"/>
    <w:rsid w:val="00805AA7"/>
    <w:rsid w:val="00805C28"/>
    <w:rsid w:val="00805CC5"/>
    <w:rsid w:val="00805E27"/>
    <w:rsid w:val="0080607C"/>
    <w:rsid w:val="008067D9"/>
    <w:rsid w:val="00806E5A"/>
    <w:rsid w:val="00807191"/>
    <w:rsid w:val="00807553"/>
    <w:rsid w:val="0080765B"/>
    <w:rsid w:val="008077FE"/>
    <w:rsid w:val="00810D92"/>
    <w:rsid w:val="00810F9E"/>
    <w:rsid w:val="008116C8"/>
    <w:rsid w:val="00811C21"/>
    <w:rsid w:val="00811D5C"/>
    <w:rsid w:val="00812367"/>
    <w:rsid w:val="008124A0"/>
    <w:rsid w:val="008133C5"/>
    <w:rsid w:val="0081365D"/>
    <w:rsid w:val="008137CE"/>
    <w:rsid w:val="0081387D"/>
    <w:rsid w:val="00813B1C"/>
    <w:rsid w:val="00813C20"/>
    <w:rsid w:val="00813E5B"/>
    <w:rsid w:val="00814353"/>
    <w:rsid w:val="00814A3C"/>
    <w:rsid w:val="00814CE2"/>
    <w:rsid w:val="00815006"/>
    <w:rsid w:val="0081513C"/>
    <w:rsid w:val="008152DD"/>
    <w:rsid w:val="00815782"/>
    <w:rsid w:val="008167BC"/>
    <w:rsid w:val="00816A39"/>
    <w:rsid w:val="00816C98"/>
    <w:rsid w:val="00816E76"/>
    <w:rsid w:val="00816FD2"/>
    <w:rsid w:val="0081711E"/>
    <w:rsid w:val="00817290"/>
    <w:rsid w:val="00820767"/>
    <w:rsid w:val="00820BCD"/>
    <w:rsid w:val="00821178"/>
    <w:rsid w:val="0082126E"/>
    <w:rsid w:val="0082181D"/>
    <w:rsid w:val="0082187B"/>
    <w:rsid w:val="008221A5"/>
    <w:rsid w:val="00822847"/>
    <w:rsid w:val="00822A66"/>
    <w:rsid w:val="00822D37"/>
    <w:rsid w:val="0082347A"/>
    <w:rsid w:val="00823902"/>
    <w:rsid w:val="00823C59"/>
    <w:rsid w:val="008240F6"/>
    <w:rsid w:val="00824454"/>
    <w:rsid w:val="00824A5A"/>
    <w:rsid w:val="00824AAA"/>
    <w:rsid w:val="00824CC3"/>
    <w:rsid w:val="00824D7F"/>
    <w:rsid w:val="00825583"/>
    <w:rsid w:val="00825F61"/>
    <w:rsid w:val="00826172"/>
    <w:rsid w:val="00826434"/>
    <w:rsid w:val="0082650A"/>
    <w:rsid w:val="00826974"/>
    <w:rsid w:val="008269AC"/>
    <w:rsid w:val="008271E9"/>
    <w:rsid w:val="008274B5"/>
    <w:rsid w:val="00827935"/>
    <w:rsid w:val="00827A61"/>
    <w:rsid w:val="00827B83"/>
    <w:rsid w:val="00830977"/>
    <w:rsid w:val="00830A2B"/>
    <w:rsid w:val="00830A40"/>
    <w:rsid w:val="00830DBC"/>
    <w:rsid w:val="008317CC"/>
    <w:rsid w:val="008322C1"/>
    <w:rsid w:val="0083247B"/>
    <w:rsid w:val="008325CB"/>
    <w:rsid w:val="00832DF3"/>
    <w:rsid w:val="008334B0"/>
    <w:rsid w:val="0083372D"/>
    <w:rsid w:val="0083380A"/>
    <w:rsid w:val="00833860"/>
    <w:rsid w:val="00833E52"/>
    <w:rsid w:val="00833E97"/>
    <w:rsid w:val="008340BD"/>
    <w:rsid w:val="0083475D"/>
    <w:rsid w:val="0083542C"/>
    <w:rsid w:val="008357E2"/>
    <w:rsid w:val="00836949"/>
    <w:rsid w:val="00836ABF"/>
    <w:rsid w:val="00836CF1"/>
    <w:rsid w:val="008378AB"/>
    <w:rsid w:val="00837BA8"/>
    <w:rsid w:val="008405A2"/>
    <w:rsid w:val="0084065C"/>
    <w:rsid w:val="008406C3"/>
    <w:rsid w:val="00840956"/>
    <w:rsid w:val="00840E80"/>
    <w:rsid w:val="008410DD"/>
    <w:rsid w:val="008421CC"/>
    <w:rsid w:val="008422FD"/>
    <w:rsid w:val="008424D8"/>
    <w:rsid w:val="008425F6"/>
    <w:rsid w:val="008429DF"/>
    <w:rsid w:val="00842D15"/>
    <w:rsid w:val="0084340D"/>
    <w:rsid w:val="00843D24"/>
    <w:rsid w:val="00844636"/>
    <w:rsid w:val="008448EF"/>
    <w:rsid w:val="00845255"/>
    <w:rsid w:val="0084559E"/>
    <w:rsid w:val="00846204"/>
    <w:rsid w:val="00846334"/>
    <w:rsid w:val="0084697E"/>
    <w:rsid w:val="00846D66"/>
    <w:rsid w:val="00846E1D"/>
    <w:rsid w:val="00846F9A"/>
    <w:rsid w:val="008471D6"/>
    <w:rsid w:val="0084779A"/>
    <w:rsid w:val="0084795C"/>
    <w:rsid w:val="00847B7F"/>
    <w:rsid w:val="00847BAB"/>
    <w:rsid w:val="00847BDE"/>
    <w:rsid w:val="00847CDB"/>
    <w:rsid w:val="00847D33"/>
    <w:rsid w:val="00850668"/>
    <w:rsid w:val="00851925"/>
    <w:rsid w:val="00851DB0"/>
    <w:rsid w:val="00851DE1"/>
    <w:rsid w:val="00851F1A"/>
    <w:rsid w:val="008526F4"/>
    <w:rsid w:val="008528B9"/>
    <w:rsid w:val="0085334D"/>
    <w:rsid w:val="0085389A"/>
    <w:rsid w:val="00854CAF"/>
    <w:rsid w:val="00854D96"/>
    <w:rsid w:val="00854DF6"/>
    <w:rsid w:val="00854E71"/>
    <w:rsid w:val="008550A2"/>
    <w:rsid w:val="00855957"/>
    <w:rsid w:val="00855D9E"/>
    <w:rsid w:val="008561D6"/>
    <w:rsid w:val="0085627F"/>
    <w:rsid w:val="008568D3"/>
    <w:rsid w:val="00856CCB"/>
    <w:rsid w:val="00856D1B"/>
    <w:rsid w:val="008573DB"/>
    <w:rsid w:val="00857559"/>
    <w:rsid w:val="00857689"/>
    <w:rsid w:val="00857705"/>
    <w:rsid w:val="00857A9E"/>
    <w:rsid w:val="008603E9"/>
    <w:rsid w:val="00860746"/>
    <w:rsid w:val="0086154A"/>
    <w:rsid w:val="00861759"/>
    <w:rsid w:val="008618EF"/>
    <w:rsid w:val="00862152"/>
    <w:rsid w:val="00862A79"/>
    <w:rsid w:val="008630C6"/>
    <w:rsid w:val="00863A3D"/>
    <w:rsid w:val="008641D6"/>
    <w:rsid w:val="008643FE"/>
    <w:rsid w:val="008647B2"/>
    <w:rsid w:val="00864D71"/>
    <w:rsid w:val="00864FBC"/>
    <w:rsid w:val="008655B0"/>
    <w:rsid w:val="008656DC"/>
    <w:rsid w:val="0086591F"/>
    <w:rsid w:val="00865996"/>
    <w:rsid w:val="008659C5"/>
    <w:rsid w:val="00865AB8"/>
    <w:rsid w:val="00865F7C"/>
    <w:rsid w:val="008667A1"/>
    <w:rsid w:val="00866919"/>
    <w:rsid w:val="00866A12"/>
    <w:rsid w:val="00866A2D"/>
    <w:rsid w:val="008702CB"/>
    <w:rsid w:val="00870478"/>
    <w:rsid w:val="00870617"/>
    <w:rsid w:val="008706E7"/>
    <w:rsid w:val="008709C7"/>
    <w:rsid w:val="00870C24"/>
    <w:rsid w:val="008717F1"/>
    <w:rsid w:val="0087197F"/>
    <w:rsid w:val="00871B9D"/>
    <w:rsid w:val="0087236A"/>
    <w:rsid w:val="0087281C"/>
    <w:rsid w:val="00872ED2"/>
    <w:rsid w:val="00873180"/>
    <w:rsid w:val="0087378D"/>
    <w:rsid w:val="0087406B"/>
    <w:rsid w:val="008740EF"/>
    <w:rsid w:val="008747D7"/>
    <w:rsid w:val="00874D0A"/>
    <w:rsid w:val="008753C3"/>
    <w:rsid w:val="0087552F"/>
    <w:rsid w:val="0087577E"/>
    <w:rsid w:val="008758C3"/>
    <w:rsid w:val="00876491"/>
    <w:rsid w:val="00876BA9"/>
    <w:rsid w:val="008770E8"/>
    <w:rsid w:val="00877651"/>
    <w:rsid w:val="00877C88"/>
    <w:rsid w:val="00877DB5"/>
    <w:rsid w:val="00880221"/>
    <w:rsid w:val="008803FF"/>
    <w:rsid w:val="00880519"/>
    <w:rsid w:val="00880DBF"/>
    <w:rsid w:val="00880EB8"/>
    <w:rsid w:val="008813A6"/>
    <w:rsid w:val="008831FD"/>
    <w:rsid w:val="0088365B"/>
    <w:rsid w:val="00883707"/>
    <w:rsid w:val="008847F2"/>
    <w:rsid w:val="00884B95"/>
    <w:rsid w:val="008855D9"/>
    <w:rsid w:val="008856FC"/>
    <w:rsid w:val="0088580A"/>
    <w:rsid w:val="00885BEB"/>
    <w:rsid w:val="00885E0C"/>
    <w:rsid w:val="00885F5F"/>
    <w:rsid w:val="008862C1"/>
    <w:rsid w:val="008864D2"/>
    <w:rsid w:val="0088669E"/>
    <w:rsid w:val="008866B9"/>
    <w:rsid w:val="00886A80"/>
    <w:rsid w:val="00886BA7"/>
    <w:rsid w:val="00886E30"/>
    <w:rsid w:val="008872D5"/>
    <w:rsid w:val="008875C3"/>
    <w:rsid w:val="008876AC"/>
    <w:rsid w:val="00887953"/>
    <w:rsid w:val="008879BC"/>
    <w:rsid w:val="00890E9E"/>
    <w:rsid w:val="008911E6"/>
    <w:rsid w:val="00891F69"/>
    <w:rsid w:val="008928B7"/>
    <w:rsid w:val="00892D89"/>
    <w:rsid w:val="00892FCE"/>
    <w:rsid w:val="0089302C"/>
    <w:rsid w:val="00893101"/>
    <w:rsid w:val="0089352B"/>
    <w:rsid w:val="0089397C"/>
    <w:rsid w:val="00893C17"/>
    <w:rsid w:val="00893C6D"/>
    <w:rsid w:val="008941CC"/>
    <w:rsid w:val="008941FC"/>
    <w:rsid w:val="008943AF"/>
    <w:rsid w:val="0089442C"/>
    <w:rsid w:val="008945EB"/>
    <w:rsid w:val="00894ECA"/>
    <w:rsid w:val="00894FB0"/>
    <w:rsid w:val="0089500C"/>
    <w:rsid w:val="0089596C"/>
    <w:rsid w:val="00895ACF"/>
    <w:rsid w:val="00895AEC"/>
    <w:rsid w:val="0089659E"/>
    <w:rsid w:val="00896BC4"/>
    <w:rsid w:val="00896F09"/>
    <w:rsid w:val="00897929"/>
    <w:rsid w:val="00897C50"/>
    <w:rsid w:val="00897DC6"/>
    <w:rsid w:val="00897F62"/>
    <w:rsid w:val="008A0314"/>
    <w:rsid w:val="008A04F1"/>
    <w:rsid w:val="008A072B"/>
    <w:rsid w:val="008A091F"/>
    <w:rsid w:val="008A0A14"/>
    <w:rsid w:val="008A0B31"/>
    <w:rsid w:val="008A1285"/>
    <w:rsid w:val="008A17BD"/>
    <w:rsid w:val="008A1CFE"/>
    <w:rsid w:val="008A2059"/>
    <w:rsid w:val="008A212E"/>
    <w:rsid w:val="008A2ABD"/>
    <w:rsid w:val="008A2E14"/>
    <w:rsid w:val="008A3477"/>
    <w:rsid w:val="008A3DEB"/>
    <w:rsid w:val="008A3ECA"/>
    <w:rsid w:val="008A4674"/>
    <w:rsid w:val="008A473D"/>
    <w:rsid w:val="008A4A55"/>
    <w:rsid w:val="008A4AD6"/>
    <w:rsid w:val="008A4E45"/>
    <w:rsid w:val="008A5661"/>
    <w:rsid w:val="008A566D"/>
    <w:rsid w:val="008A60DC"/>
    <w:rsid w:val="008A6508"/>
    <w:rsid w:val="008A711C"/>
    <w:rsid w:val="008A75D7"/>
    <w:rsid w:val="008A7DE7"/>
    <w:rsid w:val="008B05E9"/>
    <w:rsid w:val="008B09D2"/>
    <w:rsid w:val="008B0E50"/>
    <w:rsid w:val="008B162B"/>
    <w:rsid w:val="008B1840"/>
    <w:rsid w:val="008B1D9C"/>
    <w:rsid w:val="008B1E2F"/>
    <w:rsid w:val="008B1E84"/>
    <w:rsid w:val="008B2040"/>
    <w:rsid w:val="008B206B"/>
    <w:rsid w:val="008B21BC"/>
    <w:rsid w:val="008B233F"/>
    <w:rsid w:val="008B2471"/>
    <w:rsid w:val="008B269D"/>
    <w:rsid w:val="008B2A81"/>
    <w:rsid w:val="008B2C51"/>
    <w:rsid w:val="008B2F26"/>
    <w:rsid w:val="008B2FF6"/>
    <w:rsid w:val="008B306A"/>
    <w:rsid w:val="008B3DA7"/>
    <w:rsid w:val="008B3E15"/>
    <w:rsid w:val="008B41FB"/>
    <w:rsid w:val="008B42D7"/>
    <w:rsid w:val="008B444C"/>
    <w:rsid w:val="008B4529"/>
    <w:rsid w:val="008B479C"/>
    <w:rsid w:val="008B5C70"/>
    <w:rsid w:val="008B5CC5"/>
    <w:rsid w:val="008B638F"/>
    <w:rsid w:val="008B677F"/>
    <w:rsid w:val="008B69F3"/>
    <w:rsid w:val="008B6A50"/>
    <w:rsid w:val="008B7377"/>
    <w:rsid w:val="008B73AF"/>
    <w:rsid w:val="008B76B0"/>
    <w:rsid w:val="008B7EF1"/>
    <w:rsid w:val="008B7F4C"/>
    <w:rsid w:val="008C04D4"/>
    <w:rsid w:val="008C067A"/>
    <w:rsid w:val="008C07C0"/>
    <w:rsid w:val="008C0EC9"/>
    <w:rsid w:val="008C2190"/>
    <w:rsid w:val="008C231B"/>
    <w:rsid w:val="008C23B2"/>
    <w:rsid w:val="008C2492"/>
    <w:rsid w:val="008C2864"/>
    <w:rsid w:val="008C33C2"/>
    <w:rsid w:val="008C3AF2"/>
    <w:rsid w:val="008C4186"/>
    <w:rsid w:val="008C46B4"/>
    <w:rsid w:val="008C5317"/>
    <w:rsid w:val="008C5640"/>
    <w:rsid w:val="008C5737"/>
    <w:rsid w:val="008C5AFD"/>
    <w:rsid w:val="008C5BA2"/>
    <w:rsid w:val="008C5DCE"/>
    <w:rsid w:val="008C5E8F"/>
    <w:rsid w:val="008C5F7B"/>
    <w:rsid w:val="008C6060"/>
    <w:rsid w:val="008C62E4"/>
    <w:rsid w:val="008C676B"/>
    <w:rsid w:val="008C683E"/>
    <w:rsid w:val="008C6E99"/>
    <w:rsid w:val="008C6F4B"/>
    <w:rsid w:val="008C75A2"/>
    <w:rsid w:val="008C7AC7"/>
    <w:rsid w:val="008C7ED5"/>
    <w:rsid w:val="008D00AA"/>
    <w:rsid w:val="008D074C"/>
    <w:rsid w:val="008D08CC"/>
    <w:rsid w:val="008D0B91"/>
    <w:rsid w:val="008D0C1D"/>
    <w:rsid w:val="008D1BED"/>
    <w:rsid w:val="008D1E99"/>
    <w:rsid w:val="008D2DB6"/>
    <w:rsid w:val="008D3421"/>
    <w:rsid w:val="008D36AA"/>
    <w:rsid w:val="008D37E7"/>
    <w:rsid w:val="008D3D31"/>
    <w:rsid w:val="008D4071"/>
    <w:rsid w:val="008D4819"/>
    <w:rsid w:val="008D4DB7"/>
    <w:rsid w:val="008D58FD"/>
    <w:rsid w:val="008D5C20"/>
    <w:rsid w:val="008D5D7C"/>
    <w:rsid w:val="008D5F76"/>
    <w:rsid w:val="008D61B7"/>
    <w:rsid w:val="008D624E"/>
    <w:rsid w:val="008D62FB"/>
    <w:rsid w:val="008D6729"/>
    <w:rsid w:val="008D6A55"/>
    <w:rsid w:val="008D7B9F"/>
    <w:rsid w:val="008E020E"/>
    <w:rsid w:val="008E0450"/>
    <w:rsid w:val="008E056C"/>
    <w:rsid w:val="008E06E0"/>
    <w:rsid w:val="008E0AC9"/>
    <w:rsid w:val="008E0B7C"/>
    <w:rsid w:val="008E1155"/>
    <w:rsid w:val="008E11E3"/>
    <w:rsid w:val="008E1328"/>
    <w:rsid w:val="008E198F"/>
    <w:rsid w:val="008E1B32"/>
    <w:rsid w:val="008E2006"/>
    <w:rsid w:val="008E2727"/>
    <w:rsid w:val="008E290F"/>
    <w:rsid w:val="008E2AD9"/>
    <w:rsid w:val="008E2C69"/>
    <w:rsid w:val="008E2DB8"/>
    <w:rsid w:val="008E2FF7"/>
    <w:rsid w:val="008E3724"/>
    <w:rsid w:val="008E3C38"/>
    <w:rsid w:val="008E4721"/>
    <w:rsid w:val="008E52DA"/>
    <w:rsid w:val="008E56D4"/>
    <w:rsid w:val="008E5762"/>
    <w:rsid w:val="008E5C10"/>
    <w:rsid w:val="008E6105"/>
    <w:rsid w:val="008E66E5"/>
    <w:rsid w:val="008E6898"/>
    <w:rsid w:val="008E6C55"/>
    <w:rsid w:val="008E7365"/>
    <w:rsid w:val="008E7C1E"/>
    <w:rsid w:val="008E7FD1"/>
    <w:rsid w:val="008F00B4"/>
    <w:rsid w:val="008F0A6A"/>
    <w:rsid w:val="008F0C7D"/>
    <w:rsid w:val="008F0E11"/>
    <w:rsid w:val="008F0F86"/>
    <w:rsid w:val="008F11B9"/>
    <w:rsid w:val="008F1A0D"/>
    <w:rsid w:val="008F1C2D"/>
    <w:rsid w:val="008F1DEA"/>
    <w:rsid w:val="008F1F38"/>
    <w:rsid w:val="008F20D9"/>
    <w:rsid w:val="008F2182"/>
    <w:rsid w:val="008F2F63"/>
    <w:rsid w:val="008F30D0"/>
    <w:rsid w:val="008F33FF"/>
    <w:rsid w:val="008F3406"/>
    <w:rsid w:val="008F3FAA"/>
    <w:rsid w:val="008F42EB"/>
    <w:rsid w:val="008F519E"/>
    <w:rsid w:val="008F63A8"/>
    <w:rsid w:val="008F6813"/>
    <w:rsid w:val="008F6FDC"/>
    <w:rsid w:val="008F7145"/>
    <w:rsid w:val="008F7AA8"/>
    <w:rsid w:val="008F7D80"/>
    <w:rsid w:val="009005E1"/>
    <w:rsid w:val="0090086C"/>
    <w:rsid w:val="00900D88"/>
    <w:rsid w:val="009019D4"/>
    <w:rsid w:val="00901A7C"/>
    <w:rsid w:val="00901C28"/>
    <w:rsid w:val="00901CCD"/>
    <w:rsid w:val="00902BD6"/>
    <w:rsid w:val="00902C62"/>
    <w:rsid w:val="0090336E"/>
    <w:rsid w:val="009034D7"/>
    <w:rsid w:val="00903ADC"/>
    <w:rsid w:val="00903DF6"/>
    <w:rsid w:val="00903F34"/>
    <w:rsid w:val="00904110"/>
    <w:rsid w:val="00905447"/>
    <w:rsid w:val="00905D60"/>
    <w:rsid w:val="00905E57"/>
    <w:rsid w:val="00906064"/>
    <w:rsid w:val="0090626F"/>
    <w:rsid w:val="0090689D"/>
    <w:rsid w:val="00906C43"/>
    <w:rsid w:val="009075EA"/>
    <w:rsid w:val="009076FE"/>
    <w:rsid w:val="009079CB"/>
    <w:rsid w:val="0091027D"/>
    <w:rsid w:val="0091081C"/>
    <w:rsid w:val="009108CE"/>
    <w:rsid w:val="00910B3E"/>
    <w:rsid w:val="00910C10"/>
    <w:rsid w:val="00910E3F"/>
    <w:rsid w:val="009112D0"/>
    <w:rsid w:val="00911BA9"/>
    <w:rsid w:val="009124D5"/>
    <w:rsid w:val="009128C4"/>
    <w:rsid w:val="00912CEB"/>
    <w:rsid w:val="0091323F"/>
    <w:rsid w:val="00913342"/>
    <w:rsid w:val="0091368E"/>
    <w:rsid w:val="00913F42"/>
    <w:rsid w:val="0091434A"/>
    <w:rsid w:val="00914F71"/>
    <w:rsid w:val="00915279"/>
    <w:rsid w:val="00915864"/>
    <w:rsid w:val="009161F0"/>
    <w:rsid w:val="00916EB5"/>
    <w:rsid w:val="00916FEB"/>
    <w:rsid w:val="009171E6"/>
    <w:rsid w:val="00917583"/>
    <w:rsid w:val="0091770D"/>
    <w:rsid w:val="009179B9"/>
    <w:rsid w:val="00917EF3"/>
    <w:rsid w:val="009201A6"/>
    <w:rsid w:val="00921111"/>
    <w:rsid w:val="00921617"/>
    <w:rsid w:val="009224DB"/>
    <w:rsid w:val="009224E9"/>
    <w:rsid w:val="00922502"/>
    <w:rsid w:val="00922BC1"/>
    <w:rsid w:val="00924587"/>
    <w:rsid w:val="0092472E"/>
    <w:rsid w:val="009249E6"/>
    <w:rsid w:val="00924F49"/>
    <w:rsid w:val="0092535E"/>
    <w:rsid w:val="00925556"/>
    <w:rsid w:val="00925C80"/>
    <w:rsid w:val="00926413"/>
    <w:rsid w:val="00926536"/>
    <w:rsid w:val="00926671"/>
    <w:rsid w:val="009270B4"/>
    <w:rsid w:val="0092732D"/>
    <w:rsid w:val="009303EB"/>
    <w:rsid w:val="00930CD5"/>
    <w:rsid w:val="00930FC2"/>
    <w:rsid w:val="0093102D"/>
    <w:rsid w:val="009310A8"/>
    <w:rsid w:val="0093172A"/>
    <w:rsid w:val="009317F4"/>
    <w:rsid w:val="00931802"/>
    <w:rsid w:val="00931981"/>
    <w:rsid w:val="00931A15"/>
    <w:rsid w:val="00931A6B"/>
    <w:rsid w:val="0093248D"/>
    <w:rsid w:val="0093264A"/>
    <w:rsid w:val="009327FE"/>
    <w:rsid w:val="00932C06"/>
    <w:rsid w:val="00932CD2"/>
    <w:rsid w:val="0093315E"/>
    <w:rsid w:val="009337E6"/>
    <w:rsid w:val="00933E08"/>
    <w:rsid w:val="009341DA"/>
    <w:rsid w:val="009343C4"/>
    <w:rsid w:val="0093447D"/>
    <w:rsid w:val="009344E4"/>
    <w:rsid w:val="00934D96"/>
    <w:rsid w:val="00934E97"/>
    <w:rsid w:val="00935305"/>
    <w:rsid w:val="00935E19"/>
    <w:rsid w:val="00936326"/>
    <w:rsid w:val="00936B68"/>
    <w:rsid w:val="00936CE6"/>
    <w:rsid w:val="00936FF8"/>
    <w:rsid w:val="00937580"/>
    <w:rsid w:val="009379BF"/>
    <w:rsid w:val="00937C1E"/>
    <w:rsid w:val="00937CF8"/>
    <w:rsid w:val="00937D7A"/>
    <w:rsid w:val="009404EF"/>
    <w:rsid w:val="009408A9"/>
    <w:rsid w:val="00941445"/>
    <w:rsid w:val="00941CFC"/>
    <w:rsid w:val="00941ED3"/>
    <w:rsid w:val="009420E3"/>
    <w:rsid w:val="009421CE"/>
    <w:rsid w:val="009423E3"/>
    <w:rsid w:val="00942EE2"/>
    <w:rsid w:val="00943183"/>
    <w:rsid w:val="00943F47"/>
    <w:rsid w:val="00944275"/>
    <w:rsid w:val="009442DD"/>
    <w:rsid w:val="009448DA"/>
    <w:rsid w:val="00944A35"/>
    <w:rsid w:val="00944A5F"/>
    <w:rsid w:val="00944B17"/>
    <w:rsid w:val="0094631A"/>
    <w:rsid w:val="00946429"/>
    <w:rsid w:val="009467C3"/>
    <w:rsid w:val="00946A0A"/>
    <w:rsid w:val="00946E80"/>
    <w:rsid w:val="00946E8E"/>
    <w:rsid w:val="00947347"/>
    <w:rsid w:val="009473C8"/>
    <w:rsid w:val="0094744C"/>
    <w:rsid w:val="00947591"/>
    <w:rsid w:val="00947E6B"/>
    <w:rsid w:val="00950434"/>
    <w:rsid w:val="00950732"/>
    <w:rsid w:val="00950B4B"/>
    <w:rsid w:val="00951AC6"/>
    <w:rsid w:val="00951C8F"/>
    <w:rsid w:val="00951CEC"/>
    <w:rsid w:val="00951E60"/>
    <w:rsid w:val="00951F11"/>
    <w:rsid w:val="00951F8D"/>
    <w:rsid w:val="0095282F"/>
    <w:rsid w:val="009528D4"/>
    <w:rsid w:val="009529B6"/>
    <w:rsid w:val="00952C6E"/>
    <w:rsid w:val="00952DD6"/>
    <w:rsid w:val="00952EBB"/>
    <w:rsid w:val="00953009"/>
    <w:rsid w:val="009538C8"/>
    <w:rsid w:val="00953E3F"/>
    <w:rsid w:val="0095465B"/>
    <w:rsid w:val="009546CB"/>
    <w:rsid w:val="00954FE3"/>
    <w:rsid w:val="00954FE8"/>
    <w:rsid w:val="00955569"/>
    <w:rsid w:val="009555F8"/>
    <w:rsid w:val="00955B38"/>
    <w:rsid w:val="00955CA0"/>
    <w:rsid w:val="00955D45"/>
    <w:rsid w:val="00955D47"/>
    <w:rsid w:val="00955FB7"/>
    <w:rsid w:val="0095674C"/>
    <w:rsid w:val="00956A75"/>
    <w:rsid w:val="00956CEE"/>
    <w:rsid w:val="00956DFC"/>
    <w:rsid w:val="009570F1"/>
    <w:rsid w:val="00957315"/>
    <w:rsid w:val="0095747B"/>
    <w:rsid w:val="009574B7"/>
    <w:rsid w:val="00957EB7"/>
    <w:rsid w:val="009602B6"/>
    <w:rsid w:val="00960422"/>
    <w:rsid w:val="009606B2"/>
    <w:rsid w:val="0096177C"/>
    <w:rsid w:val="009617A0"/>
    <w:rsid w:val="00961F54"/>
    <w:rsid w:val="00962162"/>
    <w:rsid w:val="00962597"/>
    <w:rsid w:val="0096266F"/>
    <w:rsid w:val="00962F71"/>
    <w:rsid w:val="00963C36"/>
    <w:rsid w:val="009641B8"/>
    <w:rsid w:val="00964407"/>
    <w:rsid w:val="00964BF1"/>
    <w:rsid w:val="00965735"/>
    <w:rsid w:val="00965884"/>
    <w:rsid w:val="00966107"/>
    <w:rsid w:val="009665FD"/>
    <w:rsid w:val="009666E8"/>
    <w:rsid w:val="00966829"/>
    <w:rsid w:val="00966FD8"/>
    <w:rsid w:val="00967671"/>
    <w:rsid w:val="009676FE"/>
    <w:rsid w:val="009677DB"/>
    <w:rsid w:val="00967D6B"/>
    <w:rsid w:val="00967E80"/>
    <w:rsid w:val="00967F89"/>
    <w:rsid w:val="00970158"/>
    <w:rsid w:val="009708B9"/>
    <w:rsid w:val="00970ADE"/>
    <w:rsid w:val="00971E9E"/>
    <w:rsid w:val="00971F42"/>
    <w:rsid w:val="009722EE"/>
    <w:rsid w:val="00972E1A"/>
    <w:rsid w:val="00973DA9"/>
    <w:rsid w:val="009749DE"/>
    <w:rsid w:val="00974D7F"/>
    <w:rsid w:val="009753FC"/>
    <w:rsid w:val="00975DF5"/>
    <w:rsid w:val="009762A5"/>
    <w:rsid w:val="009762AC"/>
    <w:rsid w:val="0097721F"/>
    <w:rsid w:val="00977296"/>
    <w:rsid w:val="00980367"/>
    <w:rsid w:val="00980952"/>
    <w:rsid w:val="00981713"/>
    <w:rsid w:val="009818F1"/>
    <w:rsid w:val="009824A4"/>
    <w:rsid w:val="00982791"/>
    <w:rsid w:val="009828B1"/>
    <w:rsid w:val="00982925"/>
    <w:rsid w:val="00982DE2"/>
    <w:rsid w:val="0098301D"/>
    <w:rsid w:val="0098338D"/>
    <w:rsid w:val="0098353B"/>
    <w:rsid w:val="009836D2"/>
    <w:rsid w:val="00983E4D"/>
    <w:rsid w:val="00984274"/>
    <w:rsid w:val="0098510F"/>
    <w:rsid w:val="00985347"/>
    <w:rsid w:val="00985515"/>
    <w:rsid w:val="009856F7"/>
    <w:rsid w:val="009858E1"/>
    <w:rsid w:val="00985928"/>
    <w:rsid w:val="00985DA3"/>
    <w:rsid w:val="00985EBB"/>
    <w:rsid w:val="009868AE"/>
    <w:rsid w:val="0098695C"/>
    <w:rsid w:val="00986DF0"/>
    <w:rsid w:val="009873FD"/>
    <w:rsid w:val="009879BE"/>
    <w:rsid w:val="00987C96"/>
    <w:rsid w:val="00990276"/>
    <w:rsid w:val="0099038F"/>
    <w:rsid w:val="009905B5"/>
    <w:rsid w:val="0099067B"/>
    <w:rsid w:val="00990F1B"/>
    <w:rsid w:val="009915F6"/>
    <w:rsid w:val="00991A63"/>
    <w:rsid w:val="00991EFA"/>
    <w:rsid w:val="00992323"/>
    <w:rsid w:val="00992628"/>
    <w:rsid w:val="00992A16"/>
    <w:rsid w:val="00992BC7"/>
    <w:rsid w:val="00992D82"/>
    <w:rsid w:val="009933A8"/>
    <w:rsid w:val="00994448"/>
    <w:rsid w:val="009947B3"/>
    <w:rsid w:val="00994A5E"/>
    <w:rsid w:val="00994C3B"/>
    <w:rsid w:val="00994F82"/>
    <w:rsid w:val="0099594A"/>
    <w:rsid w:val="009963FB"/>
    <w:rsid w:val="00996C44"/>
    <w:rsid w:val="00996DDB"/>
    <w:rsid w:val="00997356"/>
    <w:rsid w:val="00997947"/>
    <w:rsid w:val="00997ED9"/>
    <w:rsid w:val="009A04C6"/>
    <w:rsid w:val="009A0808"/>
    <w:rsid w:val="009A0C75"/>
    <w:rsid w:val="009A14B2"/>
    <w:rsid w:val="009A1704"/>
    <w:rsid w:val="009A17C5"/>
    <w:rsid w:val="009A1B20"/>
    <w:rsid w:val="009A1D55"/>
    <w:rsid w:val="009A1DC6"/>
    <w:rsid w:val="009A1DDE"/>
    <w:rsid w:val="009A286D"/>
    <w:rsid w:val="009A2BDB"/>
    <w:rsid w:val="009A2D2C"/>
    <w:rsid w:val="009A2FE1"/>
    <w:rsid w:val="009A35A3"/>
    <w:rsid w:val="009A398E"/>
    <w:rsid w:val="009A39CD"/>
    <w:rsid w:val="009A3FB7"/>
    <w:rsid w:val="009A4040"/>
    <w:rsid w:val="009A43DA"/>
    <w:rsid w:val="009A490D"/>
    <w:rsid w:val="009A4AF9"/>
    <w:rsid w:val="009A4CD7"/>
    <w:rsid w:val="009A4F58"/>
    <w:rsid w:val="009A52D6"/>
    <w:rsid w:val="009A53BE"/>
    <w:rsid w:val="009A671B"/>
    <w:rsid w:val="009A68FA"/>
    <w:rsid w:val="009A6953"/>
    <w:rsid w:val="009A6E0A"/>
    <w:rsid w:val="009A73E7"/>
    <w:rsid w:val="009A76C9"/>
    <w:rsid w:val="009A793C"/>
    <w:rsid w:val="009B0010"/>
    <w:rsid w:val="009B0123"/>
    <w:rsid w:val="009B05C3"/>
    <w:rsid w:val="009B05D8"/>
    <w:rsid w:val="009B0A55"/>
    <w:rsid w:val="009B0AFA"/>
    <w:rsid w:val="009B0B61"/>
    <w:rsid w:val="009B1287"/>
    <w:rsid w:val="009B13DA"/>
    <w:rsid w:val="009B15DD"/>
    <w:rsid w:val="009B17C7"/>
    <w:rsid w:val="009B1B70"/>
    <w:rsid w:val="009B1EB3"/>
    <w:rsid w:val="009B204E"/>
    <w:rsid w:val="009B22A7"/>
    <w:rsid w:val="009B22CE"/>
    <w:rsid w:val="009B2653"/>
    <w:rsid w:val="009B291A"/>
    <w:rsid w:val="009B2E4F"/>
    <w:rsid w:val="009B3091"/>
    <w:rsid w:val="009B35D7"/>
    <w:rsid w:val="009B381B"/>
    <w:rsid w:val="009B383A"/>
    <w:rsid w:val="009B3FE5"/>
    <w:rsid w:val="009B4150"/>
    <w:rsid w:val="009B44B5"/>
    <w:rsid w:val="009B4BCB"/>
    <w:rsid w:val="009B5B4F"/>
    <w:rsid w:val="009B6031"/>
    <w:rsid w:val="009B6FBB"/>
    <w:rsid w:val="009B78E0"/>
    <w:rsid w:val="009B7C83"/>
    <w:rsid w:val="009C03D6"/>
    <w:rsid w:val="009C07E0"/>
    <w:rsid w:val="009C0A7D"/>
    <w:rsid w:val="009C0C52"/>
    <w:rsid w:val="009C0D14"/>
    <w:rsid w:val="009C0F6C"/>
    <w:rsid w:val="009C10C7"/>
    <w:rsid w:val="009C13F7"/>
    <w:rsid w:val="009C16E8"/>
    <w:rsid w:val="009C17D1"/>
    <w:rsid w:val="009C1858"/>
    <w:rsid w:val="009C2283"/>
    <w:rsid w:val="009C245D"/>
    <w:rsid w:val="009C24CF"/>
    <w:rsid w:val="009C24E1"/>
    <w:rsid w:val="009C2815"/>
    <w:rsid w:val="009C29CE"/>
    <w:rsid w:val="009C2B06"/>
    <w:rsid w:val="009C2E13"/>
    <w:rsid w:val="009C2EDE"/>
    <w:rsid w:val="009C337E"/>
    <w:rsid w:val="009C36F1"/>
    <w:rsid w:val="009C4579"/>
    <w:rsid w:val="009C45DA"/>
    <w:rsid w:val="009C4791"/>
    <w:rsid w:val="009C4C82"/>
    <w:rsid w:val="009C54DA"/>
    <w:rsid w:val="009C563B"/>
    <w:rsid w:val="009C5ACA"/>
    <w:rsid w:val="009C603F"/>
    <w:rsid w:val="009C6899"/>
    <w:rsid w:val="009C689F"/>
    <w:rsid w:val="009C6965"/>
    <w:rsid w:val="009C7043"/>
    <w:rsid w:val="009C7052"/>
    <w:rsid w:val="009D06B3"/>
    <w:rsid w:val="009D0A67"/>
    <w:rsid w:val="009D0CA2"/>
    <w:rsid w:val="009D1115"/>
    <w:rsid w:val="009D1234"/>
    <w:rsid w:val="009D1C19"/>
    <w:rsid w:val="009D1D21"/>
    <w:rsid w:val="009D2261"/>
    <w:rsid w:val="009D2A17"/>
    <w:rsid w:val="009D2A5C"/>
    <w:rsid w:val="009D35CA"/>
    <w:rsid w:val="009D37A3"/>
    <w:rsid w:val="009D37F5"/>
    <w:rsid w:val="009D38DF"/>
    <w:rsid w:val="009D4191"/>
    <w:rsid w:val="009D41A8"/>
    <w:rsid w:val="009D4586"/>
    <w:rsid w:val="009D463E"/>
    <w:rsid w:val="009D4FA2"/>
    <w:rsid w:val="009D56BF"/>
    <w:rsid w:val="009D5D5D"/>
    <w:rsid w:val="009D5DB3"/>
    <w:rsid w:val="009D5E56"/>
    <w:rsid w:val="009D5FA7"/>
    <w:rsid w:val="009D6212"/>
    <w:rsid w:val="009D6387"/>
    <w:rsid w:val="009D63DF"/>
    <w:rsid w:val="009D6424"/>
    <w:rsid w:val="009D6711"/>
    <w:rsid w:val="009D67B6"/>
    <w:rsid w:val="009D68D6"/>
    <w:rsid w:val="009D6AD1"/>
    <w:rsid w:val="009D6F61"/>
    <w:rsid w:val="009D7065"/>
    <w:rsid w:val="009D72A3"/>
    <w:rsid w:val="009D76FB"/>
    <w:rsid w:val="009D7741"/>
    <w:rsid w:val="009D7D25"/>
    <w:rsid w:val="009D7DC2"/>
    <w:rsid w:val="009D7DC4"/>
    <w:rsid w:val="009E0187"/>
    <w:rsid w:val="009E05A0"/>
    <w:rsid w:val="009E0C34"/>
    <w:rsid w:val="009E1165"/>
    <w:rsid w:val="009E1579"/>
    <w:rsid w:val="009E15BD"/>
    <w:rsid w:val="009E1609"/>
    <w:rsid w:val="009E23C0"/>
    <w:rsid w:val="009E253A"/>
    <w:rsid w:val="009E2ED6"/>
    <w:rsid w:val="009E3BA9"/>
    <w:rsid w:val="009E3CE7"/>
    <w:rsid w:val="009E3D31"/>
    <w:rsid w:val="009E3EC9"/>
    <w:rsid w:val="009E4421"/>
    <w:rsid w:val="009E4AB6"/>
    <w:rsid w:val="009E4EA7"/>
    <w:rsid w:val="009E588E"/>
    <w:rsid w:val="009E5A77"/>
    <w:rsid w:val="009E6038"/>
    <w:rsid w:val="009E60E2"/>
    <w:rsid w:val="009E61C5"/>
    <w:rsid w:val="009E6361"/>
    <w:rsid w:val="009E69AA"/>
    <w:rsid w:val="009E71E4"/>
    <w:rsid w:val="009E7523"/>
    <w:rsid w:val="009E7A8C"/>
    <w:rsid w:val="009E7B88"/>
    <w:rsid w:val="009F02CA"/>
    <w:rsid w:val="009F0996"/>
    <w:rsid w:val="009F1144"/>
    <w:rsid w:val="009F1161"/>
    <w:rsid w:val="009F1518"/>
    <w:rsid w:val="009F1D13"/>
    <w:rsid w:val="009F22AF"/>
    <w:rsid w:val="009F267E"/>
    <w:rsid w:val="009F286D"/>
    <w:rsid w:val="009F2D95"/>
    <w:rsid w:val="009F3526"/>
    <w:rsid w:val="009F3F12"/>
    <w:rsid w:val="009F402A"/>
    <w:rsid w:val="009F40EB"/>
    <w:rsid w:val="009F53B1"/>
    <w:rsid w:val="009F556D"/>
    <w:rsid w:val="009F6085"/>
    <w:rsid w:val="009F628E"/>
    <w:rsid w:val="009F66E4"/>
    <w:rsid w:val="009F6C4D"/>
    <w:rsid w:val="009F7231"/>
    <w:rsid w:val="009F791E"/>
    <w:rsid w:val="009F7EC9"/>
    <w:rsid w:val="009F7FC0"/>
    <w:rsid w:val="00A00290"/>
    <w:rsid w:val="00A01441"/>
    <w:rsid w:val="00A017B0"/>
    <w:rsid w:val="00A01E76"/>
    <w:rsid w:val="00A01F4A"/>
    <w:rsid w:val="00A02034"/>
    <w:rsid w:val="00A021FF"/>
    <w:rsid w:val="00A02213"/>
    <w:rsid w:val="00A0312C"/>
    <w:rsid w:val="00A031B8"/>
    <w:rsid w:val="00A03473"/>
    <w:rsid w:val="00A03B0D"/>
    <w:rsid w:val="00A0476F"/>
    <w:rsid w:val="00A04781"/>
    <w:rsid w:val="00A04D04"/>
    <w:rsid w:val="00A055DD"/>
    <w:rsid w:val="00A05852"/>
    <w:rsid w:val="00A05AAD"/>
    <w:rsid w:val="00A05DBD"/>
    <w:rsid w:val="00A061E6"/>
    <w:rsid w:val="00A06472"/>
    <w:rsid w:val="00A067A6"/>
    <w:rsid w:val="00A07714"/>
    <w:rsid w:val="00A07B44"/>
    <w:rsid w:val="00A07BE2"/>
    <w:rsid w:val="00A07F04"/>
    <w:rsid w:val="00A103C5"/>
    <w:rsid w:val="00A1054E"/>
    <w:rsid w:val="00A118EA"/>
    <w:rsid w:val="00A11A50"/>
    <w:rsid w:val="00A122FD"/>
    <w:rsid w:val="00A128A3"/>
    <w:rsid w:val="00A129C5"/>
    <w:rsid w:val="00A12F87"/>
    <w:rsid w:val="00A132E6"/>
    <w:rsid w:val="00A135BE"/>
    <w:rsid w:val="00A137BF"/>
    <w:rsid w:val="00A13803"/>
    <w:rsid w:val="00A1444F"/>
    <w:rsid w:val="00A1474F"/>
    <w:rsid w:val="00A14903"/>
    <w:rsid w:val="00A14E96"/>
    <w:rsid w:val="00A15350"/>
    <w:rsid w:val="00A15672"/>
    <w:rsid w:val="00A16000"/>
    <w:rsid w:val="00A165D1"/>
    <w:rsid w:val="00A167C6"/>
    <w:rsid w:val="00A16C81"/>
    <w:rsid w:val="00A16CF1"/>
    <w:rsid w:val="00A20171"/>
    <w:rsid w:val="00A213B3"/>
    <w:rsid w:val="00A21D03"/>
    <w:rsid w:val="00A21D07"/>
    <w:rsid w:val="00A21F3A"/>
    <w:rsid w:val="00A22041"/>
    <w:rsid w:val="00A225C3"/>
    <w:rsid w:val="00A233BC"/>
    <w:rsid w:val="00A2355F"/>
    <w:rsid w:val="00A24230"/>
    <w:rsid w:val="00A246B2"/>
    <w:rsid w:val="00A24824"/>
    <w:rsid w:val="00A24BF0"/>
    <w:rsid w:val="00A2590F"/>
    <w:rsid w:val="00A26A2D"/>
    <w:rsid w:val="00A26C7B"/>
    <w:rsid w:val="00A270B2"/>
    <w:rsid w:val="00A272FD"/>
    <w:rsid w:val="00A2773E"/>
    <w:rsid w:val="00A27E04"/>
    <w:rsid w:val="00A27E56"/>
    <w:rsid w:val="00A304EE"/>
    <w:rsid w:val="00A306AE"/>
    <w:rsid w:val="00A30984"/>
    <w:rsid w:val="00A318C7"/>
    <w:rsid w:val="00A319CC"/>
    <w:rsid w:val="00A320E7"/>
    <w:rsid w:val="00A32555"/>
    <w:rsid w:val="00A325C1"/>
    <w:rsid w:val="00A3263F"/>
    <w:rsid w:val="00A328DE"/>
    <w:rsid w:val="00A32922"/>
    <w:rsid w:val="00A32ACD"/>
    <w:rsid w:val="00A3368E"/>
    <w:rsid w:val="00A34757"/>
    <w:rsid w:val="00A347CA"/>
    <w:rsid w:val="00A351BD"/>
    <w:rsid w:val="00A35511"/>
    <w:rsid w:val="00A35992"/>
    <w:rsid w:val="00A361FC"/>
    <w:rsid w:val="00A3627A"/>
    <w:rsid w:val="00A36318"/>
    <w:rsid w:val="00A36419"/>
    <w:rsid w:val="00A36A5F"/>
    <w:rsid w:val="00A36E5B"/>
    <w:rsid w:val="00A37211"/>
    <w:rsid w:val="00A37655"/>
    <w:rsid w:val="00A377D9"/>
    <w:rsid w:val="00A37AAD"/>
    <w:rsid w:val="00A4070E"/>
    <w:rsid w:val="00A40B22"/>
    <w:rsid w:val="00A40B83"/>
    <w:rsid w:val="00A40D83"/>
    <w:rsid w:val="00A40E34"/>
    <w:rsid w:val="00A41073"/>
    <w:rsid w:val="00A423F8"/>
    <w:rsid w:val="00A42AA6"/>
    <w:rsid w:val="00A431B2"/>
    <w:rsid w:val="00A435F8"/>
    <w:rsid w:val="00A43B6E"/>
    <w:rsid w:val="00A44BEE"/>
    <w:rsid w:val="00A44CEF"/>
    <w:rsid w:val="00A44E07"/>
    <w:rsid w:val="00A4522D"/>
    <w:rsid w:val="00A45848"/>
    <w:rsid w:val="00A467B1"/>
    <w:rsid w:val="00A46BC2"/>
    <w:rsid w:val="00A46FCA"/>
    <w:rsid w:val="00A47237"/>
    <w:rsid w:val="00A47690"/>
    <w:rsid w:val="00A47AAF"/>
    <w:rsid w:val="00A47B39"/>
    <w:rsid w:val="00A47E1F"/>
    <w:rsid w:val="00A519A8"/>
    <w:rsid w:val="00A519FA"/>
    <w:rsid w:val="00A51F97"/>
    <w:rsid w:val="00A52803"/>
    <w:rsid w:val="00A534DC"/>
    <w:rsid w:val="00A5376C"/>
    <w:rsid w:val="00A53F1C"/>
    <w:rsid w:val="00A54317"/>
    <w:rsid w:val="00A54C55"/>
    <w:rsid w:val="00A54EF7"/>
    <w:rsid w:val="00A55498"/>
    <w:rsid w:val="00A55729"/>
    <w:rsid w:val="00A55A1A"/>
    <w:rsid w:val="00A55C62"/>
    <w:rsid w:val="00A55DC6"/>
    <w:rsid w:val="00A563E7"/>
    <w:rsid w:val="00A56420"/>
    <w:rsid w:val="00A56563"/>
    <w:rsid w:val="00A56BC7"/>
    <w:rsid w:val="00A56C08"/>
    <w:rsid w:val="00A56CB8"/>
    <w:rsid w:val="00A56D20"/>
    <w:rsid w:val="00A56EEC"/>
    <w:rsid w:val="00A56F4B"/>
    <w:rsid w:val="00A57398"/>
    <w:rsid w:val="00A57DFD"/>
    <w:rsid w:val="00A60225"/>
    <w:rsid w:val="00A602C7"/>
    <w:rsid w:val="00A603C2"/>
    <w:rsid w:val="00A60446"/>
    <w:rsid w:val="00A604FF"/>
    <w:rsid w:val="00A60566"/>
    <w:rsid w:val="00A6084F"/>
    <w:rsid w:val="00A6094C"/>
    <w:rsid w:val="00A615DB"/>
    <w:rsid w:val="00A61821"/>
    <w:rsid w:val="00A61D95"/>
    <w:rsid w:val="00A62182"/>
    <w:rsid w:val="00A62235"/>
    <w:rsid w:val="00A62483"/>
    <w:rsid w:val="00A624B5"/>
    <w:rsid w:val="00A6258A"/>
    <w:rsid w:val="00A62963"/>
    <w:rsid w:val="00A632C9"/>
    <w:rsid w:val="00A633F0"/>
    <w:rsid w:val="00A635A0"/>
    <w:rsid w:val="00A639B8"/>
    <w:rsid w:val="00A63C8F"/>
    <w:rsid w:val="00A642D1"/>
    <w:rsid w:val="00A64689"/>
    <w:rsid w:val="00A6488D"/>
    <w:rsid w:val="00A65535"/>
    <w:rsid w:val="00A6572B"/>
    <w:rsid w:val="00A65944"/>
    <w:rsid w:val="00A65A64"/>
    <w:rsid w:val="00A65CBA"/>
    <w:rsid w:val="00A66477"/>
    <w:rsid w:val="00A6660F"/>
    <w:rsid w:val="00A66CF3"/>
    <w:rsid w:val="00A6713A"/>
    <w:rsid w:val="00A67303"/>
    <w:rsid w:val="00A67843"/>
    <w:rsid w:val="00A70529"/>
    <w:rsid w:val="00A7060D"/>
    <w:rsid w:val="00A707D7"/>
    <w:rsid w:val="00A70BC7"/>
    <w:rsid w:val="00A716CD"/>
    <w:rsid w:val="00A71800"/>
    <w:rsid w:val="00A7198B"/>
    <w:rsid w:val="00A72300"/>
    <w:rsid w:val="00A750D2"/>
    <w:rsid w:val="00A75373"/>
    <w:rsid w:val="00A75C4F"/>
    <w:rsid w:val="00A761AF"/>
    <w:rsid w:val="00A7633F"/>
    <w:rsid w:val="00A764FF"/>
    <w:rsid w:val="00A7724C"/>
    <w:rsid w:val="00A77423"/>
    <w:rsid w:val="00A77488"/>
    <w:rsid w:val="00A7799A"/>
    <w:rsid w:val="00A77A4F"/>
    <w:rsid w:val="00A77C61"/>
    <w:rsid w:val="00A801A3"/>
    <w:rsid w:val="00A801DF"/>
    <w:rsid w:val="00A80375"/>
    <w:rsid w:val="00A80671"/>
    <w:rsid w:val="00A80900"/>
    <w:rsid w:val="00A8102A"/>
    <w:rsid w:val="00A81711"/>
    <w:rsid w:val="00A81C3E"/>
    <w:rsid w:val="00A8203A"/>
    <w:rsid w:val="00A821E2"/>
    <w:rsid w:val="00A82554"/>
    <w:rsid w:val="00A8376E"/>
    <w:rsid w:val="00A83A39"/>
    <w:rsid w:val="00A83F2A"/>
    <w:rsid w:val="00A84023"/>
    <w:rsid w:val="00A841DC"/>
    <w:rsid w:val="00A8435C"/>
    <w:rsid w:val="00A847CB"/>
    <w:rsid w:val="00A848AC"/>
    <w:rsid w:val="00A85528"/>
    <w:rsid w:val="00A85554"/>
    <w:rsid w:val="00A855D4"/>
    <w:rsid w:val="00A85F3B"/>
    <w:rsid w:val="00A86223"/>
    <w:rsid w:val="00A863C8"/>
    <w:rsid w:val="00A86CD6"/>
    <w:rsid w:val="00A86CF7"/>
    <w:rsid w:val="00A86EF2"/>
    <w:rsid w:val="00A86F47"/>
    <w:rsid w:val="00A876A2"/>
    <w:rsid w:val="00A876C7"/>
    <w:rsid w:val="00A879DE"/>
    <w:rsid w:val="00A87D2A"/>
    <w:rsid w:val="00A901A2"/>
    <w:rsid w:val="00A901D7"/>
    <w:rsid w:val="00A9060D"/>
    <w:rsid w:val="00A90911"/>
    <w:rsid w:val="00A90A19"/>
    <w:rsid w:val="00A9133D"/>
    <w:rsid w:val="00A9165D"/>
    <w:rsid w:val="00A916C0"/>
    <w:rsid w:val="00A918BE"/>
    <w:rsid w:val="00A91C7E"/>
    <w:rsid w:val="00A91EA7"/>
    <w:rsid w:val="00A92537"/>
    <w:rsid w:val="00A92666"/>
    <w:rsid w:val="00A92BF2"/>
    <w:rsid w:val="00A92DBA"/>
    <w:rsid w:val="00A93619"/>
    <w:rsid w:val="00A9391D"/>
    <w:rsid w:val="00A93BD8"/>
    <w:rsid w:val="00A949A6"/>
    <w:rsid w:val="00A94CF0"/>
    <w:rsid w:val="00A94E9E"/>
    <w:rsid w:val="00A957FD"/>
    <w:rsid w:val="00A95861"/>
    <w:rsid w:val="00A95A09"/>
    <w:rsid w:val="00A968EA"/>
    <w:rsid w:val="00AA01FD"/>
    <w:rsid w:val="00AA024D"/>
    <w:rsid w:val="00AA061A"/>
    <w:rsid w:val="00AA08FC"/>
    <w:rsid w:val="00AA0A1C"/>
    <w:rsid w:val="00AA1265"/>
    <w:rsid w:val="00AA17BF"/>
    <w:rsid w:val="00AA1AE0"/>
    <w:rsid w:val="00AA1F47"/>
    <w:rsid w:val="00AA1F5F"/>
    <w:rsid w:val="00AA2167"/>
    <w:rsid w:val="00AA3E08"/>
    <w:rsid w:val="00AA4230"/>
    <w:rsid w:val="00AA45EF"/>
    <w:rsid w:val="00AA4AED"/>
    <w:rsid w:val="00AA5065"/>
    <w:rsid w:val="00AA50AD"/>
    <w:rsid w:val="00AA5242"/>
    <w:rsid w:val="00AA5658"/>
    <w:rsid w:val="00AA5841"/>
    <w:rsid w:val="00AA587F"/>
    <w:rsid w:val="00AA5AAE"/>
    <w:rsid w:val="00AA5FA6"/>
    <w:rsid w:val="00AA6249"/>
    <w:rsid w:val="00AA64F7"/>
    <w:rsid w:val="00AA6BE2"/>
    <w:rsid w:val="00AA6D71"/>
    <w:rsid w:val="00AA719D"/>
    <w:rsid w:val="00AA726C"/>
    <w:rsid w:val="00AA73C7"/>
    <w:rsid w:val="00AA7A19"/>
    <w:rsid w:val="00AA7F83"/>
    <w:rsid w:val="00AB017F"/>
    <w:rsid w:val="00AB0738"/>
    <w:rsid w:val="00AB0B8F"/>
    <w:rsid w:val="00AB12C6"/>
    <w:rsid w:val="00AB1667"/>
    <w:rsid w:val="00AB255E"/>
    <w:rsid w:val="00AB26FD"/>
    <w:rsid w:val="00AB2723"/>
    <w:rsid w:val="00AB2DE0"/>
    <w:rsid w:val="00AB30FD"/>
    <w:rsid w:val="00AB3529"/>
    <w:rsid w:val="00AB38BE"/>
    <w:rsid w:val="00AB3B00"/>
    <w:rsid w:val="00AB3E61"/>
    <w:rsid w:val="00AB4220"/>
    <w:rsid w:val="00AB42A7"/>
    <w:rsid w:val="00AB4760"/>
    <w:rsid w:val="00AB48F4"/>
    <w:rsid w:val="00AB4F90"/>
    <w:rsid w:val="00AB527B"/>
    <w:rsid w:val="00AB536E"/>
    <w:rsid w:val="00AB5A6C"/>
    <w:rsid w:val="00AB5B35"/>
    <w:rsid w:val="00AB5E08"/>
    <w:rsid w:val="00AB6099"/>
    <w:rsid w:val="00AB61FF"/>
    <w:rsid w:val="00AB64C0"/>
    <w:rsid w:val="00AB65F6"/>
    <w:rsid w:val="00AB668C"/>
    <w:rsid w:val="00AB7201"/>
    <w:rsid w:val="00AB72BE"/>
    <w:rsid w:val="00AB789C"/>
    <w:rsid w:val="00AB7942"/>
    <w:rsid w:val="00AB7A2B"/>
    <w:rsid w:val="00AB7B11"/>
    <w:rsid w:val="00AB7CFF"/>
    <w:rsid w:val="00AC0835"/>
    <w:rsid w:val="00AC0D3B"/>
    <w:rsid w:val="00AC1375"/>
    <w:rsid w:val="00AC19A1"/>
    <w:rsid w:val="00AC1B01"/>
    <w:rsid w:val="00AC347F"/>
    <w:rsid w:val="00AC34D6"/>
    <w:rsid w:val="00AC35D1"/>
    <w:rsid w:val="00AC37E4"/>
    <w:rsid w:val="00AC38AD"/>
    <w:rsid w:val="00AC3B45"/>
    <w:rsid w:val="00AC4A3C"/>
    <w:rsid w:val="00AC4E94"/>
    <w:rsid w:val="00AC57C7"/>
    <w:rsid w:val="00AC5ACC"/>
    <w:rsid w:val="00AC5C39"/>
    <w:rsid w:val="00AC5C61"/>
    <w:rsid w:val="00AC5FF0"/>
    <w:rsid w:val="00AC6547"/>
    <w:rsid w:val="00AC71AC"/>
    <w:rsid w:val="00AC768C"/>
    <w:rsid w:val="00AD0639"/>
    <w:rsid w:val="00AD06B3"/>
    <w:rsid w:val="00AD0B4D"/>
    <w:rsid w:val="00AD0D8D"/>
    <w:rsid w:val="00AD0EC9"/>
    <w:rsid w:val="00AD10BB"/>
    <w:rsid w:val="00AD1162"/>
    <w:rsid w:val="00AD17F8"/>
    <w:rsid w:val="00AD185D"/>
    <w:rsid w:val="00AD19D2"/>
    <w:rsid w:val="00AD1A64"/>
    <w:rsid w:val="00AD1DA6"/>
    <w:rsid w:val="00AD27AB"/>
    <w:rsid w:val="00AD3110"/>
    <w:rsid w:val="00AD34B0"/>
    <w:rsid w:val="00AD34FD"/>
    <w:rsid w:val="00AD459F"/>
    <w:rsid w:val="00AD488D"/>
    <w:rsid w:val="00AD488E"/>
    <w:rsid w:val="00AD4A2B"/>
    <w:rsid w:val="00AD4EE1"/>
    <w:rsid w:val="00AD525E"/>
    <w:rsid w:val="00AD54F7"/>
    <w:rsid w:val="00AD55FF"/>
    <w:rsid w:val="00AD56DF"/>
    <w:rsid w:val="00AD57B5"/>
    <w:rsid w:val="00AD6656"/>
    <w:rsid w:val="00AD6741"/>
    <w:rsid w:val="00AD681A"/>
    <w:rsid w:val="00AD7140"/>
    <w:rsid w:val="00AD7429"/>
    <w:rsid w:val="00AD782D"/>
    <w:rsid w:val="00AD7837"/>
    <w:rsid w:val="00AD7F2A"/>
    <w:rsid w:val="00AE0370"/>
    <w:rsid w:val="00AE08FC"/>
    <w:rsid w:val="00AE0F85"/>
    <w:rsid w:val="00AE0FB9"/>
    <w:rsid w:val="00AE16B6"/>
    <w:rsid w:val="00AE1742"/>
    <w:rsid w:val="00AE18A0"/>
    <w:rsid w:val="00AE1948"/>
    <w:rsid w:val="00AE197B"/>
    <w:rsid w:val="00AE1FAA"/>
    <w:rsid w:val="00AE2791"/>
    <w:rsid w:val="00AE281F"/>
    <w:rsid w:val="00AE2B8C"/>
    <w:rsid w:val="00AE2CB8"/>
    <w:rsid w:val="00AE2EF2"/>
    <w:rsid w:val="00AE3998"/>
    <w:rsid w:val="00AE3E2F"/>
    <w:rsid w:val="00AE42CE"/>
    <w:rsid w:val="00AE44D7"/>
    <w:rsid w:val="00AE496E"/>
    <w:rsid w:val="00AE4B75"/>
    <w:rsid w:val="00AE4DDC"/>
    <w:rsid w:val="00AE500A"/>
    <w:rsid w:val="00AE5BCF"/>
    <w:rsid w:val="00AE6092"/>
    <w:rsid w:val="00AE6938"/>
    <w:rsid w:val="00AE6BE1"/>
    <w:rsid w:val="00AE75F3"/>
    <w:rsid w:val="00AE76AE"/>
    <w:rsid w:val="00AE773D"/>
    <w:rsid w:val="00AE7A3D"/>
    <w:rsid w:val="00AF00C0"/>
    <w:rsid w:val="00AF033A"/>
    <w:rsid w:val="00AF044F"/>
    <w:rsid w:val="00AF0807"/>
    <w:rsid w:val="00AF0DAB"/>
    <w:rsid w:val="00AF0FD1"/>
    <w:rsid w:val="00AF146A"/>
    <w:rsid w:val="00AF20D0"/>
    <w:rsid w:val="00AF2BE7"/>
    <w:rsid w:val="00AF300A"/>
    <w:rsid w:val="00AF313E"/>
    <w:rsid w:val="00AF3142"/>
    <w:rsid w:val="00AF3180"/>
    <w:rsid w:val="00AF39B5"/>
    <w:rsid w:val="00AF3B6D"/>
    <w:rsid w:val="00AF42F5"/>
    <w:rsid w:val="00AF44BD"/>
    <w:rsid w:val="00AF53E1"/>
    <w:rsid w:val="00AF554A"/>
    <w:rsid w:val="00AF56E7"/>
    <w:rsid w:val="00AF58E7"/>
    <w:rsid w:val="00AF60C1"/>
    <w:rsid w:val="00AF62F3"/>
    <w:rsid w:val="00AF656A"/>
    <w:rsid w:val="00AF68BA"/>
    <w:rsid w:val="00AF6EA0"/>
    <w:rsid w:val="00AF7235"/>
    <w:rsid w:val="00B01550"/>
    <w:rsid w:val="00B016FF"/>
    <w:rsid w:val="00B0190C"/>
    <w:rsid w:val="00B01C09"/>
    <w:rsid w:val="00B01F92"/>
    <w:rsid w:val="00B020CB"/>
    <w:rsid w:val="00B020E3"/>
    <w:rsid w:val="00B0216B"/>
    <w:rsid w:val="00B02675"/>
    <w:rsid w:val="00B029BA"/>
    <w:rsid w:val="00B02DDF"/>
    <w:rsid w:val="00B033AB"/>
    <w:rsid w:val="00B03EF0"/>
    <w:rsid w:val="00B0482B"/>
    <w:rsid w:val="00B04939"/>
    <w:rsid w:val="00B050B8"/>
    <w:rsid w:val="00B051A6"/>
    <w:rsid w:val="00B053F8"/>
    <w:rsid w:val="00B05FFA"/>
    <w:rsid w:val="00B063DC"/>
    <w:rsid w:val="00B0645A"/>
    <w:rsid w:val="00B07391"/>
    <w:rsid w:val="00B074AA"/>
    <w:rsid w:val="00B07546"/>
    <w:rsid w:val="00B079FB"/>
    <w:rsid w:val="00B07B95"/>
    <w:rsid w:val="00B07C08"/>
    <w:rsid w:val="00B07D4D"/>
    <w:rsid w:val="00B07EFB"/>
    <w:rsid w:val="00B104E2"/>
    <w:rsid w:val="00B105A9"/>
    <w:rsid w:val="00B11128"/>
    <w:rsid w:val="00B11414"/>
    <w:rsid w:val="00B11BBD"/>
    <w:rsid w:val="00B12103"/>
    <w:rsid w:val="00B12448"/>
    <w:rsid w:val="00B126EE"/>
    <w:rsid w:val="00B1296C"/>
    <w:rsid w:val="00B12975"/>
    <w:rsid w:val="00B12BB0"/>
    <w:rsid w:val="00B12E00"/>
    <w:rsid w:val="00B13545"/>
    <w:rsid w:val="00B13691"/>
    <w:rsid w:val="00B138A9"/>
    <w:rsid w:val="00B13C1D"/>
    <w:rsid w:val="00B13CE4"/>
    <w:rsid w:val="00B14044"/>
    <w:rsid w:val="00B1459D"/>
    <w:rsid w:val="00B14730"/>
    <w:rsid w:val="00B14F60"/>
    <w:rsid w:val="00B15339"/>
    <w:rsid w:val="00B15794"/>
    <w:rsid w:val="00B15BAA"/>
    <w:rsid w:val="00B16041"/>
    <w:rsid w:val="00B16888"/>
    <w:rsid w:val="00B168CE"/>
    <w:rsid w:val="00B16B62"/>
    <w:rsid w:val="00B16B70"/>
    <w:rsid w:val="00B16D94"/>
    <w:rsid w:val="00B17102"/>
    <w:rsid w:val="00B201FE"/>
    <w:rsid w:val="00B2073F"/>
    <w:rsid w:val="00B20793"/>
    <w:rsid w:val="00B213CE"/>
    <w:rsid w:val="00B219BC"/>
    <w:rsid w:val="00B21B60"/>
    <w:rsid w:val="00B21BA1"/>
    <w:rsid w:val="00B22486"/>
    <w:rsid w:val="00B229DE"/>
    <w:rsid w:val="00B22A67"/>
    <w:rsid w:val="00B23445"/>
    <w:rsid w:val="00B235AF"/>
    <w:rsid w:val="00B236EA"/>
    <w:rsid w:val="00B23A94"/>
    <w:rsid w:val="00B23D45"/>
    <w:rsid w:val="00B2428A"/>
    <w:rsid w:val="00B24B07"/>
    <w:rsid w:val="00B24B37"/>
    <w:rsid w:val="00B24D08"/>
    <w:rsid w:val="00B25045"/>
    <w:rsid w:val="00B250C3"/>
    <w:rsid w:val="00B2567E"/>
    <w:rsid w:val="00B258A1"/>
    <w:rsid w:val="00B258DE"/>
    <w:rsid w:val="00B25A64"/>
    <w:rsid w:val="00B25D94"/>
    <w:rsid w:val="00B25E27"/>
    <w:rsid w:val="00B26369"/>
    <w:rsid w:val="00B26B74"/>
    <w:rsid w:val="00B26D0C"/>
    <w:rsid w:val="00B2714D"/>
    <w:rsid w:val="00B274CB"/>
    <w:rsid w:val="00B27D49"/>
    <w:rsid w:val="00B30118"/>
    <w:rsid w:val="00B30BCB"/>
    <w:rsid w:val="00B30DFC"/>
    <w:rsid w:val="00B310D5"/>
    <w:rsid w:val="00B31194"/>
    <w:rsid w:val="00B31559"/>
    <w:rsid w:val="00B319FF"/>
    <w:rsid w:val="00B32959"/>
    <w:rsid w:val="00B32983"/>
    <w:rsid w:val="00B32E28"/>
    <w:rsid w:val="00B33CAD"/>
    <w:rsid w:val="00B33CF3"/>
    <w:rsid w:val="00B34673"/>
    <w:rsid w:val="00B34CA6"/>
    <w:rsid w:val="00B34F2B"/>
    <w:rsid w:val="00B34F8B"/>
    <w:rsid w:val="00B35BBF"/>
    <w:rsid w:val="00B35C2A"/>
    <w:rsid w:val="00B35F58"/>
    <w:rsid w:val="00B35FBA"/>
    <w:rsid w:val="00B364FC"/>
    <w:rsid w:val="00B36822"/>
    <w:rsid w:val="00B36D6B"/>
    <w:rsid w:val="00B37062"/>
    <w:rsid w:val="00B378B9"/>
    <w:rsid w:val="00B37C97"/>
    <w:rsid w:val="00B37CD6"/>
    <w:rsid w:val="00B37F5E"/>
    <w:rsid w:val="00B40095"/>
    <w:rsid w:val="00B40277"/>
    <w:rsid w:val="00B403E9"/>
    <w:rsid w:val="00B410EA"/>
    <w:rsid w:val="00B41225"/>
    <w:rsid w:val="00B41683"/>
    <w:rsid w:val="00B421BB"/>
    <w:rsid w:val="00B42677"/>
    <w:rsid w:val="00B428FA"/>
    <w:rsid w:val="00B429FC"/>
    <w:rsid w:val="00B4313C"/>
    <w:rsid w:val="00B43291"/>
    <w:rsid w:val="00B43522"/>
    <w:rsid w:val="00B43D5F"/>
    <w:rsid w:val="00B4422D"/>
    <w:rsid w:val="00B44748"/>
    <w:rsid w:val="00B45169"/>
    <w:rsid w:val="00B4545D"/>
    <w:rsid w:val="00B45593"/>
    <w:rsid w:val="00B455BE"/>
    <w:rsid w:val="00B45ED2"/>
    <w:rsid w:val="00B46068"/>
    <w:rsid w:val="00B465E6"/>
    <w:rsid w:val="00B46987"/>
    <w:rsid w:val="00B472D6"/>
    <w:rsid w:val="00B47716"/>
    <w:rsid w:val="00B47722"/>
    <w:rsid w:val="00B47FD3"/>
    <w:rsid w:val="00B501C0"/>
    <w:rsid w:val="00B506D8"/>
    <w:rsid w:val="00B50784"/>
    <w:rsid w:val="00B50923"/>
    <w:rsid w:val="00B50EBE"/>
    <w:rsid w:val="00B50EFE"/>
    <w:rsid w:val="00B50F0A"/>
    <w:rsid w:val="00B51054"/>
    <w:rsid w:val="00B51ED5"/>
    <w:rsid w:val="00B52151"/>
    <w:rsid w:val="00B522B9"/>
    <w:rsid w:val="00B529EE"/>
    <w:rsid w:val="00B52CCD"/>
    <w:rsid w:val="00B52E88"/>
    <w:rsid w:val="00B536AD"/>
    <w:rsid w:val="00B539FE"/>
    <w:rsid w:val="00B53C02"/>
    <w:rsid w:val="00B53D02"/>
    <w:rsid w:val="00B53EAF"/>
    <w:rsid w:val="00B547C2"/>
    <w:rsid w:val="00B54D1F"/>
    <w:rsid w:val="00B5514C"/>
    <w:rsid w:val="00B55395"/>
    <w:rsid w:val="00B5563F"/>
    <w:rsid w:val="00B55A64"/>
    <w:rsid w:val="00B55CCE"/>
    <w:rsid w:val="00B563AC"/>
    <w:rsid w:val="00B56D49"/>
    <w:rsid w:val="00B56ECF"/>
    <w:rsid w:val="00B56FDA"/>
    <w:rsid w:val="00B60795"/>
    <w:rsid w:val="00B608BE"/>
    <w:rsid w:val="00B60996"/>
    <w:rsid w:val="00B611E9"/>
    <w:rsid w:val="00B613EA"/>
    <w:rsid w:val="00B6156D"/>
    <w:rsid w:val="00B616BC"/>
    <w:rsid w:val="00B61F67"/>
    <w:rsid w:val="00B623A2"/>
    <w:rsid w:val="00B6312A"/>
    <w:rsid w:val="00B6343D"/>
    <w:rsid w:val="00B6377F"/>
    <w:rsid w:val="00B637FF"/>
    <w:rsid w:val="00B6476A"/>
    <w:rsid w:val="00B64826"/>
    <w:rsid w:val="00B64CB7"/>
    <w:rsid w:val="00B650E8"/>
    <w:rsid w:val="00B65262"/>
    <w:rsid w:val="00B65BF8"/>
    <w:rsid w:val="00B65D12"/>
    <w:rsid w:val="00B65FEE"/>
    <w:rsid w:val="00B662BC"/>
    <w:rsid w:val="00B666D5"/>
    <w:rsid w:val="00B66BD4"/>
    <w:rsid w:val="00B67327"/>
    <w:rsid w:val="00B67445"/>
    <w:rsid w:val="00B67921"/>
    <w:rsid w:val="00B67C1A"/>
    <w:rsid w:val="00B703F7"/>
    <w:rsid w:val="00B70773"/>
    <w:rsid w:val="00B70CB1"/>
    <w:rsid w:val="00B70DFE"/>
    <w:rsid w:val="00B70E4B"/>
    <w:rsid w:val="00B71110"/>
    <w:rsid w:val="00B71580"/>
    <w:rsid w:val="00B71C25"/>
    <w:rsid w:val="00B72057"/>
    <w:rsid w:val="00B7270D"/>
    <w:rsid w:val="00B72AB0"/>
    <w:rsid w:val="00B73174"/>
    <w:rsid w:val="00B731F8"/>
    <w:rsid w:val="00B73A00"/>
    <w:rsid w:val="00B73BDD"/>
    <w:rsid w:val="00B73E52"/>
    <w:rsid w:val="00B7406A"/>
    <w:rsid w:val="00B74148"/>
    <w:rsid w:val="00B7528E"/>
    <w:rsid w:val="00B75693"/>
    <w:rsid w:val="00B75A50"/>
    <w:rsid w:val="00B75CAA"/>
    <w:rsid w:val="00B75F66"/>
    <w:rsid w:val="00B777D0"/>
    <w:rsid w:val="00B77A75"/>
    <w:rsid w:val="00B77D1F"/>
    <w:rsid w:val="00B8035F"/>
    <w:rsid w:val="00B8098F"/>
    <w:rsid w:val="00B80D15"/>
    <w:rsid w:val="00B80D77"/>
    <w:rsid w:val="00B80F3F"/>
    <w:rsid w:val="00B80FCE"/>
    <w:rsid w:val="00B811E9"/>
    <w:rsid w:val="00B81315"/>
    <w:rsid w:val="00B81965"/>
    <w:rsid w:val="00B81B24"/>
    <w:rsid w:val="00B81EC0"/>
    <w:rsid w:val="00B823EA"/>
    <w:rsid w:val="00B824E9"/>
    <w:rsid w:val="00B829AA"/>
    <w:rsid w:val="00B829FE"/>
    <w:rsid w:val="00B8302E"/>
    <w:rsid w:val="00B83168"/>
    <w:rsid w:val="00B8366A"/>
    <w:rsid w:val="00B83806"/>
    <w:rsid w:val="00B83BE1"/>
    <w:rsid w:val="00B83D0A"/>
    <w:rsid w:val="00B844AA"/>
    <w:rsid w:val="00B8485C"/>
    <w:rsid w:val="00B849AD"/>
    <w:rsid w:val="00B84B5F"/>
    <w:rsid w:val="00B84CAB"/>
    <w:rsid w:val="00B850C1"/>
    <w:rsid w:val="00B854EC"/>
    <w:rsid w:val="00B85646"/>
    <w:rsid w:val="00B85950"/>
    <w:rsid w:val="00B85B6F"/>
    <w:rsid w:val="00B862E0"/>
    <w:rsid w:val="00B86403"/>
    <w:rsid w:val="00B8648F"/>
    <w:rsid w:val="00B86E05"/>
    <w:rsid w:val="00B86F98"/>
    <w:rsid w:val="00B874FC"/>
    <w:rsid w:val="00B877EA"/>
    <w:rsid w:val="00B8782E"/>
    <w:rsid w:val="00B906AF"/>
    <w:rsid w:val="00B90F36"/>
    <w:rsid w:val="00B91276"/>
    <w:rsid w:val="00B912DE"/>
    <w:rsid w:val="00B913A3"/>
    <w:rsid w:val="00B91882"/>
    <w:rsid w:val="00B91A11"/>
    <w:rsid w:val="00B91BB1"/>
    <w:rsid w:val="00B9204D"/>
    <w:rsid w:val="00B924CA"/>
    <w:rsid w:val="00B929D2"/>
    <w:rsid w:val="00B93D5A"/>
    <w:rsid w:val="00B93E48"/>
    <w:rsid w:val="00B94437"/>
    <w:rsid w:val="00B94687"/>
    <w:rsid w:val="00B94CF5"/>
    <w:rsid w:val="00B95406"/>
    <w:rsid w:val="00B956DA"/>
    <w:rsid w:val="00B9597D"/>
    <w:rsid w:val="00B95B55"/>
    <w:rsid w:val="00B95B84"/>
    <w:rsid w:val="00B95C0A"/>
    <w:rsid w:val="00B95D95"/>
    <w:rsid w:val="00B95FD2"/>
    <w:rsid w:val="00B95FE2"/>
    <w:rsid w:val="00B96552"/>
    <w:rsid w:val="00B968CE"/>
    <w:rsid w:val="00B968DB"/>
    <w:rsid w:val="00B96A7E"/>
    <w:rsid w:val="00B9724C"/>
    <w:rsid w:val="00B97590"/>
    <w:rsid w:val="00B97E17"/>
    <w:rsid w:val="00BA0E0B"/>
    <w:rsid w:val="00BA0FD6"/>
    <w:rsid w:val="00BA1237"/>
    <w:rsid w:val="00BA14FE"/>
    <w:rsid w:val="00BA1893"/>
    <w:rsid w:val="00BA195A"/>
    <w:rsid w:val="00BA1E7F"/>
    <w:rsid w:val="00BA2D92"/>
    <w:rsid w:val="00BA2FF5"/>
    <w:rsid w:val="00BA3001"/>
    <w:rsid w:val="00BA30C9"/>
    <w:rsid w:val="00BA3500"/>
    <w:rsid w:val="00BA37B5"/>
    <w:rsid w:val="00BA3B97"/>
    <w:rsid w:val="00BA403C"/>
    <w:rsid w:val="00BA463F"/>
    <w:rsid w:val="00BA4852"/>
    <w:rsid w:val="00BA4DB9"/>
    <w:rsid w:val="00BA53D2"/>
    <w:rsid w:val="00BA54A1"/>
    <w:rsid w:val="00BA581F"/>
    <w:rsid w:val="00BA648A"/>
    <w:rsid w:val="00BA74B4"/>
    <w:rsid w:val="00BA7B4E"/>
    <w:rsid w:val="00BA7B7C"/>
    <w:rsid w:val="00BB03E5"/>
    <w:rsid w:val="00BB122A"/>
    <w:rsid w:val="00BB1BF4"/>
    <w:rsid w:val="00BB1D5F"/>
    <w:rsid w:val="00BB1E75"/>
    <w:rsid w:val="00BB2401"/>
    <w:rsid w:val="00BB273E"/>
    <w:rsid w:val="00BB2C7E"/>
    <w:rsid w:val="00BB3A0C"/>
    <w:rsid w:val="00BB3B11"/>
    <w:rsid w:val="00BB4036"/>
    <w:rsid w:val="00BB4055"/>
    <w:rsid w:val="00BB4215"/>
    <w:rsid w:val="00BB4229"/>
    <w:rsid w:val="00BB441A"/>
    <w:rsid w:val="00BB44E3"/>
    <w:rsid w:val="00BB44E5"/>
    <w:rsid w:val="00BB4DCE"/>
    <w:rsid w:val="00BB513E"/>
    <w:rsid w:val="00BB58E9"/>
    <w:rsid w:val="00BB5AAB"/>
    <w:rsid w:val="00BB5D7B"/>
    <w:rsid w:val="00BB5DCF"/>
    <w:rsid w:val="00BB5E9A"/>
    <w:rsid w:val="00BB615A"/>
    <w:rsid w:val="00BB6CD2"/>
    <w:rsid w:val="00BB79A6"/>
    <w:rsid w:val="00BB7C96"/>
    <w:rsid w:val="00BC0F4C"/>
    <w:rsid w:val="00BC1305"/>
    <w:rsid w:val="00BC13DC"/>
    <w:rsid w:val="00BC142D"/>
    <w:rsid w:val="00BC15C2"/>
    <w:rsid w:val="00BC1AE6"/>
    <w:rsid w:val="00BC2220"/>
    <w:rsid w:val="00BC2339"/>
    <w:rsid w:val="00BC234E"/>
    <w:rsid w:val="00BC2993"/>
    <w:rsid w:val="00BC2B57"/>
    <w:rsid w:val="00BC2D5C"/>
    <w:rsid w:val="00BC2E2C"/>
    <w:rsid w:val="00BC2EF5"/>
    <w:rsid w:val="00BC3274"/>
    <w:rsid w:val="00BC3583"/>
    <w:rsid w:val="00BC3633"/>
    <w:rsid w:val="00BC3655"/>
    <w:rsid w:val="00BC383F"/>
    <w:rsid w:val="00BC43F9"/>
    <w:rsid w:val="00BC4660"/>
    <w:rsid w:val="00BC4F29"/>
    <w:rsid w:val="00BC50E9"/>
    <w:rsid w:val="00BC5418"/>
    <w:rsid w:val="00BC5733"/>
    <w:rsid w:val="00BC5CF7"/>
    <w:rsid w:val="00BC5E77"/>
    <w:rsid w:val="00BC67CC"/>
    <w:rsid w:val="00BC6A18"/>
    <w:rsid w:val="00BC6B87"/>
    <w:rsid w:val="00BC703B"/>
    <w:rsid w:val="00BC747F"/>
    <w:rsid w:val="00BC752C"/>
    <w:rsid w:val="00BC75C4"/>
    <w:rsid w:val="00BC7758"/>
    <w:rsid w:val="00BC7C70"/>
    <w:rsid w:val="00BD02AA"/>
    <w:rsid w:val="00BD0EDF"/>
    <w:rsid w:val="00BD1651"/>
    <w:rsid w:val="00BD196C"/>
    <w:rsid w:val="00BD21DA"/>
    <w:rsid w:val="00BD24D5"/>
    <w:rsid w:val="00BD2813"/>
    <w:rsid w:val="00BD28B8"/>
    <w:rsid w:val="00BD2C65"/>
    <w:rsid w:val="00BD3F13"/>
    <w:rsid w:val="00BD4176"/>
    <w:rsid w:val="00BD4A8A"/>
    <w:rsid w:val="00BD4AB7"/>
    <w:rsid w:val="00BD4B5E"/>
    <w:rsid w:val="00BD50B4"/>
    <w:rsid w:val="00BD519D"/>
    <w:rsid w:val="00BD5A66"/>
    <w:rsid w:val="00BD640D"/>
    <w:rsid w:val="00BD6647"/>
    <w:rsid w:val="00BD6B0B"/>
    <w:rsid w:val="00BD6B1B"/>
    <w:rsid w:val="00BD6C3D"/>
    <w:rsid w:val="00BD75ED"/>
    <w:rsid w:val="00BD7865"/>
    <w:rsid w:val="00BD78DB"/>
    <w:rsid w:val="00BD797C"/>
    <w:rsid w:val="00BE0145"/>
    <w:rsid w:val="00BE021D"/>
    <w:rsid w:val="00BE0522"/>
    <w:rsid w:val="00BE09D2"/>
    <w:rsid w:val="00BE0CD9"/>
    <w:rsid w:val="00BE14C9"/>
    <w:rsid w:val="00BE17B0"/>
    <w:rsid w:val="00BE1890"/>
    <w:rsid w:val="00BE19AC"/>
    <w:rsid w:val="00BE1CC9"/>
    <w:rsid w:val="00BE1F15"/>
    <w:rsid w:val="00BE2270"/>
    <w:rsid w:val="00BE2A66"/>
    <w:rsid w:val="00BE3582"/>
    <w:rsid w:val="00BE35F1"/>
    <w:rsid w:val="00BE3738"/>
    <w:rsid w:val="00BE383B"/>
    <w:rsid w:val="00BE387C"/>
    <w:rsid w:val="00BE3AE7"/>
    <w:rsid w:val="00BE3C00"/>
    <w:rsid w:val="00BE3E8F"/>
    <w:rsid w:val="00BE4681"/>
    <w:rsid w:val="00BE4A57"/>
    <w:rsid w:val="00BE4B12"/>
    <w:rsid w:val="00BE4BD5"/>
    <w:rsid w:val="00BE5584"/>
    <w:rsid w:val="00BE5AC7"/>
    <w:rsid w:val="00BE6786"/>
    <w:rsid w:val="00BE68F4"/>
    <w:rsid w:val="00BE6BDD"/>
    <w:rsid w:val="00BE6E73"/>
    <w:rsid w:val="00BE7393"/>
    <w:rsid w:val="00BE7556"/>
    <w:rsid w:val="00BF0139"/>
    <w:rsid w:val="00BF0271"/>
    <w:rsid w:val="00BF0509"/>
    <w:rsid w:val="00BF05AC"/>
    <w:rsid w:val="00BF07CD"/>
    <w:rsid w:val="00BF0D83"/>
    <w:rsid w:val="00BF1132"/>
    <w:rsid w:val="00BF1682"/>
    <w:rsid w:val="00BF193D"/>
    <w:rsid w:val="00BF20CF"/>
    <w:rsid w:val="00BF27E6"/>
    <w:rsid w:val="00BF2DA2"/>
    <w:rsid w:val="00BF30E4"/>
    <w:rsid w:val="00BF3503"/>
    <w:rsid w:val="00BF3B95"/>
    <w:rsid w:val="00BF3EFF"/>
    <w:rsid w:val="00BF48BE"/>
    <w:rsid w:val="00BF4DB0"/>
    <w:rsid w:val="00BF54A0"/>
    <w:rsid w:val="00BF5920"/>
    <w:rsid w:val="00BF5E74"/>
    <w:rsid w:val="00BF6188"/>
    <w:rsid w:val="00BF6518"/>
    <w:rsid w:val="00BF69CF"/>
    <w:rsid w:val="00BF7775"/>
    <w:rsid w:val="00BF79FD"/>
    <w:rsid w:val="00BF7A6B"/>
    <w:rsid w:val="00BF7D3E"/>
    <w:rsid w:val="00BF7E6C"/>
    <w:rsid w:val="00C00093"/>
    <w:rsid w:val="00C00408"/>
    <w:rsid w:val="00C00494"/>
    <w:rsid w:val="00C00653"/>
    <w:rsid w:val="00C00984"/>
    <w:rsid w:val="00C00BEC"/>
    <w:rsid w:val="00C017CF"/>
    <w:rsid w:val="00C01AB1"/>
    <w:rsid w:val="00C01BE2"/>
    <w:rsid w:val="00C0205A"/>
    <w:rsid w:val="00C02BD9"/>
    <w:rsid w:val="00C03490"/>
    <w:rsid w:val="00C0353D"/>
    <w:rsid w:val="00C03D08"/>
    <w:rsid w:val="00C04355"/>
    <w:rsid w:val="00C04BE7"/>
    <w:rsid w:val="00C04CBF"/>
    <w:rsid w:val="00C04FB5"/>
    <w:rsid w:val="00C056B6"/>
    <w:rsid w:val="00C057E0"/>
    <w:rsid w:val="00C0636B"/>
    <w:rsid w:val="00C06B4E"/>
    <w:rsid w:val="00C06C67"/>
    <w:rsid w:val="00C06FA3"/>
    <w:rsid w:val="00C07106"/>
    <w:rsid w:val="00C07326"/>
    <w:rsid w:val="00C07472"/>
    <w:rsid w:val="00C07A7D"/>
    <w:rsid w:val="00C10562"/>
    <w:rsid w:val="00C107CC"/>
    <w:rsid w:val="00C1090E"/>
    <w:rsid w:val="00C10931"/>
    <w:rsid w:val="00C11BC7"/>
    <w:rsid w:val="00C11E58"/>
    <w:rsid w:val="00C12664"/>
    <w:rsid w:val="00C13F0D"/>
    <w:rsid w:val="00C13FC3"/>
    <w:rsid w:val="00C140A5"/>
    <w:rsid w:val="00C142B7"/>
    <w:rsid w:val="00C1459E"/>
    <w:rsid w:val="00C14CC9"/>
    <w:rsid w:val="00C1599C"/>
    <w:rsid w:val="00C15BBA"/>
    <w:rsid w:val="00C15BD6"/>
    <w:rsid w:val="00C1672F"/>
    <w:rsid w:val="00C167A6"/>
    <w:rsid w:val="00C16EA4"/>
    <w:rsid w:val="00C17704"/>
    <w:rsid w:val="00C17ABF"/>
    <w:rsid w:val="00C20EE7"/>
    <w:rsid w:val="00C218DD"/>
    <w:rsid w:val="00C21AA9"/>
    <w:rsid w:val="00C220D6"/>
    <w:rsid w:val="00C22258"/>
    <w:rsid w:val="00C2275B"/>
    <w:rsid w:val="00C22C62"/>
    <w:rsid w:val="00C22D94"/>
    <w:rsid w:val="00C22E28"/>
    <w:rsid w:val="00C24130"/>
    <w:rsid w:val="00C242D0"/>
    <w:rsid w:val="00C2447B"/>
    <w:rsid w:val="00C24932"/>
    <w:rsid w:val="00C24BC4"/>
    <w:rsid w:val="00C24D17"/>
    <w:rsid w:val="00C251DA"/>
    <w:rsid w:val="00C25AF5"/>
    <w:rsid w:val="00C25B62"/>
    <w:rsid w:val="00C25F8B"/>
    <w:rsid w:val="00C27D1E"/>
    <w:rsid w:val="00C3034F"/>
    <w:rsid w:val="00C304B5"/>
    <w:rsid w:val="00C305A9"/>
    <w:rsid w:val="00C30952"/>
    <w:rsid w:val="00C30A39"/>
    <w:rsid w:val="00C30B75"/>
    <w:rsid w:val="00C30F68"/>
    <w:rsid w:val="00C310E4"/>
    <w:rsid w:val="00C31FC4"/>
    <w:rsid w:val="00C323D6"/>
    <w:rsid w:val="00C328F5"/>
    <w:rsid w:val="00C3298C"/>
    <w:rsid w:val="00C32C04"/>
    <w:rsid w:val="00C33193"/>
    <w:rsid w:val="00C33576"/>
    <w:rsid w:val="00C33A41"/>
    <w:rsid w:val="00C33BB0"/>
    <w:rsid w:val="00C34836"/>
    <w:rsid w:val="00C34E57"/>
    <w:rsid w:val="00C35297"/>
    <w:rsid w:val="00C35309"/>
    <w:rsid w:val="00C353DA"/>
    <w:rsid w:val="00C35441"/>
    <w:rsid w:val="00C3595A"/>
    <w:rsid w:val="00C36057"/>
    <w:rsid w:val="00C36926"/>
    <w:rsid w:val="00C3699D"/>
    <w:rsid w:val="00C36E14"/>
    <w:rsid w:val="00C374CC"/>
    <w:rsid w:val="00C3753F"/>
    <w:rsid w:val="00C37B65"/>
    <w:rsid w:val="00C37E6F"/>
    <w:rsid w:val="00C4076D"/>
    <w:rsid w:val="00C413E8"/>
    <w:rsid w:val="00C41464"/>
    <w:rsid w:val="00C418A0"/>
    <w:rsid w:val="00C418F6"/>
    <w:rsid w:val="00C41D21"/>
    <w:rsid w:val="00C421E8"/>
    <w:rsid w:val="00C422C4"/>
    <w:rsid w:val="00C42710"/>
    <w:rsid w:val="00C4277C"/>
    <w:rsid w:val="00C42A80"/>
    <w:rsid w:val="00C43412"/>
    <w:rsid w:val="00C43B9C"/>
    <w:rsid w:val="00C443B1"/>
    <w:rsid w:val="00C443DE"/>
    <w:rsid w:val="00C444BD"/>
    <w:rsid w:val="00C44BF6"/>
    <w:rsid w:val="00C4523E"/>
    <w:rsid w:val="00C4558D"/>
    <w:rsid w:val="00C4579D"/>
    <w:rsid w:val="00C45FDC"/>
    <w:rsid w:val="00C460E9"/>
    <w:rsid w:val="00C46125"/>
    <w:rsid w:val="00C46241"/>
    <w:rsid w:val="00C4626D"/>
    <w:rsid w:val="00C463DA"/>
    <w:rsid w:val="00C464A4"/>
    <w:rsid w:val="00C46898"/>
    <w:rsid w:val="00C46BBE"/>
    <w:rsid w:val="00C47072"/>
    <w:rsid w:val="00C47586"/>
    <w:rsid w:val="00C47D45"/>
    <w:rsid w:val="00C47D7C"/>
    <w:rsid w:val="00C502BF"/>
    <w:rsid w:val="00C505C9"/>
    <w:rsid w:val="00C506CA"/>
    <w:rsid w:val="00C507BD"/>
    <w:rsid w:val="00C5086C"/>
    <w:rsid w:val="00C50AC7"/>
    <w:rsid w:val="00C50B1E"/>
    <w:rsid w:val="00C50F1E"/>
    <w:rsid w:val="00C511F1"/>
    <w:rsid w:val="00C5123B"/>
    <w:rsid w:val="00C51561"/>
    <w:rsid w:val="00C51819"/>
    <w:rsid w:val="00C51919"/>
    <w:rsid w:val="00C51A38"/>
    <w:rsid w:val="00C51DB7"/>
    <w:rsid w:val="00C5206D"/>
    <w:rsid w:val="00C52282"/>
    <w:rsid w:val="00C52B9D"/>
    <w:rsid w:val="00C53595"/>
    <w:rsid w:val="00C5431C"/>
    <w:rsid w:val="00C54890"/>
    <w:rsid w:val="00C54B42"/>
    <w:rsid w:val="00C55091"/>
    <w:rsid w:val="00C5515C"/>
    <w:rsid w:val="00C55771"/>
    <w:rsid w:val="00C55C07"/>
    <w:rsid w:val="00C55D30"/>
    <w:rsid w:val="00C564C3"/>
    <w:rsid w:val="00C56B3B"/>
    <w:rsid w:val="00C56CCB"/>
    <w:rsid w:val="00C56F46"/>
    <w:rsid w:val="00C57EF9"/>
    <w:rsid w:val="00C60564"/>
    <w:rsid w:val="00C60934"/>
    <w:rsid w:val="00C60BB8"/>
    <w:rsid w:val="00C60C2E"/>
    <w:rsid w:val="00C60E73"/>
    <w:rsid w:val="00C61996"/>
    <w:rsid w:val="00C61A03"/>
    <w:rsid w:val="00C61D87"/>
    <w:rsid w:val="00C61E33"/>
    <w:rsid w:val="00C62156"/>
    <w:rsid w:val="00C6281B"/>
    <w:rsid w:val="00C62F78"/>
    <w:rsid w:val="00C6313F"/>
    <w:rsid w:val="00C6318B"/>
    <w:rsid w:val="00C63A2D"/>
    <w:rsid w:val="00C64184"/>
    <w:rsid w:val="00C6463E"/>
    <w:rsid w:val="00C64CA1"/>
    <w:rsid w:val="00C64F3A"/>
    <w:rsid w:val="00C65402"/>
    <w:rsid w:val="00C65457"/>
    <w:rsid w:val="00C65AC0"/>
    <w:rsid w:val="00C65D34"/>
    <w:rsid w:val="00C65E9B"/>
    <w:rsid w:val="00C66270"/>
    <w:rsid w:val="00C664A1"/>
    <w:rsid w:val="00C66731"/>
    <w:rsid w:val="00C669D9"/>
    <w:rsid w:val="00C66B19"/>
    <w:rsid w:val="00C66C38"/>
    <w:rsid w:val="00C671F9"/>
    <w:rsid w:val="00C67904"/>
    <w:rsid w:val="00C70A29"/>
    <w:rsid w:val="00C70F56"/>
    <w:rsid w:val="00C71539"/>
    <w:rsid w:val="00C71826"/>
    <w:rsid w:val="00C7198F"/>
    <w:rsid w:val="00C71AD2"/>
    <w:rsid w:val="00C71E26"/>
    <w:rsid w:val="00C71E2C"/>
    <w:rsid w:val="00C72B1C"/>
    <w:rsid w:val="00C7362A"/>
    <w:rsid w:val="00C73837"/>
    <w:rsid w:val="00C7399C"/>
    <w:rsid w:val="00C73EED"/>
    <w:rsid w:val="00C73F56"/>
    <w:rsid w:val="00C740A5"/>
    <w:rsid w:val="00C74833"/>
    <w:rsid w:val="00C755B2"/>
    <w:rsid w:val="00C75B1A"/>
    <w:rsid w:val="00C75E35"/>
    <w:rsid w:val="00C75E69"/>
    <w:rsid w:val="00C75E90"/>
    <w:rsid w:val="00C76233"/>
    <w:rsid w:val="00C76DD8"/>
    <w:rsid w:val="00C76E95"/>
    <w:rsid w:val="00C77146"/>
    <w:rsid w:val="00C7758C"/>
    <w:rsid w:val="00C77B48"/>
    <w:rsid w:val="00C77D19"/>
    <w:rsid w:val="00C80A3F"/>
    <w:rsid w:val="00C81622"/>
    <w:rsid w:val="00C816DD"/>
    <w:rsid w:val="00C8178B"/>
    <w:rsid w:val="00C81C62"/>
    <w:rsid w:val="00C820BC"/>
    <w:rsid w:val="00C8399C"/>
    <w:rsid w:val="00C83A37"/>
    <w:rsid w:val="00C83BDD"/>
    <w:rsid w:val="00C83D14"/>
    <w:rsid w:val="00C83D36"/>
    <w:rsid w:val="00C83E29"/>
    <w:rsid w:val="00C84014"/>
    <w:rsid w:val="00C84017"/>
    <w:rsid w:val="00C8495E"/>
    <w:rsid w:val="00C854EA"/>
    <w:rsid w:val="00C85578"/>
    <w:rsid w:val="00C85729"/>
    <w:rsid w:val="00C85B85"/>
    <w:rsid w:val="00C85F2D"/>
    <w:rsid w:val="00C86092"/>
    <w:rsid w:val="00C86297"/>
    <w:rsid w:val="00C862E1"/>
    <w:rsid w:val="00C868C4"/>
    <w:rsid w:val="00C869B4"/>
    <w:rsid w:val="00C86CD6"/>
    <w:rsid w:val="00C872D5"/>
    <w:rsid w:val="00C8744E"/>
    <w:rsid w:val="00C874B6"/>
    <w:rsid w:val="00C8767C"/>
    <w:rsid w:val="00C87686"/>
    <w:rsid w:val="00C87A5C"/>
    <w:rsid w:val="00C87B15"/>
    <w:rsid w:val="00C87EDA"/>
    <w:rsid w:val="00C87EEE"/>
    <w:rsid w:val="00C909CF"/>
    <w:rsid w:val="00C90B0C"/>
    <w:rsid w:val="00C91489"/>
    <w:rsid w:val="00C9169A"/>
    <w:rsid w:val="00C9182A"/>
    <w:rsid w:val="00C91C8E"/>
    <w:rsid w:val="00C920F4"/>
    <w:rsid w:val="00C925F7"/>
    <w:rsid w:val="00C92C49"/>
    <w:rsid w:val="00C93B8C"/>
    <w:rsid w:val="00C93FB0"/>
    <w:rsid w:val="00C93FB5"/>
    <w:rsid w:val="00C9400E"/>
    <w:rsid w:val="00C9422A"/>
    <w:rsid w:val="00C943E9"/>
    <w:rsid w:val="00C945AA"/>
    <w:rsid w:val="00C94845"/>
    <w:rsid w:val="00C94880"/>
    <w:rsid w:val="00C94BA0"/>
    <w:rsid w:val="00C9500B"/>
    <w:rsid w:val="00C9513B"/>
    <w:rsid w:val="00C9520D"/>
    <w:rsid w:val="00C95313"/>
    <w:rsid w:val="00C95522"/>
    <w:rsid w:val="00C958DA"/>
    <w:rsid w:val="00C95BFD"/>
    <w:rsid w:val="00C95C0A"/>
    <w:rsid w:val="00C962F6"/>
    <w:rsid w:val="00C971F6"/>
    <w:rsid w:val="00C979EF"/>
    <w:rsid w:val="00C97E28"/>
    <w:rsid w:val="00CA0094"/>
    <w:rsid w:val="00CA0494"/>
    <w:rsid w:val="00CA07D6"/>
    <w:rsid w:val="00CA0BA9"/>
    <w:rsid w:val="00CA119A"/>
    <w:rsid w:val="00CA12C4"/>
    <w:rsid w:val="00CA1457"/>
    <w:rsid w:val="00CA17D8"/>
    <w:rsid w:val="00CA1C5C"/>
    <w:rsid w:val="00CA1CA4"/>
    <w:rsid w:val="00CA1D6C"/>
    <w:rsid w:val="00CA1EC0"/>
    <w:rsid w:val="00CA1FC0"/>
    <w:rsid w:val="00CA20A4"/>
    <w:rsid w:val="00CA2394"/>
    <w:rsid w:val="00CA2642"/>
    <w:rsid w:val="00CA2B63"/>
    <w:rsid w:val="00CA2D48"/>
    <w:rsid w:val="00CA32EE"/>
    <w:rsid w:val="00CA3754"/>
    <w:rsid w:val="00CA3910"/>
    <w:rsid w:val="00CA4748"/>
    <w:rsid w:val="00CA4890"/>
    <w:rsid w:val="00CA48A2"/>
    <w:rsid w:val="00CA4CA9"/>
    <w:rsid w:val="00CA4D1B"/>
    <w:rsid w:val="00CA50A8"/>
    <w:rsid w:val="00CA582C"/>
    <w:rsid w:val="00CA5D7A"/>
    <w:rsid w:val="00CA6A74"/>
    <w:rsid w:val="00CA6CAB"/>
    <w:rsid w:val="00CA72D0"/>
    <w:rsid w:val="00CA7749"/>
    <w:rsid w:val="00CA79EE"/>
    <w:rsid w:val="00CA7DD1"/>
    <w:rsid w:val="00CB0021"/>
    <w:rsid w:val="00CB01FA"/>
    <w:rsid w:val="00CB0412"/>
    <w:rsid w:val="00CB061F"/>
    <w:rsid w:val="00CB1774"/>
    <w:rsid w:val="00CB1D60"/>
    <w:rsid w:val="00CB1FA2"/>
    <w:rsid w:val="00CB26E7"/>
    <w:rsid w:val="00CB315F"/>
    <w:rsid w:val="00CB32A4"/>
    <w:rsid w:val="00CB3D16"/>
    <w:rsid w:val="00CB3E62"/>
    <w:rsid w:val="00CB47D6"/>
    <w:rsid w:val="00CB484E"/>
    <w:rsid w:val="00CB49D5"/>
    <w:rsid w:val="00CB4CBB"/>
    <w:rsid w:val="00CB5194"/>
    <w:rsid w:val="00CB52DE"/>
    <w:rsid w:val="00CB5488"/>
    <w:rsid w:val="00CB55F5"/>
    <w:rsid w:val="00CB5B13"/>
    <w:rsid w:val="00CB6035"/>
    <w:rsid w:val="00CB6782"/>
    <w:rsid w:val="00CB75F1"/>
    <w:rsid w:val="00CB790E"/>
    <w:rsid w:val="00CB7AD4"/>
    <w:rsid w:val="00CC0122"/>
    <w:rsid w:val="00CC0140"/>
    <w:rsid w:val="00CC01DF"/>
    <w:rsid w:val="00CC02C5"/>
    <w:rsid w:val="00CC067C"/>
    <w:rsid w:val="00CC0B70"/>
    <w:rsid w:val="00CC0B86"/>
    <w:rsid w:val="00CC0E7C"/>
    <w:rsid w:val="00CC1A5A"/>
    <w:rsid w:val="00CC1DD5"/>
    <w:rsid w:val="00CC223F"/>
    <w:rsid w:val="00CC2B05"/>
    <w:rsid w:val="00CC30D0"/>
    <w:rsid w:val="00CC3652"/>
    <w:rsid w:val="00CC3A1B"/>
    <w:rsid w:val="00CC49F9"/>
    <w:rsid w:val="00CC4D89"/>
    <w:rsid w:val="00CC505F"/>
    <w:rsid w:val="00CC5243"/>
    <w:rsid w:val="00CC5299"/>
    <w:rsid w:val="00CC5536"/>
    <w:rsid w:val="00CC553B"/>
    <w:rsid w:val="00CC5B2B"/>
    <w:rsid w:val="00CC5EEB"/>
    <w:rsid w:val="00CC6DE6"/>
    <w:rsid w:val="00CC6E75"/>
    <w:rsid w:val="00CC717C"/>
    <w:rsid w:val="00CC7A70"/>
    <w:rsid w:val="00CD07B3"/>
    <w:rsid w:val="00CD0968"/>
    <w:rsid w:val="00CD0A74"/>
    <w:rsid w:val="00CD0AF5"/>
    <w:rsid w:val="00CD0E51"/>
    <w:rsid w:val="00CD113E"/>
    <w:rsid w:val="00CD1A7F"/>
    <w:rsid w:val="00CD2036"/>
    <w:rsid w:val="00CD204F"/>
    <w:rsid w:val="00CD2303"/>
    <w:rsid w:val="00CD27E7"/>
    <w:rsid w:val="00CD2D81"/>
    <w:rsid w:val="00CD3C36"/>
    <w:rsid w:val="00CD4007"/>
    <w:rsid w:val="00CD45CC"/>
    <w:rsid w:val="00CD4EA2"/>
    <w:rsid w:val="00CD5546"/>
    <w:rsid w:val="00CD5706"/>
    <w:rsid w:val="00CD5912"/>
    <w:rsid w:val="00CD5CBE"/>
    <w:rsid w:val="00CD6049"/>
    <w:rsid w:val="00CD6157"/>
    <w:rsid w:val="00CD6562"/>
    <w:rsid w:val="00CD6680"/>
    <w:rsid w:val="00CD68AC"/>
    <w:rsid w:val="00CD68E6"/>
    <w:rsid w:val="00CD6AAA"/>
    <w:rsid w:val="00CD6F72"/>
    <w:rsid w:val="00CD76AF"/>
    <w:rsid w:val="00CD78B4"/>
    <w:rsid w:val="00CE0380"/>
    <w:rsid w:val="00CE03AC"/>
    <w:rsid w:val="00CE0DA1"/>
    <w:rsid w:val="00CE12B6"/>
    <w:rsid w:val="00CE15E7"/>
    <w:rsid w:val="00CE1F48"/>
    <w:rsid w:val="00CE266A"/>
    <w:rsid w:val="00CE341D"/>
    <w:rsid w:val="00CE4075"/>
    <w:rsid w:val="00CE40D0"/>
    <w:rsid w:val="00CE4581"/>
    <w:rsid w:val="00CE514A"/>
    <w:rsid w:val="00CE5AE1"/>
    <w:rsid w:val="00CE6442"/>
    <w:rsid w:val="00CE6473"/>
    <w:rsid w:val="00CE67AF"/>
    <w:rsid w:val="00CE75F8"/>
    <w:rsid w:val="00CE7CC6"/>
    <w:rsid w:val="00CE7CD6"/>
    <w:rsid w:val="00CE7E4C"/>
    <w:rsid w:val="00CF00AE"/>
    <w:rsid w:val="00CF00BE"/>
    <w:rsid w:val="00CF04EE"/>
    <w:rsid w:val="00CF05F1"/>
    <w:rsid w:val="00CF08BC"/>
    <w:rsid w:val="00CF0C5E"/>
    <w:rsid w:val="00CF0D36"/>
    <w:rsid w:val="00CF0DB5"/>
    <w:rsid w:val="00CF138B"/>
    <w:rsid w:val="00CF171C"/>
    <w:rsid w:val="00CF1945"/>
    <w:rsid w:val="00CF1D36"/>
    <w:rsid w:val="00CF1D8B"/>
    <w:rsid w:val="00CF1F2F"/>
    <w:rsid w:val="00CF212F"/>
    <w:rsid w:val="00CF2A6E"/>
    <w:rsid w:val="00CF3724"/>
    <w:rsid w:val="00CF3A48"/>
    <w:rsid w:val="00CF50AC"/>
    <w:rsid w:val="00CF5245"/>
    <w:rsid w:val="00CF55C3"/>
    <w:rsid w:val="00CF573E"/>
    <w:rsid w:val="00CF581C"/>
    <w:rsid w:val="00CF5D64"/>
    <w:rsid w:val="00CF602D"/>
    <w:rsid w:val="00CF60D0"/>
    <w:rsid w:val="00CF60D4"/>
    <w:rsid w:val="00CF6525"/>
    <w:rsid w:val="00CF6E5B"/>
    <w:rsid w:val="00CF79D7"/>
    <w:rsid w:val="00D0015E"/>
    <w:rsid w:val="00D00433"/>
    <w:rsid w:val="00D007AF"/>
    <w:rsid w:val="00D00978"/>
    <w:rsid w:val="00D00B26"/>
    <w:rsid w:val="00D01BFE"/>
    <w:rsid w:val="00D01EEB"/>
    <w:rsid w:val="00D0264E"/>
    <w:rsid w:val="00D028CB"/>
    <w:rsid w:val="00D02A21"/>
    <w:rsid w:val="00D03007"/>
    <w:rsid w:val="00D030D7"/>
    <w:rsid w:val="00D03176"/>
    <w:rsid w:val="00D03AA4"/>
    <w:rsid w:val="00D03FBA"/>
    <w:rsid w:val="00D04597"/>
    <w:rsid w:val="00D046CE"/>
    <w:rsid w:val="00D04711"/>
    <w:rsid w:val="00D04870"/>
    <w:rsid w:val="00D05055"/>
    <w:rsid w:val="00D050E4"/>
    <w:rsid w:val="00D052E8"/>
    <w:rsid w:val="00D055ED"/>
    <w:rsid w:val="00D05836"/>
    <w:rsid w:val="00D05AD3"/>
    <w:rsid w:val="00D0636E"/>
    <w:rsid w:val="00D066EB"/>
    <w:rsid w:val="00D06A4A"/>
    <w:rsid w:val="00D06C79"/>
    <w:rsid w:val="00D073FE"/>
    <w:rsid w:val="00D0789C"/>
    <w:rsid w:val="00D079A4"/>
    <w:rsid w:val="00D07E2F"/>
    <w:rsid w:val="00D10114"/>
    <w:rsid w:val="00D103F5"/>
    <w:rsid w:val="00D10412"/>
    <w:rsid w:val="00D106D2"/>
    <w:rsid w:val="00D107DF"/>
    <w:rsid w:val="00D10837"/>
    <w:rsid w:val="00D109A6"/>
    <w:rsid w:val="00D10D94"/>
    <w:rsid w:val="00D10FFF"/>
    <w:rsid w:val="00D1184A"/>
    <w:rsid w:val="00D1198C"/>
    <w:rsid w:val="00D11B5D"/>
    <w:rsid w:val="00D11BAF"/>
    <w:rsid w:val="00D12199"/>
    <w:rsid w:val="00D121A7"/>
    <w:rsid w:val="00D12478"/>
    <w:rsid w:val="00D12517"/>
    <w:rsid w:val="00D12658"/>
    <w:rsid w:val="00D12887"/>
    <w:rsid w:val="00D12BAE"/>
    <w:rsid w:val="00D12BD4"/>
    <w:rsid w:val="00D1310F"/>
    <w:rsid w:val="00D13531"/>
    <w:rsid w:val="00D137B0"/>
    <w:rsid w:val="00D13C6B"/>
    <w:rsid w:val="00D14799"/>
    <w:rsid w:val="00D15401"/>
    <w:rsid w:val="00D15796"/>
    <w:rsid w:val="00D15B66"/>
    <w:rsid w:val="00D16071"/>
    <w:rsid w:val="00D1666E"/>
    <w:rsid w:val="00D166F4"/>
    <w:rsid w:val="00D16A1F"/>
    <w:rsid w:val="00D16B44"/>
    <w:rsid w:val="00D16CD3"/>
    <w:rsid w:val="00D16DD5"/>
    <w:rsid w:val="00D16FB9"/>
    <w:rsid w:val="00D16FC0"/>
    <w:rsid w:val="00D17283"/>
    <w:rsid w:val="00D174E2"/>
    <w:rsid w:val="00D179D8"/>
    <w:rsid w:val="00D17C87"/>
    <w:rsid w:val="00D17CAA"/>
    <w:rsid w:val="00D20333"/>
    <w:rsid w:val="00D20D3B"/>
    <w:rsid w:val="00D20E68"/>
    <w:rsid w:val="00D212A2"/>
    <w:rsid w:val="00D21839"/>
    <w:rsid w:val="00D2189B"/>
    <w:rsid w:val="00D21969"/>
    <w:rsid w:val="00D22DC6"/>
    <w:rsid w:val="00D234A6"/>
    <w:rsid w:val="00D23795"/>
    <w:rsid w:val="00D239E7"/>
    <w:rsid w:val="00D23F35"/>
    <w:rsid w:val="00D24FE4"/>
    <w:rsid w:val="00D258B2"/>
    <w:rsid w:val="00D26216"/>
    <w:rsid w:val="00D268D8"/>
    <w:rsid w:val="00D26B7D"/>
    <w:rsid w:val="00D2748B"/>
    <w:rsid w:val="00D300F4"/>
    <w:rsid w:val="00D30575"/>
    <w:rsid w:val="00D30CFC"/>
    <w:rsid w:val="00D30E72"/>
    <w:rsid w:val="00D31214"/>
    <w:rsid w:val="00D31645"/>
    <w:rsid w:val="00D318F8"/>
    <w:rsid w:val="00D319CD"/>
    <w:rsid w:val="00D31BAA"/>
    <w:rsid w:val="00D31D32"/>
    <w:rsid w:val="00D324F5"/>
    <w:rsid w:val="00D32A16"/>
    <w:rsid w:val="00D34242"/>
    <w:rsid w:val="00D3465B"/>
    <w:rsid w:val="00D34953"/>
    <w:rsid w:val="00D349DE"/>
    <w:rsid w:val="00D35231"/>
    <w:rsid w:val="00D35417"/>
    <w:rsid w:val="00D35747"/>
    <w:rsid w:val="00D357AA"/>
    <w:rsid w:val="00D360F4"/>
    <w:rsid w:val="00D36286"/>
    <w:rsid w:val="00D37201"/>
    <w:rsid w:val="00D3744E"/>
    <w:rsid w:val="00D37536"/>
    <w:rsid w:val="00D379D5"/>
    <w:rsid w:val="00D37E25"/>
    <w:rsid w:val="00D40653"/>
    <w:rsid w:val="00D4086A"/>
    <w:rsid w:val="00D408AC"/>
    <w:rsid w:val="00D40C99"/>
    <w:rsid w:val="00D41D39"/>
    <w:rsid w:val="00D420FC"/>
    <w:rsid w:val="00D42368"/>
    <w:rsid w:val="00D4309B"/>
    <w:rsid w:val="00D4339A"/>
    <w:rsid w:val="00D436DA"/>
    <w:rsid w:val="00D4416E"/>
    <w:rsid w:val="00D4447D"/>
    <w:rsid w:val="00D44A0A"/>
    <w:rsid w:val="00D44FB8"/>
    <w:rsid w:val="00D4529E"/>
    <w:rsid w:val="00D45ACF"/>
    <w:rsid w:val="00D46430"/>
    <w:rsid w:val="00D46667"/>
    <w:rsid w:val="00D472E1"/>
    <w:rsid w:val="00D50761"/>
    <w:rsid w:val="00D50C18"/>
    <w:rsid w:val="00D50EB3"/>
    <w:rsid w:val="00D518CA"/>
    <w:rsid w:val="00D51FAB"/>
    <w:rsid w:val="00D52D2D"/>
    <w:rsid w:val="00D53430"/>
    <w:rsid w:val="00D536F6"/>
    <w:rsid w:val="00D5371E"/>
    <w:rsid w:val="00D53ADD"/>
    <w:rsid w:val="00D53D30"/>
    <w:rsid w:val="00D54187"/>
    <w:rsid w:val="00D5441A"/>
    <w:rsid w:val="00D54691"/>
    <w:rsid w:val="00D54BB2"/>
    <w:rsid w:val="00D54EC8"/>
    <w:rsid w:val="00D55228"/>
    <w:rsid w:val="00D55714"/>
    <w:rsid w:val="00D559E8"/>
    <w:rsid w:val="00D55A75"/>
    <w:rsid w:val="00D55AF6"/>
    <w:rsid w:val="00D55BD1"/>
    <w:rsid w:val="00D55E5D"/>
    <w:rsid w:val="00D55F00"/>
    <w:rsid w:val="00D55FFD"/>
    <w:rsid w:val="00D5620D"/>
    <w:rsid w:val="00D56329"/>
    <w:rsid w:val="00D56581"/>
    <w:rsid w:val="00D56F79"/>
    <w:rsid w:val="00D57027"/>
    <w:rsid w:val="00D57130"/>
    <w:rsid w:val="00D5736D"/>
    <w:rsid w:val="00D57385"/>
    <w:rsid w:val="00D57BB7"/>
    <w:rsid w:val="00D6051D"/>
    <w:rsid w:val="00D60601"/>
    <w:rsid w:val="00D60750"/>
    <w:rsid w:val="00D60AC9"/>
    <w:rsid w:val="00D612B5"/>
    <w:rsid w:val="00D6140B"/>
    <w:rsid w:val="00D614DB"/>
    <w:rsid w:val="00D61A04"/>
    <w:rsid w:val="00D61CB9"/>
    <w:rsid w:val="00D6223A"/>
    <w:rsid w:val="00D63228"/>
    <w:rsid w:val="00D6340C"/>
    <w:rsid w:val="00D63B12"/>
    <w:rsid w:val="00D63E43"/>
    <w:rsid w:val="00D64BE9"/>
    <w:rsid w:val="00D64C96"/>
    <w:rsid w:val="00D64D99"/>
    <w:rsid w:val="00D65574"/>
    <w:rsid w:val="00D6568F"/>
    <w:rsid w:val="00D660E5"/>
    <w:rsid w:val="00D67EC6"/>
    <w:rsid w:val="00D67F1C"/>
    <w:rsid w:val="00D705B5"/>
    <w:rsid w:val="00D709AA"/>
    <w:rsid w:val="00D70C52"/>
    <w:rsid w:val="00D71150"/>
    <w:rsid w:val="00D71880"/>
    <w:rsid w:val="00D720A3"/>
    <w:rsid w:val="00D72692"/>
    <w:rsid w:val="00D727D5"/>
    <w:rsid w:val="00D72BD2"/>
    <w:rsid w:val="00D733FF"/>
    <w:rsid w:val="00D7361D"/>
    <w:rsid w:val="00D73715"/>
    <w:rsid w:val="00D73AAA"/>
    <w:rsid w:val="00D73E6D"/>
    <w:rsid w:val="00D74CCF"/>
    <w:rsid w:val="00D7566C"/>
    <w:rsid w:val="00D75D4A"/>
    <w:rsid w:val="00D764E9"/>
    <w:rsid w:val="00D76F4E"/>
    <w:rsid w:val="00D77428"/>
    <w:rsid w:val="00D7778E"/>
    <w:rsid w:val="00D77827"/>
    <w:rsid w:val="00D7785C"/>
    <w:rsid w:val="00D77982"/>
    <w:rsid w:val="00D77DED"/>
    <w:rsid w:val="00D80479"/>
    <w:rsid w:val="00D80622"/>
    <w:rsid w:val="00D80B67"/>
    <w:rsid w:val="00D80C4D"/>
    <w:rsid w:val="00D80D12"/>
    <w:rsid w:val="00D80ECC"/>
    <w:rsid w:val="00D812B9"/>
    <w:rsid w:val="00D813DF"/>
    <w:rsid w:val="00D81ABA"/>
    <w:rsid w:val="00D81E68"/>
    <w:rsid w:val="00D81FB3"/>
    <w:rsid w:val="00D820A7"/>
    <w:rsid w:val="00D825CB"/>
    <w:rsid w:val="00D82CD6"/>
    <w:rsid w:val="00D83E28"/>
    <w:rsid w:val="00D84061"/>
    <w:rsid w:val="00D8436A"/>
    <w:rsid w:val="00D84611"/>
    <w:rsid w:val="00D846CE"/>
    <w:rsid w:val="00D84CE5"/>
    <w:rsid w:val="00D8504E"/>
    <w:rsid w:val="00D85168"/>
    <w:rsid w:val="00D85670"/>
    <w:rsid w:val="00D857BE"/>
    <w:rsid w:val="00D85CE0"/>
    <w:rsid w:val="00D8601E"/>
    <w:rsid w:val="00D86658"/>
    <w:rsid w:val="00D868DB"/>
    <w:rsid w:val="00D86C9A"/>
    <w:rsid w:val="00D86D07"/>
    <w:rsid w:val="00D8785F"/>
    <w:rsid w:val="00D9058F"/>
    <w:rsid w:val="00D90DE8"/>
    <w:rsid w:val="00D91A59"/>
    <w:rsid w:val="00D9209C"/>
    <w:rsid w:val="00D92986"/>
    <w:rsid w:val="00D92C98"/>
    <w:rsid w:val="00D92CDA"/>
    <w:rsid w:val="00D93352"/>
    <w:rsid w:val="00D94180"/>
    <w:rsid w:val="00D94376"/>
    <w:rsid w:val="00D947EC"/>
    <w:rsid w:val="00D94910"/>
    <w:rsid w:val="00D94B12"/>
    <w:rsid w:val="00D94FCC"/>
    <w:rsid w:val="00D959B8"/>
    <w:rsid w:val="00D95DC0"/>
    <w:rsid w:val="00D96897"/>
    <w:rsid w:val="00D97068"/>
    <w:rsid w:val="00D97245"/>
    <w:rsid w:val="00D972B7"/>
    <w:rsid w:val="00D9744C"/>
    <w:rsid w:val="00D97A99"/>
    <w:rsid w:val="00D97BD0"/>
    <w:rsid w:val="00D97C1A"/>
    <w:rsid w:val="00D97EB4"/>
    <w:rsid w:val="00D97F65"/>
    <w:rsid w:val="00DA0066"/>
    <w:rsid w:val="00DA00C7"/>
    <w:rsid w:val="00DA0326"/>
    <w:rsid w:val="00DA0404"/>
    <w:rsid w:val="00DA0821"/>
    <w:rsid w:val="00DA0E55"/>
    <w:rsid w:val="00DA1B79"/>
    <w:rsid w:val="00DA1C13"/>
    <w:rsid w:val="00DA24C4"/>
    <w:rsid w:val="00DA2A59"/>
    <w:rsid w:val="00DA3301"/>
    <w:rsid w:val="00DA3B41"/>
    <w:rsid w:val="00DA3E76"/>
    <w:rsid w:val="00DA41A5"/>
    <w:rsid w:val="00DA430D"/>
    <w:rsid w:val="00DA44DE"/>
    <w:rsid w:val="00DA480B"/>
    <w:rsid w:val="00DA4C64"/>
    <w:rsid w:val="00DA4FE4"/>
    <w:rsid w:val="00DA52DA"/>
    <w:rsid w:val="00DA62D7"/>
    <w:rsid w:val="00DA7097"/>
    <w:rsid w:val="00DA73F2"/>
    <w:rsid w:val="00DA7517"/>
    <w:rsid w:val="00DA788E"/>
    <w:rsid w:val="00DA78C2"/>
    <w:rsid w:val="00DA792F"/>
    <w:rsid w:val="00DA7D74"/>
    <w:rsid w:val="00DA7ECD"/>
    <w:rsid w:val="00DA7F74"/>
    <w:rsid w:val="00DB0D00"/>
    <w:rsid w:val="00DB1A4D"/>
    <w:rsid w:val="00DB2189"/>
    <w:rsid w:val="00DB2A34"/>
    <w:rsid w:val="00DB2A66"/>
    <w:rsid w:val="00DB2B0A"/>
    <w:rsid w:val="00DB2CEF"/>
    <w:rsid w:val="00DB328B"/>
    <w:rsid w:val="00DB350D"/>
    <w:rsid w:val="00DB3AD0"/>
    <w:rsid w:val="00DB3C71"/>
    <w:rsid w:val="00DB3F57"/>
    <w:rsid w:val="00DB46C7"/>
    <w:rsid w:val="00DB4FB3"/>
    <w:rsid w:val="00DB5267"/>
    <w:rsid w:val="00DB5830"/>
    <w:rsid w:val="00DB5BD0"/>
    <w:rsid w:val="00DB5C77"/>
    <w:rsid w:val="00DB67D1"/>
    <w:rsid w:val="00DB6A28"/>
    <w:rsid w:val="00DB6AC6"/>
    <w:rsid w:val="00DB6BB7"/>
    <w:rsid w:val="00DB6DA6"/>
    <w:rsid w:val="00DB6EC4"/>
    <w:rsid w:val="00DB6F6E"/>
    <w:rsid w:val="00DB6FAF"/>
    <w:rsid w:val="00DB7C00"/>
    <w:rsid w:val="00DC012F"/>
    <w:rsid w:val="00DC057A"/>
    <w:rsid w:val="00DC0A23"/>
    <w:rsid w:val="00DC0A63"/>
    <w:rsid w:val="00DC0F74"/>
    <w:rsid w:val="00DC1570"/>
    <w:rsid w:val="00DC15E9"/>
    <w:rsid w:val="00DC1943"/>
    <w:rsid w:val="00DC1C0B"/>
    <w:rsid w:val="00DC2205"/>
    <w:rsid w:val="00DC26D0"/>
    <w:rsid w:val="00DC29EB"/>
    <w:rsid w:val="00DC2CB7"/>
    <w:rsid w:val="00DC3396"/>
    <w:rsid w:val="00DC44D2"/>
    <w:rsid w:val="00DC48FB"/>
    <w:rsid w:val="00DC4B0C"/>
    <w:rsid w:val="00DC4BE0"/>
    <w:rsid w:val="00DC4FF7"/>
    <w:rsid w:val="00DC532B"/>
    <w:rsid w:val="00DC5B58"/>
    <w:rsid w:val="00DC5E7A"/>
    <w:rsid w:val="00DC6C97"/>
    <w:rsid w:val="00DC7286"/>
    <w:rsid w:val="00DC7531"/>
    <w:rsid w:val="00DD07FB"/>
    <w:rsid w:val="00DD0851"/>
    <w:rsid w:val="00DD0D79"/>
    <w:rsid w:val="00DD1534"/>
    <w:rsid w:val="00DD172F"/>
    <w:rsid w:val="00DD190E"/>
    <w:rsid w:val="00DD1AFD"/>
    <w:rsid w:val="00DD26DB"/>
    <w:rsid w:val="00DD293E"/>
    <w:rsid w:val="00DD2D02"/>
    <w:rsid w:val="00DD327B"/>
    <w:rsid w:val="00DD3332"/>
    <w:rsid w:val="00DD381A"/>
    <w:rsid w:val="00DD3A3A"/>
    <w:rsid w:val="00DD3A48"/>
    <w:rsid w:val="00DD3CD0"/>
    <w:rsid w:val="00DD4717"/>
    <w:rsid w:val="00DD5B7F"/>
    <w:rsid w:val="00DD6084"/>
    <w:rsid w:val="00DD6519"/>
    <w:rsid w:val="00DD690B"/>
    <w:rsid w:val="00DD69C1"/>
    <w:rsid w:val="00DD6C3D"/>
    <w:rsid w:val="00DD6E94"/>
    <w:rsid w:val="00DD6EA9"/>
    <w:rsid w:val="00DD7015"/>
    <w:rsid w:val="00DD715B"/>
    <w:rsid w:val="00DD7204"/>
    <w:rsid w:val="00DD7915"/>
    <w:rsid w:val="00DD7AAD"/>
    <w:rsid w:val="00DD7B31"/>
    <w:rsid w:val="00DD7FC8"/>
    <w:rsid w:val="00DE0360"/>
    <w:rsid w:val="00DE0618"/>
    <w:rsid w:val="00DE06EE"/>
    <w:rsid w:val="00DE1527"/>
    <w:rsid w:val="00DE1B6E"/>
    <w:rsid w:val="00DE26ED"/>
    <w:rsid w:val="00DE27B8"/>
    <w:rsid w:val="00DE2D38"/>
    <w:rsid w:val="00DE3CB7"/>
    <w:rsid w:val="00DE4325"/>
    <w:rsid w:val="00DE474F"/>
    <w:rsid w:val="00DE484A"/>
    <w:rsid w:val="00DE4E4D"/>
    <w:rsid w:val="00DE4F95"/>
    <w:rsid w:val="00DE507C"/>
    <w:rsid w:val="00DE5494"/>
    <w:rsid w:val="00DE55CE"/>
    <w:rsid w:val="00DE627B"/>
    <w:rsid w:val="00DE6527"/>
    <w:rsid w:val="00DE6BF8"/>
    <w:rsid w:val="00DE6C14"/>
    <w:rsid w:val="00DE6D60"/>
    <w:rsid w:val="00DE70B2"/>
    <w:rsid w:val="00DE77A7"/>
    <w:rsid w:val="00DE79A8"/>
    <w:rsid w:val="00DE7E26"/>
    <w:rsid w:val="00DE7E4B"/>
    <w:rsid w:val="00DF026D"/>
    <w:rsid w:val="00DF09DF"/>
    <w:rsid w:val="00DF0B06"/>
    <w:rsid w:val="00DF11FA"/>
    <w:rsid w:val="00DF162A"/>
    <w:rsid w:val="00DF170B"/>
    <w:rsid w:val="00DF20D4"/>
    <w:rsid w:val="00DF250E"/>
    <w:rsid w:val="00DF2D9C"/>
    <w:rsid w:val="00DF2F3A"/>
    <w:rsid w:val="00DF302A"/>
    <w:rsid w:val="00DF365C"/>
    <w:rsid w:val="00DF3CAD"/>
    <w:rsid w:val="00DF3EF1"/>
    <w:rsid w:val="00DF407E"/>
    <w:rsid w:val="00DF4190"/>
    <w:rsid w:val="00DF47C0"/>
    <w:rsid w:val="00DF4CF0"/>
    <w:rsid w:val="00DF4E16"/>
    <w:rsid w:val="00DF5577"/>
    <w:rsid w:val="00DF577E"/>
    <w:rsid w:val="00DF5842"/>
    <w:rsid w:val="00DF591D"/>
    <w:rsid w:val="00DF61CE"/>
    <w:rsid w:val="00DF68CD"/>
    <w:rsid w:val="00DF6FF4"/>
    <w:rsid w:val="00DF7BD6"/>
    <w:rsid w:val="00DF7CC2"/>
    <w:rsid w:val="00E00587"/>
    <w:rsid w:val="00E00726"/>
    <w:rsid w:val="00E0080E"/>
    <w:rsid w:val="00E01191"/>
    <w:rsid w:val="00E01339"/>
    <w:rsid w:val="00E01615"/>
    <w:rsid w:val="00E01B1F"/>
    <w:rsid w:val="00E02740"/>
    <w:rsid w:val="00E02880"/>
    <w:rsid w:val="00E038D6"/>
    <w:rsid w:val="00E03CFE"/>
    <w:rsid w:val="00E04068"/>
    <w:rsid w:val="00E041CC"/>
    <w:rsid w:val="00E04C2A"/>
    <w:rsid w:val="00E055CA"/>
    <w:rsid w:val="00E05991"/>
    <w:rsid w:val="00E05D35"/>
    <w:rsid w:val="00E0648E"/>
    <w:rsid w:val="00E070EF"/>
    <w:rsid w:val="00E07708"/>
    <w:rsid w:val="00E077B1"/>
    <w:rsid w:val="00E07A2B"/>
    <w:rsid w:val="00E1002F"/>
    <w:rsid w:val="00E1013C"/>
    <w:rsid w:val="00E108DB"/>
    <w:rsid w:val="00E10961"/>
    <w:rsid w:val="00E10DBE"/>
    <w:rsid w:val="00E110A6"/>
    <w:rsid w:val="00E110E8"/>
    <w:rsid w:val="00E114F4"/>
    <w:rsid w:val="00E129AA"/>
    <w:rsid w:val="00E12D71"/>
    <w:rsid w:val="00E13049"/>
    <w:rsid w:val="00E13360"/>
    <w:rsid w:val="00E133FE"/>
    <w:rsid w:val="00E134FD"/>
    <w:rsid w:val="00E13CC1"/>
    <w:rsid w:val="00E13D07"/>
    <w:rsid w:val="00E13F0E"/>
    <w:rsid w:val="00E141F6"/>
    <w:rsid w:val="00E142FD"/>
    <w:rsid w:val="00E143A8"/>
    <w:rsid w:val="00E1488D"/>
    <w:rsid w:val="00E148E9"/>
    <w:rsid w:val="00E14EC5"/>
    <w:rsid w:val="00E14FA2"/>
    <w:rsid w:val="00E15B16"/>
    <w:rsid w:val="00E15D2B"/>
    <w:rsid w:val="00E15E2F"/>
    <w:rsid w:val="00E15E43"/>
    <w:rsid w:val="00E16022"/>
    <w:rsid w:val="00E16662"/>
    <w:rsid w:val="00E16CAF"/>
    <w:rsid w:val="00E16CF7"/>
    <w:rsid w:val="00E16F01"/>
    <w:rsid w:val="00E16FC0"/>
    <w:rsid w:val="00E17334"/>
    <w:rsid w:val="00E17403"/>
    <w:rsid w:val="00E17C95"/>
    <w:rsid w:val="00E200CA"/>
    <w:rsid w:val="00E200E6"/>
    <w:rsid w:val="00E2021E"/>
    <w:rsid w:val="00E2035B"/>
    <w:rsid w:val="00E203B4"/>
    <w:rsid w:val="00E20724"/>
    <w:rsid w:val="00E21073"/>
    <w:rsid w:val="00E214C0"/>
    <w:rsid w:val="00E215C9"/>
    <w:rsid w:val="00E2262C"/>
    <w:rsid w:val="00E2268F"/>
    <w:rsid w:val="00E2286D"/>
    <w:rsid w:val="00E22B71"/>
    <w:rsid w:val="00E22F5B"/>
    <w:rsid w:val="00E231C3"/>
    <w:rsid w:val="00E23648"/>
    <w:rsid w:val="00E2383C"/>
    <w:rsid w:val="00E239C4"/>
    <w:rsid w:val="00E23BDF"/>
    <w:rsid w:val="00E240F4"/>
    <w:rsid w:val="00E24557"/>
    <w:rsid w:val="00E245E7"/>
    <w:rsid w:val="00E24F45"/>
    <w:rsid w:val="00E25237"/>
    <w:rsid w:val="00E253D6"/>
    <w:rsid w:val="00E2546F"/>
    <w:rsid w:val="00E255EC"/>
    <w:rsid w:val="00E25E3D"/>
    <w:rsid w:val="00E26004"/>
    <w:rsid w:val="00E26820"/>
    <w:rsid w:val="00E26C6B"/>
    <w:rsid w:val="00E2701A"/>
    <w:rsid w:val="00E27218"/>
    <w:rsid w:val="00E2724C"/>
    <w:rsid w:val="00E2785C"/>
    <w:rsid w:val="00E27E2C"/>
    <w:rsid w:val="00E30251"/>
    <w:rsid w:val="00E30429"/>
    <w:rsid w:val="00E30BC7"/>
    <w:rsid w:val="00E30EBF"/>
    <w:rsid w:val="00E30FC1"/>
    <w:rsid w:val="00E31231"/>
    <w:rsid w:val="00E312BE"/>
    <w:rsid w:val="00E314C7"/>
    <w:rsid w:val="00E31700"/>
    <w:rsid w:val="00E321E5"/>
    <w:rsid w:val="00E32CE6"/>
    <w:rsid w:val="00E32F27"/>
    <w:rsid w:val="00E3338F"/>
    <w:rsid w:val="00E33684"/>
    <w:rsid w:val="00E3395C"/>
    <w:rsid w:val="00E339AB"/>
    <w:rsid w:val="00E33B8E"/>
    <w:rsid w:val="00E3436C"/>
    <w:rsid w:val="00E345B9"/>
    <w:rsid w:val="00E349D9"/>
    <w:rsid w:val="00E34C69"/>
    <w:rsid w:val="00E350F3"/>
    <w:rsid w:val="00E35368"/>
    <w:rsid w:val="00E3536A"/>
    <w:rsid w:val="00E357E8"/>
    <w:rsid w:val="00E358DF"/>
    <w:rsid w:val="00E35DF5"/>
    <w:rsid w:val="00E35F8F"/>
    <w:rsid w:val="00E36024"/>
    <w:rsid w:val="00E36093"/>
    <w:rsid w:val="00E3694E"/>
    <w:rsid w:val="00E36ABC"/>
    <w:rsid w:val="00E36C09"/>
    <w:rsid w:val="00E372ED"/>
    <w:rsid w:val="00E3732C"/>
    <w:rsid w:val="00E3780C"/>
    <w:rsid w:val="00E37955"/>
    <w:rsid w:val="00E37A65"/>
    <w:rsid w:val="00E37AC8"/>
    <w:rsid w:val="00E37B5F"/>
    <w:rsid w:val="00E37B67"/>
    <w:rsid w:val="00E37B97"/>
    <w:rsid w:val="00E37ED0"/>
    <w:rsid w:val="00E402CD"/>
    <w:rsid w:val="00E405FC"/>
    <w:rsid w:val="00E409A7"/>
    <w:rsid w:val="00E40FF7"/>
    <w:rsid w:val="00E4117D"/>
    <w:rsid w:val="00E4118D"/>
    <w:rsid w:val="00E41512"/>
    <w:rsid w:val="00E41595"/>
    <w:rsid w:val="00E415C3"/>
    <w:rsid w:val="00E41A56"/>
    <w:rsid w:val="00E41BDD"/>
    <w:rsid w:val="00E41DD9"/>
    <w:rsid w:val="00E427EF"/>
    <w:rsid w:val="00E42AD1"/>
    <w:rsid w:val="00E42E3C"/>
    <w:rsid w:val="00E430D9"/>
    <w:rsid w:val="00E43366"/>
    <w:rsid w:val="00E433E1"/>
    <w:rsid w:val="00E437C0"/>
    <w:rsid w:val="00E43CDD"/>
    <w:rsid w:val="00E43D23"/>
    <w:rsid w:val="00E43D95"/>
    <w:rsid w:val="00E43DE6"/>
    <w:rsid w:val="00E44317"/>
    <w:rsid w:val="00E44624"/>
    <w:rsid w:val="00E44802"/>
    <w:rsid w:val="00E44B29"/>
    <w:rsid w:val="00E44EBB"/>
    <w:rsid w:val="00E44FE6"/>
    <w:rsid w:val="00E452FF"/>
    <w:rsid w:val="00E45EDD"/>
    <w:rsid w:val="00E45F6D"/>
    <w:rsid w:val="00E460F4"/>
    <w:rsid w:val="00E464F0"/>
    <w:rsid w:val="00E46A3E"/>
    <w:rsid w:val="00E4745F"/>
    <w:rsid w:val="00E475CD"/>
    <w:rsid w:val="00E503C3"/>
    <w:rsid w:val="00E50AF6"/>
    <w:rsid w:val="00E511A6"/>
    <w:rsid w:val="00E51614"/>
    <w:rsid w:val="00E5161A"/>
    <w:rsid w:val="00E518C7"/>
    <w:rsid w:val="00E521BB"/>
    <w:rsid w:val="00E52290"/>
    <w:rsid w:val="00E524F2"/>
    <w:rsid w:val="00E53857"/>
    <w:rsid w:val="00E538F6"/>
    <w:rsid w:val="00E539BE"/>
    <w:rsid w:val="00E54363"/>
    <w:rsid w:val="00E54892"/>
    <w:rsid w:val="00E54C00"/>
    <w:rsid w:val="00E54FF9"/>
    <w:rsid w:val="00E550D2"/>
    <w:rsid w:val="00E5560B"/>
    <w:rsid w:val="00E5587F"/>
    <w:rsid w:val="00E55D9D"/>
    <w:rsid w:val="00E55DB1"/>
    <w:rsid w:val="00E5621B"/>
    <w:rsid w:val="00E565EC"/>
    <w:rsid w:val="00E5662E"/>
    <w:rsid w:val="00E566F7"/>
    <w:rsid w:val="00E57664"/>
    <w:rsid w:val="00E57A8C"/>
    <w:rsid w:val="00E57B15"/>
    <w:rsid w:val="00E57C58"/>
    <w:rsid w:val="00E57DEA"/>
    <w:rsid w:val="00E60273"/>
    <w:rsid w:val="00E602DA"/>
    <w:rsid w:val="00E60AB9"/>
    <w:rsid w:val="00E60B21"/>
    <w:rsid w:val="00E60DBF"/>
    <w:rsid w:val="00E612E0"/>
    <w:rsid w:val="00E62470"/>
    <w:rsid w:val="00E625BB"/>
    <w:rsid w:val="00E62C77"/>
    <w:rsid w:val="00E6351F"/>
    <w:rsid w:val="00E6386D"/>
    <w:rsid w:val="00E6398A"/>
    <w:rsid w:val="00E63AEB"/>
    <w:rsid w:val="00E63BA7"/>
    <w:rsid w:val="00E63D62"/>
    <w:rsid w:val="00E63D98"/>
    <w:rsid w:val="00E63E15"/>
    <w:rsid w:val="00E6478E"/>
    <w:rsid w:val="00E649A0"/>
    <w:rsid w:val="00E64B0C"/>
    <w:rsid w:val="00E64E09"/>
    <w:rsid w:val="00E657B3"/>
    <w:rsid w:val="00E65EEB"/>
    <w:rsid w:val="00E6643C"/>
    <w:rsid w:val="00E67090"/>
    <w:rsid w:val="00E67393"/>
    <w:rsid w:val="00E673B3"/>
    <w:rsid w:val="00E6747B"/>
    <w:rsid w:val="00E67480"/>
    <w:rsid w:val="00E67F95"/>
    <w:rsid w:val="00E7000C"/>
    <w:rsid w:val="00E705FD"/>
    <w:rsid w:val="00E70B5F"/>
    <w:rsid w:val="00E71F07"/>
    <w:rsid w:val="00E720E9"/>
    <w:rsid w:val="00E72A79"/>
    <w:rsid w:val="00E72B7B"/>
    <w:rsid w:val="00E738AE"/>
    <w:rsid w:val="00E73942"/>
    <w:rsid w:val="00E7412D"/>
    <w:rsid w:val="00E74444"/>
    <w:rsid w:val="00E74884"/>
    <w:rsid w:val="00E748D5"/>
    <w:rsid w:val="00E749CE"/>
    <w:rsid w:val="00E74DE2"/>
    <w:rsid w:val="00E75345"/>
    <w:rsid w:val="00E75530"/>
    <w:rsid w:val="00E75FE4"/>
    <w:rsid w:val="00E75FF9"/>
    <w:rsid w:val="00E765F4"/>
    <w:rsid w:val="00E76709"/>
    <w:rsid w:val="00E76E53"/>
    <w:rsid w:val="00E771B0"/>
    <w:rsid w:val="00E773DF"/>
    <w:rsid w:val="00E773E2"/>
    <w:rsid w:val="00E776DD"/>
    <w:rsid w:val="00E7781E"/>
    <w:rsid w:val="00E77BDF"/>
    <w:rsid w:val="00E77E1F"/>
    <w:rsid w:val="00E800C2"/>
    <w:rsid w:val="00E8056B"/>
    <w:rsid w:val="00E8109C"/>
    <w:rsid w:val="00E812C0"/>
    <w:rsid w:val="00E8196F"/>
    <w:rsid w:val="00E81B1C"/>
    <w:rsid w:val="00E81C28"/>
    <w:rsid w:val="00E81D5F"/>
    <w:rsid w:val="00E8214E"/>
    <w:rsid w:val="00E82AA1"/>
    <w:rsid w:val="00E82C9E"/>
    <w:rsid w:val="00E82CE9"/>
    <w:rsid w:val="00E83192"/>
    <w:rsid w:val="00E83441"/>
    <w:rsid w:val="00E83968"/>
    <w:rsid w:val="00E83E03"/>
    <w:rsid w:val="00E83E79"/>
    <w:rsid w:val="00E83FB7"/>
    <w:rsid w:val="00E83FD7"/>
    <w:rsid w:val="00E84071"/>
    <w:rsid w:val="00E8435F"/>
    <w:rsid w:val="00E844BB"/>
    <w:rsid w:val="00E859F1"/>
    <w:rsid w:val="00E85A99"/>
    <w:rsid w:val="00E8603F"/>
    <w:rsid w:val="00E86618"/>
    <w:rsid w:val="00E869E4"/>
    <w:rsid w:val="00E87320"/>
    <w:rsid w:val="00E87C9E"/>
    <w:rsid w:val="00E90173"/>
    <w:rsid w:val="00E90395"/>
    <w:rsid w:val="00E9048A"/>
    <w:rsid w:val="00E90621"/>
    <w:rsid w:val="00E90797"/>
    <w:rsid w:val="00E915E6"/>
    <w:rsid w:val="00E91856"/>
    <w:rsid w:val="00E92128"/>
    <w:rsid w:val="00E92806"/>
    <w:rsid w:val="00E9297D"/>
    <w:rsid w:val="00E92BF6"/>
    <w:rsid w:val="00E92D6E"/>
    <w:rsid w:val="00E92FB3"/>
    <w:rsid w:val="00E934C4"/>
    <w:rsid w:val="00E93C05"/>
    <w:rsid w:val="00E941B1"/>
    <w:rsid w:val="00E94767"/>
    <w:rsid w:val="00E94B37"/>
    <w:rsid w:val="00E94D28"/>
    <w:rsid w:val="00E9522D"/>
    <w:rsid w:val="00E95A52"/>
    <w:rsid w:val="00E95BE5"/>
    <w:rsid w:val="00E96154"/>
    <w:rsid w:val="00E962B3"/>
    <w:rsid w:val="00E96629"/>
    <w:rsid w:val="00E966F1"/>
    <w:rsid w:val="00E968B8"/>
    <w:rsid w:val="00E96CBC"/>
    <w:rsid w:val="00E979C6"/>
    <w:rsid w:val="00E97A75"/>
    <w:rsid w:val="00EA0197"/>
    <w:rsid w:val="00EA0266"/>
    <w:rsid w:val="00EA0F44"/>
    <w:rsid w:val="00EA10C4"/>
    <w:rsid w:val="00EA15A0"/>
    <w:rsid w:val="00EA16AC"/>
    <w:rsid w:val="00EA17BE"/>
    <w:rsid w:val="00EA20C9"/>
    <w:rsid w:val="00EA20E6"/>
    <w:rsid w:val="00EA2206"/>
    <w:rsid w:val="00EA2699"/>
    <w:rsid w:val="00EA2A93"/>
    <w:rsid w:val="00EA2B41"/>
    <w:rsid w:val="00EA2EA9"/>
    <w:rsid w:val="00EA3AA2"/>
    <w:rsid w:val="00EA3E21"/>
    <w:rsid w:val="00EA41A8"/>
    <w:rsid w:val="00EA4276"/>
    <w:rsid w:val="00EA4BAE"/>
    <w:rsid w:val="00EA51A2"/>
    <w:rsid w:val="00EA51EF"/>
    <w:rsid w:val="00EA54F9"/>
    <w:rsid w:val="00EA5581"/>
    <w:rsid w:val="00EA5AF6"/>
    <w:rsid w:val="00EA5B46"/>
    <w:rsid w:val="00EA622B"/>
    <w:rsid w:val="00EA655A"/>
    <w:rsid w:val="00EA6A89"/>
    <w:rsid w:val="00EA73DA"/>
    <w:rsid w:val="00EA78B8"/>
    <w:rsid w:val="00EA7BA4"/>
    <w:rsid w:val="00EB0553"/>
    <w:rsid w:val="00EB0691"/>
    <w:rsid w:val="00EB06EE"/>
    <w:rsid w:val="00EB0AFE"/>
    <w:rsid w:val="00EB0F0A"/>
    <w:rsid w:val="00EB11F4"/>
    <w:rsid w:val="00EB143B"/>
    <w:rsid w:val="00EB19E8"/>
    <w:rsid w:val="00EB1A56"/>
    <w:rsid w:val="00EB1C86"/>
    <w:rsid w:val="00EB1DD5"/>
    <w:rsid w:val="00EB1F4D"/>
    <w:rsid w:val="00EB1FAE"/>
    <w:rsid w:val="00EB2538"/>
    <w:rsid w:val="00EB29DD"/>
    <w:rsid w:val="00EB2AB3"/>
    <w:rsid w:val="00EB3DCA"/>
    <w:rsid w:val="00EB46E7"/>
    <w:rsid w:val="00EB4CCC"/>
    <w:rsid w:val="00EB4EB6"/>
    <w:rsid w:val="00EB4EFD"/>
    <w:rsid w:val="00EB5022"/>
    <w:rsid w:val="00EB50FE"/>
    <w:rsid w:val="00EB5247"/>
    <w:rsid w:val="00EB541E"/>
    <w:rsid w:val="00EB5B9E"/>
    <w:rsid w:val="00EB5EEA"/>
    <w:rsid w:val="00EB6B45"/>
    <w:rsid w:val="00EB760D"/>
    <w:rsid w:val="00EB7648"/>
    <w:rsid w:val="00EB76EA"/>
    <w:rsid w:val="00EB7B41"/>
    <w:rsid w:val="00EB7F2C"/>
    <w:rsid w:val="00EC0002"/>
    <w:rsid w:val="00EC0B85"/>
    <w:rsid w:val="00EC16E0"/>
    <w:rsid w:val="00EC18FC"/>
    <w:rsid w:val="00EC2472"/>
    <w:rsid w:val="00EC2585"/>
    <w:rsid w:val="00EC2A42"/>
    <w:rsid w:val="00EC33E5"/>
    <w:rsid w:val="00EC33FE"/>
    <w:rsid w:val="00EC3589"/>
    <w:rsid w:val="00EC394F"/>
    <w:rsid w:val="00EC42B7"/>
    <w:rsid w:val="00EC4978"/>
    <w:rsid w:val="00EC4CF0"/>
    <w:rsid w:val="00EC4E98"/>
    <w:rsid w:val="00EC4F7C"/>
    <w:rsid w:val="00EC51CB"/>
    <w:rsid w:val="00EC61DC"/>
    <w:rsid w:val="00EC61EC"/>
    <w:rsid w:val="00EC6200"/>
    <w:rsid w:val="00EC6579"/>
    <w:rsid w:val="00EC66CC"/>
    <w:rsid w:val="00EC6B3F"/>
    <w:rsid w:val="00EC7078"/>
    <w:rsid w:val="00EC711E"/>
    <w:rsid w:val="00EC7178"/>
    <w:rsid w:val="00EC746A"/>
    <w:rsid w:val="00EC746D"/>
    <w:rsid w:val="00EC7B23"/>
    <w:rsid w:val="00EC7CCC"/>
    <w:rsid w:val="00EC7D04"/>
    <w:rsid w:val="00EC7DFE"/>
    <w:rsid w:val="00ED000C"/>
    <w:rsid w:val="00ED046F"/>
    <w:rsid w:val="00ED167C"/>
    <w:rsid w:val="00ED1700"/>
    <w:rsid w:val="00ED1786"/>
    <w:rsid w:val="00ED19FB"/>
    <w:rsid w:val="00ED23BC"/>
    <w:rsid w:val="00ED2797"/>
    <w:rsid w:val="00ED2962"/>
    <w:rsid w:val="00ED31AD"/>
    <w:rsid w:val="00ED364B"/>
    <w:rsid w:val="00ED3A16"/>
    <w:rsid w:val="00ED3A6F"/>
    <w:rsid w:val="00ED439D"/>
    <w:rsid w:val="00ED456E"/>
    <w:rsid w:val="00ED45ED"/>
    <w:rsid w:val="00ED53BC"/>
    <w:rsid w:val="00ED5581"/>
    <w:rsid w:val="00ED5E96"/>
    <w:rsid w:val="00ED64C5"/>
    <w:rsid w:val="00ED6822"/>
    <w:rsid w:val="00ED6E04"/>
    <w:rsid w:val="00ED6E6B"/>
    <w:rsid w:val="00ED7158"/>
    <w:rsid w:val="00ED74C7"/>
    <w:rsid w:val="00ED79EE"/>
    <w:rsid w:val="00ED7DE0"/>
    <w:rsid w:val="00ED7F12"/>
    <w:rsid w:val="00EE010D"/>
    <w:rsid w:val="00EE0147"/>
    <w:rsid w:val="00EE1420"/>
    <w:rsid w:val="00EE18AD"/>
    <w:rsid w:val="00EE193C"/>
    <w:rsid w:val="00EE19E4"/>
    <w:rsid w:val="00EE1CBA"/>
    <w:rsid w:val="00EE1D6C"/>
    <w:rsid w:val="00EE2312"/>
    <w:rsid w:val="00EE2717"/>
    <w:rsid w:val="00EE2B5A"/>
    <w:rsid w:val="00EE34E3"/>
    <w:rsid w:val="00EE350A"/>
    <w:rsid w:val="00EE3935"/>
    <w:rsid w:val="00EE39CC"/>
    <w:rsid w:val="00EE3DBD"/>
    <w:rsid w:val="00EE40B5"/>
    <w:rsid w:val="00EE410E"/>
    <w:rsid w:val="00EE43F3"/>
    <w:rsid w:val="00EE5944"/>
    <w:rsid w:val="00EE6C47"/>
    <w:rsid w:val="00EE6C6C"/>
    <w:rsid w:val="00EE6F7A"/>
    <w:rsid w:val="00EE6FC7"/>
    <w:rsid w:val="00EE7501"/>
    <w:rsid w:val="00EE7ABD"/>
    <w:rsid w:val="00EF03ED"/>
    <w:rsid w:val="00EF05A1"/>
    <w:rsid w:val="00EF0689"/>
    <w:rsid w:val="00EF0B86"/>
    <w:rsid w:val="00EF0E8E"/>
    <w:rsid w:val="00EF1115"/>
    <w:rsid w:val="00EF147C"/>
    <w:rsid w:val="00EF1A10"/>
    <w:rsid w:val="00EF1DDE"/>
    <w:rsid w:val="00EF25C9"/>
    <w:rsid w:val="00EF31BD"/>
    <w:rsid w:val="00EF370E"/>
    <w:rsid w:val="00EF3BF6"/>
    <w:rsid w:val="00EF3F3B"/>
    <w:rsid w:val="00EF4890"/>
    <w:rsid w:val="00EF4C4F"/>
    <w:rsid w:val="00EF4DF5"/>
    <w:rsid w:val="00EF4E4F"/>
    <w:rsid w:val="00EF532A"/>
    <w:rsid w:val="00EF5649"/>
    <w:rsid w:val="00EF5F4E"/>
    <w:rsid w:val="00EF614E"/>
    <w:rsid w:val="00EF69F0"/>
    <w:rsid w:val="00EF6CE9"/>
    <w:rsid w:val="00EF741F"/>
    <w:rsid w:val="00EF76FD"/>
    <w:rsid w:val="00EF780B"/>
    <w:rsid w:val="00EF7E3F"/>
    <w:rsid w:val="00EF7F1C"/>
    <w:rsid w:val="00F00119"/>
    <w:rsid w:val="00F010D8"/>
    <w:rsid w:val="00F01ABA"/>
    <w:rsid w:val="00F01FF9"/>
    <w:rsid w:val="00F02645"/>
    <w:rsid w:val="00F02836"/>
    <w:rsid w:val="00F02A26"/>
    <w:rsid w:val="00F02A2D"/>
    <w:rsid w:val="00F02AAB"/>
    <w:rsid w:val="00F02F8E"/>
    <w:rsid w:val="00F03660"/>
    <w:rsid w:val="00F03EB5"/>
    <w:rsid w:val="00F040F3"/>
    <w:rsid w:val="00F042A6"/>
    <w:rsid w:val="00F043CA"/>
    <w:rsid w:val="00F04A7F"/>
    <w:rsid w:val="00F04BE7"/>
    <w:rsid w:val="00F0517A"/>
    <w:rsid w:val="00F05B85"/>
    <w:rsid w:val="00F05C5C"/>
    <w:rsid w:val="00F06506"/>
    <w:rsid w:val="00F0654D"/>
    <w:rsid w:val="00F06553"/>
    <w:rsid w:val="00F065A4"/>
    <w:rsid w:val="00F06CE3"/>
    <w:rsid w:val="00F06E3D"/>
    <w:rsid w:val="00F0715E"/>
    <w:rsid w:val="00F07212"/>
    <w:rsid w:val="00F072F6"/>
    <w:rsid w:val="00F07419"/>
    <w:rsid w:val="00F076F3"/>
    <w:rsid w:val="00F077D9"/>
    <w:rsid w:val="00F07E8A"/>
    <w:rsid w:val="00F103B1"/>
    <w:rsid w:val="00F104CA"/>
    <w:rsid w:val="00F10EF2"/>
    <w:rsid w:val="00F10F1A"/>
    <w:rsid w:val="00F11025"/>
    <w:rsid w:val="00F11330"/>
    <w:rsid w:val="00F11A42"/>
    <w:rsid w:val="00F121C1"/>
    <w:rsid w:val="00F121F2"/>
    <w:rsid w:val="00F12AB9"/>
    <w:rsid w:val="00F13160"/>
    <w:rsid w:val="00F13180"/>
    <w:rsid w:val="00F139EE"/>
    <w:rsid w:val="00F144AF"/>
    <w:rsid w:val="00F14682"/>
    <w:rsid w:val="00F14863"/>
    <w:rsid w:val="00F14A9D"/>
    <w:rsid w:val="00F14CD8"/>
    <w:rsid w:val="00F1511E"/>
    <w:rsid w:val="00F16107"/>
    <w:rsid w:val="00F1628F"/>
    <w:rsid w:val="00F16441"/>
    <w:rsid w:val="00F1693A"/>
    <w:rsid w:val="00F16A70"/>
    <w:rsid w:val="00F16A8D"/>
    <w:rsid w:val="00F16B84"/>
    <w:rsid w:val="00F17148"/>
    <w:rsid w:val="00F17544"/>
    <w:rsid w:val="00F17550"/>
    <w:rsid w:val="00F17842"/>
    <w:rsid w:val="00F17D43"/>
    <w:rsid w:val="00F17E27"/>
    <w:rsid w:val="00F202DD"/>
    <w:rsid w:val="00F20399"/>
    <w:rsid w:val="00F20527"/>
    <w:rsid w:val="00F205BC"/>
    <w:rsid w:val="00F20F77"/>
    <w:rsid w:val="00F211E6"/>
    <w:rsid w:val="00F2123E"/>
    <w:rsid w:val="00F21285"/>
    <w:rsid w:val="00F217A5"/>
    <w:rsid w:val="00F21904"/>
    <w:rsid w:val="00F220A4"/>
    <w:rsid w:val="00F226A9"/>
    <w:rsid w:val="00F227D0"/>
    <w:rsid w:val="00F2290E"/>
    <w:rsid w:val="00F2299D"/>
    <w:rsid w:val="00F22FD1"/>
    <w:rsid w:val="00F2346C"/>
    <w:rsid w:val="00F235E4"/>
    <w:rsid w:val="00F238FB"/>
    <w:rsid w:val="00F23F77"/>
    <w:rsid w:val="00F24760"/>
    <w:rsid w:val="00F24858"/>
    <w:rsid w:val="00F249F2"/>
    <w:rsid w:val="00F24A74"/>
    <w:rsid w:val="00F2514B"/>
    <w:rsid w:val="00F252E2"/>
    <w:rsid w:val="00F25BB9"/>
    <w:rsid w:val="00F2607C"/>
    <w:rsid w:val="00F2654C"/>
    <w:rsid w:val="00F2693E"/>
    <w:rsid w:val="00F26CC7"/>
    <w:rsid w:val="00F26F61"/>
    <w:rsid w:val="00F2782E"/>
    <w:rsid w:val="00F27EBF"/>
    <w:rsid w:val="00F30038"/>
    <w:rsid w:val="00F30064"/>
    <w:rsid w:val="00F3012B"/>
    <w:rsid w:val="00F3053A"/>
    <w:rsid w:val="00F306CB"/>
    <w:rsid w:val="00F30756"/>
    <w:rsid w:val="00F30D5C"/>
    <w:rsid w:val="00F30EB4"/>
    <w:rsid w:val="00F31B5B"/>
    <w:rsid w:val="00F31C2F"/>
    <w:rsid w:val="00F31EA6"/>
    <w:rsid w:val="00F324CC"/>
    <w:rsid w:val="00F32E7F"/>
    <w:rsid w:val="00F330D0"/>
    <w:rsid w:val="00F338BD"/>
    <w:rsid w:val="00F33BE5"/>
    <w:rsid w:val="00F33BEA"/>
    <w:rsid w:val="00F341AB"/>
    <w:rsid w:val="00F3432A"/>
    <w:rsid w:val="00F3552F"/>
    <w:rsid w:val="00F35D02"/>
    <w:rsid w:val="00F35EDD"/>
    <w:rsid w:val="00F362CA"/>
    <w:rsid w:val="00F370CD"/>
    <w:rsid w:val="00F37853"/>
    <w:rsid w:val="00F37DD0"/>
    <w:rsid w:val="00F40131"/>
    <w:rsid w:val="00F401AE"/>
    <w:rsid w:val="00F40273"/>
    <w:rsid w:val="00F40BFF"/>
    <w:rsid w:val="00F40C60"/>
    <w:rsid w:val="00F40DF2"/>
    <w:rsid w:val="00F40F52"/>
    <w:rsid w:val="00F41528"/>
    <w:rsid w:val="00F41535"/>
    <w:rsid w:val="00F4184E"/>
    <w:rsid w:val="00F41CD6"/>
    <w:rsid w:val="00F420ED"/>
    <w:rsid w:val="00F42699"/>
    <w:rsid w:val="00F426E5"/>
    <w:rsid w:val="00F42780"/>
    <w:rsid w:val="00F42B2F"/>
    <w:rsid w:val="00F43553"/>
    <w:rsid w:val="00F44078"/>
    <w:rsid w:val="00F442DB"/>
    <w:rsid w:val="00F44574"/>
    <w:rsid w:val="00F4505B"/>
    <w:rsid w:val="00F45154"/>
    <w:rsid w:val="00F45E83"/>
    <w:rsid w:val="00F462E1"/>
    <w:rsid w:val="00F46356"/>
    <w:rsid w:val="00F46608"/>
    <w:rsid w:val="00F46848"/>
    <w:rsid w:val="00F4685D"/>
    <w:rsid w:val="00F4686B"/>
    <w:rsid w:val="00F46B47"/>
    <w:rsid w:val="00F46F8F"/>
    <w:rsid w:val="00F47DED"/>
    <w:rsid w:val="00F47E4C"/>
    <w:rsid w:val="00F506C6"/>
    <w:rsid w:val="00F5094E"/>
    <w:rsid w:val="00F50963"/>
    <w:rsid w:val="00F50972"/>
    <w:rsid w:val="00F509F2"/>
    <w:rsid w:val="00F510F5"/>
    <w:rsid w:val="00F51382"/>
    <w:rsid w:val="00F51B6A"/>
    <w:rsid w:val="00F52A69"/>
    <w:rsid w:val="00F52D80"/>
    <w:rsid w:val="00F53028"/>
    <w:rsid w:val="00F5316F"/>
    <w:rsid w:val="00F5325A"/>
    <w:rsid w:val="00F53347"/>
    <w:rsid w:val="00F538E1"/>
    <w:rsid w:val="00F539AD"/>
    <w:rsid w:val="00F53FB6"/>
    <w:rsid w:val="00F54F2D"/>
    <w:rsid w:val="00F5570C"/>
    <w:rsid w:val="00F55712"/>
    <w:rsid w:val="00F559C9"/>
    <w:rsid w:val="00F55AB8"/>
    <w:rsid w:val="00F55B0C"/>
    <w:rsid w:val="00F55BDB"/>
    <w:rsid w:val="00F56C04"/>
    <w:rsid w:val="00F56F6D"/>
    <w:rsid w:val="00F570DD"/>
    <w:rsid w:val="00F60479"/>
    <w:rsid w:val="00F60679"/>
    <w:rsid w:val="00F6073E"/>
    <w:rsid w:val="00F609D1"/>
    <w:rsid w:val="00F60A83"/>
    <w:rsid w:val="00F61364"/>
    <w:rsid w:val="00F616C4"/>
    <w:rsid w:val="00F617E2"/>
    <w:rsid w:val="00F618AD"/>
    <w:rsid w:val="00F61900"/>
    <w:rsid w:val="00F61B6D"/>
    <w:rsid w:val="00F62287"/>
    <w:rsid w:val="00F623EB"/>
    <w:rsid w:val="00F6268C"/>
    <w:rsid w:val="00F6294E"/>
    <w:rsid w:val="00F62970"/>
    <w:rsid w:val="00F62A73"/>
    <w:rsid w:val="00F631D0"/>
    <w:rsid w:val="00F6320C"/>
    <w:rsid w:val="00F63293"/>
    <w:rsid w:val="00F640EB"/>
    <w:rsid w:val="00F643E4"/>
    <w:rsid w:val="00F64878"/>
    <w:rsid w:val="00F64F30"/>
    <w:rsid w:val="00F6561A"/>
    <w:rsid w:val="00F65777"/>
    <w:rsid w:val="00F66084"/>
    <w:rsid w:val="00F660D1"/>
    <w:rsid w:val="00F665A7"/>
    <w:rsid w:val="00F66CF3"/>
    <w:rsid w:val="00F66F1B"/>
    <w:rsid w:val="00F6709D"/>
    <w:rsid w:val="00F67233"/>
    <w:rsid w:val="00F6738B"/>
    <w:rsid w:val="00F67873"/>
    <w:rsid w:val="00F67995"/>
    <w:rsid w:val="00F67BED"/>
    <w:rsid w:val="00F700BF"/>
    <w:rsid w:val="00F701AB"/>
    <w:rsid w:val="00F70262"/>
    <w:rsid w:val="00F7050E"/>
    <w:rsid w:val="00F70616"/>
    <w:rsid w:val="00F70A66"/>
    <w:rsid w:val="00F70B39"/>
    <w:rsid w:val="00F70F9D"/>
    <w:rsid w:val="00F71241"/>
    <w:rsid w:val="00F7130C"/>
    <w:rsid w:val="00F71592"/>
    <w:rsid w:val="00F71823"/>
    <w:rsid w:val="00F71EC6"/>
    <w:rsid w:val="00F71FF6"/>
    <w:rsid w:val="00F7201B"/>
    <w:rsid w:val="00F7271D"/>
    <w:rsid w:val="00F72879"/>
    <w:rsid w:val="00F72A13"/>
    <w:rsid w:val="00F72A21"/>
    <w:rsid w:val="00F72F2D"/>
    <w:rsid w:val="00F7408C"/>
    <w:rsid w:val="00F74C85"/>
    <w:rsid w:val="00F74E74"/>
    <w:rsid w:val="00F74F29"/>
    <w:rsid w:val="00F75032"/>
    <w:rsid w:val="00F750DC"/>
    <w:rsid w:val="00F752AF"/>
    <w:rsid w:val="00F7589E"/>
    <w:rsid w:val="00F75A72"/>
    <w:rsid w:val="00F75B7C"/>
    <w:rsid w:val="00F76480"/>
    <w:rsid w:val="00F76838"/>
    <w:rsid w:val="00F768E2"/>
    <w:rsid w:val="00F76A39"/>
    <w:rsid w:val="00F76D27"/>
    <w:rsid w:val="00F76DA2"/>
    <w:rsid w:val="00F77A18"/>
    <w:rsid w:val="00F77C02"/>
    <w:rsid w:val="00F77E10"/>
    <w:rsid w:val="00F807E0"/>
    <w:rsid w:val="00F809ED"/>
    <w:rsid w:val="00F80BD6"/>
    <w:rsid w:val="00F80D27"/>
    <w:rsid w:val="00F80F3E"/>
    <w:rsid w:val="00F81027"/>
    <w:rsid w:val="00F8139F"/>
    <w:rsid w:val="00F81740"/>
    <w:rsid w:val="00F817F1"/>
    <w:rsid w:val="00F81934"/>
    <w:rsid w:val="00F81A60"/>
    <w:rsid w:val="00F822ED"/>
    <w:rsid w:val="00F82410"/>
    <w:rsid w:val="00F82CFD"/>
    <w:rsid w:val="00F834E8"/>
    <w:rsid w:val="00F8356C"/>
    <w:rsid w:val="00F83B25"/>
    <w:rsid w:val="00F84A52"/>
    <w:rsid w:val="00F84C9D"/>
    <w:rsid w:val="00F84F85"/>
    <w:rsid w:val="00F855A5"/>
    <w:rsid w:val="00F859C5"/>
    <w:rsid w:val="00F85AAE"/>
    <w:rsid w:val="00F85AC7"/>
    <w:rsid w:val="00F85F17"/>
    <w:rsid w:val="00F867D9"/>
    <w:rsid w:val="00F868F6"/>
    <w:rsid w:val="00F86EDD"/>
    <w:rsid w:val="00F875F4"/>
    <w:rsid w:val="00F879E5"/>
    <w:rsid w:val="00F87B04"/>
    <w:rsid w:val="00F87CA4"/>
    <w:rsid w:val="00F87DEB"/>
    <w:rsid w:val="00F906A4"/>
    <w:rsid w:val="00F90737"/>
    <w:rsid w:val="00F90C2A"/>
    <w:rsid w:val="00F91445"/>
    <w:rsid w:val="00F91517"/>
    <w:rsid w:val="00F91A24"/>
    <w:rsid w:val="00F91B3F"/>
    <w:rsid w:val="00F91FB7"/>
    <w:rsid w:val="00F92485"/>
    <w:rsid w:val="00F926CD"/>
    <w:rsid w:val="00F92A7B"/>
    <w:rsid w:val="00F92B4F"/>
    <w:rsid w:val="00F93EBA"/>
    <w:rsid w:val="00F94033"/>
    <w:rsid w:val="00F941A5"/>
    <w:rsid w:val="00F944D4"/>
    <w:rsid w:val="00F94873"/>
    <w:rsid w:val="00F94DFB"/>
    <w:rsid w:val="00F95040"/>
    <w:rsid w:val="00F95925"/>
    <w:rsid w:val="00F95AF1"/>
    <w:rsid w:val="00F9628F"/>
    <w:rsid w:val="00F9638F"/>
    <w:rsid w:val="00F974B7"/>
    <w:rsid w:val="00F9753D"/>
    <w:rsid w:val="00F97855"/>
    <w:rsid w:val="00F97AE3"/>
    <w:rsid w:val="00FA1581"/>
    <w:rsid w:val="00FA164A"/>
    <w:rsid w:val="00FA1C2B"/>
    <w:rsid w:val="00FA2052"/>
    <w:rsid w:val="00FA20D4"/>
    <w:rsid w:val="00FA2433"/>
    <w:rsid w:val="00FA26E7"/>
    <w:rsid w:val="00FA341C"/>
    <w:rsid w:val="00FA34C0"/>
    <w:rsid w:val="00FA3864"/>
    <w:rsid w:val="00FA4147"/>
    <w:rsid w:val="00FA42FC"/>
    <w:rsid w:val="00FA435F"/>
    <w:rsid w:val="00FA450C"/>
    <w:rsid w:val="00FA4E29"/>
    <w:rsid w:val="00FA51EA"/>
    <w:rsid w:val="00FA51F4"/>
    <w:rsid w:val="00FA56B5"/>
    <w:rsid w:val="00FA5BA4"/>
    <w:rsid w:val="00FA62EC"/>
    <w:rsid w:val="00FA63B1"/>
    <w:rsid w:val="00FA6F5A"/>
    <w:rsid w:val="00FA7015"/>
    <w:rsid w:val="00FA7238"/>
    <w:rsid w:val="00FA74C7"/>
    <w:rsid w:val="00FA7A03"/>
    <w:rsid w:val="00FA7C5A"/>
    <w:rsid w:val="00FA7CA7"/>
    <w:rsid w:val="00FA7DBB"/>
    <w:rsid w:val="00FB0A68"/>
    <w:rsid w:val="00FB0DC2"/>
    <w:rsid w:val="00FB0DF6"/>
    <w:rsid w:val="00FB0FAC"/>
    <w:rsid w:val="00FB14CC"/>
    <w:rsid w:val="00FB1942"/>
    <w:rsid w:val="00FB1BFB"/>
    <w:rsid w:val="00FB29E9"/>
    <w:rsid w:val="00FB2BCA"/>
    <w:rsid w:val="00FB328E"/>
    <w:rsid w:val="00FB334E"/>
    <w:rsid w:val="00FB33A7"/>
    <w:rsid w:val="00FB33EF"/>
    <w:rsid w:val="00FB389B"/>
    <w:rsid w:val="00FB3EF3"/>
    <w:rsid w:val="00FB4598"/>
    <w:rsid w:val="00FB462D"/>
    <w:rsid w:val="00FB4AA3"/>
    <w:rsid w:val="00FB4E0F"/>
    <w:rsid w:val="00FB4FA1"/>
    <w:rsid w:val="00FB55B7"/>
    <w:rsid w:val="00FB59A8"/>
    <w:rsid w:val="00FB5E99"/>
    <w:rsid w:val="00FB6654"/>
    <w:rsid w:val="00FB67AF"/>
    <w:rsid w:val="00FB6A40"/>
    <w:rsid w:val="00FB724A"/>
    <w:rsid w:val="00FB7BF7"/>
    <w:rsid w:val="00FC0580"/>
    <w:rsid w:val="00FC09A7"/>
    <w:rsid w:val="00FC0A25"/>
    <w:rsid w:val="00FC10EE"/>
    <w:rsid w:val="00FC1A71"/>
    <w:rsid w:val="00FC1CC3"/>
    <w:rsid w:val="00FC1D8A"/>
    <w:rsid w:val="00FC235C"/>
    <w:rsid w:val="00FC2433"/>
    <w:rsid w:val="00FC336F"/>
    <w:rsid w:val="00FC3DE1"/>
    <w:rsid w:val="00FC4094"/>
    <w:rsid w:val="00FC4D3B"/>
    <w:rsid w:val="00FC50BD"/>
    <w:rsid w:val="00FC56BE"/>
    <w:rsid w:val="00FC627A"/>
    <w:rsid w:val="00FC6456"/>
    <w:rsid w:val="00FC7356"/>
    <w:rsid w:val="00FC77B4"/>
    <w:rsid w:val="00FC7889"/>
    <w:rsid w:val="00FC7F3C"/>
    <w:rsid w:val="00FD03D2"/>
    <w:rsid w:val="00FD0576"/>
    <w:rsid w:val="00FD064A"/>
    <w:rsid w:val="00FD0709"/>
    <w:rsid w:val="00FD0AE3"/>
    <w:rsid w:val="00FD1467"/>
    <w:rsid w:val="00FD150A"/>
    <w:rsid w:val="00FD151A"/>
    <w:rsid w:val="00FD181F"/>
    <w:rsid w:val="00FD19C8"/>
    <w:rsid w:val="00FD1B65"/>
    <w:rsid w:val="00FD23B7"/>
    <w:rsid w:val="00FD2857"/>
    <w:rsid w:val="00FD2C8E"/>
    <w:rsid w:val="00FD2D0C"/>
    <w:rsid w:val="00FD2DDB"/>
    <w:rsid w:val="00FD3409"/>
    <w:rsid w:val="00FD3811"/>
    <w:rsid w:val="00FD381E"/>
    <w:rsid w:val="00FD466C"/>
    <w:rsid w:val="00FD4836"/>
    <w:rsid w:val="00FD4EC3"/>
    <w:rsid w:val="00FD53F8"/>
    <w:rsid w:val="00FD5675"/>
    <w:rsid w:val="00FD577D"/>
    <w:rsid w:val="00FD58C6"/>
    <w:rsid w:val="00FD5A5A"/>
    <w:rsid w:val="00FD5C23"/>
    <w:rsid w:val="00FD5CF3"/>
    <w:rsid w:val="00FD5F47"/>
    <w:rsid w:val="00FD604A"/>
    <w:rsid w:val="00FD60FA"/>
    <w:rsid w:val="00FD66B2"/>
    <w:rsid w:val="00FD7182"/>
    <w:rsid w:val="00FD7303"/>
    <w:rsid w:val="00FD7456"/>
    <w:rsid w:val="00FD79BB"/>
    <w:rsid w:val="00FD7CDF"/>
    <w:rsid w:val="00FE0040"/>
    <w:rsid w:val="00FE0127"/>
    <w:rsid w:val="00FE0237"/>
    <w:rsid w:val="00FE08E4"/>
    <w:rsid w:val="00FE1CD9"/>
    <w:rsid w:val="00FE1FE2"/>
    <w:rsid w:val="00FE219F"/>
    <w:rsid w:val="00FE2E63"/>
    <w:rsid w:val="00FE3101"/>
    <w:rsid w:val="00FE3342"/>
    <w:rsid w:val="00FE338E"/>
    <w:rsid w:val="00FE3566"/>
    <w:rsid w:val="00FE3CC1"/>
    <w:rsid w:val="00FE3F28"/>
    <w:rsid w:val="00FE4265"/>
    <w:rsid w:val="00FE4BFB"/>
    <w:rsid w:val="00FE524F"/>
    <w:rsid w:val="00FE52DE"/>
    <w:rsid w:val="00FE5335"/>
    <w:rsid w:val="00FE54FC"/>
    <w:rsid w:val="00FE586E"/>
    <w:rsid w:val="00FE590C"/>
    <w:rsid w:val="00FE5E2F"/>
    <w:rsid w:val="00FE611E"/>
    <w:rsid w:val="00FE6323"/>
    <w:rsid w:val="00FE6CB7"/>
    <w:rsid w:val="00FE6EFD"/>
    <w:rsid w:val="00FE6F36"/>
    <w:rsid w:val="00FE74BE"/>
    <w:rsid w:val="00FE7E19"/>
    <w:rsid w:val="00FE7F56"/>
    <w:rsid w:val="00FF008E"/>
    <w:rsid w:val="00FF00FE"/>
    <w:rsid w:val="00FF01B5"/>
    <w:rsid w:val="00FF03F2"/>
    <w:rsid w:val="00FF05EC"/>
    <w:rsid w:val="00FF06C3"/>
    <w:rsid w:val="00FF10CA"/>
    <w:rsid w:val="00FF1654"/>
    <w:rsid w:val="00FF176B"/>
    <w:rsid w:val="00FF2B1E"/>
    <w:rsid w:val="00FF2B8F"/>
    <w:rsid w:val="00FF2F45"/>
    <w:rsid w:val="00FF320D"/>
    <w:rsid w:val="00FF364A"/>
    <w:rsid w:val="00FF3E6A"/>
    <w:rsid w:val="00FF3F65"/>
    <w:rsid w:val="00FF42AF"/>
    <w:rsid w:val="00FF457A"/>
    <w:rsid w:val="00FF4AE4"/>
    <w:rsid w:val="00FF4EA5"/>
    <w:rsid w:val="00FF57CC"/>
    <w:rsid w:val="00FF5CA7"/>
    <w:rsid w:val="00FF639A"/>
    <w:rsid w:val="00FF6A14"/>
    <w:rsid w:val="00FF6A3A"/>
    <w:rsid w:val="00FF6C80"/>
    <w:rsid w:val="00FF71C1"/>
    <w:rsid w:val="00FF76A4"/>
    <w:rsid w:val="00FF7923"/>
    <w:rsid w:val="00FF7D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FE"/>
    <w:pPr>
      <w:spacing w:after="100" w:line="400" w:lineRule="exact"/>
      <w:jc w:val="both"/>
    </w:pPr>
    <w:rPr>
      <w:rFonts w:ascii="Century Schoolbook" w:hAnsi="Century Schoolbook"/>
      <w:sz w:val="27"/>
    </w:rPr>
  </w:style>
  <w:style w:type="paragraph" w:styleId="Heading1">
    <w:name w:val="heading 1"/>
    <w:basedOn w:val="Normal"/>
    <w:next w:val="Normal"/>
    <w:qFormat/>
    <w:rsid w:val="00EB50FE"/>
    <w:pPr>
      <w:keepNext/>
      <w:spacing w:before="140" w:line="240" w:lineRule="atLeast"/>
      <w:jc w:val="center"/>
      <w:outlineLvl w:val="0"/>
    </w:pPr>
    <w:rPr>
      <w:b/>
      <w:smallCaps/>
    </w:rPr>
  </w:style>
  <w:style w:type="paragraph" w:styleId="Heading2">
    <w:name w:val="heading 2"/>
    <w:basedOn w:val="Normal"/>
    <w:next w:val="Normal"/>
    <w:qFormat/>
    <w:rsid w:val="00EB50F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B50FE"/>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EB50FE"/>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EB50F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B50FE"/>
    <w:pPr>
      <w:ind w:left="720"/>
    </w:pPr>
  </w:style>
  <w:style w:type="paragraph" w:styleId="Footer">
    <w:name w:val="footer"/>
    <w:basedOn w:val="Normal"/>
    <w:qFormat/>
    <w:rsid w:val="00EB50FE"/>
    <w:pPr>
      <w:tabs>
        <w:tab w:val="center" w:pos="3960"/>
        <w:tab w:val="right" w:pos="10080"/>
      </w:tabs>
      <w:spacing w:after="0" w:line="240" w:lineRule="auto"/>
      <w:jc w:val="center"/>
    </w:pPr>
    <w:rPr>
      <w:sz w:val="22"/>
    </w:rPr>
  </w:style>
  <w:style w:type="paragraph" w:styleId="Header">
    <w:name w:val="header"/>
    <w:basedOn w:val="Normal"/>
    <w:qFormat/>
    <w:rsid w:val="00EB50FE"/>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EB50FE"/>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EB50FE"/>
    <w:pPr>
      <w:spacing w:line="300" w:lineRule="exact"/>
    </w:pPr>
  </w:style>
  <w:style w:type="paragraph" w:customStyle="1" w:styleId="Title1">
    <w:name w:val="Title1"/>
    <w:basedOn w:val="Normal"/>
    <w:rsid w:val="00EB50FE"/>
    <w:pPr>
      <w:tabs>
        <w:tab w:val="left" w:pos="5760"/>
        <w:tab w:val="left" w:pos="6480"/>
      </w:tabs>
      <w:spacing w:line="240" w:lineRule="atLeast"/>
    </w:pPr>
  </w:style>
  <w:style w:type="paragraph" w:customStyle="1" w:styleId="Recommend">
    <w:name w:val="Recommend"/>
    <w:basedOn w:val="Normal"/>
    <w:rsid w:val="00EB50FE"/>
  </w:style>
  <w:style w:type="paragraph" w:customStyle="1" w:styleId="Summary">
    <w:name w:val="Summary"/>
    <w:basedOn w:val="Normal"/>
    <w:rsid w:val="00EB50FE"/>
    <w:pPr>
      <w:ind w:left="2160" w:hanging="2160"/>
    </w:pPr>
  </w:style>
  <w:style w:type="paragraph" w:customStyle="1" w:styleId="Text">
    <w:name w:val="Text"/>
    <w:basedOn w:val="Normal"/>
    <w:rsid w:val="00EB50FE"/>
    <w:pPr>
      <w:tabs>
        <w:tab w:val="left" w:pos="720"/>
        <w:tab w:val="left" w:pos="1440"/>
        <w:tab w:val="left" w:pos="2160"/>
        <w:tab w:val="center" w:pos="4320"/>
      </w:tabs>
      <w:spacing w:line="480" w:lineRule="atLeast"/>
      <w:ind w:firstLine="540"/>
    </w:pPr>
  </w:style>
  <w:style w:type="paragraph" w:styleId="Date">
    <w:name w:val="Date"/>
    <w:basedOn w:val="Normal"/>
    <w:semiHidden/>
    <w:rsid w:val="00EB50FE"/>
    <w:pPr>
      <w:jc w:val="right"/>
    </w:pPr>
  </w:style>
  <w:style w:type="character" w:styleId="PageNumber">
    <w:name w:val="page number"/>
    <w:basedOn w:val="DefaultParagraphFont"/>
    <w:semiHidden/>
    <w:rsid w:val="00EB50FE"/>
  </w:style>
  <w:style w:type="paragraph" w:customStyle="1" w:styleId="subject">
    <w:name w:val="subject"/>
    <w:basedOn w:val="Normal"/>
    <w:rsid w:val="00EB50FE"/>
    <w:pPr>
      <w:tabs>
        <w:tab w:val="left" w:pos="1008"/>
      </w:tabs>
      <w:ind w:left="990" w:hanging="990"/>
    </w:pPr>
    <w:rPr>
      <w:b/>
    </w:rPr>
  </w:style>
  <w:style w:type="paragraph" w:customStyle="1" w:styleId="Titles">
    <w:name w:val="Titles"/>
    <w:basedOn w:val="Normal"/>
    <w:rsid w:val="00EB50FE"/>
    <w:pPr>
      <w:tabs>
        <w:tab w:val="left" w:pos="2160"/>
      </w:tabs>
      <w:ind w:left="2160" w:hanging="2160"/>
    </w:pPr>
    <w:rPr>
      <w:b/>
    </w:rPr>
  </w:style>
  <w:style w:type="paragraph" w:styleId="TOAHeading">
    <w:name w:val="toa heading"/>
    <w:basedOn w:val="Normal"/>
    <w:next w:val="Normal"/>
    <w:semiHidden/>
    <w:rsid w:val="00EB50FE"/>
    <w:pPr>
      <w:spacing w:before="120"/>
    </w:pPr>
    <w:rPr>
      <w:b/>
    </w:rPr>
  </w:style>
  <w:style w:type="paragraph" w:styleId="TOC1">
    <w:name w:val="toc 1"/>
    <w:basedOn w:val="Normal"/>
    <w:next w:val="Normal"/>
    <w:autoRedefine/>
    <w:semiHidden/>
    <w:rsid w:val="00EB50FE"/>
  </w:style>
  <w:style w:type="paragraph" w:styleId="TOC2">
    <w:name w:val="toc 2"/>
    <w:basedOn w:val="Normal"/>
    <w:next w:val="Normal"/>
    <w:autoRedefine/>
    <w:semiHidden/>
    <w:rsid w:val="00EB50FE"/>
    <w:pPr>
      <w:ind w:left="259"/>
    </w:pPr>
  </w:style>
  <w:style w:type="paragraph" w:styleId="TOC3">
    <w:name w:val="toc 3"/>
    <w:basedOn w:val="Normal"/>
    <w:next w:val="Normal"/>
    <w:autoRedefine/>
    <w:semiHidden/>
    <w:rsid w:val="00EB50FE"/>
    <w:pPr>
      <w:ind w:left="520"/>
    </w:pPr>
  </w:style>
  <w:style w:type="paragraph" w:styleId="TOC4">
    <w:name w:val="toc 4"/>
    <w:basedOn w:val="Normal"/>
    <w:next w:val="Normal"/>
    <w:autoRedefine/>
    <w:semiHidden/>
    <w:rsid w:val="00EB50FE"/>
    <w:pPr>
      <w:ind w:left="780"/>
    </w:pPr>
  </w:style>
  <w:style w:type="paragraph" w:styleId="TOC5">
    <w:name w:val="toc 5"/>
    <w:basedOn w:val="Normal"/>
    <w:next w:val="Normal"/>
    <w:autoRedefine/>
    <w:semiHidden/>
    <w:rsid w:val="00EB50FE"/>
    <w:pPr>
      <w:ind w:left="1040"/>
    </w:pPr>
  </w:style>
  <w:style w:type="paragraph" w:styleId="TOC6">
    <w:name w:val="toc 6"/>
    <w:basedOn w:val="Normal"/>
    <w:next w:val="Normal"/>
    <w:autoRedefine/>
    <w:semiHidden/>
    <w:rsid w:val="00EB50FE"/>
    <w:pPr>
      <w:ind w:left="1300"/>
    </w:pPr>
  </w:style>
  <w:style w:type="paragraph" w:styleId="TOC7">
    <w:name w:val="toc 7"/>
    <w:basedOn w:val="Normal"/>
    <w:next w:val="Normal"/>
    <w:autoRedefine/>
    <w:semiHidden/>
    <w:rsid w:val="00EB50FE"/>
    <w:pPr>
      <w:ind w:left="1560"/>
    </w:pPr>
  </w:style>
  <w:style w:type="paragraph" w:styleId="TOC8">
    <w:name w:val="toc 8"/>
    <w:basedOn w:val="Normal"/>
    <w:next w:val="Normal"/>
    <w:autoRedefine/>
    <w:semiHidden/>
    <w:rsid w:val="00EB50FE"/>
    <w:pPr>
      <w:ind w:left="1820"/>
    </w:pPr>
  </w:style>
  <w:style w:type="paragraph" w:styleId="TOC9">
    <w:name w:val="toc 9"/>
    <w:basedOn w:val="Normal"/>
    <w:next w:val="Normal"/>
    <w:autoRedefine/>
    <w:semiHidden/>
    <w:rsid w:val="00EB50FE"/>
    <w:pPr>
      <w:ind w:left="2080"/>
    </w:pPr>
  </w:style>
  <w:style w:type="paragraph" w:customStyle="1" w:styleId="Contents">
    <w:name w:val="Contents"/>
    <w:basedOn w:val="Normal"/>
    <w:rsid w:val="00EB50FE"/>
    <w:pPr>
      <w:jc w:val="center"/>
    </w:pPr>
    <w:rPr>
      <w:b/>
      <w:spacing w:val="100"/>
    </w:rPr>
  </w:style>
  <w:style w:type="character" w:customStyle="1" w:styleId="ssrfcpassagedeactivated">
    <w:name w:val="ss_rfcpassage_deactivated"/>
    <w:basedOn w:val="DefaultParagraphFont"/>
    <w:rsid w:val="00AA50AD"/>
  </w:style>
  <w:style w:type="paragraph" w:styleId="ListParagraph">
    <w:name w:val="List Paragraph"/>
    <w:basedOn w:val="Normal"/>
    <w:uiPriority w:val="34"/>
    <w:qFormat/>
    <w:rsid w:val="002A2D07"/>
    <w:pPr>
      <w:ind w:left="720"/>
      <w:contextualSpacing/>
    </w:pPr>
  </w:style>
  <w:style w:type="character" w:customStyle="1" w:styleId="ssparacontent">
    <w:name w:val="ss_paracontent"/>
    <w:basedOn w:val="DefaultParagraphFont"/>
    <w:rsid w:val="009124D5"/>
  </w:style>
  <w:style w:type="character" w:styleId="Hyperlink">
    <w:name w:val="Hyperlink"/>
    <w:basedOn w:val="DefaultParagraphFont"/>
    <w:uiPriority w:val="99"/>
    <w:semiHidden/>
    <w:unhideWhenUsed/>
    <w:rsid w:val="009124D5"/>
    <w:rPr>
      <w:color w:val="0000FF"/>
      <w:u w:val="single"/>
    </w:rPr>
  </w:style>
  <w:style w:type="character" w:customStyle="1" w:styleId="ssleftalign">
    <w:name w:val="ss_leftalign"/>
    <w:basedOn w:val="DefaultParagraphFont"/>
    <w:rsid w:val="0089397C"/>
  </w:style>
  <w:style w:type="character" w:customStyle="1" w:styleId="ssit">
    <w:name w:val="ss_it"/>
    <w:basedOn w:val="DefaultParagraphFont"/>
    <w:rsid w:val="008B3DA7"/>
  </w:style>
  <w:style w:type="character" w:customStyle="1" w:styleId="ssib">
    <w:name w:val="ss_ib"/>
    <w:basedOn w:val="DefaultParagraphFont"/>
    <w:rsid w:val="00B547C2"/>
  </w:style>
  <w:style w:type="character" w:styleId="FollowedHyperlink">
    <w:name w:val="FollowedHyperlink"/>
    <w:basedOn w:val="DefaultParagraphFont"/>
    <w:uiPriority w:val="99"/>
    <w:semiHidden/>
    <w:unhideWhenUsed/>
    <w:rsid w:val="00A44BEE"/>
    <w:rPr>
      <w:color w:val="954F72" w:themeColor="followedHyperlink"/>
      <w:u w:val="single"/>
    </w:rPr>
  </w:style>
  <w:style w:type="paragraph" w:styleId="NormalWeb">
    <w:name w:val="Normal (Web)"/>
    <w:basedOn w:val="Normal"/>
    <w:uiPriority w:val="99"/>
    <w:unhideWhenUsed/>
    <w:rsid w:val="00642077"/>
    <w:pPr>
      <w:spacing w:before="100" w:beforeAutospacing="1" w:afterAutospacing="1"/>
    </w:pPr>
    <w:rPr>
      <w:sz w:val="24"/>
      <w:szCs w:val="24"/>
    </w:rPr>
  </w:style>
  <w:style w:type="character" w:customStyle="1" w:styleId="ssparalabel">
    <w:name w:val="ss_paralabel"/>
    <w:basedOn w:val="DefaultParagraphFont"/>
    <w:rsid w:val="00177C95"/>
  </w:style>
  <w:style w:type="character" w:customStyle="1" w:styleId="ssbf">
    <w:name w:val="ss_bf"/>
    <w:basedOn w:val="DefaultParagraphFont"/>
    <w:rsid w:val="00177C95"/>
  </w:style>
  <w:style w:type="character" w:customStyle="1" w:styleId="sssh">
    <w:name w:val="ss_sh"/>
    <w:basedOn w:val="DefaultParagraphFont"/>
    <w:rsid w:val="00667642"/>
  </w:style>
  <w:style w:type="paragraph" w:styleId="BalloonText">
    <w:name w:val="Balloon Text"/>
    <w:basedOn w:val="Normal"/>
    <w:link w:val="BalloonTextChar"/>
    <w:uiPriority w:val="99"/>
    <w:semiHidden/>
    <w:unhideWhenUsed/>
    <w:rsid w:val="004E4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6D"/>
    <w:rPr>
      <w:rFonts w:ascii="Segoe UI" w:hAnsi="Segoe UI" w:cs="Segoe UI"/>
      <w:sz w:val="18"/>
      <w:szCs w:val="18"/>
    </w:rPr>
  </w:style>
  <w:style w:type="character" w:customStyle="1" w:styleId="sscrbhighlight">
    <w:name w:val="ss_crbhighlight"/>
    <w:basedOn w:val="DefaultParagraphFont"/>
    <w:rsid w:val="00FF42AF"/>
  </w:style>
  <w:style w:type="paragraph" w:styleId="BodyText">
    <w:name w:val="Body Text"/>
    <w:basedOn w:val="Normal"/>
    <w:link w:val="BodyTextChar"/>
    <w:qFormat/>
    <w:rsid w:val="00EB50FE"/>
  </w:style>
  <w:style w:type="character" w:customStyle="1" w:styleId="BodyTextChar">
    <w:name w:val="Body Text Char"/>
    <w:basedOn w:val="DefaultParagraphFont"/>
    <w:link w:val="BodyText"/>
    <w:rsid w:val="00EB50FE"/>
    <w:rPr>
      <w:rFonts w:ascii="Century Schoolbook" w:hAnsi="Century Schoolbook"/>
      <w:sz w:val="27"/>
    </w:rPr>
  </w:style>
  <w:style w:type="character" w:styleId="CommentReference">
    <w:name w:val="annotation reference"/>
    <w:basedOn w:val="DefaultParagraphFont"/>
    <w:uiPriority w:val="99"/>
    <w:semiHidden/>
    <w:unhideWhenUsed/>
    <w:rsid w:val="009B22CE"/>
    <w:rPr>
      <w:sz w:val="16"/>
      <w:szCs w:val="16"/>
    </w:rPr>
  </w:style>
  <w:style w:type="paragraph" w:styleId="CommentText">
    <w:name w:val="annotation text"/>
    <w:basedOn w:val="Normal"/>
    <w:link w:val="CommentTextChar"/>
    <w:uiPriority w:val="99"/>
    <w:unhideWhenUsed/>
    <w:rsid w:val="009B22CE"/>
    <w:rPr>
      <w:sz w:val="20"/>
    </w:rPr>
  </w:style>
  <w:style w:type="character" w:customStyle="1" w:styleId="CommentTextChar">
    <w:name w:val="Comment Text Char"/>
    <w:basedOn w:val="DefaultParagraphFont"/>
    <w:link w:val="CommentText"/>
    <w:uiPriority w:val="99"/>
    <w:rsid w:val="009B22CE"/>
  </w:style>
  <w:style w:type="paragraph" w:styleId="CommentSubject">
    <w:name w:val="annotation subject"/>
    <w:basedOn w:val="CommentText"/>
    <w:next w:val="CommentText"/>
    <w:link w:val="CommentSubjectChar"/>
    <w:uiPriority w:val="99"/>
    <w:semiHidden/>
    <w:unhideWhenUsed/>
    <w:rsid w:val="009B22CE"/>
    <w:rPr>
      <w:b/>
      <w:bCs/>
    </w:rPr>
  </w:style>
  <w:style w:type="character" w:customStyle="1" w:styleId="CommentSubjectChar">
    <w:name w:val="Comment Subject Char"/>
    <w:basedOn w:val="CommentTextChar"/>
    <w:link w:val="CommentSubject"/>
    <w:uiPriority w:val="99"/>
    <w:semiHidden/>
    <w:rsid w:val="009B22CE"/>
    <w:rPr>
      <w:b/>
      <w:bCs/>
    </w:rPr>
  </w:style>
  <w:style w:type="character" w:customStyle="1" w:styleId="ssrfcsection">
    <w:name w:val="ss_rfcsection"/>
    <w:basedOn w:val="DefaultParagraphFont"/>
    <w:rsid w:val="00C25B62"/>
  </w:style>
  <w:style w:type="character" w:customStyle="1" w:styleId="FootnoteTextChar">
    <w:name w:val="Footnote Text Char"/>
    <w:basedOn w:val="DefaultParagraphFont"/>
    <w:link w:val="FootnoteText"/>
    <w:uiPriority w:val="99"/>
    <w:rsid w:val="00752B54"/>
    <w:rPr>
      <w:rFonts w:ascii="Century Schoolbook" w:hAnsi="Century Schoolbook"/>
      <w:sz w:val="27"/>
    </w:rPr>
  </w:style>
  <w:style w:type="paragraph" w:styleId="Revision">
    <w:name w:val="Revision"/>
    <w:hidden/>
    <w:uiPriority w:val="99"/>
    <w:semiHidden/>
    <w:rsid w:val="006D7114"/>
    <w:rPr>
      <w:rFonts w:ascii="Century Schoolbook" w:hAnsi="Century Schoolbook"/>
      <w:sz w:val="27"/>
    </w:rPr>
  </w:style>
  <w:style w:type="paragraph" w:styleId="PlainText">
    <w:name w:val="Plain Text"/>
    <w:basedOn w:val="Normal"/>
    <w:link w:val="PlainTextChar"/>
    <w:uiPriority w:val="99"/>
    <w:unhideWhenUsed/>
    <w:rsid w:val="00ED1700"/>
    <w:pPr>
      <w:spacing w:after="0" w:line="240" w:lineRule="auto"/>
      <w:jc w:val="left"/>
    </w:pPr>
    <w:rPr>
      <w:rFonts w:ascii="Georgia" w:hAnsi="Georgia" w:eastAsiaTheme="minorHAnsi" w:cstheme="minorBidi"/>
      <w:sz w:val="26"/>
      <w:szCs w:val="26"/>
    </w:rPr>
  </w:style>
  <w:style w:type="character" w:customStyle="1" w:styleId="PlainTextChar">
    <w:name w:val="Plain Text Char"/>
    <w:basedOn w:val="DefaultParagraphFont"/>
    <w:link w:val="PlainText"/>
    <w:uiPriority w:val="99"/>
    <w:rsid w:val="00ED1700"/>
    <w:rPr>
      <w:rFonts w:ascii="Georgia" w:hAnsi="Georgia" w:eastAsiaTheme="minorHAnsi" w:cstheme="minorBidi"/>
      <w:sz w:val="26"/>
      <w:szCs w:val="26"/>
    </w:rPr>
  </w:style>
  <w:style w:type="character" w:styleId="Emphasis">
    <w:name w:val="Emphasis"/>
    <w:basedOn w:val="DefaultParagraphFont"/>
    <w:uiPriority w:val="20"/>
    <w:qFormat/>
    <w:rsid w:val="00ED1700"/>
    <w:rPr>
      <w:i/>
      <w:iCs/>
    </w:rPr>
  </w:style>
  <w:style w:type="character" w:customStyle="1" w:styleId="costarpage">
    <w:name w:val="co_starpage"/>
    <w:basedOn w:val="DefaultParagraphFont"/>
    <w:rsid w:val="00ED1700"/>
  </w:style>
  <w:style w:type="character" w:customStyle="1" w:styleId="coconcept18">
    <w:name w:val="co_concept_1_8"/>
    <w:basedOn w:val="DefaultParagraphFont"/>
    <w:rsid w:val="00ED1700"/>
  </w:style>
  <w:style w:type="character" w:customStyle="1" w:styleId="coconcept1020">
    <w:name w:val="co_concept_10_20"/>
    <w:basedOn w:val="DefaultParagraphFont"/>
    <w:rsid w:val="00ED1700"/>
  </w:style>
  <w:style w:type="character" w:customStyle="1" w:styleId="coconcept2229">
    <w:name w:val="co_concept_22_29"/>
    <w:basedOn w:val="DefaultParagraphFont"/>
    <w:rsid w:val="00ED1700"/>
  </w:style>
  <w:style w:type="character" w:customStyle="1" w:styleId="coconcept3136">
    <w:name w:val="co_concept_31_36"/>
    <w:basedOn w:val="DefaultParagraphFont"/>
    <w:rsid w:val="00ED1700"/>
  </w:style>
  <w:style w:type="character" w:customStyle="1" w:styleId="cosearchterm">
    <w:name w:val="co_searchterm"/>
    <w:basedOn w:val="DefaultParagraphFont"/>
    <w:rsid w:val="00ED1700"/>
  </w:style>
  <w:style w:type="character" w:customStyle="1" w:styleId="coconcept16">
    <w:name w:val="co_concept_1_6"/>
    <w:basedOn w:val="DefaultParagraphFont"/>
    <w:rsid w:val="00ED1700"/>
  </w:style>
  <w:style w:type="character" w:customStyle="1" w:styleId="coconcept917">
    <w:name w:val="co_concept_9_17"/>
    <w:basedOn w:val="DefaultParagraphFont"/>
    <w:rsid w:val="00ED1700"/>
  </w:style>
  <w:style w:type="character" w:customStyle="1" w:styleId="coconcept17">
    <w:name w:val="co_concept_1_7"/>
    <w:basedOn w:val="DefaultParagraphFont"/>
    <w:rsid w:val="00ED1700"/>
  </w:style>
  <w:style w:type="character" w:customStyle="1" w:styleId="coconcept3036">
    <w:name w:val="co_concept_30_36"/>
    <w:basedOn w:val="DefaultParagraphFont"/>
    <w:rsid w:val="00ED1700"/>
  </w:style>
  <w:style w:type="character" w:customStyle="1" w:styleId="coconcept4752">
    <w:name w:val="co_concept_47_52"/>
    <w:basedOn w:val="DefaultParagraphFont"/>
    <w:rsid w:val="00ED1700"/>
  </w:style>
  <w:style w:type="character" w:customStyle="1" w:styleId="coconcept3845">
    <w:name w:val="co_concept_38_45"/>
    <w:basedOn w:val="DefaultParagraphFont"/>
    <w:rsid w:val="00ED1700"/>
  </w:style>
  <w:style w:type="character" w:customStyle="1" w:styleId="coconcept2736">
    <w:name w:val="co_concept_27_36"/>
    <w:basedOn w:val="DefaultParagraphFont"/>
    <w:rsid w:val="00ED1700"/>
  </w:style>
  <w:style w:type="character" w:customStyle="1" w:styleId="coconcept2227">
    <w:name w:val="co_concept_22_27"/>
    <w:basedOn w:val="DefaultParagraphFont"/>
    <w:rsid w:val="00ED1700"/>
  </w:style>
  <w:style w:type="character" w:styleId="PlaceholderText">
    <w:name w:val="Placeholder Text"/>
    <w:basedOn w:val="DefaultParagraphFont"/>
    <w:uiPriority w:val="99"/>
    <w:semiHidden/>
    <w:rsid w:val="00E027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55A4-651B-455F-AEDA-02A808DB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10022</Words>
  <Characters>57127</Characters>
  <Application>Microsoft Office Word</Application>
  <DocSecurity>0</DocSecurity>
  <Lines>476</Lines>
  <Paragraphs>134</Paragraphs>
  <ScaleCrop>false</ScaleCrop>
  <Company/>
  <LinksUpToDate>false</LinksUpToDate>
  <CharactersWithSpaces>67015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2021-04-01T15:43:21Z</dcterms:created>
  <dcterms:modified xsi:type="dcterms:W3CDTF">2021-04-01T15:43:21Z</dcterms:modified>
</cp:coreProperties>
</file>