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E0F4A" w:rsidP="00F273F1" w14:paraId="63B34FC4" w14:textId="601D7A0A">
      <w:pPr>
        <w:tabs>
          <w:tab w:val="left" w:pos="1440"/>
          <w:tab w:val="left" w:pos="4680"/>
          <w:tab w:val="center" w:pos="7200"/>
        </w:tabs>
        <w:spacing w:after="0"/>
        <w:jc w:val="center"/>
        <w:rPr>
          <w:sz w:val="36"/>
        </w:rPr>
      </w:pPr>
      <w:r>
        <w:rPr>
          <w:b/>
          <w:sz w:val="36"/>
        </w:rPr>
        <w:t>IN THE SUPREME COURT OF CALIFORNIA</w:t>
      </w:r>
    </w:p>
    <w:p w:rsidR="00F273F1" w:rsidP="002278BD" w14:paraId="26BD3102" w14:textId="430DDA2A">
      <w:pPr>
        <w:tabs>
          <w:tab w:val="left" w:pos="1440"/>
          <w:tab w:val="left" w:pos="4680"/>
          <w:tab w:val="center" w:pos="7200"/>
        </w:tabs>
        <w:spacing w:after="0"/>
      </w:pPr>
    </w:p>
    <w:p w:rsidR="00FE12DA" w:rsidP="00F273F1" w14:paraId="03CC4BCC" w14:textId="67117992">
      <w:pPr>
        <w:tabs>
          <w:tab w:val="left" w:pos="1440"/>
          <w:tab w:val="left" w:pos="4680"/>
          <w:tab w:val="center" w:pos="7200"/>
        </w:tabs>
        <w:spacing w:after="0"/>
        <w:jc w:val="center"/>
      </w:pPr>
      <w:r>
        <w:t xml:space="preserve">In re </w:t>
      </w:r>
      <w:r w:rsidR="00EC44ED">
        <w:t>MOHAMMAD MOHAMMAD</w:t>
      </w:r>
      <w:r>
        <w:t xml:space="preserve"> </w:t>
      </w:r>
    </w:p>
    <w:p w:rsidR="00F273F1" w:rsidP="00F273F1" w14:paraId="3A3110B2" w14:textId="4F8477B2">
      <w:pPr>
        <w:tabs>
          <w:tab w:val="left" w:pos="1440"/>
          <w:tab w:val="left" w:pos="4680"/>
          <w:tab w:val="center" w:pos="7200"/>
        </w:tabs>
        <w:spacing w:after="0"/>
        <w:jc w:val="center"/>
      </w:pPr>
      <w:r>
        <w:t>on Habeas Corpus</w:t>
      </w:r>
      <w:r w:rsidR="00FE12DA">
        <w:t>.</w:t>
      </w:r>
    </w:p>
    <w:p w:rsidR="00F273F1" w:rsidP="00403506" w14:paraId="05775F31" w14:textId="075A4CFE">
      <w:pPr>
        <w:tabs>
          <w:tab w:val="left" w:pos="1440"/>
          <w:tab w:val="left" w:pos="4680"/>
          <w:tab w:val="center" w:pos="7200"/>
        </w:tabs>
        <w:spacing w:after="0"/>
        <w:jc w:val="center"/>
      </w:pPr>
    </w:p>
    <w:p w:rsidR="00F273F1" w:rsidP="002278BD" w14:paraId="68A1FCFB" w14:textId="2973275D">
      <w:pPr>
        <w:tabs>
          <w:tab w:val="left" w:pos="1440"/>
          <w:tab w:val="left" w:pos="4680"/>
          <w:tab w:val="center" w:pos="7200"/>
        </w:tabs>
        <w:spacing w:after="0"/>
      </w:pPr>
    </w:p>
    <w:p w:rsidR="00F273F1" w:rsidP="00F273F1" w14:paraId="41B9F021" w14:textId="3C9938AC">
      <w:pPr>
        <w:tabs>
          <w:tab w:val="left" w:pos="1440"/>
          <w:tab w:val="left" w:pos="4680"/>
          <w:tab w:val="center" w:pos="7200"/>
        </w:tabs>
        <w:spacing w:after="0"/>
        <w:jc w:val="center"/>
      </w:pPr>
      <w:r>
        <w:t>S25</w:t>
      </w:r>
      <w:r w:rsidR="00EC44ED">
        <w:t>99</w:t>
      </w:r>
      <w:r>
        <w:t>99</w:t>
      </w:r>
    </w:p>
    <w:p w:rsidR="00B5568B" w:rsidP="002278BD" w14:paraId="537AC054" w14:textId="273128F0">
      <w:pPr>
        <w:tabs>
          <w:tab w:val="left" w:pos="1440"/>
          <w:tab w:val="left" w:pos="4680"/>
          <w:tab w:val="center" w:pos="7200"/>
        </w:tabs>
        <w:spacing w:after="0"/>
      </w:pPr>
    </w:p>
    <w:p w:rsidR="00B5568B" w:rsidP="00F273F1" w14:paraId="23FC5189" w14:textId="3590B806">
      <w:pPr>
        <w:tabs>
          <w:tab w:val="left" w:pos="1440"/>
          <w:tab w:val="left" w:pos="4680"/>
          <w:tab w:val="center" w:pos="7200"/>
        </w:tabs>
        <w:spacing w:after="0"/>
        <w:jc w:val="center"/>
      </w:pPr>
      <w:r>
        <w:t>Second Appellate District, Division Five</w:t>
      </w:r>
    </w:p>
    <w:p w:rsidR="00B5568B" w:rsidP="00F273F1" w14:paraId="0BF09207" w14:textId="0DACACD5">
      <w:pPr>
        <w:tabs>
          <w:tab w:val="left" w:pos="1440"/>
          <w:tab w:val="left" w:pos="4680"/>
          <w:tab w:val="center" w:pos="7200"/>
        </w:tabs>
        <w:spacing w:after="0"/>
        <w:jc w:val="center"/>
      </w:pPr>
      <w:r>
        <w:t>B2</w:t>
      </w:r>
      <w:r w:rsidR="0024216B">
        <w:t>95</w:t>
      </w:r>
      <w:r w:rsidR="00A155D9">
        <w:t>152</w:t>
      </w:r>
    </w:p>
    <w:p w:rsidR="00F273F1" w:rsidP="002278BD" w14:paraId="3FE9368F" w14:textId="70DEEB2E">
      <w:pPr>
        <w:tabs>
          <w:tab w:val="left" w:pos="1440"/>
          <w:tab w:val="left" w:pos="4680"/>
          <w:tab w:val="center" w:pos="7200"/>
        </w:tabs>
        <w:spacing w:after="0"/>
      </w:pPr>
    </w:p>
    <w:p w:rsidR="00F273F1" w:rsidP="00F273F1" w14:paraId="3CCB951C" w14:textId="030D4BDB">
      <w:pPr>
        <w:tabs>
          <w:tab w:val="left" w:pos="1440"/>
          <w:tab w:val="left" w:pos="4680"/>
          <w:tab w:val="center" w:pos="7200"/>
        </w:tabs>
        <w:spacing w:after="0"/>
        <w:jc w:val="center"/>
      </w:pPr>
      <w:r>
        <w:t xml:space="preserve">Los Angeles </w:t>
      </w:r>
      <w:r>
        <w:t>County Superior Court</w:t>
      </w:r>
      <w:r>
        <w:br/>
      </w:r>
      <w:r w:rsidR="00B93BE1">
        <w:t xml:space="preserve"> </w:t>
      </w:r>
      <w:r>
        <w:t>B</w:t>
      </w:r>
      <w:r w:rsidR="003C679D">
        <w:t>H011</w:t>
      </w:r>
      <w:r w:rsidR="00BB0601">
        <w:t>959</w:t>
      </w:r>
    </w:p>
    <w:p w:rsidR="00F273F1" w:rsidP="00F273F1" w14:paraId="362DD928" w14:textId="17F0B192">
      <w:pPr>
        <w:pBdr>
          <w:bottom w:val="single" w:sz="4" w:space="1" w:color="auto"/>
        </w:pBdr>
        <w:tabs>
          <w:tab w:val="left" w:pos="1440"/>
          <w:tab w:val="left" w:pos="4680"/>
          <w:tab w:val="center" w:pos="7200"/>
        </w:tabs>
        <w:spacing w:after="0"/>
        <w:jc w:val="center"/>
      </w:pPr>
    </w:p>
    <w:p w:rsidR="00F273F1" w:rsidP="00F273F1" w14:paraId="07D8DFF2" w14:textId="2613F958">
      <w:pPr>
        <w:tabs>
          <w:tab w:val="left" w:pos="1440"/>
          <w:tab w:val="left" w:pos="4680"/>
          <w:tab w:val="center" w:pos="7200"/>
        </w:tabs>
        <w:spacing w:after="0"/>
        <w:jc w:val="center"/>
      </w:pPr>
    </w:p>
    <w:p w:rsidR="00F273F1" w:rsidP="00F273F1" w14:paraId="675161CF" w14:textId="5E1BA645">
      <w:pPr>
        <w:tabs>
          <w:tab w:val="left" w:pos="1440"/>
          <w:tab w:val="left" w:pos="4680"/>
          <w:tab w:val="center" w:pos="7200"/>
        </w:tabs>
        <w:spacing w:after="0"/>
        <w:jc w:val="center"/>
      </w:pPr>
      <w:r>
        <w:t>January 3</w:t>
      </w:r>
      <w:r>
        <w:t>, 202</w:t>
      </w:r>
      <w:r>
        <w:t>2</w:t>
      </w:r>
    </w:p>
    <w:p w:rsidR="00F273F1" w:rsidP="00F273F1" w14:paraId="42162F2C" w14:textId="681C8AE4">
      <w:pPr>
        <w:tabs>
          <w:tab w:val="left" w:pos="1440"/>
          <w:tab w:val="left" w:pos="4680"/>
          <w:tab w:val="center" w:pos="7200"/>
        </w:tabs>
        <w:spacing w:after="0"/>
        <w:jc w:val="center"/>
      </w:pPr>
    </w:p>
    <w:p w:rsidR="00F273F1" w:rsidP="00F273F1" w14:paraId="2A0939DA" w14:textId="348BA121">
      <w:pPr>
        <w:tabs>
          <w:tab w:val="left" w:pos="1440"/>
          <w:tab w:val="left" w:pos="4680"/>
          <w:tab w:val="center" w:pos="7200"/>
        </w:tabs>
        <w:spacing w:after="0"/>
        <w:jc w:val="left"/>
      </w:pPr>
      <w:r>
        <w:t>Chief Justice Cantil-Sakauye authored the opinion of the</w:t>
      </w:r>
      <w:r w:rsidR="00B5568B">
        <w:t xml:space="preserve"> </w:t>
      </w:r>
      <w:r w:rsidR="005D185A">
        <w:t>C</w:t>
      </w:r>
      <w:r>
        <w:t>ourt,</w:t>
      </w:r>
      <w:r w:rsidR="005D185A">
        <w:t xml:space="preserve"> </w:t>
      </w:r>
      <w:r>
        <w:t xml:space="preserve">in which Justices </w:t>
      </w:r>
      <w:r w:rsidR="00AA4ADF">
        <w:t xml:space="preserve">Corrigan, </w:t>
      </w:r>
      <w:r w:rsidR="00DC684A">
        <w:t xml:space="preserve">Liu, </w:t>
      </w:r>
      <w:r w:rsidR="007B0441">
        <w:t xml:space="preserve">Kruger, </w:t>
      </w:r>
      <w:r w:rsidR="00AA4ADF">
        <w:t>Groban,</w:t>
      </w:r>
      <w:r>
        <w:t xml:space="preserve"> </w:t>
      </w:r>
      <w:r w:rsidR="007B0441">
        <w:t xml:space="preserve">Jenkins, </w:t>
      </w:r>
      <w:r>
        <w:t xml:space="preserve">and </w:t>
      </w:r>
      <w:r w:rsidR="00AA4ADF">
        <w:t>Levy</w:t>
      </w:r>
      <w:r w:rsidRPr="000A5834" w:rsidR="00BD4591">
        <w:rPr>
          <w:vertAlign w:val="superscript"/>
        </w:rPr>
        <w:t>*</w:t>
      </w:r>
      <w:r>
        <w:t xml:space="preserve"> concurred.</w:t>
      </w:r>
    </w:p>
    <w:p w:rsidR="00D80F51" w:rsidP="00F273F1" w14:paraId="0209BFDF" w14:textId="4B127520">
      <w:pPr>
        <w:tabs>
          <w:tab w:val="left" w:pos="1440"/>
          <w:tab w:val="left" w:pos="4680"/>
          <w:tab w:val="center" w:pos="7200"/>
        </w:tabs>
        <w:spacing w:after="0"/>
        <w:jc w:val="left"/>
      </w:pPr>
    </w:p>
    <w:p w:rsidR="00D80F51" w:rsidP="00F273F1" w14:paraId="1E241F6D" w14:textId="271510FF">
      <w:pPr>
        <w:tabs>
          <w:tab w:val="left" w:pos="1440"/>
          <w:tab w:val="left" w:pos="4680"/>
          <w:tab w:val="center" w:pos="7200"/>
        </w:tabs>
        <w:spacing w:after="0"/>
        <w:jc w:val="left"/>
      </w:pPr>
      <w:r>
        <w:t xml:space="preserve">Justice Liu </w:t>
      </w:r>
      <w:r w:rsidR="00A86C84">
        <w:t>filed</w:t>
      </w:r>
      <w:r>
        <w:t xml:space="preserve"> a </w:t>
      </w:r>
      <w:r w:rsidR="007B0441">
        <w:t>concurr</w:t>
      </w:r>
      <w:r>
        <w:t>ing opinion</w:t>
      </w:r>
      <w:r w:rsidR="00181E5E">
        <w:t xml:space="preserve"> in which Justice Kruger concurred</w:t>
      </w:r>
      <w:r>
        <w:t>.</w:t>
      </w:r>
    </w:p>
    <w:p w:rsidR="00F273F1" w:rsidRPr="00F273F1" w:rsidP="00F273F1" w14:paraId="74130BC3" w14:textId="77777777">
      <w:pPr>
        <w:pBdr>
          <w:bottom w:val="single" w:sz="4" w:space="1" w:color="auto"/>
        </w:pBdr>
        <w:tabs>
          <w:tab w:val="left" w:pos="1440"/>
          <w:tab w:val="left" w:pos="4680"/>
          <w:tab w:val="center" w:pos="7200"/>
        </w:tabs>
        <w:spacing w:line="240" w:lineRule="atLeast"/>
        <w:jc w:val="left"/>
      </w:pPr>
      <w:bookmarkStart w:id="0" w:name="Return"/>
      <w:bookmarkEnd w:id="0"/>
    </w:p>
    <w:p w:rsidR="00090FF3" w:rsidP="0051668A" w14:paraId="1D6288F4" w14:textId="34D53C18">
      <w:pPr>
        <w:tabs>
          <w:tab w:val="left" w:pos="5890"/>
        </w:tabs>
      </w:pPr>
    </w:p>
    <w:p w:rsidR="00CD0AA0" w:rsidRPr="00076843" w:rsidP="00CD0AA0" w14:paraId="1D3F6505" w14:textId="77777777">
      <w:pPr>
        <w:rPr>
          <w:b/>
          <w:caps/>
          <w:szCs w:val="27"/>
        </w:rPr>
      </w:pPr>
      <w:r w:rsidRPr="00076843">
        <w:rPr>
          <w:b/>
          <w:caps/>
          <w:szCs w:val="27"/>
        </w:rPr>
        <w:t>__________________________</w:t>
      </w:r>
    </w:p>
    <w:p w:rsidR="00090FF3" w:rsidP="001B5C21" w14:paraId="06747193" w14:textId="36E31CC2">
      <w:pPr>
        <w:spacing w:line="300" w:lineRule="exact"/>
      </w:pPr>
      <w:r w:rsidRPr="000A5834">
        <w:rPr>
          <w:rStyle w:val="FootnoteReference"/>
        </w:rPr>
        <w:t>*</w:t>
      </w:r>
      <w:r w:rsidRPr="00BD4591">
        <w:t xml:space="preserve"> </w:t>
      </w:r>
      <w:r>
        <w:tab/>
      </w:r>
      <w:r w:rsidRPr="00E22A2C">
        <w:rPr>
          <w:szCs w:val="27"/>
        </w:rPr>
        <w:t>Associate Justice of the Court of Appeal, F</w:t>
      </w:r>
      <w:r>
        <w:rPr>
          <w:szCs w:val="27"/>
        </w:rPr>
        <w:t>if</w:t>
      </w:r>
      <w:r w:rsidRPr="00E22A2C">
        <w:rPr>
          <w:szCs w:val="27"/>
        </w:rPr>
        <w:t>th Appellate District, assigned by the Chief Justice pursuant to article VI, section 6 of the California Constitution.</w:t>
      </w:r>
    </w:p>
    <w:p w:rsidR="00090FF3" w:rsidP="00090FF3" w14:paraId="5B0A46C0" w14:textId="77777777"/>
    <w:p w:rsidR="00090FF3" w:rsidRPr="00090FF3" w:rsidP="00090FF3" w14:paraId="62C7D3D7" w14:textId="0BAF317D">
      <w:pPr>
        <w:sectPr w:rsidSect="00F273F1">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2240" w:h="15840"/>
          <w:pgMar w:top="1800" w:right="2160" w:bottom="1440" w:left="2160" w:header="720" w:footer="720" w:gutter="0"/>
          <w:cols w:space="720"/>
          <w:titlePg/>
          <w:docGrid w:linePitch="367"/>
        </w:sectPr>
      </w:pPr>
    </w:p>
    <w:p w:rsidR="00F273F1" w:rsidP="00F273F1" w14:paraId="25BCC66F" w14:textId="36D5B693">
      <w:pPr>
        <w:tabs>
          <w:tab w:val="left" w:pos="1440"/>
          <w:tab w:val="left" w:pos="4680"/>
          <w:tab w:val="center" w:pos="7200"/>
        </w:tabs>
        <w:jc w:val="center"/>
      </w:pPr>
      <w:r>
        <w:t xml:space="preserve">In re </w:t>
      </w:r>
      <w:r w:rsidR="00BB0601">
        <w:t>MOHAMMAD</w:t>
      </w:r>
    </w:p>
    <w:p w:rsidR="00F273F1" w:rsidP="00F273F1" w14:paraId="2DA8DA3F" w14:textId="7F0093D1">
      <w:pPr>
        <w:tabs>
          <w:tab w:val="left" w:pos="1440"/>
          <w:tab w:val="left" w:pos="4680"/>
          <w:tab w:val="center" w:pos="7200"/>
        </w:tabs>
        <w:jc w:val="center"/>
      </w:pPr>
    </w:p>
    <w:p w:rsidR="00F273F1" w:rsidP="00F273F1" w14:paraId="5433BF59" w14:textId="2CA1A7D0">
      <w:pPr>
        <w:tabs>
          <w:tab w:val="left" w:pos="1440"/>
          <w:tab w:val="left" w:pos="4680"/>
          <w:tab w:val="center" w:pos="7200"/>
        </w:tabs>
        <w:jc w:val="center"/>
      </w:pPr>
      <w:r>
        <w:t>S25</w:t>
      </w:r>
      <w:r w:rsidR="00BB0601">
        <w:t>99</w:t>
      </w:r>
      <w:r>
        <w:t>99</w:t>
      </w:r>
    </w:p>
    <w:p w:rsidR="00F273F1" w:rsidP="00F273F1" w14:paraId="744F75DA" w14:textId="27692DAC">
      <w:pPr>
        <w:tabs>
          <w:tab w:val="left" w:pos="1440"/>
          <w:tab w:val="left" w:pos="4680"/>
          <w:tab w:val="center" w:pos="7200"/>
        </w:tabs>
        <w:jc w:val="center"/>
      </w:pPr>
    </w:p>
    <w:p w:rsidR="00F273F1" w:rsidP="00F273F1" w14:paraId="0909F488" w14:textId="5E0E1D0A">
      <w:pPr>
        <w:tabs>
          <w:tab w:val="left" w:pos="1440"/>
          <w:tab w:val="left" w:pos="4680"/>
          <w:tab w:val="center" w:pos="7200"/>
        </w:tabs>
        <w:jc w:val="center"/>
      </w:pPr>
      <w:r>
        <w:t>Opinion of the Court by Cantil-Sakauye, C. J.</w:t>
      </w:r>
    </w:p>
    <w:p w:rsidR="00F273F1" w:rsidRPr="00F273F1" w:rsidP="00F273F1" w14:paraId="5E7CE53E" w14:textId="77777777">
      <w:pPr>
        <w:tabs>
          <w:tab w:val="left" w:pos="1440"/>
          <w:tab w:val="left" w:pos="4680"/>
          <w:tab w:val="center" w:pos="7200"/>
        </w:tabs>
        <w:jc w:val="center"/>
      </w:pPr>
    </w:p>
    <w:p w:rsidR="00951EEA" w:rsidP="00F273F1" w14:paraId="3A9EEEFC" w14:textId="19A42C05">
      <w:pPr>
        <w:tabs>
          <w:tab w:val="left" w:pos="1440"/>
        </w:tabs>
        <w:ind w:firstLine="720"/>
      </w:pPr>
      <w:bookmarkStart w:id="1" w:name="mainstory"/>
      <w:bookmarkEnd w:id="1"/>
      <w:r>
        <w:t>This cas</w:t>
      </w:r>
      <w:r w:rsidR="007B33C5">
        <w:t xml:space="preserve">e </w:t>
      </w:r>
      <w:r w:rsidR="008C7CB8">
        <w:t>asks whether</w:t>
      </w:r>
      <w:r w:rsidR="009C4114">
        <w:t xml:space="preserve"> Proposition 57, </w:t>
      </w:r>
      <w:r w:rsidR="00275319">
        <w:t>T</w:t>
      </w:r>
      <w:r w:rsidRPr="00F273F1" w:rsidR="00294559">
        <w:t>he Public Safety and Rehabilitation Act of 2016</w:t>
      </w:r>
      <w:r w:rsidR="008C7CB8">
        <w:t xml:space="preserve">, </w:t>
      </w:r>
      <w:r>
        <w:t>requires California</w:t>
      </w:r>
      <w:r w:rsidR="00275319">
        <w:t>’s</w:t>
      </w:r>
      <w:r>
        <w:t xml:space="preserve"> Department of Corrections and Rehabilitation (the Department) to provide early parole consideration</w:t>
      </w:r>
      <w:r w:rsidR="00537AB7">
        <w:t xml:space="preserve"> to individuals currently serving </w:t>
      </w:r>
      <w:r w:rsidR="00035985">
        <w:t xml:space="preserve">a term of incarceration for </w:t>
      </w:r>
      <w:r w:rsidR="00820254">
        <w:t>a violent felony</w:t>
      </w:r>
      <w:r w:rsidRPr="00F273F1" w:rsidR="00294559">
        <w:t xml:space="preserve">.  </w:t>
      </w:r>
    </w:p>
    <w:p w:rsidR="003E0F4A" w:rsidRPr="00F273F1" w:rsidP="00F273F1" w14:paraId="027D718D" w14:textId="39F60001">
      <w:pPr>
        <w:tabs>
          <w:tab w:val="left" w:pos="1440"/>
        </w:tabs>
        <w:ind w:firstLine="720"/>
      </w:pPr>
      <w:r>
        <w:t xml:space="preserve">Petitioner Mohammad Mohammad was </w:t>
      </w:r>
      <w:r w:rsidR="00604D88">
        <w:t>incarcerated</w:t>
      </w:r>
      <w:r>
        <w:t xml:space="preserve"> after having been convicted of </w:t>
      </w:r>
      <w:r w:rsidR="00276EA4">
        <w:t>nine</w:t>
      </w:r>
      <w:r>
        <w:t xml:space="preserve"> violent </w:t>
      </w:r>
      <w:r w:rsidR="00276EA4">
        <w:t xml:space="preserve">felony counts </w:t>
      </w:r>
      <w:r>
        <w:t xml:space="preserve">and </w:t>
      </w:r>
      <w:r w:rsidR="00276EA4">
        <w:t xml:space="preserve">six </w:t>
      </w:r>
      <w:r>
        <w:t>nonviolent felon</w:t>
      </w:r>
      <w:r w:rsidR="00276EA4">
        <w:t>y counts.</w:t>
      </w:r>
      <w:r w:rsidR="00F13F8C">
        <w:t xml:space="preserve">  The trial court ordered all terms to be served consecutively.</w:t>
      </w:r>
      <w:r>
        <w:t xml:space="preserve">  After </w:t>
      </w:r>
      <w:r w:rsidR="00941AFB">
        <w:t>petitioner’s</w:t>
      </w:r>
      <w:r>
        <w:t xml:space="preserve"> conviction, t</w:t>
      </w:r>
      <w:r w:rsidR="009C4114">
        <w:t xml:space="preserve">he electorate approved Proposition 57 in November 2016, </w:t>
      </w:r>
      <w:r w:rsidR="00CF09C1">
        <w:t>which added section 32 to article I of</w:t>
      </w:r>
      <w:r w:rsidRPr="00F273F1" w:rsidR="00CF09C1">
        <w:t xml:space="preserve"> </w:t>
      </w:r>
      <w:r w:rsidRPr="00F273F1" w:rsidR="001966F1">
        <w:t>the California Constitution to provide</w:t>
      </w:r>
      <w:r w:rsidRPr="00F273F1" w:rsidR="004C5BA6">
        <w:t>, in relevant part,</w:t>
      </w:r>
      <w:r w:rsidRPr="00F273F1" w:rsidR="00F118FF">
        <w:t xml:space="preserve"> that “</w:t>
      </w:r>
      <w:r w:rsidRPr="00F273F1" w:rsidR="00857099">
        <w:t>[a]</w:t>
      </w:r>
      <w:r w:rsidRPr="00F273F1" w:rsidR="00F118FF">
        <w:t>ny person convicted of a nonviolent felony offense and sentenced to state prison shall be eligible for parole consideration after completing the full term for his or her primary offense.”  (Cal. Const., art. I, § 32, subd. (a)(1).)</w:t>
      </w:r>
      <w:r>
        <w:rPr>
          <w:rStyle w:val="FootnoteReference"/>
        </w:rPr>
        <w:footnoteReference w:id="3"/>
      </w:r>
      <w:r w:rsidRPr="00F273F1" w:rsidR="00F118FF">
        <w:t xml:space="preserve">  The</w:t>
      </w:r>
      <w:r w:rsidR="009E518A">
        <w:t xml:space="preserve"> ballot</w:t>
      </w:r>
      <w:r w:rsidRPr="00F273F1" w:rsidR="00F118FF">
        <w:t xml:space="preserve"> </w:t>
      </w:r>
      <w:r w:rsidRPr="00F273F1" w:rsidR="0088066F">
        <w:t>initiative</w:t>
      </w:r>
      <w:r w:rsidRPr="00F273F1" w:rsidR="00294559">
        <w:t xml:space="preserve"> also directed the </w:t>
      </w:r>
      <w:r w:rsidRPr="00F273F1" w:rsidR="00C233CC">
        <w:t xml:space="preserve">Department </w:t>
      </w:r>
      <w:r w:rsidRPr="00F273F1" w:rsidR="00294559">
        <w:t xml:space="preserve">to “adopt regulations in furtherance of these provisions” and </w:t>
      </w:r>
      <w:r w:rsidRPr="00F273F1" w:rsidR="0088066F">
        <w:t>instructed</w:t>
      </w:r>
      <w:r w:rsidRPr="00F273F1" w:rsidR="00294559">
        <w:t xml:space="preserve"> the Secretary of the Department to “certify that these </w:t>
      </w:r>
      <w:r w:rsidRPr="00F273F1" w:rsidR="00294559">
        <w:t>regulations protect and enhance public safety.”  (</w:t>
      </w:r>
      <w:r w:rsidR="00FB163E">
        <w:t xml:space="preserve">Art. I, </w:t>
      </w:r>
      <w:r w:rsidRPr="00F273F1" w:rsidR="00294559">
        <w:t>§ 32, subd. (b).)</w:t>
      </w:r>
    </w:p>
    <w:p w:rsidR="00571C92" w:rsidP="00F273F1" w14:paraId="2B81F68B" w14:textId="1A216E64">
      <w:pPr>
        <w:tabs>
          <w:tab w:val="left" w:pos="1440"/>
        </w:tabs>
        <w:ind w:firstLine="720"/>
      </w:pPr>
      <w:r w:rsidRPr="00F273F1">
        <w:t xml:space="preserve">The Department </w:t>
      </w:r>
      <w:r w:rsidR="001410EC">
        <w:t xml:space="preserve">subsequently </w:t>
      </w:r>
      <w:r w:rsidRPr="00F273F1">
        <w:t>adopted regulations</w:t>
      </w:r>
      <w:r w:rsidRPr="00F273F1" w:rsidR="006128DB">
        <w:t xml:space="preserve"> implementing </w:t>
      </w:r>
      <w:r w:rsidR="005B055E">
        <w:t xml:space="preserve">early </w:t>
      </w:r>
      <w:r w:rsidRPr="00F273F1" w:rsidR="006128DB">
        <w:t>parole</w:t>
      </w:r>
      <w:r w:rsidRPr="00F273F1">
        <w:t xml:space="preserve"> </w:t>
      </w:r>
      <w:r w:rsidRPr="00F273F1" w:rsidR="00B65ACA">
        <w:t>consideration</w:t>
      </w:r>
      <w:r w:rsidR="007632E0">
        <w:t xml:space="preserve"> under article I, section 32</w:t>
      </w:r>
      <w:r w:rsidRPr="00F273F1" w:rsidR="00B65ACA">
        <w:t>.</w:t>
      </w:r>
      <w:r>
        <w:rPr>
          <w:rStyle w:val="FootnoteReference"/>
        </w:rPr>
        <w:footnoteReference w:id="4"/>
      </w:r>
      <w:r w:rsidRPr="00F273F1" w:rsidR="00B65ACA">
        <w:t xml:space="preserve">  </w:t>
      </w:r>
      <w:r w:rsidRPr="00F273F1" w:rsidR="0069615A">
        <w:t>Those regulations</w:t>
      </w:r>
      <w:r w:rsidRPr="00F273F1" w:rsidR="00A36D87">
        <w:t xml:space="preserve"> exclude from </w:t>
      </w:r>
      <w:r w:rsidRPr="00F273F1" w:rsidR="005F6B5B">
        <w:t>nonviolent</w:t>
      </w:r>
      <w:r w:rsidRPr="00F273F1" w:rsidR="00A36D87">
        <w:t xml:space="preserve"> </w:t>
      </w:r>
      <w:r w:rsidRPr="00F273F1" w:rsidR="009D177B">
        <w:t xml:space="preserve">offender </w:t>
      </w:r>
      <w:r w:rsidR="00931D43">
        <w:t xml:space="preserve">early </w:t>
      </w:r>
      <w:r w:rsidRPr="00F273F1" w:rsidR="00A36D87">
        <w:t>parole consideration</w:t>
      </w:r>
      <w:r w:rsidR="00101242">
        <w:t xml:space="preserve"> any inmate who “is </w:t>
      </w:r>
      <w:r w:rsidR="000D4D71">
        <w:t>currently serving a term of incarceration for a ‘violent felony</w:t>
      </w:r>
      <w:r w:rsidR="00B61C6A">
        <w:t>[.]</w:t>
      </w:r>
      <w:r w:rsidR="000D4D71">
        <w:t>’ </w:t>
      </w:r>
      <w:r w:rsidR="00BC3697">
        <w:t>”  (</w:t>
      </w:r>
      <w:r w:rsidRPr="00F273F1" w:rsidR="001130D7">
        <w:t>Cal. Code Regs., tit. 15, §</w:t>
      </w:r>
      <w:r w:rsidR="001130D7">
        <w:t> </w:t>
      </w:r>
      <w:r w:rsidRPr="00F273F1" w:rsidR="001130D7">
        <w:t>349</w:t>
      </w:r>
      <w:r w:rsidR="0088290F">
        <w:t>0</w:t>
      </w:r>
      <w:r w:rsidRPr="00F273F1" w:rsidR="001130D7">
        <w:t>, subd. (</w:t>
      </w:r>
      <w:r w:rsidR="00CC56B2">
        <w:t>a</w:t>
      </w:r>
      <w:r w:rsidRPr="00F273F1" w:rsidR="001130D7">
        <w:t>)</w:t>
      </w:r>
      <w:r w:rsidR="001130D7">
        <w:t>(</w:t>
      </w:r>
      <w:r w:rsidR="00F115DC">
        <w:t>5</w:t>
      </w:r>
      <w:r w:rsidR="001130D7">
        <w:t>)</w:t>
      </w:r>
      <w:r w:rsidRPr="00F273F1" w:rsidR="001130D7">
        <w:t>.)</w:t>
      </w:r>
      <w:r>
        <w:rPr>
          <w:rStyle w:val="FootnoteReference"/>
        </w:rPr>
        <w:footnoteReference w:id="5"/>
      </w:r>
      <w:r>
        <w:t xml:space="preserve">  </w:t>
      </w:r>
      <w:r w:rsidR="00B61C6A">
        <w:t xml:space="preserve">The regulations </w:t>
      </w:r>
      <w:r w:rsidR="009557DA">
        <w:t>state that a “ ‘</w:t>
      </w:r>
      <w:r w:rsidR="00B57FA9">
        <w:t>[v]</w:t>
      </w:r>
      <w:r w:rsidR="008C331E">
        <w:t>iolent felony’ is a crime or enhancement as defined in subdivision (c) of Section 667.5</w:t>
      </w:r>
      <w:r w:rsidR="001D7C18">
        <w:t xml:space="preserve"> of the Penal Code.”  (</w:t>
      </w:r>
      <w:r w:rsidR="001D7C18">
        <w:rPr>
          <w:i/>
          <w:iCs/>
        </w:rPr>
        <w:t>Id</w:t>
      </w:r>
      <w:r w:rsidR="001D7C18">
        <w:t>., § 349</w:t>
      </w:r>
      <w:r w:rsidR="0092320C">
        <w:t>0</w:t>
      </w:r>
      <w:r w:rsidR="001D7C18">
        <w:t>, subd. (c).)</w:t>
      </w:r>
      <w:r w:rsidR="008C331E">
        <w:t xml:space="preserve"> </w:t>
      </w:r>
      <w:r w:rsidR="001D7C18">
        <w:t xml:space="preserve"> </w:t>
      </w:r>
      <w:r w:rsidR="00153ADD">
        <w:t xml:space="preserve"> </w:t>
      </w:r>
      <w:r w:rsidRPr="00F273F1" w:rsidR="006250AC">
        <w:t xml:space="preserve"> </w:t>
      </w:r>
    </w:p>
    <w:p w:rsidR="006126C3" w:rsidP="00F273F1" w14:paraId="75A4558F" w14:textId="78449E95">
      <w:pPr>
        <w:tabs>
          <w:tab w:val="left" w:pos="1440"/>
        </w:tabs>
        <w:ind w:firstLine="720"/>
        <w:rPr>
          <w:iCs/>
        </w:rPr>
      </w:pPr>
      <w:r>
        <w:t>Consistent with those regulations, t</w:t>
      </w:r>
      <w:r w:rsidR="003D1C0C">
        <w:t xml:space="preserve">he Department determined petitioner was ineligible for nonviolent offender early parole consideration </w:t>
      </w:r>
      <w:r w:rsidR="006F05A9">
        <w:t xml:space="preserve">because he was serving a term of incarceration for a violent felony.  </w:t>
      </w:r>
      <w:r w:rsidR="00EB3072">
        <w:t xml:space="preserve">Petitioner challenged that </w:t>
      </w:r>
      <w:r w:rsidR="00355423">
        <w:t>determination</w:t>
      </w:r>
      <w:r w:rsidR="00EB3072">
        <w:t xml:space="preserve">, and </w:t>
      </w:r>
      <w:r w:rsidR="00355423">
        <w:t xml:space="preserve">the Court of Appeal granted relief, holding that the language of article I, section 32(a) requires early parole consideration </w:t>
      </w:r>
      <w:r>
        <w:t>for any inmate convicted of a nonviolent felony even when that inmate was also convicted of a violent felony.  (</w:t>
      </w:r>
      <w:r>
        <w:rPr>
          <w:i/>
          <w:iCs/>
        </w:rPr>
        <w:t>In re Mohammad</w:t>
      </w:r>
      <w:r>
        <w:t xml:space="preserve"> (2019) </w:t>
      </w:r>
      <w:bookmarkStart w:id="2" w:name="OLE_LINK1"/>
      <w:bookmarkStart w:id="3" w:name="OLE_LINK2"/>
      <w:r>
        <w:t>42 Cal.App.5th 719</w:t>
      </w:r>
      <w:bookmarkEnd w:id="2"/>
      <w:bookmarkEnd w:id="3"/>
      <w:r>
        <w:t>, 727 (</w:t>
      </w:r>
      <w:r>
        <w:rPr>
          <w:i/>
          <w:iCs/>
        </w:rPr>
        <w:t>Mohammad</w:t>
      </w:r>
      <w:r>
        <w:t xml:space="preserve">).)  </w:t>
      </w:r>
    </w:p>
    <w:p w:rsidR="000A0255" w:rsidP="00F273F1" w14:paraId="62979A14" w14:textId="268E8850">
      <w:pPr>
        <w:tabs>
          <w:tab w:val="left" w:pos="1440"/>
        </w:tabs>
        <w:ind w:firstLine="720"/>
      </w:pPr>
      <w:r>
        <w:rPr>
          <w:iCs/>
        </w:rPr>
        <w:t>We granted review to decide the validity of the Department’s regulation</w:t>
      </w:r>
      <w:r w:rsidR="0043535C">
        <w:rPr>
          <w:iCs/>
        </w:rPr>
        <w:t xml:space="preserve"> prohibiting early parole consideration under the Proposition 57 scheme for inmates “currently serving a term of incarceration for a ‘violent felony.’ ”  (Cal. Code Regs., </w:t>
      </w:r>
      <w:r w:rsidR="00924A54">
        <w:rPr>
          <w:iCs/>
        </w:rPr>
        <w:t>§ 3490, subd. (a)(5).)</w:t>
      </w:r>
      <w:r>
        <w:rPr>
          <w:iCs/>
        </w:rPr>
        <w:t xml:space="preserve">  </w:t>
      </w:r>
      <w:r w:rsidR="00922443">
        <w:t xml:space="preserve">While the matter was pending in this court, </w:t>
      </w:r>
      <w:r w:rsidR="00B76597">
        <w:t>four</w:t>
      </w:r>
      <w:r w:rsidR="00922443">
        <w:t xml:space="preserve"> other appellate courts disagreed with </w:t>
      </w:r>
      <w:r w:rsidR="00922443">
        <w:rPr>
          <w:i/>
          <w:iCs/>
        </w:rPr>
        <w:t>Mohammad</w:t>
      </w:r>
      <w:r w:rsidR="00922443">
        <w:t xml:space="preserve"> and concluded the Department’s regulations properly excluded from early parole consideration inmates </w:t>
      </w:r>
      <w:r w:rsidR="005142F1">
        <w:t xml:space="preserve">currently </w:t>
      </w:r>
      <w:r w:rsidR="00DF0543">
        <w:t>serving a term of incarceration for</w:t>
      </w:r>
      <w:r w:rsidR="00922443">
        <w:t xml:space="preserve"> </w:t>
      </w:r>
      <w:r w:rsidR="005142F1">
        <w:t xml:space="preserve">a </w:t>
      </w:r>
      <w:r w:rsidR="00922443">
        <w:t>violent felony offense.</w:t>
      </w:r>
      <w:r>
        <w:rPr>
          <w:rStyle w:val="FootnoteReference"/>
        </w:rPr>
        <w:footnoteReference w:id="6"/>
      </w:r>
      <w:r w:rsidR="00922443">
        <w:t xml:space="preserve">  </w:t>
      </w:r>
    </w:p>
    <w:p w:rsidR="00B8490A" w:rsidP="00F273F1" w14:paraId="7A536B82" w14:textId="4C2FE4D0">
      <w:pPr>
        <w:tabs>
          <w:tab w:val="left" w:pos="1440"/>
        </w:tabs>
        <w:ind w:firstLine="720"/>
      </w:pPr>
      <w:r>
        <w:t xml:space="preserve">We conclude </w:t>
      </w:r>
      <w:r w:rsidR="00D77D42">
        <w:t xml:space="preserve">that </w:t>
      </w:r>
      <w:r w:rsidR="00922443">
        <w:t xml:space="preserve">the </w:t>
      </w:r>
      <w:r w:rsidR="00807298">
        <w:t xml:space="preserve">Department acted within </w:t>
      </w:r>
      <w:r w:rsidR="004E38E6">
        <w:t>the authority provided by article I, section 32(b)</w:t>
      </w:r>
      <w:r w:rsidR="00807298">
        <w:t xml:space="preserve"> </w:t>
      </w:r>
      <w:r w:rsidR="00E30AAC">
        <w:t xml:space="preserve">when it </w:t>
      </w:r>
      <w:r w:rsidR="00FB079F">
        <w:t>adopted</w:t>
      </w:r>
      <w:r w:rsidR="006D0411">
        <w:t xml:space="preserve"> the regulation at issue here</w:t>
      </w:r>
      <w:r w:rsidR="00E30AAC">
        <w:t>.</w:t>
      </w:r>
      <w:r w:rsidR="00807298">
        <w:t xml:space="preserve">  </w:t>
      </w:r>
      <w:r w:rsidR="008954AB">
        <w:t>In reaching this conclusion, we find t</w:t>
      </w:r>
      <w:r w:rsidR="00922443">
        <w:t xml:space="preserve">he constitutional text is ambiguous concerning the </w:t>
      </w:r>
      <w:r w:rsidR="0092001A">
        <w:t xml:space="preserve">application of article I, section 32(a) to </w:t>
      </w:r>
      <w:r w:rsidR="00976CA7">
        <w:t xml:space="preserve">an inmate like petitioner who is currently serving a term of incarceration for </w:t>
      </w:r>
      <w:r w:rsidR="005142F1">
        <w:t xml:space="preserve">a </w:t>
      </w:r>
      <w:r w:rsidR="00976CA7">
        <w:t>violent felony offense</w:t>
      </w:r>
      <w:r w:rsidR="00790231">
        <w:t>.</w:t>
      </w:r>
      <w:r w:rsidR="00D77D42">
        <w:t xml:space="preserve">  Considering t</w:t>
      </w:r>
      <w:r w:rsidR="00922443">
        <w:t xml:space="preserve">he </w:t>
      </w:r>
      <w:r w:rsidR="00EB0D04">
        <w:t xml:space="preserve">text </w:t>
      </w:r>
      <w:r w:rsidR="004E38E6">
        <w:t>together</w:t>
      </w:r>
      <w:r w:rsidR="00EB0D04">
        <w:t xml:space="preserve"> with the </w:t>
      </w:r>
      <w:r w:rsidR="00922443">
        <w:t>materials presented to the voters</w:t>
      </w:r>
      <w:r w:rsidR="00CB5B4A">
        <w:t xml:space="preserve">, </w:t>
      </w:r>
      <w:r w:rsidR="00077BF7">
        <w:t xml:space="preserve">we hold that </w:t>
      </w:r>
      <w:r w:rsidR="006720F7">
        <w:t xml:space="preserve">the </w:t>
      </w:r>
      <w:r w:rsidR="00275230">
        <w:t>Department’s approach is reasonably necessary to effectuate the purpose of Proposition</w:t>
      </w:r>
      <w:r w:rsidR="00090FF3">
        <w:t> </w:t>
      </w:r>
      <w:r w:rsidR="00275230">
        <w:t>57</w:t>
      </w:r>
      <w:r w:rsidR="00064129">
        <w:t>.</w:t>
      </w:r>
      <w:r w:rsidR="0031568B">
        <w:t xml:space="preserve">  </w:t>
      </w:r>
      <w:r w:rsidR="006D0411">
        <w:t xml:space="preserve">We therefore agree with the majority of the appellate courts, and </w:t>
      </w:r>
      <w:r w:rsidR="00922443">
        <w:t>reverse the decision of the Court of Appeal below</w:t>
      </w:r>
      <w:r w:rsidR="00E244FF">
        <w:t>.</w:t>
      </w:r>
    </w:p>
    <w:p w:rsidR="00CB0DCD" w:rsidRPr="00F273F1" w:rsidP="00F273F1" w14:paraId="2E4D2074" w14:textId="07FAC29E">
      <w:pPr>
        <w:pStyle w:val="Heading1"/>
      </w:pPr>
      <w:r w:rsidRPr="00F273F1">
        <w:t xml:space="preserve">I.  </w:t>
      </w:r>
      <w:r w:rsidRPr="00F273F1" w:rsidR="00AB0CFE">
        <w:t xml:space="preserve">Facts </w:t>
      </w:r>
      <w:r w:rsidRPr="00F273F1" w:rsidR="00CF02AF">
        <w:t xml:space="preserve">And </w:t>
      </w:r>
      <w:r w:rsidRPr="00F273F1" w:rsidR="00AB0CFE">
        <w:t>Procedural History</w:t>
      </w:r>
    </w:p>
    <w:p w:rsidR="00DB1C5F" w:rsidRPr="00F273F1" w:rsidP="00F273F1" w14:paraId="09117BEA" w14:textId="1FDB39F5">
      <w:pPr>
        <w:pStyle w:val="Heading2"/>
      </w:pPr>
      <w:r w:rsidRPr="00F273F1">
        <w:t xml:space="preserve">A.  </w:t>
      </w:r>
      <w:r w:rsidRPr="00F273F1" w:rsidR="00787B03">
        <w:t>The Underlying</w:t>
      </w:r>
      <w:r w:rsidRPr="00F273F1">
        <w:t xml:space="preserve"> Conviction</w:t>
      </w:r>
    </w:p>
    <w:p w:rsidR="006F34EB" w:rsidRPr="00F273F1" w:rsidP="006F34EB" w14:paraId="3AC624CF" w14:textId="33CCD318">
      <w:pPr>
        <w:tabs>
          <w:tab w:val="left" w:pos="1440"/>
        </w:tabs>
        <w:ind w:firstLine="720"/>
      </w:pPr>
      <w:r w:rsidRPr="00F273F1">
        <w:t xml:space="preserve">In </w:t>
      </w:r>
      <w:r>
        <w:t>2012</w:t>
      </w:r>
      <w:r w:rsidRPr="00F273F1">
        <w:t>,</w:t>
      </w:r>
      <w:r>
        <w:t xml:space="preserve"> petitioner pleaded no contest to nine counts of second degree robbery (</w:t>
      </w:r>
      <w:r w:rsidR="003505A8">
        <w:t xml:space="preserve">Pen. Code, </w:t>
      </w:r>
      <w:r w:rsidR="00830C20">
        <w:t>§</w:t>
      </w:r>
      <w:r w:rsidR="00F170B6">
        <w:t> </w:t>
      </w:r>
      <w:r w:rsidR="00825382">
        <w:t>211) and six counts of receiving stolen property</w:t>
      </w:r>
      <w:r w:rsidR="00CD6923">
        <w:t xml:space="preserve"> (</w:t>
      </w:r>
      <w:r w:rsidR="001A24C0">
        <w:rPr>
          <w:i/>
          <w:iCs/>
        </w:rPr>
        <w:t>id</w:t>
      </w:r>
      <w:r w:rsidR="001A24C0">
        <w:t>.,</w:t>
      </w:r>
      <w:r w:rsidR="001A24C0">
        <w:rPr>
          <w:i/>
          <w:iCs/>
        </w:rPr>
        <w:t xml:space="preserve"> </w:t>
      </w:r>
      <w:r w:rsidR="00CD6923">
        <w:t>§ </w:t>
      </w:r>
      <w:r w:rsidR="002C1E69">
        <w:t>496, subd. (a)).  The trial court designated one count of receiving stolen property to be the principal term and ordered the remaining counts to run consecutively.  Petitioner was sentenced to 29 years in prison</w:t>
      </w:r>
      <w:r w:rsidR="00A06C2D">
        <w:t> </w:t>
      </w:r>
      <w:r w:rsidR="002C1E69">
        <w:t>— three years for the principal term of receiving stolen property, eight months for each of the other counts of receiving stolen property, one year for each of the nine counts of robbery, and a total of 13 years eight months for gang enhancements attached to six counts (</w:t>
      </w:r>
      <w:r w:rsidR="009E6119">
        <w:rPr>
          <w:i/>
          <w:iCs/>
        </w:rPr>
        <w:t>i</w:t>
      </w:r>
      <w:r w:rsidR="00416F99">
        <w:rPr>
          <w:i/>
          <w:iCs/>
        </w:rPr>
        <w:t>d</w:t>
      </w:r>
      <w:r w:rsidR="00416F99">
        <w:t xml:space="preserve">., </w:t>
      </w:r>
      <w:r w:rsidR="008446FE">
        <w:t>§ 186.22, subds. (</w:t>
      </w:r>
      <w:r w:rsidR="00C16862">
        <w:t>b</w:t>
      </w:r>
      <w:r w:rsidR="008446FE">
        <w:t>)(1)(A), (</w:t>
      </w:r>
      <w:r w:rsidR="00C16862">
        <w:t>b</w:t>
      </w:r>
      <w:r w:rsidR="008446FE">
        <w:t>)(1)(C)).</w:t>
      </w:r>
      <w:r>
        <w:rPr>
          <w:rStyle w:val="FootnoteReference"/>
        </w:rPr>
        <w:footnoteReference w:id="7"/>
      </w:r>
      <w:r w:rsidR="008446FE">
        <w:t xml:space="preserve">  </w:t>
      </w:r>
      <w:r w:rsidR="00E20A9D">
        <w:t xml:space="preserve">Petitioner did not appeal.  </w:t>
      </w:r>
    </w:p>
    <w:p w:rsidR="005C017F" w:rsidRPr="00F273F1" w:rsidP="00F273F1" w14:paraId="7B63CCEF" w14:textId="73A334B0">
      <w:pPr>
        <w:pStyle w:val="Heading2"/>
      </w:pPr>
      <w:r w:rsidRPr="00F273F1">
        <w:t xml:space="preserve">B.  </w:t>
      </w:r>
      <w:r w:rsidRPr="00F273F1" w:rsidR="00021742">
        <w:t xml:space="preserve">The </w:t>
      </w:r>
      <w:r w:rsidRPr="00F273F1" w:rsidR="00DB1C5F">
        <w:t>Petition</w:t>
      </w:r>
      <w:r w:rsidR="00E20A9D">
        <w:t xml:space="preserve"> for Writ of Habeas Corpus </w:t>
      </w:r>
      <w:r w:rsidRPr="00F273F1" w:rsidR="00DB1C5F">
        <w:t xml:space="preserve">and </w:t>
      </w:r>
      <w:r w:rsidR="00EC4619">
        <w:t>t</w:t>
      </w:r>
      <w:r w:rsidRPr="00F273F1">
        <w:t>he Court of Appeal Opinion</w:t>
      </w:r>
    </w:p>
    <w:p w:rsidR="00F7185F" w:rsidP="00F273F1" w14:paraId="762A254A" w14:textId="4F4A3756">
      <w:pPr>
        <w:tabs>
          <w:tab w:val="left" w:pos="1440"/>
        </w:tabs>
        <w:ind w:firstLine="720"/>
      </w:pPr>
      <w:r>
        <w:t>T</w:t>
      </w:r>
      <w:r w:rsidRPr="00F273F1" w:rsidR="00EB4B0F">
        <w:t>he electorate approved Proposition 57</w:t>
      </w:r>
      <w:r>
        <w:t xml:space="preserve"> in 2016.  P</w:t>
      </w:r>
      <w:r w:rsidRPr="00F273F1" w:rsidR="00F36E05">
        <w:t>etitioner</w:t>
      </w:r>
      <w:r>
        <w:t xml:space="preserve"> subsequently</w:t>
      </w:r>
      <w:r w:rsidRPr="00F273F1" w:rsidR="00F36E05">
        <w:t xml:space="preserve"> </w:t>
      </w:r>
      <w:r w:rsidRPr="00F273F1" w:rsidR="005F509A">
        <w:t xml:space="preserve">filed </w:t>
      </w:r>
      <w:r w:rsidRPr="00F273F1" w:rsidR="00F36E05">
        <w:t>a</w:t>
      </w:r>
      <w:r w:rsidR="004E2478">
        <w:t xml:space="preserve"> request with the Department asking for early parole consideration.  He asserted that Proposition 57 requires early parole consideration for inmates who have completed the full term for a primary offense when that offense is nonviolent.  He noted that the trial court in his case designated </w:t>
      </w:r>
      <w:r w:rsidR="0049076F">
        <w:t xml:space="preserve">as the principal term </w:t>
      </w:r>
      <w:r w:rsidR="004E2478">
        <w:t>one count of receiving stolen property</w:t>
      </w:r>
      <w:r w:rsidR="005025B2">
        <w:t xml:space="preserve">, and that receiving stolen property is not defined as a violent felony under </w:t>
      </w:r>
      <w:r w:rsidR="00E84A97">
        <w:t xml:space="preserve">Penal Code </w:t>
      </w:r>
      <w:r w:rsidR="005025B2">
        <w:t xml:space="preserve">section 667.5, subdivision (c).  </w:t>
      </w:r>
      <w:r w:rsidR="004077C2">
        <w:t xml:space="preserve">The Department denied </w:t>
      </w:r>
      <w:r w:rsidR="0049076F">
        <w:t>petitioner’s</w:t>
      </w:r>
      <w:r w:rsidR="004077C2">
        <w:t xml:space="preserve"> request.  Petitioner filed a petition for a w</w:t>
      </w:r>
      <w:r w:rsidR="002473EA">
        <w:t>r</w:t>
      </w:r>
      <w:r w:rsidR="004077C2">
        <w:t>it of habeas corpus in the Los Angeles County Superior Court.  The superior court denied the petition in November 2018, agreeing with the Department</w:t>
      </w:r>
      <w:r w:rsidR="009D28C8">
        <w:t>.</w:t>
      </w:r>
    </w:p>
    <w:p w:rsidR="006744CD" w:rsidP="00F273F1" w14:paraId="332E7DB1" w14:textId="680D725F">
      <w:pPr>
        <w:tabs>
          <w:tab w:val="left" w:pos="1440"/>
        </w:tabs>
        <w:ind w:firstLine="720"/>
      </w:pPr>
      <w:r>
        <w:t xml:space="preserve">In January 2019, petitioner sought habeas corpus relief in the Court of Appeal.  That court </w:t>
      </w:r>
      <w:r w:rsidR="002473EA">
        <w:t>ultimately</w:t>
      </w:r>
      <w:r w:rsidR="004F27FF">
        <w:t xml:space="preserve"> </w:t>
      </w:r>
      <w:r w:rsidR="005F7287">
        <w:t>held in a published opinion that the Department’s regulations improperly excluded petitioner from early parole consideration.  (</w:t>
      </w:r>
      <w:r w:rsidR="005F7287">
        <w:rPr>
          <w:i/>
          <w:iCs/>
        </w:rPr>
        <w:t>Mohammad</w:t>
      </w:r>
      <w:r w:rsidR="005F7287">
        <w:t xml:space="preserve">, </w:t>
      </w:r>
      <w:r w:rsidR="005F7287">
        <w:rPr>
          <w:i/>
          <w:iCs/>
        </w:rPr>
        <w:t>supra</w:t>
      </w:r>
      <w:r w:rsidR="005F7287">
        <w:t>, 42 Cal.App.5th at p. 729.)  The court focused on the language of the constitutional provision</w:t>
      </w:r>
      <w:r w:rsidR="009A64B0">
        <w:t xml:space="preserve"> establishing parole consideration for “</w:t>
      </w:r>
      <w:r w:rsidR="00C67C6D">
        <w:t> ‘</w:t>
      </w:r>
      <w:r w:rsidR="009A64B0">
        <w:t>[a]ny person</w:t>
      </w:r>
      <w:r w:rsidR="00C67C6D">
        <w:t xml:space="preserve"> convicted of a nonviolent felony offense’ upon completion of ‘the full term of his or her primary offense.’ ”  (</w:t>
      </w:r>
      <w:r w:rsidR="00C67C6D">
        <w:rPr>
          <w:i/>
          <w:iCs/>
        </w:rPr>
        <w:t>Id</w:t>
      </w:r>
      <w:r w:rsidR="00C67C6D">
        <w:t>.</w:t>
      </w:r>
      <w:r w:rsidR="00090FF3">
        <w:t> </w:t>
      </w:r>
      <w:r w:rsidR="00C67C6D">
        <w:t>at p. 726, quoting art. I,</w:t>
      </w:r>
      <w:r w:rsidR="00371438">
        <w:t xml:space="preserve"> § 32(a)(1).)  This language, the court held, contains the sole requirement for early parole consideration under Proposition 57</w:t>
      </w:r>
      <w:r w:rsidR="000C5747">
        <w:t> </w:t>
      </w:r>
      <w:r w:rsidR="008E7AF3">
        <w:t>— conviction of a nonviolent felony.  (</w:t>
      </w:r>
      <w:r w:rsidR="003E082F">
        <w:rPr>
          <w:i/>
          <w:iCs/>
        </w:rPr>
        <w:t>Mohammad</w:t>
      </w:r>
      <w:r w:rsidR="003E082F">
        <w:t xml:space="preserve">, </w:t>
      </w:r>
      <w:r w:rsidR="003E082F">
        <w:rPr>
          <w:i/>
          <w:iCs/>
        </w:rPr>
        <w:t>supra</w:t>
      </w:r>
      <w:r w:rsidR="003E082F">
        <w:t>, 42</w:t>
      </w:r>
      <w:r w:rsidR="00767E19">
        <w:t> </w:t>
      </w:r>
      <w:r w:rsidR="003E082F">
        <w:t>Cal.App.5th</w:t>
      </w:r>
      <w:r w:rsidR="008E7AF3">
        <w:t xml:space="preserve"> at p. 726.)  </w:t>
      </w:r>
      <w:r w:rsidR="00C94352">
        <w:t>Early parole consideration is there</w:t>
      </w:r>
      <w:r w:rsidR="009352C5">
        <w:t>fore required</w:t>
      </w:r>
      <w:r>
        <w:t>, according to the Court of Appeal, “so long as [the inmate] commits ‘a’ single nonviolent felony offense</w:t>
      </w:r>
      <w:r w:rsidR="000C5747">
        <w:t> </w:t>
      </w:r>
      <w:r>
        <w:t>— even if that offense is not his or her only offense.”  (</w:t>
      </w:r>
      <w:r>
        <w:rPr>
          <w:i/>
          <w:iCs/>
        </w:rPr>
        <w:t>Ibid</w:t>
      </w:r>
      <w:r>
        <w:t>.)</w:t>
      </w:r>
    </w:p>
    <w:p w:rsidR="00DA3578" w:rsidRPr="00DA3578" w:rsidP="00DA3578" w14:paraId="5D2C8FBC" w14:textId="7F250BAE">
      <w:pPr>
        <w:tabs>
          <w:tab w:val="left" w:pos="1440"/>
        </w:tabs>
        <w:ind w:firstLine="720"/>
      </w:pPr>
      <w:r w:rsidRPr="00DA3578">
        <w:t>In support of its conclusion, the court pointed to the constitutional language defining the “</w:t>
      </w:r>
      <w:r w:rsidR="003669E6">
        <w:t> </w:t>
      </w:r>
      <w:r w:rsidRPr="00DA3578">
        <w:t>‘full term for the primary offense’ as ‘the longest term of imprisonment imposed by the court</w:t>
      </w:r>
      <w:r w:rsidR="00F76CD4">
        <w:t xml:space="preserve"> for any offense</w:t>
      </w:r>
      <w:r w:rsidRPr="00DA3578">
        <w:t xml:space="preserve">, </w:t>
      </w:r>
      <w:r w:rsidRPr="00DA3578">
        <w:rPr>
          <w:i/>
          <w:iCs/>
        </w:rPr>
        <w:t xml:space="preserve">excluding the imposition of </w:t>
      </w:r>
      <w:r w:rsidRPr="00DA3578">
        <w:t>an enhancement, [</w:t>
      </w:r>
      <w:r w:rsidRPr="00DA3578">
        <w:rPr>
          <w:i/>
          <w:iCs/>
        </w:rPr>
        <w:t>a</w:t>
      </w:r>
      <w:r w:rsidRPr="00DA3578">
        <w:t xml:space="preserve">] </w:t>
      </w:r>
      <w:r w:rsidRPr="00DA3578">
        <w:rPr>
          <w:i/>
          <w:iCs/>
        </w:rPr>
        <w:t>consecutive sentence</w:t>
      </w:r>
      <w:r w:rsidRPr="00DA3578">
        <w:t>, or [an] alternative sentence.’ ”  (</w:t>
      </w:r>
      <w:r w:rsidRPr="00DA3578">
        <w:rPr>
          <w:i/>
          <w:iCs/>
        </w:rPr>
        <w:t>Mohammad</w:t>
      </w:r>
      <w:r w:rsidRPr="00DA3578">
        <w:t xml:space="preserve">, </w:t>
      </w:r>
      <w:r w:rsidRPr="00DA3578">
        <w:rPr>
          <w:i/>
          <w:iCs/>
        </w:rPr>
        <w:t>supra</w:t>
      </w:r>
      <w:r w:rsidRPr="00DA3578">
        <w:t>, 42 Cal.App.5th at p.</w:t>
      </w:r>
      <w:r w:rsidR="0024277E">
        <w:t> </w:t>
      </w:r>
      <w:r w:rsidRPr="00DA3578">
        <w:t>726, quoting art. I, §</w:t>
      </w:r>
      <w:r w:rsidR="0024277E">
        <w:t> </w:t>
      </w:r>
      <w:r w:rsidRPr="00DA3578">
        <w:t xml:space="preserve">32(a)(1)(A).)  Under this provision, the court asserted, “an inmate who is ‘convicted of a nonviolent felony offense’ not only remains eligible if he or she is sentenced to a consecutive sentence, but in fact, becomes eligible for an early parole hearing </w:t>
      </w:r>
      <w:r w:rsidRPr="00DA3578">
        <w:rPr>
          <w:i/>
          <w:iCs/>
        </w:rPr>
        <w:t xml:space="preserve">prior to </w:t>
      </w:r>
      <w:r w:rsidRPr="00DA3578">
        <w:t>serving that consecutive sentence.”  (</w:t>
      </w:r>
      <w:r w:rsidR="00143651">
        <w:rPr>
          <w:i/>
          <w:iCs/>
        </w:rPr>
        <w:t>Mohammad</w:t>
      </w:r>
      <w:r w:rsidR="00143651">
        <w:t xml:space="preserve">, </w:t>
      </w:r>
      <w:r w:rsidR="00143651">
        <w:rPr>
          <w:i/>
          <w:iCs/>
        </w:rPr>
        <w:t>supra</w:t>
      </w:r>
      <w:r w:rsidR="00143651">
        <w:t>, 42 Cal.App.5th</w:t>
      </w:r>
      <w:r w:rsidRPr="00DA3578">
        <w:t xml:space="preserve"> at p. 727, quoting art. I, § 32(a)(1).)</w:t>
      </w:r>
    </w:p>
    <w:p w:rsidR="00847B92" w:rsidRPr="00847B92" w:rsidP="00847B92" w14:paraId="09FB1E3B" w14:textId="6D81F4E7">
      <w:pPr>
        <w:tabs>
          <w:tab w:val="left" w:pos="1440"/>
        </w:tabs>
        <w:ind w:firstLine="720"/>
      </w:pPr>
      <w:r w:rsidRPr="00847B92">
        <w:t>The court rejected the Department’s regulations as incompatible with the language of article I, section 32(a)(1).  (</w:t>
      </w:r>
      <w:r w:rsidRPr="00847B92">
        <w:rPr>
          <w:i/>
          <w:iCs/>
        </w:rPr>
        <w:t>Mohammad</w:t>
      </w:r>
      <w:r w:rsidRPr="00847B92">
        <w:t xml:space="preserve">, </w:t>
      </w:r>
      <w:r w:rsidRPr="00847B92">
        <w:rPr>
          <w:i/>
          <w:iCs/>
        </w:rPr>
        <w:t>supra</w:t>
      </w:r>
      <w:r w:rsidRPr="00847B92">
        <w:t>, 42 Cal.App.5th at pp. 726–727.)</w:t>
      </w:r>
      <w:r w:rsidR="00E84BE5">
        <w:t xml:space="preserve">  </w:t>
      </w:r>
      <w:r w:rsidRPr="00847B92">
        <w:t>The court noted that those regulations “dictate a different result, but only by impermissibly defining and limiting the universe of eligible inmates to</w:t>
      </w:r>
      <w:r w:rsidR="001D5397">
        <w:t xml:space="preserve"> ‘</w:t>
      </w:r>
      <w:r w:rsidRPr="003D76EB">
        <w:t>nonviolent</w:t>
      </w:r>
      <w:r w:rsidRPr="00847B92">
        <w:t xml:space="preserve"> </w:t>
      </w:r>
      <w:r w:rsidRPr="00847B92">
        <w:rPr>
          <w:i/>
          <w:iCs/>
        </w:rPr>
        <w:t>offenders</w:t>
      </w:r>
      <w:r w:rsidRPr="00847B92">
        <w:t>’</w:t>
      </w:r>
      <w:r w:rsidR="000C5747">
        <w:t> </w:t>
      </w:r>
      <w:r w:rsidRPr="00847B92">
        <w:t>— a term that does not appear anywhere in [article I,] section 32(a)(1).”  (</w:t>
      </w:r>
      <w:r w:rsidRPr="00847B92">
        <w:rPr>
          <w:i/>
          <w:iCs/>
        </w:rPr>
        <w:t>Id</w:t>
      </w:r>
      <w:r w:rsidRPr="00847B92">
        <w:t>. at p. 726, quoting Cal. Code Regs., § 3491.)  The court declined to consider the ballot materials presented to the voters, determining that</w:t>
      </w:r>
      <w:r w:rsidR="002473EA">
        <w:t xml:space="preserve"> review of extrinsic sources was unnecessary because</w:t>
      </w:r>
      <w:r w:rsidRPr="00847B92">
        <w:t xml:space="preserve"> the language of the constitutional provision itself was unambiguous.  (</w:t>
      </w:r>
      <w:r w:rsidR="00204D14">
        <w:rPr>
          <w:i/>
          <w:iCs/>
        </w:rPr>
        <w:t>Mohammad</w:t>
      </w:r>
      <w:r w:rsidR="00204D14">
        <w:t xml:space="preserve">, </w:t>
      </w:r>
      <w:r w:rsidR="00204D14">
        <w:rPr>
          <w:i/>
          <w:iCs/>
        </w:rPr>
        <w:t>supra</w:t>
      </w:r>
      <w:r w:rsidR="00204D14">
        <w:t>, 42 Cal.App.5th</w:t>
      </w:r>
      <w:r w:rsidRPr="00847B92">
        <w:t xml:space="preserve"> at p. 727, citing </w:t>
      </w:r>
      <w:r w:rsidRPr="00847B92">
        <w:rPr>
          <w:i/>
          <w:iCs/>
        </w:rPr>
        <w:t>Silicon Valley Taxpayers’ Assn., Inc. v. Santa Clara County Open Space Authority</w:t>
      </w:r>
      <w:r w:rsidRPr="00847B92">
        <w:t xml:space="preserve"> (2008) 44 Cal.4th 431, 444–445.)</w:t>
      </w:r>
    </w:p>
    <w:p w:rsidR="005F6041" w:rsidRPr="005F6041" w:rsidP="005F6041" w14:paraId="6F2FA178" w14:textId="3EE10BB3">
      <w:pPr>
        <w:tabs>
          <w:tab w:val="left" w:pos="1440"/>
        </w:tabs>
        <w:ind w:firstLine="720"/>
      </w:pPr>
      <w:r>
        <w:t>T</w:t>
      </w:r>
      <w:r w:rsidRPr="005F6041">
        <w:t xml:space="preserve">he Court of Appeal </w:t>
      </w:r>
      <w:r w:rsidR="002473EA">
        <w:t>acknowledged</w:t>
      </w:r>
      <w:r w:rsidRPr="005F6041">
        <w:t xml:space="preserve"> that the Department’s argument “has some intuitive appeal.  It cannot be, the argument goes, that voters intended a defendant who is convicted of more crimes, i.e., both violent and nonviolent felonies, to be eligible for early parole consideration while a defendant convicted of fewer crimes, i.e., the same violent felony but no nonviolent felonies, is not.”  (</w:t>
      </w:r>
      <w:r w:rsidRPr="005F6041">
        <w:rPr>
          <w:i/>
          <w:iCs/>
        </w:rPr>
        <w:t>Mohammad</w:t>
      </w:r>
      <w:r w:rsidRPr="005F6041">
        <w:t xml:space="preserve">, </w:t>
      </w:r>
      <w:r w:rsidRPr="005F6041">
        <w:rPr>
          <w:i/>
          <w:iCs/>
        </w:rPr>
        <w:t>supra</w:t>
      </w:r>
      <w:r w:rsidRPr="005F6041">
        <w:t>, 42</w:t>
      </w:r>
      <w:r w:rsidR="00767E19">
        <w:t> </w:t>
      </w:r>
      <w:r w:rsidRPr="005F6041">
        <w:t xml:space="preserve">Cal.App.5th at p. 727.)  But this “intuitive appeal” is overcome and that interpretation foreclosed, the court </w:t>
      </w:r>
      <w:r>
        <w:t>determined</w:t>
      </w:r>
      <w:r w:rsidRPr="005F6041">
        <w:t>, by the language of the provision.  (</w:t>
      </w:r>
      <w:r w:rsidRPr="005F6041">
        <w:rPr>
          <w:i/>
          <w:iCs/>
        </w:rPr>
        <w:t>Id</w:t>
      </w:r>
      <w:r w:rsidRPr="005F6041">
        <w:t>. at pp. 727–728.)</w:t>
      </w:r>
    </w:p>
    <w:p w:rsidR="005F6041" w:rsidRPr="005F6041" w:rsidP="005F6041" w14:paraId="11527AE6" w14:textId="78DEE438">
      <w:pPr>
        <w:tabs>
          <w:tab w:val="left" w:pos="1440"/>
        </w:tabs>
        <w:ind w:firstLine="720"/>
      </w:pPr>
      <w:r w:rsidRPr="005F6041">
        <w:t>The court also noted that petitioner’s case “is an unusual one” in that the trial court designated a nonviolent felony as petitioner’s principal term, while “</w:t>
      </w:r>
      <w:r w:rsidR="00C44B85">
        <w:t>[</w:t>
      </w:r>
      <w:r w:rsidRPr="005F6041">
        <w:t>o</w:t>
      </w:r>
      <w:r w:rsidR="00C44B85">
        <w:t>]</w:t>
      </w:r>
      <w:r w:rsidRPr="005F6041">
        <w:t>ften” an individual’s most serious violent felony is deemed the principal term.  (</w:t>
      </w:r>
      <w:r w:rsidRPr="005F6041">
        <w:rPr>
          <w:i/>
          <w:iCs/>
        </w:rPr>
        <w:t>Mohammad</w:t>
      </w:r>
      <w:r w:rsidRPr="005F6041">
        <w:t xml:space="preserve">, </w:t>
      </w:r>
      <w:r w:rsidRPr="005F6041">
        <w:rPr>
          <w:i/>
          <w:iCs/>
        </w:rPr>
        <w:t>supra</w:t>
      </w:r>
      <w:r w:rsidRPr="005F6041">
        <w:t>, 42 Cal.App.5th at p. 728.)  The court suggested that these facts</w:t>
      </w:r>
      <w:r w:rsidR="00A82E3B">
        <w:t> </w:t>
      </w:r>
      <w:r w:rsidRPr="005F6041">
        <w:t>— “when an inmate becomes eligible for early parole consideration before serving time for any of his or her violent felony offenses”</w:t>
      </w:r>
      <w:r w:rsidR="00A82E3B">
        <w:t> </w:t>
      </w:r>
      <w:r w:rsidRPr="005F6041">
        <w:t>— “will not frequently arise.”  (</w:t>
      </w:r>
      <w:r w:rsidRPr="005F6041">
        <w:rPr>
          <w:i/>
          <w:iCs/>
        </w:rPr>
        <w:t>Ibid</w:t>
      </w:r>
      <w:r w:rsidRPr="005F6041">
        <w:t>.</w:t>
      </w:r>
      <w:r w:rsidR="00675769">
        <w:t xml:space="preserve">, fn. </w:t>
      </w:r>
      <w:r w:rsidR="00BB330F">
        <w:t>o</w:t>
      </w:r>
      <w:r w:rsidR="00675769">
        <w:t>mitted.</w:t>
      </w:r>
      <w:r w:rsidRPr="005F6041">
        <w:t>)</w:t>
      </w:r>
    </w:p>
    <w:p w:rsidR="00AB0CFE" w:rsidRPr="00F273F1" w:rsidP="004E18D4" w14:paraId="0A1C0993" w14:textId="1CEC151A">
      <w:pPr>
        <w:tabs>
          <w:tab w:val="left" w:pos="1440"/>
        </w:tabs>
        <w:ind w:firstLine="720"/>
      </w:pPr>
      <w:r w:rsidRPr="005F6041">
        <w:t xml:space="preserve">We granted the Attorney General’s petition for review.  After the filing of our opinion in </w:t>
      </w:r>
      <w:r w:rsidRPr="005F6041">
        <w:rPr>
          <w:i/>
          <w:iCs/>
        </w:rPr>
        <w:t>In re Gadlin</w:t>
      </w:r>
      <w:r w:rsidRPr="005F6041">
        <w:t xml:space="preserve"> (2020) 10 Cal.5th 915 (</w:t>
      </w:r>
      <w:r w:rsidRPr="005F6041">
        <w:rPr>
          <w:i/>
          <w:iCs/>
        </w:rPr>
        <w:t>Gadlin</w:t>
      </w:r>
      <w:r w:rsidRPr="005F6041">
        <w:t xml:space="preserve">), we granted petitioner’s motion to file supplemental briefing to address </w:t>
      </w:r>
      <w:r w:rsidRPr="005F6041">
        <w:rPr>
          <w:i/>
          <w:iCs/>
        </w:rPr>
        <w:t>Gadlin</w:t>
      </w:r>
      <w:r w:rsidRPr="005F6041">
        <w:t xml:space="preserve"> </w:t>
      </w:r>
      <w:r w:rsidR="002473EA">
        <w:t>as well as</w:t>
      </w:r>
      <w:r w:rsidRPr="005F6041">
        <w:t xml:space="preserve"> Proposition 20, </w:t>
      </w:r>
      <w:r w:rsidR="002D304D">
        <w:t>a ballot i</w:t>
      </w:r>
      <w:r w:rsidRPr="005F6041">
        <w:t>nitiative that was rejected by the voters in November 2020</w:t>
      </w:r>
      <w:r w:rsidR="004E18D4">
        <w:t>.</w:t>
      </w:r>
    </w:p>
    <w:p w:rsidR="002344F2" w:rsidRPr="00F273F1" w:rsidP="00E64DAB" w14:paraId="26EA5441" w14:textId="0EDE3DB6">
      <w:pPr>
        <w:pStyle w:val="Heading1"/>
      </w:pPr>
      <w:r w:rsidRPr="00F273F1">
        <w:t xml:space="preserve">II.  </w:t>
      </w:r>
      <w:r w:rsidRPr="00F273F1" w:rsidR="00CF02AF">
        <w:t>Discussion</w:t>
      </w:r>
    </w:p>
    <w:p w:rsidR="00A84782" w:rsidRPr="00F273F1" w:rsidP="00F273F1" w14:paraId="1D798211" w14:textId="0AAB7EDB">
      <w:pPr>
        <w:pStyle w:val="Heading2"/>
      </w:pPr>
      <w:r w:rsidRPr="00F273F1">
        <w:t xml:space="preserve">A.  </w:t>
      </w:r>
      <w:r w:rsidRPr="00F273F1">
        <w:t>Proposition 57</w:t>
      </w:r>
    </w:p>
    <w:p w:rsidR="00A427A6" w:rsidRPr="00A427A6" w:rsidP="00A427A6" w14:paraId="0BDE0228" w14:textId="52DE73E2">
      <w:pPr>
        <w:tabs>
          <w:tab w:val="left" w:pos="1440"/>
        </w:tabs>
        <w:ind w:firstLine="720"/>
      </w:pPr>
      <w:r w:rsidRPr="00A427A6">
        <w:t xml:space="preserve">We recently described the history of Proposition 57 in </w:t>
      </w:r>
      <w:r w:rsidRPr="00A427A6">
        <w:rPr>
          <w:i/>
          <w:iCs/>
        </w:rPr>
        <w:t>Gadlin</w:t>
      </w:r>
      <w:r w:rsidRPr="00A427A6">
        <w:t>.  We noted there that the California Legislature and the electorate have taken steps to decrease the California prison population, including the electorate’s approval of Proposition 57 in November 2016.  (</w:t>
      </w:r>
      <w:r w:rsidRPr="00A427A6">
        <w:rPr>
          <w:i/>
          <w:iCs/>
        </w:rPr>
        <w:t>Gadlin</w:t>
      </w:r>
      <w:r w:rsidRPr="00A427A6">
        <w:t xml:space="preserve">, </w:t>
      </w:r>
      <w:r w:rsidRPr="00A427A6">
        <w:rPr>
          <w:i/>
          <w:iCs/>
        </w:rPr>
        <w:t>supra</w:t>
      </w:r>
      <w:r w:rsidRPr="00A427A6">
        <w:t>, 10 Cal.5th at pp. 922–923, citing Cal. Sect. of State, Statement of Vote Summary Pages (2016) p. 12 &lt;</w:t>
      </w:r>
      <w:r w:rsidRPr="0099517E">
        <w:t>https://elections.cdn.sos.ca.gov/sov/2016-general/sov/06-sov-summary.pdf</w:t>
      </w:r>
      <w:r w:rsidRPr="00A427A6">
        <w:t xml:space="preserve">&gt; [as of </w:t>
      </w:r>
      <w:r w:rsidR="007A0227">
        <w:t xml:space="preserve">Dec. </w:t>
      </w:r>
      <w:r w:rsidR="00785330">
        <w:t>2</w:t>
      </w:r>
      <w:r w:rsidR="00D53173">
        <w:t>8</w:t>
      </w:r>
      <w:r w:rsidRPr="00A427A6">
        <w:t>, 2021].)  The initiative, in relevant part, added section 32 to article I of the California Constitution</w:t>
      </w:r>
      <w:r w:rsidR="00E3246C">
        <w:t>, which provides</w:t>
      </w:r>
      <w:r w:rsidRPr="00A427A6">
        <w:t xml:space="preserve">:  “Any person convicted of a nonviolent felony offense and sentenced to state prison shall be eligible for parole consideration after completing the full term for his or her primary offense.”  (Art. I, § 32(a)(1).)  Article I, section 32 further </w:t>
      </w:r>
      <w:r w:rsidR="00E3246C">
        <w:t>specifies</w:t>
      </w:r>
      <w:r w:rsidRPr="00A427A6">
        <w:t xml:space="preserve"> that “the full term for the primary offense means the longest term of imprisonment imposed by the court for any offense, excluding the imposition of an enhancement, consecutive sentence, or alternative sentence” (</w:t>
      </w:r>
      <w:r w:rsidRPr="00A427A6">
        <w:rPr>
          <w:i/>
        </w:rPr>
        <w:t>id</w:t>
      </w:r>
      <w:r w:rsidRPr="00A427A6">
        <w:t>., subd. (a)(1)(A))</w:t>
      </w:r>
      <w:r w:rsidR="002E462D">
        <w:t>,</w:t>
      </w:r>
      <w:r>
        <w:rPr>
          <w:rStyle w:val="FootnoteReference"/>
        </w:rPr>
        <w:footnoteReference w:id="8"/>
      </w:r>
      <w:r w:rsidRPr="00A427A6">
        <w:t xml:space="preserve"> directs the Department to “adopt regulations in furtherance of these provisions”</w:t>
      </w:r>
      <w:r w:rsidR="00FF4FC0">
        <w:t xml:space="preserve"> (</w:t>
      </w:r>
      <w:r w:rsidR="00FF4FC0">
        <w:rPr>
          <w:i/>
          <w:iCs/>
        </w:rPr>
        <w:t>id</w:t>
      </w:r>
      <w:r w:rsidR="00FF4FC0">
        <w:t xml:space="preserve">., </w:t>
      </w:r>
      <w:r w:rsidR="00462605">
        <w:t>§ 32(b)),</w:t>
      </w:r>
      <w:r w:rsidRPr="00A427A6">
        <w:t xml:space="preserve"> and instructs the Secretary of the Department to “certify that these regulations protect and enhance public safety” (</w:t>
      </w:r>
      <w:r w:rsidRPr="00A427A6">
        <w:rPr>
          <w:i/>
        </w:rPr>
        <w:t>i</w:t>
      </w:r>
      <w:r w:rsidR="00462605">
        <w:rPr>
          <w:i/>
        </w:rPr>
        <w:t>bi</w:t>
      </w:r>
      <w:r w:rsidRPr="00A427A6">
        <w:rPr>
          <w:i/>
        </w:rPr>
        <w:t>d</w:t>
      </w:r>
      <w:r w:rsidR="00462605">
        <w:rPr>
          <w:iCs/>
        </w:rPr>
        <w:t>.</w:t>
      </w:r>
      <w:r w:rsidRPr="00A427A6">
        <w:t>).</w:t>
      </w:r>
    </w:p>
    <w:p w:rsidR="004E18D4" w:rsidP="00A427A6" w14:paraId="300D0BA5" w14:textId="2A4E8E66">
      <w:pPr>
        <w:tabs>
          <w:tab w:val="left" w:pos="1440"/>
        </w:tabs>
        <w:ind w:firstLine="720"/>
      </w:pPr>
      <w:r w:rsidRPr="00A427A6">
        <w:t xml:space="preserve">We </w:t>
      </w:r>
      <w:r w:rsidR="009F5935">
        <w:t>described</w:t>
      </w:r>
      <w:r w:rsidRPr="00A427A6">
        <w:t xml:space="preserve"> </w:t>
      </w:r>
      <w:r w:rsidRPr="00A427A6" w:rsidR="009F5935">
        <w:t xml:space="preserve">the purposes of the constitutional provision </w:t>
      </w:r>
      <w:r w:rsidRPr="00A427A6">
        <w:t xml:space="preserve">in </w:t>
      </w:r>
      <w:r w:rsidRPr="00A427A6">
        <w:rPr>
          <w:i/>
          <w:iCs/>
        </w:rPr>
        <w:t>Gadlin</w:t>
      </w:r>
      <w:r w:rsidRPr="00A427A6">
        <w:t>:  “ ‘[T]o enhance public safety, improve rehabilitation, and avoid the release of prisoners by federal court order, notwithstanding anything in this article or any other provision of law.’ ”  (</w:t>
      </w:r>
      <w:r w:rsidRPr="00A427A6">
        <w:rPr>
          <w:i/>
          <w:iCs/>
        </w:rPr>
        <w:t>Gadlin</w:t>
      </w:r>
      <w:r w:rsidRPr="00A427A6">
        <w:t xml:space="preserve">, </w:t>
      </w:r>
      <w:r w:rsidRPr="00A427A6">
        <w:rPr>
          <w:i/>
          <w:iCs/>
        </w:rPr>
        <w:t>supra</w:t>
      </w:r>
      <w:r w:rsidRPr="00A427A6">
        <w:t>, 10 Cal.5th at p. 923, quoting art. I, § 32(a).)</w:t>
      </w:r>
      <w:r w:rsidRPr="00A427A6">
        <w:rPr>
          <w:i/>
          <w:iCs/>
        </w:rPr>
        <w:t xml:space="preserve"> </w:t>
      </w:r>
      <w:r w:rsidRPr="00A427A6">
        <w:t xml:space="preserve"> Uncodified portions of Proposition 57 </w:t>
      </w:r>
      <w:r w:rsidR="00686848">
        <w:t xml:space="preserve">further </w:t>
      </w:r>
      <w:r w:rsidRPr="00A427A6">
        <w:t xml:space="preserve">identify the initiative’s purpose and intent, in relevant part, as follows:  “1.  Protect and enhance public safety.  [¶]  2. </w:t>
      </w:r>
      <w:r w:rsidR="00ED7DCA">
        <w:t> </w:t>
      </w:r>
      <w:r w:rsidRPr="00A427A6">
        <w:t xml:space="preserve">Save money by reducing wasteful spending on prisons.  [¶]  3. </w:t>
      </w:r>
      <w:r w:rsidR="00ED7DCA">
        <w:t> </w:t>
      </w:r>
      <w:r w:rsidRPr="00A427A6">
        <w:t>Prevent federal courts from indiscriminately releasing prisoners.  [¶]  4.  Stop the revolving door of crime by emphasizing rehabilitation, especially for juveniles.”  (Voter Information Guide, Gen. Elec. (Nov. 8, 2016) text of Prop. 57, § 2, p. 141.)  The initiative further states that the “act shall be liberally construed to effectuate its purposes.”  (</w:t>
      </w:r>
      <w:r w:rsidRPr="00A427A6">
        <w:rPr>
          <w:i/>
        </w:rPr>
        <w:t>Id</w:t>
      </w:r>
      <w:r w:rsidRPr="00A427A6">
        <w:t>., § 9, p. 146</w:t>
      </w:r>
      <w:r>
        <w:t>.)</w:t>
      </w:r>
    </w:p>
    <w:p w:rsidR="00A84782" w:rsidRPr="00F273F1" w:rsidP="00F273F1" w14:paraId="59522C35" w14:textId="7FFA3DEC">
      <w:pPr>
        <w:pStyle w:val="Heading2"/>
      </w:pPr>
      <w:r w:rsidRPr="00F273F1">
        <w:t>B.  T</w:t>
      </w:r>
      <w:r w:rsidRPr="00F273F1">
        <w:t xml:space="preserve">he </w:t>
      </w:r>
      <w:r w:rsidRPr="00F273F1" w:rsidR="00F47DFB">
        <w:t xml:space="preserve">Department’s </w:t>
      </w:r>
      <w:r w:rsidRPr="00F273F1">
        <w:t>Regulations</w:t>
      </w:r>
    </w:p>
    <w:p w:rsidR="00245017" w:rsidP="00245017" w14:paraId="5EA5D889" w14:textId="15A7559A">
      <w:pPr>
        <w:tabs>
          <w:tab w:val="left" w:pos="1440"/>
        </w:tabs>
        <w:ind w:firstLine="720"/>
      </w:pPr>
      <w:r w:rsidRPr="00F273F1">
        <w:t>In March 2017</w:t>
      </w:r>
      <w:r w:rsidRPr="00F273F1" w:rsidR="00AB6921">
        <w:t>,</w:t>
      </w:r>
      <w:r w:rsidRPr="00F273F1">
        <w:t xml:space="preserve"> t</w:t>
      </w:r>
      <w:r w:rsidRPr="00F273F1" w:rsidR="00A84782">
        <w:t xml:space="preserve">he Department </w:t>
      </w:r>
      <w:r w:rsidRPr="00F273F1" w:rsidR="00C01333">
        <w:t>proposed</w:t>
      </w:r>
      <w:r w:rsidRPr="00F273F1" w:rsidR="00A84782">
        <w:t xml:space="preserve"> emergency regulations to implement Proposition 57.  </w:t>
      </w:r>
      <w:r w:rsidR="00AC09CE">
        <w:t xml:space="preserve">As we described in </w:t>
      </w:r>
      <w:r w:rsidR="00AC09CE">
        <w:rPr>
          <w:i/>
          <w:iCs/>
        </w:rPr>
        <w:t>Gadlin</w:t>
      </w:r>
      <w:r w:rsidR="00AC09CE">
        <w:t>, those emergency regulations</w:t>
      </w:r>
      <w:r w:rsidRPr="00F273F1" w:rsidR="00815906">
        <w:t xml:space="preserve"> were </w:t>
      </w:r>
      <w:r w:rsidR="00AC09CE">
        <w:t>replaced by final regulations in May 2018 and subsequently amended in response to various appellate opinions.  (</w:t>
      </w:r>
      <w:r w:rsidR="00AC09CE">
        <w:rPr>
          <w:i/>
          <w:iCs/>
        </w:rPr>
        <w:t>Gadlin</w:t>
      </w:r>
      <w:r w:rsidR="00AC09CE">
        <w:t xml:space="preserve">, </w:t>
      </w:r>
      <w:r w:rsidR="00AC09CE">
        <w:rPr>
          <w:i/>
          <w:iCs/>
        </w:rPr>
        <w:t>supra</w:t>
      </w:r>
      <w:r w:rsidR="00AC09CE">
        <w:t>, 10 Cal.5th at pp.</w:t>
      </w:r>
      <w:r w:rsidR="006C4474">
        <w:t> </w:t>
      </w:r>
      <w:r w:rsidR="00AC09CE">
        <w:t>924–925.)  The regulations define</w:t>
      </w:r>
      <w:r w:rsidRPr="00F273F1" w:rsidR="00A84782">
        <w:t xml:space="preserve"> a “</w:t>
      </w:r>
      <w:r w:rsidR="00171900">
        <w:t xml:space="preserve">determinately-sentenced </w:t>
      </w:r>
      <w:r w:rsidRPr="00F273F1" w:rsidR="00A84782">
        <w:t xml:space="preserve">nonviolent offender” as an inmate who </w:t>
      </w:r>
      <w:r w:rsidR="00AC09CE">
        <w:t>is</w:t>
      </w:r>
      <w:r w:rsidRPr="00F273F1" w:rsidR="00A84782">
        <w:t xml:space="preserve"> </w:t>
      </w:r>
      <w:r w:rsidRPr="00F273F1" w:rsidR="00A84782">
        <w:rPr>
          <w:i/>
          <w:iCs/>
        </w:rPr>
        <w:t>not</w:t>
      </w:r>
      <w:r w:rsidRPr="00F273F1" w:rsidR="00A84782">
        <w:t xml:space="preserve">, among other things, </w:t>
      </w:r>
      <w:r w:rsidR="00AC09CE">
        <w:t xml:space="preserve">“currently </w:t>
      </w:r>
      <w:r w:rsidRPr="00F273F1" w:rsidR="00C47F61">
        <w:t xml:space="preserve">serving a term </w:t>
      </w:r>
      <w:r w:rsidR="00AC09CE">
        <w:t xml:space="preserve">of incarceration </w:t>
      </w:r>
      <w:r w:rsidRPr="00F273F1" w:rsidR="00C47F61">
        <w:t xml:space="preserve">for a </w:t>
      </w:r>
      <w:r w:rsidR="00AC09CE">
        <w:t>‘</w:t>
      </w:r>
      <w:r w:rsidRPr="00F273F1" w:rsidR="00C47F61">
        <w:t>violent felony</w:t>
      </w:r>
      <w:r w:rsidR="00AC09CE">
        <w:t>.’</w:t>
      </w:r>
      <w:r w:rsidR="0074482F">
        <w:t> </w:t>
      </w:r>
      <w:r w:rsidR="00AC09CE">
        <w:t xml:space="preserve">”  (Cal. Code Regs., § 3490, subd. (a)(5).)  </w:t>
      </w:r>
      <w:r w:rsidR="00D72EF6">
        <w:t>Further, t</w:t>
      </w:r>
      <w:r w:rsidR="00AC09CE">
        <w:t>he regulations define a “violent felony” for purposes of early parole consideration</w:t>
      </w:r>
      <w:r w:rsidRPr="00F273F1" w:rsidR="00C47F61">
        <w:t xml:space="preserve"> as </w:t>
      </w:r>
      <w:r w:rsidR="00AC09CE">
        <w:t xml:space="preserve">“a crime or enhancement” listed in </w:t>
      </w:r>
      <w:r w:rsidR="00E44DA4">
        <w:t xml:space="preserve">Penal Code </w:t>
      </w:r>
      <w:r w:rsidRPr="00F273F1" w:rsidR="00C47F61">
        <w:t>section 667.5, subdivision (c</w:t>
      </w:r>
      <w:r w:rsidR="00AC09CE">
        <w:t>).  (</w:t>
      </w:r>
      <w:r w:rsidR="00C9576E">
        <w:rPr>
          <w:i/>
          <w:iCs/>
        </w:rPr>
        <w:t>Id</w:t>
      </w:r>
      <w:r w:rsidR="00AC09CE">
        <w:t>., § 3490, subd. (c).)</w:t>
      </w:r>
    </w:p>
    <w:p w:rsidR="00245017" w:rsidRPr="00492352" w:rsidP="00245017" w14:paraId="596CFC1D" w14:textId="6581A4F8">
      <w:pPr>
        <w:tabs>
          <w:tab w:val="left" w:pos="1440"/>
        </w:tabs>
        <w:ind w:firstLine="720"/>
      </w:pPr>
      <w:r>
        <w:t xml:space="preserve">Other provisions of the regulations exclude from early parole consideration </w:t>
      </w:r>
      <w:r w:rsidR="00910F55">
        <w:t>individuals</w:t>
      </w:r>
      <w:r w:rsidR="00C9576E">
        <w:t xml:space="preserve"> “currently serving a determinate term prior to beginning a term of life with the possibility of parole or prior to beginning a term for an in-prison offense that is a ‘violent felony’ ” (Cal. Code Regs., § </w:t>
      </w:r>
      <w:r w:rsidR="00492352">
        <w:t>3490, subd. (a)(4)) and those “currently serving a term of incarceration for a nonviolent felony offense after completing a concurrent determinate term for a ‘violent felony’ ” (</w:t>
      </w:r>
      <w:r w:rsidR="00492352">
        <w:rPr>
          <w:i/>
          <w:iCs/>
        </w:rPr>
        <w:t>id</w:t>
      </w:r>
      <w:r w:rsidR="00492352">
        <w:t xml:space="preserve">., § 3490, subd. (a)(6)).  </w:t>
      </w:r>
      <w:r w:rsidR="009B5A1D">
        <w:t>Additionally, the regulations detail the eligibility criteria for both determinately</w:t>
      </w:r>
      <w:r w:rsidR="009F5935">
        <w:t>-</w:t>
      </w:r>
      <w:r w:rsidR="009B5A1D">
        <w:t xml:space="preserve">sentenced offenders (see </w:t>
      </w:r>
      <w:r w:rsidR="009B5A1D">
        <w:rPr>
          <w:i/>
          <w:iCs/>
        </w:rPr>
        <w:t>id</w:t>
      </w:r>
      <w:r w:rsidR="009B5A1D">
        <w:t>., §§ 3490–3491) and indeterminately</w:t>
      </w:r>
      <w:r w:rsidR="009F5935">
        <w:t>-</w:t>
      </w:r>
      <w:r w:rsidR="009B5A1D">
        <w:t xml:space="preserve">sentenced offenders (see </w:t>
      </w:r>
      <w:r w:rsidR="009B5A1D">
        <w:rPr>
          <w:i/>
          <w:iCs/>
        </w:rPr>
        <w:t>id</w:t>
      </w:r>
      <w:r w:rsidR="009B5A1D">
        <w:t>., §§ 3495–3496).  Like the regulatory provision defining a “determinately-sentenced nonviolent offender” (</w:t>
      </w:r>
      <w:r w:rsidR="009B5A1D">
        <w:rPr>
          <w:i/>
          <w:iCs/>
        </w:rPr>
        <w:t>id</w:t>
      </w:r>
      <w:r w:rsidR="009B5A1D">
        <w:t>., § 349</w:t>
      </w:r>
      <w:r w:rsidR="00AE426A">
        <w:t>0</w:t>
      </w:r>
      <w:r w:rsidR="009B5A1D">
        <w:t>, subd. (a)), the regulations define an “indeterminately-sentenced nonviolent offender” as an inmate who is not, among other things, “currently serving a term of life with the possibility of parole for a ‘violent felony’ ” (</w:t>
      </w:r>
      <w:r w:rsidR="0049180F">
        <w:rPr>
          <w:i/>
          <w:iCs/>
        </w:rPr>
        <w:t>i</w:t>
      </w:r>
      <w:r w:rsidR="009B5A1D">
        <w:rPr>
          <w:i/>
          <w:iCs/>
        </w:rPr>
        <w:t>d</w:t>
      </w:r>
      <w:r w:rsidR="009B5A1D">
        <w:t>., § 3495, subd. (a)(3))</w:t>
      </w:r>
      <w:r w:rsidR="0049180F">
        <w:t>.</w:t>
      </w:r>
      <w:r w:rsidR="009B5A1D">
        <w:t xml:space="preserve">  </w:t>
      </w:r>
      <w:r w:rsidRPr="00114395" w:rsidR="000404E8">
        <w:t xml:space="preserve">Because petitioner’s </w:t>
      </w:r>
      <w:r w:rsidRPr="00114395" w:rsidR="00792818">
        <w:t xml:space="preserve">exclusion from </w:t>
      </w:r>
      <w:r w:rsidR="00785330">
        <w:t xml:space="preserve">early </w:t>
      </w:r>
      <w:r w:rsidRPr="00114395" w:rsidR="00792818">
        <w:t xml:space="preserve">parole consideration is governed solely by </w:t>
      </w:r>
      <w:r w:rsidRPr="00114395" w:rsidR="009B5A1D">
        <w:t>section 3490, subdivision (a)(5) of the California Code of Regulations</w:t>
      </w:r>
      <w:r w:rsidRPr="00114395" w:rsidR="00792818">
        <w:t xml:space="preserve">, however, we </w:t>
      </w:r>
      <w:r w:rsidR="00F42B7B">
        <w:t>decline to</w:t>
      </w:r>
      <w:r w:rsidR="00574032">
        <w:t xml:space="preserve"> address</w:t>
      </w:r>
      <w:r w:rsidR="00F42B7B">
        <w:t xml:space="preserve"> in this case</w:t>
      </w:r>
      <w:r w:rsidR="00574032">
        <w:t xml:space="preserve"> the validity of </w:t>
      </w:r>
      <w:r w:rsidR="00434CC2">
        <w:t>any</w:t>
      </w:r>
      <w:r w:rsidR="00574032">
        <w:t xml:space="preserve"> </w:t>
      </w:r>
      <w:r w:rsidR="00792818">
        <w:t>other portion of the regulations</w:t>
      </w:r>
      <w:r w:rsidR="007B47CE">
        <w:t xml:space="preserve">. </w:t>
      </w:r>
      <w:r w:rsidR="00574032">
        <w:t xml:space="preserve">  </w:t>
      </w:r>
    </w:p>
    <w:p w:rsidR="00371C63" w:rsidRPr="00F273F1" w:rsidP="008026E5" w14:paraId="4CA8134D" w14:textId="6207BBC7">
      <w:pPr>
        <w:pStyle w:val="Heading2"/>
      </w:pPr>
      <w:r>
        <w:t>C</w:t>
      </w:r>
      <w:r w:rsidRPr="00F273F1" w:rsidR="00561714">
        <w:t xml:space="preserve">.  </w:t>
      </w:r>
      <w:r w:rsidRPr="00F273F1" w:rsidR="000065EB">
        <w:t xml:space="preserve">Standard of Review and </w:t>
      </w:r>
      <w:r w:rsidRPr="00F273F1" w:rsidR="004B1B0E">
        <w:t>Principles</w:t>
      </w:r>
      <w:r w:rsidRPr="00F273F1">
        <w:t xml:space="preserve"> of Statutory Interpretation </w:t>
      </w:r>
    </w:p>
    <w:p w:rsidR="006800DB" w:rsidRPr="006800DB" w:rsidP="006800DB" w14:paraId="0FC206E6" w14:textId="68B92DB0">
      <w:pPr>
        <w:tabs>
          <w:tab w:val="left" w:pos="720"/>
        </w:tabs>
        <w:ind w:firstLine="720"/>
      </w:pPr>
      <w:r w:rsidRPr="006800DB">
        <w:t>We apply well settled principles to determin</w:t>
      </w:r>
      <w:r w:rsidR="00221F25">
        <w:t>e</w:t>
      </w:r>
      <w:r w:rsidRPr="006800DB">
        <w:t xml:space="preserve"> the validity of regulations promulgated by a state agency.  </w:t>
      </w:r>
      <w:r w:rsidR="00A128B8">
        <w:t>As</w:t>
      </w:r>
      <w:r w:rsidRPr="006800DB">
        <w:t xml:space="preserve"> in </w:t>
      </w:r>
      <w:r w:rsidRPr="006800DB">
        <w:rPr>
          <w:i/>
          <w:iCs/>
        </w:rPr>
        <w:t>Gadlin</w:t>
      </w:r>
      <w:r w:rsidRPr="006800DB">
        <w:t xml:space="preserve">, we acknowledge that although these precepts “have traditionally been applied in the context of a state agency’s regulations </w:t>
      </w:r>
      <w:r w:rsidR="006E032E">
        <w:t>addressing</w:t>
      </w:r>
      <w:r w:rsidRPr="006800DB">
        <w:t xml:space="preserve"> statute</w:t>
      </w:r>
      <w:r w:rsidR="006E032E">
        <w:t>s</w:t>
      </w:r>
      <w:r w:rsidRPr="006800DB">
        <w:t xml:space="preserve"> enacted by the </w:t>
      </w:r>
      <w:r w:rsidR="00F62633">
        <w:t>L</w:t>
      </w:r>
      <w:r w:rsidRPr="006800DB" w:rsidR="00F62633">
        <w:t>egislature</w:t>
      </w:r>
      <w:r w:rsidRPr="006800DB">
        <w:t xml:space="preserve"> (</w:t>
      </w:r>
      <w:r w:rsidRPr="006800DB">
        <w:rPr>
          <w:i/>
          <w:iCs/>
        </w:rPr>
        <w:t>Gadlin</w:t>
      </w:r>
      <w:r w:rsidRPr="006800DB">
        <w:t xml:space="preserve">, </w:t>
      </w:r>
      <w:r w:rsidRPr="006800DB">
        <w:rPr>
          <w:i/>
          <w:iCs/>
        </w:rPr>
        <w:t>supra</w:t>
      </w:r>
      <w:r w:rsidRPr="006800DB">
        <w:t>, 10</w:t>
      </w:r>
      <w:r w:rsidR="001B0066">
        <w:t> </w:t>
      </w:r>
      <w:r w:rsidRPr="006800DB">
        <w:t xml:space="preserve">Cal.5th at p. 925, citing </w:t>
      </w:r>
      <w:r w:rsidRPr="006800DB">
        <w:rPr>
          <w:i/>
        </w:rPr>
        <w:t>Morris v. Williams</w:t>
      </w:r>
      <w:r w:rsidRPr="006800DB">
        <w:t xml:space="preserve"> (1967) 67 Cal.2d 733, 748</w:t>
      </w:r>
      <w:r w:rsidR="00DF2472">
        <w:t xml:space="preserve"> (</w:t>
      </w:r>
      <w:r w:rsidR="00DF2472">
        <w:rPr>
          <w:i/>
          <w:iCs/>
        </w:rPr>
        <w:t>Morris</w:t>
      </w:r>
      <w:r w:rsidR="00DF2472">
        <w:t>)</w:t>
      </w:r>
      <w:r w:rsidRPr="006800DB">
        <w:t>)</w:t>
      </w:r>
      <w:r w:rsidR="00A128B8">
        <w:t>,</w:t>
      </w:r>
      <w:r w:rsidRPr="006800DB">
        <w:t xml:space="preserve"> the parties here do not assert that “the relevant principles</w:t>
      </w:r>
      <w:r w:rsidR="001F6E5F">
        <w:t xml:space="preserve"> of interpretation</w:t>
      </w:r>
      <w:r w:rsidRPr="006800DB">
        <w:t xml:space="preserve"> differ when an agency has promulgated regulations to give force to a constitutional provision, rather than a statutory provision” (</w:t>
      </w:r>
      <w:r w:rsidR="00FB1AFA">
        <w:rPr>
          <w:i/>
          <w:iCs/>
        </w:rPr>
        <w:t>i</w:t>
      </w:r>
      <w:r w:rsidRPr="006800DB">
        <w:rPr>
          <w:i/>
          <w:iCs/>
        </w:rPr>
        <w:t>d</w:t>
      </w:r>
      <w:r w:rsidRPr="006800DB">
        <w:t>. at p. 926).</w:t>
      </w:r>
    </w:p>
    <w:p w:rsidR="006800DB" w:rsidRPr="006800DB" w:rsidP="006800DB" w14:paraId="218F6180" w14:textId="39A2BDFF">
      <w:pPr>
        <w:tabs>
          <w:tab w:val="left" w:pos="720"/>
        </w:tabs>
        <w:ind w:firstLine="720"/>
        <w:rPr>
          <w:iCs/>
        </w:rPr>
      </w:pPr>
      <w:r w:rsidRPr="006800DB">
        <w:t>In undertaking this analysis, we ask whether the regulation is “</w:t>
      </w:r>
      <w:r w:rsidR="00C247A3">
        <w:t> ‘</w:t>
      </w:r>
      <w:r w:rsidRPr="006800DB">
        <w:t>consistent and not in conflict with</w:t>
      </w:r>
      <w:r w:rsidR="00C247A3">
        <w:t>’ </w:t>
      </w:r>
      <w:r w:rsidRPr="006800DB">
        <w:t xml:space="preserve">” the constitutional provision that authorizes it (see </w:t>
      </w:r>
      <w:r w:rsidRPr="006800DB">
        <w:rPr>
          <w:i/>
        </w:rPr>
        <w:t>Morris</w:t>
      </w:r>
      <w:r w:rsidRPr="006800DB">
        <w:t xml:space="preserve">, </w:t>
      </w:r>
      <w:r w:rsidRPr="006800DB">
        <w:rPr>
          <w:i/>
        </w:rPr>
        <w:t>supra</w:t>
      </w:r>
      <w:r w:rsidRPr="006800DB">
        <w:t>, 67</w:t>
      </w:r>
      <w:r w:rsidR="001B0066">
        <w:t> </w:t>
      </w:r>
      <w:r w:rsidRPr="006800DB">
        <w:t>Cal.2d at p. 748</w:t>
      </w:r>
      <w:r w:rsidR="00C247A3">
        <w:t>, italics omitted, quoting Gov. Code,</w:t>
      </w:r>
      <w:r w:rsidR="003D1F8C">
        <w:t xml:space="preserve"> former</w:t>
      </w:r>
      <w:r w:rsidR="00C247A3">
        <w:t xml:space="preserve"> § 1137</w:t>
      </w:r>
      <w:r w:rsidR="00B2523E">
        <w:t>4</w:t>
      </w:r>
      <w:r>
        <w:rPr>
          <w:rStyle w:val="FootnoteReference"/>
        </w:rPr>
        <w:footnoteReference w:id="9"/>
      </w:r>
      <w:r w:rsidRPr="006800DB">
        <w:t>) and whether the regulation is reasonably necessary to effectuate the purpose of the authorizing law (</w:t>
      </w:r>
      <w:r w:rsidRPr="006800DB" w:rsidR="00B13EAA">
        <w:rPr>
          <w:i/>
        </w:rPr>
        <w:t>Morris</w:t>
      </w:r>
      <w:r w:rsidRPr="006800DB" w:rsidR="00B13EAA">
        <w:t xml:space="preserve">, </w:t>
      </w:r>
      <w:r w:rsidRPr="006800DB" w:rsidR="00B13EAA">
        <w:rPr>
          <w:i/>
        </w:rPr>
        <w:t>supra</w:t>
      </w:r>
      <w:r w:rsidRPr="006800DB" w:rsidR="00B13EAA">
        <w:t>, 67</w:t>
      </w:r>
      <w:r w:rsidR="00B13EAA">
        <w:t> </w:t>
      </w:r>
      <w:r w:rsidRPr="006800DB" w:rsidR="00B13EAA">
        <w:t>Cal.2d</w:t>
      </w:r>
      <w:r w:rsidRPr="006800DB">
        <w:t xml:space="preserve"> at p.</w:t>
      </w:r>
      <w:r w:rsidR="00F954B1">
        <w:t> </w:t>
      </w:r>
      <w:r w:rsidRPr="006800DB">
        <w:t xml:space="preserve">749; see also Gov. Code, § 11342.2 [“Whenever by the express or implied terms of any statute a state agency has authority to adopt regulations to implement, interpret, make specific or otherwise carry out the provisions of the statute, no regulation adopted is valid or effective unless consistent and not in conflict with the statute and reasonably necessary to effectuate the purpose of the statute”]; </w:t>
      </w:r>
      <w:r w:rsidRPr="006800DB">
        <w:rPr>
          <w:i/>
          <w:iCs/>
        </w:rPr>
        <w:t>Woods v. Superior Court</w:t>
      </w:r>
      <w:r w:rsidRPr="006800DB">
        <w:t xml:space="preserve"> (1981) 28 Cal.3d 668, 679</w:t>
      </w:r>
      <w:r w:rsidR="00B13EAA">
        <w:t xml:space="preserve"> (</w:t>
      </w:r>
      <w:r w:rsidR="00B13EAA">
        <w:rPr>
          <w:i/>
          <w:iCs/>
        </w:rPr>
        <w:t>Woods</w:t>
      </w:r>
      <w:r w:rsidR="00B13EAA">
        <w:t>)</w:t>
      </w:r>
      <w:r w:rsidRPr="006800DB">
        <w:t>).  Our task “ ‘ “is to decide whether the [agency] reasonably interpreted the legislative mandate.”</w:t>
      </w:r>
      <w:r w:rsidR="00EF292D">
        <w:t> [Citation.]</w:t>
      </w:r>
      <w:r w:rsidRPr="006800DB">
        <w:t> ’ ”  (</w:t>
      </w:r>
      <w:r w:rsidRPr="006800DB">
        <w:rPr>
          <w:i/>
          <w:iCs/>
        </w:rPr>
        <w:t>Woods</w:t>
      </w:r>
      <w:r w:rsidRPr="006800DB">
        <w:t xml:space="preserve">, </w:t>
      </w:r>
      <w:r w:rsidRPr="006800DB">
        <w:rPr>
          <w:i/>
          <w:iCs/>
        </w:rPr>
        <w:t>supra</w:t>
      </w:r>
      <w:r w:rsidRPr="006800DB">
        <w:t xml:space="preserve">, 28 Cal.3d at p. 679, quoting </w:t>
      </w:r>
      <w:r w:rsidRPr="006800DB">
        <w:rPr>
          <w:i/>
          <w:iCs/>
        </w:rPr>
        <w:t>Credit Ins. Gen. Agents Assn. v. Payne</w:t>
      </w:r>
      <w:r w:rsidRPr="006800DB">
        <w:t xml:space="preserve"> (1976) 16 Cal.3d 651, 657.)  In doing so, we presume the validity of the regulation (</w:t>
      </w:r>
      <w:r w:rsidRPr="006800DB">
        <w:rPr>
          <w:i/>
        </w:rPr>
        <w:t>Assn. of California Ins. Companies v. Jones</w:t>
      </w:r>
      <w:r w:rsidRPr="006800DB">
        <w:t xml:space="preserve"> (2017) 2 Cal.5th 376, 389); the burden lies with the party challenging the regulation to show its invalidity (</w:t>
      </w:r>
      <w:r w:rsidRPr="006800DB">
        <w:rPr>
          <w:i/>
        </w:rPr>
        <w:t>Payne</w:t>
      </w:r>
      <w:r w:rsidRPr="006800DB">
        <w:t xml:space="preserve">, </w:t>
      </w:r>
      <w:r w:rsidRPr="006800DB">
        <w:rPr>
          <w:i/>
          <w:iCs/>
        </w:rPr>
        <w:t>supra</w:t>
      </w:r>
      <w:r w:rsidRPr="006800DB">
        <w:t xml:space="preserve">, 16 Cal.3d at p. 657).  Because this inquiry poses a question of law (see </w:t>
      </w:r>
      <w:r w:rsidRPr="006800DB">
        <w:rPr>
          <w:i/>
          <w:iCs/>
        </w:rPr>
        <w:t>Western States Petroleum Assn. v. Board of Equalization</w:t>
      </w:r>
      <w:r w:rsidRPr="006800DB">
        <w:t xml:space="preserve"> (2013) 57 Cal.4th 401, 415), we review the Court of Appeal’s decision de novo.  (See </w:t>
      </w:r>
      <w:r w:rsidRPr="006800DB">
        <w:rPr>
          <w:i/>
          <w:iCs/>
        </w:rPr>
        <w:t>People v. Gonzales</w:t>
      </w:r>
      <w:r w:rsidRPr="006800DB">
        <w:rPr>
          <w:iCs/>
        </w:rPr>
        <w:t xml:space="preserve"> (2018) 6 Cal.5th 44, 49, citing </w:t>
      </w:r>
      <w:r w:rsidRPr="006800DB">
        <w:rPr>
          <w:i/>
        </w:rPr>
        <w:t>Apple Inc. v. Superior Court</w:t>
      </w:r>
      <w:r w:rsidRPr="006800DB">
        <w:rPr>
          <w:iCs/>
        </w:rPr>
        <w:t xml:space="preserve"> (2013) 56 Cal.4th 128, 135.)</w:t>
      </w:r>
    </w:p>
    <w:p w:rsidR="006800DB" w:rsidP="006800DB" w14:paraId="16482D53" w14:textId="7F7D5651">
      <w:pPr>
        <w:tabs>
          <w:tab w:val="left" w:pos="720"/>
        </w:tabs>
        <w:ind w:firstLine="720"/>
      </w:pPr>
      <w:r w:rsidRPr="006800DB">
        <w:t>Our “primary concern” in construing a constitutional provision enacted through voter initiative is “giving effect to the intended purpose of the provisions at issue” (</w:t>
      </w:r>
      <w:r w:rsidRPr="006800DB">
        <w:rPr>
          <w:i/>
        </w:rPr>
        <w:t>California Cannabis Coalition v. City of Upland</w:t>
      </w:r>
      <w:r w:rsidRPr="006800DB">
        <w:t xml:space="preserve"> (2017) 3 Cal.5th 924, 933) by applying “the same principles that govern statutory construction” (</w:t>
      </w:r>
      <w:r w:rsidRPr="006800DB">
        <w:rPr>
          <w:i/>
          <w:iCs/>
        </w:rPr>
        <w:t>People v. Rizo</w:t>
      </w:r>
      <w:r w:rsidRPr="006800DB">
        <w:t xml:space="preserve"> (2000) 22 Cal.4th 681, 685, citing </w:t>
      </w:r>
      <w:r w:rsidRPr="006800DB">
        <w:rPr>
          <w:i/>
          <w:iCs/>
        </w:rPr>
        <w:t>Horwich v. Superior Court</w:t>
      </w:r>
      <w:r w:rsidRPr="006800DB">
        <w:t xml:space="preserve"> (1999) 21 Cal.4th 272, 276).  In doing so, we look to the text of the constitutional provision at issue and, as appropriate, extrinsic sources such as an initiative’s ballot materials.  (See </w:t>
      </w:r>
      <w:r w:rsidRPr="006800DB">
        <w:rPr>
          <w:i/>
          <w:iCs/>
        </w:rPr>
        <w:t>City of Upland</w:t>
      </w:r>
      <w:r w:rsidRPr="006800DB">
        <w:t xml:space="preserve">, </w:t>
      </w:r>
      <w:r w:rsidRPr="006800DB">
        <w:rPr>
          <w:i/>
          <w:iCs/>
        </w:rPr>
        <w:t>supra</w:t>
      </w:r>
      <w:r w:rsidRPr="006800DB">
        <w:t>, 3 Cal.5th at pp. 933–934.)  Although we are obligated to strike down regulations that alter or amend the constitutional provision or its scope (</w:t>
      </w:r>
      <w:r w:rsidRPr="006800DB">
        <w:rPr>
          <w:i/>
          <w:iCs/>
        </w:rPr>
        <w:t>Woods</w:t>
      </w:r>
      <w:r w:rsidRPr="006800DB">
        <w:rPr>
          <w:iCs/>
        </w:rPr>
        <w:t xml:space="preserve">, </w:t>
      </w:r>
      <w:r w:rsidRPr="006800DB">
        <w:rPr>
          <w:i/>
          <w:iCs/>
        </w:rPr>
        <w:t>supra</w:t>
      </w:r>
      <w:r w:rsidRPr="006800DB">
        <w:rPr>
          <w:iCs/>
        </w:rPr>
        <w:t>, 28 Cal.3d</w:t>
      </w:r>
      <w:r w:rsidRPr="006800DB">
        <w:t xml:space="preserve"> at p. 679, citing </w:t>
      </w:r>
      <w:r w:rsidRPr="006800DB">
        <w:rPr>
          <w:i/>
          <w:iCs/>
        </w:rPr>
        <w:t>Morris</w:t>
      </w:r>
      <w:r w:rsidRPr="006800DB">
        <w:rPr>
          <w:iCs/>
        </w:rPr>
        <w:t xml:space="preserve">, </w:t>
      </w:r>
      <w:r w:rsidRPr="006800DB">
        <w:rPr>
          <w:i/>
          <w:iCs/>
        </w:rPr>
        <w:t>supra</w:t>
      </w:r>
      <w:r w:rsidRPr="006800DB">
        <w:rPr>
          <w:iCs/>
        </w:rPr>
        <w:t xml:space="preserve">, </w:t>
      </w:r>
      <w:r w:rsidRPr="006800DB">
        <w:t>67 Cal.2d at p. 748), our role is not to examine the wisdom of the regulations but their legality (</w:t>
      </w:r>
      <w:r w:rsidRPr="006800DB">
        <w:rPr>
          <w:i/>
          <w:iCs/>
        </w:rPr>
        <w:t>Woods</w:t>
      </w:r>
      <w:r w:rsidRPr="006800DB">
        <w:rPr>
          <w:iCs/>
        </w:rPr>
        <w:t xml:space="preserve">, </w:t>
      </w:r>
      <w:r w:rsidRPr="006800DB">
        <w:rPr>
          <w:i/>
          <w:iCs/>
        </w:rPr>
        <w:t>supra</w:t>
      </w:r>
      <w:r w:rsidRPr="006800DB">
        <w:rPr>
          <w:iCs/>
        </w:rPr>
        <w:t>, 28 Cal.3d</w:t>
      </w:r>
      <w:r w:rsidRPr="006800DB">
        <w:t xml:space="preserve"> at p. 679, quoting </w:t>
      </w:r>
      <w:r w:rsidRPr="006800DB">
        <w:rPr>
          <w:i/>
          <w:iCs/>
        </w:rPr>
        <w:t>Morris</w:t>
      </w:r>
      <w:r w:rsidRPr="006800DB">
        <w:rPr>
          <w:iCs/>
        </w:rPr>
        <w:t xml:space="preserve">, </w:t>
      </w:r>
      <w:r w:rsidRPr="006800DB">
        <w:rPr>
          <w:i/>
          <w:iCs/>
        </w:rPr>
        <w:t>supra</w:t>
      </w:r>
      <w:r w:rsidRPr="006800DB">
        <w:rPr>
          <w:iCs/>
        </w:rPr>
        <w:t xml:space="preserve">, </w:t>
      </w:r>
      <w:r w:rsidRPr="006800DB">
        <w:t>67 Cal.2d at p. 737).  “Such a limited scope of review constitutes no judicial interference with the administrative discretion in that aspect of the rulemaking function which requires a high degree of technical skill and expertise.”  (</w:t>
      </w:r>
      <w:r w:rsidRPr="006800DB">
        <w:rPr>
          <w:i/>
        </w:rPr>
        <w:t>Woods</w:t>
      </w:r>
      <w:r w:rsidRPr="006800DB">
        <w:rPr>
          <w:iCs/>
        </w:rPr>
        <w:t xml:space="preserve">, </w:t>
      </w:r>
      <w:r w:rsidRPr="006800DB">
        <w:rPr>
          <w:i/>
        </w:rPr>
        <w:t>supra</w:t>
      </w:r>
      <w:r w:rsidRPr="006800DB">
        <w:rPr>
          <w:iCs/>
        </w:rPr>
        <w:t>, 28 Cal.3d</w:t>
      </w:r>
      <w:r w:rsidRPr="006800DB">
        <w:t xml:space="preserve"> at p. 679.</w:t>
      </w:r>
      <w:r w:rsidR="00785330">
        <w:t>)</w:t>
      </w:r>
    </w:p>
    <w:p w:rsidR="000065EB" w:rsidRPr="00F273F1" w:rsidP="00F273F1" w14:paraId="6B799D93" w14:textId="5CE5958F">
      <w:pPr>
        <w:pStyle w:val="Heading2"/>
      </w:pPr>
      <w:r>
        <w:t>D</w:t>
      </w:r>
      <w:r w:rsidRPr="00F273F1" w:rsidR="00C07AEE">
        <w:t xml:space="preserve">.  </w:t>
      </w:r>
      <w:r w:rsidRPr="00F273F1" w:rsidR="00B33306">
        <w:t xml:space="preserve">The </w:t>
      </w:r>
      <w:r w:rsidRPr="00F273F1" w:rsidR="00BA48EF">
        <w:t>Language of Proposition 57</w:t>
      </w:r>
    </w:p>
    <w:p w:rsidR="00CD082A" w:rsidRPr="00CD082A" w:rsidP="00CD082A" w14:paraId="61ED60B6" w14:textId="3ED4E5D0">
      <w:pPr>
        <w:tabs>
          <w:tab w:val="left" w:pos="720"/>
        </w:tabs>
        <w:ind w:firstLine="720"/>
      </w:pPr>
      <w:r w:rsidRPr="00F273F1">
        <w:t xml:space="preserve">We </w:t>
      </w:r>
      <w:r w:rsidRPr="00F273F1" w:rsidR="0061442F">
        <w:t xml:space="preserve">begin our analysis </w:t>
      </w:r>
      <w:r w:rsidR="008000EA">
        <w:t>with</w:t>
      </w:r>
      <w:r w:rsidRPr="00F273F1">
        <w:t xml:space="preserve"> the language of the constitutional provisions enacted by Proposition 57.  </w:t>
      </w:r>
      <w:r w:rsidR="00A25386">
        <w:t>A</w:t>
      </w:r>
      <w:r w:rsidR="002B2F50">
        <w:t xml:space="preserve">rticle I, </w:t>
      </w:r>
      <w:r w:rsidRPr="00F273F1" w:rsidR="00A65153">
        <w:t xml:space="preserve">section 32(a)(1) states:  “Any person convicted of a nonviolent felony offense and sentenced to state prison shall be eligible for parole consideration after completing the full term for his or her primary offense.”  </w:t>
      </w:r>
      <w:r w:rsidRPr="00CD082A">
        <w:t xml:space="preserve">Article I, section 32(a)(1)(A) defines the “full term for the primary offense” as “the longest term of imprisonment imposed by the court for any offense, excluding the imposition of an enhancement, consecutive sentence, or alternative sentence.”  And article I, section 32(b) provides that the Department shall “adopt regulations in furtherance of these provisions.”  The question here is whether these constitutional provisions require the Department to </w:t>
      </w:r>
      <w:r w:rsidR="00785330">
        <w:t>provide</w:t>
      </w:r>
      <w:r w:rsidRPr="00CD082A">
        <w:t xml:space="preserve"> early parole consideration when the inmate is currently </w:t>
      </w:r>
      <w:r w:rsidR="00515918">
        <w:t>serving a term fo</w:t>
      </w:r>
      <w:r w:rsidRPr="00CD082A">
        <w:t>r  a violent felony.</w:t>
      </w:r>
    </w:p>
    <w:p w:rsidR="00EA175B" w:rsidP="00CD082A" w14:paraId="07A2D817" w14:textId="610AF3D6">
      <w:pPr>
        <w:tabs>
          <w:tab w:val="left" w:pos="720"/>
        </w:tabs>
        <w:ind w:firstLine="720"/>
      </w:pPr>
      <w:r w:rsidRPr="00CD082A">
        <w:t xml:space="preserve">As noted, the Court of Appeal below concluded that the voters intended to extend early parole consideration to an inmate convicted of “a” nonviolent felony, regardless of whether that inmate was currently </w:t>
      </w:r>
      <w:r w:rsidR="007B5826">
        <w:t>serving a term for</w:t>
      </w:r>
      <w:r w:rsidRPr="00CD082A">
        <w:t xml:space="preserve"> a violent felony.  (</w:t>
      </w:r>
      <w:r w:rsidRPr="00CD082A">
        <w:rPr>
          <w:i/>
          <w:iCs/>
        </w:rPr>
        <w:t>Mohammad</w:t>
      </w:r>
      <w:r w:rsidRPr="00CD082A">
        <w:t xml:space="preserve">, </w:t>
      </w:r>
      <w:r w:rsidRPr="00CD082A">
        <w:rPr>
          <w:i/>
          <w:iCs/>
        </w:rPr>
        <w:t>supra</w:t>
      </w:r>
      <w:r w:rsidRPr="00CD082A">
        <w:t>, 42 Cal.App.5th at p. 725</w:t>
      </w:r>
      <w:r w:rsidR="003E570A">
        <w:t xml:space="preserve">; see </w:t>
      </w:r>
      <w:r w:rsidR="003E570A">
        <w:rPr>
          <w:i/>
          <w:iCs/>
        </w:rPr>
        <w:t>id</w:t>
      </w:r>
      <w:r w:rsidR="003E570A">
        <w:t>. at pp. 725–726</w:t>
      </w:r>
      <w:r w:rsidRPr="00CD082A">
        <w:t>.)  The court declined to consider the ballot materials presented to the voters, concluding “[t]here is nothing ambiguous about what [article I,] section 32(a)(1) means in this case . . . .”  (</w:t>
      </w:r>
      <w:r w:rsidRPr="00CD082A">
        <w:rPr>
          <w:i/>
          <w:iCs/>
        </w:rPr>
        <w:t>Id</w:t>
      </w:r>
      <w:r w:rsidRPr="00CD082A">
        <w:t xml:space="preserve">. at p. 727.)  The Department asserts, on the other hand, that the constitutional provisions are ambiguous and require </w:t>
      </w:r>
      <w:r w:rsidR="00E838AD">
        <w:t>consideration</w:t>
      </w:r>
      <w:r w:rsidRPr="00CD082A">
        <w:t xml:space="preserve"> </w:t>
      </w:r>
      <w:r w:rsidR="003E570A">
        <w:t xml:space="preserve">of </w:t>
      </w:r>
      <w:r w:rsidRPr="00CD082A">
        <w:t xml:space="preserve">the ballot materials to determine the intent of the electorate.  </w:t>
      </w:r>
    </w:p>
    <w:p w:rsidR="00344E70" w:rsidRPr="00CD082A" w:rsidP="00344E70" w14:paraId="7B791330" w14:textId="1F165D0C">
      <w:pPr>
        <w:tabs>
          <w:tab w:val="left" w:pos="720"/>
        </w:tabs>
        <w:ind w:firstLine="720"/>
      </w:pPr>
      <w:r w:rsidRPr="00CD082A">
        <w:t>We first examine whether the constitutional language is ambiguous; if the text “is unambiguous and provides a clear answer, we need go no further.”  (</w:t>
      </w:r>
      <w:r w:rsidRPr="00CD082A">
        <w:rPr>
          <w:i/>
          <w:iCs/>
        </w:rPr>
        <w:t>Microsoft Corp. v. Franchise Tax Bd.</w:t>
      </w:r>
      <w:r w:rsidRPr="00CD082A">
        <w:t xml:space="preserve"> (2006) 39 Cal.4th 750, 758.)  When a constitutional provision is “ ‘clear and unambiguous’ ” it should be given its ordinary meaning.  (</w:t>
      </w:r>
      <w:r w:rsidRPr="00CD082A">
        <w:rPr>
          <w:i/>
          <w:iCs/>
        </w:rPr>
        <w:t>People v. Valencia</w:t>
      </w:r>
      <w:r w:rsidRPr="00CD082A">
        <w:t xml:space="preserve"> (2017) 3</w:t>
      </w:r>
      <w:r w:rsidR="001B0066">
        <w:t> </w:t>
      </w:r>
      <w:r w:rsidRPr="00CD082A">
        <w:t xml:space="preserve">Cal.5th 347, 357, quoting </w:t>
      </w:r>
      <w:r w:rsidRPr="00CD082A">
        <w:rPr>
          <w:i/>
          <w:iCs/>
        </w:rPr>
        <w:t>Lungren v. Deukmejian</w:t>
      </w:r>
      <w:r w:rsidRPr="00CD082A">
        <w:t xml:space="preserve"> (1988) 45</w:t>
      </w:r>
      <w:r w:rsidR="001B0066">
        <w:t> </w:t>
      </w:r>
      <w:r w:rsidRPr="00CD082A">
        <w:t>Cal.3d 727, 735.)  “The words of the statute must be construed in context, keeping in mind the statutory purpose</w:t>
      </w:r>
      <w:r w:rsidR="00406B4C">
        <w:t xml:space="preserve"> </w:t>
      </w:r>
      <w:r w:rsidRPr="00CD082A">
        <w:t>. . . .”  (</w:t>
      </w:r>
      <w:r w:rsidRPr="00CD082A">
        <w:rPr>
          <w:i/>
          <w:iCs/>
        </w:rPr>
        <w:t>Dyna-Med, Inc. v. Fair Employment &amp; Housing Com.</w:t>
      </w:r>
      <w:r w:rsidRPr="00CD082A">
        <w:t xml:space="preserve"> (1987) 43 Cal.3d 1379, 1387</w:t>
      </w:r>
      <w:r w:rsidR="000C7764">
        <w:t xml:space="preserve"> (</w:t>
      </w:r>
      <w:r w:rsidR="000C7764">
        <w:rPr>
          <w:i/>
          <w:iCs/>
        </w:rPr>
        <w:t>Dyna-Med</w:t>
      </w:r>
      <w:r w:rsidR="000C7764">
        <w:t>)</w:t>
      </w:r>
      <w:r w:rsidRPr="00CD082A">
        <w:t xml:space="preserve">.)  </w:t>
      </w:r>
      <w:r w:rsidRPr="00CD082A">
        <w:t>If the text is ambiguous, it is appropriate to examine the ballot materials before the voters.  (</w:t>
      </w:r>
      <w:r w:rsidRPr="00CD082A">
        <w:rPr>
          <w:i/>
          <w:iCs/>
        </w:rPr>
        <w:t>People v. Valencia</w:t>
      </w:r>
      <w:r w:rsidRPr="00CD082A">
        <w:t xml:space="preserve"> (2017) 3 Cal.5th 347, 364, citing </w:t>
      </w:r>
      <w:r w:rsidRPr="00CD082A">
        <w:rPr>
          <w:i/>
          <w:iCs/>
        </w:rPr>
        <w:t>Robert L. v. Superior Court</w:t>
      </w:r>
      <w:r w:rsidRPr="00CD082A">
        <w:t xml:space="preserve"> (2003) 30 Cal.4th 894, 905.)  </w:t>
      </w:r>
    </w:p>
    <w:p w:rsidR="00CD082A" w:rsidRPr="00CD082A" w:rsidP="002B5DFF" w14:paraId="35E62EE5" w14:textId="2479411C">
      <w:pPr>
        <w:tabs>
          <w:tab w:val="left" w:pos="720"/>
        </w:tabs>
        <w:ind w:firstLine="720"/>
      </w:pPr>
      <w:r w:rsidRPr="00CD082A">
        <w:t xml:space="preserve">Article I, section 32(a)(1) establishes </w:t>
      </w:r>
      <w:r w:rsidR="00573CD5">
        <w:t xml:space="preserve">early </w:t>
      </w:r>
      <w:r w:rsidRPr="00CD082A">
        <w:t xml:space="preserve">parole consideration for “[a]ny person convicted of a nonviolent felony offense . . . after completing the full term for his or her primary offense.”  </w:t>
      </w:r>
      <w:r w:rsidR="00D82A6B">
        <w:t>This language</w:t>
      </w:r>
      <w:r w:rsidRPr="00CD082A">
        <w:t xml:space="preserve"> does not expressly address whether inmates </w:t>
      </w:r>
      <w:r w:rsidR="000D4178">
        <w:t xml:space="preserve">with nonviolent felony convictions who are </w:t>
      </w:r>
      <w:r w:rsidRPr="00CD082A">
        <w:t xml:space="preserve">currently </w:t>
      </w:r>
      <w:r w:rsidR="00573CD5">
        <w:t xml:space="preserve">serving </w:t>
      </w:r>
      <w:r w:rsidR="000D4178">
        <w:t xml:space="preserve">a </w:t>
      </w:r>
      <w:r w:rsidR="00573CD5">
        <w:t>prison term for</w:t>
      </w:r>
      <w:r w:rsidRPr="00CD082A">
        <w:t xml:space="preserve"> </w:t>
      </w:r>
      <w:r w:rsidR="000D4178">
        <w:t xml:space="preserve">a </w:t>
      </w:r>
      <w:r w:rsidRPr="00CD082A">
        <w:t xml:space="preserve">violent </w:t>
      </w:r>
      <w:r w:rsidR="000D4178">
        <w:t xml:space="preserve">felony </w:t>
      </w:r>
      <w:r w:rsidRPr="00CD082A">
        <w:t xml:space="preserve">are eligible for early parole consideration.  </w:t>
      </w:r>
      <w:r w:rsidR="00B65901">
        <w:t>T</w:t>
      </w:r>
      <w:r w:rsidRPr="00CD082A">
        <w:t>he parties and appellate courts have offered various interpretations</w:t>
      </w:r>
      <w:r w:rsidR="00B65901">
        <w:t xml:space="preserve"> of this provision</w:t>
      </w:r>
      <w:r w:rsidRPr="00CD082A">
        <w:t xml:space="preserve">.    </w:t>
      </w:r>
    </w:p>
    <w:p w:rsidR="000B2F53" w:rsidP="00CD082A" w14:paraId="51399E6C" w14:textId="5AC3A6C3">
      <w:pPr>
        <w:tabs>
          <w:tab w:val="left" w:pos="720"/>
        </w:tabs>
        <w:ind w:firstLine="720"/>
      </w:pPr>
      <w:r w:rsidRPr="00CD082A">
        <w:t xml:space="preserve">The Court of Appeal </w:t>
      </w:r>
      <w:r w:rsidR="007B4A4A">
        <w:t>concluded the language</w:t>
      </w:r>
      <w:r w:rsidRPr="00CD082A">
        <w:t xml:space="preserve"> is clear and unambiguous:  </w:t>
      </w:r>
      <w:r w:rsidR="00803A40">
        <w:t>A</w:t>
      </w:r>
      <w:r w:rsidR="003117B9">
        <w:t>n</w:t>
      </w:r>
      <w:r w:rsidRPr="00CD082A">
        <w:t xml:space="preserve"> inmate convicted of “a” nonviolent felony</w:t>
      </w:r>
      <w:r w:rsidR="008D2E0C">
        <w:t xml:space="preserve"> </w:t>
      </w:r>
      <w:r w:rsidRPr="00CD082A">
        <w:t>would be eligible for early parole consideration after completing the full term of the primary offense.  (</w:t>
      </w:r>
      <w:r w:rsidRPr="00CD082A">
        <w:rPr>
          <w:i/>
          <w:iCs/>
        </w:rPr>
        <w:t>Mohammad</w:t>
      </w:r>
      <w:r w:rsidRPr="00CD082A">
        <w:t xml:space="preserve">, </w:t>
      </w:r>
      <w:r w:rsidRPr="00CD082A">
        <w:rPr>
          <w:i/>
          <w:iCs/>
        </w:rPr>
        <w:t>supra</w:t>
      </w:r>
      <w:r w:rsidRPr="00CD082A">
        <w:t>, 42</w:t>
      </w:r>
      <w:r w:rsidR="001B0066">
        <w:t> </w:t>
      </w:r>
      <w:r w:rsidRPr="00CD082A">
        <w:t xml:space="preserve">Cal.App.5th at </w:t>
      </w:r>
      <w:r w:rsidR="003E1E9C">
        <w:t xml:space="preserve">p. 725; see </w:t>
      </w:r>
      <w:r w:rsidR="003E1E9C">
        <w:rPr>
          <w:i/>
          <w:iCs/>
        </w:rPr>
        <w:t>id</w:t>
      </w:r>
      <w:r w:rsidR="003E1E9C">
        <w:t>. at</w:t>
      </w:r>
      <w:r w:rsidR="003E1E9C">
        <w:rPr>
          <w:i/>
          <w:iCs/>
        </w:rPr>
        <w:t xml:space="preserve"> </w:t>
      </w:r>
      <w:r w:rsidRPr="00CD082A">
        <w:t>pp. 725–726.)  The</w:t>
      </w:r>
      <w:r w:rsidR="005F78C4">
        <w:t xml:space="preserve"> court </w:t>
      </w:r>
      <w:r w:rsidR="006B21E9">
        <w:t>stated</w:t>
      </w:r>
      <w:r w:rsidR="005F78C4">
        <w:t xml:space="preserve"> that the</w:t>
      </w:r>
      <w:r w:rsidRPr="00CD082A">
        <w:t xml:space="preserve"> requirement that an inmate be convicted of “a” nonviolent felony “takes the singular form, which indicates it applies to an inmate so long as he or she commits ‘a’ single nonviolent felony offense</w:t>
      </w:r>
      <w:r w:rsidR="003E1E9C">
        <w:t> </w:t>
      </w:r>
      <w:r w:rsidRPr="00CD082A">
        <w:t>— even if that offense is not his or her only offense.”  (</w:t>
      </w:r>
      <w:r w:rsidRPr="00CD082A">
        <w:rPr>
          <w:i/>
          <w:iCs/>
        </w:rPr>
        <w:t>Id</w:t>
      </w:r>
      <w:r w:rsidRPr="00CD082A">
        <w:t>. at p. 726.)</w:t>
      </w:r>
      <w:r w:rsidR="009A41FF">
        <w:t xml:space="preserve">  </w:t>
      </w:r>
      <w:r w:rsidRPr="00CD082A">
        <w:t xml:space="preserve">The </w:t>
      </w:r>
      <w:r w:rsidR="009A41FF">
        <w:t>court</w:t>
      </w:r>
      <w:r w:rsidR="001D290F">
        <w:t xml:space="preserve"> also determined the </w:t>
      </w:r>
      <w:r w:rsidRPr="00CD082A">
        <w:t xml:space="preserve">inclusion of the term “primary offense” </w:t>
      </w:r>
      <w:r w:rsidR="001D290F">
        <w:t xml:space="preserve">in the constitutional provision </w:t>
      </w:r>
      <w:r w:rsidRPr="00CD082A">
        <w:t xml:space="preserve">further indicates </w:t>
      </w:r>
      <w:r w:rsidR="00FC3A8B">
        <w:t xml:space="preserve">the electorate would have understood </w:t>
      </w:r>
      <w:r w:rsidRPr="00CD082A">
        <w:t xml:space="preserve">that inmates </w:t>
      </w:r>
      <w:r w:rsidR="00A41C53">
        <w:t>“might</w:t>
      </w:r>
      <w:r w:rsidRPr="00CD082A" w:rsidR="00A41C53">
        <w:t xml:space="preserve"> </w:t>
      </w:r>
      <w:r w:rsidRPr="00CD082A">
        <w:t>be serving a sentence for more than one offense</w:t>
      </w:r>
      <w:r w:rsidR="00A41C53">
        <w:t>, i.e., a primary offense and other secondary offenses</w:t>
      </w:r>
      <w:r w:rsidRPr="00CD082A">
        <w:t>.</w:t>
      </w:r>
      <w:r w:rsidR="00A41C53">
        <w:t>”</w:t>
      </w:r>
      <w:r w:rsidRPr="00CD082A">
        <w:t xml:space="preserve">  (</w:t>
      </w:r>
      <w:r>
        <w:rPr>
          <w:i/>
          <w:iCs/>
        </w:rPr>
        <w:t>Ibid</w:t>
      </w:r>
      <w:r w:rsidRPr="00CD082A">
        <w:t xml:space="preserve">.)  Moreover, the </w:t>
      </w:r>
      <w:r w:rsidR="007F3462">
        <w:t xml:space="preserve">court noted that the </w:t>
      </w:r>
      <w:r w:rsidRPr="00CD082A">
        <w:t>constitutional definition of the “full term for the primary offense” specifically references (and excludes) the imposition of a consecutive sentence.  (</w:t>
      </w:r>
      <w:r w:rsidRPr="00CD082A">
        <w:rPr>
          <w:i/>
          <w:iCs/>
        </w:rPr>
        <w:t>Ibid</w:t>
      </w:r>
      <w:r w:rsidRPr="00CD082A">
        <w:t xml:space="preserve">.)  </w:t>
      </w:r>
    </w:p>
    <w:p w:rsidR="0085640E" w:rsidP="001E4BA1" w14:paraId="7FDB1C14" w14:textId="6C7DD46D">
      <w:pPr>
        <w:tabs>
          <w:tab w:val="left" w:pos="720"/>
        </w:tabs>
        <w:ind w:firstLine="720"/>
      </w:pPr>
      <w:r>
        <w:t xml:space="preserve">Considered alone and </w:t>
      </w:r>
      <w:r w:rsidR="0001558C">
        <w:t xml:space="preserve">outside of the </w:t>
      </w:r>
      <w:r>
        <w:t>context</w:t>
      </w:r>
      <w:r w:rsidR="0001558C">
        <w:t xml:space="preserve"> of the entire initiative</w:t>
      </w:r>
      <w:r>
        <w:t xml:space="preserve">, </w:t>
      </w:r>
      <w:r w:rsidR="00EC353C">
        <w:t xml:space="preserve">the Court of Appeal’s </w:t>
      </w:r>
      <w:r w:rsidR="00B06F9E">
        <w:t>interpretation</w:t>
      </w:r>
      <w:r w:rsidR="003F0038">
        <w:t xml:space="preserve"> is a </w:t>
      </w:r>
      <w:r w:rsidR="00F036A4">
        <w:t>plausible</w:t>
      </w:r>
      <w:r w:rsidR="003F0038">
        <w:t xml:space="preserve"> reading </w:t>
      </w:r>
      <w:r w:rsidR="0039496C">
        <w:t xml:space="preserve">of the language </w:t>
      </w:r>
      <w:r w:rsidR="003F0038">
        <w:t>th</w:t>
      </w:r>
      <w:r w:rsidR="00F45F91">
        <w:t xml:space="preserve">at </w:t>
      </w:r>
      <w:r w:rsidR="009005C1">
        <w:t>is, on its face, consistent with article I, section 32(a)</w:t>
      </w:r>
      <w:r w:rsidRPr="00CD082A" w:rsidR="00CD082A">
        <w:t>.</w:t>
      </w:r>
      <w:r>
        <w:rPr>
          <w:b/>
          <w:sz w:val="24"/>
          <w:vertAlign w:val="superscript"/>
        </w:rPr>
        <w:footnoteReference w:id="10"/>
      </w:r>
      <w:r w:rsidR="00F45F91">
        <w:t xml:space="preserve">  But</w:t>
      </w:r>
      <w:r w:rsidR="00AC178D">
        <w:t xml:space="preserve"> language that </w:t>
      </w:r>
      <w:r w:rsidR="000214F2">
        <w:t xml:space="preserve">seems plain when considered in isolation </w:t>
      </w:r>
      <w:r w:rsidR="00C71788">
        <w:t xml:space="preserve">may be ambiguous when examined within the context of the scheme it implements.  (See, e.g., </w:t>
      </w:r>
      <w:r w:rsidR="00C71788">
        <w:rPr>
          <w:i/>
          <w:iCs/>
        </w:rPr>
        <w:t>Small v. United States</w:t>
      </w:r>
      <w:r w:rsidR="00C71788">
        <w:t xml:space="preserve"> (2005) 544 U.S. 385, 388</w:t>
      </w:r>
      <w:r w:rsidR="002858C5">
        <w:t xml:space="preserve"> [finding phrase “convicted in any court” to be ambiguous when determining whether statute included a conviction in a foreign court], citing </w:t>
      </w:r>
      <w:r w:rsidR="002858C5">
        <w:rPr>
          <w:i/>
          <w:iCs/>
        </w:rPr>
        <w:t>Nixon v. Missouri Municipal League</w:t>
      </w:r>
      <w:r w:rsidR="002858C5">
        <w:t xml:space="preserve"> (2004) 541 U.S. 125, 132 [“ ‘any’</w:t>
      </w:r>
      <w:r w:rsidR="00EB53FE">
        <w:t xml:space="preserve"> ” </w:t>
      </w:r>
      <w:r w:rsidR="00BD3869">
        <w:t>can mean</w:t>
      </w:r>
      <w:r w:rsidR="00EB53FE">
        <w:t xml:space="preserve"> “different things depending upon the setting”]</w:t>
      </w:r>
      <w:r w:rsidR="00B34241">
        <w:t xml:space="preserve">; </w:t>
      </w:r>
      <w:r w:rsidR="00B34241">
        <w:rPr>
          <w:i/>
          <w:iCs/>
        </w:rPr>
        <w:t>People v. Woodhead</w:t>
      </w:r>
      <w:r w:rsidR="00B34241">
        <w:t xml:space="preserve"> (1987) 43 Cal.3d 1002, 1008 [noting the term “convicted” “may have different meanings in different contexts, or even different meanings within a single statute”]</w:t>
      </w:r>
      <w:r w:rsidR="00EB53FE">
        <w:t>.)</w:t>
      </w:r>
      <w:r w:rsidR="00F45F91">
        <w:t xml:space="preserve"> </w:t>
      </w:r>
      <w:r w:rsidR="002255F6">
        <w:t xml:space="preserve"> </w:t>
      </w:r>
    </w:p>
    <w:p w:rsidR="007647F5" w:rsidP="001E4BA1" w14:paraId="7DD4C058" w14:textId="1C9966DF">
      <w:pPr>
        <w:tabs>
          <w:tab w:val="left" w:pos="720"/>
        </w:tabs>
        <w:ind w:firstLine="720"/>
      </w:pPr>
      <w:r>
        <w:t xml:space="preserve">We have found </w:t>
      </w:r>
      <w:r w:rsidR="00FB46E1">
        <w:t>similar language to be ambiguous</w:t>
      </w:r>
      <w:r w:rsidR="001E4BA1">
        <w:t>.  (</w:t>
      </w:r>
      <w:r w:rsidRPr="00CD082A">
        <w:rPr>
          <w:i/>
          <w:iCs/>
        </w:rPr>
        <w:t>In re Reeves</w:t>
      </w:r>
      <w:r w:rsidRPr="00CD082A">
        <w:t xml:space="preserve"> (2005) 35 Cal.4th 765</w:t>
      </w:r>
      <w:r w:rsidR="000A4EEC">
        <w:t xml:space="preserve"> (</w:t>
      </w:r>
      <w:r w:rsidR="000A4EEC">
        <w:rPr>
          <w:i/>
          <w:iCs/>
        </w:rPr>
        <w:t>Reeves</w:t>
      </w:r>
      <w:r w:rsidR="000A4EEC">
        <w:t>)</w:t>
      </w:r>
      <w:r w:rsidRPr="00CD082A">
        <w:t>.</w:t>
      </w:r>
      <w:r w:rsidR="001E4BA1">
        <w:t>)</w:t>
      </w:r>
      <w:r w:rsidRPr="00CD082A">
        <w:t xml:space="preserve">  </w:t>
      </w:r>
      <w:r w:rsidR="001E4BA1">
        <w:t xml:space="preserve">In </w:t>
      </w:r>
      <w:r w:rsidR="001E4BA1">
        <w:rPr>
          <w:i/>
          <w:iCs/>
        </w:rPr>
        <w:t>Reeves</w:t>
      </w:r>
      <w:r w:rsidRPr="00CD082A">
        <w:t xml:space="preserve">, we considered </w:t>
      </w:r>
      <w:r>
        <w:t xml:space="preserve">a statute that </w:t>
      </w:r>
      <w:r w:rsidRPr="00CD082A">
        <w:t>provid</w:t>
      </w:r>
      <w:r>
        <w:t>ed</w:t>
      </w:r>
      <w:r w:rsidRPr="00CD082A">
        <w:t xml:space="preserve"> </w:t>
      </w:r>
      <w:r>
        <w:t>“ ‘</w:t>
      </w:r>
      <w:r w:rsidRPr="00CD082A">
        <w:t>any person who is convicted of a [violent</w:t>
      </w:r>
      <w:r>
        <w:t>]</w:t>
      </w:r>
      <w:r w:rsidRPr="00CD082A">
        <w:t xml:space="preserve"> felony</w:t>
      </w:r>
      <w:r>
        <w:t xml:space="preserve"> offense . . .</w:t>
      </w:r>
      <w:r w:rsidRPr="00CD082A">
        <w:t xml:space="preserve"> shall accrue no more than 15</w:t>
      </w:r>
      <w:r>
        <w:t xml:space="preserve"> percent</w:t>
      </w:r>
      <w:r w:rsidRPr="00CD082A">
        <w:t xml:space="preserve"> of worktime credit</w:t>
      </w:r>
      <w:r>
        <w:t xml:space="preserve"> . . . </w:t>
      </w:r>
      <w:r w:rsidRPr="00CD082A">
        <w:t>.</w:t>
      </w:r>
      <w:r>
        <w:t>’ </w:t>
      </w:r>
      <w:r w:rsidRPr="00CD082A">
        <w:t>”  (</w:t>
      </w:r>
      <w:r w:rsidRPr="00CD082A">
        <w:rPr>
          <w:i/>
          <w:iCs/>
        </w:rPr>
        <w:t>Id</w:t>
      </w:r>
      <w:r w:rsidRPr="00CD082A">
        <w:t>. at p.</w:t>
      </w:r>
      <w:r>
        <w:t> </w:t>
      </w:r>
      <w:r w:rsidRPr="00CD082A">
        <w:t>768</w:t>
      </w:r>
      <w:r w:rsidR="006F326F">
        <w:t xml:space="preserve">, fn. </w:t>
      </w:r>
      <w:r w:rsidR="00C850EF">
        <w:t>o</w:t>
      </w:r>
      <w:r w:rsidR="006F326F">
        <w:t>mitted, quoting Pen.</w:t>
      </w:r>
      <w:r w:rsidR="00090FF3">
        <w:t> </w:t>
      </w:r>
      <w:r w:rsidR="006F326F">
        <w:t>Code, § 2933</w:t>
      </w:r>
      <w:r w:rsidR="000F693C">
        <w:t>.1, subd. (a)</w:t>
      </w:r>
      <w:r w:rsidRPr="00CD082A">
        <w:t xml:space="preserve">.)  The issue in </w:t>
      </w:r>
      <w:r w:rsidRPr="00CD082A">
        <w:rPr>
          <w:i/>
          <w:iCs/>
        </w:rPr>
        <w:t>Reeves</w:t>
      </w:r>
      <w:r w:rsidRPr="00CD082A">
        <w:t xml:space="preserve"> was whether an inmate convicted of both nonviolent and violent felonies was subject to the 15 percent </w:t>
      </w:r>
      <w:r>
        <w:t xml:space="preserve">credit </w:t>
      </w:r>
      <w:r w:rsidRPr="00CD082A">
        <w:t>limit.  (</w:t>
      </w:r>
      <w:r w:rsidRPr="00CD082A">
        <w:rPr>
          <w:i/>
          <w:iCs/>
        </w:rPr>
        <w:t>Id</w:t>
      </w:r>
      <w:r w:rsidRPr="00CD082A">
        <w:t>. at p.</w:t>
      </w:r>
      <w:r>
        <w:t> </w:t>
      </w:r>
      <w:r w:rsidRPr="00CD082A">
        <w:t xml:space="preserve">770.)  </w:t>
      </w:r>
      <w:r>
        <w:t xml:space="preserve">We </w:t>
      </w:r>
      <w:r w:rsidRPr="00CD082A">
        <w:t>not</w:t>
      </w:r>
      <w:r>
        <w:t>ed</w:t>
      </w:r>
      <w:r w:rsidRPr="00CD082A">
        <w:t xml:space="preserve"> that the “seemingly plain language” of the statute was subject to various possible interpretations</w:t>
      </w:r>
      <w:r>
        <w:t xml:space="preserve"> based on the term “ ‘is convicted.’ ”  (</w:t>
      </w:r>
      <w:r>
        <w:rPr>
          <w:i/>
          <w:iCs/>
        </w:rPr>
        <w:t>Id</w:t>
      </w:r>
      <w:r>
        <w:t xml:space="preserve">. at </w:t>
      </w:r>
      <w:r w:rsidR="00270854">
        <w:t xml:space="preserve">p. 770; see </w:t>
      </w:r>
      <w:r w:rsidRPr="00B73143" w:rsidR="00270854">
        <w:rPr>
          <w:i/>
          <w:iCs/>
        </w:rPr>
        <w:t>id</w:t>
      </w:r>
      <w:r w:rsidR="00270854">
        <w:t xml:space="preserve">. at </w:t>
      </w:r>
      <w:r w:rsidRPr="00270854">
        <w:t>p</w:t>
      </w:r>
      <w:r>
        <w:t xml:space="preserve">. 771 [“ ‘any person who is convicted of a [violent] felony offense’ [citation], might conceivably refer simply to a point of historical fact”].)  We therefore determined </w:t>
      </w:r>
      <w:r w:rsidRPr="00CD082A">
        <w:t>that “the conclusion that [the statu</w:t>
      </w:r>
      <w:r>
        <w:t>t</w:t>
      </w:r>
      <w:r w:rsidRPr="00CD082A">
        <w:t>e] is ambiguous, at least as applied to the facts of this case, seems inescapable.”  (</w:t>
      </w:r>
      <w:r w:rsidR="00270854">
        <w:rPr>
          <w:i/>
          <w:iCs/>
        </w:rPr>
        <w:t>Id</w:t>
      </w:r>
      <w:r w:rsidR="00270854">
        <w:t xml:space="preserve">. </w:t>
      </w:r>
      <w:r w:rsidR="00F827B3">
        <w:t>a</w:t>
      </w:r>
      <w:r w:rsidR="00270854">
        <w:t>t pp. 770–771</w:t>
      </w:r>
      <w:r w:rsidRPr="00CD082A">
        <w:t xml:space="preserve">.)  </w:t>
      </w:r>
    </w:p>
    <w:p w:rsidR="007647F5" w:rsidP="007647F5" w14:paraId="65E3E35B" w14:textId="3BABC997">
      <w:pPr>
        <w:tabs>
          <w:tab w:val="left" w:pos="720"/>
        </w:tabs>
        <w:ind w:firstLine="720"/>
      </w:pPr>
      <w:r>
        <w:t xml:space="preserve">The constitutional provision here contains language nearly identical to the statutory language we considered in </w:t>
      </w:r>
      <w:r>
        <w:rPr>
          <w:i/>
          <w:iCs/>
        </w:rPr>
        <w:t>Reeves</w:t>
      </w:r>
      <w:r>
        <w:t xml:space="preserve">.  </w:t>
      </w:r>
      <w:r w:rsidR="00BE4377">
        <w:t>Article I, section 32(a) does not directly state whether an inmate like petitioner</w:t>
      </w:r>
      <w:r w:rsidR="002F457B">
        <w:t> </w:t>
      </w:r>
      <w:r w:rsidR="00BE4377">
        <w:t xml:space="preserve">— </w:t>
      </w:r>
      <w:r w:rsidR="00411D8E">
        <w:t xml:space="preserve">who has nonviolent felony convictions but is </w:t>
      </w:r>
      <w:r w:rsidR="00BE4377">
        <w:t xml:space="preserve">currently serving </w:t>
      </w:r>
      <w:r w:rsidR="00411D8E">
        <w:t>a term</w:t>
      </w:r>
      <w:r w:rsidR="00BE4377">
        <w:t xml:space="preserve"> of incarceration for </w:t>
      </w:r>
      <w:r w:rsidR="00411D8E">
        <w:t xml:space="preserve">a </w:t>
      </w:r>
      <w:r w:rsidR="00BE4377">
        <w:t xml:space="preserve">violent </w:t>
      </w:r>
      <w:r w:rsidR="00411D8E">
        <w:t>felony</w:t>
      </w:r>
      <w:r w:rsidR="002F457B">
        <w:t> </w:t>
      </w:r>
      <w:r w:rsidR="00BE4377">
        <w:t>— would be eligible for</w:t>
      </w:r>
      <w:r w:rsidR="00671D8C">
        <w:t xml:space="preserve"> early</w:t>
      </w:r>
      <w:r w:rsidR="00BE4377">
        <w:t xml:space="preserve"> parole consideration.  </w:t>
      </w:r>
      <w:r>
        <w:t xml:space="preserve">Like in </w:t>
      </w:r>
      <w:r>
        <w:rPr>
          <w:i/>
          <w:iCs/>
        </w:rPr>
        <w:t>Reeves</w:t>
      </w:r>
      <w:r>
        <w:t xml:space="preserve">, it “seems inescapable” that the language is ambiguous as it applies to </w:t>
      </w:r>
      <w:r w:rsidRPr="00CD082A">
        <w:t xml:space="preserve">inmates </w:t>
      </w:r>
      <w:r w:rsidR="004D1A32">
        <w:t>like petitioner</w:t>
      </w:r>
      <w:r w:rsidRPr="00CD082A">
        <w:t>.</w:t>
      </w:r>
      <w:r>
        <w:t xml:space="preserve">  (</w:t>
      </w:r>
      <w:r>
        <w:rPr>
          <w:i/>
          <w:iCs/>
        </w:rPr>
        <w:t>Reeves</w:t>
      </w:r>
      <w:r>
        <w:t xml:space="preserve">, </w:t>
      </w:r>
      <w:r>
        <w:rPr>
          <w:i/>
          <w:iCs/>
        </w:rPr>
        <w:t>supra</w:t>
      </w:r>
      <w:r>
        <w:t>, 35</w:t>
      </w:r>
      <w:r w:rsidR="001B0066">
        <w:t> </w:t>
      </w:r>
      <w:r>
        <w:t xml:space="preserve">Cal.4th at pp. 770–771.)  </w:t>
      </w:r>
    </w:p>
    <w:p w:rsidR="00886BF6" w:rsidP="00CD082A" w14:paraId="62DE927C" w14:textId="371507E2">
      <w:pPr>
        <w:tabs>
          <w:tab w:val="left" w:pos="720"/>
        </w:tabs>
        <w:ind w:firstLine="720"/>
      </w:pPr>
      <w:r>
        <w:t>Further, t</w:t>
      </w:r>
      <w:r w:rsidR="00F45F91">
        <w:t xml:space="preserve">he </w:t>
      </w:r>
      <w:r w:rsidR="00A60C34">
        <w:t xml:space="preserve">appellate courts and the parties here advance various </w:t>
      </w:r>
      <w:r w:rsidR="00F45F91">
        <w:t xml:space="preserve">interpretations </w:t>
      </w:r>
      <w:r w:rsidRPr="00CD082A" w:rsidR="00CD082A">
        <w:t xml:space="preserve">of </w:t>
      </w:r>
      <w:r w:rsidR="00013E68">
        <w:t>article I, section 32(a)</w:t>
      </w:r>
      <w:r w:rsidR="00A60C34">
        <w:t xml:space="preserve"> that reflect ambiguities</w:t>
      </w:r>
      <w:r>
        <w:t xml:space="preserve"> in the constitutional language</w:t>
      </w:r>
      <w:r w:rsidRPr="00CD082A" w:rsidR="00CD082A">
        <w:t>.  Petitioner</w:t>
      </w:r>
      <w:r w:rsidR="00A60C34">
        <w:t>, for example,</w:t>
      </w:r>
      <w:r w:rsidRPr="00CD082A" w:rsidR="00CD082A">
        <w:t xml:space="preserve"> </w:t>
      </w:r>
      <w:r w:rsidR="00A60C34">
        <w:t>asserts that</w:t>
      </w:r>
      <w:r w:rsidRPr="00CD082A" w:rsidR="00CD082A">
        <w:t xml:space="preserve"> inmates convicted of a nonviolent felony </w:t>
      </w:r>
      <w:r w:rsidR="00B35BD9">
        <w:t xml:space="preserve">as their primary offense </w:t>
      </w:r>
      <w:r w:rsidRPr="00CD082A" w:rsidR="00CD082A">
        <w:t xml:space="preserve">are eligible for early parole consideration “once they have served the full term for </w:t>
      </w:r>
      <w:r w:rsidRPr="00CD082A" w:rsidR="00CD082A">
        <w:rPr>
          <w:i/>
          <w:iCs/>
        </w:rPr>
        <w:t>that</w:t>
      </w:r>
      <w:r w:rsidRPr="00CD082A" w:rsidR="00CD082A">
        <w:t xml:space="preserve"> offense.”  </w:t>
      </w:r>
      <w:r w:rsidR="00351AAA">
        <w:t>(</w:t>
      </w:r>
      <w:r w:rsidR="00321D8A">
        <w:t>Italics</w:t>
      </w:r>
      <w:r w:rsidR="00351AAA">
        <w:t xml:space="preserve"> added.)</w:t>
      </w:r>
      <w:r w:rsidRPr="00CD082A" w:rsidR="00CD082A">
        <w:t xml:space="preserve">  </w:t>
      </w:r>
      <w:r w:rsidR="00351AAA">
        <w:t>I</w:t>
      </w:r>
      <w:r w:rsidRPr="00CD082A" w:rsidR="00CD082A">
        <w:t>n other words, under petitioner’s view, early parole consideration is required when an inmate’s primary offense is a nonviolent felony</w:t>
      </w:r>
      <w:r w:rsidR="00933DC4">
        <w:t xml:space="preserve"> </w:t>
      </w:r>
      <w:r w:rsidR="00671D8C">
        <w:t xml:space="preserve">even if </w:t>
      </w:r>
      <w:r w:rsidR="00933DC4">
        <w:t>the inmate is currently serving a term for a violent felony</w:t>
      </w:r>
      <w:r w:rsidRPr="00CD082A" w:rsidR="00CD082A">
        <w:t xml:space="preserve">, but not when the inmate’s primary offense is a violent felony and the inmate is currently </w:t>
      </w:r>
      <w:r w:rsidR="00E751E2">
        <w:t>serving a term for</w:t>
      </w:r>
      <w:r w:rsidRPr="00CD082A" w:rsidR="00CD082A">
        <w:t xml:space="preserve"> a nonviolent felony.</w:t>
      </w:r>
      <w:r>
        <w:rPr>
          <w:rStyle w:val="FootnoteReference"/>
        </w:rPr>
        <w:footnoteReference w:id="11"/>
      </w:r>
      <w:r w:rsidRPr="00CD082A" w:rsidR="00CD082A">
        <w:t xml:space="preserve">  </w:t>
      </w:r>
    </w:p>
    <w:p w:rsidR="005D0DCC" w:rsidRPr="004050BC" w:rsidP="003E332A" w14:paraId="3948B5C4" w14:textId="5619D9FC">
      <w:pPr>
        <w:tabs>
          <w:tab w:val="left" w:pos="720"/>
        </w:tabs>
        <w:ind w:firstLine="720"/>
      </w:pPr>
      <w:r>
        <w:t>A</w:t>
      </w:r>
      <w:r w:rsidRPr="00CD082A" w:rsidR="00CD082A">
        <w:t xml:space="preserve"> concurring opinion in another appellate </w:t>
      </w:r>
      <w:r w:rsidR="0072252B">
        <w:t>decision</w:t>
      </w:r>
      <w:r w:rsidRPr="00CD082A" w:rsidR="00CD082A">
        <w:t xml:space="preserve"> provides </w:t>
      </w:r>
      <w:r w:rsidR="005C3F7B">
        <w:t xml:space="preserve">a different </w:t>
      </w:r>
      <w:r w:rsidR="00892AFE">
        <w:t>approach</w:t>
      </w:r>
      <w:r w:rsidRPr="00CD082A" w:rsidR="00CD082A">
        <w:t xml:space="preserve">:  </w:t>
      </w:r>
      <w:r w:rsidR="002B4625">
        <w:t>W</w:t>
      </w:r>
      <w:r w:rsidRPr="00CD082A" w:rsidR="00CD082A">
        <w:t xml:space="preserve">hen an inmate </w:t>
      </w:r>
      <w:r w:rsidR="00E90833">
        <w:t>has been</w:t>
      </w:r>
      <w:r w:rsidRPr="00CD082A" w:rsidR="00CD082A">
        <w:t xml:space="preserve"> convicted of a violent felony offense that is deemed the primary offense and also</w:t>
      </w:r>
      <w:r w:rsidR="00E90833">
        <w:t xml:space="preserve"> has been</w:t>
      </w:r>
      <w:r w:rsidRPr="00CD082A" w:rsidR="00CD082A">
        <w:t xml:space="preserve"> convicted of a nonviolent felony offense, the inmate is eligible for nonviolent offender parole consideration after serving the sentence for the violent felony.  (</w:t>
      </w:r>
      <w:r w:rsidRPr="00CD082A" w:rsidR="00CD082A">
        <w:rPr>
          <w:i/>
          <w:iCs/>
        </w:rPr>
        <w:t>In re Douglas</w:t>
      </w:r>
      <w:r w:rsidRPr="00CD082A" w:rsidR="00CD082A">
        <w:t xml:space="preserve">, </w:t>
      </w:r>
      <w:r w:rsidRPr="00CD082A" w:rsidR="00CD082A">
        <w:rPr>
          <w:i/>
          <w:iCs/>
        </w:rPr>
        <w:t>supra</w:t>
      </w:r>
      <w:r w:rsidRPr="00CD082A" w:rsidR="00CD082A">
        <w:t xml:space="preserve">, 62 Cal.App.5th at p. 735 (conc. opn. of Robie, </w:t>
      </w:r>
      <w:r w:rsidR="00655A1E">
        <w:t>Acting P.</w:t>
      </w:r>
      <w:r w:rsidR="004A3334">
        <w:t xml:space="preserve"> </w:t>
      </w:r>
      <w:r w:rsidRPr="00CD082A" w:rsidR="00CD082A">
        <w:t xml:space="preserve">J.).)  </w:t>
      </w:r>
      <w:r w:rsidR="00A257F2">
        <w:t>T</w:t>
      </w:r>
      <w:r w:rsidRPr="00CD082A" w:rsidR="00CD082A">
        <w:t>he Department</w:t>
      </w:r>
      <w:r w:rsidR="00FC5B29">
        <w:t xml:space="preserve"> </w:t>
      </w:r>
      <w:r w:rsidRPr="00CD082A" w:rsidR="00CD082A">
        <w:t xml:space="preserve">asserts the language </w:t>
      </w:r>
      <w:r w:rsidR="005F32FF">
        <w:t>permits the exclusion of inmates who have nonviolent felony convictions and are currently serving a term of incarceration for a violent felony offense</w:t>
      </w:r>
      <w:r w:rsidRPr="00CD082A" w:rsidR="00CD082A">
        <w:t>.</w:t>
      </w:r>
    </w:p>
    <w:p w:rsidR="008814CE" w:rsidP="003E332A" w14:paraId="5E8DB154" w14:textId="0CA915EB">
      <w:pPr>
        <w:tabs>
          <w:tab w:val="left" w:pos="720"/>
        </w:tabs>
        <w:ind w:firstLine="720"/>
      </w:pPr>
      <w:r>
        <w:t>T</w:t>
      </w:r>
      <w:r w:rsidR="008224F1">
        <w:t>he language of article I, section 32(a) alone does not</w:t>
      </w:r>
      <w:r w:rsidR="00B93F6C">
        <w:t xml:space="preserve"> tell us which of </w:t>
      </w:r>
      <w:r w:rsidRPr="00CD082A" w:rsidR="00CD082A">
        <w:t xml:space="preserve">these interpretations </w:t>
      </w:r>
      <w:r w:rsidR="00B93F6C">
        <w:t xml:space="preserve">is correct.  </w:t>
      </w:r>
      <w:r w:rsidR="009D4808">
        <w:t>That there are</w:t>
      </w:r>
      <w:r w:rsidRPr="00CD082A" w:rsidR="00CD082A">
        <w:t xml:space="preserve"> several plausible interpretations of the constitutional language </w:t>
      </w:r>
      <w:r w:rsidR="009D4808">
        <w:t xml:space="preserve">indicates the </w:t>
      </w:r>
      <w:r w:rsidRPr="00CD082A" w:rsidR="00CD082A">
        <w:t xml:space="preserve">meaning of the text is ambiguous.  (See </w:t>
      </w:r>
      <w:r w:rsidRPr="00CD082A" w:rsidR="00CD082A">
        <w:rPr>
          <w:i/>
          <w:iCs/>
        </w:rPr>
        <w:t>People v. Gonzales</w:t>
      </w:r>
      <w:r w:rsidRPr="00CD082A" w:rsidR="00CD082A">
        <w:t xml:space="preserve"> (2018) 6 Cal.5th 44, 52 [considering ballot materials when statutory language “could have several possible interpretations”]; </w:t>
      </w:r>
      <w:r w:rsidRPr="00CD082A" w:rsidR="00CD082A">
        <w:rPr>
          <w:i/>
          <w:iCs/>
        </w:rPr>
        <w:t>Arias v. Superior Court</w:t>
      </w:r>
      <w:r w:rsidRPr="00CD082A" w:rsidR="00CD082A">
        <w:t xml:space="preserve"> (2009) 46 Cal.4th 969, 979</w:t>
      </w:r>
      <w:r w:rsidR="00EB3FB3">
        <w:t xml:space="preserve"> </w:t>
      </w:r>
      <w:r w:rsidRPr="00CD082A" w:rsidR="00CD082A">
        <w:t xml:space="preserve">[“there is no need to construe a provision’s words when they are clear and unambiguous and thus not reasonably susceptible of more than one meaning”], citing </w:t>
      </w:r>
      <w:r w:rsidRPr="00CD082A" w:rsidR="00CD082A">
        <w:rPr>
          <w:i/>
          <w:iCs/>
        </w:rPr>
        <w:t>People v. Leal</w:t>
      </w:r>
      <w:r w:rsidRPr="00CD082A" w:rsidR="00CD082A">
        <w:t xml:space="preserve"> (2004) 33</w:t>
      </w:r>
      <w:r w:rsidR="00C442C8">
        <w:t> </w:t>
      </w:r>
      <w:r w:rsidRPr="00CD082A" w:rsidR="00CD082A">
        <w:t xml:space="preserve">Cal.4th 999, 1007, </w:t>
      </w:r>
      <w:r w:rsidRPr="00CD082A" w:rsidR="00CD082A">
        <w:rPr>
          <w:i/>
          <w:iCs/>
        </w:rPr>
        <w:t>People v. Gardeley</w:t>
      </w:r>
      <w:r w:rsidRPr="00CD082A" w:rsidR="00CD082A">
        <w:t xml:space="preserve"> (1996) 14 Cal.4th 605, 621; see also </w:t>
      </w:r>
      <w:r w:rsidRPr="00CD082A" w:rsidR="00CD082A">
        <w:rPr>
          <w:i/>
          <w:iCs/>
        </w:rPr>
        <w:t>In re Douglas</w:t>
      </w:r>
      <w:r w:rsidRPr="00CD082A" w:rsidR="00CD082A">
        <w:t xml:space="preserve">, </w:t>
      </w:r>
      <w:r w:rsidRPr="00CD082A" w:rsidR="00CD082A">
        <w:rPr>
          <w:i/>
          <w:iCs/>
        </w:rPr>
        <w:t>supra</w:t>
      </w:r>
      <w:r w:rsidRPr="00CD082A" w:rsidR="00CD082A">
        <w:t xml:space="preserve">, </w:t>
      </w:r>
      <w:r w:rsidR="00535390">
        <w:t>62 Cal.App.5th at p.</w:t>
      </w:r>
      <w:r w:rsidR="00C442C8">
        <w:t> </w:t>
      </w:r>
      <w:r w:rsidR="00535390">
        <w:t>735</w:t>
      </w:r>
      <w:r w:rsidR="009E2D91">
        <w:t xml:space="preserve"> </w:t>
      </w:r>
      <w:r w:rsidRPr="00CD082A" w:rsidR="009E2D91">
        <w:t xml:space="preserve">(conc. opn. of Robie, </w:t>
      </w:r>
      <w:r w:rsidR="00EF2A94">
        <w:t>Acting P.</w:t>
      </w:r>
      <w:r w:rsidR="00934C76">
        <w:t xml:space="preserve"> </w:t>
      </w:r>
      <w:r w:rsidRPr="00CD082A" w:rsidR="009E2D91">
        <w:t>J.)</w:t>
      </w:r>
      <w:r w:rsidRPr="00CD082A" w:rsidR="00CD082A">
        <w:t xml:space="preserve"> [“It is clear section 32(a)(1) is ambiguous given the divergence of appellate opinions as to its meaning”].)  </w:t>
      </w:r>
    </w:p>
    <w:p w:rsidR="007D73B0" w:rsidP="00CD082A" w14:paraId="0E160606" w14:textId="16A8F890">
      <w:pPr>
        <w:tabs>
          <w:tab w:val="left" w:pos="720"/>
        </w:tabs>
        <w:ind w:firstLine="720"/>
      </w:pPr>
      <w:r w:rsidRPr="00395155">
        <w:t xml:space="preserve">Petitioner </w:t>
      </w:r>
      <w:r>
        <w:t>contends</w:t>
      </w:r>
      <w:r w:rsidRPr="00395155">
        <w:t xml:space="preserve"> that our recent opinion in </w:t>
      </w:r>
      <w:r w:rsidRPr="00395155">
        <w:rPr>
          <w:i/>
          <w:iCs/>
        </w:rPr>
        <w:t>Gadlin</w:t>
      </w:r>
      <w:r>
        <w:rPr>
          <w:i/>
          <w:iCs/>
        </w:rPr>
        <w:t xml:space="preserve"> </w:t>
      </w:r>
      <w:r>
        <w:t>compels a contrary conclusion</w:t>
      </w:r>
      <w:r w:rsidRPr="00395155">
        <w:t xml:space="preserve">.  </w:t>
      </w:r>
      <w:r w:rsidR="00875DC3">
        <w:t>But i</w:t>
      </w:r>
      <w:r>
        <w:t xml:space="preserve">n </w:t>
      </w:r>
      <w:r>
        <w:rPr>
          <w:i/>
          <w:iCs/>
        </w:rPr>
        <w:t>Gadlin</w:t>
      </w:r>
      <w:r w:rsidRPr="00395155">
        <w:t>, we found the language of article I, section 32(a)(1) to be unambiguous</w:t>
      </w:r>
      <w:r>
        <w:t xml:space="preserve"> in </w:t>
      </w:r>
      <w:r w:rsidR="00F00944">
        <w:t>other respects</w:t>
      </w:r>
      <w:r w:rsidRPr="00395155">
        <w:t>.  (</w:t>
      </w:r>
      <w:r w:rsidRPr="00395155">
        <w:rPr>
          <w:i/>
          <w:iCs/>
        </w:rPr>
        <w:t>Gadlin</w:t>
      </w:r>
      <w:r w:rsidRPr="00395155">
        <w:t xml:space="preserve">, </w:t>
      </w:r>
      <w:r w:rsidRPr="00395155">
        <w:rPr>
          <w:i/>
          <w:iCs/>
        </w:rPr>
        <w:t>supra</w:t>
      </w:r>
      <w:r w:rsidRPr="00395155">
        <w:t xml:space="preserve">, 10 Cal.5th at p. 935.)  </w:t>
      </w:r>
      <w:r>
        <w:t>There</w:t>
      </w:r>
      <w:r w:rsidRPr="00395155">
        <w:t xml:space="preserve">, we were asked to decide whether the Department could exclude from </w:t>
      </w:r>
      <w:r w:rsidR="005F32FF">
        <w:t>early</w:t>
      </w:r>
      <w:r w:rsidRPr="00395155">
        <w:t xml:space="preserve"> parole consideration all inmates convicted of a sex offense requiring registration under </w:t>
      </w:r>
      <w:r w:rsidR="00A46F8B">
        <w:t xml:space="preserve">Penal Code </w:t>
      </w:r>
      <w:r w:rsidRPr="00395155">
        <w:t>section 290, even when the Department’s regulations defined some of those inmates as nonviolent offenders.  (</w:t>
      </w:r>
      <w:r w:rsidRPr="00395155" w:rsidR="002D4D40">
        <w:rPr>
          <w:i/>
          <w:iCs/>
        </w:rPr>
        <w:t>Gadlin</w:t>
      </w:r>
      <w:r w:rsidRPr="00395155" w:rsidR="002D4D40">
        <w:t xml:space="preserve">, </w:t>
      </w:r>
      <w:r w:rsidRPr="00395155" w:rsidR="002D4D40">
        <w:rPr>
          <w:i/>
          <w:iCs/>
        </w:rPr>
        <w:t>supra</w:t>
      </w:r>
      <w:r w:rsidRPr="00395155" w:rsidR="002D4D40">
        <w:t>, 10</w:t>
      </w:r>
      <w:r w:rsidR="00C442C8">
        <w:t> </w:t>
      </w:r>
      <w:r w:rsidRPr="00395155" w:rsidR="002D4D40">
        <w:t>Cal.5th</w:t>
      </w:r>
      <w:r w:rsidRPr="00395155">
        <w:t xml:space="preserve"> at pp. 919–920.)  We held it could not in light of the language of article I, section 32(a)(1), which provides that “[a]ny person convicted of a nonviolent felony offense” shall be eligible for </w:t>
      </w:r>
      <w:r w:rsidR="005F32FF">
        <w:t xml:space="preserve">early </w:t>
      </w:r>
      <w:r w:rsidRPr="00395155">
        <w:t>parole consideration.  (</w:t>
      </w:r>
      <w:r w:rsidRPr="00395155" w:rsidR="007048E9">
        <w:rPr>
          <w:i/>
          <w:iCs/>
        </w:rPr>
        <w:t>Gadlin</w:t>
      </w:r>
      <w:r w:rsidRPr="00395155" w:rsidR="007048E9">
        <w:t xml:space="preserve">, </w:t>
      </w:r>
      <w:r w:rsidRPr="00395155" w:rsidR="007048E9">
        <w:rPr>
          <w:i/>
          <w:iCs/>
        </w:rPr>
        <w:t>supra</w:t>
      </w:r>
      <w:r w:rsidRPr="00395155" w:rsidR="007048E9">
        <w:t>, 10 Cal.5th</w:t>
      </w:r>
      <w:r w:rsidRPr="00395155">
        <w:t xml:space="preserve"> at pp. 932–933.)  In</w:t>
      </w:r>
      <w:r w:rsidR="00875DC3">
        <w:t>deed, in</w:t>
      </w:r>
      <w:r w:rsidRPr="00395155">
        <w:t xml:space="preserve"> so holding, we stated that “article I, section 32(a)(1), although </w:t>
      </w:r>
      <w:r w:rsidRPr="00395155">
        <w:rPr>
          <w:i/>
          <w:iCs/>
        </w:rPr>
        <w:t>containing some terms that might be ambiguous in other respects</w:t>
      </w:r>
      <w:r w:rsidRPr="00395155">
        <w:t>, is not ambiguous concerning its scope regarding offenders who were previously convicted of a registerable sex offense or who are currently convicted of a registerable sex offense that the Department has itself defined as nonviolent.”  (</w:t>
      </w:r>
      <w:r w:rsidRPr="00395155" w:rsidR="007048E9">
        <w:rPr>
          <w:i/>
          <w:iCs/>
        </w:rPr>
        <w:t>Gadlin</w:t>
      </w:r>
      <w:r w:rsidRPr="00395155" w:rsidR="007048E9">
        <w:t xml:space="preserve">, </w:t>
      </w:r>
      <w:r w:rsidRPr="00395155" w:rsidR="007048E9">
        <w:rPr>
          <w:i/>
          <w:iCs/>
        </w:rPr>
        <w:t>supra</w:t>
      </w:r>
      <w:r w:rsidRPr="00395155" w:rsidR="007048E9">
        <w:t>, 10 Cal.5th</w:t>
      </w:r>
      <w:r w:rsidRPr="00395155">
        <w:t xml:space="preserve"> at p. 932, italics added.)  Our holding was thus limited to the specific question before us in that case, </w:t>
      </w:r>
      <w:r w:rsidR="00875DC3">
        <w:t xml:space="preserve">and </w:t>
      </w:r>
      <w:r w:rsidR="00303AE3">
        <w:t xml:space="preserve">we </w:t>
      </w:r>
      <w:r w:rsidR="00875DC3">
        <w:t xml:space="preserve">acknowledged that </w:t>
      </w:r>
      <w:r w:rsidR="000764CB">
        <w:t xml:space="preserve">the language of the constitutional provision might be ambiguous in other </w:t>
      </w:r>
      <w:r w:rsidR="0028486D">
        <w:t>respects</w:t>
      </w:r>
      <w:r w:rsidR="000764CB">
        <w:t xml:space="preserve">.  Thus, </w:t>
      </w:r>
      <w:r w:rsidR="000764CB">
        <w:rPr>
          <w:i/>
          <w:iCs/>
        </w:rPr>
        <w:t>Gadlin</w:t>
      </w:r>
      <w:r w:rsidR="00875DC3">
        <w:t xml:space="preserve"> </w:t>
      </w:r>
      <w:r w:rsidRPr="00395155">
        <w:t>does not compel a conclusion that the constitutional provision is unambiguous as it relates to the distinct question before us now.</w:t>
      </w:r>
      <w:r w:rsidR="00EC2D89">
        <w:t xml:space="preserve">  We disapprove of the following opinions to the extent they have held the language of article I, section 32(a) is unambiguous in this context:  </w:t>
      </w:r>
      <w:r w:rsidR="00EC2D89">
        <w:rPr>
          <w:i/>
          <w:iCs/>
        </w:rPr>
        <w:t>In re Ontiveros</w:t>
      </w:r>
      <w:r w:rsidR="00EC2D89">
        <w:t xml:space="preserve"> (2021) 65 Cal.App.5th 899, </w:t>
      </w:r>
      <w:r w:rsidRPr="002A7A0E" w:rsidR="00EC2D89">
        <w:t>905 [“We accept, for purposes of our opinion, that the text of Proposition 57 is clear and unambiguous”];</w:t>
      </w:r>
      <w:r w:rsidRPr="002A7A0E" w:rsidR="00EC2D89">
        <w:rPr>
          <w:i/>
          <w:iCs/>
        </w:rPr>
        <w:t xml:space="preserve"> In re Douglas</w:t>
      </w:r>
      <w:r w:rsidRPr="002A7A0E" w:rsidR="00EC2D89">
        <w:t xml:space="preserve"> (2021) 62 Cal.App.5th 726, 731.</w:t>
      </w:r>
      <w:r w:rsidRPr="00395155">
        <w:t xml:space="preserve">     </w:t>
      </w:r>
    </w:p>
    <w:p w:rsidR="00974E67" w:rsidRPr="00F273F1" w:rsidP="00F273F1" w14:paraId="7C3BD06F" w14:textId="085E05B1">
      <w:pPr>
        <w:pStyle w:val="Heading2"/>
      </w:pPr>
      <w:r>
        <w:t>E</w:t>
      </w:r>
      <w:r w:rsidRPr="00F273F1">
        <w:t xml:space="preserve">.  </w:t>
      </w:r>
      <w:r w:rsidRPr="00F273F1" w:rsidR="006634F5">
        <w:t>Consideration of the Ballot Materials</w:t>
      </w:r>
    </w:p>
    <w:p w:rsidR="00BB2ABA" w:rsidRPr="003B4F02" w:rsidP="00F273F1" w14:paraId="471DD316" w14:textId="74DCF801">
      <w:pPr>
        <w:tabs>
          <w:tab w:val="left" w:pos="720"/>
        </w:tabs>
        <w:ind w:firstLine="720"/>
      </w:pPr>
      <w:r>
        <w:t>Because</w:t>
      </w:r>
      <w:r w:rsidR="00493B77">
        <w:t xml:space="preserve"> the</w:t>
      </w:r>
      <w:r w:rsidRPr="00F273F1" w:rsidR="008E6EF1">
        <w:t xml:space="preserve"> constitutional text</w:t>
      </w:r>
      <w:r w:rsidR="00493B77">
        <w:t xml:space="preserve"> </w:t>
      </w:r>
      <w:r w:rsidR="00920353">
        <w:t>provides “</w:t>
      </w:r>
      <w:r w:rsidR="00C84B98">
        <w:t> ‘</w:t>
      </w:r>
      <w:r w:rsidR="00920353">
        <w:t>no definitive answer</w:t>
      </w:r>
      <w:r w:rsidR="00C84B98">
        <w:t>’ </w:t>
      </w:r>
      <w:r w:rsidR="00920353">
        <w:t>” to the question before us (</w:t>
      </w:r>
      <w:r w:rsidR="00920353">
        <w:rPr>
          <w:i/>
          <w:iCs/>
        </w:rPr>
        <w:t>People v. Hazelton</w:t>
      </w:r>
      <w:r w:rsidR="00920353">
        <w:t xml:space="preserve"> (1996) 14</w:t>
      </w:r>
      <w:r w:rsidR="001B0066">
        <w:t> </w:t>
      </w:r>
      <w:r w:rsidR="00920353">
        <w:t xml:space="preserve">Cal.4th 101, 105, quoting </w:t>
      </w:r>
      <w:r w:rsidR="00920353">
        <w:rPr>
          <w:i/>
          <w:iCs/>
        </w:rPr>
        <w:t>People v. Coronado</w:t>
      </w:r>
      <w:r w:rsidR="00920353">
        <w:t xml:space="preserve"> (1995) 12</w:t>
      </w:r>
      <w:r w:rsidR="001B0066">
        <w:t> </w:t>
      </w:r>
      <w:r w:rsidR="00920353">
        <w:t>Cal.4th 145, 151), we consider the materials that were before the voters</w:t>
      </w:r>
      <w:r w:rsidR="00311227">
        <w:t>.</w:t>
      </w:r>
      <w:r w:rsidR="00920353">
        <w:t xml:space="preserve"> </w:t>
      </w:r>
      <w:r w:rsidR="00311227">
        <w:t xml:space="preserve"> </w:t>
      </w:r>
      <w:r w:rsidR="00920353">
        <w:t>(</w:t>
      </w:r>
      <w:r w:rsidR="00920353">
        <w:rPr>
          <w:i/>
          <w:iCs/>
        </w:rPr>
        <w:t>People v. Valencia</w:t>
      </w:r>
      <w:r w:rsidR="00920353">
        <w:t xml:space="preserve">, </w:t>
      </w:r>
      <w:r w:rsidR="00920353">
        <w:rPr>
          <w:i/>
          <w:iCs/>
        </w:rPr>
        <w:t>supra</w:t>
      </w:r>
      <w:r w:rsidR="00920353">
        <w:t xml:space="preserve">, 3 Cal.5th at p. 364, citing </w:t>
      </w:r>
      <w:r w:rsidR="00920353">
        <w:rPr>
          <w:i/>
          <w:iCs/>
        </w:rPr>
        <w:t>Robert L. v. Superior Court</w:t>
      </w:r>
      <w:r w:rsidR="00920353">
        <w:t xml:space="preserve">, </w:t>
      </w:r>
      <w:r w:rsidR="00920353">
        <w:rPr>
          <w:i/>
          <w:iCs/>
        </w:rPr>
        <w:t>supra</w:t>
      </w:r>
      <w:r w:rsidR="00920353">
        <w:t>, 30 Cal.4th at p. 905</w:t>
      </w:r>
      <w:r w:rsidR="00311227">
        <w:t>.</w:t>
      </w:r>
      <w:r>
        <w:t>)</w:t>
      </w:r>
      <w:r w:rsidRPr="00F273F1" w:rsidR="005E10C5">
        <w:t xml:space="preserve"> </w:t>
      </w:r>
      <w:r w:rsidRPr="00F273F1" w:rsidR="00524944">
        <w:t xml:space="preserve"> </w:t>
      </w:r>
    </w:p>
    <w:p w:rsidR="00AD10EB" w:rsidRPr="00F273F1" w:rsidP="00C10714" w14:paraId="083A7346" w14:textId="69208D16">
      <w:pPr>
        <w:pStyle w:val="ListParagraph"/>
        <w:numPr>
          <w:ilvl w:val="0"/>
          <w:numId w:val="22"/>
        </w:numPr>
        <w:tabs>
          <w:tab w:val="left" w:pos="720"/>
        </w:tabs>
        <w:rPr>
          <w:i/>
          <w:iCs/>
        </w:rPr>
      </w:pPr>
      <w:r w:rsidRPr="00F273F1">
        <w:rPr>
          <w:i/>
          <w:iCs/>
        </w:rPr>
        <w:t xml:space="preserve">The </w:t>
      </w:r>
      <w:r w:rsidR="00692950">
        <w:rPr>
          <w:i/>
          <w:iCs/>
        </w:rPr>
        <w:t>b</w:t>
      </w:r>
      <w:r w:rsidRPr="00F273F1">
        <w:rPr>
          <w:i/>
          <w:iCs/>
        </w:rPr>
        <w:t xml:space="preserve">allot </w:t>
      </w:r>
      <w:r w:rsidR="00692950">
        <w:rPr>
          <w:i/>
          <w:iCs/>
        </w:rPr>
        <w:t>m</w:t>
      </w:r>
      <w:r w:rsidRPr="00F273F1">
        <w:rPr>
          <w:i/>
          <w:iCs/>
        </w:rPr>
        <w:t>aterials</w:t>
      </w:r>
      <w:r w:rsidRPr="00F273F1" w:rsidR="006634F5">
        <w:rPr>
          <w:i/>
          <w:iCs/>
        </w:rPr>
        <w:t xml:space="preserve"> </w:t>
      </w:r>
      <w:r w:rsidR="00692950">
        <w:rPr>
          <w:i/>
          <w:iCs/>
        </w:rPr>
        <w:t>p</w:t>
      </w:r>
      <w:r w:rsidRPr="00F273F1" w:rsidR="006634F5">
        <w:rPr>
          <w:i/>
          <w:iCs/>
        </w:rPr>
        <w:t xml:space="preserve">resented to the </w:t>
      </w:r>
      <w:r w:rsidR="00692950">
        <w:rPr>
          <w:i/>
          <w:iCs/>
        </w:rPr>
        <w:t>v</w:t>
      </w:r>
      <w:r w:rsidRPr="00F273F1" w:rsidR="006634F5">
        <w:rPr>
          <w:i/>
          <w:iCs/>
        </w:rPr>
        <w:t>oters</w:t>
      </w:r>
    </w:p>
    <w:p w:rsidR="00B110D9" w:rsidRPr="00B110D9" w:rsidP="00B110D9" w14:paraId="3DC94910" w14:textId="6F38ADBE">
      <w:pPr>
        <w:tabs>
          <w:tab w:val="left" w:pos="720"/>
        </w:tabs>
        <w:ind w:firstLine="720"/>
      </w:pPr>
      <w:r w:rsidRPr="00F273F1">
        <w:t>The</w:t>
      </w:r>
      <w:r>
        <w:t xml:space="preserve"> </w:t>
      </w:r>
      <w:r w:rsidRPr="00B110D9">
        <w:t>voters</w:t>
      </w:r>
      <w:r w:rsidR="00402596">
        <w:t xml:space="preserve"> were provided ballot materials that</w:t>
      </w:r>
      <w:r w:rsidRPr="00B110D9">
        <w:t xml:space="preserve"> consisted of the </w:t>
      </w:r>
      <w:r w:rsidR="00611C60">
        <w:t>o</w:t>
      </w:r>
      <w:r w:rsidRPr="00B110D9">
        <w:t xml:space="preserve">fficial </w:t>
      </w:r>
      <w:r w:rsidR="00611C60">
        <w:t>t</w:t>
      </w:r>
      <w:r w:rsidRPr="00B110D9">
        <w:t xml:space="preserve">itle and </w:t>
      </w:r>
      <w:r w:rsidR="00611C60">
        <w:t>s</w:t>
      </w:r>
      <w:r w:rsidRPr="00B110D9">
        <w:t xml:space="preserve">ummary prepared by the Attorney General, the </w:t>
      </w:r>
      <w:r w:rsidR="00611C60">
        <w:t>a</w:t>
      </w:r>
      <w:r w:rsidRPr="00B110D9">
        <w:t xml:space="preserve">nalysis by the Legislative Analyst, and the </w:t>
      </w:r>
      <w:r w:rsidR="00611C60">
        <w:t>a</w:t>
      </w:r>
      <w:r w:rsidRPr="00B110D9">
        <w:t xml:space="preserve">rguments in favor </w:t>
      </w:r>
      <w:r w:rsidR="00CC653C">
        <w:t xml:space="preserve">of </w:t>
      </w:r>
      <w:r w:rsidRPr="00B110D9">
        <w:t>and against the proposition.</w:t>
      </w:r>
      <w:r>
        <w:rPr>
          <w:b/>
          <w:vertAlign w:val="superscript"/>
        </w:rPr>
        <w:footnoteReference w:id="12"/>
      </w:r>
      <w:r w:rsidRPr="00B110D9">
        <w:rPr>
          <w:vertAlign w:val="superscript"/>
        </w:rPr>
        <w:t xml:space="preserve"> </w:t>
      </w:r>
      <w:r w:rsidRPr="00B110D9">
        <w:t xml:space="preserve"> </w:t>
      </w:r>
    </w:p>
    <w:p w:rsidR="00B110D9" w:rsidRPr="00B110D9" w:rsidP="00B110D9" w14:paraId="6E04B823" w14:textId="1A0D17F7">
      <w:pPr>
        <w:tabs>
          <w:tab w:val="left" w:pos="720"/>
        </w:tabs>
        <w:ind w:firstLine="720"/>
      </w:pPr>
      <w:r w:rsidRPr="00B110D9">
        <w:t xml:space="preserve">The </w:t>
      </w:r>
      <w:r w:rsidR="00611C60">
        <w:t>o</w:t>
      </w:r>
      <w:r w:rsidRPr="00B110D9">
        <w:t xml:space="preserve">fficial </w:t>
      </w:r>
      <w:r w:rsidR="00611C60">
        <w:t>t</w:t>
      </w:r>
      <w:r w:rsidRPr="00B110D9">
        <w:t xml:space="preserve">itle and </w:t>
      </w:r>
      <w:r w:rsidR="00611C60">
        <w:t>s</w:t>
      </w:r>
      <w:r w:rsidRPr="00B110D9">
        <w:t>ummary described the relevant provisions of Proposition 57 as follows:  “Allows parole consideration for persons convicted of nonviolent felonies, upon completion of prison term for their primary offense as defined.  [¶] . . . </w:t>
      </w:r>
      <w:r w:rsidRPr="00B110D9" w:rsidR="009A1E00">
        <w:t>[¶]</w:t>
      </w:r>
      <w:r w:rsidRPr="00B110D9">
        <w:t xml:space="preserve"> </w:t>
      </w:r>
      <w:r w:rsidR="00A23E1A">
        <w:t xml:space="preserve"> </w:t>
      </w:r>
      <w:r w:rsidRPr="00B110D9">
        <w:t xml:space="preserve">Requires Department of Corrections and Rehabilitation to adopt regulations to implement new parole and sentence credit provisions and certify they enhance public safety.”  (Voter Information Guide, Gen. Elec., </w:t>
      </w:r>
      <w:r w:rsidRPr="00B110D9">
        <w:rPr>
          <w:i/>
          <w:iCs/>
        </w:rPr>
        <w:t>supra</w:t>
      </w:r>
      <w:r w:rsidRPr="00B110D9">
        <w:t>, Official Title and Summary, p. 54.)</w:t>
      </w:r>
    </w:p>
    <w:p w:rsidR="00B110D9" w:rsidRPr="00B110D9" w:rsidP="00B110D9" w14:paraId="461901F0" w14:textId="224E09E0">
      <w:pPr>
        <w:tabs>
          <w:tab w:val="left" w:pos="720"/>
        </w:tabs>
        <w:ind w:firstLine="720"/>
      </w:pPr>
      <w:r w:rsidRPr="00B110D9">
        <w:t xml:space="preserve">The </w:t>
      </w:r>
      <w:r w:rsidR="00611C60">
        <w:t>a</w:t>
      </w:r>
      <w:r w:rsidRPr="00B110D9">
        <w:t xml:space="preserve">nalysis by the Legislative Analyst generally summarized California’s then-existing sentencing and parole consideration scheme, and described the changes to the parole system that would result were Proposition 57 to be adopted.  The </w:t>
      </w:r>
      <w:r w:rsidR="00611C60">
        <w:t>a</w:t>
      </w:r>
      <w:r w:rsidRPr="00B110D9">
        <w:t xml:space="preserve">nalysis </w:t>
      </w:r>
      <w:r w:rsidR="006D3B76">
        <w:t xml:space="preserve">described </w:t>
      </w:r>
      <w:r w:rsidR="00140405">
        <w:t xml:space="preserve">the proposed parole scheme as “parole consideration for nonviolent offenders” and </w:t>
      </w:r>
      <w:r w:rsidRPr="00B110D9">
        <w:t xml:space="preserve">stated that the initiative “changes the State Constitution to make individuals who are convicted of ‘nonviolent felony’ offenses eligible for parole consideration after serving the full prison term for their primary offense.”  (Voter Information Guide, Gen. Elec., </w:t>
      </w:r>
      <w:r w:rsidRPr="00B110D9">
        <w:rPr>
          <w:i/>
          <w:iCs/>
        </w:rPr>
        <w:t>supra</w:t>
      </w:r>
      <w:r w:rsidRPr="00B110D9">
        <w:t>, analysis</w:t>
      </w:r>
      <w:r w:rsidR="00611C60">
        <w:t xml:space="preserve"> of Prop. 57</w:t>
      </w:r>
      <w:r w:rsidRPr="00B110D9">
        <w:t xml:space="preserve"> by Legis</w:t>
      </w:r>
      <w:r w:rsidR="00611C60">
        <w:t>.</w:t>
      </w:r>
      <w:r w:rsidRPr="00B110D9">
        <w:t xml:space="preserve"> Analyst, p. 56.)  The </w:t>
      </w:r>
      <w:r w:rsidR="00611C60">
        <w:t>a</w:t>
      </w:r>
      <w:r w:rsidRPr="00B110D9">
        <w:t>nalysis noted that “[a]lthough the measure and current law do not specify which felony crimes are defined as nonviolent, this analysis assumes a nonviolent felony offense would include any felony offense that is not specifically defined in statute as violent.”  (</w:t>
      </w:r>
      <w:r w:rsidRPr="00B110D9">
        <w:rPr>
          <w:i/>
          <w:iCs/>
        </w:rPr>
        <w:t>Ibid</w:t>
      </w:r>
      <w:r w:rsidRPr="00B110D9">
        <w:t xml:space="preserve">.)  Based on that assumption, the </w:t>
      </w:r>
      <w:r w:rsidR="005F32FF">
        <w:t>a</w:t>
      </w:r>
      <w:r w:rsidRPr="00B110D9" w:rsidR="005F32FF">
        <w:t xml:space="preserve">nalysis </w:t>
      </w:r>
      <w:r w:rsidRPr="00B110D9">
        <w:t>estimated that, “[a]s of September 2015, there were about 30,000 individuals in state prison who would be affected by the parole consideration provisions of the measure.”  (</w:t>
      </w:r>
      <w:r w:rsidRPr="00B110D9">
        <w:rPr>
          <w:i/>
          <w:iCs/>
        </w:rPr>
        <w:t>Ibid</w:t>
      </w:r>
      <w:r w:rsidRPr="00B110D9">
        <w:t xml:space="preserve">.)  And the </w:t>
      </w:r>
      <w:r w:rsidR="005F32FF">
        <w:t>a</w:t>
      </w:r>
      <w:r w:rsidRPr="00B110D9" w:rsidR="005F32FF">
        <w:t xml:space="preserve">nalysis </w:t>
      </w:r>
      <w:r w:rsidRPr="00B110D9">
        <w:t>estimated that eligible inmates “currently serve about two years in prison before being considered for parole and/or released” but under the initiative “would serve around one and one-half years in prison before being considered for parole and/or released.”  (</w:t>
      </w:r>
      <w:r w:rsidRPr="00B110D9">
        <w:rPr>
          <w:i/>
          <w:iCs/>
        </w:rPr>
        <w:t>Ibid</w:t>
      </w:r>
      <w:r w:rsidRPr="00B110D9">
        <w:t xml:space="preserve">.) </w:t>
      </w:r>
    </w:p>
    <w:p w:rsidR="00B110D9" w:rsidRPr="00B110D9" w:rsidP="00B110D9" w14:paraId="486C2B54" w14:textId="1F653AAF">
      <w:pPr>
        <w:tabs>
          <w:tab w:val="left" w:pos="720"/>
        </w:tabs>
        <w:ind w:firstLine="720"/>
      </w:pPr>
      <w:r w:rsidRPr="00B110D9">
        <w:t xml:space="preserve">Finally, the </w:t>
      </w:r>
      <w:r w:rsidR="00A31F60">
        <w:t>a</w:t>
      </w:r>
      <w:r w:rsidRPr="00B110D9">
        <w:t xml:space="preserve">rguments in favor </w:t>
      </w:r>
      <w:r w:rsidR="00065A1D">
        <w:t xml:space="preserve">of </w:t>
      </w:r>
      <w:r w:rsidRPr="00B110D9">
        <w:t xml:space="preserve">and against the </w:t>
      </w:r>
      <w:r w:rsidR="00A31F60">
        <w:t>initiative</w:t>
      </w:r>
      <w:r w:rsidRPr="00B110D9">
        <w:t xml:space="preserve"> were presented to the voters.  The proponents urged that </w:t>
      </w:r>
      <w:r w:rsidR="00A31F60">
        <w:t xml:space="preserve">Proposition 57 </w:t>
      </w:r>
      <w:r w:rsidRPr="00B110D9">
        <w:t xml:space="preserve">would allow “parole consideration for people with non-violent convictions who complete the full prison term for their primary offense.”  (Voter Information Guide, Gen. Elec., </w:t>
      </w:r>
      <w:r w:rsidRPr="00B110D9">
        <w:rPr>
          <w:i/>
          <w:iCs/>
        </w:rPr>
        <w:t>supra</w:t>
      </w:r>
      <w:r w:rsidRPr="00B110D9">
        <w:t>, argument in favor of Prop</w:t>
      </w:r>
      <w:r w:rsidR="00861198">
        <w:t>.</w:t>
      </w:r>
      <w:r w:rsidRPr="00B110D9">
        <w:t xml:space="preserve"> 57, p. 58.)  The proponents did not address whether individuals </w:t>
      </w:r>
      <w:r w:rsidR="005F32FF">
        <w:t xml:space="preserve">with nonviolent felony convictions who are </w:t>
      </w:r>
      <w:r w:rsidRPr="00B110D9">
        <w:t xml:space="preserve">currently </w:t>
      </w:r>
      <w:r w:rsidR="00FB7EFA">
        <w:t>serving a term of incarceration for</w:t>
      </w:r>
      <w:r w:rsidRPr="00B110D9">
        <w:t xml:space="preserve"> </w:t>
      </w:r>
      <w:r w:rsidR="005F32FF">
        <w:t>a</w:t>
      </w:r>
      <w:r w:rsidRPr="00B110D9" w:rsidR="005F32FF">
        <w:t xml:space="preserve"> </w:t>
      </w:r>
      <w:r w:rsidRPr="00B110D9">
        <w:t xml:space="preserve">violent </w:t>
      </w:r>
      <w:r w:rsidR="005F32FF">
        <w:t>felony</w:t>
      </w:r>
      <w:r w:rsidRPr="00B110D9">
        <w:t xml:space="preserve"> would be eligible for early parole consideration.  </w:t>
      </w:r>
    </w:p>
    <w:p w:rsidR="00B110D9" w:rsidRPr="00B110D9" w:rsidP="00B110D9" w14:paraId="78C718DE" w14:textId="6A342A4B">
      <w:pPr>
        <w:tabs>
          <w:tab w:val="left" w:pos="720"/>
        </w:tabs>
        <w:ind w:firstLine="720"/>
      </w:pPr>
      <w:r w:rsidRPr="00B110D9">
        <w:t xml:space="preserve">The opponents’ rebuttal and argument against Proposition 57 asserted that the initiative would allow parole consideration for “VIOLENT CRIMINALS.”  (Voter Information Guide, Gen. Elec., </w:t>
      </w:r>
      <w:r w:rsidRPr="00B110D9">
        <w:rPr>
          <w:i/>
          <w:iCs/>
        </w:rPr>
        <w:t>supra</w:t>
      </w:r>
      <w:r w:rsidRPr="00B110D9">
        <w:t>, rebuttal to argument in favor of Prop</w:t>
      </w:r>
      <w:r w:rsidR="00861198">
        <w:t>.</w:t>
      </w:r>
      <w:r w:rsidR="00767E19">
        <w:t> </w:t>
      </w:r>
      <w:r w:rsidRPr="00B110D9">
        <w:t>57, p.</w:t>
      </w:r>
      <w:r>
        <w:t> </w:t>
      </w:r>
      <w:r w:rsidRPr="00B110D9">
        <w:t>58.)  The opponents claimed the measure was “poorly drafted” and would allow for parole consideration for various crimes allegedly categorized by Proposition 57 as “non-violent.”  (</w:t>
      </w:r>
      <w:r w:rsidRPr="00B110D9">
        <w:rPr>
          <w:i/>
          <w:iCs/>
        </w:rPr>
        <w:t>Id</w:t>
      </w:r>
      <w:r w:rsidRPr="00B110D9">
        <w:t>., p.</w:t>
      </w:r>
      <w:r w:rsidR="00FB7EFA">
        <w:t> </w:t>
      </w:r>
      <w:r w:rsidRPr="00B110D9">
        <w:t>59.)  The opponents asserted that if the measure passed “16,000 dangerous criminals, including those previously convicted of murder and rape, would be eligible for early release.”  (</w:t>
      </w:r>
      <w:r w:rsidRPr="00B110D9">
        <w:rPr>
          <w:i/>
          <w:iCs/>
        </w:rPr>
        <w:t>Id</w:t>
      </w:r>
      <w:r w:rsidRPr="00B110D9">
        <w:t>., p. 59</w:t>
      </w:r>
      <w:r w:rsidR="00D52ED9">
        <w:t>, italics omitted</w:t>
      </w:r>
      <w:r w:rsidR="007613D4">
        <w:t>.</w:t>
      </w:r>
      <w:r w:rsidRPr="00B110D9">
        <w:t xml:space="preserve">)  The opponents did not address whether individuals </w:t>
      </w:r>
      <w:r w:rsidR="005F32FF">
        <w:t xml:space="preserve">with nonviolent felony convictions who are </w:t>
      </w:r>
      <w:r w:rsidRPr="00B110D9">
        <w:t xml:space="preserve">currently </w:t>
      </w:r>
      <w:r w:rsidR="00FB7EFA">
        <w:t>serving a term of incarceration for</w:t>
      </w:r>
      <w:r w:rsidRPr="00B110D9">
        <w:t xml:space="preserve"> </w:t>
      </w:r>
      <w:r w:rsidR="005F32FF">
        <w:t>a</w:t>
      </w:r>
      <w:r w:rsidRPr="00B110D9" w:rsidR="005F32FF">
        <w:t xml:space="preserve"> </w:t>
      </w:r>
      <w:r w:rsidRPr="00B110D9">
        <w:t xml:space="preserve">violent </w:t>
      </w:r>
      <w:r w:rsidR="00887EC2">
        <w:t>felony</w:t>
      </w:r>
      <w:r w:rsidRPr="00B110D9">
        <w:t xml:space="preserve"> would be eligible for early parole consideration.    </w:t>
      </w:r>
    </w:p>
    <w:p w:rsidR="00D820FD" w:rsidP="004C1EC0" w14:paraId="6DAFF612" w14:textId="7426F666">
      <w:pPr>
        <w:tabs>
          <w:tab w:val="left" w:pos="720"/>
        </w:tabs>
        <w:ind w:firstLine="720"/>
      </w:pPr>
      <w:r w:rsidRPr="00B110D9">
        <w:t xml:space="preserve">The proponents’ rebuttal responded by stating that the initiative would not authorize parole for violent offenders, and cited </w:t>
      </w:r>
      <w:r w:rsidRPr="00B110D9">
        <w:rPr>
          <w:i/>
          <w:iCs/>
        </w:rPr>
        <w:t xml:space="preserve">Brown v. Superior Court </w:t>
      </w:r>
      <w:r w:rsidRPr="00B110D9">
        <w:t>(2016) 62 Cal.4th 335 for the position that Proposition 57 would apply “</w:t>
      </w:r>
      <w:r w:rsidR="00914C12">
        <w:t> ‘</w:t>
      </w:r>
      <w:r w:rsidRPr="00B110D9">
        <w:rPr>
          <w:i/>
          <w:iCs/>
        </w:rPr>
        <w:t>only to prisoners convicted of non-violent felonies</w:t>
      </w:r>
      <w:r w:rsidRPr="00B110D9">
        <w:t xml:space="preserve">.’ ”  (Voter Information Guide, Gen. Elec., </w:t>
      </w:r>
      <w:r w:rsidRPr="00B110D9">
        <w:rPr>
          <w:i/>
          <w:iCs/>
        </w:rPr>
        <w:t>supra</w:t>
      </w:r>
      <w:r w:rsidRPr="00B110D9">
        <w:t>, rebuttal to argument against Prop</w:t>
      </w:r>
      <w:r w:rsidR="00861198">
        <w:t>.</w:t>
      </w:r>
      <w:r w:rsidRPr="00B110D9">
        <w:t xml:space="preserve"> 57, p. 59, quoting </w:t>
      </w:r>
      <w:r w:rsidRPr="00B110D9">
        <w:rPr>
          <w:i/>
          <w:iCs/>
        </w:rPr>
        <w:t>Brown v. Superior Court</w:t>
      </w:r>
      <w:r w:rsidRPr="00B110D9">
        <w:t xml:space="preserve">, </w:t>
      </w:r>
      <w:r w:rsidRPr="00B110D9">
        <w:rPr>
          <w:i/>
          <w:iCs/>
        </w:rPr>
        <w:t>supra</w:t>
      </w:r>
      <w:r w:rsidRPr="00B110D9">
        <w:t>, 63 Cal.4th at p. 352.)  The proponents emphasized, too, that “</w:t>
      </w:r>
      <w:r w:rsidR="00F63A06">
        <w:t>[v]</w:t>
      </w:r>
      <w:r w:rsidRPr="00B110D9">
        <w:t>iolent criminals as defined in Penal Code</w:t>
      </w:r>
      <w:r w:rsidR="00F63A06">
        <w:t xml:space="preserve"> </w:t>
      </w:r>
      <w:r w:rsidRPr="00B110D9">
        <w:t>667.5(c) are excluded from parole.”  (</w:t>
      </w:r>
      <w:r w:rsidRPr="00B110D9" w:rsidR="00EE6A0A">
        <w:t xml:space="preserve">Voter Information Guide, Gen. Elec., </w:t>
      </w:r>
      <w:r w:rsidRPr="00B110D9" w:rsidR="00EE6A0A">
        <w:rPr>
          <w:i/>
          <w:iCs/>
        </w:rPr>
        <w:t>supra</w:t>
      </w:r>
      <w:r w:rsidRPr="00B110D9" w:rsidR="00EE6A0A">
        <w:t>, rebuttal to argument against Prop</w:t>
      </w:r>
      <w:r w:rsidR="00EE6A0A">
        <w:t>.</w:t>
      </w:r>
      <w:r w:rsidRPr="00B110D9" w:rsidR="00EE6A0A">
        <w:t xml:space="preserve"> 57, p. 59</w:t>
      </w:r>
      <w:r w:rsidRPr="00B110D9">
        <w:t xml:space="preserve">.)  </w:t>
      </w:r>
    </w:p>
    <w:p w:rsidR="00AD10EB" w:rsidRPr="00F273F1" w:rsidP="00C10714" w14:paraId="528BE77D" w14:textId="204376FD">
      <w:pPr>
        <w:pStyle w:val="ListParagraph"/>
        <w:numPr>
          <w:ilvl w:val="0"/>
          <w:numId w:val="22"/>
        </w:numPr>
        <w:tabs>
          <w:tab w:val="left" w:pos="720"/>
        </w:tabs>
        <w:rPr>
          <w:i/>
          <w:iCs/>
        </w:rPr>
      </w:pPr>
      <w:r w:rsidRPr="00F273F1">
        <w:rPr>
          <w:i/>
          <w:iCs/>
        </w:rPr>
        <w:t xml:space="preserve">Analysis </w:t>
      </w:r>
    </w:p>
    <w:p w:rsidR="00395155" w:rsidP="00395155" w14:paraId="05C6623E" w14:textId="7B480D68">
      <w:pPr>
        <w:tabs>
          <w:tab w:val="left" w:pos="720"/>
        </w:tabs>
      </w:pPr>
      <w:r w:rsidRPr="00F273F1">
        <w:tab/>
        <w:t>The</w:t>
      </w:r>
      <w:r>
        <w:t xml:space="preserve"> </w:t>
      </w:r>
      <w:r w:rsidRPr="00395155">
        <w:t xml:space="preserve">Department contends the ballot materials </w:t>
      </w:r>
      <w:r w:rsidR="001D674B">
        <w:t>reveal that</w:t>
      </w:r>
      <w:r w:rsidRPr="00395155">
        <w:t xml:space="preserve"> the voters inten</w:t>
      </w:r>
      <w:r w:rsidR="005070B0">
        <w:t>d</w:t>
      </w:r>
      <w:r w:rsidR="001D674B">
        <w:t>ed</w:t>
      </w:r>
      <w:r w:rsidRPr="00395155">
        <w:t xml:space="preserve"> to exclude any inmate </w:t>
      </w:r>
      <w:r>
        <w:t xml:space="preserve">currently </w:t>
      </w:r>
      <w:r w:rsidRPr="00395155">
        <w:t xml:space="preserve">serving a term for a violent felony from </w:t>
      </w:r>
      <w:r w:rsidR="00887EC2">
        <w:t>early</w:t>
      </w:r>
      <w:r w:rsidRPr="00395155">
        <w:t xml:space="preserve"> parole consideration</w:t>
      </w:r>
      <w:r>
        <w:t xml:space="preserve">, regardless of whether </w:t>
      </w:r>
      <w:r w:rsidR="003F0BF7">
        <w:t xml:space="preserve">such an inmate </w:t>
      </w:r>
      <w:r w:rsidR="00887EC2">
        <w:t xml:space="preserve">has </w:t>
      </w:r>
      <w:r w:rsidR="003F0BF7">
        <w:t xml:space="preserve">also </w:t>
      </w:r>
      <w:r w:rsidR="00887EC2">
        <w:t>been convicted of</w:t>
      </w:r>
      <w:r w:rsidR="003F0BF7">
        <w:t xml:space="preserve"> a nonviolent felony</w:t>
      </w:r>
      <w:r w:rsidRPr="00395155">
        <w:t xml:space="preserve">.  The Department stresses that the Legislative Analyst stated that the initiative provided for “parole consideration </w:t>
      </w:r>
      <w:r w:rsidR="00C328E9">
        <w:t>for</w:t>
      </w:r>
      <w:r w:rsidRPr="00395155" w:rsidR="00C328E9">
        <w:t xml:space="preserve"> </w:t>
      </w:r>
      <w:r w:rsidRPr="00395155">
        <w:t xml:space="preserve">nonviolent offenders.”  </w:t>
      </w:r>
      <w:r w:rsidR="003F0BF7">
        <w:t>(</w:t>
      </w:r>
      <w:r w:rsidRPr="00395155">
        <w:t xml:space="preserve">Voter Information Guide, Gen. Elec., </w:t>
      </w:r>
      <w:r w:rsidRPr="00395155">
        <w:rPr>
          <w:i/>
          <w:iCs/>
        </w:rPr>
        <w:t>supra</w:t>
      </w:r>
      <w:r w:rsidRPr="00395155">
        <w:t xml:space="preserve">, analysis </w:t>
      </w:r>
      <w:r w:rsidR="00861198">
        <w:t xml:space="preserve">of Prop. 57 </w:t>
      </w:r>
      <w:r w:rsidRPr="00395155">
        <w:t>by Legis</w:t>
      </w:r>
      <w:r w:rsidR="00861198">
        <w:t>.</w:t>
      </w:r>
      <w:r w:rsidRPr="00395155">
        <w:t xml:space="preserve"> Analyst, p. 56</w:t>
      </w:r>
      <w:r w:rsidR="003F0BF7">
        <w:t>.)</w:t>
      </w:r>
      <w:r w:rsidRPr="00395155">
        <w:t xml:space="preserve">  The Department also </w:t>
      </w:r>
      <w:r w:rsidR="00EB47CC">
        <w:t>emphasizes</w:t>
      </w:r>
      <w:r w:rsidRPr="00395155" w:rsidR="00EB47CC">
        <w:t xml:space="preserve"> </w:t>
      </w:r>
      <w:r w:rsidRPr="00395155">
        <w:t>that the rebuttal to the arguments opposing Proposition 57 reiterated that the initiative “Does NOT authorize parole for violent offenders” and that “</w:t>
      </w:r>
      <w:r w:rsidR="001D674B">
        <w:t>[v]</w:t>
      </w:r>
      <w:r w:rsidRPr="00395155">
        <w:t>iolent criminals as defined in Penal Code</w:t>
      </w:r>
      <w:r w:rsidR="001D674B">
        <w:t xml:space="preserve"> </w:t>
      </w:r>
      <w:r w:rsidRPr="00395155">
        <w:t xml:space="preserve">667.5(c) are excluded from parole.”  </w:t>
      </w:r>
      <w:r w:rsidR="003F0BF7">
        <w:t>(</w:t>
      </w:r>
      <w:r w:rsidRPr="00395155">
        <w:t xml:space="preserve">Voter Information Guide, Gen. Elec., </w:t>
      </w:r>
      <w:r w:rsidRPr="00395155">
        <w:rPr>
          <w:i/>
          <w:iCs/>
        </w:rPr>
        <w:t>supra</w:t>
      </w:r>
      <w:r w:rsidRPr="00395155">
        <w:t>, rebuttal to argument against Prop</w:t>
      </w:r>
      <w:r w:rsidR="0018245C">
        <w:t>.</w:t>
      </w:r>
      <w:r w:rsidRPr="00395155">
        <w:t xml:space="preserve"> 57, p. 59.</w:t>
      </w:r>
      <w:r w:rsidR="003F0BF7">
        <w:t>)</w:t>
      </w:r>
      <w:r>
        <w:rPr>
          <w:b/>
          <w:vertAlign w:val="superscript"/>
        </w:rPr>
        <w:footnoteReference w:id="13"/>
      </w:r>
    </w:p>
    <w:p w:rsidR="000629A7" w:rsidRPr="00395155" w:rsidP="00395155" w14:paraId="2CA9D97E" w14:textId="3331F37B">
      <w:pPr>
        <w:tabs>
          <w:tab w:val="left" w:pos="720"/>
        </w:tabs>
      </w:pPr>
      <w:r>
        <w:tab/>
        <w:t xml:space="preserve">The Department further contends that even if it was not compelled to exclude from early parole consideration inmates currently serving a term of incarceration for </w:t>
      </w:r>
      <w:r w:rsidR="00464BD1">
        <w:t xml:space="preserve">a </w:t>
      </w:r>
      <w:r>
        <w:t xml:space="preserve">violent </w:t>
      </w:r>
      <w:r w:rsidR="00464BD1">
        <w:t>felony</w:t>
      </w:r>
      <w:r>
        <w:t>, it acted within its discretion to do so.  In support of this position, the Department points to article I, section 32(b), which direct</w:t>
      </w:r>
      <w:r w:rsidR="00350E55">
        <w:t>s</w:t>
      </w:r>
      <w:r>
        <w:t xml:space="preserve"> the Department to “adopt regulations in furtherance of [the constitutional] provisions . . . .”  (Art. I, § 32(b).)</w:t>
      </w:r>
      <w:r w:rsidR="000E0E02">
        <w:t xml:space="preserve">  </w:t>
      </w:r>
      <w:r w:rsidR="003C5904">
        <w:t>The exclusion</w:t>
      </w:r>
      <w:r w:rsidR="008C2268">
        <w:t xml:space="preserve"> of inmates currently serving a term for a violent felony</w:t>
      </w:r>
      <w:r w:rsidR="003C5904">
        <w:t xml:space="preserve"> from early parole consideration</w:t>
      </w:r>
      <w:r w:rsidR="008C2268">
        <w:t xml:space="preserve">, the Department asserts, </w:t>
      </w:r>
      <w:r w:rsidR="00BE5498">
        <w:t xml:space="preserve">reflects </w:t>
      </w:r>
      <w:r w:rsidR="00A900D6">
        <w:t>its</w:t>
      </w:r>
      <w:r w:rsidR="00BE5498">
        <w:t xml:space="preserve"> reasoned consideration of the policy and public safety considerations vested</w:t>
      </w:r>
      <w:r w:rsidR="0061755A">
        <w:t xml:space="preserve"> in </w:t>
      </w:r>
      <w:r w:rsidR="00A900D6">
        <w:t>it</w:t>
      </w:r>
      <w:r w:rsidR="0061755A">
        <w:t xml:space="preserve"> by article I, section 32(b), and aligns with the intent of the voters as reflected by the ballot materials.</w:t>
      </w:r>
    </w:p>
    <w:p w:rsidR="008F4A0D" w:rsidP="00395155" w14:paraId="2A07BB1F" w14:textId="5FCCAF16">
      <w:pPr>
        <w:tabs>
          <w:tab w:val="left" w:pos="720"/>
        </w:tabs>
      </w:pPr>
      <w:r w:rsidRPr="00395155">
        <w:tab/>
      </w:r>
      <w:r w:rsidR="00E3318B">
        <w:t xml:space="preserve">We agree that the </w:t>
      </w:r>
      <w:r w:rsidRPr="00395155">
        <w:t>Department</w:t>
      </w:r>
      <w:r w:rsidR="00E3318B">
        <w:t xml:space="preserve"> acted within </w:t>
      </w:r>
      <w:r w:rsidR="00B81AD3">
        <w:t xml:space="preserve">the authority </w:t>
      </w:r>
      <w:r w:rsidR="00515575">
        <w:t>granted</w:t>
      </w:r>
      <w:r w:rsidR="00B81AD3">
        <w:t xml:space="preserve"> by article I, section 32(b)</w:t>
      </w:r>
      <w:r w:rsidR="00E3318B">
        <w:t xml:space="preserve"> when it promulgated </w:t>
      </w:r>
      <w:r w:rsidR="00085831">
        <w:t xml:space="preserve">section 3490, subdivision (a)(5) of the </w:t>
      </w:r>
      <w:r w:rsidR="00DD1DC0">
        <w:t>California Code of R</w:t>
      </w:r>
      <w:r w:rsidR="00085831">
        <w:t>egulations.</w:t>
      </w:r>
      <w:r>
        <w:rPr>
          <w:rStyle w:val="FootnoteReference"/>
        </w:rPr>
        <w:footnoteReference w:id="14"/>
      </w:r>
      <w:r w:rsidR="00085831">
        <w:t xml:space="preserve">  </w:t>
      </w:r>
      <w:r w:rsidR="001F32A0">
        <w:t xml:space="preserve">We reach this conclusion based on our consideration of the constitutional text, the ballot materials, the </w:t>
      </w:r>
      <w:r w:rsidR="00E2240D">
        <w:t xml:space="preserve">stated </w:t>
      </w:r>
      <w:r w:rsidR="001F32A0">
        <w:t xml:space="preserve">purposes </w:t>
      </w:r>
      <w:r w:rsidR="00E2240D">
        <w:t>of the initiative, and the Department’s discretion to promulgate regulations under the Constitution.</w:t>
      </w:r>
      <w:r w:rsidR="00510685">
        <w:t xml:space="preserve">  </w:t>
      </w:r>
      <w:r w:rsidR="00040246">
        <w:t>We hold that the</w:t>
      </w:r>
      <w:r w:rsidR="008C418F">
        <w:t xml:space="preserve"> Department’s regulation is consistent with article I, section 32, and is reasonably necessary to effectuate the purpose of Proposition 57.  (See </w:t>
      </w:r>
      <w:r w:rsidR="008C418F">
        <w:rPr>
          <w:i/>
          <w:iCs/>
        </w:rPr>
        <w:t>Morris</w:t>
      </w:r>
      <w:r w:rsidR="008C418F">
        <w:t xml:space="preserve">, </w:t>
      </w:r>
      <w:r w:rsidR="008C418F">
        <w:rPr>
          <w:i/>
          <w:iCs/>
        </w:rPr>
        <w:t>supra</w:t>
      </w:r>
      <w:r w:rsidR="008C418F">
        <w:t>, 67 Cal.2d at pp. 748–749.)</w:t>
      </w:r>
      <w:r w:rsidR="00E2240D">
        <w:t xml:space="preserve">  </w:t>
      </w:r>
    </w:p>
    <w:p w:rsidR="00A44CFB" w:rsidP="00395155" w14:paraId="75ADF8C7" w14:textId="79DB4434">
      <w:pPr>
        <w:tabs>
          <w:tab w:val="left" w:pos="720"/>
        </w:tabs>
        <w:rPr>
          <w:vertAlign w:val="superscript"/>
        </w:rPr>
      </w:pPr>
      <w:r>
        <w:tab/>
      </w:r>
      <w:r w:rsidRPr="00395155" w:rsidR="00395155">
        <w:t xml:space="preserve">Neither the language of the constitutional provision nor the materials presented to the voters explicitly stated whether an inmate </w:t>
      </w:r>
      <w:r w:rsidR="00085831">
        <w:t>currently serving a term for</w:t>
      </w:r>
      <w:r w:rsidRPr="00395155" w:rsidR="00395155">
        <w:t xml:space="preserve"> a violent felony would be eligible for parole consideration under the initiative.  </w:t>
      </w:r>
      <w:r w:rsidR="00CB3DAC">
        <w:t xml:space="preserve">As we have explained, the constitutional text is ambiguous on this point.  </w:t>
      </w:r>
      <w:r w:rsidR="00BB4155">
        <w:t xml:space="preserve">Although the </w:t>
      </w:r>
      <w:r w:rsidR="000A7F1A">
        <w:t>ballot</w:t>
      </w:r>
      <w:r w:rsidRPr="00395155" w:rsidR="00395155">
        <w:t xml:space="preserve"> materials </w:t>
      </w:r>
      <w:r w:rsidR="00BB4155">
        <w:t>do not directly answer the question,</w:t>
      </w:r>
      <w:r w:rsidR="00A6599D">
        <w:t xml:space="preserve"> </w:t>
      </w:r>
      <w:r w:rsidR="00BB4155">
        <w:t xml:space="preserve">they </w:t>
      </w:r>
      <w:r w:rsidRPr="00395155" w:rsidR="00395155">
        <w:t>conveyed</w:t>
      </w:r>
      <w:r w:rsidR="00BB4155">
        <w:t xml:space="preserve"> to the voters</w:t>
      </w:r>
      <w:r w:rsidRPr="00395155" w:rsidR="00395155">
        <w:t xml:space="preserve"> that Proposition 57 would </w:t>
      </w:r>
      <w:r w:rsidR="005C43C7">
        <w:t>establish “parole consideration for nonviolent offenders” (</w:t>
      </w:r>
      <w:r w:rsidRPr="00395155" w:rsidR="005C43C7">
        <w:t xml:space="preserve">Voter Information Guide, Gen. Elec., </w:t>
      </w:r>
      <w:r w:rsidRPr="00395155" w:rsidR="005C43C7">
        <w:rPr>
          <w:i/>
          <w:iCs/>
        </w:rPr>
        <w:t>supra</w:t>
      </w:r>
      <w:r w:rsidRPr="00395155" w:rsidR="005C43C7">
        <w:t xml:space="preserve">, analysis </w:t>
      </w:r>
      <w:r w:rsidR="005C43C7">
        <w:t xml:space="preserve">of Prop. 57 </w:t>
      </w:r>
      <w:r w:rsidRPr="00395155" w:rsidR="005C43C7">
        <w:t>by Legis</w:t>
      </w:r>
      <w:r w:rsidR="005C43C7">
        <w:t>.</w:t>
      </w:r>
      <w:r w:rsidRPr="00395155" w:rsidR="005C43C7">
        <w:t xml:space="preserve"> Analyst, p. 56</w:t>
      </w:r>
      <w:r w:rsidR="005C43C7">
        <w:t xml:space="preserve">) and would </w:t>
      </w:r>
      <w:r w:rsidRPr="00395155" w:rsidR="00395155">
        <w:t xml:space="preserve">not authorize early parole consideration for </w:t>
      </w:r>
      <w:r w:rsidR="00F010A3">
        <w:t>“violent offenders”</w:t>
      </w:r>
      <w:r w:rsidR="0043381F">
        <w:t xml:space="preserve"> </w:t>
      </w:r>
      <w:r w:rsidRPr="00395155" w:rsidR="0043381F">
        <w:t xml:space="preserve">(Voter Information Guide, Gen. Elec., </w:t>
      </w:r>
      <w:r w:rsidRPr="00395155" w:rsidR="0043381F">
        <w:rPr>
          <w:i/>
          <w:iCs/>
        </w:rPr>
        <w:t>supra</w:t>
      </w:r>
      <w:r w:rsidRPr="00395155" w:rsidR="0043381F">
        <w:t>, rebuttal to argument against Prop</w:t>
      </w:r>
      <w:r w:rsidR="00A6599D">
        <w:t>.</w:t>
      </w:r>
      <w:r w:rsidRPr="00395155" w:rsidR="0043381F">
        <w:t xml:space="preserve"> 57, p. 59)</w:t>
      </w:r>
      <w:r w:rsidR="005C43C7">
        <w:t>.</w:t>
      </w:r>
      <w:r w:rsidRPr="00395155" w:rsidR="0043381F">
        <w:t xml:space="preserve">  </w:t>
      </w:r>
      <w:r w:rsidR="00F010A3">
        <w:t xml:space="preserve">  </w:t>
      </w:r>
    </w:p>
    <w:p w:rsidR="000E58B0" w:rsidP="000E58B0" w14:paraId="4DA327EF" w14:textId="7DF2D34E">
      <w:pPr>
        <w:tabs>
          <w:tab w:val="left" w:pos="720"/>
        </w:tabs>
      </w:pPr>
      <w:r>
        <w:rPr>
          <w:vertAlign w:val="superscript"/>
        </w:rPr>
        <w:tab/>
      </w:r>
      <w:r w:rsidRPr="00395155" w:rsidR="00395155">
        <w:t>As the Department observes, the proponents’ rebuttal asserted “violent offenders” and “</w:t>
      </w:r>
      <w:r w:rsidR="00A60365">
        <w:t>[v]</w:t>
      </w:r>
      <w:r w:rsidRPr="00395155" w:rsidR="00395155">
        <w:t xml:space="preserve">iolent criminals as defined in Penal Code 667.5(c)” would not be eligible for early parole consideration.  (Voter Information Guide, Gen. Elec., </w:t>
      </w:r>
      <w:r w:rsidRPr="00395155" w:rsidR="00395155">
        <w:rPr>
          <w:i/>
          <w:iCs/>
        </w:rPr>
        <w:t>supra</w:t>
      </w:r>
      <w:r w:rsidRPr="00395155" w:rsidR="00395155">
        <w:t>, rebuttal to argument against Prop</w:t>
      </w:r>
      <w:r w:rsidR="00A6599D">
        <w:t>.</w:t>
      </w:r>
      <w:r w:rsidRPr="00395155" w:rsidR="00395155">
        <w:t xml:space="preserve"> 57, p. 59.)</w:t>
      </w:r>
      <w:r w:rsidR="00C80B38">
        <w:t xml:space="preserve">  </w:t>
      </w:r>
      <w:r w:rsidRPr="00395155" w:rsidR="00C80B38">
        <w:t xml:space="preserve">Moreover, the ballot materials focus on the distinction between inmates convicted of violent felonies and inmates convicted of nonviolent felonies.  For this reason, the opponents and proponents sparred over the scope of the term nonviolent felony.  The proponents asserted violent felonies would be defined by </w:t>
      </w:r>
      <w:r w:rsidR="00253646">
        <w:t xml:space="preserve">Penal Code </w:t>
      </w:r>
      <w:r w:rsidRPr="00395155" w:rsidR="00C80B38">
        <w:t xml:space="preserve">section 667.5, subdivision (c) (Voter Information Guide, Gen. Elec., </w:t>
      </w:r>
      <w:r w:rsidRPr="00395155" w:rsidR="00C80B38">
        <w:rPr>
          <w:i/>
          <w:iCs/>
        </w:rPr>
        <w:t>supra</w:t>
      </w:r>
      <w:r w:rsidRPr="00395155" w:rsidR="00C80B38">
        <w:t>, rebuttal to argument against Prop</w:t>
      </w:r>
      <w:r w:rsidR="00695FA4">
        <w:t>.</w:t>
      </w:r>
      <w:r w:rsidRPr="00395155" w:rsidR="00C80B38">
        <w:t xml:space="preserve"> 57, p. 59), </w:t>
      </w:r>
      <w:r w:rsidR="00C80B38">
        <w:t xml:space="preserve">that the initiative </w:t>
      </w:r>
      <w:r w:rsidRPr="00395155" w:rsidR="00C80B38">
        <w:t>would “</w:t>
      </w:r>
      <w:r w:rsidR="00C80B38">
        <w:t>[k]</w:t>
      </w:r>
      <w:r w:rsidRPr="00395155" w:rsidR="00C80B38">
        <w:t>eep[] the most dangerous offenders locked up” (</w:t>
      </w:r>
      <w:r w:rsidRPr="00395155" w:rsidR="00C80B38">
        <w:rPr>
          <w:i/>
          <w:iCs/>
        </w:rPr>
        <w:t>id</w:t>
      </w:r>
      <w:r w:rsidRPr="00395155" w:rsidR="00C80B38">
        <w:t>., argument in favor of Prop</w:t>
      </w:r>
      <w:r w:rsidR="00695FA4">
        <w:t>.</w:t>
      </w:r>
      <w:r w:rsidRPr="00395155" w:rsidR="00C80B38">
        <w:t xml:space="preserve"> 57, p. 58)</w:t>
      </w:r>
      <w:r w:rsidR="0072551A">
        <w:t>, and that “parole eligibility under Prop. 57 applies, ‘</w:t>
      </w:r>
      <w:r w:rsidR="0072551A">
        <w:rPr>
          <w:i/>
          <w:iCs/>
        </w:rPr>
        <w:t>only to prisoners convicted of non-violent felonies</w:t>
      </w:r>
      <w:r w:rsidR="0072551A">
        <w:t>.’  [</w:t>
      </w:r>
      <w:r w:rsidR="0072551A">
        <w:rPr>
          <w:i/>
          <w:iCs/>
        </w:rPr>
        <w:t>Brown v. Superior Court</w:t>
      </w:r>
      <w:r w:rsidR="00107634">
        <w:t xml:space="preserve">, </w:t>
      </w:r>
      <w:r w:rsidR="00107634">
        <w:rPr>
          <w:i/>
          <w:iCs/>
        </w:rPr>
        <w:t>supra</w:t>
      </w:r>
      <w:r w:rsidR="00107634">
        <w:t>,</w:t>
      </w:r>
      <w:r w:rsidR="0072551A">
        <w:t xml:space="preserve"> 63</w:t>
      </w:r>
      <w:r w:rsidR="00767E19">
        <w:t> </w:t>
      </w:r>
      <w:r w:rsidR="0072551A">
        <w:t xml:space="preserve">Cal.4th </w:t>
      </w:r>
      <w:r w:rsidR="00107634">
        <w:t>at p. </w:t>
      </w:r>
      <w:r w:rsidR="0072551A">
        <w:t>352.]</w:t>
      </w:r>
      <w:r w:rsidRPr="00395155" w:rsidR="0072551A">
        <w:t xml:space="preserve"> </w:t>
      </w:r>
      <w:r w:rsidR="00107634">
        <w:t xml:space="preserve"> </w:t>
      </w:r>
      <w:r w:rsidRPr="00395155" w:rsidR="0072551A">
        <w:t>Violent criminals as defined in Penal Code 667.5(c) are excluded from parole” (</w:t>
      </w:r>
      <w:r w:rsidRPr="00395155" w:rsidR="00234707">
        <w:t xml:space="preserve">Voter Information Guide, Gen. Elec., </w:t>
      </w:r>
      <w:r w:rsidRPr="00395155" w:rsidR="00234707">
        <w:rPr>
          <w:i/>
          <w:iCs/>
        </w:rPr>
        <w:t>supra</w:t>
      </w:r>
      <w:r w:rsidRPr="00395155" w:rsidR="00234707">
        <w:t>, rebuttal to argument against Prop</w:t>
      </w:r>
      <w:r w:rsidR="00234707">
        <w:t>.</w:t>
      </w:r>
      <w:r w:rsidRPr="00395155" w:rsidR="00234707">
        <w:t xml:space="preserve"> 57, p. 59</w:t>
      </w:r>
      <w:r w:rsidRPr="00395155" w:rsidR="0072551A">
        <w:t>)</w:t>
      </w:r>
      <w:r w:rsidR="0072551A">
        <w:t xml:space="preserve">.  </w:t>
      </w:r>
    </w:p>
    <w:p w:rsidR="00C80B38" w:rsidP="000E58B0" w14:paraId="7DFF5627" w14:textId="6F7E17C3">
      <w:pPr>
        <w:tabs>
          <w:tab w:val="left" w:pos="720"/>
        </w:tabs>
      </w:pPr>
      <w:r>
        <w:tab/>
      </w:r>
      <w:r w:rsidRPr="00395155">
        <w:t xml:space="preserve">The opponents’ arguments </w:t>
      </w:r>
      <w:r>
        <w:t xml:space="preserve">in the ballot materials </w:t>
      </w:r>
      <w:r w:rsidRPr="00395155">
        <w:t xml:space="preserve">did not allege that inmates currently </w:t>
      </w:r>
      <w:r>
        <w:t>serving a term for</w:t>
      </w:r>
      <w:r w:rsidRPr="00395155">
        <w:t xml:space="preserve"> </w:t>
      </w:r>
      <w:r w:rsidR="00C04C97">
        <w:t>a</w:t>
      </w:r>
      <w:r w:rsidRPr="00395155" w:rsidR="00C04C97">
        <w:t xml:space="preserve"> </w:t>
      </w:r>
      <w:r w:rsidRPr="00395155">
        <w:t xml:space="preserve">violent felony offense would be eligible for parole consideration under the initiative, or assert the initiative should be rejected for that reason.  Instead, the thrust of the opponents’ arguments was that the scope of the term “violent felony” was too narrow.  (See Voter Information Guide, Gen. Elec., </w:t>
      </w:r>
      <w:r w:rsidRPr="00395155">
        <w:rPr>
          <w:i/>
          <w:iCs/>
        </w:rPr>
        <w:t>supra</w:t>
      </w:r>
      <w:r w:rsidRPr="00395155">
        <w:t>, argument against Prop</w:t>
      </w:r>
      <w:r w:rsidR="00B37576">
        <w:t>.</w:t>
      </w:r>
      <w:r w:rsidRPr="00395155">
        <w:t xml:space="preserve"> 57, p. 59.)  </w:t>
      </w:r>
      <w:r w:rsidRPr="00395155">
        <w:t>The opponents</w:t>
      </w:r>
      <w:r>
        <w:t xml:space="preserve"> </w:t>
      </w:r>
      <w:r w:rsidRPr="00395155">
        <w:t>described a number of offenses</w:t>
      </w:r>
      <w:r w:rsidR="000C5747">
        <w:t> </w:t>
      </w:r>
      <w:r w:rsidRPr="00395155">
        <w:t>— including certain types of rape, sex trafficking, and assault with a deadly weapon</w:t>
      </w:r>
      <w:r w:rsidR="000C5747">
        <w:t> </w:t>
      </w:r>
      <w:r w:rsidRPr="00395155">
        <w:t>— that would be categorized as “nonviolent”</w:t>
      </w:r>
      <w:r w:rsidR="00446A2F">
        <w:t xml:space="preserve"> under the initiative.</w:t>
      </w:r>
      <w:r w:rsidRPr="00395155">
        <w:t xml:space="preserve">  (</w:t>
      </w:r>
      <w:r w:rsidRPr="00395155">
        <w:rPr>
          <w:i/>
          <w:iCs/>
        </w:rPr>
        <w:t>Id</w:t>
      </w:r>
      <w:r w:rsidRPr="00395155">
        <w:t>., rebuttal to argument in favor of Prop</w:t>
      </w:r>
      <w:r w:rsidR="00B37576">
        <w:t>.</w:t>
      </w:r>
      <w:r w:rsidRPr="00395155">
        <w:t xml:space="preserve"> 57, p. 58.)  </w:t>
      </w:r>
    </w:p>
    <w:p w:rsidR="001B3E81" w:rsidP="00C80B38" w14:paraId="081FB4E1" w14:textId="1130A19D">
      <w:pPr>
        <w:tabs>
          <w:tab w:val="left" w:pos="720"/>
        </w:tabs>
      </w:pPr>
      <w:r>
        <w:tab/>
      </w:r>
      <w:r w:rsidR="00C242EA">
        <w:t xml:space="preserve">In </w:t>
      </w:r>
      <w:r w:rsidR="00073F3A">
        <w:t>this</w:t>
      </w:r>
      <w:r w:rsidR="00C242EA">
        <w:t xml:space="preserve"> context</w:t>
      </w:r>
      <w:r w:rsidR="002A282E">
        <w:t xml:space="preserve">, </w:t>
      </w:r>
      <w:r w:rsidR="00277455">
        <w:t xml:space="preserve">Proposition 57 directed </w:t>
      </w:r>
      <w:r w:rsidR="002A282E">
        <w:t>the Department to “adopt regulations in furtherance of [the constitutional] provisions</w:t>
      </w:r>
      <w:r w:rsidR="00F07945">
        <w:t>,” and to “certify that these regulations protect and enhance public safety.”  (Art. I, §</w:t>
      </w:r>
      <w:r w:rsidR="000C1617">
        <w:t> </w:t>
      </w:r>
      <w:r w:rsidR="00F07945">
        <w:t xml:space="preserve">32(b).)  </w:t>
      </w:r>
      <w:r w:rsidR="00EB29D4">
        <w:t xml:space="preserve">In doing so, the Department </w:t>
      </w:r>
      <w:r w:rsidR="004B5E4E">
        <w:t xml:space="preserve">determined that individuals </w:t>
      </w:r>
      <w:r w:rsidR="005B1964">
        <w:t xml:space="preserve">currently </w:t>
      </w:r>
      <w:r w:rsidR="004B5E4E">
        <w:t xml:space="preserve">serving a term of incarceration for a violent felony should be excluded from early parole consideration, regardless of whether the inmate </w:t>
      </w:r>
      <w:r w:rsidR="006C1CC9">
        <w:t xml:space="preserve">had </w:t>
      </w:r>
      <w:r w:rsidR="004B5E4E">
        <w:t xml:space="preserve">also </w:t>
      </w:r>
      <w:r w:rsidR="006C1CC9">
        <w:t>been convicted of</w:t>
      </w:r>
      <w:r w:rsidR="004B5E4E">
        <w:t xml:space="preserve"> a nonviolent felony.  (See Cal. Code. Regs., §</w:t>
      </w:r>
      <w:r w:rsidR="000C1617">
        <w:t> </w:t>
      </w:r>
      <w:r w:rsidR="009B7A1D">
        <w:t xml:space="preserve">3490, subd. (a)(5).)  This </w:t>
      </w:r>
      <w:r w:rsidR="00993BBC">
        <w:t>approach “reasonably interpreted” the Department’s mandate to adopt regulations</w:t>
      </w:r>
      <w:r w:rsidR="000C1617">
        <w:t xml:space="preserve"> (</w:t>
      </w:r>
      <w:r w:rsidR="000C1617">
        <w:rPr>
          <w:i/>
          <w:iCs/>
        </w:rPr>
        <w:t>Woods</w:t>
      </w:r>
      <w:r w:rsidR="000C1617">
        <w:t xml:space="preserve">, </w:t>
      </w:r>
      <w:r w:rsidR="000C1617">
        <w:rPr>
          <w:i/>
          <w:iCs/>
        </w:rPr>
        <w:t>supra</w:t>
      </w:r>
      <w:r w:rsidR="000C1617">
        <w:t>, 28 Cal.3d at p. </w:t>
      </w:r>
      <w:r w:rsidR="00134E54">
        <w:t>679)</w:t>
      </w:r>
      <w:r w:rsidR="0093380F">
        <w:t>,</w:t>
      </w:r>
      <w:r w:rsidR="00993BBC">
        <w:t xml:space="preserve"> is </w:t>
      </w:r>
      <w:r w:rsidR="0093380F">
        <w:t>consistent with the constitutional language and ballot materials, and is “reasonably necessary to effectuate the purpose” of Proposition 57</w:t>
      </w:r>
      <w:r w:rsidR="00F742BC">
        <w:t xml:space="preserve"> (Gov. Code, § 113</w:t>
      </w:r>
      <w:r w:rsidR="009C4DCF">
        <w:t>42.2</w:t>
      </w:r>
      <w:r w:rsidR="00F742BC">
        <w:t>).</w:t>
      </w:r>
    </w:p>
    <w:p w:rsidR="0043381F" w:rsidP="00C80B38" w14:paraId="1464F036" w14:textId="47D2ABD5">
      <w:pPr>
        <w:tabs>
          <w:tab w:val="left" w:pos="720"/>
        </w:tabs>
      </w:pPr>
      <w:r>
        <w:tab/>
        <w:t xml:space="preserve">The ballot materials support such a conclusion.  </w:t>
      </w:r>
      <w:r w:rsidRPr="001B1344" w:rsidR="00C80B38">
        <w:t xml:space="preserve">Underlying </w:t>
      </w:r>
      <w:r w:rsidRPr="001B1344" w:rsidR="0052139E">
        <w:t>the</w:t>
      </w:r>
      <w:r w:rsidRPr="001B1344" w:rsidR="00C80B38">
        <w:t xml:space="preserve"> debate </w:t>
      </w:r>
      <w:r w:rsidRPr="001B1344" w:rsidR="0052139E">
        <w:t xml:space="preserve">between the proponents and opponents of Proposition 57 </w:t>
      </w:r>
      <w:r w:rsidRPr="001B1344" w:rsidR="00C80B38">
        <w:t xml:space="preserve">was the implication that </w:t>
      </w:r>
      <w:r w:rsidRPr="001B1344" w:rsidR="0052139E">
        <w:t>a</w:t>
      </w:r>
      <w:r w:rsidRPr="001B1344" w:rsidR="00A55DAA">
        <w:t xml:space="preserve">n inmate </w:t>
      </w:r>
      <w:r w:rsidRPr="001B1344" w:rsidR="001B1344">
        <w:t>serving a prison term for</w:t>
      </w:r>
      <w:r w:rsidRPr="001B1344" w:rsidR="00A55DAA">
        <w:t xml:space="preserve"> a</w:t>
      </w:r>
      <w:r w:rsidRPr="001B1344" w:rsidR="00C80B38">
        <w:t xml:space="preserve"> violent felony would be excluded from parole consideration</w:t>
      </w:r>
      <w:r w:rsidRPr="00395155" w:rsidR="00C80B38">
        <w:t xml:space="preserve">.  As the Department </w:t>
      </w:r>
      <w:r w:rsidR="00C80B38">
        <w:t>puts it</w:t>
      </w:r>
      <w:r w:rsidRPr="00395155" w:rsidR="00C80B38">
        <w:t xml:space="preserve">, “the singular focus on ‘nonviolent felonies’ supports the inference that individuals serving time for violent felonies would not be eligible.”  There would be little reason to debate the meaning and scope of the term violent felony if </w:t>
      </w:r>
      <w:r w:rsidR="00CA4152">
        <w:t>having a conviction</w:t>
      </w:r>
      <w:r w:rsidRPr="00395155" w:rsidR="00C80B38">
        <w:t xml:space="preserve"> for a nonviolent felony triggered early parole consideration</w:t>
      </w:r>
      <w:r w:rsidR="00C80B38">
        <w:t xml:space="preserve"> regardless of whether an individual was </w:t>
      </w:r>
      <w:r w:rsidR="006C1CC9">
        <w:t xml:space="preserve">currently </w:t>
      </w:r>
      <w:r w:rsidR="00C80B38">
        <w:t xml:space="preserve">serving a term of incarceration for </w:t>
      </w:r>
      <w:r w:rsidR="00613249">
        <w:t>a violent felony</w:t>
      </w:r>
      <w:r w:rsidR="00C80B38">
        <w:t xml:space="preserve"> conviction</w:t>
      </w:r>
      <w:r w:rsidRPr="00395155" w:rsidR="00C80B38">
        <w:t>.</w:t>
      </w:r>
      <w:r w:rsidR="00D11F24">
        <w:t xml:space="preserve">  The Department’s decision to craft its regulatio</w:t>
      </w:r>
      <w:r w:rsidR="00FE0303">
        <w:t xml:space="preserve">ns in a way that excluded individuals </w:t>
      </w:r>
      <w:r w:rsidR="006C1CC9">
        <w:t xml:space="preserve">currently </w:t>
      </w:r>
      <w:r w:rsidR="00FE0303">
        <w:t>serving a term of incarceration for a violent felony</w:t>
      </w:r>
      <w:r w:rsidR="005D2A2A">
        <w:t xml:space="preserve"> </w:t>
      </w:r>
      <w:r w:rsidR="00F0475A">
        <w:t xml:space="preserve">is consistent with the </w:t>
      </w:r>
      <w:r w:rsidR="0023784C">
        <w:t>distinction between violent and nonviolent felonies emphasized in the ballot materials.</w:t>
      </w:r>
    </w:p>
    <w:p w:rsidR="00395155" w:rsidRPr="00395155" w:rsidP="00395155" w14:paraId="327F9017" w14:textId="79AF2B4D">
      <w:pPr>
        <w:tabs>
          <w:tab w:val="left" w:pos="720"/>
        </w:tabs>
      </w:pPr>
      <w:r>
        <w:tab/>
      </w:r>
      <w:r w:rsidRPr="00395155">
        <w:t xml:space="preserve">Petitioner’s arguments to the contrary are unavailing.  First, he notes the materials presented to the voters stated that “persons convicted of nonviolent felonies” would be eligible for parole “upon completion of </w:t>
      </w:r>
      <w:r w:rsidR="00FA7B1E">
        <w:t xml:space="preserve">[a] </w:t>
      </w:r>
      <w:r w:rsidRPr="00395155">
        <w:t xml:space="preserve">prison term for their primary offense as defined,” but did not indicate that there was an exception </w:t>
      </w:r>
      <w:r w:rsidR="00D31DF5">
        <w:t>that would apply</w:t>
      </w:r>
      <w:r w:rsidRPr="00395155">
        <w:t xml:space="preserve"> if </w:t>
      </w:r>
      <w:r w:rsidR="00426E8B">
        <w:t xml:space="preserve">these individuals were </w:t>
      </w:r>
      <w:r w:rsidR="006C1CC9">
        <w:t>currently serving a term for</w:t>
      </w:r>
      <w:r w:rsidR="00426E8B">
        <w:t xml:space="preserve"> a violent felony.  </w:t>
      </w:r>
      <w:r w:rsidR="00272553">
        <w:t>(</w:t>
      </w:r>
      <w:r w:rsidR="00EA080F">
        <w:t xml:space="preserve">See </w:t>
      </w:r>
      <w:r w:rsidRPr="00395155">
        <w:t>Voter Information Guide, Gen. Ele</w:t>
      </w:r>
      <w:r w:rsidR="00C95B3B">
        <w:t>c.</w:t>
      </w:r>
      <w:r w:rsidR="00584491">
        <w:t xml:space="preserve">, </w:t>
      </w:r>
      <w:r w:rsidRPr="00584491" w:rsidR="00584491">
        <w:rPr>
          <w:i/>
          <w:iCs/>
        </w:rPr>
        <w:t>supra</w:t>
      </w:r>
      <w:r w:rsidR="00584491">
        <w:t xml:space="preserve">, </w:t>
      </w:r>
      <w:r w:rsidRPr="00395155">
        <w:t>Official Title and Summary, p. 54.</w:t>
      </w:r>
      <w:r w:rsidR="00C74E6E">
        <w:t>)</w:t>
      </w:r>
      <w:r w:rsidRPr="00395155">
        <w:t xml:space="preserve">  This assertion is premised on the assumption that the phrase “</w:t>
      </w:r>
      <w:r w:rsidR="006B2B0F">
        <w:t xml:space="preserve">any </w:t>
      </w:r>
      <w:r w:rsidRPr="00395155">
        <w:t xml:space="preserve">person convicted of </w:t>
      </w:r>
      <w:r w:rsidR="006B2B0F">
        <w:t xml:space="preserve">a </w:t>
      </w:r>
      <w:r w:rsidRPr="00395155">
        <w:t xml:space="preserve">nonviolent </w:t>
      </w:r>
      <w:r w:rsidR="006B2B0F">
        <w:t>felony</w:t>
      </w:r>
      <w:r w:rsidRPr="00395155">
        <w:t>”</w:t>
      </w:r>
      <w:r w:rsidR="006B2B0F">
        <w:t xml:space="preserve"> in article I, section 32(a)(1)</w:t>
      </w:r>
      <w:r w:rsidRPr="00395155">
        <w:t xml:space="preserve"> clear</w:t>
      </w:r>
      <w:r w:rsidR="005B1964">
        <w:t>ly</w:t>
      </w:r>
      <w:r w:rsidRPr="00395155">
        <w:t xml:space="preserve"> and unambiguous</w:t>
      </w:r>
      <w:r w:rsidR="005B1964">
        <w:t xml:space="preserve">ly </w:t>
      </w:r>
      <w:r w:rsidR="002A444F">
        <w:t xml:space="preserve">applies to </w:t>
      </w:r>
      <w:r w:rsidR="00A941E9">
        <w:t xml:space="preserve">inmates currently serving </w:t>
      </w:r>
      <w:r w:rsidR="00572338">
        <w:t xml:space="preserve">a term of incarceration </w:t>
      </w:r>
      <w:r w:rsidR="00834983">
        <w:t xml:space="preserve">for </w:t>
      </w:r>
      <w:r w:rsidR="00615E23">
        <w:t xml:space="preserve">a </w:t>
      </w:r>
      <w:r w:rsidR="00834983">
        <w:t xml:space="preserve">violent </w:t>
      </w:r>
      <w:r w:rsidR="0019753B">
        <w:t>felony conviction</w:t>
      </w:r>
      <w:r w:rsidR="00EA080F">
        <w:t> </w:t>
      </w:r>
      <w:r w:rsidRPr="00395155">
        <w:t>— a premise we have already rejected above.</w:t>
      </w:r>
    </w:p>
    <w:p w:rsidR="00395155" w:rsidRPr="00395155" w:rsidP="00395155" w14:paraId="62C79812" w14:textId="15A8F2D2">
      <w:pPr>
        <w:tabs>
          <w:tab w:val="left" w:pos="720"/>
        </w:tabs>
      </w:pPr>
      <w:r w:rsidRPr="00395155">
        <w:tab/>
        <w:t xml:space="preserve">Second, petitioner asserts the ballot materials should not be relied on because they are partisan and “may serve to mislead a voter about an initiative’s purpose, intent, and effect.”  </w:t>
      </w:r>
      <w:r w:rsidR="006B2B0F">
        <w:t>It is true that</w:t>
      </w:r>
      <w:r w:rsidRPr="00395155">
        <w:t xml:space="preserve">, as we noted in </w:t>
      </w:r>
      <w:r w:rsidRPr="00395155">
        <w:rPr>
          <w:i/>
          <w:iCs/>
        </w:rPr>
        <w:t>Gadlin</w:t>
      </w:r>
      <w:r w:rsidR="006B2B0F">
        <w:t>,</w:t>
      </w:r>
      <w:r w:rsidRPr="00395155">
        <w:t xml:space="preserve"> the voters “were explicitly warned in the margins of the voter guide that ‘Arguments printed on this page are the opinions of the authors, and have not been checked for accuracy by any official agency.’ ”  (</w:t>
      </w:r>
      <w:r w:rsidRPr="00395155">
        <w:rPr>
          <w:i/>
          <w:iCs/>
        </w:rPr>
        <w:t>Gadlin</w:t>
      </w:r>
      <w:r w:rsidRPr="00395155">
        <w:t xml:space="preserve">, </w:t>
      </w:r>
      <w:r w:rsidRPr="00395155">
        <w:rPr>
          <w:i/>
          <w:iCs/>
        </w:rPr>
        <w:t>supra</w:t>
      </w:r>
      <w:r w:rsidRPr="00395155">
        <w:t xml:space="preserve">, 10 Cal.5th at pp. 940–941, quoting Voter Information Guide, Gen. Elec., </w:t>
      </w:r>
      <w:r w:rsidRPr="00395155">
        <w:rPr>
          <w:i/>
          <w:iCs/>
        </w:rPr>
        <w:t>supra</w:t>
      </w:r>
      <w:r w:rsidRPr="00395155">
        <w:t>, pp. 58</w:t>
      </w:r>
      <w:r w:rsidR="00901296">
        <w:t xml:space="preserve">, </w:t>
      </w:r>
      <w:r w:rsidRPr="00395155">
        <w:t xml:space="preserve">59.)  Still, petitioner provides no explanation regarding why any potential partisan bias aids him here.  He observes that the opponents emphasized the initiative would apply to “violent criminals.”  </w:t>
      </w:r>
      <w:r w:rsidR="00ED0727">
        <w:t>(</w:t>
      </w:r>
      <w:r w:rsidRPr="00395155">
        <w:t xml:space="preserve">Voter Information Guide, Gen. Elec., </w:t>
      </w:r>
      <w:r w:rsidRPr="00395155">
        <w:rPr>
          <w:i/>
          <w:iCs/>
        </w:rPr>
        <w:t>supra</w:t>
      </w:r>
      <w:r w:rsidRPr="00395155">
        <w:t>, rebuttal to argument in favor of Prop.</w:t>
      </w:r>
      <w:r w:rsidR="00767E19">
        <w:t> </w:t>
      </w:r>
      <w:r w:rsidRPr="00395155">
        <w:t>57, p. 58</w:t>
      </w:r>
      <w:r w:rsidR="00901296">
        <w:t>, capitalization omitted</w:t>
      </w:r>
      <w:r w:rsidRPr="00395155">
        <w:t>.</w:t>
      </w:r>
      <w:r w:rsidR="00ED0727">
        <w:t>)</w:t>
      </w:r>
      <w:r w:rsidRPr="00395155">
        <w:t xml:space="preserve">  But the opponents’ focus on the term “violent criminals,” when taken in context, had nothing to do with inmates </w:t>
      </w:r>
      <w:r w:rsidR="00AA5B5C">
        <w:t xml:space="preserve">currently </w:t>
      </w:r>
      <w:r w:rsidR="00893E0A">
        <w:t>serving a term for</w:t>
      </w:r>
      <w:r w:rsidRPr="00395155">
        <w:t xml:space="preserve"> </w:t>
      </w:r>
      <w:r w:rsidR="00AA5B5C">
        <w:t>a</w:t>
      </w:r>
      <w:r w:rsidRPr="00395155" w:rsidR="00AA5B5C">
        <w:t xml:space="preserve"> </w:t>
      </w:r>
      <w:r w:rsidRPr="00395155">
        <w:t xml:space="preserve">violent </w:t>
      </w:r>
      <w:r w:rsidR="00AA5B5C">
        <w:t>felony</w:t>
      </w:r>
      <w:r w:rsidRPr="00395155">
        <w:t xml:space="preserve">.  Rather, the opponents were concerned with the types of offenses that would be considered </w:t>
      </w:r>
      <w:r w:rsidR="003E38EB">
        <w:t>non</w:t>
      </w:r>
      <w:r w:rsidRPr="00395155">
        <w:t xml:space="preserve">violent under the initiative.  (See Voter Information Guide, Gen. Elec., </w:t>
      </w:r>
      <w:r w:rsidRPr="00395155">
        <w:rPr>
          <w:i/>
          <w:iCs/>
        </w:rPr>
        <w:t>supra</w:t>
      </w:r>
      <w:r w:rsidRPr="00395155">
        <w:t>, rebuttal to argument in favor of Prop. 57, p. 58 [asserting inmates convicted of crimes including sex trafficking, assault with a deadly weapon, lewd acts against a 14-year-old, hostage taking, and hate crimes causing injury</w:t>
      </w:r>
      <w:r w:rsidR="005A7600">
        <w:t xml:space="preserve"> would be </w:t>
      </w:r>
      <w:r w:rsidR="00A25E24">
        <w:t>classified as nonviolent</w:t>
      </w:r>
      <w:r w:rsidRPr="00395155">
        <w:t>].)  As noted above, neither the proponents nor the opponents of Proposition 57 expressly addressed the circumstance we consider here.  Thus, it cannot be said that the materials misled the voters with respect to the treatment of inmates</w:t>
      </w:r>
      <w:r w:rsidR="00AA5B5C">
        <w:t xml:space="preserve"> currently</w:t>
      </w:r>
      <w:r w:rsidR="00BE6807">
        <w:t xml:space="preserve"> serving a term of incarceration for </w:t>
      </w:r>
      <w:r w:rsidR="008A3067">
        <w:t xml:space="preserve">a </w:t>
      </w:r>
      <w:r w:rsidR="00BE6807">
        <w:t xml:space="preserve">violent </w:t>
      </w:r>
      <w:r w:rsidR="008A3067">
        <w:t>felony</w:t>
      </w:r>
      <w:r w:rsidR="00C86731">
        <w:t xml:space="preserve">, or that the Department </w:t>
      </w:r>
      <w:r w:rsidR="004B60C3">
        <w:t xml:space="preserve">acted in excess of its authority when crafting the regulation at issue here.  </w:t>
      </w:r>
      <w:r w:rsidRPr="00395155">
        <w:t xml:space="preserve">  </w:t>
      </w:r>
    </w:p>
    <w:p w:rsidR="00395155" w:rsidRPr="00395155" w:rsidP="00395155" w14:paraId="1E21E2F4" w14:textId="52EAB1BF">
      <w:pPr>
        <w:tabs>
          <w:tab w:val="left" w:pos="720"/>
        </w:tabs>
      </w:pPr>
      <w:r w:rsidRPr="00395155">
        <w:tab/>
        <w:t xml:space="preserve">Petitioner next asserts that the initiative informed the voters that the Board of Parole Hearings would guard public safety by evaluating each eligible inmate for parole suitability.  </w:t>
      </w:r>
      <w:r w:rsidR="00893E0A">
        <w:t>(</w:t>
      </w:r>
      <w:r w:rsidRPr="00395155">
        <w:t xml:space="preserve">Voter Information Guide, Gen. Elec., </w:t>
      </w:r>
      <w:r w:rsidRPr="00395155">
        <w:rPr>
          <w:i/>
          <w:iCs/>
        </w:rPr>
        <w:t>supra</w:t>
      </w:r>
      <w:r w:rsidRPr="00395155">
        <w:t>, argument in favor of Prop. 57, p. 58.</w:t>
      </w:r>
      <w:r w:rsidR="00893E0A">
        <w:t>)</w:t>
      </w:r>
      <w:r w:rsidRPr="00395155">
        <w:t xml:space="preserve">  But petitioner does not explain how this would have conveyed to the voters an understanding that inmates currently </w:t>
      </w:r>
      <w:r w:rsidR="00893E0A">
        <w:t>serving a term for</w:t>
      </w:r>
      <w:r w:rsidRPr="00395155">
        <w:t xml:space="preserve"> </w:t>
      </w:r>
      <w:r w:rsidR="008A3067">
        <w:t>a</w:t>
      </w:r>
      <w:r w:rsidRPr="00395155" w:rsidR="008A3067">
        <w:t xml:space="preserve"> </w:t>
      </w:r>
      <w:r w:rsidRPr="00395155">
        <w:t xml:space="preserve">violent </w:t>
      </w:r>
      <w:r w:rsidR="008A3067">
        <w:t>felony</w:t>
      </w:r>
      <w:r w:rsidRPr="00395155">
        <w:t xml:space="preserve"> would be eligible for </w:t>
      </w:r>
      <w:r w:rsidR="008A3067">
        <w:t xml:space="preserve">early </w:t>
      </w:r>
      <w:r w:rsidRPr="00395155">
        <w:t xml:space="preserve">parole consideration.    </w:t>
      </w:r>
    </w:p>
    <w:p w:rsidR="00876A53" w:rsidRPr="00E021C1" w:rsidP="00395155" w14:paraId="19D5EED7" w14:textId="10B1C1A9">
      <w:pPr>
        <w:tabs>
          <w:tab w:val="left" w:pos="720"/>
        </w:tabs>
      </w:pPr>
      <w:r w:rsidRPr="00395155">
        <w:tab/>
      </w:r>
      <w:r>
        <w:t xml:space="preserve">Further, petitioner’s reliance on </w:t>
      </w:r>
      <w:r>
        <w:rPr>
          <w:i/>
          <w:iCs/>
        </w:rPr>
        <w:t>Gadlin</w:t>
      </w:r>
      <w:r>
        <w:t xml:space="preserve"> </w:t>
      </w:r>
      <w:r w:rsidR="003E2496">
        <w:t xml:space="preserve">with regard to the ballot materials is misplaced.  In </w:t>
      </w:r>
      <w:r w:rsidR="003E2496">
        <w:rPr>
          <w:i/>
          <w:iCs/>
        </w:rPr>
        <w:t>Gadlin</w:t>
      </w:r>
      <w:r w:rsidR="003E2496">
        <w:t xml:space="preserve">, </w:t>
      </w:r>
      <w:r w:rsidR="0066677D">
        <w:t xml:space="preserve">we rejected the Department’s position that the ballot materials indicated the voters intended to exclude </w:t>
      </w:r>
      <w:r w:rsidR="00A301A8">
        <w:t>from early parole consideration inmates convicted of nonviolent offenses requiring registration pursuant to section 290.  (</w:t>
      </w:r>
      <w:r w:rsidR="00A301A8">
        <w:rPr>
          <w:i/>
          <w:iCs/>
        </w:rPr>
        <w:t>Gadlin</w:t>
      </w:r>
      <w:r w:rsidR="00A301A8">
        <w:t xml:space="preserve">, </w:t>
      </w:r>
      <w:r w:rsidR="00A301A8">
        <w:rPr>
          <w:i/>
          <w:iCs/>
        </w:rPr>
        <w:t>supra</w:t>
      </w:r>
      <w:r w:rsidR="00A301A8">
        <w:t>, 10 Cal.5th at pp.</w:t>
      </w:r>
      <w:r w:rsidR="00413C20">
        <w:t> 939–940.)  We noted that the Department relied on “a single line in the prop</w:t>
      </w:r>
      <w:r w:rsidR="000B079F">
        <w:t>onents’ rebuttal argument” in a manner that “overlooks the context of the entire ballot materials provided to the voters.”  (</w:t>
      </w:r>
      <w:r w:rsidR="000B079F">
        <w:rPr>
          <w:i/>
          <w:iCs/>
        </w:rPr>
        <w:t>Id</w:t>
      </w:r>
      <w:r w:rsidR="000B079F">
        <w:t>. at p. </w:t>
      </w:r>
      <w:r w:rsidR="00901296">
        <w:t>939</w:t>
      </w:r>
      <w:r w:rsidR="000B079F">
        <w:t xml:space="preserve">.)  Here, </w:t>
      </w:r>
      <w:r w:rsidR="009003BF">
        <w:t xml:space="preserve">by contrast, </w:t>
      </w:r>
      <w:r w:rsidR="00E021C1">
        <w:t xml:space="preserve">the ballot materials provide much stronger support for the Department’s position than the single line on which </w:t>
      </w:r>
      <w:r w:rsidR="000A09FB">
        <w:t xml:space="preserve">it </w:t>
      </w:r>
      <w:r w:rsidR="00E021C1">
        <w:t xml:space="preserve">relied in </w:t>
      </w:r>
      <w:r w:rsidR="00E021C1">
        <w:rPr>
          <w:i/>
          <w:iCs/>
        </w:rPr>
        <w:t>Gadlin</w:t>
      </w:r>
      <w:r w:rsidR="00E021C1">
        <w:t xml:space="preserve">.  As described above, the ballot materials </w:t>
      </w:r>
      <w:r w:rsidR="004079D1">
        <w:t xml:space="preserve">consistently contrasted for voters the distinction between violent felonies and nonviolent felonies.  </w:t>
      </w:r>
      <w:r w:rsidR="0063672B">
        <w:t xml:space="preserve">This contrast was further </w:t>
      </w:r>
      <w:r w:rsidR="00DB52E9">
        <w:t>underscored</w:t>
      </w:r>
      <w:r w:rsidR="0063672B">
        <w:t xml:space="preserve"> by the </w:t>
      </w:r>
      <w:r w:rsidR="00CD2D33">
        <w:t>a</w:t>
      </w:r>
      <w:r w:rsidR="00D57CBB">
        <w:t xml:space="preserve">nalysis </w:t>
      </w:r>
      <w:r w:rsidR="000A09FB">
        <w:t xml:space="preserve">of </w:t>
      </w:r>
      <w:r w:rsidR="00D57CBB">
        <w:t xml:space="preserve">the </w:t>
      </w:r>
      <w:r w:rsidR="0063672B">
        <w:t>Legislative Analyst</w:t>
      </w:r>
      <w:r w:rsidR="00DB52E9">
        <w:t>,</w:t>
      </w:r>
      <w:r w:rsidR="00D57CBB">
        <w:t xml:space="preserve"> which </w:t>
      </w:r>
      <w:r w:rsidR="00A5795D">
        <w:t xml:space="preserve">“assume[d] a nonviolent felony offense would include any felony offense that is not specifically defined in statute as violent.”  </w:t>
      </w:r>
      <w:r w:rsidR="008F03FB">
        <w:t xml:space="preserve">(Voter Information Guide, Gen. Elec., </w:t>
      </w:r>
      <w:r w:rsidR="008F03FB">
        <w:rPr>
          <w:i/>
          <w:iCs/>
        </w:rPr>
        <w:t>supra</w:t>
      </w:r>
      <w:r w:rsidR="008F03FB">
        <w:t xml:space="preserve">, analysis </w:t>
      </w:r>
      <w:r w:rsidR="009003BF">
        <w:t xml:space="preserve">of Prop. 57 </w:t>
      </w:r>
      <w:r w:rsidR="008F03FB">
        <w:t>by Legis</w:t>
      </w:r>
      <w:r w:rsidR="009003BF">
        <w:t>.</w:t>
      </w:r>
      <w:r w:rsidR="008F03FB">
        <w:t xml:space="preserve"> Analyst, p. 56.)  </w:t>
      </w:r>
      <w:r w:rsidR="00D76533">
        <w:t xml:space="preserve">Unlike the circumstances in </w:t>
      </w:r>
      <w:r w:rsidR="00D76533">
        <w:rPr>
          <w:i/>
          <w:iCs/>
        </w:rPr>
        <w:t>Gadlin</w:t>
      </w:r>
      <w:r w:rsidR="00D76533">
        <w:t xml:space="preserve">, the Department was well within its discretion to frame its regulations in light of the robust debate </w:t>
      </w:r>
      <w:r w:rsidR="007D600F">
        <w:t>captured in the ballot materials.</w:t>
      </w:r>
    </w:p>
    <w:p w:rsidR="001540B2" w:rsidP="00395155" w14:paraId="1311EEB5" w14:textId="4A9ABF60">
      <w:pPr>
        <w:tabs>
          <w:tab w:val="left" w:pos="720"/>
        </w:tabs>
      </w:pPr>
      <w:r>
        <w:tab/>
      </w:r>
      <w:r w:rsidRPr="00395155" w:rsidR="00395155">
        <w:t xml:space="preserve">Finally, petitioner asserts the voters’ rejection of Proposition 20 at the 2020 election constitutes evidence that the voters, in passing Proposition 57 in 2016, intended to afford parole consideration to inmates </w:t>
      </w:r>
      <w:r w:rsidR="00A0502A">
        <w:t xml:space="preserve">serving terms of imprisonment </w:t>
      </w:r>
      <w:r w:rsidR="0012084A">
        <w:t>for both violent</w:t>
      </w:r>
      <w:r w:rsidR="00A0502A">
        <w:t xml:space="preserve"> </w:t>
      </w:r>
      <w:r w:rsidRPr="00395155" w:rsidR="00395155">
        <w:t xml:space="preserve">and nonviolent felonies.  He notes that Proposition 20 would have explicitly excluded such inmates from </w:t>
      </w:r>
      <w:r w:rsidR="00DD274A">
        <w:t>early</w:t>
      </w:r>
      <w:r w:rsidRPr="00395155" w:rsidR="00395155">
        <w:t xml:space="preserve"> parole consideration</w:t>
      </w:r>
      <w:r w:rsidR="00D316B8">
        <w:t xml:space="preserve"> by adding </w:t>
      </w:r>
      <w:r w:rsidR="005D790A">
        <w:t>Penal Code section 3040.3</w:t>
      </w:r>
      <w:r w:rsidR="007B0842">
        <w:t>, subdivision (a)</w:t>
      </w:r>
      <w:r w:rsidR="005A7D52">
        <w:t xml:space="preserve"> to state:  “An inmate whose current commitment includes a concurrent, consecutive, or stayed sentence for an offense or allegation defined as violent by subdivision (c) of Section 667.5 or Section 3040.1 shall be deemed a violent offender for purposes of Section 32 of Article</w:t>
      </w:r>
      <w:r w:rsidR="001A74CD">
        <w:t> </w:t>
      </w:r>
      <w:r w:rsidR="005A7D52">
        <w:t>I of the Constitution</w:t>
      </w:r>
      <w:r w:rsidRPr="00395155" w:rsidR="00395155">
        <w:t>.</w:t>
      </w:r>
      <w:r w:rsidR="005A7D52">
        <w:t>”</w:t>
      </w:r>
      <w:r w:rsidR="00FF691B">
        <w:t xml:space="preserve">  </w:t>
      </w:r>
      <w:r w:rsidRPr="00A427A6" w:rsidR="00E41476">
        <w:t>(</w:t>
      </w:r>
      <w:r w:rsidR="00E41476">
        <w:t>Text of Proposed Laws</w:t>
      </w:r>
      <w:r w:rsidRPr="00A427A6" w:rsidR="00E41476">
        <w:t>, Gen. Elec. (Nov.</w:t>
      </w:r>
      <w:r w:rsidR="00C442C8">
        <w:t> </w:t>
      </w:r>
      <w:r w:rsidR="00EA6EF4">
        <w:t>3</w:t>
      </w:r>
      <w:r w:rsidRPr="00A427A6" w:rsidR="00E41476">
        <w:t>, 20</w:t>
      </w:r>
      <w:r w:rsidR="00EA6EF4">
        <w:t>20</w:t>
      </w:r>
      <w:r w:rsidRPr="00A427A6" w:rsidR="00E41476">
        <w:t xml:space="preserve">) text of Prop. </w:t>
      </w:r>
      <w:r w:rsidR="00EA6EF4">
        <w:t>20</w:t>
      </w:r>
      <w:r w:rsidRPr="00A427A6" w:rsidR="00E41476">
        <w:t>, p. </w:t>
      </w:r>
      <w:r w:rsidR="00EA6EF4">
        <w:t>20</w:t>
      </w:r>
      <w:r w:rsidRPr="00A427A6" w:rsidR="00E41476">
        <w:t xml:space="preserve">.) </w:t>
      </w:r>
      <w:r w:rsidR="001447B6">
        <w:t xml:space="preserve"> </w:t>
      </w:r>
      <w:r w:rsidRPr="00395155" w:rsidR="00395155">
        <w:t>He asserts that voters’ rejection of this “opportunity to override the lower court’s decision in the current case</w:t>
      </w:r>
      <w:r w:rsidR="001146AA">
        <w:t xml:space="preserve">” </w:t>
      </w:r>
      <w:r w:rsidRPr="00395155" w:rsidR="00395155">
        <w:t>indicates that voters intended</w:t>
      </w:r>
      <w:r>
        <w:t xml:space="preserve"> Proposition 57 to apply to inmates like him </w:t>
      </w:r>
      <w:r w:rsidR="00DD274A">
        <w:t xml:space="preserve">who have been </w:t>
      </w:r>
      <w:r>
        <w:t xml:space="preserve">convicted of both violent and nonviolent felonies. </w:t>
      </w:r>
    </w:p>
    <w:p w:rsidR="00395155" w:rsidRPr="00395155" w:rsidP="00395155" w14:paraId="15EB1D6D" w14:textId="0DD24608">
      <w:pPr>
        <w:tabs>
          <w:tab w:val="left" w:pos="720"/>
        </w:tabs>
      </w:pPr>
      <w:r>
        <w:tab/>
      </w:r>
      <w:r w:rsidRPr="00395155">
        <w:t>Petitioner’s argument is entirely unavailing.  A failed initiative presented to the voters in 2020 cannot provide evidence of the voters’ intent when they cast their ballots in 2016.  (</w:t>
      </w:r>
      <w:r w:rsidRPr="00395155">
        <w:rPr>
          <w:i/>
          <w:iCs/>
        </w:rPr>
        <w:t>Santa Clara County Local Transportation Authority v. Guardino</w:t>
      </w:r>
      <w:r w:rsidRPr="00395155">
        <w:t xml:space="preserve"> (1995) 11 Cal.4th 220, 238 [“we cannot speculate that the rejection [of an initiative by the voters] amounted to an implied approval” of a court opinion that would have been effectively overturned by the initiative], citing </w:t>
      </w:r>
      <w:r w:rsidRPr="00395155">
        <w:rPr>
          <w:i/>
          <w:iCs/>
        </w:rPr>
        <w:t>Dyna-Med</w:t>
      </w:r>
      <w:r w:rsidR="00CD2D33">
        <w:t xml:space="preserve">, </w:t>
      </w:r>
      <w:r w:rsidR="00CD2D33">
        <w:rPr>
          <w:i/>
          <w:iCs/>
        </w:rPr>
        <w:t>supra</w:t>
      </w:r>
      <w:r w:rsidR="00CD2D33">
        <w:t xml:space="preserve">, </w:t>
      </w:r>
      <w:r w:rsidRPr="00395155">
        <w:t>43</w:t>
      </w:r>
      <w:r w:rsidR="001A74CD">
        <w:t> </w:t>
      </w:r>
      <w:r w:rsidRPr="00395155">
        <w:t xml:space="preserve">Cal.3d </w:t>
      </w:r>
      <w:r w:rsidR="00CD2D33">
        <w:t>at p. </w:t>
      </w:r>
      <w:r w:rsidRPr="00395155">
        <w:t>1396</w:t>
      </w:r>
      <w:r w:rsidR="00631200">
        <w:t xml:space="preserve">; </w:t>
      </w:r>
      <w:r w:rsidR="00631200">
        <w:rPr>
          <w:i/>
          <w:iCs/>
        </w:rPr>
        <w:t>In re Guice</w:t>
      </w:r>
      <w:r w:rsidR="00631200">
        <w:t xml:space="preserve">, </w:t>
      </w:r>
      <w:r w:rsidR="00631200">
        <w:rPr>
          <w:i/>
          <w:iCs/>
        </w:rPr>
        <w:t>supra</w:t>
      </w:r>
      <w:r w:rsidR="00631200">
        <w:t>, 66 Cal.App.5th at p.</w:t>
      </w:r>
      <w:r w:rsidR="001A74CD">
        <w:t> </w:t>
      </w:r>
      <w:r w:rsidR="00272BBF">
        <w:t>942</w:t>
      </w:r>
      <w:r w:rsidR="000D183F">
        <w:t xml:space="preserve"> </w:t>
      </w:r>
      <w:r w:rsidR="006A5BCF">
        <w:t>[“There is simply no way of knowing why voters rejected Proposition 20 four years after they approved Proposition 57”]</w:t>
      </w:r>
      <w:r w:rsidRPr="00395155">
        <w:t xml:space="preserve">.) </w:t>
      </w:r>
    </w:p>
    <w:p w:rsidR="004E3F6D" w:rsidP="00395155" w14:paraId="11E984BA" w14:textId="68578D60">
      <w:pPr>
        <w:tabs>
          <w:tab w:val="left" w:pos="720"/>
        </w:tabs>
        <w:rPr>
          <w:iCs/>
        </w:rPr>
      </w:pPr>
      <w:r>
        <w:rPr>
          <w:iCs/>
        </w:rPr>
        <w:tab/>
        <w:t>We therefore</w:t>
      </w:r>
      <w:r w:rsidRPr="00395155" w:rsidR="00395155">
        <w:rPr>
          <w:iCs/>
        </w:rPr>
        <w:t xml:space="preserve"> conclude th</w:t>
      </w:r>
      <w:r w:rsidR="00392E7F">
        <w:rPr>
          <w:iCs/>
        </w:rPr>
        <w:t xml:space="preserve">at the Department acted within its discretion when it promulgated section 3490, subdivision (a)(5) of the </w:t>
      </w:r>
      <w:r w:rsidR="00DD1DC0">
        <w:rPr>
          <w:iCs/>
        </w:rPr>
        <w:t>California Code of R</w:t>
      </w:r>
      <w:r w:rsidR="00392E7F">
        <w:rPr>
          <w:iCs/>
        </w:rPr>
        <w:t xml:space="preserve">egulations </w:t>
      </w:r>
      <w:r w:rsidR="00C772D8">
        <w:rPr>
          <w:iCs/>
        </w:rPr>
        <w:t>excluding individuals currently serving a sentence for a violent felony from</w:t>
      </w:r>
      <w:r w:rsidR="00392E7F">
        <w:rPr>
          <w:iCs/>
        </w:rPr>
        <w:t xml:space="preserve"> early parole consideration.</w:t>
      </w:r>
      <w:r>
        <w:rPr>
          <w:iCs/>
        </w:rPr>
        <w:t xml:space="preserve">  </w:t>
      </w:r>
      <w:r w:rsidR="00F70AAC">
        <w:rPr>
          <w:iCs/>
        </w:rPr>
        <w:t xml:space="preserve">This conclusion, however, </w:t>
      </w:r>
      <w:r w:rsidR="00770C4F">
        <w:rPr>
          <w:iCs/>
        </w:rPr>
        <w:t xml:space="preserve">is not </w:t>
      </w:r>
      <w:r w:rsidR="00C853C6">
        <w:rPr>
          <w:iCs/>
        </w:rPr>
        <w:t xml:space="preserve">a determination that the Department’s regulation is the </w:t>
      </w:r>
      <w:r w:rsidR="00DA39AD">
        <w:rPr>
          <w:iCs/>
        </w:rPr>
        <w:t xml:space="preserve">most plausible </w:t>
      </w:r>
      <w:r w:rsidR="00C3690E">
        <w:rPr>
          <w:iCs/>
        </w:rPr>
        <w:t>of the various interpretations offered.  Because the Department is vested with the authority to adopt regulations in this context</w:t>
      </w:r>
      <w:r w:rsidR="00EF5E44">
        <w:rPr>
          <w:iCs/>
        </w:rPr>
        <w:t>,</w:t>
      </w:r>
      <w:r w:rsidR="00C3690E">
        <w:rPr>
          <w:iCs/>
        </w:rPr>
        <w:t xml:space="preserve"> we </w:t>
      </w:r>
      <w:r w:rsidR="00FD08E2">
        <w:rPr>
          <w:iCs/>
        </w:rPr>
        <w:t xml:space="preserve">need only </w:t>
      </w:r>
      <w:r w:rsidR="00450869">
        <w:rPr>
          <w:iCs/>
        </w:rPr>
        <w:t xml:space="preserve">conclude that its regulation is </w:t>
      </w:r>
      <w:r w:rsidR="0057162E">
        <w:rPr>
          <w:iCs/>
        </w:rPr>
        <w:t>a valid exercise of its rulemaking authority.</w:t>
      </w:r>
    </w:p>
    <w:p w:rsidR="007A3470" w:rsidRPr="00666CB3" w:rsidP="00644957" w14:paraId="6297CF0B" w14:textId="506F2CA5">
      <w:pPr>
        <w:tabs>
          <w:tab w:val="left" w:pos="720"/>
        </w:tabs>
      </w:pPr>
      <w:r>
        <w:rPr>
          <w:iCs/>
        </w:rPr>
        <w:tab/>
      </w:r>
      <w:r w:rsidR="00DD274A">
        <w:rPr>
          <w:iCs/>
        </w:rPr>
        <w:t>As to the application of the regulation to this case,</w:t>
      </w:r>
      <w:r w:rsidR="00733EB0">
        <w:rPr>
          <w:iCs/>
        </w:rPr>
        <w:t xml:space="preserve"> petitioner does not contest the Department’s determination that he is currently serving a term of incarceration for a violent felony.  </w:t>
      </w:r>
      <w:r w:rsidR="007A5609">
        <w:rPr>
          <w:iCs/>
        </w:rPr>
        <w:t xml:space="preserve">As described, petitioner was convicted of </w:t>
      </w:r>
      <w:r w:rsidR="00957BCE">
        <w:rPr>
          <w:iCs/>
        </w:rPr>
        <w:t>nine counts of second degree robbery</w:t>
      </w:r>
      <w:r w:rsidR="00B44B21">
        <w:rPr>
          <w:iCs/>
        </w:rPr>
        <w:t xml:space="preserve"> (a violent felony)</w:t>
      </w:r>
      <w:r w:rsidR="00780B9E">
        <w:rPr>
          <w:iCs/>
        </w:rPr>
        <w:t>,</w:t>
      </w:r>
      <w:r w:rsidR="00B44B21">
        <w:rPr>
          <w:iCs/>
        </w:rPr>
        <w:t xml:space="preserve"> six counts of receiving stolen property (a nonviolent felony)</w:t>
      </w:r>
      <w:r w:rsidR="00780B9E">
        <w:rPr>
          <w:iCs/>
        </w:rPr>
        <w:t>, and various gang enhancements</w:t>
      </w:r>
      <w:r w:rsidR="00B44B21">
        <w:rPr>
          <w:iCs/>
        </w:rPr>
        <w:t xml:space="preserve">.  </w:t>
      </w:r>
      <w:r w:rsidR="00BD2B23">
        <w:rPr>
          <w:iCs/>
        </w:rPr>
        <w:t>His only argument before this court is that he should be entitled to early parole consideration because he is a “mixed-offense</w:t>
      </w:r>
      <w:r w:rsidR="00D94D89">
        <w:rPr>
          <w:iCs/>
        </w:rPr>
        <w:t xml:space="preserve"> prisoner whose nonviolent felony offense is his primary offense and whose violent offenses are secondary ones that run consecutive and subordinate to that primary and principal offense.”</w:t>
      </w:r>
      <w:r w:rsidR="003534C5">
        <w:rPr>
          <w:iCs/>
        </w:rPr>
        <w:t xml:space="preserve">  Because petitioner has not contested the Department’s determination that he is currently serving a term for a violent felony, and because we have determined that the regulation excluding from early parole consideration inmates who are currently serving a term for a violent felony is a valid exercise of the Department’s rulemaking authority under article</w:t>
      </w:r>
      <w:r w:rsidR="001A74CD">
        <w:rPr>
          <w:iCs/>
        </w:rPr>
        <w:t> </w:t>
      </w:r>
      <w:r w:rsidR="003534C5">
        <w:rPr>
          <w:iCs/>
        </w:rPr>
        <w:t>I, section 32(b), we conclude the Department’s denial of petitioner’s request for early parole consideration was permissible.</w:t>
      </w:r>
      <w:r>
        <w:rPr>
          <w:rStyle w:val="FootnoteReference"/>
          <w:iCs/>
        </w:rPr>
        <w:footnoteReference w:id="15"/>
      </w:r>
      <w:r w:rsidR="00D94D89">
        <w:rPr>
          <w:iCs/>
        </w:rPr>
        <w:t xml:space="preserve">  </w:t>
      </w:r>
      <w:r w:rsidR="00C64773">
        <w:rPr>
          <w:iCs/>
        </w:rPr>
        <w:tab/>
      </w:r>
      <w:r w:rsidR="004914B9">
        <w:rPr>
          <w:iCs/>
        </w:rPr>
        <w:t xml:space="preserve"> </w:t>
      </w:r>
    </w:p>
    <w:p w:rsidR="001B57E8" w:rsidRPr="00F273F1" w:rsidP="00F273F1" w14:paraId="08C18122" w14:textId="7B97923A">
      <w:pPr>
        <w:pStyle w:val="Heading1"/>
      </w:pPr>
      <w:r w:rsidRPr="00F273F1">
        <w:t xml:space="preserve">III.  </w:t>
      </w:r>
      <w:r w:rsidRPr="00F273F1">
        <w:t>Conclusion</w:t>
      </w:r>
    </w:p>
    <w:p w:rsidR="007D152A" w:rsidP="00F565BB" w14:paraId="3F55F57C" w14:textId="4D06AE61">
      <w:pPr>
        <w:tabs>
          <w:tab w:val="left" w:pos="1440"/>
        </w:tabs>
        <w:ind w:firstLine="720"/>
      </w:pPr>
      <w:r>
        <w:t>Neither t</w:t>
      </w:r>
      <w:r w:rsidRPr="00F273F1" w:rsidR="001B57E8">
        <w:t xml:space="preserve">he </w:t>
      </w:r>
      <w:r w:rsidRPr="009F39D5" w:rsidR="009F39D5">
        <w:t xml:space="preserve">language of article I, section 32(a)(1) </w:t>
      </w:r>
      <w:r w:rsidR="00EC2FE2">
        <w:t xml:space="preserve">of the California Constitution </w:t>
      </w:r>
      <w:r>
        <w:t xml:space="preserve">nor the ballot materials presented to the voters </w:t>
      </w:r>
      <w:r w:rsidRPr="009F39D5" w:rsidR="009F39D5">
        <w:t>speak</w:t>
      </w:r>
      <w:r>
        <w:t xml:space="preserve"> directly</w:t>
      </w:r>
      <w:r w:rsidRPr="009F39D5" w:rsidR="009F39D5">
        <w:t xml:space="preserve"> to whether inmates </w:t>
      </w:r>
      <w:r w:rsidR="00644957">
        <w:t xml:space="preserve">with nonviolent felony convictions who are currently </w:t>
      </w:r>
      <w:r w:rsidR="009F39D5">
        <w:t>serving a term for</w:t>
      </w:r>
      <w:r w:rsidRPr="009F39D5" w:rsidR="009F39D5">
        <w:t xml:space="preserve"> </w:t>
      </w:r>
      <w:r w:rsidR="00644957">
        <w:t>a</w:t>
      </w:r>
      <w:r w:rsidRPr="009F39D5" w:rsidR="00644957">
        <w:t xml:space="preserve"> </w:t>
      </w:r>
      <w:r w:rsidRPr="009F39D5" w:rsidR="009F39D5">
        <w:t xml:space="preserve">violent </w:t>
      </w:r>
      <w:r w:rsidR="00644957">
        <w:t>felony</w:t>
      </w:r>
      <w:r w:rsidRPr="009F39D5" w:rsidR="009F39D5">
        <w:t xml:space="preserve"> must be considered for early parole suitability.  </w:t>
      </w:r>
      <w:r w:rsidR="00691A44">
        <w:t>Against this backdrop, and the direction</w:t>
      </w:r>
      <w:r w:rsidRPr="00E34071" w:rsidR="00E34071">
        <w:t xml:space="preserve"> </w:t>
      </w:r>
      <w:r w:rsidR="00E34071">
        <w:t>in article I, section 32(b)</w:t>
      </w:r>
      <w:r w:rsidR="00691A44">
        <w:t xml:space="preserve"> </w:t>
      </w:r>
      <w:r w:rsidR="00654F1D">
        <w:t>to promulgate regulations</w:t>
      </w:r>
      <w:r w:rsidR="00615596">
        <w:t xml:space="preserve">, the Department determined that inmates serving a term </w:t>
      </w:r>
      <w:r w:rsidR="00B2354C">
        <w:t xml:space="preserve">of incarceration </w:t>
      </w:r>
      <w:r w:rsidR="00615596">
        <w:t xml:space="preserve">for a violent felony should be excluded from early parole consideration.  (Cal. Code Regs., § 3490, subd. (a)(5).)  </w:t>
      </w:r>
      <w:r w:rsidR="00400FCA">
        <w:t>The Department’s approach is</w:t>
      </w:r>
      <w:r w:rsidR="0005779C">
        <w:t xml:space="preserve"> consistent with </w:t>
      </w:r>
      <w:r w:rsidR="00DC5614">
        <w:t xml:space="preserve">a reasonable interpretation of </w:t>
      </w:r>
      <w:r w:rsidR="0005779C">
        <w:t>the constitutional language</w:t>
      </w:r>
      <w:r w:rsidR="00DC5614">
        <w:t xml:space="preserve"> and</w:t>
      </w:r>
      <w:r w:rsidR="0005779C">
        <w:t xml:space="preserve"> the ballot materials.  </w:t>
      </w:r>
      <w:r w:rsidR="00F129F9">
        <w:t xml:space="preserve">We cannot say that the Department abused its </w:t>
      </w:r>
      <w:r w:rsidR="006A23E3">
        <w:t>rulemaking authority</w:t>
      </w:r>
      <w:r w:rsidR="00F129F9">
        <w:t xml:space="preserve"> in coming to this conclusion.</w:t>
      </w:r>
    </w:p>
    <w:p w:rsidR="000214FC" w:rsidRPr="00F273F1" w:rsidP="00F273F1" w14:paraId="3929BC6B" w14:textId="46BFAB05">
      <w:pPr>
        <w:tabs>
          <w:tab w:val="left" w:pos="1440"/>
        </w:tabs>
        <w:ind w:firstLine="720"/>
      </w:pPr>
      <w:r>
        <w:t xml:space="preserve">The judgment of the Court of Appeal is </w:t>
      </w:r>
      <w:r w:rsidR="00395155">
        <w:t>reversed</w:t>
      </w:r>
      <w:r>
        <w:t>.</w:t>
      </w:r>
    </w:p>
    <w:p w:rsidR="007B3660" w:rsidP="00F273F1" w14:paraId="7BD5DAB5" w14:textId="733F11D0">
      <w:pPr>
        <w:tabs>
          <w:tab w:val="left" w:pos="1440"/>
        </w:tabs>
      </w:pPr>
    </w:p>
    <w:p w:rsidR="002F29E8" w:rsidP="002F29E8" w14:paraId="559B3FBD" w14:textId="3A22E638">
      <w:pPr>
        <w:tabs>
          <w:tab w:val="right" w:pos="7740"/>
        </w:tabs>
        <w:rPr>
          <w:b/>
          <w:bCs/>
        </w:rPr>
      </w:pPr>
      <w:r>
        <w:tab/>
      </w:r>
      <w:r w:rsidRPr="002F29E8">
        <w:rPr>
          <w:b/>
          <w:bCs/>
        </w:rPr>
        <w:t>CANTIL-SAKAUYE, C. J.</w:t>
      </w:r>
    </w:p>
    <w:p w:rsidR="00CC7315" w:rsidP="002F29E8" w14:paraId="67E6D6D2" w14:textId="1DCC2662">
      <w:pPr>
        <w:tabs>
          <w:tab w:val="right" w:pos="7740"/>
        </w:tabs>
        <w:rPr>
          <w:b/>
          <w:bCs/>
        </w:rPr>
      </w:pPr>
    </w:p>
    <w:p w:rsidR="004A0C1C" w:rsidP="007A3470" w14:paraId="6E419ABE" w14:textId="41A9FFE2">
      <w:pPr>
        <w:tabs>
          <w:tab w:val="right" w:pos="7740"/>
        </w:tabs>
        <w:rPr>
          <w:b/>
          <w:bCs/>
        </w:rPr>
      </w:pPr>
      <w:r>
        <w:rPr>
          <w:b/>
          <w:bCs/>
        </w:rPr>
        <w:t>We Concur:</w:t>
      </w:r>
      <w:bookmarkStart w:id="4" w:name="plaintiff"/>
      <w:bookmarkStart w:id="5" w:name="initials"/>
      <w:bookmarkEnd w:id="4"/>
      <w:bookmarkEnd w:id="5"/>
    </w:p>
    <w:p w:rsidR="00C442C8" w:rsidP="00C442C8" w14:paraId="31CA5699" w14:textId="49B0B7B8">
      <w:pPr>
        <w:tabs>
          <w:tab w:val="right" w:pos="7740"/>
        </w:tabs>
        <w:spacing w:after="0" w:line="240" w:lineRule="auto"/>
        <w:rPr>
          <w:b/>
          <w:bCs/>
        </w:rPr>
      </w:pPr>
      <w:r>
        <w:rPr>
          <w:b/>
          <w:bCs/>
        </w:rPr>
        <w:t>CORRIGAN, J.</w:t>
      </w:r>
    </w:p>
    <w:p w:rsidR="00DC684A" w:rsidP="00C442C8" w14:paraId="09949217" w14:textId="788E1C47">
      <w:pPr>
        <w:tabs>
          <w:tab w:val="right" w:pos="7740"/>
        </w:tabs>
        <w:spacing w:after="0" w:line="240" w:lineRule="auto"/>
        <w:rPr>
          <w:b/>
          <w:bCs/>
        </w:rPr>
      </w:pPr>
      <w:r>
        <w:rPr>
          <w:b/>
          <w:bCs/>
        </w:rPr>
        <w:t>LIU, J.</w:t>
      </w:r>
    </w:p>
    <w:p w:rsidR="007B0441" w:rsidP="00C442C8" w14:paraId="66917D43" w14:textId="6BB13D96">
      <w:pPr>
        <w:tabs>
          <w:tab w:val="right" w:pos="7740"/>
        </w:tabs>
        <w:spacing w:after="0" w:line="240" w:lineRule="auto"/>
        <w:rPr>
          <w:b/>
          <w:bCs/>
        </w:rPr>
      </w:pPr>
      <w:r>
        <w:rPr>
          <w:b/>
          <w:bCs/>
        </w:rPr>
        <w:t>KRUGER, J.</w:t>
      </w:r>
    </w:p>
    <w:p w:rsidR="00BD4591" w:rsidP="00C442C8" w14:paraId="1B84E177" w14:textId="43887F89">
      <w:pPr>
        <w:tabs>
          <w:tab w:val="right" w:pos="7740"/>
        </w:tabs>
        <w:spacing w:after="0" w:line="240" w:lineRule="auto"/>
        <w:rPr>
          <w:b/>
          <w:bCs/>
        </w:rPr>
      </w:pPr>
      <w:r>
        <w:rPr>
          <w:b/>
          <w:bCs/>
        </w:rPr>
        <w:t>GROBAN, J.</w:t>
      </w:r>
    </w:p>
    <w:p w:rsidR="007B0441" w:rsidP="00C442C8" w14:paraId="4CF41ACB" w14:textId="0E1ED52E">
      <w:pPr>
        <w:tabs>
          <w:tab w:val="right" w:pos="7740"/>
        </w:tabs>
        <w:spacing w:after="0" w:line="240" w:lineRule="auto"/>
        <w:rPr>
          <w:b/>
          <w:bCs/>
        </w:rPr>
      </w:pPr>
      <w:r>
        <w:rPr>
          <w:b/>
          <w:bCs/>
        </w:rPr>
        <w:t>JENKINS, J.</w:t>
      </w:r>
    </w:p>
    <w:p w:rsidR="00BD4591" w:rsidP="00C442C8" w14:paraId="2B0DA6C0" w14:textId="78BEDB68">
      <w:pPr>
        <w:tabs>
          <w:tab w:val="right" w:pos="7740"/>
        </w:tabs>
        <w:spacing w:after="0" w:line="240" w:lineRule="auto"/>
        <w:rPr>
          <w:b/>
          <w:bCs/>
        </w:rPr>
      </w:pPr>
      <w:r>
        <w:rPr>
          <w:b/>
          <w:bCs/>
        </w:rPr>
        <w:t>LEVY, J.</w:t>
      </w:r>
      <w:r w:rsidRPr="00DA1F07">
        <w:rPr>
          <w:b/>
          <w:bCs/>
          <w:vertAlign w:val="superscript"/>
        </w:rPr>
        <w:t>*</w:t>
      </w:r>
    </w:p>
    <w:p w:rsidR="00C442C8" w:rsidP="00C442C8" w14:paraId="65B4E370" w14:textId="67861E8B">
      <w:pPr>
        <w:tabs>
          <w:tab w:val="right" w:pos="7740"/>
        </w:tabs>
        <w:spacing w:after="0" w:line="240" w:lineRule="auto"/>
        <w:rPr>
          <w:b/>
          <w:bCs/>
        </w:rPr>
      </w:pPr>
    </w:p>
    <w:p w:rsidR="00C442C8" w:rsidP="00C442C8" w14:paraId="1F4EB90D" w14:textId="2A1DF98C">
      <w:pPr>
        <w:tabs>
          <w:tab w:val="right" w:pos="7740"/>
        </w:tabs>
        <w:spacing w:after="0" w:line="240" w:lineRule="auto"/>
        <w:rPr>
          <w:b/>
          <w:bCs/>
        </w:rPr>
      </w:pPr>
    </w:p>
    <w:p w:rsidR="00C442C8" w:rsidP="00C442C8" w14:paraId="5AFB30D2" w14:textId="718CD4A2">
      <w:pPr>
        <w:tabs>
          <w:tab w:val="right" w:pos="7740"/>
        </w:tabs>
        <w:spacing w:after="0" w:line="240" w:lineRule="auto"/>
        <w:rPr>
          <w:b/>
          <w:bCs/>
        </w:rPr>
      </w:pPr>
    </w:p>
    <w:p w:rsidR="00C442C8" w:rsidP="00C442C8" w14:paraId="42C63DB7" w14:textId="0F180AFE">
      <w:pPr>
        <w:tabs>
          <w:tab w:val="right" w:pos="7740"/>
        </w:tabs>
        <w:spacing w:after="0" w:line="240" w:lineRule="auto"/>
        <w:rPr>
          <w:b/>
          <w:bCs/>
        </w:rPr>
      </w:pPr>
    </w:p>
    <w:p w:rsidR="00C442C8" w:rsidP="00C442C8" w14:paraId="286A6407" w14:textId="3D64AF8D">
      <w:pPr>
        <w:tabs>
          <w:tab w:val="right" w:pos="7740"/>
        </w:tabs>
        <w:spacing w:after="0" w:line="240" w:lineRule="auto"/>
        <w:rPr>
          <w:b/>
          <w:bCs/>
        </w:rPr>
      </w:pPr>
    </w:p>
    <w:p w:rsidR="00BD4591" w:rsidRPr="00BD4591" w:rsidP="00BD4591" w14:paraId="5AAF82AC" w14:textId="1A34E125"/>
    <w:p w:rsidR="00BD4591" w:rsidRPr="00BD4591" w:rsidP="00BD4591" w14:paraId="264FD9AD" w14:textId="605E8009"/>
    <w:p w:rsidR="00BD4591" w:rsidRPr="00BD4591" w:rsidP="00BD4591" w14:paraId="2462D055" w14:textId="7DDF1867"/>
    <w:p w:rsidR="00BD4591" w:rsidRPr="00BD4591" w:rsidP="00BD4591" w14:paraId="72B82B37" w14:textId="1E5ECA4E"/>
    <w:p w:rsidR="00BD4591" w:rsidRPr="00BD4591" w:rsidP="00BD4591" w14:paraId="3583C669" w14:textId="1B5F8D34"/>
    <w:p w:rsidR="00BD4591" w:rsidRPr="00BD4591" w:rsidP="00BD4591" w14:paraId="3BB8BC50" w14:textId="391D1A49"/>
    <w:p w:rsidR="00BD4591" w:rsidRPr="00BD4591" w:rsidP="00BD4591" w14:paraId="2C863877" w14:textId="3430EDD2"/>
    <w:p w:rsidR="00BD4591" w:rsidRPr="00BD4591" w:rsidP="00BD4591" w14:paraId="54205ACB" w14:textId="7847FEDA"/>
    <w:p w:rsidR="00BD4591" w:rsidRPr="00BD4591" w:rsidP="00BD4591" w14:paraId="7D08DA9E" w14:textId="57B7CF1E"/>
    <w:p w:rsidR="00BD4591" w:rsidRPr="00BD4591" w:rsidP="00BD4591" w14:paraId="41918525" w14:textId="06ADAEB7"/>
    <w:p w:rsidR="00BD4591" w:rsidRPr="00BD4591" w:rsidP="00BD4591" w14:paraId="501466E4" w14:textId="39BC0C73"/>
    <w:p w:rsidR="00DA1F07" w:rsidP="001B5C21" w14:paraId="43C4A07F" w14:textId="77777777">
      <w:pPr>
        <w:spacing w:line="300" w:lineRule="exact"/>
        <w:rPr>
          <w:szCs w:val="27"/>
        </w:rPr>
        <w:sectPr w:rsidSect="001B0066">
          <w:headerReference w:type="default" r:id="rId12"/>
          <w:footerReference w:type="first" r:id="rId13"/>
          <w:footnotePr>
            <w:numRestart w:val="eachSect"/>
          </w:footnotePr>
          <w:pgSz w:w="12240" w:h="15840"/>
          <w:pgMar w:top="1800" w:right="2160" w:bottom="1440" w:left="2160" w:header="720" w:footer="720" w:gutter="0"/>
          <w:pgNumType w:start="1"/>
          <w:cols w:space="720"/>
          <w:titlePg/>
          <w:docGrid w:linePitch="367"/>
        </w:sectPr>
      </w:pPr>
      <w:r w:rsidRPr="00DA1F07">
        <w:rPr>
          <w:rStyle w:val="FootnoteReference"/>
        </w:rPr>
        <w:t>*</w:t>
      </w:r>
      <w:r w:rsidRPr="00DA1F07">
        <w:rPr>
          <w:vertAlign w:val="superscript"/>
        </w:rPr>
        <w:t xml:space="preserve"> </w:t>
      </w:r>
      <w:r>
        <w:tab/>
      </w:r>
      <w:r w:rsidRPr="00E22A2C">
        <w:rPr>
          <w:szCs w:val="27"/>
        </w:rPr>
        <w:t>Associate Justice of the Court of Appeal, F</w:t>
      </w:r>
      <w:r>
        <w:rPr>
          <w:szCs w:val="27"/>
        </w:rPr>
        <w:t>if</w:t>
      </w:r>
      <w:r w:rsidRPr="00E22A2C">
        <w:rPr>
          <w:szCs w:val="27"/>
        </w:rPr>
        <w:t>th Appellate District, assigned by the Chief Justice pursuant to article VI, section 6 of the California Constitution.</w:t>
      </w:r>
    </w:p>
    <w:p w:rsidR="004558DB" w:rsidRPr="004558DB" w:rsidP="004558DB" w14:paraId="2BEB2F87" w14:textId="77777777">
      <w:pPr>
        <w:keepNext/>
        <w:jc w:val="center"/>
        <w:outlineLvl w:val="1"/>
        <w:rPr>
          <w:bCs/>
        </w:rPr>
      </w:pPr>
      <w:r w:rsidRPr="004558DB">
        <w:rPr>
          <w:bCs/>
        </w:rPr>
        <w:t>In re MOHAMMAD</w:t>
      </w:r>
    </w:p>
    <w:p w:rsidR="004558DB" w:rsidRPr="004558DB" w:rsidP="004558DB" w14:paraId="788B087C" w14:textId="77777777">
      <w:pPr>
        <w:keepNext/>
        <w:tabs>
          <w:tab w:val="left" w:pos="1152"/>
        </w:tabs>
        <w:contextualSpacing/>
        <w:jc w:val="center"/>
        <w:outlineLvl w:val="1"/>
        <w:rPr>
          <w:bCs/>
        </w:rPr>
      </w:pPr>
      <w:r w:rsidRPr="004558DB">
        <w:rPr>
          <w:bCs/>
        </w:rPr>
        <w:t>S259999</w:t>
      </w:r>
    </w:p>
    <w:p w:rsidR="004558DB" w:rsidRPr="004558DB" w:rsidP="004558DB" w14:paraId="08D170F7" w14:textId="77777777">
      <w:pPr>
        <w:keepNext/>
        <w:tabs>
          <w:tab w:val="left" w:pos="1152"/>
        </w:tabs>
        <w:contextualSpacing/>
        <w:jc w:val="center"/>
        <w:outlineLvl w:val="1"/>
        <w:rPr>
          <w:b/>
        </w:rPr>
      </w:pPr>
    </w:p>
    <w:p w:rsidR="004558DB" w:rsidRPr="004558DB" w:rsidP="004558DB" w14:paraId="65E76734" w14:textId="77777777">
      <w:pPr>
        <w:keepNext/>
        <w:tabs>
          <w:tab w:val="left" w:pos="1152"/>
        </w:tabs>
        <w:contextualSpacing/>
        <w:jc w:val="center"/>
        <w:outlineLvl w:val="1"/>
      </w:pPr>
      <w:r w:rsidRPr="004558DB">
        <w:t>Concurring Opinion by Justice Liu</w:t>
      </w:r>
    </w:p>
    <w:p w:rsidR="004558DB" w:rsidRPr="004558DB" w:rsidP="004558DB" w14:paraId="796F2DEC" w14:textId="77777777">
      <w:pPr>
        <w:keepNext/>
        <w:tabs>
          <w:tab w:val="left" w:pos="1152"/>
        </w:tabs>
        <w:contextualSpacing/>
        <w:jc w:val="center"/>
        <w:outlineLvl w:val="1"/>
        <w:rPr>
          <w:b/>
        </w:rPr>
      </w:pPr>
    </w:p>
    <w:p w:rsidR="004558DB" w:rsidRPr="004558DB" w:rsidP="004558DB" w14:paraId="3941B67D" w14:textId="107F6C20">
      <w:pPr>
        <w:ind w:firstLine="720"/>
        <w:contextualSpacing/>
      </w:pPr>
      <w:r w:rsidRPr="004558DB">
        <w:t>The Public Safety and Rehabilitation Act of 2016, known as Proposition 57, provides that “[a]ny person convicted of a nonviolent felony offense . . . shall be eligible for parole consideration after completing the full term for his or her primary offense.”  (Cal. Const., art. I, § 32, subd. (a)(1) (article I, section 32(a)(1)).)  To implement this provision, the Department of Corrections and Rehabilitation (Department) adopted a regulation that makes ineligible for early parole consideration any inmate who is “currently serving a term of incarceration for a ‘violent felony.’</w:t>
      </w:r>
      <w:r w:rsidR="00FB544C">
        <w:t> </w:t>
      </w:r>
      <w:r w:rsidRPr="004558DB">
        <w:t>”  (Cal. Code Regs., tit. 15, § 3490, subd. (a)(5).)  For the reasons stated in today’s opinion, I agree that this regulation, as written, is a reasonable construction of article I, section 32(a)(1).</w:t>
      </w:r>
    </w:p>
    <w:p w:rsidR="008027F1" w:rsidP="009177A9" w14:paraId="2902A7B6" w14:textId="62EA5CDD">
      <w:pPr>
        <w:ind w:firstLine="720"/>
        <w:contextualSpacing/>
      </w:pPr>
      <w:r w:rsidRPr="004558DB">
        <w:t xml:space="preserve">Lurking beneath this holding, however, are a number of questions concerning what it means for an inmate with both violent and nonviolent felony convictions to be “currently serving a term of incarceration for a ‘violent felony.’ ”  (Cal. Code Regs., tit. 15, § 3490, subd. (a)(5).)  But because petitioner Mohammad Mohammad has not contested the Department’s determination that he is currently serving a term for a violent felony, we have no occasion here to examine the proper application of the regulation to inmates like Mohammad who are incarcerated for both violent and nonviolent felony offenses.  (Maj. opn., </w:t>
      </w:r>
      <w:r w:rsidRPr="004558DB">
        <w:rPr>
          <w:i/>
          <w:iCs/>
        </w:rPr>
        <w:t>ante</w:t>
      </w:r>
      <w:r w:rsidRPr="004558DB">
        <w:t>, at pp. 29–30 &amp; fn. 13.)</w:t>
      </w:r>
    </w:p>
    <w:p w:rsidR="004558DB" w:rsidRPr="004558DB" w:rsidP="004558DB" w14:paraId="65E8C3D6" w14:textId="23305014">
      <w:pPr>
        <w:ind w:firstLine="720"/>
        <w:contextualSpacing/>
      </w:pPr>
      <w:r w:rsidRPr="004558DB">
        <w:t>Mohammad was sentenced to a consecutive term of 29 years for multiple violent (robbery) and nonviolent (receiving stolen property) offenses.  In its administrative review of his request for early parole consideration, the Department determined that his robbery offense (any one of them) “ ‘makes all of his offenses to be considered violent during this term.’ ”  (</w:t>
      </w:r>
      <w:r w:rsidRPr="004558DB">
        <w:rPr>
          <w:i/>
          <w:iCs/>
        </w:rPr>
        <w:t>In re Mohammad</w:t>
      </w:r>
      <w:r w:rsidRPr="004558DB">
        <w:t xml:space="preserve"> (2019) 42 Cal.App.5th 719, 724.)  In </w:t>
      </w:r>
      <w:r w:rsidRPr="004558DB">
        <w:rPr>
          <w:i/>
          <w:iCs/>
        </w:rPr>
        <w:t>In re Reeves</w:t>
      </w:r>
      <w:r w:rsidRPr="004558DB">
        <w:t xml:space="preserve"> (2005) 35 Cal.4th 765, 772, we said that “[u]nder the Determinate Sentencing Act ([Pen. Code,] § 1170 et seq.), </w:t>
      </w:r>
      <w:r w:rsidRPr="004558DB">
        <w:rPr>
          <w:color w:val="000000"/>
          <w:szCs w:val="26"/>
        </w:rPr>
        <w:t>multiple consecutive determinate terms must be combined into a single, ‘aggregate term of imprisonment for all [such] convictions’ ([</w:t>
      </w:r>
      <w:r w:rsidRPr="004558DB">
        <w:rPr>
          <w:i/>
          <w:iCs/>
          <w:color w:val="000000"/>
          <w:szCs w:val="26"/>
        </w:rPr>
        <w:t>id.</w:t>
      </w:r>
      <w:r w:rsidRPr="004558DB">
        <w:rPr>
          <w:color w:val="000000"/>
          <w:szCs w:val="26"/>
        </w:rPr>
        <w:t>,] § 1170.1, subd. (a)) that merges all terms to be served consecutively . . . .</w:t>
      </w:r>
      <w:r w:rsidRPr="004558DB">
        <w:t>”  The Department seems to contemplate that the merger of consecutive terms into a single aggregate term means that an inmate serving a consecutive sentence for violent and nonviolent felony convictions is “currently serving a term of incarceration for a ‘violent felony’</w:t>
      </w:r>
      <w:r w:rsidR="00FB544C">
        <w:t> </w:t>
      </w:r>
      <w:r w:rsidRPr="004558DB">
        <w:t>” (Cal. Code Regs., tit. 15, § 3490, subd. (a)(5)) throughout the entire duration of the consecutive sentence.</w:t>
      </w:r>
    </w:p>
    <w:p w:rsidR="004558DB" w:rsidRPr="004558DB" w:rsidP="004558DB" w14:paraId="2DADD6F7" w14:textId="77777777">
      <w:pPr>
        <w:ind w:firstLine="720"/>
        <w:contextualSpacing/>
      </w:pPr>
      <w:r w:rsidRPr="004558DB">
        <w:t>But</w:t>
      </w:r>
      <w:r w:rsidRPr="004558DB">
        <w:rPr>
          <w:szCs w:val="27"/>
        </w:rPr>
        <w:t xml:space="preserve"> there is some tension between the Department’s view and Proposition 57’s definition of “primary offense” to mean </w:t>
      </w:r>
      <w:r w:rsidRPr="004558DB">
        <w:rPr>
          <w:szCs w:val="27"/>
          <w:shd w:val="clear" w:color="auto" w:fill="FFFFFF"/>
        </w:rPr>
        <w:t xml:space="preserve">“the longest term of imprisonment imposed by the court for any offense, excluding the imposition of an enhancement, </w:t>
      </w:r>
      <w:r w:rsidRPr="004558DB">
        <w:rPr>
          <w:i/>
          <w:iCs/>
          <w:szCs w:val="27"/>
          <w:shd w:val="clear" w:color="auto" w:fill="FFFFFF"/>
        </w:rPr>
        <w:t>consecutive sentence</w:t>
      </w:r>
      <w:r w:rsidRPr="004558DB">
        <w:rPr>
          <w:szCs w:val="27"/>
          <w:shd w:val="clear" w:color="auto" w:fill="FFFFFF"/>
        </w:rPr>
        <w:t xml:space="preserve">, or alternative sentence.”  (Art. I, § 32(a)(1)(A), italics added.)  As Justice Robie explained in </w:t>
      </w:r>
      <w:r w:rsidRPr="004558DB">
        <w:rPr>
          <w:i/>
          <w:iCs/>
          <w:szCs w:val="27"/>
          <w:shd w:val="clear" w:color="auto" w:fill="FFFFFF"/>
        </w:rPr>
        <w:t>In re Douglas</w:t>
      </w:r>
      <w:r w:rsidRPr="004558DB">
        <w:rPr>
          <w:szCs w:val="27"/>
          <w:shd w:val="clear" w:color="auto" w:fill="FFFFFF"/>
        </w:rPr>
        <w:t xml:space="preserve"> (2021) 62 Cal.App.5th 726, t</w:t>
      </w:r>
      <w:r w:rsidRPr="004558DB">
        <w:t>his language seems to “require[ ] us to break an inmate’s sentence into its component parts,” notwithstanding the merger rule, in order to determine what term the inmate is currently serving at the time he or she seeks early parole consideration.  (</w:t>
      </w:r>
      <w:r w:rsidRPr="004558DB">
        <w:rPr>
          <w:i/>
          <w:iCs/>
        </w:rPr>
        <w:t>Id</w:t>
      </w:r>
      <w:r w:rsidRPr="004558DB">
        <w:t xml:space="preserve">. at p. 738 (conc. opn. of Robie, Acting P. J.); see art. I, </w:t>
      </w:r>
      <w:r w:rsidRPr="004558DB">
        <w:rPr>
          <w:color w:val="000000"/>
          <w:szCs w:val="26"/>
        </w:rPr>
        <w:t>§ 32(a) [“The following provisions are hereby enacted . . . notwithstanding anything in this article or any other provision of law . . . .”]</w:t>
      </w:r>
      <w:r w:rsidRPr="004558DB">
        <w:t>.)</w:t>
      </w:r>
    </w:p>
    <w:p w:rsidR="004558DB" w:rsidRPr="004558DB" w:rsidP="004558DB" w14:paraId="011C7CA1" w14:textId="64E4762C">
      <w:pPr>
        <w:ind w:firstLine="720"/>
        <w:contextualSpacing/>
      </w:pPr>
      <w:r w:rsidRPr="004558DB">
        <w:t>Consider, for example, an inmate serving a consecutive sentence for a robbery offense with a six</w:t>
      </w:r>
      <w:r w:rsidRPr="004558DB">
        <w:noBreakHyphen/>
        <w:t>year term and a receiving stolen property offense with a three-year term.  The robbery offense is the “primary offense” because it carries “</w:t>
      </w:r>
      <w:r w:rsidRPr="004558DB">
        <w:rPr>
          <w:szCs w:val="27"/>
          <w:shd w:val="clear" w:color="auto" w:fill="FFFFFF"/>
        </w:rPr>
        <w:t xml:space="preserve">the longest term of imprisonment imposed by the court for any offense.”  (Art. I, § 32(a)(1)(A).) </w:t>
      </w:r>
      <w:r w:rsidRPr="004558DB">
        <w:t xml:space="preserve"> Once the inmate has completed the six-year term for his primary offense of robbery, is he then</w:t>
      </w:r>
      <w:r w:rsidR="000C5747">
        <w:t> </w:t>
      </w:r>
      <w:r w:rsidRPr="004558DB">
        <w:t>— for purposes of article I, section 32(a)(1)</w:t>
      </w:r>
      <w:r w:rsidR="000C5747">
        <w:t> </w:t>
      </w:r>
      <w:r w:rsidRPr="004558DB">
        <w:t>— currently serving a term for the nonviolent offense of receiving stolen property and thus eligible for early parole consideration, as Justice Robie’s view suggests?  Or does article I, section 32(a)(1) allow the Department to treat him as currently serving a term for the violent offense throughout the entire nine-year aggregate sentence and find him ineligible for early parole consideration on that basis?</w:t>
      </w:r>
    </w:p>
    <w:p w:rsidR="004558DB" w:rsidRPr="004558DB" w:rsidP="004558DB" w14:paraId="3CE5D71F" w14:textId="77777777">
      <w:pPr>
        <w:keepNext/>
        <w:ind w:firstLine="720"/>
        <w:contextualSpacing/>
      </w:pPr>
      <w:r w:rsidRPr="004558DB">
        <w:t>Today’s decision does not answer these questions, nor does it address at what point, if any, during Mohammad’s consecutive sentence he may become eligible for early parole consideration.  These issues await resolution in future cases.</w:t>
      </w:r>
    </w:p>
    <w:p w:rsidR="004558DB" w:rsidRPr="004558DB" w:rsidP="004558DB" w14:paraId="587AA7AA" w14:textId="77777777">
      <w:pPr>
        <w:keepNext/>
        <w:tabs>
          <w:tab w:val="left" w:pos="1440"/>
        </w:tabs>
      </w:pPr>
    </w:p>
    <w:p w:rsidR="004558DB" w:rsidRPr="004558DB" w:rsidP="004558DB" w14:paraId="747EFD2C" w14:textId="77777777">
      <w:pPr>
        <w:ind w:left="4320" w:firstLine="720"/>
        <w:rPr>
          <w:b/>
          <w:szCs w:val="26"/>
        </w:rPr>
      </w:pPr>
      <w:r w:rsidRPr="004558DB">
        <w:rPr>
          <w:b/>
          <w:szCs w:val="26"/>
        </w:rPr>
        <w:t>LIU, J.</w:t>
      </w:r>
    </w:p>
    <w:p w:rsidR="004558DB" w:rsidRPr="004558DB" w:rsidP="004558DB" w14:paraId="46C367B6" w14:textId="77777777">
      <w:pPr>
        <w:spacing w:after="0" w:line="240" w:lineRule="auto"/>
        <w:jc w:val="left"/>
        <w:rPr>
          <w:b/>
          <w:szCs w:val="26"/>
        </w:rPr>
      </w:pPr>
    </w:p>
    <w:p w:rsidR="004558DB" w:rsidRPr="004558DB" w:rsidP="0087561D" w14:paraId="516E8C28" w14:textId="77777777">
      <w:pPr>
        <w:jc w:val="left"/>
        <w:rPr>
          <w:b/>
          <w:szCs w:val="26"/>
        </w:rPr>
      </w:pPr>
      <w:r w:rsidRPr="004558DB">
        <w:rPr>
          <w:b/>
          <w:szCs w:val="26"/>
        </w:rPr>
        <w:t>I Concur:</w:t>
      </w:r>
    </w:p>
    <w:p w:rsidR="004558DB" w:rsidRPr="004558DB" w:rsidP="004558DB" w14:paraId="1903A89C" w14:textId="77777777">
      <w:pPr>
        <w:spacing w:after="0" w:line="240" w:lineRule="auto"/>
        <w:jc w:val="left"/>
        <w:rPr>
          <w:b/>
          <w:szCs w:val="26"/>
          <w:lang w:val="it-IT"/>
        </w:rPr>
      </w:pPr>
      <w:r w:rsidRPr="004558DB">
        <w:rPr>
          <w:b/>
          <w:szCs w:val="26"/>
          <w:lang w:val="it-IT"/>
        </w:rPr>
        <w:t>KRUGER, J.</w:t>
      </w:r>
    </w:p>
    <w:p w:rsidR="004558DB" w:rsidRPr="004558DB" w:rsidP="004558DB" w14:paraId="3C68267D" w14:textId="77777777">
      <w:pPr>
        <w:spacing w:after="0" w:line="240" w:lineRule="auto"/>
        <w:jc w:val="left"/>
        <w:rPr>
          <w:b/>
          <w:szCs w:val="26"/>
        </w:rPr>
      </w:pPr>
    </w:p>
    <w:p w:rsidR="004D2CB7" w:rsidP="00BD4591" w14:paraId="1D001EFB" w14:textId="77777777">
      <w:pPr>
        <w:spacing w:after="0" w:line="240" w:lineRule="auto"/>
        <w:sectPr w:rsidSect="001B0066">
          <w:headerReference w:type="default" r:id="rId14"/>
          <w:footerReference w:type="first" r:id="rId15"/>
          <w:footnotePr>
            <w:numRestart w:val="eachSect"/>
          </w:footnotePr>
          <w:pgSz w:w="12240" w:h="15840"/>
          <w:pgMar w:top="1800" w:right="2160" w:bottom="1440" w:left="2160" w:header="720" w:footer="720" w:gutter="0"/>
          <w:pgNumType w:start="1"/>
          <w:cols w:space="720"/>
          <w:titlePg/>
          <w:docGrid w:linePitch="367"/>
        </w:sectPr>
      </w:pPr>
    </w:p>
    <w:p w:rsidR="004D2CB7" w:rsidRPr="004D2CB7" w:rsidP="004D2CB7" w14:paraId="55487BA7" w14:textId="77777777">
      <w:pPr>
        <w:spacing w:after="0" w:line="240" w:lineRule="auto"/>
        <w:jc w:val="left"/>
        <w:rPr>
          <w:i/>
          <w:sz w:val="24"/>
          <w:szCs w:val="24"/>
        </w:rPr>
      </w:pPr>
      <w:r w:rsidRPr="004D2CB7">
        <w:rPr>
          <w:i/>
          <w:sz w:val="24"/>
          <w:szCs w:val="24"/>
        </w:rPr>
        <w:t>See next page for addresses and telephone numbers for counsel who argued in Supreme Court.</w:t>
      </w:r>
    </w:p>
    <w:p w:rsidR="004D2CB7" w:rsidRPr="004D2CB7" w:rsidP="004D2CB7" w14:paraId="58BCA90E" w14:textId="77777777">
      <w:pPr>
        <w:spacing w:after="0" w:line="240" w:lineRule="auto"/>
        <w:jc w:val="left"/>
        <w:rPr>
          <w:i/>
          <w:sz w:val="24"/>
          <w:szCs w:val="24"/>
        </w:rPr>
      </w:pPr>
    </w:p>
    <w:p w:rsidR="004D2CB7" w:rsidRPr="004D2CB7" w:rsidP="004D2CB7" w14:paraId="58AE73CC" w14:textId="77777777">
      <w:pPr>
        <w:spacing w:after="0" w:line="240" w:lineRule="auto"/>
        <w:jc w:val="left"/>
        <w:rPr>
          <w:bCs/>
          <w:sz w:val="24"/>
          <w:szCs w:val="24"/>
        </w:rPr>
      </w:pPr>
      <w:r w:rsidRPr="004D2CB7">
        <w:rPr>
          <w:b/>
          <w:sz w:val="24"/>
          <w:szCs w:val="24"/>
        </w:rPr>
        <w:t xml:space="preserve">Name of Opinion </w:t>
      </w:r>
      <w:r w:rsidRPr="004D2CB7">
        <w:rPr>
          <w:bCs/>
          <w:sz w:val="24"/>
          <w:szCs w:val="24"/>
        </w:rPr>
        <w:t xml:space="preserve"> In re Mohammad</w:t>
      </w:r>
    </w:p>
    <w:p w:rsidR="004D2CB7" w:rsidRPr="004D2CB7" w:rsidP="004D2CB7" w14:paraId="379D40A9" w14:textId="77777777">
      <w:pPr>
        <w:spacing w:after="0" w:line="240" w:lineRule="auto"/>
        <w:jc w:val="left"/>
        <w:rPr>
          <w:b/>
          <w:sz w:val="24"/>
          <w:szCs w:val="24"/>
        </w:rPr>
      </w:pPr>
      <w:r w:rsidRPr="004D2CB7">
        <w:rPr>
          <w:b/>
          <w:sz w:val="24"/>
          <w:szCs w:val="24"/>
        </w:rPr>
        <w:t xml:space="preserve">__________________________________________________________ </w:t>
      </w:r>
    </w:p>
    <w:p w:rsidR="004D2CB7" w:rsidRPr="004D2CB7" w:rsidP="004D2CB7" w14:paraId="26C66E49" w14:textId="77777777">
      <w:pPr>
        <w:spacing w:after="0" w:line="240" w:lineRule="auto"/>
        <w:jc w:val="left"/>
        <w:rPr>
          <w:b/>
          <w:sz w:val="24"/>
          <w:szCs w:val="24"/>
        </w:rPr>
      </w:pPr>
    </w:p>
    <w:p w:rsidR="004D2CB7" w:rsidRPr="004D2CB7" w:rsidP="004D2CB7" w14:paraId="2581A6A9" w14:textId="77777777">
      <w:pPr>
        <w:spacing w:after="0" w:line="240" w:lineRule="auto"/>
        <w:jc w:val="left"/>
        <w:rPr>
          <w:sz w:val="24"/>
          <w:szCs w:val="24"/>
        </w:rPr>
      </w:pPr>
      <w:r w:rsidRPr="004D2CB7">
        <w:rPr>
          <w:b/>
          <w:bCs/>
          <w:sz w:val="24"/>
          <w:szCs w:val="24"/>
          <w:u w:val="single"/>
        </w:rPr>
        <w:t>Procedural Posture</w:t>
      </w:r>
      <w:r w:rsidRPr="004D2CB7">
        <w:rPr>
          <w:b/>
          <w:bCs/>
          <w:sz w:val="24"/>
          <w:szCs w:val="24"/>
        </w:rPr>
        <w:t xml:space="preserve"> </w:t>
      </w:r>
      <w:r w:rsidRPr="004D2CB7">
        <w:rPr>
          <w:sz w:val="24"/>
          <w:szCs w:val="24"/>
        </w:rPr>
        <w:t>(see XX below)</w:t>
      </w:r>
    </w:p>
    <w:p w:rsidR="004D2CB7" w:rsidRPr="004D2CB7" w:rsidP="004D2CB7" w14:paraId="79E36773" w14:textId="77777777">
      <w:pPr>
        <w:spacing w:after="0" w:line="240" w:lineRule="auto"/>
        <w:jc w:val="left"/>
        <w:rPr>
          <w:sz w:val="24"/>
          <w:szCs w:val="24"/>
        </w:rPr>
      </w:pPr>
      <w:r w:rsidRPr="004D2CB7">
        <w:rPr>
          <w:b/>
          <w:bCs/>
          <w:sz w:val="24"/>
          <w:szCs w:val="24"/>
        </w:rPr>
        <w:t>Original Appeal</w:t>
      </w:r>
      <w:r w:rsidRPr="004D2CB7">
        <w:rPr>
          <w:sz w:val="24"/>
          <w:szCs w:val="24"/>
        </w:rPr>
        <w:t xml:space="preserve"> </w:t>
      </w:r>
    </w:p>
    <w:p w:rsidR="004D2CB7" w:rsidRPr="004D2CB7" w:rsidP="004D2CB7" w14:paraId="2404A09D" w14:textId="77777777">
      <w:pPr>
        <w:spacing w:after="0" w:line="240" w:lineRule="auto"/>
        <w:jc w:val="left"/>
        <w:rPr>
          <w:b/>
          <w:bCs/>
          <w:sz w:val="24"/>
          <w:szCs w:val="24"/>
        </w:rPr>
      </w:pPr>
      <w:r w:rsidRPr="004D2CB7">
        <w:rPr>
          <w:b/>
          <w:bCs/>
          <w:sz w:val="24"/>
          <w:szCs w:val="24"/>
        </w:rPr>
        <w:t>Original Proceeding</w:t>
      </w:r>
    </w:p>
    <w:p w:rsidR="004D2CB7" w:rsidRPr="004D2CB7" w:rsidP="004D2CB7" w14:paraId="609267FF" w14:textId="77777777">
      <w:pPr>
        <w:spacing w:after="0" w:line="240" w:lineRule="auto"/>
        <w:jc w:val="left"/>
        <w:rPr>
          <w:sz w:val="24"/>
          <w:szCs w:val="24"/>
        </w:rPr>
      </w:pPr>
      <w:r w:rsidRPr="004D2CB7">
        <w:rPr>
          <w:b/>
          <w:bCs/>
          <w:sz w:val="24"/>
          <w:szCs w:val="24"/>
        </w:rPr>
        <w:t>Review Granted</w:t>
      </w:r>
      <w:r w:rsidRPr="004D2CB7">
        <w:rPr>
          <w:sz w:val="24"/>
          <w:szCs w:val="24"/>
        </w:rPr>
        <w:t xml:space="preserve"> </w:t>
      </w:r>
      <w:r w:rsidRPr="004D2CB7">
        <w:rPr>
          <w:b/>
          <w:bCs/>
          <w:sz w:val="24"/>
          <w:szCs w:val="24"/>
        </w:rPr>
        <w:t xml:space="preserve">(published) </w:t>
      </w:r>
      <w:r w:rsidRPr="004D2CB7">
        <w:rPr>
          <w:sz w:val="24"/>
          <w:szCs w:val="24"/>
        </w:rPr>
        <w:t>XX 42 Cal.App.5th 719</w:t>
      </w:r>
    </w:p>
    <w:p w:rsidR="004D2CB7" w:rsidRPr="004D2CB7" w:rsidP="004D2CB7" w14:paraId="6BAC8DFB" w14:textId="77777777">
      <w:pPr>
        <w:spacing w:after="0" w:line="240" w:lineRule="auto"/>
        <w:jc w:val="left"/>
        <w:rPr>
          <w:sz w:val="24"/>
          <w:szCs w:val="24"/>
        </w:rPr>
      </w:pPr>
      <w:r w:rsidRPr="004D2CB7">
        <w:rPr>
          <w:b/>
          <w:bCs/>
          <w:sz w:val="24"/>
          <w:szCs w:val="24"/>
        </w:rPr>
        <w:t xml:space="preserve">Review Granted (unpublished) </w:t>
      </w:r>
    </w:p>
    <w:p w:rsidR="004D2CB7" w:rsidRPr="004D2CB7" w:rsidP="004D2CB7" w14:paraId="55CFC90C" w14:textId="77777777">
      <w:pPr>
        <w:spacing w:after="0" w:line="240" w:lineRule="auto"/>
        <w:jc w:val="left"/>
        <w:rPr>
          <w:b/>
          <w:bCs/>
          <w:sz w:val="24"/>
          <w:szCs w:val="24"/>
        </w:rPr>
      </w:pPr>
      <w:r w:rsidRPr="004D2CB7">
        <w:rPr>
          <w:b/>
          <w:bCs/>
          <w:sz w:val="24"/>
          <w:szCs w:val="24"/>
        </w:rPr>
        <w:t>Rehearing Granted</w:t>
      </w:r>
    </w:p>
    <w:p w:rsidR="004D2CB7" w:rsidRPr="004D2CB7" w:rsidP="004D2CB7" w14:paraId="1F60BCBC" w14:textId="77777777">
      <w:pPr>
        <w:spacing w:after="0" w:line="240" w:lineRule="auto"/>
        <w:jc w:val="left"/>
        <w:rPr>
          <w:b/>
          <w:sz w:val="24"/>
          <w:szCs w:val="24"/>
        </w:rPr>
      </w:pPr>
      <w:r w:rsidRPr="004D2CB7">
        <w:rPr>
          <w:b/>
          <w:sz w:val="24"/>
          <w:szCs w:val="24"/>
        </w:rPr>
        <w:t xml:space="preserve">__________________________________________________________ </w:t>
      </w:r>
    </w:p>
    <w:p w:rsidR="004D2CB7" w:rsidRPr="004D2CB7" w:rsidP="004D2CB7" w14:paraId="5D3536EF" w14:textId="77777777">
      <w:pPr>
        <w:spacing w:after="0" w:line="240" w:lineRule="auto"/>
        <w:jc w:val="left"/>
        <w:rPr>
          <w:b/>
          <w:sz w:val="24"/>
          <w:szCs w:val="24"/>
        </w:rPr>
      </w:pPr>
    </w:p>
    <w:p w:rsidR="004D2CB7" w:rsidRPr="004D2CB7" w:rsidP="004D2CB7" w14:paraId="5D896955" w14:textId="77777777">
      <w:pPr>
        <w:spacing w:after="0" w:line="240" w:lineRule="auto"/>
        <w:jc w:val="left"/>
        <w:rPr>
          <w:bCs/>
          <w:sz w:val="24"/>
          <w:szCs w:val="24"/>
        </w:rPr>
      </w:pPr>
      <w:r w:rsidRPr="004D2CB7">
        <w:rPr>
          <w:b/>
          <w:sz w:val="24"/>
          <w:szCs w:val="24"/>
        </w:rPr>
        <w:t>Opinion No.</w:t>
      </w:r>
      <w:r w:rsidRPr="004D2CB7">
        <w:rPr>
          <w:sz w:val="24"/>
          <w:szCs w:val="24"/>
        </w:rPr>
        <w:t xml:space="preserve"> S259999</w:t>
      </w:r>
    </w:p>
    <w:p w:rsidR="004D2CB7" w:rsidRPr="004D2CB7" w:rsidP="004D2CB7" w14:paraId="7B9ABB0A" w14:textId="77777777">
      <w:pPr>
        <w:spacing w:after="0" w:line="240" w:lineRule="auto"/>
        <w:jc w:val="left"/>
        <w:rPr>
          <w:bCs/>
          <w:sz w:val="24"/>
          <w:szCs w:val="24"/>
        </w:rPr>
      </w:pPr>
      <w:r w:rsidRPr="004D2CB7">
        <w:rPr>
          <w:b/>
          <w:sz w:val="24"/>
          <w:szCs w:val="24"/>
        </w:rPr>
        <w:t>Date Filed:</w:t>
      </w:r>
      <w:r w:rsidRPr="004D2CB7">
        <w:rPr>
          <w:sz w:val="24"/>
          <w:szCs w:val="24"/>
        </w:rPr>
        <w:t xml:space="preserve">  January 3, 2022</w:t>
      </w:r>
    </w:p>
    <w:p w:rsidR="004D2CB7" w:rsidRPr="004D2CB7" w:rsidP="004D2CB7" w14:paraId="7A0674AD" w14:textId="77777777">
      <w:pPr>
        <w:spacing w:after="0" w:line="240" w:lineRule="auto"/>
        <w:jc w:val="left"/>
        <w:rPr>
          <w:b/>
          <w:sz w:val="24"/>
          <w:szCs w:val="24"/>
        </w:rPr>
      </w:pPr>
      <w:r w:rsidRPr="004D2CB7">
        <w:rPr>
          <w:b/>
          <w:sz w:val="24"/>
          <w:szCs w:val="24"/>
        </w:rPr>
        <w:t xml:space="preserve">__________________________________________________________ </w:t>
      </w:r>
    </w:p>
    <w:p w:rsidR="004D2CB7" w:rsidRPr="004D2CB7" w:rsidP="004D2CB7" w14:paraId="64B70F66" w14:textId="77777777">
      <w:pPr>
        <w:spacing w:after="0" w:line="240" w:lineRule="auto"/>
        <w:jc w:val="left"/>
        <w:rPr>
          <w:b/>
          <w:sz w:val="24"/>
          <w:szCs w:val="24"/>
        </w:rPr>
      </w:pPr>
    </w:p>
    <w:p w:rsidR="004D2CB7" w:rsidRPr="004D2CB7" w:rsidP="004D2CB7" w14:paraId="5DD6B450" w14:textId="77777777">
      <w:pPr>
        <w:spacing w:after="0" w:line="240" w:lineRule="auto"/>
        <w:jc w:val="left"/>
        <w:rPr>
          <w:bCs/>
          <w:sz w:val="24"/>
          <w:szCs w:val="24"/>
        </w:rPr>
      </w:pPr>
      <w:r w:rsidRPr="004D2CB7">
        <w:rPr>
          <w:b/>
          <w:sz w:val="24"/>
          <w:szCs w:val="24"/>
        </w:rPr>
        <w:t xml:space="preserve">Court:  </w:t>
      </w:r>
      <w:r w:rsidRPr="004D2CB7">
        <w:rPr>
          <w:bCs/>
          <w:sz w:val="24"/>
          <w:szCs w:val="24"/>
        </w:rPr>
        <w:t>Superior</w:t>
      </w:r>
      <w:r w:rsidRPr="004D2CB7">
        <w:rPr>
          <w:b/>
          <w:sz w:val="24"/>
          <w:szCs w:val="24"/>
        </w:rPr>
        <w:t xml:space="preserve"> </w:t>
      </w:r>
    </w:p>
    <w:p w:rsidR="004D2CB7" w:rsidRPr="004D2CB7" w:rsidP="004D2CB7" w14:paraId="10D04F5C" w14:textId="77777777">
      <w:pPr>
        <w:spacing w:after="0" w:line="240" w:lineRule="auto"/>
        <w:jc w:val="left"/>
        <w:rPr>
          <w:bCs/>
          <w:sz w:val="24"/>
          <w:szCs w:val="24"/>
        </w:rPr>
      </w:pPr>
      <w:r w:rsidRPr="004D2CB7">
        <w:rPr>
          <w:b/>
          <w:sz w:val="24"/>
          <w:szCs w:val="24"/>
        </w:rPr>
        <w:t xml:space="preserve">County:  </w:t>
      </w:r>
      <w:r w:rsidRPr="004D2CB7">
        <w:rPr>
          <w:bCs/>
          <w:sz w:val="24"/>
          <w:szCs w:val="24"/>
        </w:rPr>
        <w:t>Los Angeles</w:t>
      </w:r>
    </w:p>
    <w:p w:rsidR="004D2CB7" w:rsidRPr="004D2CB7" w:rsidP="004D2CB7" w14:paraId="22813E49" w14:textId="77777777">
      <w:pPr>
        <w:spacing w:after="0" w:line="240" w:lineRule="auto"/>
        <w:ind w:left="720" w:hanging="720"/>
        <w:jc w:val="left"/>
        <w:rPr>
          <w:bCs/>
          <w:sz w:val="24"/>
          <w:szCs w:val="24"/>
        </w:rPr>
      </w:pPr>
      <w:r w:rsidRPr="004D2CB7">
        <w:rPr>
          <w:b/>
          <w:sz w:val="24"/>
          <w:szCs w:val="24"/>
        </w:rPr>
        <w:t xml:space="preserve">Judge:  </w:t>
      </w:r>
      <w:r w:rsidRPr="004D2CB7">
        <w:rPr>
          <w:bCs/>
          <w:sz w:val="24"/>
          <w:szCs w:val="24"/>
        </w:rPr>
        <w:t>William C. Ryan</w:t>
      </w:r>
    </w:p>
    <w:p w:rsidR="004D2CB7" w:rsidRPr="004D2CB7" w:rsidP="004D2CB7" w14:paraId="533F4365" w14:textId="77777777">
      <w:pPr>
        <w:spacing w:after="0" w:line="240" w:lineRule="auto"/>
        <w:jc w:val="left"/>
        <w:rPr>
          <w:b/>
          <w:sz w:val="24"/>
          <w:szCs w:val="24"/>
        </w:rPr>
      </w:pPr>
      <w:r w:rsidRPr="004D2CB7">
        <w:rPr>
          <w:b/>
          <w:sz w:val="24"/>
          <w:szCs w:val="24"/>
        </w:rPr>
        <w:t xml:space="preserve">__________________________________________________________  </w:t>
      </w:r>
    </w:p>
    <w:p w:rsidR="004D2CB7" w:rsidRPr="004D2CB7" w:rsidP="004D2CB7" w14:paraId="3D096178" w14:textId="77777777">
      <w:pPr>
        <w:spacing w:after="0" w:line="240" w:lineRule="auto"/>
        <w:jc w:val="left"/>
        <w:rPr>
          <w:b/>
          <w:sz w:val="24"/>
          <w:szCs w:val="24"/>
        </w:rPr>
      </w:pPr>
    </w:p>
    <w:p w:rsidR="004D2CB7" w:rsidRPr="004D2CB7" w:rsidP="004D2CB7" w14:paraId="2BED0206" w14:textId="77777777">
      <w:pPr>
        <w:spacing w:after="0" w:line="240" w:lineRule="auto"/>
        <w:jc w:val="left"/>
        <w:rPr>
          <w:b/>
          <w:sz w:val="24"/>
          <w:szCs w:val="24"/>
        </w:rPr>
      </w:pPr>
      <w:r w:rsidRPr="004D2CB7">
        <w:rPr>
          <w:b/>
          <w:sz w:val="24"/>
          <w:szCs w:val="24"/>
        </w:rPr>
        <w:t>Counsel:</w:t>
      </w:r>
    </w:p>
    <w:p w:rsidR="004D2CB7" w:rsidRPr="004D2CB7" w:rsidP="004D2CB7" w14:paraId="3E737A52" w14:textId="77777777">
      <w:pPr>
        <w:spacing w:after="0" w:line="240" w:lineRule="auto"/>
        <w:jc w:val="left"/>
        <w:rPr>
          <w:b/>
          <w:sz w:val="24"/>
          <w:szCs w:val="24"/>
        </w:rPr>
      </w:pPr>
    </w:p>
    <w:p w:rsidR="004D2CB7" w:rsidRPr="004D2CB7" w:rsidP="004D2CB7" w14:paraId="6F2862F8" w14:textId="77777777">
      <w:pPr>
        <w:spacing w:after="0" w:line="240" w:lineRule="auto"/>
        <w:jc w:val="left"/>
        <w:rPr>
          <w:bCs/>
          <w:sz w:val="24"/>
          <w:szCs w:val="24"/>
        </w:rPr>
      </w:pPr>
      <w:r w:rsidRPr="004D2CB7">
        <w:rPr>
          <w:bCs/>
          <w:sz w:val="24"/>
          <w:szCs w:val="24"/>
        </w:rPr>
        <w:t>Michael Satris and Heather MacKay, under appointments by the Supreme Court, for Petitioner Mohammad Mohammad.</w:t>
      </w:r>
    </w:p>
    <w:p w:rsidR="004D2CB7" w:rsidRPr="004D2CB7" w:rsidP="004D2CB7" w14:paraId="7B69B35C" w14:textId="77777777">
      <w:pPr>
        <w:spacing w:after="0" w:line="240" w:lineRule="auto"/>
        <w:jc w:val="left"/>
        <w:rPr>
          <w:bCs/>
          <w:sz w:val="24"/>
          <w:szCs w:val="24"/>
        </w:rPr>
      </w:pPr>
    </w:p>
    <w:p w:rsidR="004D2CB7" w:rsidRPr="004D2CB7" w:rsidP="004D2CB7" w14:paraId="2112C696" w14:textId="77777777">
      <w:pPr>
        <w:spacing w:after="0" w:line="240" w:lineRule="auto"/>
        <w:jc w:val="left"/>
        <w:rPr>
          <w:bCs/>
          <w:sz w:val="24"/>
          <w:szCs w:val="24"/>
        </w:rPr>
      </w:pPr>
      <w:r w:rsidRPr="004D2CB7">
        <w:rPr>
          <w:bCs/>
          <w:sz w:val="24"/>
          <w:szCs w:val="24"/>
        </w:rPr>
        <w:t>Xavier Becerra and Rob Bonta, Attorneys General, Michael Mongan, State Solicitor General, Gerald A. Engler and Lance E. Winters, Chief Assistant Attorneys General, Janill L. Richards, Principal Deputy State Solicitor General, Phillip J. Lindsay, Assistant Attorney General, Helen H. Hong, Deputy State Solicitor General, Amanda J. Murray and Charles Chung, Deputy Attorneys General, for Respondent the People.</w:t>
      </w:r>
    </w:p>
    <w:p w:rsidR="004D2CB7" w:rsidRPr="004D2CB7" w:rsidP="004D2CB7" w14:paraId="68592D33" w14:textId="77777777">
      <w:pPr>
        <w:spacing w:after="0" w:line="240" w:lineRule="auto"/>
        <w:jc w:val="left"/>
        <w:rPr>
          <w:bCs/>
          <w:sz w:val="24"/>
          <w:szCs w:val="24"/>
        </w:rPr>
      </w:pPr>
    </w:p>
    <w:p w:rsidR="004D2CB7" w:rsidRPr="004D2CB7" w:rsidP="004D2CB7" w14:paraId="4027ED05" w14:textId="77777777">
      <w:pPr>
        <w:spacing w:after="0" w:line="240" w:lineRule="auto"/>
        <w:jc w:val="left"/>
        <w:rPr>
          <w:bCs/>
          <w:sz w:val="24"/>
          <w:szCs w:val="24"/>
        </w:rPr>
      </w:pPr>
      <w:r w:rsidRPr="004D2CB7">
        <w:rPr>
          <w:bCs/>
          <w:sz w:val="24"/>
          <w:szCs w:val="24"/>
        </w:rPr>
        <w:t>Kent S. Scheidegger and Kymberlee C. Stapleton for Criminal Justice Legal Foundation as Amicus Curiae on behalf of Respondent the People.</w:t>
      </w:r>
    </w:p>
    <w:p w:rsidR="004D2CB7" w:rsidRPr="004D2CB7" w:rsidP="004D2CB7" w14:paraId="56BCBD72" w14:textId="77777777">
      <w:pPr>
        <w:spacing w:after="0" w:line="240" w:lineRule="auto"/>
        <w:jc w:val="left"/>
        <w:rPr>
          <w:bCs/>
          <w:sz w:val="24"/>
          <w:szCs w:val="24"/>
        </w:rPr>
      </w:pPr>
    </w:p>
    <w:p w:rsidR="004D2CB7" w:rsidRPr="004D2CB7" w:rsidP="004D2CB7" w14:paraId="21BC9615" w14:textId="77777777">
      <w:pPr>
        <w:spacing w:after="0" w:line="240" w:lineRule="auto"/>
        <w:jc w:val="left"/>
        <w:rPr>
          <w:bCs/>
          <w:sz w:val="24"/>
          <w:szCs w:val="24"/>
        </w:rPr>
      </w:pPr>
      <w:r w:rsidRPr="004D2CB7">
        <w:rPr>
          <w:bCs/>
          <w:sz w:val="24"/>
          <w:szCs w:val="24"/>
        </w:rPr>
        <w:t>Richard J. Sachs, Deputy District Attorney (San Diego) and Mark Zhaner for California District Attorneys Association as Amicus Curiae on behalf of Respondent the People.</w:t>
      </w:r>
    </w:p>
    <w:p w:rsidR="004D2CB7" w:rsidRPr="004D2CB7" w:rsidP="004D2CB7" w14:paraId="5AD66B09" w14:textId="77777777">
      <w:pPr>
        <w:spacing w:after="0" w:line="240" w:lineRule="auto"/>
        <w:jc w:val="left"/>
        <w:rPr>
          <w:b/>
          <w:sz w:val="24"/>
          <w:szCs w:val="24"/>
        </w:rPr>
      </w:pPr>
      <w:r w:rsidRPr="004D2CB7">
        <w:rPr>
          <w:bCs/>
          <w:color w:val="212121"/>
          <w:sz w:val="24"/>
          <w:szCs w:val="24"/>
          <w:shd w:val="clear" w:color="auto" w:fill="FFFFFF"/>
        </w:rPr>
        <w:br w:type="page"/>
      </w:r>
      <w:r w:rsidRPr="004D2CB7">
        <w:rPr>
          <w:b/>
          <w:sz w:val="24"/>
          <w:szCs w:val="24"/>
        </w:rPr>
        <w:t>Counsel who argued in Supreme Court (not intended for publication with opinion):</w:t>
      </w:r>
    </w:p>
    <w:p w:rsidR="004D2CB7" w:rsidRPr="004D2CB7" w:rsidP="004D2CB7" w14:paraId="6ED51614" w14:textId="77777777">
      <w:pPr>
        <w:spacing w:after="0" w:line="240" w:lineRule="auto"/>
        <w:jc w:val="left"/>
        <w:rPr>
          <w:b/>
          <w:sz w:val="24"/>
          <w:szCs w:val="24"/>
        </w:rPr>
      </w:pPr>
    </w:p>
    <w:p w:rsidR="004D2CB7" w:rsidRPr="004D2CB7" w:rsidP="004D2CB7" w14:paraId="7FBCE6FC" w14:textId="77777777">
      <w:pPr>
        <w:spacing w:after="0" w:line="240" w:lineRule="auto"/>
        <w:jc w:val="left"/>
        <w:rPr>
          <w:bCs/>
          <w:sz w:val="24"/>
          <w:szCs w:val="24"/>
        </w:rPr>
      </w:pPr>
      <w:r w:rsidRPr="004D2CB7">
        <w:rPr>
          <w:bCs/>
          <w:sz w:val="24"/>
          <w:szCs w:val="24"/>
        </w:rPr>
        <w:t>Heather MacKay</w:t>
      </w:r>
    </w:p>
    <w:p w:rsidR="004D2CB7" w:rsidRPr="004D2CB7" w:rsidP="004D2CB7" w14:paraId="0CF65D24" w14:textId="77777777">
      <w:pPr>
        <w:spacing w:after="0" w:line="240" w:lineRule="auto"/>
        <w:jc w:val="left"/>
        <w:rPr>
          <w:bCs/>
          <w:sz w:val="24"/>
          <w:szCs w:val="24"/>
        </w:rPr>
      </w:pPr>
      <w:r w:rsidRPr="004D2CB7">
        <w:rPr>
          <w:bCs/>
          <w:sz w:val="24"/>
          <w:szCs w:val="24"/>
        </w:rPr>
        <w:t>P.O. Box 3112</w:t>
      </w:r>
    </w:p>
    <w:p w:rsidR="004D2CB7" w:rsidRPr="004D2CB7" w:rsidP="004D2CB7" w14:paraId="625FF0D6" w14:textId="77777777">
      <w:pPr>
        <w:spacing w:after="0" w:line="240" w:lineRule="auto"/>
        <w:jc w:val="left"/>
        <w:rPr>
          <w:bCs/>
          <w:sz w:val="24"/>
          <w:szCs w:val="24"/>
        </w:rPr>
      </w:pPr>
      <w:r w:rsidRPr="004D2CB7">
        <w:rPr>
          <w:bCs/>
          <w:sz w:val="24"/>
          <w:szCs w:val="24"/>
        </w:rPr>
        <w:t>Oakland, CA 94609</w:t>
      </w:r>
    </w:p>
    <w:p w:rsidR="004D2CB7" w:rsidRPr="004D2CB7" w:rsidP="004D2CB7" w14:paraId="15A73BE1" w14:textId="77777777">
      <w:pPr>
        <w:spacing w:after="0" w:line="240" w:lineRule="auto"/>
        <w:jc w:val="left"/>
        <w:rPr>
          <w:bCs/>
          <w:sz w:val="24"/>
          <w:szCs w:val="24"/>
        </w:rPr>
      </w:pPr>
      <w:r w:rsidRPr="004D2CB7">
        <w:rPr>
          <w:bCs/>
          <w:sz w:val="24"/>
          <w:szCs w:val="24"/>
        </w:rPr>
        <w:t>(510) 653-7507</w:t>
      </w:r>
    </w:p>
    <w:p w:rsidR="004D2CB7" w:rsidRPr="004D2CB7" w:rsidP="004D2CB7" w14:paraId="4BB0DD10" w14:textId="77777777">
      <w:pPr>
        <w:spacing w:after="0" w:line="240" w:lineRule="auto"/>
        <w:jc w:val="left"/>
        <w:rPr>
          <w:bCs/>
          <w:sz w:val="24"/>
          <w:szCs w:val="24"/>
        </w:rPr>
      </w:pPr>
    </w:p>
    <w:p w:rsidR="004D2CB7" w:rsidRPr="004D2CB7" w:rsidP="004D2CB7" w14:paraId="5B1D7CBD" w14:textId="77777777">
      <w:pPr>
        <w:spacing w:after="0" w:line="240" w:lineRule="auto"/>
        <w:jc w:val="left"/>
        <w:rPr>
          <w:bCs/>
          <w:sz w:val="24"/>
          <w:szCs w:val="24"/>
        </w:rPr>
      </w:pPr>
      <w:r w:rsidRPr="004D2CB7">
        <w:rPr>
          <w:bCs/>
          <w:sz w:val="24"/>
          <w:szCs w:val="24"/>
        </w:rPr>
        <w:t>Helen H. Hong</w:t>
      </w:r>
    </w:p>
    <w:p w:rsidR="004D2CB7" w:rsidRPr="004D2CB7" w:rsidP="004D2CB7" w14:paraId="154734E8" w14:textId="77777777">
      <w:pPr>
        <w:spacing w:after="0" w:line="240" w:lineRule="auto"/>
        <w:jc w:val="left"/>
        <w:rPr>
          <w:bCs/>
          <w:sz w:val="24"/>
          <w:szCs w:val="24"/>
        </w:rPr>
      </w:pPr>
      <w:r w:rsidRPr="004D2CB7">
        <w:rPr>
          <w:bCs/>
          <w:sz w:val="24"/>
          <w:szCs w:val="24"/>
        </w:rPr>
        <w:t>Deputy State Solicitor General</w:t>
      </w:r>
    </w:p>
    <w:p w:rsidR="004D2CB7" w:rsidRPr="004D2CB7" w:rsidP="004D2CB7" w14:paraId="67C55E61" w14:textId="77777777">
      <w:pPr>
        <w:spacing w:after="0" w:line="240" w:lineRule="auto"/>
        <w:jc w:val="left"/>
        <w:rPr>
          <w:bCs/>
          <w:sz w:val="24"/>
          <w:szCs w:val="24"/>
        </w:rPr>
      </w:pPr>
      <w:r w:rsidRPr="004D2CB7">
        <w:rPr>
          <w:bCs/>
          <w:sz w:val="24"/>
          <w:szCs w:val="24"/>
        </w:rPr>
        <w:t>600 West Broadway, Suite 1800</w:t>
      </w:r>
    </w:p>
    <w:p w:rsidR="004D2CB7" w:rsidRPr="004D2CB7" w:rsidP="004D2CB7" w14:paraId="19C28EA0" w14:textId="77777777">
      <w:pPr>
        <w:spacing w:after="0" w:line="240" w:lineRule="auto"/>
        <w:jc w:val="left"/>
        <w:rPr>
          <w:bCs/>
          <w:sz w:val="24"/>
          <w:szCs w:val="24"/>
        </w:rPr>
      </w:pPr>
      <w:r w:rsidRPr="004D2CB7">
        <w:rPr>
          <w:bCs/>
          <w:sz w:val="24"/>
          <w:szCs w:val="24"/>
        </w:rPr>
        <w:t>San Diego, CA 92101</w:t>
      </w:r>
    </w:p>
    <w:p w:rsidR="004D2CB7" w:rsidRPr="004D2CB7" w:rsidP="004D2CB7" w14:paraId="57E64C5E" w14:textId="77777777">
      <w:pPr>
        <w:spacing w:after="0" w:line="240" w:lineRule="auto"/>
        <w:jc w:val="left"/>
        <w:rPr>
          <w:bCs/>
          <w:sz w:val="24"/>
          <w:szCs w:val="24"/>
        </w:rPr>
      </w:pPr>
      <w:r w:rsidRPr="004D2CB7">
        <w:rPr>
          <w:bCs/>
          <w:sz w:val="24"/>
          <w:szCs w:val="24"/>
        </w:rPr>
        <w:t>(619) 738-9693</w:t>
      </w:r>
    </w:p>
    <w:p w:rsidR="004D2CB7" w:rsidRPr="004D2CB7" w:rsidP="004D2CB7" w14:paraId="390C8D7D" w14:textId="77777777">
      <w:pPr>
        <w:spacing w:after="0" w:line="240" w:lineRule="auto"/>
        <w:jc w:val="left"/>
        <w:rPr>
          <w:sz w:val="24"/>
          <w:szCs w:val="24"/>
        </w:rPr>
      </w:pPr>
    </w:p>
    <w:p w:rsidR="004D2CB7" w:rsidRPr="004D2CB7" w:rsidP="004D2CB7" w14:paraId="319CB7FF" w14:textId="77777777">
      <w:pPr>
        <w:spacing w:after="0" w:line="240" w:lineRule="auto"/>
        <w:jc w:val="left"/>
        <w:rPr>
          <w:sz w:val="24"/>
          <w:szCs w:val="24"/>
        </w:rPr>
      </w:pPr>
    </w:p>
    <w:p w:rsidR="004D2CB7" w:rsidRPr="004D2CB7" w:rsidP="004D2CB7" w14:paraId="644B8554" w14:textId="77777777">
      <w:pPr>
        <w:spacing w:after="0" w:line="240" w:lineRule="auto"/>
        <w:jc w:val="left"/>
        <w:rPr>
          <w:sz w:val="24"/>
          <w:szCs w:val="24"/>
        </w:rPr>
      </w:pPr>
    </w:p>
    <w:p w:rsidR="004D2CB7" w:rsidRPr="004D2CB7" w:rsidP="004D2CB7" w14:paraId="4046E399" w14:textId="77777777">
      <w:pPr>
        <w:spacing w:after="0" w:line="240" w:lineRule="auto"/>
        <w:jc w:val="left"/>
        <w:rPr>
          <w:sz w:val="24"/>
          <w:szCs w:val="24"/>
        </w:rPr>
      </w:pPr>
      <w:r w:rsidRPr="004D2CB7">
        <w:rPr>
          <w:sz w:val="24"/>
          <w:szCs w:val="24"/>
        </w:rPr>
        <w:t xml:space="preserve"> </w:t>
      </w:r>
    </w:p>
    <w:p w:rsidR="00BD4591" w:rsidRPr="00BD4591" w:rsidP="00BD4591" w14:paraId="6CCDF3DC" w14:textId="029B302F">
      <w:pPr>
        <w:spacing w:after="0" w:line="240" w:lineRule="auto"/>
      </w:pPr>
    </w:p>
    <w:sectPr w:rsidSect="001B0066">
      <w:headerReference w:type="default" r:id="rId16"/>
      <w:footerReference w:type="default" r:id="rId17"/>
      <w:footnotePr>
        <w:numRestart w:val="eachSect"/>
      </w:footnotePr>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675" w14:paraId="19D258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F4A" w14:paraId="7E10F98C" w14:textId="0D1105A3">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675" w14:paraId="2EB8186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332999906"/>
      <w:docPartObj>
        <w:docPartGallery w:val="Page Numbers (Bottom of Page)"/>
        <w:docPartUnique/>
      </w:docPartObj>
    </w:sdtPr>
    <w:sdtEndPr>
      <w:rPr>
        <w:rStyle w:val="PageNumber"/>
      </w:rPr>
    </w:sdtEndPr>
    <w:sdtContent>
      <w:p w:rsidR="003E7E92" w:rsidP="00EE2A49" w14:paraId="7BF8BC65" w14:textId="303B0E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273F1" w:rsidP="002776C3" w14:paraId="718939A3" w14:textId="2D7091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C01" w:rsidP="00EC0C01" w14:paraId="4B9B6141" w14:textId="6DE41916">
    <w:pPr>
      <w:pStyle w:val="Footer"/>
      <w:framePr w:wrap="none" w:vAnchor="text" w:hAnchor="margin" w:xAlign="center" w:y="1"/>
      <w:jc w:val="both"/>
      <w:rPr>
        <w:rStyle w:val="PageNumber"/>
      </w:rPr>
    </w:pPr>
  </w:p>
  <w:p w:rsidR="00EC0C01" w:rsidP="00EC0C01" w14:paraId="22EEC64B" w14:textId="77777777">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CB7" w:rsidRPr="004D2CB7" w:rsidP="004D2CB7" w14:paraId="6B1BFC51" w14:textId="2BAB9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766F" w14:paraId="42909B8E" w14:textId="77777777">
      <w:r>
        <w:separator/>
      </w:r>
    </w:p>
  </w:footnote>
  <w:footnote w:type="continuationSeparator" w:id="1">
    <w:p w:rsidR="0050766F" w14:paraId="301771A7" w14:textId="77777777">
      <w:pPr>
        <w:rPr>
          <w:sz w:val="22"/>
        </w:rPr>
      </w:pPr>
      <w:r>
        <w:continuationSeparator/>
      </w:r>
    </w:p>
  </w:footnote>
  <w:footnote w:type="continuationNotice" w:id="2">
    <w:p w:rsidR="0050766F" w:rsidRPr="00E64DAB" w:rsidP="00E64DAB" w14:paraId="7667AC5D" w14:textId="77777777">
      <w:pPr>
        <w:pStyle w:val="Footer"/>
      </w:pPr>
    </w:p>
  </w:footnote>
  <w:footnote w:id="3">
    <w:p w:rsidR="000D31B2" w:rsidP="000D31B2" w14:paraId="43D71EEA" w14:textId="00F68CBA">
      <w:pPr>
        <w:pStyle w:val="FootnoteText"/>
      </w:pPr>
      <w:r>
        <w:rPr>
          <w:rStyle w:val="FootnoteReference"/>
        </w:rPr>
        <w:footnoteRef/>
      </w:r>
      <w:r>
        <w:t xml:space="preserve"> </w:t>
      </w:r>
      <w:r>
        <w:tab/>
      </w:r>
      <w:r w:rsidR="009E518A">
        <w:t>Article I, subdivisions 32(a), 32(a)(1)</w:t>
      </w:r>
      <w:r w:rsidR="000E021A">
        <w:t xml:space="preserve">, </w:t>
      </w:r>
      <w:r w:rsidR="00CB1FE1">
        <w:t xml:space="preserve">32(a)(1)(A), </w:t>
      </w:r>
      <w:r w:rsidR="000E021A">
        <w:t xml:space="preserve">and 32(b) of the California Constitution are referred to in this opinion as “article I, section 32(a),” “article I, section 32(a)(1),” </w:t>
      </w:r>
      <w:r w:rsidR="00CB1FE1">
        <w:t xml:space="preserve">“article I, section 32(a)(1)(A),” </w:t>
      </w:r>
      <w:r w:rsidR="000E021A">
        <w:t xml:space="preserve">and “article I, section 32(b).”  </w:t>
      </w:r>
    </w:p>
  </w:footnote>
  <w:footnote w:id="4">
    <w:p w:rsidR="007632E0" w:rsidRPr="007632E0" w:rsidP="00EC62EF" w14:paraId="433BBA26" w14:textId="731D2E81">
      <w:pPr>
        <w:pStyle w:val="FootnoteText"/>
      </w:pPr>
      <w:r>
        <w:rPr>
          <w:rStyle w:val="FootnoteReference"/>
        </w:rPr>
        <w:footnoteRef/>
      </w:r>
      <w:r>
        <w:t xml:space="preserve"> </w:t>
      </w:r>
      <w:r>
        <w:tab/>
        <w:t xml:space="preserve">The Department refers to early parole consideration under article I, section 32 as “nonviolent offender parole review.”  (California Department of Corrections and Rehabilitation, </w:t>
      </w:r>
      <w:r>
        <w:rPr>
          <w:i/>
          <w:iCs/>
        </w:rPr>
        <w:t>Nonviolent Offender Parole Review Process for Determinately-Sentenced Inmates</w:t>
      </w:r>
      <w:r>
        <w:t xml:space="preserve"> &lt;</w:t>
      </w:r>
      <w:r w:rsidRPr="0099517E" w:rsidR="009F6BBE">
        <w:t>https://www.cdcr.ca.gov/bph/nvopr-overview/</w:t>
      </w:r>
      <w:r w:rsidR="009F6BBE">
        <w:t>&gt; [as of Dec. 2</w:t>
      </w:r>
      <w:r w:rsidR="00F42175">
        <w:t>8</w:t>
      </w:r>
      <w:r w:rsidR="009F6BBE">
        <w:t>, 2021].)  All internet citations in this opinion are archived by year, docket number, and case name at &lt;</w:t>
      </w:r>
      <w:r w:rsidRPr="0099517E" w:rsidR="009F6BBE">
        <w:t>http://courts.ca.gov/38324.htm</w:t>
      </w:r>
      <w:r w:rsidR="009F6BBE">
        <w:t xml:space="preserve">&gt;.  </w:t>
      </w:r>
    </w:p>
  </w:footnote>
  <w:footnote w:id="5">
    <w:p w:rsidR="001130D7" w:rsidP="001130D7" w14:paraId="44CBCB59" w14:textId="77777777">
      <w:pPr>
        <w:pStyle w:val="FootnoteText"/>
      </w:pPr>
      <w:r>
        <w:rPr>
          <w:rStyle w:val="FootnoteReference"/>
        </w:rPr>
        <w:footnoteRef/>
      </w:r>
      <w:r>
        <w:t xml:space="preserve"> </w:t>
      </w:r>
      <w:r>
        <w:tab/>
        <w:t xml:space="preserve">Further undesignated references to the California Code of Regulations are to title 15 unless otherwise noted.  </w:t>
      </w:r>
    </w:p>
  </w:footnote>
  <w:footnote w:id="6">
    <w:p w:rsidR="00DC7D30" w14:paraId="30467FA0" w14:textId="4C45C932">
      <w:pPr>
        <w:pStyle w:val="FootnoteText"/>
      </w:pPr>
      <w:r>
        <w:rPr>
          <w:rStyle w:val="FootnoteReference"/>
        </w:rPr>
        <w:footnoteRef/>
      </w:r>
      <w:r>
        <w:tab/>
        <w:t>We granted review in each of th</w:t>
      </w:r>
      <w:r w:rsidR="00465FFC">
        <w:t>ose</w:t>
      </w:r>
      <w:r>
        <w:t xml:space="preserve"> four </w:t>
      </w:r>
      <w:r w:rsidR="00465FFC">
        <w:t>matters and deferred further action pending consideration and disposition</w:t>
      </w:r>
      <w:r w:rsidR="00086B31">
        <w:t xml:space="preserve"> of the issue before us in this case.</w:t>
      </w:r>
      <w:r w:rsidR="00465FFC">
        <w:t xml:space="preserve"> </w:t>
      </w:r>
      <w:r>
        <w:t>(</w:t>
      </w:r>
      <w:r>
        <w:rPr>
          <w:i/>
          <w:iCs/>
        </w:rPr>
        <w:t>In re Guice</w:t>
      </w:r>
      <w:r>
        <w:t xml:space="preserve"> (2021) 66</w:t>
      </w:r>
      <w:r w:rsidR="00767E19">
        <w:t> </w:t>
      </w:r>
      <w:r>
        <w:t>Cal.App.5th 933, 937</w:t>
      </w:r>
      <w:r w:rsidR="00934409">
        <w:t>, review granted Sept. 29, 2021, S270524</w:t>
      </w:r>
      <w:r>
        <w:t xml:space="preserve">; </w:t>
      </w:r>
      <w:r>
        <w:rPr>
          <w:i/>
          <w:iCs/>
        </w:rPr>
        <w:t>In re Ontiveros</w:t>
      </w:r>
      <w:r>
        <w:t xml:space="preserve"> (2021) 65 Cal.App.5th 899, 902–903</w:t>
      </w:r>
      <w:r w:rsidR="00934409">
        <w:t xml:space="preserve">, review granted </w:t>
      </w:r>
      <w:r w:rsidR="00597CEC">
        <w:t>Aug. 25</w:t>
      </w:r>
      <w:r w:rsidR="00AB679D">
        <w:t>, 2021, S269832</w:t>
      </w:r>
      <w:r>
        <w:t xml:space="preserve">; </w:t>
      </w:r>
      <w:r>
        <w:rPr>
          <w:i/>
          <w:iCs/>
        </w:rPr>
        <w:t>In</w:t>
      </w:r>
      <w:r>
        <w:rPr>
          <w:i/>
        </w:rPr>
        <w:t xml:space="preserve"> </w:t>
      </w:r>
      <w:r>
        <w:rPr>
          <w:i/>
          <w:iCs/>
        </w:rPr>
        <w:t xml:space="preserve">re Viehmeyer </w:t>
      </w:r>
      <w:r>
        <w:t>(2021) 62 Cal.App.5th 973, 984–985</w:t>
      </w:r>
      <w:r w:rsidR="00934409">
        <w:t xml:space="preserve">, review granted </w:t>
      </w:r>
      <w:r w:rsidR="00AB679D">
        <w:t xml:space="preserve">June </w:t>
      </w:r>
      <w:r w:rsidR="009E2391">
        <w:t>3</w:t>
      </w:r>
      <w:r w:rsidR="00AB679D">
        <w:t>0</w:t>
      </w:r>
      <w:r w:rsidR="00934409">
        <w:t xml:space="preserve">, 2021, </w:t>
      </w:r>
      <w:r w:rsidR="00AB679D">
        <w:t>S268660</w:t>
      </w:r>
      <w:r>
        <w:t xml:space="preserve">; </w:t>
      </w:r>
      <w:r>
        <w:rPr>
          <w:i/>
          <w:iCs/>
        </w:rPr>
        <w:t>In re Douglas</w:t>
      </w:r>
      <w:r>
        <w:t xml:space="preserve"> (2021) 62 Cal.App.5th 726, 729</w:t>
      </w:r>
      <w:r w:rsidR="00934409">
        <w:t xml:space="preserve">, review granted </w:t>
      </w:r>
      <w:r w:rsidR="0010369F">
        <w:t>June 16, 2021, S268570</w:t>
      </w:r>
      <w:r>
        <w:t xml:space="preserve">.)  </w:t>
      </w:r>
    </w:p>
  </w:footnote>
  <w:footnote w:id="7">
    <w:p w:rsidR="00242110" w14:paraId="4AE6767A" w14:textId="02010090">
      <w:pPr>
        <w:pStyle w:val="FootnoteText"/>
      </w:pPr>
      <w:r>
        <w:rPr>
          <w:rStyle w:val="FootnoteReference"/>
        </w:rPr>
        <w:footnoteRef/>
      </w:r>
      <w:r>
        <w:t xml:space="preserve"> </w:t>
      </w:r>
      <w:r>
        <w:tab/>
      </w:r>
      <w:r w:rsidR="007B2D7A">
        <w:t>The principal term is “the greatest term of imprisonment imposed by the court for any of the crimes, including any term imposed for applicable specific enhancements.”  (</w:t>
      </w:r>
      <w:r w:rsidR="00E84A97">
        <w:t xml:space="preserve">Pen. Code, </w:t>
      </w:r>
      <w:r w:rsidR="007B2D7A">
        <w:t xml:space="preserve">§ 1170.1, subd. (a).)  </w:t>
      </w:r>
    </w:p>
  </w:footnote>
  <w:footnote w:id="8">
    <w:p w:rsidR="008C354A" w14:paraId="419666F6" w14:textId="3FF60D42">
      <w:pPr>
        <w:pStyle w:val="FootnoteText"/>
      </w:pPr>
      <w:r>
        <w:rPr>
          <w:rStyle w:val="FootnoteReference"/>
        </w:rPr>
        <w:footnoteRef/>
      </w:r>
      <w:r>
        <w:t xml:space="preserve"> </w:t>
      </w:r>
      <w:r>
        <w:tab/>
        <w:t xml:space="preserve">This definition of </w:t>
      </w:r>
      <w:r w:rsidR="00C73E9C">
        <w:t xml:space="preserve">an individual’s “primary offense” </w:t>
      </w:r>
      <w:r w:rsidR="00B62B58">
        <w:t xml:space="preserve">for purposes of early parole consideration renders the primary offense distinct from an individual’s principal term.  </w:t>
      </w:r>
      <w:r w:rsidR="00385BB7">
        <w:t xml:space="preserve">(See art. I, </w:t>
      </w:r>
      <w:r w:rsidR="00E44DA4">
        <w:t xml:space="preserve">§ 32(a)(1).)  </w:t>
      </w:r>
      <w:r w:rsidR="00B62B58">
        <w:t xml:space="preserve">As noted above, </w:t>
      </w:r>
      <w:r w:rsidR="00016628">
        <w:t>the principal term is “the greatest term of imprisonment imposed by the court for any of the crimes, including any term imposed for applicable specific enhancements.”  (</w:t>
      </w:r>
      <w:r w:rsidR="00E44DA4">
        <w:t xml:space="preserve">Pen. Code, </w:t>
      </w:r>
      <w:r w:rsidR="00016628">
        <w:t>§ 1170.1, subd.</w:t>
      </w:r>
      <w:r w:rsidR="00767E19">
        <w:t> </w:t>
      </w:r>
      <w:r w:rsidR="00016628">
        <w:t xml:space="preserve">(a).)    </w:t>
      </w:r>
    </w:p>
  </w:footnote>
  <w:footnote w:id="9">
    <w:p w:rsidR="00820CBB" w14:paraId="76BD3706" w14:textId="5EEA5E76">
      <w:pPr>
        <w:pStyle w:val="FootnoteText"/>
      </w:pPr>
      <w:r>
        <w:rPr>
          <w:rStyle w:val="FootnoteReference"/>
        </w:rPr>
        <w:footnoteRef/>
      </w:r>
      <w:r>
        <w:t xml:space="preserve"> </w:t>
      </w:r>
      <w:r>
        <w:tab/>
        <w:t>Former section 1137</w:t>
      </w:r>
      <w:r w:rsidR="00001C7F">
        <w:t xml:space="preserve">4 </w:t>
      </w:r>
      <w:r w:rsidR="00CD3DB5">
        <w:t xml:space="preserve">of the Government Code </w:t>
      </w:r>
      <w:r w:rsidR="00001C7F">
        <w:t xml:space="preserve">was renumbered as </w:t>
      </w:r>
      <w:r w:rsidR="00CD3DB5">
        <w:t>section 11342.2.  (</w:t>
      </w:r>
      <w:r w:rsidR="00666A03">
        <w:t>Stats. 1979, c</w:t>
      </w:r>
      <w:r w:rsidR="0093771C">
        <w:t>h</w:t>
      </w:r>
      <w:r w:rsidR="00666A03">
        <w:t>. 567</w:t>
      </w:r>
      <w:r w:rsidR="0093771C">
        <w:t>, §§ 1–2</w:t>
      </w:r>
      <w:r w:rsidR="00666A03">
        <w:t>.)</w:t>
      </w:r>
    </w:p>
  </w:footnote>
  <w:footnote w:id="10">
    <w:p w:rsidR="00CD082A" w:rsidRPr="00923135" w:rsidP="00CD082A" w14:paraId="3BA8415D" w14:textId="48AD95B2">
      <w:pPr>
        <w:pStyle w:val="FootnoteText"/>
      </w:pPr>
      <w:r>
        <w:rPr>
          <w:rStyle w:val="FootnoteReference"/>
        </w:rPr>
        <w:footnoteRef/>
      </w:r>
      <w:r>
        <w:t xml:space="preserve"> </w:t>
      </w:r>
      <w:r>
        <w:tab/>
        <w:t>Another Court of Appeal reached the same conclusion, finding that the language of section 32(a)(1) “support[s] a conclusion that an inmate is eligible for early parole consideration after completing his or her primary offense if the inmate was convicted of a nonviolent offense, even if the term for that nonviolent offense was not designated as the primary offense, and even if the inmate was also convicted of one or more violent offenses .</w:t>
      </w:r>
      <w:r w:rsidR="00C25B4E">
        <w:t> </w:t>
      </w:r>
      <w:r>
        <w:t>.</w:t>
      </w:r>
      <w:r w:rsidR="00C25B4E">
        <w:t> </w:t>
      </w:r>
      <w:r>
        <w:t>. .”  (</w:t>
      </w:r>
      <w:r>
        <w:rPr>
          <w:i/>
          <w:iCs/>
        </w:rPr>
        <w:t>In re Douglas</w:t>
      </w:r>
      <w:r>
        <w:t xml:space="preserve">, </w:t>
      </w:r>
      <w:r>
        <w:rPr>
          <w:i/>
          <w:iCs/>
        </w:rPr>
        <w:t>supra</w:t>
      </w:r>
      <w:r>
        <w:t>, 62 Cal.App.5th at p. 731.)  Ultimately, however, that appellate court concluded that interpreting the initiative in such a manner would lead to absurd results not intended by the electorate and thus declined to do so.  (</w:t>
      </w:r>
      <w:r>
        <w:rPr>
          <w:i/>
          <w:iCs/>
        </w:rPr>
        <w:t>Id</w:t>
      </w:r>
      <w:r>
        <w:t xml:space="preserve">. at pp. 732–734.) </w:t>
      </w:r>
    </w:p>
  </w:footnote>
  <w:footnote w:id="11">
    <w:p w:rsidR="00886BF6" w14:paraId="0B95B9B4" w14:textId="21D16C0F">
      <w:pPr>
        <w:pStyle w:val="FootnoteText"/>
      </w:pPr>
      <w:r>
        <w:rPr>
          <w:rStyle w:val="FootnoteReference"/>
        </w:rPr>
        <w:footnoteRef/>
      </w:r>
      <w:r>
        <w:t xml:space="preserve"> </w:t>
      </w:r>
      <w:r>
        <w:tab/>
        <w:t xml:space="preserve">Petitioner </w:t>
      </w:r>
      <w:r w:rsidR="009233C5">
        <w:t xml:space="preserve">asserts this approach is </w:t>
      </w:r>
      <w:r w:rsidR="00DD5555">
        <w:t>consistent with the approach adopted by</w:t>
      </w:r>
      <w:r w:rsidR="00856FE0">
        <w:t xml:space="preserve"> the Court of Appeal</w:t>
      </w:r>
      <w:r w:rsidR="00DD5555">
        <w:t xml:space="preserve"> </w:t>
      </w:r>
      <w:r w:rsidR="00856FE0">
        <w:t>below</w:t>
      </w:r>
      <w:r w:rsidR="009D21DE">
        <w:t xml:space="preserve">.  </w:t>
      </w:r>
      <w:r w:rsidR="00007B66">
        <w:t>We disagree</w:t>
      </w:r>
      <w:r w:rsidR="009D21DE">
        <w:t>.</w:t>
      </w:r>
      <w:r w:rsidR="006C2152">
        <w:t xml:space="preserve">  </w:t>
      </w:r>
      <w:r w:rsidRPr="006C2152" w:rsidR="006C2152">
        <w:t>Although the court’s discussion took place in the context of evaluating petitioner’s eligibility for early parole consideration (and petitioner’s primary offense was a nonviolent felony), no language in the Court of Appeal’s opinion limited its holding to inmates whose primary offense was a nonviolent felony.  Indeed, the Court of Appeal’s language was quite broad:  “under [article</w:t>
      </w:r>
      <w:r w:rsidR="00090FF3">
        <w:t> </w:t>
      </w:r>
      <w:r w:rsidRPr="006C2152" w:rsidR="006C2152">
        <w:t>I, section 32(a) and article I, section 32(a)(1)(A)], an inmate who is serving an aggregate sentence for more than one conviction will be eligible for an early parole hearing if one of those convictions was for ‘a’ nonviolent felony offense.”  (</w:t>
      </w:r>
      <w:r w:rsidRPr="006C2152" w:rsidR="006C2152">
        <w:rPr>
          <w:i/>
          <w:iCs/>
        </w:rPr>
        <w:t>Mohammad</w:t>
      </w:r>
      <w:r w:rsidRPr="006C2152" w:rsidR="006C2152">
        <w:t xml:space="preserve">, </w:t>
      </w:r>
      <w:r w:rsidRPr="006C2152" w:rsidR="006C2152">
        <w:rPr>
          <w:i/>
          <w:iCs/>
        </w:rPr>
        <w:t>supra</w:t>
      </w:r>
      <w:r w:rsidRPr="006C2152" w:rsidR="006C2152">
        <w:t>, 42 Cal.App.5th at p. 726.)</w:t>
      </w:r>
    </w:p>
  </w:footnote>
  <w:footnote w:id="12">
    <w:p w:rsidR="00B110D9" w:rsidP="00B110D9" w14:paraId="11495284" w14:textId="6435E0F8">
      <w:pPr>
        <w:pStyle w:val="FootnoteText"/>
      </w:pPr>
      <w:r>
        <w:rPr>
          <w:rStyle w:val="FootnoteReference"/>
        </w:rPr>
        <w:footnoteRef/>
      </w:r>
      <w:r>
        <w:t xml:space="preserve"> </w:t>
      </w:r>
      <w:r>
        <w:tab/>
        <w:t xml:space="preserve">The Arguments included an argument in favor </w:t>
      </w:r>
      <w:r w:rsidR="00402596">
        <w:t xml:space="preserve">of the initiative </w:t>
      </w:r>
      <w:r>
        <w:t xml:space="preserve">by the proponents followed by a rebuttal by the opponents, and an argument against </w:t>
      </w:r>
      <w:r w:rsidR="00402596">
        <w:t xml:space="preserve">the initiative </w:t>
      </w:r>
      <w:r>
        <w:t xml:space="preserve">by the opponents followed by a rebuttal by the proponents.  </w:t>
      </w:r>
    </w:p>
  </w:footnote>
  <w:footnote w:id="13">
    <w:p w:rsidR="00A94C7A" w:rsidP="00EE733D" w14:paraId="3FDF0CCD" w14:textId="363CDA47">
      <w:pPr>
        <w:pStyle w:val="FootnoteText"/>
        <w:spacing w:after="120"/>
      </w:pPr>
      <w:r>
        <w:rPr>
          <w:rStyle w:val="FootnoteReference"/>
        </w:rPr>
        <w:footnoteRef/>
      </w:r>
      <w:r>
        <w:t xml:space="preserve"> </w:t>
      </w:r>
      <w:r>
        <w:tab/>
        <w:t xml:space="preserve">In its briefing before this court, the Department also asserted that the number of inmates </w:t>
      </w:r>
      <w:r w:rsidR="00844C92">
        <w:t>eligible for early parole consideration under the Court of Appeal’s approach</w:t>
      </w:r>
      <w:r w:rsidR="000C5747">
        <w:t> </w:t>
      </w:r>
      <w:r w:rsidR="00844C92">
        <w:t>— inmates convicted only of nonviolent felonies and inmates convicted of both nonviolent and violent felonies</w:t>
      </w:r>
      <w:r w:rsidR="00B20E5A">
        <w:t> </w:t>
      </w:r>
      <w:r w:rsidR="00A77F9D">
        <w:t>— constituted approximately 96 percent of the prison population in 2019</w:t>
      </w:r>
      <w:r>
        <w:t xml:space="preserve">.  </w:t>
      </w:r>
      <w:r w:rsidR="006512FF">
        <w:t>The Department contrasted this number with the Legislative Analyst’s estimate that 30,000 inmates would receive early parole consideration</w:t>
      </w:r>
      <w:r w:rsidR="00CB043A">
        <w:t xml:space="preserve"> under the initiative.  </w:t>
      </w:r>
    </w:p>
    <w:p w:rsidR="00EE733D" w:rsidP="00A94C7A" w14:paraId="6602CEDE" w14:textId="3A0CB18A">
      <w:pPr>
        <w:pStyle w:val="FootnoteText"/>
        <w:spacing w:after="120"/>
        <w:ind w:firstLine="720"/>
      </w:pPr>
      <w:r>
        <w:t>Prior to oral argument,</w:t>
      </w:r>
      <w:r w:rsidR="00A94C7A">
        <w:t xml:space="preserve"> however,</w:t>
      </w:r>
      <w:r>
        <w:t xml:space="preserve"> the Department </w:t>
      </w:r>
      <w:r w:rsidR="00EC7004">
        <w:t xml:space="preserve">discovered its statistics were erroneous and </w:t>
      </w:r>
      <w:r>
        <w:t xml:space="preserve">withdrew its </w:t>
      </w:r>
      <w:r w:rsidR="004D00F2">
        <w:t>arguments related to those statistics</w:t>
      </w:r>
      <w:r>
        <w:t>.</w:t>
      </w:r>
      <w:r w:rsidR="00A94C7A">
        <w:t xml:space="preserve">  </w:t>
      </w:r>
      <w:r>
        <w:t>Following oral argument, the Department submitted additional data</w:t>
      </w:r>
      <w:r w:rsidR="004D00F2">
        <w:t xml:space="preserve"> regarding the inmate population but did not purport to rely on the new data or </w:t>
      </w:r>
      <w:r w:rsidR="0012554A">
        <w:t xml:space="preserve">to </w:t>
      </w:r>
      <w:r w:rsidR="004D00F2">
        <w:t>otherwise reassert its original argument</w:t>
      </w:r>
      <w:r>
        <w:t xml:space="preserve">.  Although such </w:t>
      </w:r>
      <w:r w:rsidR="0012554A">
        <w:t>dat</w:t>
      </w:r>
      <w:r w:rsidR="00E01CB6">
        <w:t>a</w:t>
      </w:r>
      <w:r>
        <w:t xml:space="preserve"> may be relevant to interpreting the voters’ intent in some contexts, we decline to consider it here</w:t>
      </w:r>
      <w:r w:rsidR="0012554A">
        <w:t xml:space="preserve"> given the Attorney General’s </w:t>
      </w:r>
      <w:r w:rsidR="0047730A">
        <w:t xml:space="preserve">withdrawal of </w:t>
      </w:r>
      <w:r w:rsidR="008462C1">
        <w:t>the</w:t>
      </w:r>
      <w:r w:rsidR="0047730A">
        <w:t xml:space="preserve"> argument on this point</w:t>
      </w:r>
      <w:r>
        <w:t>.</w:t>
      </w:r>
    </w:p>
  </w:footnote>
  <w:footnote w:id="14">
    <w:p w:rsidR="00BD1353" w:rsidRPr="00BD1353" w14:paraId="60225C0E" w14:textId="242EEE6A">
      <w:pPr>
        <w:pStyle w:val="FootnoteText"/>
      </w:pPr>
      <w:r>
        <w:rPr>
          <w:rStyle w:val="FootnoteReference"/>
        </w:rPr>
        <w:footnoteRef/>
      </w:r>
      <w:r>
        <w:t xml:space="preserve"> </w:t>
      </w:r>
      <w:r>
        <w:tab/>
        <w:t xml:space="preserve">In light of this conclusion, we </w:t>
      </w:r>
      <w:r w:rsidR="006205AF">
        <w:t>do</w:t>
      </w:r>
      <w:r>
        <w:t xml:space="preserve"> not address the Department’s position that article I, section 32 </w:t>
      </w:r>
      <w:r w:rsidRPr="00FC2C0F">
        <w:t>compels</w:t>
      </w:r>
      <w:r>
        <w:t xml:space="preserve"> </w:t>
      </w:r>
      <w:r w:rsidR="00FC2C0F">
        <w:t>the approach the Department adopted in its regulations.</w:t>
      </w:r>
      <w:r>
        <w:t xml:space="preserve"> </w:t>
      </w:r>
    </w:p>
  </w:footnote>
  <w:footnote w:id="15">
    <w:p w:rsidR="003534C5" w:rsidRPr="00F25CA5" w14:paraId="43DD8938" w14:textId="0B7EF95C">
      <w:pPr>
        <w:pStyle w:val="FootnoteText"/>
        <w:rPr>
          <w:iCs/>
        </w:rPr>
      </w:pPr>
      <w:r>
        <w:rPr>
          <w:rStyle w:val="FootnoteReference"/>
        </w:rPr>
        <w:footnoteRef/>
      </w:r>
      <w:r>
        <w:t xml:space="preserve"> </w:t>
      </w:r>
      <w:r>
        <w:tab/>
        <w:t xml:space="preserve">The concurring opinion in </w:t>
      </w:r>
      <w:r>
        <w:rPr>
          <w:i/>
          <w:iCs/>
        </w:rPr>
        <w:t>Douglas</w:t>
      </w:r>
      <w:r>
        <w:t xml:space="preserve"> agreed that the petitioner there was “still serving a sentence for a violent felony offense” and thus was ineligible for early parole consideration at the time he sought it.  (</w:t>
      </w:r>
      <w:r>
        <w:rPr>
          <w:i/>
          <w:iCs/>
        </w:rPr>
        <w:t>Douglas</w:t>
      </w:r>
      <w:r>
        <w:t xml:space="preserve">, </w:t>
      </w:r>
      <w:r>
        <w:rPr>
          <w:i/>
          <w:iCs/>
        </w:rPr>
        <w:t>supra</w:t>
      </w:r>
      <w:r>
        <w:t xml:space="preserve">, </w:t>
      </w:r>
      <w:r w:rsidR="00696821">
        <w:t xml:space="preserve">62 Cal.App.5th at p. 739 (conc. opn. of Robie, </w:t>
      </w:r>
      <w:r w:rsidR="00767B68">
        <w:t>Acting P.</w:t>
      </w:r>
      <w:r w:rsidR="00FD06C6">
        <w:t xml:space="preserve"> </w:t>
      </w:r>
      <w:r w:rsidR="00696821">
        <w:t>J.).)  The concurring opinion further asserted that article I, section 32(a)(1)(A) required the court to “break an inmate’s sentence into its component parts for the purpose of determining whether that inmate has served his or her primary offense, making the particular</w:t>
      </w:r>
      <w:r w:rsidR="00967637">
        <w:t xml:space="preserve"> sequence in which an inmate serves his or her violent offense a meaningful abstraction.”  (</w:t>
      </w:r>
      <w:r w:rsidR="00967637">
        <w:rPr>
          <w:i/>
          <w:iCs/>
        </w:rPr>
        <w:t>Id</w:t>
      </w:r>
      <w:r w:rsidR="00967637">
        <w:t>. at p. </w:t>
      </w:r>
      <w:r w:rsidR="00F25CA5">
        <w:t xml:space="preserve">738.)  Because petitioner here does not contest that he is currently serving a term of incarceration for a violent felony, we are not presented with the issue of whether article I, section 32 requires us to break an inmate’s sentence into its component parts.  We express no view on that issue or on the approach adopted by the concurring opinion in </w:t>
      </w:r>
      <w:r w:rsidR="00F25CA5">
        <w:rPr>
          <w:i/>
        </w:rPr>
        <w:t>Douglas</w:t>
      </w:r>
      <w:r w:rsidR="00F25CA5">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675" w14:paraId="363C21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3F1" w14:paraId="7E8A00D4" w14:textId="33E6A2BC">
    <w:pPr>
      <w:pStyle w:val="Header"/>
    </w:pPr>
    <w:r>
      <w:t xml:space="preserve">In re </w:t>
    </w:r>
    <w:r w:rsidR="00BB0601">
      <w:t>MOHAMMAD</w:t>
    </w:r>
    <w:r>
      <w:t xml:space="preserve"> </w:t>
    </w:r>
  </w:p>
  <w:p w:rsidR="00F273F1" w14:paraId="31C34613" w14:textId="3996DE39">
    <w:pPr>
      <w:pStyle w:val="Header"/>
    </w:pPr>
    <w:r>
      <w:t>Opinion of the Court by Cantil-Sakauye, C. J.</w:t>
    </w:r>
  </w:p>
  <w:p w:rsidR="00F273F1" w14:paraId="6BD812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675" w14:paraId="7D273D8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66" w14:paraId="71140767" w14:textId="77777777">
    <w:pPr>
      <w:pStyle w:val="Header"/>
    </w:pPr>
    <w:bookmarkStart w:id="6" w:name="_Hlk88470611"/>
    <w:r>
      <w:t xml:space="preserve">In re MOHAMMAD </w:t>
    </w:r>
  </w:p>
  <w:p w:rsidR="001B0066" w14:paraId="286CEB1D" w14:textId="77777777">
    <w:pPr>
      <w:pStyle w:val="Header"/>
    </w:pPr>
    <w:r>
      <w:t>Opinion of the Court by Cantil-Sakauye, C. J.</w:t>
    </w:r>
    <w:bookmarkEnd w:id="6"/>
  </w:p>
  <w:p w:rsidR="001B0066" w14:paraId="7584723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8DB" w14:paraId="6CEB191D" w14:textId="77777777">
    <w:pPr>
      <w:pStyle w:val="Header"/>
    </w:pPr>
    <w:r>
      <w:t xml:space="preserve">In re MOHAMMAD </w:t>
    </w:r>
  </w:p>
  <w:p w:rsidR="004558DB" w14:paraId="122F69B2" w14:textId="65055490">
    <w:pPr>
      <w:pStyle w:val="Header"/>
    </w:pPr>
    <w:r>
      <w:t>Liu, J., concurring</w:t>
    </w:r>
  </w:p>
  <w:p w:rsidR="004558DB" w14:paraId="3FF6846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CB7" w:rsidRPr="004D2CB7" w:rsidP="004D2CB7" w14:paraId="6CFEC5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F6E63"/>
    <w:multiLevelType w:val="hybridMultilevel"/>
    <w:tmpl w:val="470609A0"/>
    <w:lvl w:ilvl="0">
      <w:start w:val="0"/>
      <w:numFmt w:val="bullet"/>
      <w:lvlText w:val="-"/>
      <w:lvlJc w:val="left"/>
      <w:pPr>
        <w:ind w:left="1080" w:hanging="360"/>
      </w:pPr>
      <w:rPr>
        <w:rFonts w:ascii="Times New Roman" w:eastAsia="Times New Roman" w:hAnsi="Times New Roman" w:cs="Times New Roman" w:hint="default"/>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E7658E"/>
    <w:multiLevelType w:val="hybridMultilevel"/>
    <w:tmpl w:val="3FB8E7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6D66229"/>
    <w:multiLevelType w:val="hybridMultilevel"/>
    <w:tmpl w:val="B52E40C6"/>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A97EFA"/>
    <w:multiLevelType w:val="hybridMultilevel"/>
    <w:tmpl w:val="D8A6F584"/>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08850970"/>
    <w:multiLevelType w:val="hybridMultilevel"/>
    <w:tmpl w:val="09AC90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CDD23F0"/>
    <w:multiLevelType w:val="hybridMultilevel"/>
    <w:tmpl w:val="042EA7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F3B3EFF"/>
    <w:multiLevelType w:val="hybridMultilevel"/>
    <w:tmpl w:val="5B96ED1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7FF2ED6"/>
    <w:multiLevelType w:val="hybridMultilevel"/>
    <w:tmpl w:val="17427C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24567D"/>
    <w:multiLevelType w:val="hybridMultilevel"/>
    <w:tmpl w:val="CD0A7D4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A5246B0"/>
    <w:multiLevelType w:val="hybridMultilevel"/>
    <w:tmpl w:val="A8EC187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AF83461"/>
    <w:multiLevelType w:val="hybridMultilevel"/>
    <w:tmpl w:val="F8FA4FB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1">
    <w:nsid w:val="3486499F"/>
    <w:multiLevelType w:val="hybridMultilevel"/>
    <w:tmpl w:val="96B4004C"/>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7D403F1"/>
    <w:multiLevelType w:val="hybridMultilevel"/>
    <w:tmpl w:val="3FB8E7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ADA7663"/>
    <w:multiLevelType w:val="hybridMultilevel"/>
    <w:tmpl w:val="3998D04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5D374F2"/>
    <w:multiLevelType w:val="hybridMultilevel"/>
    <w:tmpl w:val="63682A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6F32957"/>
    <w:multiLevelType w:val="hybridMultilevel"/>
    <w:tmpl w:val="F7C28E8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B315E39"/>
    <w:multiLevelType w:val="hybridMultilevel"/>
    <w:tmpl w:val="7CD20AA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D0B745B"/>
    <w:multiLevelType w:val="hybridMultilevel"/>
    <w:tmpl w:val="B85C1C9E"/>
    <w:lvl w:ilvl="0">
      <w:start w:val="3"/>
      <w:numFmt w:val="upperLetter"/>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74B6CD3"/>
    <w:multiLevelType w:val="hybridMultilevel"/>
    <w:tmpl w:val="893E82C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CA7B31"/>
    <w:multiLevelType w:val="hybridMultilevel"/>
    <w:tmpl w:val="A31007F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D343608"/>
    <w:multiLevelType w:val="hybridMultilevel"/>
    <w:tmpl w:val="D3A2AA7E"/>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FED1AFE"/>
    <w:multiLevelType w:val="hybridMultilevel"/>
    <w:tmpl w:val="1B388D6A"/>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22">
    <w:nsid w:val="733F75C0"/>
    <w:multiLevelType w:val="hybridMultilevel"/>
    <w:tmpl w:val="23E8C68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13"/>
  </w:num>
  <w:num w:numId="2">
    <w:abstractNumId w:val="0"/>
  </w:num>
  <w:num w:numId="3">
    <w:abstractNumId w:val="16"/>
  </w:num>
  <w:num w:numId="4">
    <w:abstractNumId w:val="5"/>
  </w:num>
  <w:num w:numId="5">
    <w:abstractNumId w:val="14"/>
  </w:num>
  <w:num w:numId="6">
    <w:abstractNumId w:val="8"/>
  </w:num>
  <w:num w:numId="7">
    <w:abstractNumId w:val="18"/>
  </w:num>
  <w:num w:numId="8">
    <w:abstractNumId w:val="3"/>
  </w:num>
  <w:num w:numId="9">
    <w:abstractNumId w:val="22"/>
  </w:num>
  <w:num w:numId="10">
    <w:abstractNumId w:val="2"/>
  </w:num>
  <w:num w:numId="11">
    <w:abstractNumId w:val="17"/>
  </w:num>
  <w:num w:numId="12">
    <w:abstractNumId w:val="4"/>
  </w:num>
  <w:num w:numId="13">
    <w:abstractNumId w:val="9"/>
  </w:num>
  <w:num w:numId="14">
    <w:abstractNumId w:val="10"/>
  </w:num>
  <w:num w:numId="15">
    <w:abstractNumId w:val="21"/>
  </w:num>
  <w:num w:numId="16">
    <w:abstractNumId w:val="7"/>
  </w:num>
  <w:num w:numId="17">
    <w:abstractNumId w:val="11"/>
  </w:num>
  <w:num w:numId="18">
    <w:abstractNumId w:val="1"/>
  </w:num>
  <w:num w:numId="19">
    <w:abstractNumId w:val="20"/>
  </w:num>
  <w:num w:numId="20">
    <w:abstractNumId w:val="6"/>
  </w:num>
  <w:num w:numId="21">
    <w:abstractNumId w:val="15"/>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59"/>
    <w:rsid w:val="000000CF"/>
    <w:rsid w:val="000005AB"/>
    <w:rsid w:val="00000A2B"/>
    <w:rsid w:val="00000B73"/>
    <w:rsid w:val="00001C7F"/>
    <w:rsid w:val="00003FF2"/>
    <w:rsid w:val="000045C2"/>
    <w:rsid w:val="00004B36"/>
    <w:rsid w:val="000064D2"/>
    <w:rsid w:val="000065EB"/>
    <w:rsid w:val="00007AC6"/>
    <w:rsid w:val="00007B66"/>
    <w:rsid w:val="00007C3C"/>
    <w:rsid w:val="00007E69"/>
    <w:rsid w:val="00010C9A"/>
    <w:rsid w:val="00010F0E"/>
    <w:rsid w:val="00010FB5"/>
    <w:rsid w:val="00011076"/>
    <w:rsid w:val="000118BD"/>
    <w:rsid w:val="0001248C"/>
    <w:rsid w:val="00012733"/>
    <w:rsid w:val="00012EFB"/>
    <w:rsid w:val="00013478"/>
    <w:rsid w:val="00013E68"/>
    <w:rsid w:val="000149AC"/>
    <w:rsid w:val="00014E4B"/>
    <w:rsid w:val="0001558C"/>
    <w:rsid w:val="00016628"/>
    <w:rsid w:val="00016CB6"/>
    <w:rsid w:val="00017060"/>
    <w:rsid w:val="00017C7F"/>
    <w:rsid w:val="000205E5"/>
    <w:rsid w:val="00020EAC"/>
    <w:rsid w:val="000214F2"/>
    <w:rsid w:val="000214FC"/>
    <w:rsid w:val="00021742"/>
    <w:rsid w:val="00022416"/>
    <w:rsid w:val="00022B24"/>
    <w:rsid w:val="00023926"/>
    <w:rsid w:val="00023AFD"/>
    <w:rsid w:val="00023DB2"/>
    <w:rsid w:val="00024310"/>
    <w:rsid w:val="00025681"/>
    <w:rsid w:val="00025BD2"/>
    <w:rsid w:val="00026F8F"/>
    <w:rsid w:val="0003057A"/>
    <w:rsid w:val="00030CD7"/>
    <w:rsid w:val="0003130A"/>
    <w:rsid w:val="0003163D"/>
    <w:rsid w:val="000316C8"/>
    <w:rsid w:val="00031C0A"/>
    <w:rsid w:val="00032225"/>
    <w:rsid w:val="00033AFB"/>
    <w:rsid w:val="000345A1"/>
    <w:rsid w:val="00034D5F"/>
    <w:rsid w:val="000358A9"/>
    <w:rsid w:val="00035985"/>
    <w:rsid w:val="00035BEC"/>
    <w:rsid w:val="000365CE"/>
    <w:rsid w:val="00036854"/>
    <w:rsid w:val="00037E5C"/>
    <w:rsid w:val="00040246"/>
    <w:rsid w:val="000404E8"/>
    <w:rsid w:val="00041236"/>
    <w:rsid w:val="000413C3"/>
    <w:rsid w:val="0004158D"/>
    <w:rsid w:val="00041CAB"/>
    <w:rsid w:val="000431C2"/>
    <w:rsid w:val="00043D91"/>
    <w:rsid w:val="00044A34"/>
    <w:rsid w:val="00044C32"/>
    <w:rsid w:val="0004510F"/>
    <w:rsid w:val="000457DC"/>
    <w:rsid w:val="000462FC"/>
    <w:rsid w:val="00046B2B"/>
    <w:rsid w:val="00046D15"/>
    <w:rsid w:val="000471E1"/>
    <w:rsid w:val="00050FCE"/>
    <w:rsid w:val="000514C6"/>
    <w:rsid w:val="0005193A"/>
    <w:rsid w:val="00052DA6"/>
    <w:rsid w:val="00054106"/>
    <w:rsid w:val="000546EF"/>
    <w:rsid w:val="000547D9"/>
    <w:rsid w:val="00054F96"/>
    <w:rsid w:val="000550FD"/>
    <w:rsid w:val="00055566"/>
    <w:rsid w:val="0005656C"/>
    <w:rsid w:val="00056986"/>
    <w:rsid w:val="00056E0E"/>
    <w:rsid w:val="00057787"/>
    <w:rsid w:val="0005779C"/>
    <w:rsid w:val="00057C7F"/>
    <w:rsid w:val="00060081"/>
    <w:rsid w:val="00060219"/>
    <w:rsid w:val="0006081F"/>
    <w:rsid w:val="00060948"/>
    <w:rsid w:val="00060E81"/>
    <w:rsid w:val="000612E2"/>
    <w:rsid w:val="00061AFB"/>
    <w:rsid w:val="00062521"/>
    <w:rsid w:val="00062580"/>
    <w:rsid w:val="000629A7"/>
    <w:rsid w:val="000629B0"/>
    <w:rsid w:val="0006321C"/>
    <w:rsid w:val="00063AC5"/>
    <w:rsid w:val="00063D09"/>
    <w:rsid w:val="00064129"/>
    <w:rsid w:val="000641C4"/>
    <w:rsid w:val="000646B8"/>
    <w:rsid w:val="000651E7"/>
    <w:rsid w:val="00065377"/>
    <w:rsid w:val="0006539B"/>
    <w:rsid w:val="00065A1D"/>
    <w:rsid w:val="0006686A"/>
    <w:rsid w:val="00066E93"/>
    <w:rsid w:val="00067239"/>
    <w:rsid w:val="00067437"/>
    <w:rsid w:val="00067C78"/>
    <w:rsid w:val="00070CB9"/>
    <w:rsid w:val="00070D1F"/>
    <w:rsid w:val="00071157"/>
    <w:rsid w:val="00071D0E"/>
    <w:rsid w:val="000728DB"/>
    <w:rsid w:val="00073DBD"/>
    <w:rsid w:val="00073F3A"/>
    <w:rsid w:val="00074D8C"/>
    <w:rsid w:val="0007564F"/>
    <w:rsid w:val="000756E5"/>
    <w:rsid w:val="000764CB"/>
    <w:rsid w:val="000765FA"/>
    <w:rsid w:val="00076843"/>
    <w:rsid w:val="00076F57"/>
    <w:rsid w:val="000774A7"/>
    <w:rsid w:val="000778FD"/>
    <w:rsid w:val="00077BF7"/>
    <w:rsid w:val="00077D9C"/>
    <w:rsid w:val="00080A26"/>
    <w:rsid w:val="00080EF0"/>
    <w:rsid w:val="00081D2A"/>
    <w:rsid w:val="00082C43"/>
    <w:rsid w:val="00083130"/>
    <w:rsid w:val="00083600"/>
    <w:rsid w:val="0008399C"/>
    <w:rsid w:val="000842B3"/>
    <w:rsid w:val="00084C79"/>
    <w:rsid w:val="0008548C"/>
    <w:rsid w:val="00085831"/>
    <w:rsid w:val="00085FBB"/>
    <w:rsid w:val="000860A8"/>
    <w:rsid w:val="00086B31"/>
    <w:rsid w:val="00086C6C"/>
    <w:rsid w:val="0008708A"/>
    <w:rsid w:val="00087C1A"/>
    <w:rsid w:val="000904A6"/>
    <w:rsid w:val="00090FF3"/>
    <w:rsid w:val="00091624"/>
    <w:rsid w:val="00091AAD"/>
    <w:rsid w:val="00092196"/>
    <w:rsid w:val="000927AE"/>
    <w:rsid w:val="000927C5"/>
    <w:rsid w:val="0009333F"/>
    <w:rsid w:val="000953B0"/>
    <w:rsid w:val="0009573D"/>
    <w:rsid w:val="00095884"/>
    <w:rsid w:val="00095C6F"/>
    <w:rsid w:val="0009604B"/>
    <w:rsid w:val="00096715"/>
    <w:rsid w:val="000A0223"/>
    <w:rsid w:val="000A0255"/>
    <w:rsid w:val="000A085E"/>
    <w:rsid w:val="000A09FB"/>
    <w:rsid w:val="000A12A5"/>
    <w:rsid w:val="000A28D6"/>
    <w:rsid w:val="000A2F81"/>
    <w:rsid w:val="000A34C8"/>
    <w:rsid w:val="000A44EE"/>
    <w:rsid w:val="000A4987"/>
    <w:rsid w:val="000A4EEC"/>
    <w:rsid w:val="000A5834"/>
    <w:rsid w:val="000A5A47"/>
    <w:rsid w:val="000A5BCD"/>
    <w:rsid w:val="000A5ED9"/>
    <w:rsid w:val="000A5FC0"/>
    <w:rsid w:val="000A605B"/>
    <w:rsid w:val="000A62A8"/>
    <w:rsid w:val="000A63E3"/>
    <w:rsid w:val="000A65AC"/>
    <w:rsid w:val="000A6AC5"/>
    <w:rsid w:val="000A6E7D"/>
    <w:rsid w:val="000A7564"/>
    <w:rsid w:val="000A7787"/>
    <w:rsid w:val="000A7A97"/>
    <w:rsid w:val="000A7F1A"/>
    <w:rsid w:val="000B0215"/>
    <w:rsid w:val="000B079F"/>
    <w:rsid w:val="000B0F92"/>
    <w:rsid w:val="000B1212"/>
    <w:rsid w:val="000B1A13"/>
    <w:rsid w:val="000B1A94"/>
    <w:rsid w:val="000B1E3C"/>
    <w:rsid w:val="000B2395"/>
    <w:rsid w:val="000B2995"/>
    <w:rsid w:val="000B2F53"/>
    <w:rsid w:val="000B3A29"/>
    <w:rsid w:val="000B3DCA"/>
    <w:rsid w:val="000B477D"/>
    <w:rsid w:val="000B47FA"/>
    <w:rsid w:val="000B4FE6"/>
    <w:rsid w:val="000B542A"/>
    <w:rsid w:val="000B5987"/>
    <w:rsid w:val="000B5B1A"/>
    <w:rsid w:val="000B5E75"/>
    <w:rsid w:val="000B7628"/>
    <w:rsid w:val="000B78BF"/>
    <w:rsid w:val="000C099C"/>
    <w:rsid w:val="000C0C1D"/>
    <w:rsid w:val="000C0EDB"/>
    <w:rsid w:val="000C0FA6"/>
    <w:rsid w:val="000C15F2"/>
    <w:rsid w:val="000C1617"/>
    <w:rsid w:val="000C176B"/>
    <w:rsid w:val="000C198B"/>
    <w:rsid w:val="000C20A3"/>
    <w:rsid w:val="000C28BC"/>
    <w:rsid w:val="000C3147"/>
    <w:rsid w:val="000C33F9"/>
    <w:rsid w:val="000C3A46"/>
    <w:rsid w:val="000C3AC2"/>
    <w:rsid w:val="000C43B8"/>
    <w:rsid w:val="000C4B85"/>
    <w:rsid w:val="000C505E"/>
    <w:rsid w:val="000C5108"/>
    <w:rsid w:val="000C5747"/>
    <w:rsid w:val="000C5D53"/>
    <w:rsid w:val="000C6163"/>
    <w:rsid w:val="000C6E28"/>
    <w:rsid w:val="000C7411"/>
    <w:rsid w:val="000C7764"/>
    <w:rsid w:val="000D0AC6"/>
    <w:rsid w:val="000D183F"/>
    <w:rsid w:val="000D18CF"/>
    <w:rsid w:val="000D19D7"/>
    <w:rsid w:val="000D1F50"/>
    <w:rsid w:val="000D238B"/>
    <w:rsid w:val="000D31B2"/>
    <w:rsid w:val="000D3235"/>
    <w:rsid w:val="000D32B7"/>
    <w:rsid w:val="000D4178"/>
    <w:rsid w:val="000D42CF"/>
    <w:rsid w:val="000D49C2"/>
    <w:rsid w:val="000D4D71"/>
    <w:rsid w:val="000D52AC"/>
    <w:rsid w:val="000D551D"/>
    <w:rsid w:val="000D5ACA"/>
    <w:rsid w:val="000D5B42"/>
    <w:rsid w:val="000D68CC"/>
    <w:rsid w:val="000D7631"/>
    <w:rsid w:val="000D769C"/>
    <w:rsid w:val="000D7BC4"/>
    <w:rsid w:val="000E021A"/>
    <w:rsid w:val="000E0655"/>
    <w:rsid w:val="000E0D0C"/>
    <w:rsid w:val="000E0E02"/>
    <w:rsid w:val="000E23E1"/>
    <w:rsid w:val="000E3A61"/>
    <w:rsid w:val="000E3FD8"/>
    <w:rsid w:val="000E4283"/>
    <w:rsid w:val="000E4FB2"/>
    <w:rsid w:val="000E4FDC"/>
    <w:rsid w:val="000E58A6"/>
    <w:rsid w:val="000E58B0"/>
    <w:rsid w:val="000E5C78"/>
    <w:rsid w:val="000E6269"/>
    <w:rsid w:val="000E66C6"/>
    <w:rsid w:val="000E6989"/>
    <w:rsid w:val="000E6B58"/>
    <w:rsid w:val="000E6C62"/>
    <w:rsid w:val="000E784B"/>
    <w:rsid w:val="000F0245"/>
    <w:rsid w:val="000F054A"/>
    <w:rsid w:val="000F08F6"/>
    <w:rsid w:val="000F0A87"/>
    <w:rsid w:val="000F1C51"/>
    <w:rsid w:val="000F2270"/>
    <w:rsid w:val="000F2A57"/>
    <w:rsid w:val="000F3750"/>
    <w:rsid w:val="000F4223"/>
    <w:rsid w:val="000F47CA"/>
    <w:rsid w:val="000F56EE"/>
    <w:rsid w:val="000F5C70"/>
    <w:rsid w:val="000F60D3"/>
    <w:rsid w:val="000F693C"/>
    <w:rsid w:val="000F6DD3"/>
    <w:rsid w:val="000F7684"/>
    <w:rsid w:val="0010010F"/>
    <w:rsid w:val="00100879"/>
    <w:rsid w:val="001009B9"/>
    <w:rsid w:val="00100E5A"/>
    <w:rsid w:val="0010118C"/>
    <w:rsid w:val="00101242"/>
    <w:rsid w:val="001016CE"/>
    <w:rsid w:val="001028AA"/>
    <w:rsid w:val="00103090"/>
    <w:rsid w:val="0010369F"/>
    <w:rsid w:val="001039E4"/>
    <w:rsid w:val="00103E9B"/>
    <w:rsid w:val="00103F7C"/>
    <w:rsid w:val="00103FEC"/>
    <w:rsid w:val="001043B1"/>
    <w:rsid w:val="00104409"/>
    <w:rsid w:val="00104692"/>
    <w:rsid w:val="00105130"/>
    <w:rsid w:val="001072CE"/>
    <w:rsid w:val="00107525"/>
    <w:rsid w:val="00107634"/>
    <w:rsid w:val="001106BA"/>
    <w:rsid w:val="00110A0B"/>
    <w:rsid w:val="0011113C"/>
    <w:rsid w:val="00111444"/>
    <w:rsid w:val="0011156D"/>
    <w:rsid w:val="00111D21"/>
    <w:rsid w:val="001130B2"/>
    <w:rsid w:val="001130D7"/>
    <w:rsid w:val="00113D53"/>
    <w:rsid w:val="00114395"/>
    <w:rsid w:val="001146AA"/>
    <w:rsid w:val="001147EC"/>
    <w:rsid w:val="00114F08"/>
    <w:rsid w:val="0011503A"/>
    <w:rsid w:val="00115069"/>
    <w:rsid w:val="001158DD"/>
    <w:rsid w:val="00115A78"/>
    <w:rsid w:val="001206EA"/>
    <w:rsid w:val="0012082D"/>
    <w:rsid w:val="0012084A"/>
    <w:rsid w:val="001208E4"/>
    <w:rsid w:val="00120E63"/>
    <w:rsid w:val="00120ED1"/>
    <w:rsid w:val="00121ECF"/>
    <w:rsid w:val="00121FFD"/>
    <w:rsid w:val="001221BA"/>
    <w:rsid w:val="001228F7"/>
    <w:rsid w:val="00122B57"/>
    <w:rsid w:val="001236FF"/>
    <w:rsid w:val="00123920"/>
    <w:rsid w:val="00124811"/>
    <w:rsid w:val="001249ED"/>
    <w:rsid w:val="00124FEF"/>
    <w:rsid w:val="0012554A"/>
    <w:rsid w:val="001259B5"/>
    <w:rsid w:val="00125DDB"/>
    <w:rsid w:val="00125F21"/>
    <w:rsid w:val="001264DC"/>
    <w:rsid w:val="00127085"/>
    <w:rsid w:val="001302AA"/>
    <w:rsid w:val="0013042B"/>
    <w:rsid w:val="00130E96"/>
    <w:rsid w:val="0013162E"/>
    <w:rsid w:val="001316B3"/>
    <w:rsid w:val="00132270"/>
    <w:rsid w:val="00132EC3"/>
    <w:rsid w:val="00133264"/>
    <w:rsid w:val="00134169"/>
    <w:rsid w:val="00134779"/>
    <w:rsid w:val="00134E54"/>
    <w:rsid w:val="0013567E"/>
    <w:rsid w:val="00135742"/>
    <w:rsid w:val="00135C48"/>
    <w:rsid w:val="00136073"/>
    <w:rsid w:val="001372FA"/>
    <w:rsid w:val="00140405"/>
    <w:rsid w:val="00140737"/>
    <w:rsid w:val="00140D1A"/>
    <w:rsid w:val="00140D7D"/>
    <w:rsid w:val="001410EC"/>
    <w:rsid w:val="0014182E"/>
    <w:rsid w:val="00142DD0"/>
    <w:rsid w:val="001430BE"/>
    <w:rsid w:val="001433E4"/>
    <w:rsid w:val="0014352B"/>
    <w:rsid w:val="00143651"/>
    <w:rsid w:val="001441B1"/>
    <w:rsid w:val="001447B6"/>
    <w:rsid w:val="00144A4F"/>
    <w:rsid w:val="0014520E"/>
    <w:rsid w:val="00146323"/>
    <w:rsid w:val="001467AC"/>
    <w:rsid w:val="00146E5A"/>
    <w:rsid w:val="00146E96"/>
    <w:rsid w:val="00147121"/>
    <w:rsid w:val="001475C3"/>
    <w:rsid w:val="00147AF5"/>
    <w:rsid w:val="00150189"/>
    <w:rsid w:val="00150BD7"/>
    <w:rsid w:val="00150D09"/>
    <w:rsid w:val="00150E53"/>
    <w:rsid w:val="00150F4A"/>
    <w:rsid w:val="0015150B"/>
    <w:rsid w:val="00152DD5"/>
    <w:rsid w:val="00152EB8"/>
    <w:rsid w:val="001537D0"/>
    <w:rsid w:val="00153ADD"/>
    <w:rsid w:val="001540B2"/>
    <w:rsid w:val="00155265"/>
    <w:rsid w:val="00155693"/>
    <w:rsid w:val="00155A06"/>
    <w:rsid w:val="001567D7"/>
    <w:rsid w:val="0015693B"/>
    <w:rsid w:val="0015705D"/>
    <w:rsid w:val="00157088"/>
    <w:rsid w:val="00157B39"/>
    <w:rsid w:val="00157C6D"/>
    <w:rsid w:val="00157F44"/>
    <w:rsid w:val="001606F9"/>
    <w:rsid w:val="001610ED"/>
    <w:rsid w:val="00161189"/>
    <w:rsid w:val="001627DA"/>
    <w:rsid w:val="00162CA7"/>
    <w:rsid w:val="001634DA"/>
    <w:rsid w:val="001637A2"/>
    <w:rsid w:val="0016582B"/>
    <w:rsid w:val="00165E2B"/>
    <w:rsid w:val="00166382"/>
    <w:rsid w:val="001665B1"/>
    <w:rsid w:val="00166982"/>
    <w:rsid w:val="00166CE9"/>
    <w:rsid w:val="00166F26"/>
    <w:rsid w:val="00167A30"/>
    <w:rsid w:val="00167F5C"/>
    <w:rsid w:val="00170A7E"/>
    <w:rsid w:val="00170AFF"/>
    <w:rsid w:val="00170B24"/>
    <w:rsid w:val="00171493"/>
    <w:rsid w:val="00171643"/>
    <w:rsid w:val="0017185E"/>
    <w:rsid w:val="00171867"/>
    <w:rsid w:val="00171900"/>
    <w:rsid w:val="0017240E"/>
    <w:rsid w:val="00172616"/>
    <w:rsid w:val="00173300"/>
    <w:rsid w:val="0017396E"/>
    <w:rsid w:val="00173A11"/>
    <w:rsid w:val="00173BE8"/>
    <w:rsid w:val="00174D34"/>
    <w:rsid w:val="00174D56"/>
    <w:rsid w:val="0017562D"/>
    <w:rsid w:val="001761F1"/>
    <w:rsid w:val="0017791B"/>
    <w:rsid w:val="00180379"/>
    <w:rsid w:val="001812AE"/>
    <w:rsid w:val="00181E5E"/>
    <w:rsid w:val="00182129"/>
    <w:rsid w:val="001822A6"/>
    <w:rsid w:val="0018245C"/>
    <w:rsid w:val="00182DF2"/>
    <w:rsid w:val="001852E5"/>
    <w:rsid w:val="00185EAC"/>
    <w:rsid w:val="00186201"/>
    <w:rsid w:val="0018730C"/>
    <w:rsid w:val="00190097"/>
    <w:rsid w:val="00190E5E"/>
    <w:rsid w:val="00190EBD"/>
    <w:rsid w:val="00191AB3"/>
    <w:rsid w:val="00192930"/>
    <w:rsid w:val="001935C3"/>
    <w:rsid w:val="0019578F"/>
    <w:rsid w:val="00196276"/>
    <w:rsid w:val="001966E7"/>
    <w:rsid w:val="001966F1"/>
    <w:rsid w:val="00196A73"/>
    <w:rsid w:val="00196C6D"/>
    <w:rsid w:val="00196D8E"/>
    <w:rsid w:val="00196E3C"/>
    <w:rsid w:val="0019753B"/>
    <w:rsid w:val="00197E66"/>
    <w:rsid w:val="001A0D91"/>
    <w:rsid w:val="001A1213"/>
    <w:rsid w:val="001A1377"/>
    <w:rsid w:val="001A24C0"/>
    <w:rsid w:val="001A2BD2"/>
    <w:rsid w:val="001A32B9"/>
    <w:rsid w:val="001A338C"/>
    <w:rsid w:val="001A3F2B"/>
    <w:rsid w:val="001A3F49"/>
    <w:rsid w:val="001A48C1"/>
    <w:rsid w:val="001A4B55"/>
    <w:rsid w:val="001A4B9D"/>
    <w:rsid w:val="001A5A1D"/>
    <w:rsid w:val="001A6800"/>
    <w:rsid w:val="001A6CFF"/>
    <w:rsid w:val="001A7222"/>
    <w:rsid w:val="001A74CD"/>
    <w:rsid w:val="001B0059"/>
    <w:rsid w:val="001B0066"/>
    <w:rsid w:val="001B0835"/>
    <w:rsid w:val="001B0A82"/>
    <w:rsid w:val="001B0CD8"/>
    <w:rsid w:val="001B115D"/>
    <w:rsid w:val="001B11CC"/>
    <w:rsid w:val="001B1344"/>
    <w:rsid w:val="001B13A3"/>
    <w:rsid w:val="001B1475"/>
    <w:rsid w:val="001B1CF9"/>
    <w:rsid w:val="001B20AE"/>
    <w:rsid w:val="001B24E1"/>
    <w:rsid w:val="001B3618"/>
    <w:rsid w:val="001B3E81"/>
    <w:rsid w:val="001B4328"/>
    <w:rsid w:val="001B47DB"/>
    <w:rsid w:val="001B4D1F"/>
    <w:rsid w:val="001B4D20"/>
    <w:rsid w:val="001B57E8"/>
    <w:rsid w:val="001B5C21"/>
    <w:rsid w:val="001B60CD"/>
    <w:rsid w:val="001B6980"/>
    <w:rsid w:val="001B6AB9"/>
    <w:rsid w:val="001B708A"/>
    <w:rsid w:val="001B7DD3"/>
    <w:rsid w:val="001C0823"/>
    <w:rsid w:val="001C17A5"/>
    <w:rsid w:val="001C1F95"/>
    <w:rsid w:val="001C2515"/>
    <w:rsid w:val="001C2DBA"/>
    <w:rsid w:val="001C398B"/>
    <w:rsid w:val="001C465D"/>
    <w:rsid w:val="001C5887"/>
    <w:rsid w:val="001C6745"/>
    <w:rsid w:val="001C6EAB"/>
    <w:rsid w:val="001C7D8D"/>
    <w:rsid w:val="001C7FC9"/>
    <w:rsid w:val="001D02B5"/>
    <w:rsid w:val="001D04BC"/>
    <w:rsid w:val="001D0731"/>
    <w:rsid w:val="001D24E7"/>
    <w:rsid w:val="001D290F"/>
    <w:rsid w:val="001D44C5"/>
    <w:rsid w:val="001D501C"/>
    <w:rsid w:val="001D5397"/>
    <w:rsid w:val="001D555A"/>
    <w:rsid w:val="001D5D97"/>
    <w:rsid w:val="001D65DB"/>
    <w:rsid w:val="001D65FB"/>
    <w:rsid w:val="001D674B"/>
    <w:rsid w:val="001D77EA"/>
    <w:rsid w:val="001D7944"/>
    <w:rsid w:val="001D7A48"/>
    <w:rsid w:val="001D7C18"/>
    <w:rsid w:val="001D7E2A"/>
    <w:rsid w:val="001E0521"/>
    <w:rsid w:val="001E0585"/>
    <w:rsid w:val="001E07A7"/>
    <w:rsid w:val="001E15F4"/>
    <w:rsid w:val="001E3171"/>
    <w:rsid w:val="001E3394"/>
    <w:rsid w:val="001E39F4"/>
    <w:rsid w:val="001E4794"/>
    <w:rsid w:val="001E4BA1"/>
    <w:rsid w:val="001E4F93"/>
    <w:rsid w:val="001E5321"/>
    <w:rsid w:val="001E5342"/>
    <w:rsid w:val="001E5A8D"/>
    <w:rsid w:val="001E63A3"/>
    <w:rsid w:val="001E6A40"/>
    <w:rsid w:val="001E728E"/>
    <w:rsid w:val="001F03E6"/>
    <w:rsid w:val="001F0A44"/>
    <w:rsid w:val="001F0DDA"/>
    <w:rsid w:val="001F0E9B"/>
    <w:rsid w:val="001F136E"/>
    <w:rsid w:val="001F14AC"/>
    <w:rsid w:val="001F1DA5"/>
    <w:rsid w:val="001F278C"/>
    <w:rsid w:val="001F29DF"/>
    <w:rsid w:val="001F2AE1"/>
    <w:rsid w:val="001F2C6C"/>
    <w:rsid w:val="001F2DB9"/>
    <w:rsid w:val="001F31AB"/>
    <w:rsid w:val="001F31B2"/>
    <w:rsid w:val="001F322C"/>
    <w:rsid w:val="001F32A0"/>
    <w:rsid w:val="001F3999"/>
    <w:rsid w:val="001F40D2"/>
    <w:rsid w:val="001F41AC"/>
    <w:rsid w:val="001F4833"/>
    <w:rsid w:val="001F5175"/>
    <w:rsid w:val="001F5630"/>
    <w:rsid w:val="001F5FA7"/>
    <w:rsid w:val="001F6854"/>
    <w:rsid w:val="001F6E5F"/>
    <w:rsid w:val="001F790B"/>
    <w:rsid w:val="001F7D0C"/>
    <w:rsid w:val="00200299"/>
    <w:rsid w:val="00201D2A"/>
    <w:rsid w:val="00202BA3"/>
    <w:rsid w:val="00203336"/>
    <w:rsid w:val="002033D8"/>
    <w:rsid w:val="00203928"/>
    <w:rsid w:val="002043EB"/>
    <w:rsid w:val="00204D14"/>
    <w:rsid w:val="00205337"/>
    <w:rsid w:val="00206292"/>
    <w:rsid w:val="00206F5A"/>
    <w:rsid w:val="0020736C"/>
    <w:rsid w:val="00207692"/>
    <w:rsid w:val="00207708"/>
    <w:rsid w:val="002077FE"/>
    <w:rsid w:val="00207883"/>
    <w:rsid w:val="002078C7"/>
    <w:rsid w:val="00207C9E"/>
    <w:rsid w:val="00207DCB"/>
    <w:rsid w:val="002103C8"/>
    <w:rsid w:val="00210434"/>
    <w:rsid w:val="002105BA"/>
    <w:rsid w:val="002116A3"/>
    <w:rsid w:val="002125D6"/>
    <w:rsid w:val="00212899"/>
    <w:rsid w:val="002128A2"/>
    <w:rsid w:val="00212B4F"/>
    <w:rsid w:val="00212C8C"/>
    <w:rsid w:val="00212D38"/>
    <w:rsid w:val="00212DD6"/>
    <w:rsid w:val="00212ECA"/>
    <w:rsid w:val="0021446A"/>
    <w:rsid w:val="00214A69"/>
    <w:rsid w:val="002161DB"/>
    <w:rsid w:val="002166BB"/>
    <w:rsid w:val="00221781"/>
    <w:rsid w:val="00221F25"/>
    <w:rsid w:val="002221F0"/>
    <w:rsid w:val="00222772"/>
    <w:rsid w:val="00222852"/>
    <w:rsid w:val="00222FDA"/>
    <w:rsid w:val="00223172"/>
    <w:rsid w:val="00223D3C"/>
    <w:rsid w:val="00223E6B"/>
    <w:rsid w:val="002255F6"/>
    <w:rsid w:val="00225918"/>
    <w:rsid w:val="00225D4E"/>
    <w:rsid w:val="002265C6"/>
    <w:rsid w:val="00226CC8"/>
    <w:rsid w:val="00227091"/>
    <w:rsid w:val="002272E6"/>
    <w:rsid w:val="002278BD"/>
    <w:rsid w:val="00230C05"/>
    <w:rsid w:val="0023164A"/>
    <w:rsid w:val="00231703"/>
    <w:rsid w:val="00231BB0"/>
    <w:rsid w:val="00231ED0"/>
    <w:rsid w:val="00232381"/>
    <w:rsid w:val="002328F8"/>
    <w:rsid w:val="00232D55"/>
    <w:rsid w:val="00233A5A"/>
    <w:rsid w:val="00233E94"/>
    <w:rsid w:val="0023431E"/>
    <w:rsid w:val="002344F2"/>
    <w:rsid w:val="00234707"/>
    <w:rsid w:val="002349C0"/>
    <w:rsid w:val="00235352"/>
    <w:rsid w:val="00235A87"/>
    <w:rsid w:val="00236CEF"/>
    <w:rsid w:val="00237070"/>
    <w:rsid w:val="00237314"/>
    <w:rsid w:val="0023768E"/>
    <w:rsid w:val="0023784C"/>
    <w:rsid w:val="00237EBB"/>
    <w:rsid w:val="00237FDE"/>
    <w:rsid w:val="002406CD"/>
    <w:rsid w:val="00240A18"/>
    <w:rsid w:val="00240F12"/>
    <w:rsid w:val="00242110"/>
    <w:rsid w:val="0024216B"/>
    <w:rsid w:val="002421EE"/>
    <w:rsid w:val="0024277E"/>
    <w:rsid w:val="00242AF5"/>
    <w:rsid w:val="00242F14"/>
    <w:rsid w:val="002433A4"/>
    <w:rsid w:val="002436D7"/>
    <w:rsid w:val="00243FBF"/>
    <w:rsid w:val="00245017"/>
    <w:rsid w:val="00245D58"/>
    <w:rsid w:val="00245DCF"/>
    <w:rsid w:val="0024605C"/>
    <w:rsid w:val="002472E4"/>
    <w:rsid w:val="002473EA"/>
    <w:rsid w:val="002500D3"/>
    <w:rsid w:val="00250C1D"/>
    <w:rsid w:val="002513A4"/>
    <w:rsid w:val="0025243E"/>
    <w:rsid w:val="00252F09"/>
    <w:rsid w:val="00253646"/>
    <w:rsid w:val="00254AF6"/>
    <w:rsid w:val="00254CB1"/>
    <w:rsid w:val="00255049"/>
    <w:rsid w:val="00255F14"/>
    <w:rsid w:val="00256055"/>
    <w:rsid w:val="002560A0"/>
    <w:rsid w:val="002562A8"/>
    <w:rsid w:val="002567B5"/>
    <w:rsid w:val="00257236"/>
    <w:rsid w:val="00261759"/>
    <w:rsid w:val="00262184"/>
    <w:rsid w:val="002622FE"/>
    <w:rsid w:val="00262ADF"/>
    <w:rsid w:val="00262CE9"/>
    <w:rsid w:val="0026348E"/>
    <w:rsid w:val="00263502"/>
    <w:rsid w:val="0026420F"/>
    <w:rsid w:val="00264696"/>
    <w:rsid w:val="00264BA5"/>
    <w:rsid w:val="0026519E"/>
    <w:rsid w:val="00266C09"/>
    <w:rsid w:val="00266C53"/>
    <w:rsid w:val="00267067"/>
    <w:rsid w:val="00267284"/>
    <w:rsid w:val="00270854"/>
    <w:rsid w:val="00270EB8"/>
    <w:rsid w:val="0027230A"/>
    <w:rsid w:val="00272458"/>
    <w:rsid w:val="00272553"/>
    <w:rsid w:val="0027293D"/>
    <w:rsid w:val="00272BBF"/>
    <w:rsid w:val="00273612"/>
    <w:rsid w:val="00273FA3"/>
    <w:rsid w:val="00273FB1"/>
    <w:rsid w:val="002746A1"/>
    <w:rsid w:val="00275230"/>
    <w:rsid w:val="00275319"/>
    <w:rsid w:val="0027568B"/>
    <w:rsid w:val="00276EA4"/>
    <w:rsid w:val="00276FA2"/>
    <w:rsid w:val="002772A7"/>
    <w:rsid w:val="00277455"/>
    <w:rsid w:val="002776C3"/>
    <w:rsid w:val="00280C5D"/>
    <w:rsid w:val="00280E17"/>
    <w:rsid w:val="0028260C"/>
    <w:rsid w:val="00282809"/>
    <w:rsid w:val="002829A0"/>
    <w:rsid w:val="00282BCA"/>
    <w:rsid w:val="00283759"/>
    <w:rsid w:val="00283827"/>
    <w:rsid w:val="00284093"/>
    <w:rsid w:val="002846D4"/>
    <w:rsid w:val="0028486D"/>
    <w:rsid w:val="002848C8"/>
    <w:rsid w:val="002858C5"/>
    <w:rsid w:val="00285B11"/>
    <w:rsid w:val="00285B99"/>
    <w:rsid w:val="0028614D"/>
    <w:rsid w:val="002871EA"/>
    <w:rsid w:val="002876A4"/>
    <w:rsid w:val="00287CB3"/>
    <w:rsid w:val="00287DB0"/>
    <w:rsid w:val="00287E57"/>
    <w:rsid w:val="002900FE"/>
    <w:rsid w:val="00290231"/>
    <w:rsid w:val="00290382"/>
    <w:rsid w:val="0029064D"/>
    <w:rsid w:val="002908A9"/>
    <w:rsid w:val="002908C4"/>
    <w:rsid w:val="00290A5F"/>
    <w:rsid w:val="00290B3E"/>
    <w:rsid w:val="002910D1"/>
    <w:rsid w:val="00291108"/>
    <w:rsid w:val="0029189F"/>
    <w:rsid w:val="002924E4"/>
    <w:rsid w:val="002925D1"/>
    <w:rsid w:val="00292DBC"/>
    <w:rsid w:val="002931A2"/>
    <w:rsid w:val="00293AA6"/>
    <w:rsid w:val="00293E12"/>
    <w:rsid w:val="00293E7E"/>
    <w:rsid w:val="00293FF0"/>
    <w:rsid w:val="002940A4"/>
    <w:rsid w:val="00294559"/>
    <w:rsid w:val="002946D9"/>
    <w:rsid w:val="00296DCA"/>
    <w:rsid w:val="00297A1D"/>
    <w:rsid w:val="002A0A3E"/>
    <w:rsid w:val="002A0AC1"/>
    <w:rsid w:val="002A0B52"/>
    <w:rsid w:val="002A13C9"/>
    <w:rsid w:val="002A1527"/>
    <w:rsid w:val="002A168C"/>
    <w:rsid w:val="002A20A4"/>
    <w:rsid w:val="002A231D"/>
    <w:rsid w:val="002A2514"/>
    <w:rsid w:val="002A282E"/>
    <w:rsid w:val="002A3834"/>
    <w:rsid w:val="002A38E5"/>
    <w:rsid w:val="002A3FF5"/>
    <w:rsid w:val="002A444F"/>
    <w:rsid w:val="002A4599"/>
    <w:rsid w:val="002A467B"/>
    <w:rsid w:val="002A4B10"/>
    <w:rsid w:val="002A4C37"/>
    <w:rsid w:val="002A4D89"/>
    <w:rsid w:val="002A597B"/>
    <w:rsid w:val="002A5F47"/>
    <w:rsid w:val="002A691C"/>
    <w:rsid w:val="002A6AB6"/>
    <w:rsid w:val="002A73BA"/>
    <w:rsid w:val="002A7A0E"/>
    <w:rsid w:val="002A7B30"/>
    <w:rsid w:val="002A7B8F"/>
    <w:rsid w:val="002B163E"/>
    <w:rsid w:val="002B1804"/>
    <w:rsid w:val="002B2633"/>
    <w:rsid w:val="002B2D86"/>
    <w:rsid w:val="002B2F50"/>
    <w:rsid w:val="002B311A"/>
    <w:rsid w:val="002B3990"/>
    <w:rsid w:val="002B4195"/>
    <w:rsid w:val="002B4625"/>
    <w:rsid w:val="002B5709"/>
    <w:rsid w:val="002B586B"/>
    <w:rsid w:val="002B5DFF"/>
    <w:rsid w:val="002B6DFA"/>
    <w:rsid w:val="002B7363"/>
    <w:rsid w:val="002B7B96"/>
    <w:rsid w:val="002C08A6"/>
    <w:rsid w:val="002C1360"/>
    <w:rsid w:val="002C14DA"/>
    <w:rsid w:val="002C1542"/>
    <w:rsid w:val="002C1829"/>
    <w:rsid w:val="002C1E69"/>
    <w:rsid w:val="002C1ED2"/>
    <w:rsid w:val="002C27B4"/>
    <w:rsid w:val="002C29F3"/>
    <w:rsid w:val="002C31F5"/>
    <w:rsid w:val="002C3360"/>
    <w:rsid w:val="002C3CC7"/>
    <w:rsid w:val="002C4B8B"/>
    <w:rsid w:val="002C4E35"/>
    <w:rsid w:val="002C6672"/>
    <w:rsid w:val="002C67BE"/>
    <w:rsid w:val="002C7335"/>
    <w:rsid w:val="002C7C21"/>
    <w:rsid w:val="002D0972"/>
    <w:rsid w:val="002D1D61"/>
    <w:rsid w:val="002D1FEF"/>
    <w:rsid w:val="002D2346"/>
    <w:rsid w:val="002D25D8"/>
    <w:rsid w:val="002D2E15"/>
    <w:rsid w:val="002D304D"/>
    <w:rsid w:val="002D35EB"/>
    <w:rsid w:val="002D37CE"/>
    <w:rsid w:val="002D440A"/>
    <w:rsid w:val="002D4D40"/>
    <w:rsid w:val="002D4EF8"/>
    <w:rsid w:val="002D50A1"/>
    <w:rsid w:val="002D5259"/>
    <w:rsid w:val="002D6555"/>
    <w:rsid w:val="002D6C16"/>
    <w:rsid w:val="002D6C83"/>
    <w:rsid w:val="002D6FF8"/>
    <w:rsid w:val="002D7023"/>
    <w:rsid w:val="002D78E7"/>
    <w:rsid w:val="002E0DC0"/>
    <w:rsid w:val="002E12DB"/>
    <w:rsid w:val="002E1A94"/>
    <w:rsid w:val="002E1A9A"/>
    <w:rsid w:val="002E2327"/>
    <w:rsid w:val="002E2536"/>
    <w:rsid w:val="002E2851"/>
    <w:rsid w:val="002E3328"/>
    <w:rsid w:val="002E339B"/>
    <w:rsid w:val="002E36F8"/>
    <w:rsid w:val="002E44D2"/>
    <w:rsid w:val="002E462D"/>
    <w:rsid w:val="002E4748"/>
    <w:rsid w:val="002E4DB0"/>
    <w:rsid w:val="002E7459"/>
    <w:rsid w:val="002E7670"/>
    <w:rsid w:val="002F0125"/>
    <w:rsid w:val="002F01D5"/>
    <w:rsid w:val="002F031C"/>
    <w:rsid w:val="002F0921"/>
    <w:rsid w:val="002F0F39"/>
    <w:rsid w:val="002F109E"/>
    <w:rsid w:val="002F1C12"/>
    <w:rsid w:val="002F2247"/>
    <w:rsid w:val="002F279B"/>
    <w:rsid w:val="002F29E8"/>
    <w:rsid w:val="002F2D17"/>
    <w:rsid w:val="002F390F"/>
    <w:rsid w:val="002F3C34"/>
    <w:rsid w:val="002F457B"/>
    <w:rsid w:val="002F46A9"/>
    <w:rsid w:val="002F48BF"/>
    <w:rsid w:val="002F5C5E"/>
    <w:rsid w:val="002F6BDF"/>
    <w:rsid w:val="002F70AB"/>
    <w:rsid w:val="00300C2B"/>
    <w:rsid w:val="0030100E"/>
    <w:rsid w:val="00301CB5"/>
    <w:rsid w:val="00301F07"/>
    <w:rsid w:val="0030234D"/>
    <w:rsid w:val="0030301A"/>
    <w:rsid w:val="003039A4"/>
    <w:rsid w:val="00303AE3"/>
    <w:rsid w:val="00303E73"/>
    <w:rsid w:val="003040AD"/>
    <w:rsid w:val="003040F5"/>
    <w:rsid w:val="00304797"/>
    <w:rsid w:val="00305BEB"/>
    <w:rsid w:val="00306035"/>
    <w:rsid w:val="0030613E"/>
    <w:rsid w:val="003072B7"/>
    <w:rsid w:val="00310C2F"/>
    <w:rsid w:val="00311056"/>
    <w:rsid w:val="00311227"/>
    <w:rsid w:val="003112A8"/>
    <w:rsid w:val="003117B9"/>
    <w:rsid w:val="00312793"/>
    <w:rsid w:val="00312DEA"/>
    <w:rsid w:val="00312FE1"/>
    <w:rsid w:val="003130CA"/>
    <w:rsid w:val="0031312A"/>
    <w:rsid w:val="00313146"/>
    <w:rsid w:val="00314894"/>
    <w:rsid w:val="00314BEB"/>
    <w:rsid w:val="0031568B"/>
    <w:rsid w:val="00315C6B"/>
    <w:rsid w:val="00315CC6"/>
    <w:rsid w:val="0032014D"/>
    <w:rsid w:val="0032081B"/>
    <w:rsid w:val="00320AA6"/>
    <w:rsid w:val="003215AC"/>
    <w:rsid w:val="003219AF"/>
    <w:rsid w:val="00321D80"/>
    <w:rsid w:val="00321D8A"/>
    <w:rsid w:val="00322380"/>
    <w:rsid w:val="0032251B"/>
    <w:rsid w:val="003226EB"/>
    <w:rsid w:val="00323030"/>
    <w:rsid w:val="00323781"/>
    <w:rsid w:val="003237FA"/>
    <w:rsid w:val="00324E19"/>
    <w:rsid w:val="00325B9F"/>
    <w:rsid w:val="0032644F"/>
    <w:rsid w:val="00326632"/>
    <w:rsid w:val="00326ABB"/>
    <w:rsid w:val="0032721F"/>
    <w:rsid w:val="00327253"/>
    <w:rsid w:val="00327365"/>
    <w:rsid w:val="0032736F"/>
    <w:rsid w:val="0032757A"/>
    <w:rsid w:val="003279E9"/>
    <w:rsid w:val="0033018D"/>
    <w:rsid w:val="0033031B"/>
    <w:rsid w:val="00330B29"/>
    <w:rsid w:val="003310DA"/>
    <w:rsid w:val="00333880"/>
    <w:rsid w:val="00333A85"/>
    <w:rsid w:val="00333CFA"/>
    <w:rsid w:val="00334706"/>
    <w:rsid w:val="00334B63"/>
    <w:rsid w:val="00334C34"/>
    <w:rsid w:val="003359CD"/>
    <w:rsid w:val="00335BE0"/>
    <w:rsid w:val="00336D45"/>
    <w:rsid w:val="003373BC"/>
    <w:rsid w:val="003376C1"/>
    <w:rsid w:val="0034152C"/>
    <w:rsid w:val="00341B3C"/>
    <w:rsid w:val="00341E97"/>
    <w:rsid w:val="003423F5"/>
    <w:rsid w:val="00342457"/>
    <w:rsid w:val="003429D5"/>
    <w:rsid w:val="00342ABB"/>
    <w:rsid w:val="003434F6"/>
    <w:rsid w:val="0034353D"/>
    <w:rsid w:val="00343601"/>
    <w:rsid w:val="00343D96"/>
    <w:rsid w:val="00344A2B"/>
    <w:rsid w:val="00344E70"/>
    <w:rsid w:val="0034573F"/>
    <w:rsid w:val="00345D55"/>
    <w:rsid w:val="00346614"/>
    <w:rsid w:val="00346903"/>
    <w:rsid w:val="00346C1B"/>
    <w:rsid w:val="003478E6"/>
    <w:rsid w:val="003501CD"/>
    <w:rsid w:val="0035045C"/>
    <w:rsid w:val="003505A8"/>
    <w:rsid w:val="00350A1C"/>
    <w:rsid w:val="00350C8D"/>
    <w:rsid w:val="00350E55"/>
    <w:rsid w:val="003511D7"/>
    <w:rsid w:val="00351694"/>
    <w:rsid w:val="00351700"/>
    <w:rsid w:val="00351966"/>
    <w:rsid w:val="00351AAA"/>
    <w:rsid w:val="00351F98"/>
    <w:rsid w:val="003534C5"/>
    <w:rsid w:val="0035461B"/>
    <w:rsid w:val="00355423"/>
    <w:rsid w:val="0035603F"/>
    <w:rsid w:val="00356A9D"/>
    <w:rsid w:val="0035707B"/>
    <w:rsid w:val="00357D94"/>
    <w:rsid w:val="003607C6"/>
    <w:rsid w:val="00360A16"/>
    <w:rsid w:val="003611F4"/>
    <w:rsid w:val="0036197D"/>
    <w:rsid w:val="003626A9"/>
    <w:rsid w:val="00363F97"/>
    <w:rsid w:val="00365014"/>
    <w:rsid w:val="00365020"/>
    <w:rsid w:val="003653E1"/>
    <w:rsid w:val="003658E9"/>
    <w:rsid w:val="003660CD"/>
    <w:rsid w:val="003669E6"/>
    <w:rsid w:val="003676E1"/>
    <w:rsid w:val="0036771F"/>
    <w:rsid w:val="00367C26"/>
    <w:rsid w:val="00367EB7"/>
    <w:rsid w:val="0037003E"/>
    <w:rsid w:val="003706EC"/>
    <w:rsid w:val="003713E4"/>
    <w:rsid w:val="00371438"/>
    <w:rsid w:val="0037150A"/>
    <w:rsid w:val="00371C63"/>
    <w:rsid w:val="00371EC8"/>
    <w:rsid w:val="00371FEF"/>
    <w:rsid w:val="003724A8"/>
    <w:rsid w:val="003730FC"/>
    <w:rsid w:val="00373BED"/>
    <w:rsid w:val="0037421F"/>
    <w:rsid w:val="0037447F"/>
    <w:rsid w:val="003746D1"/>
    <w:rsid w:val="003747EA"/>
    <w:rsid w:val="003748C7"/>
    <w:rsid w:val="0037490D"/>
    <w:rsid w:val="00374BDD"/>
    <w:rsid w:val="0037619B"/>
    <w:rsid w:val="00376F79"/>
    <w:rsid w:val="00380230"/>
    <w:rsid w:val="00380571"/>
    <w:rsid w:val="00380730"/>
    <w:rsid w:val="003814F9"/>
    <w:rsid w:val="00382939"/>
    <w:rsid w:val="00382964"/>
    <w:rsid w:val="00382E89"/>
    <w:rsid w:val="00383049"/>
    <w:rsid w:val="003838A3"/>
    <w:rsid w:val="00383FEA"/>
    <w:rsid w:val="00385608"/>
    <w:rsid w:val="00385BB7"/>
    <w:rsid w:val="00385F37"/>
    <w:rsid w:val="0038607F"/>
    <w:rsid w:val="00386264"/>
    <w:rsid w:val="00386ED1"/>
    <w:rsid w:val="00387790"/>
    <w:rsid w:val="00387942"/>
    <w:rsid w:val="00387F4F"/>
    <w:rsid w:val="00392467"/>
    <w:rsid w:val="00392913"/>
    <w:rsid w:val="00392A72"/>
    <w:rsid w:val="00392E7F"/>
    <w:rsid w:val="00393814"/>
    <w:rsid w:val="00393EC2"/>
    <w:rsid w:val="0039496C"/>
    <w:rsid w:val="00394D4D"/>
    <w:rsid w:val="00395155"/>
    <w:rsid w:val="00395A78"/>
    <w:rsid w:val="0039685E"/>
    <w:rsid w:val="00396DFD"/>
    <w:rsid w:val="00397194"/>
    <w:rsid w:val="003971FC"/>
    <w:rsid w:val="00397457"/>
    <w:rsid w:val="003977AD"/>
    <w:rsid w:val="00397FB2"/>
    <w:rsid w:val="003A0282"/>
    <w:rsid w:val="003A073A"/>
    <w:rsid w:val="003A07E0"/>
    <w:rsid w:val="003A09BB"/>
    <w:rsid w:val="003A0A5A"/>
    <w:rsid w:val="003A0A7B"/>
    <w:rsid w:val="003A1DC7"/>
    <w:rsid w:val="003A22B7"/>
    <w:rsid w:val="003A3667"/>
    <w:rsid w:val="003A48A4"/>
    <w:rsid w:val="003A4AF8"/>
    <w:rsid w:val="003A541A"/>
    <w:rsid w:val="003A57E3"/>
    <w:rsid w:val="003A580C"/>
    <w:rsid w:val="003A58E6"/>
    <w:rsid w:val="003A5BC3"/>
    <w:rsid w:val="003A5D51"/>
    <w:rsid w:val="003A651C"/>
    <w:rsid w:val="003A73A3"/>
    <w:rsid w:val="003A777D"/>
    <w:rsid w:val="003A7B88"/>
    <w:rsid w:val="003B02B0"/>
    <w:rsid w:val="003B183B"/>
    <w:rsid w:val="003B1A81"/>
    <w:rsid w:val="003B1D0E"/>
    <w:rsid w:val="003B3DEF"/>
    <w:rsid w:val="003B402D"/>
    <w:rsid w:val="003B4F02"/>
    <w:rsid w:val="003B4F4D"/>
    <w:rsid w:val="003B53F2"/>
    <w:rsid w:val="003B5FD6"/>
    <w:rsid w:val="003B6682"/>
    <w:rsid w:val="003B683F"/>
    <w:rsid w:val="003B722E"/>
    <w:rsid w:val="003B7361"/>
    <w:rsid w:val="003B7E64"/>
    <w:rsid w:val="003C0168"/>
    <w:rsid w:val="003C06E6"/>
    <w:rsid w:val="003C083F"/>
    <w:rsid w:val="003C09EC"/>
    <w:rsid w:val="003C1B1F"/>
    <w:rsid w:val="003C23A6"/>
    <w:rsid w:val="003C2AB4"/>
    <w:rsid w:val="003C2DAF"/>
    <w:rsid w:val="003C36EE"/>
    <w:rsid w:val="003C3847"/>
    <w:rsid w:val="003C3ABC"/>
    <w:rsid w:val="003C3C1B"/>
    <w:rsid w:val="003C472B"/>
    <w:rsid w:val="003C4D5F"/>
    <w:rsid w:val="003C5904"/>
    <w:rsid w:val="003C679D"/>
    <w:rsid w:val="003C72B2"/>
    <w:rsid w:val="003C7342"/>
    <w:rsid w:val="003C7AEC"/>
    <w:rsid w:val="003D0D2A"/>
    <w:rsid w:val="003D0EC9"/>
    <w:rsid w:val="003D11BE"/>
    <w:rsid w:val="003D189F"/>
    <w:rsid w:val="003D1C0C"/>
    <w:rsid w:val="003D1F8C"/>
    <w:rsid w:val="003D1FB1"/>
    <w:rsid w:val="003D234F"/>
    <w:rsid w:val="003D3563"/>
    <w:rsid w:val="003D387C"/>
    <w:rsid w:val="003D4AF9"/>
    <w:rsid w:val="003D4E35"/>
    <w:rsid w:val="003D547A"/>
    <w:rsid w:val="003D5C63"/>
    <w:rsid w:val="003D6220"/>
    <w:rsid w:val="003D6D8E"/>
    <w:rsid w:val="003D76EB"/>
    <w:rsid w:val="003D79B9"/>
    <w:rsid w:val="003D7E78"/>
    <w:rsid w:val="003E00DE"/>
    <w:rsid w:val="003E07A9"/>
    <w:rsid w:val="003E082F"/>
    <w:rsid w:val="003E09D3"/>
    <w:rsid w:val="003E0A02"/>
    <w:rsid w:val="003E0A77"/>
    <w:rsid w:val="003E0F4A"/>
    <w:rsid w:val="003E1E9C"/>
    <w:rsid w:val="003E2496"/>
    <w:rsid w:val="003E2AF0"/>
    <w:rsid w:val="003E2EB6"/>
    <w:rsid w:val="003E332A"/>
    <w:rsid w:val="003E3738"/>
    <w:rsid w:val="003E38EB"/>
    <w:rsid w:val="003E3DA5"/>
    <w:rsid w:val="003E4083"/>
    <w:rsid w:val="003E43BA"/>
    <w:rsid w:val="003E4E8D"/>
    <w:rsid w:val="003E4FA8"/>
    <w:rsid w:val="003E570A"/>
    <w:rsid w:val="003E6578"/>
    <w:rsid w:val="003E690A"/>
    <w:rsid w:val="003E69E6"/>
    <w:rsid w:val="003E79CC"/>
    <w:rsid w:val="003E7E92"/>
    <w:rsid w:val="003F0038"/>
    <w:rsid w:val="003F00BA"/>
    <w:rsid w:val="003F0A93"/>
    <w:rsid w:val="003F0BF7"/>
    <w:rsid w:val="003F0D27"/>
    <w:rsid w:val="003F11A0"/>
    <w:rsid w:val="003F16B6"/>
    <w:rsid w:val="003F1AD1"/>
    <w:rsid w:val="003F2F1B"/>
    <w:rsid w:val="003F316F"/>
    <w:rsid w:val="003F36C6"/>
    <w:rsid w:val="003F37D3"/>
    <w:rsid w:val="003F4E4D"/>
    <w:rsid w:val="003F5F69"/>
    <w:rsid w:val="003F61A7"/>
    <w:rsid w:val="003F632D"/>
    <w:rsid w:val="00400C7F"/>
    <w:rsid w:val="00400FCA"/>
    <w:rsid w:val="004011E0"/>
    <w:rsid w:val="00402586"/>
    <w:rsid w:val="00402596"/>
    <w:rsid w:val="00403458"/>
    <w:rsid w:val="00403506"/>
    <w:rsid w:val="00403607"/>
    <w:rsid w:val="00403781"/>
    <w:rsid w:val="00403B17"/>
    <w:rsid w:val="00403B5F"/>
    <w:rsid w:val="00403DA0"/>
    <w:rsid w:val="00404078"/>
    <w:rsid w:val="0040434E"/>
    <w:rsid w:val="004043B6"/>
    <w:rsid w:val="004050BC"/>
    <w:rsid w:val="00406B4C"/>
    <w:rsid w:val="00406FAE"/>
    <w:rsid w:val="004077C2"/>
    <w:rsid w:val="004079D1"/>
    <w:rsid w:val="00411D8E"/>
    <w:rsid w:val="00411E27"/>
    <w:rsid w:val="00412294"/>
    <w:rsid w:val="004129B6"/>
    <w:rsid w:val="00413469"/>
    <w:rsid w:val="00413C20"/>
    <w:rsid w:val="00413DCE"/>
    <w:rsid w:val="0041444A"/>
    <w:rsid w:val="0041463A"/>
    <w:rsid w:val="0041496B"/>
    <w:rsid w:val="00414DBD"/>
    <w:rsid w:val="00414E8B"/>
    <w:rsid w:val="00415438"/>
    <w:rsid w:val="00416C26"/>
    <w:rsid w:val="00416F99"/>
    <w:rsid w:val="004173DD"/>
    <w:rsid w:val="004179CC"/>
    <w:rsid w:val="004207E3"/>
    <w:rsid w:val="0042159D"/>
    <w:rsid w:val="00421F7E"/>
    <w:rsid w:val="00422AB3"/>
    <w:rsid w:val="00422BA9"/>
    <w:rsid w:val="00423063"/>
    <w:rsid w:val="00423901"/>
    <w:rsid w:val="004240BE"/>
    <w:rsid w:val="00424471"/>
    <w:rsid w:val="00424987"/>
    <w:rsid w:val="0042498B"/>
    <w:rsid w:val="00426493"/>
    <w:rsid w:val="00426B05"/>
    <w:rsid w:val="00426D82"/>
    <w:rsid w:val="00426E8B"/>
    <w:rsid w:val="004279A1"/>
    <w:rsid w:val="00427D71"/>
    <w:rsid w:val="004302A9"/>
    <w:rsid w:val="004302AC"/>
    <w:rsid w:val="0043044D"/>
    <w:rsid w:val="00430649"/>
    <w:rsid w:val="00430884"/>
    <w:rsid w:val="00430A84"/>
    <w:rsid w:val="00431610"/>
    <w:rsid w:val="00431BF2"/>
    <w:rsid w:val="0043285E"/>
    <w:rsid w:val="004336F5"/>
    <w:rsid w:val="0043381F"/>
    <w:rsid w:val="00433CD5"/>
    <w:rsid w:val="00433E49"/>
    <w:rsid w:val="00433F04"/>
    <w:rsid w:val="0043432D"/>
    <w:rsid w:val="00434443"/>
    <w:rsid w:val="00434978"/>
    <w:rsid w:val="00434CC2"/>
    <w:rsid w:val="00435240"/>
    <w:rsid w:val="0043535C"/>
    <w:rsid w:val="00435F54"/>
    <w:rsid w:val="00436B5B"/>
    <w:rsid w:val="00437DCA"/>
    <w:rsid w:val="004400DA"/>
    <w:rsid w:val="0044017E"/>
    <w:rsid w:val="00440A63"/>
    <w:rsid w:val="004418C6"/>
    <w:rsid w:val="004430FD"/>
    <w:rsid w:val="004435CA"/>
    <w:rsid w:val="00443A25"/>
    <w:rsid w:val="004440F3"/>
    <w:rsid w:val="00444479"/>
    <w:rsid w:val="00444641"/>
    <w:rsid w:val="00444772"/>
    <w:rsid w:val="00444ADE"/>
    <w:rsid w:val="004456A5"/>
    <w:rsid w:val="004459C6"/>
    <w:rsid w:val="00446484"/>
    <w:rsid w:val="00446A2F"/>
    <w:rsid w:val="00446CE5"/>
    <w:rsid w:val="00447364"/>
    <w:rsid w:val="00447DBF"/>
    <w:rsid w:val="0045028C"/>
    <w:rsid w:val="0045084B"/>
    <w:rsid w:val="00450869"/>
    <w:rsid w:val="0045099B"/>
    <w:rsid w:val="00450AE3"/>
    <w:rsid w:val="00450E39"/>
    <w:rsid w:val="00450F44"/>
    <w:rsid w:val="004511A7"/>
    <w:rsid w:val="0045165B"/>
    <w:rsid w:val="0045381C"/>
    <w:rsid w:val="004538FD"/>
    <w:rsid w:val="00453AF7"/>
    <w:rsid w:val="004554C2"/>
    <w:rsid w:val="004558DB"/>
    <w:rsid w:val="00455DB3"/>
    <w:rsid w:val="0045647E"/>
    <w:rsid w:val="004570BF"/>
    <w:rsid w:val="004615D8"/>
    <w:rsid w:val="0046221E"/>
    <w:rsid w:val="00462605"/>
    <w:rsid w:val="00462692"/>
    <w:rsid w:val="00462E86"/>
    <w:rsid w:val="00464629"/>
    <w:rsid w:val="00464BD1"/>
    <w:rsid w:val="00464D62"/>
    <w:rsid w:val="00465FFC"/>
    <w:rsid w:val="00466097"/>
    <w:rsid w:val="0046678F"/>
    <w:rsid w:val="00466D0B"/>
    <w:rsid w:val="00466D3F"/>
    <w:rsid w:val="00467103"/>
    <w:rsid w:val="00467893"/>
    <w:rsid w:val="0046796E"/>
    <w:rsid w:val="004704C7"/>
    <w:rsid w:val="004705C9"/>
    <w:rsid w:val="004712D3"/>
    <w:rsid w:val="00472015"/>
    <w:rsid w:val="0047212E"/>
    <w:rsid w:val="0047260C"/>
    <w:rsid w:val="004726B8"/>
    <w:rsid w:val="0047291F"/>
    <w:rsid w:val="004735D7"/>
    <w:rsid w:val="00473D86"/>
    <w:rsid w:val="0047469B"/>
    <w:rsid w:val="0047471D"/>
    <w:rsid w:val="004747D7"/>
    <w:rsid w:val="00474907"/>
    <w:rsid w:val="004753AB"/>
    <w:rsid w:val="00475A22"/>
    <w:rsid w:val="00475F4F"/>
    <w:rsid w:val="0047622B"/>
    <w:rsid w:val="0047730A"/>
    <w:rsid w:val="00477DCC"/>
    <w:rsid w:val="0048034B"/>
    <w:rsid w:val="00480DF9"/>
    <w:rsid w:val="00481083"/>
    <w:rsid w:val="00481171"/>
    <w:rsid w:val="00481932"/>
    <w:rsid w:val="00481F7E"/>
    <w:rsid w:val="004828D7"/>
    <w:rsid w:val="004837BF"/>
    <w:rsid w:val="00483EF9"/>
    <w:rsid w:val="00485096"/>
    <w:rsid w:val="004857D5"/>
    <w:rsid w:val="00485A55"/>
    <w:rsid w:val="00485B5C"/>
    <w:rsid w:val="0048608C"/>
    <w:rsid w:val="004861B0"/>
    <w:rsid w:val="004868B9"/>
    <w:rsid w:val="004871C2"/>
    <w:rsid w:val="00487834"/>
    <w:rsid w:val="00487FD6"/>
    <w:rsid w:val="00490435"/>
    <w:rsid w:val="0049076F"/>
    <w:rsid w:val="0049099A"/>
    <w:rsid w:val="00490ED5"/>
    <w:rsid w:val="004914B9"/>
    <w:rsid w:val="004916A9"/>
    <w:rsid w:val="0049180F"/>
    <w:rsid w:val="00492352"/>
    <w:rsid w:val="00492678"/>
    <w:rsid w:val="0049273F"/>
    <w:rsid w:val="00492B48"/>
    <w:rsid w:val="004934F0"/>
    <w:rsid w:val="00493B77"/>
    <w:rsid w:val="00493E22"/>
    <w:rsid w:val="00494241"/>
    <w:rsid w:val="0049529A"/>
    <w:rsid w:val="00495881"/>
    <w:rsid w:val="00495AFD"/>
    <w:rsid w:val="004969E3"/>
    <w:rsid w:val="00496E7C"/>
    <w:rsid w:val="00497030"/>
    <w:rsid w:val="00497258"/>
    <w:rsid w:val="00497658"/>
    <w:rsid w:val="004A09FF"/>
    <w:rsid w:val="004A0C1C"/>
    <w:rsid w:val="004A0EB1"/>
    <w:rsid w:val="004A1505"/>
    <w:rsid w:val="004A1A58"/>
    <w:rsid w:val="004A1C52"/>
    <w:rsid w:val="004A3334"/>
    <w:rsid w:val="004A37FC"/>
    <w:rsid w:val="004A3ACF"/>
    <w:rsid w:val="004A3D8E"/>
    <w:rsid w:val="004A41E8"/>
    <w:rsid w:val="004A5F6A"/>
    <w:rsid w:val="004A7A77"/>
    <w:rsid w:val="004B0F9A"/>
    <w:rsid w:val="004B1128"/>
    <w:rsid w:val="004B11A0"/>
    <w:rsid w:val="004B1B0E"/>
    <w:rsid w:val="004B1FBC"/>
    <w:rsid w:val="004B23C2"/>
    <w:rsid w:val="004B2F0F"/>
    <w:rsid w:val="004B3719"/>
    <w:rsid w:val="004B3DAA"/>
    <w:rsid w:val="004B4AD3"/>
    <w:rsid w:val="004B4BA3"/>
    <w:rsid w:val="004B4D75"/>
    <w:rsid w:val="004B4E33"/>
    <w:rsid w:val="004B5158"/>
    <w:rsid w:val="004B5416"/>
    <w:rsid w:val="004B55B0"/>
    <w:rsid w:val="004B57CA"/>
    <w:rsid w:val="004B5D4D"/>
    <w:rsid w:val="004B5E4E"/>
    <w:rsid w:val="004B60C3"/>
    <w:rsid w:val="004B6B9A"/>
    <w:rsid w:val="004C010D"/>
    <w:rsid w:val="004C052B"/>
    <w:rsid w:val="004C0978"/>
    <w:rsid w:val="004C19C6"/>
    <w:rsid w:val="004C1EC0"/>
    <w:rsid w:val="004C2B14"/>
    <w:rsid w:val="004C30F2"/>
    <w:rsid w:val="004C3B17"/>
    <w:rsid w:val="004C3B4C"/>
    <w:rsid w:val="004C3EFD"/>
    <w:rsid w:val="004C48A9"/>
    <w:rsid w:val="004C53DD"/>
    <w:rsid w:val="004C56EC"/>
    <w:rsid w:val="004C57CB"/>
    <w:rsid w:val="004C5BA6"/>
    <w:rsid w:val="004C68FE"/>
    <w:rsid w:val="004C76E5"/>
    <w:rsid w:val="004C7BA0"/>
    <w:rsid w:val="004C7FDA"/>
    <w:rsid w:val="004D00F2"/>
    <w:rsid w:val="004D0150"/>
    <w:rsid w:val="004D0246"/>
    <w:rsid w:val="004D09FA"/>
    <w:rsid w:val="004D0E69"/>
    <w:rsid w:val="004D115B"/>
    <w:rsid w:val="004D188C"/>
    <w:rsid w:val="004D1A32"/>
    <w:rsid w:val="004D2CB7"/>
    <w:rsid w:val="004D3275"/>
    <w:rsid w:val="004D3322"/>
    <w:rsid w:val="004D3696"/>
    <w:rsid w:val="004D41D4"/>
    <w:rsid w:val="004D498F"/>
    <w:rsid w:val="004D4C72"/>
    <w:rsid w:val="004D503D"/>
    <w:rsid w:val="004D64FA"/>
    <w:rsid w:val="004D688C"/>
    <w:rsid w:val="004D6AB5"/>
    <w:rsid w:val="004E086D"/>
    <w:rsid w:val="004E0BD1"/>
    <w:rsid w:val="004E18D4"/>
    <w:rsid w:val="004E1AD7"/>
    <w:rsid w:val="004E1E9D"/>
    <w:rsid w:val="004E1F6C"/>
    <w:rsid w:val="004E2478"/>
    <w:rsid w:val="004E291C"/>
    <w:rsid w:val="004E2FDE"/>
    <w:rsid w:val="004E34D5"/>
    <w:rsid w:val="004E38E6"/>
    <w:rsid w:val="004E3DB4"/>
    <w:rsid w:val="004E3ECF"/>
    <w:rsid w:val="004E3F6D"/>
    <w:rsid w:val="004E3FE7"/>
    <w:rsid w:val="004E44BA"/>
    <w:rsid w:val="004E4870"/>
    <w:rsid w:val="004E4D04"/>
    <w:rsid w:val="004E4EBC"/>
    <w:rsid w:val="004E5042"/>
    <w:rsid w:val="004E5354"/>
    <w:rsid w:val="004E575B"/>
    <w:rsid w:val="004E584B"/>
    <w:rsid w:val="004E5DD4"/>
    <w:rsid w:val="004E60BB"/>
    <w:rsid w:val="004E6A6F"/>
    <w:rsid w:val="004E6C97"/>
    <w:rsid w:val="004E71D9"/>
    <w:rsid w:val="004E7C10"/>
    <w:rsid w:val="004E7F49"/>
    <w:rsid w:val="004F0C77"/>
    <w:rsid w:val="004F1A32"/>
    <w:rsid w:val="004F219D"/>
    <w:rsid w:val="004F222B"/>
    <w:rsid w:val="004F261C"/>
    <w:rsid w:val="004F27FF"/>
    <w:rsid w:val="004F2AB2"/>
    <w:rsid w:val="004F3088"/>
    <w:rsid w:val="004F3EBC"/>
    <w:rsid w:val="004F3FBE"/>
    <w:rsid w:val="004F4D5A"/>
    <w:rsid w:val="004F6427"/>
    <w:rsid w:val="004F6754"/>
    <w:rsid w:val="004F679E"/>
    <w:rsid w:val="004F7F4A"/>
    <w:rsid w:val="00501EB2"/>
    <w:rsid w:val="00501ED3"/>
    <w:rsid w:val="005025B2"/>
    <w:rsid w:val="00503454"/>
    <w:rsid w:val="005042CC"/>
    <w:rsid w:val="00504570"/>
    <w:rsid w:val="005048DD"/>
    <w:rsid w:val="00505075"/>
    <w:rsid w:val="005053AA"/>
    <w:rsid w:val="00505444"/>
    <w:rsid w:val="00505B6A"/>
    <w:rsid w:val="00505C9E"/>
    <w:rsid w:val="00506957"/>
    <w:rsid w:val="00506F71"/>
    <w:rsid w:val="005070B0"/>
    <w:rsid w:val="00507337"/>
    <w:rsid w:val="0050766F"/>
    <w:rsid w:val="00510685"/>
    <w:rsid w:val="00511300"/>
    <w:rsid w:val="005117EF"/>
    <w:rsid w:val="00512086"/>
    <w:rsid w:val="00513026"/>
    <w:rsid w:val="00513071"/>
    <w:rsid w:val="0051324D"/>
    <w:rsid w:val="00513488"/>
    <w:rsid w:val="00513DA7"/>
    <w:rsid w:val="005142F1"/>
    <w:rsid w:val="00514C46"/>
    <w:rsid w:val="00515484"/>
    <w:rsid w:val="00515575"/>
    <w:rsid w:val="005155A3"/>
    <w:rsid w:val="005155ED"/>
    <w:rsid w:val="00515918"/>
    <w:rsid w:val="0051668A"/>
    <w:rsid w:val="00517080"/>
    <w:rsid w:val="005173B9"/>
    <w:rsid w:val="0052084D"/>
    <w:rsid w:val="0052139E"/>
    <w:rsid w:val="005214E6"/>
    <w:rsid w:val="00521722"/>
    <w:rsid w:val="0052172E"/>
    <w:rsid w:val="0052215A"/>
    <w:rsid w:val="0052241C"/>
    <w:rsid w:val="00522BB2"/>
    <w:rsid w:val="005232E7"/>
    <w:rsid w:val="00523A33"/>
    <w:rsid w:val="00523CD9"/>
    <w:rsid w:val="005241D4"/>
    <w:rsid w:val="005243C3"/>
    <w:rsid w:val="005243E4"/>
    <w:rsid w:val="0052470D"/>
    <w:rsid w:val="00524722"/>
    <w:rsid w:val="00524944"/>
    <w:rsid w:val="00524FE5"/>
    <w:rsid w:val="00525012"/>
    <w:rsid w:val="00525359"/>
    <w:rsid w:val="0052545E"/>
    <w:rsid w:val="00525919"/>
    <w:rsid w:val="00525CC0"/>
    <w:rsid w:val="005264ED"/>
    <w:rsid w:val="00526AFF"/>
    <w:rsid w:val="00527425"/>
    <w:rsid w:val="0052776F"/>
    <w:rsid w:val="005277BD"/>
    <w:rsid w:val="005306E8"/>
    <w:rsid w:val="005309B8"/>
    <w:rsid w:val="005309EA"/>
    <w:rsid w:val="005319D8"/>
    <w:rsid w:val="005324BD"/>
    <w:rsid w:val="00532883"/>
    <w:rsid w:val="00533A52"/>
    <w:rsid w:val="00533DF9"/>
    <w:rsid w:val="00533FC0"/>
    <w:rsid w:val="00534A12"/>
    <w:rsid w:val="00535390"/>
    <w:rsid w:val="00535768"/>
    <w:rsid w:val="00536CE5"/>
    <w:rsid w:val="005375AE"/>
    <w:rsid w:val="00537A30"/>
    <w:rsid w:val="00537AB7"/>
    <w:rsid w:val="00540780"/>
    <w:rsid w:val="005409E7"/>
    <w:rsid w:val="005416FC"/>
    <w:rsid w:val="005418D9"/>
    <w:rsid w:val="005419C6"/>
    <w:rsid w:val="005426DD"/>
    <w:rsid w:val="0054277E"/>
    <w:rsid w:val="00542B18"/>
    <w:rsid w:val="00542F61"/>
    <w:rsid w:val="0054305F"/>
    <w:rsid w:val="005430B4"/>
    <w:rsid w:val="0054342D"/>
    <w:rsid w:val="005448CB"/>
    <w:rsid w:val="005455CD"/>
    <w:rsid w:val="00546A2E"/>
    <w:rsid w:val="00547634"/>
    <w:rsid w:val="0055146A"/>
    <w:rsid w:val="00551653"/>
    <w:rsid w:val="00551672"/>
    <w:rsid w:val="00551BBB"/>
    <w:rsid w:val="005521CD"/>
    <w:rsid w:val="00553749"/>
    <w:rsid w:val="00553768"/>
    <w:rsid w:val="00553AA9"/>
    <w:rsid w:val="0055461F"/>
    <w:rsid w:val="00554ECC"/>
    <w:rsid w:val="0055579C"/>
    <w:rsid w:val="005557F0"/>
    <w:rsid w:val="00556681"/>
    <w:rsid w:val="0055677E"/>
    <w:rsid w:val="00557020"/>
    <w:rsid w:val="0055793D"/>
    <w:rsid w:val="00561539"/>
    <w:rsid w:val="00561714"/>
    <w:rsid w:val="00561E8B"/>
    <w:rsid w:val="0056207D"/>
    <w:rsid w:val="005629BF"/>
    <w:rsid w:val="00562AE4"/>
    <w:rsid w:val="00562BC3"/>
    <w:rsid w:val="00562DEC"/>
    <w:rsid w:val="00563191"/>
    <w:rsid w:val="00563B60"/>
    <w:rsid w:val="00563C1A"/>
    <w:rsid w:val="00563EE1"/>
    <w:rsid w:val="0056445D"/>
    <w:rsid w:val="00565CA6"/>
    <w:rsid w:val="00566296"/>
    <w:rsid w:val="0056672F"/>
    <w:rsid w:val="005668D1"/>
    <w:rsid w:val="005676F5"/>
    <w:rsid w:val="00567C46"/>
    <w:rsid w:val="0057049D"/>
    <w:rsid w:val="00570B5C"/>
    <w:rsid w:val="00570B65"/>
    <w:rsid w:val="00570B7A"/>
    <w:rsid w:val="005713C2"/>
    <w:rsid w:val="0057162E"/>
    <w:rsid w:val="00571693"/>
    <w:rsid w:val="00571B50"/>
    <w:rsid w:val="00571C92"/>
    <w:rsid w:val="00572338"/>
    <w:rsid w:val="005727B2"/>
    <w:rsid w:val="00573330"/>
    <w:rsid w:val="0057338D"/>
    <w:rsid w:val="00573CD5"/>
    <w:rsid w:val="00574032"/>
    <w:rsid w:val="005747BB"/>
    <w:rsid w:val="00575533"/>
    <w:rsid w:val="00575877"/>
    <w:rsid w:val="0057631B"/>
    <w:rsid w:val="00576535"/>
    <w:rsid w:val="00576A73"/>
    <w:rsid w:val="00576FC8"/>
    <w:rsid w:val="00577D38"/>
    <w:rsid w:val="0058001E"/>
    <w:rsid w:val="005800A1"/>
    <w:rsid w:val="00581786"/>
    <w:rsid w:val="00581A9D"/>
    <w:rsid w:val="00581C53"/>
    <w:rsid w:val="00582084"/>
    <w:rsid w:val="0058210B"/>
    <w:rsid w:val="005827D7"/>
    <w:rsid w:val="00582A00"/>
    <w:rsid w:val="00582F9A"/>
    <w:rsid w:val="005837EA"/>
    <w:rsid w:val="005839B8"/>
    <w:rsid w:val="00584491"/>
    <w:rsid w:val="00584C5A"/>
    <w:rsid w:val="00584CD1"/>
    <w:rsid w:val="00585754"/>
    <w:rsid w:val="00586296"/>
    <w:rsid w:val="005869C4"/>
    <w:rsid w:val="00586B99"/>
    <w:rsid w:val="00587BF2"/>
    <w:rsid w:val="00590D41"/>
    <w:rsid w:val="00590FF9"/>
    <w:rsid w:val="0059168C"/>
    <w:rsid w:val="0059274C"/>
    <w:rsid w:val="00592F80"/>
    <w:rsid w:val="00593110"/>
    <w:rsid w:val="00593CA3"/>
    <w:rsid w:val="00595280"/>
    <w:rsid w:val="00596640"/>
    <w:rsid w:val="0059677B"/>
    <w:rsid w:val="0059712E"/>
    <w:rsid w:val="00597347"/>
    <w:rsid w:val="00597CEC"/>
    <w:rsid w:val="005A0163"/>
    <w:rsid w:val="005A0DD8"/>
    <w:rsid w:val="005A1365"/>
    <w:rsid w:val="005A1890"/>
    <w:rsid w:val="005A1C9B"/>
    <w:rsid w:val="005A1EBA"/>
    <w:rsid w:val="005A2044"/>
    <w:rsid w:val="005A2321"/>
    <w:rsid w:val="005A232E"/>
    <w:rsid w:val="005A373C"/>
    <w:rsid w:val="005A3F11"/>
    <w:rsid w:val="005A4605"/>
    <w:rsid w:val="005A4EAA"/>
    <w:rsid w:val="005A5231"/>
    <w:rsid w:val="005A597D"/>
    <w:rsid w:val="005A6038"/>
    <w:rsid w:val="005A66BB"/>
    <w:rsid w:val="005A6A7F"/>
    <w:rsid w:val="005A7600"/>
    <w:rsid w:val="005A762B"/>
    <w:rsid w:val="005A7A48"/>
    <w:rsid w:val="005A7D52"/>
    <w:rsid w:val="005B0127"/>
    <w:rsid w:val="005B055E"/>
    <w:rsid w:val="005B0C1B"/>
    <w:rsid w:val="005B0FAB"/>
    <w:rsid w:val="005B1320"/>
    <w:rsid w:val="005B1964"/>
    <w:rsid w:val="005B1A45"/>
    <w:rsid w:val="005B1CFF"/>
    <w:rsid w:val="005B1DE3"/>
    <w:rsid w:val="005B2572"/>
    <w:rsid w:val="005B265A"/>
    <w:rsid w:val="005B2B53"/>
    <w:rsid w:val="005B41F6"/>
    <w:rsid w:val="005B4210"/>
    <w:rsid w:val="005B50FB"/>
    <w:rsid w:val="005B5EB6"/>
    <w:rsid w:val="005B67C8"/>
    <w:rsid w:val="005B6C04"/>
    <w:rsid w:val="005B76CA"/>
    <w:rsid w:val="005C017F"/>
    <w:rsid w:val="005C0CEC"/>
    <w:rsid w:val="005C0CED"/>
    <w:rsid w:val="005C0D46"/>
    <w:rsid w:val="005C11DD"/>
    <w:rsid w:val="005C170D"/>
    <w:rsid w:val="005C29A4"/>
    <w:rsid w:val="005C337F"/>
    <w:rsid w:val="005C3C9A"/>
    <w:rsid w:val="005C3D63"/>
    <w:rsid w:val="005C3DDC"/>
    <w:rsid w:val="005C3F7B"/>
    <w:rsid w:val="005C40A0"/>
    <w:rsid w:val="005C42CC"/>
    <w:rsid w:val="005C43C7"/>
    <w:rsid w:val="005C507B"/>
    <w:rsid w:val="005C5DBF"/>
    <w:rsid w:val="005C683F"/>
    <w:rsid w:val="005C70D5"/>
    <w:rsid w:val="005C7181"/>
    <w:rsid w:val="005C742A"/>
    <w:rsid w:val="005C74C8"/>
    <w:rsid w:val="005C79F5"/>
    <w:rsid w:val="005D0004"/>
    <w:rsid w:val="005D0BAD"/>
    <w:rsid w:val="005D0DCC"/>
    <w:rsid w:val="005D185A"/>
    <w:rsid w:val="005D191B"/>
    <w:rsid w:val="005D1CB8"/>
    <w:rsid w:val="005D1D13"/>
    <w:rsid w:val="005D2A2A"/>
    <w:rsid w:val="005D2B11"/>
    <w:rsid w:val="005D476B"/>
    <w:rsid w:val="005D57E5"/>
    <w:rsid w:val="005D5B60"/>
    <w:rsid w:val="005D64D6"/>
    <w:rsid w:val="005D6595"/>
    <w:rsid w:val="005D6603"/>
    <w:rsid w:val="005D6D6F"/>
    <w:rsid w:val="005D783B"/>
    <w:rsid w:val="005D790A"/>
    <w:rsid w:val="005D7D2B"/>
    <w:rsid w:val="005D7EC2"/>
    <w:rsid w:val="005E016E"/>
    <w:rsid w:val="005E0C75"/>
    <w:rsid w:val="005E10C5"/>
    <w:rsid w:val="005E12F8"/>
    <w:rsid w:val="005E1FA6"/>
    <w:rsid w:val="005E2312"/>
    <w:rsid w:val="005E2828"/>
    <w:rsid w:val="005E3771"/>
    <w:rsid w:val="005E3B34"/>
    <w:rsid w:val="005E43A8"/>
    <w:rsid w:val="005E52DA"/>
    <w:rsid w:val="005E585C"/>
    <w:rsid w:val="005E618E"/>
    <w:rsid w:val="005E6EFB"/>
    <w:rsid w:val="005E798E"/>
    <w:rsid w:val="005F0246"/>
    <w:rsid w:val="005F0710"/>
    <w:rsid w:val="005F103B"/>
    <w:rsid w:val="005F17AD"/>
    <w:rsid w:val="005F18CC"/>
    <w:rsid w:val="005F238F"/>
    <w:rsid w:val="005F2579"/>
    <w:rsid w:val="005F2D14"/>
    <w:rsid w:val="005F32FF"/>
    <w:rsid w:val="005F3A89"/>
    <w:rsid w:val="005F509A"/>
    <w:rsid w:val="005F6041"/>
    <w:rsid w:val="005F6225"/>
    <w:rsid w:val="005F65DE"/>
    <w:rsid w:val="005F6B5B"/>
    <w:rsid w:val="005F6B94"/>
    <w:rsid w:val="005F6D6C"/>
    <w:rsid w:val="005F70EF"/>
    <w:rsid w:val="005F7149"/>
    <w:rsid w:val="005F7287"/>
    <w:rsid w:val="005F78C4"/>
    <w:rsid w:val="0060019A"/>
    <w:rsid w:val="006003DE"/>
    <w:rsid w:val="00600634"/>
    <w:rsid w:val="00600C39"/>
    <w:rsid w:val="00601032"/>
    <w:rsid w:val="00601A40"/>
    <w:rsid w:val="00601B40"/>
    <w:rsid w:val="00601B4C"/>
    <w:rsid w:val="006021F0"/>
    <w:rsid w:val="006025C6"/>
    <w:rsid w:val="0060272D"/>
    <w:rsid w:val="0060323B"/>
    <w:rsid w:val="0060338D"/>
    <w:rsid w:val="00603D52"/>
    <w:rsid w:val="00603EA2"/>
    <w:rsid w:val="006041F4"/>
    <w:rsid w:val="006046F0"/>
    <w:rsid w:val="00604BE4"/>
    <w:rsid w:val="00604D88"/>
    <w:rsid w:val="00604DA2"/>
    <w:rsid w:val="0060513F"/>
    <w:rsid w:val="006055FC"/>
    <w:rsid w:val="00605EAC"/>
    <w:rsid w:val="006067C5"/>
    <w:rsid w:val="00606CB3"/>
    <w:rsid w:val="00607C26"/>
    <w:rsid w:val="00607EDE"/>
    <w:rsid w:val="00607F9F"/>
    <w:rsid w:val="00610874"/>
    <w:rsid w:val="00610F27"/>
    <w:rsid w:val="006111BB"/>
    <w:rsid w:val="00611635"/>
    <w:rsid w:val="00611C60"/>
    <w:rsid w:val="006126C3"/>
    <w:rsid w:val="006128DB"/>
    <w:rsid w:val="00612E7C"/>
    <w:rsid w:val="0061315F"/>
    <w:rsid w:val="00613249"/>
    <w:rsid w:val="0061442F"/>
    <w:rsid w:val="0061494B"/>
    <w:rsid w:val="00614C76"/>
    <w:rsid w:val="00614CB9"/>
    <w:rsid w:val="00615344"/>
    <w:rsid w:val="0061540C"/>
    <w:rsid w:val="00615596"/>
    <w:rsid w:val="00615D43"/>
    <w:rsid w:val="00615E23"/>
    <w:rsid w:val="00616352"/>
    <w:rsid w:val="006163D9"/>
    <w:rsid w:val="0061659F"/>
    <w:rsid w:val="0061669F"/>
    <w:rsid w:val="00616F3C"/>
    <w:rsid w:val="00617205"/>
    <w:rsid w:val="0061755A"/>
    <w:rsid w:val="00617762"/>
    <w:rsid w:val="0061798E"/>
    <w:rsid w:val="006200F5"/>
    <w:rsid w:val="006205AF"/>
    <w:rsid w:val="00621647"/>
    <w:rsid w:val="00622266"/>
    <w:rsid w:val="0062251F"/>
    <w:rsid w:val="00622D9C"/>
    <w:rsid w:val="0062398B"/>
    <w:rsid w:val="006245AB"/>
    <w:rsid w:val="00624F85"/>
    <w:rsid w:val="006250AC"/>
    <w:rsid w:val="006252C6"/>
    <w:rsid w:val="00625C4B"/>
    <w:rsid w:val="00625D64"/>
    <w:rsid w:val="006263C3"/>
    <w:rsid w:val="0062646A"/>
    <w:rsid w:val="006266DB"/>
    <w:rsid w:val="00627603"/>
    <w:rsid w:val="00630902"/>
    <w:rsid w:val="00631200"/>
    <w:rsid w:val="00631899"/>
    <w:rsid w:val="00631C64"/>
    <w:rsid w:val="006327E1"/>
    <w:rsid w:val="0063384B"/>
    <w:rsid w:val="006340A2"/>
    <w:rsid w:val="006346C0"/>
    <w:rsid w:val="006348C9"/>
    <w:rsid w:val="00634BC3"/>
    <w:rsid w:val="00635757"/>
    <w:rsid w:val="00635891"/>
    <w:rsid w:val="00635917"/>
    <w:rsid w:val="00635F7B"/>
    <w:rsid w:val="0063672B"/>
    <w:rsid w:val="00636DC0"/>
    <w:rsid w:val="00636DFD"/>
    <w:rsid w:val="00641235"/>
    <w:rsid w:val="00641456"/>
    <w:rsid w:val="00641CCA"/>
    <w:rsid w:val="006420CE"/>
    <w:rsid w:val="0064245F"/>
    <w:rsid w:val="006424D6"/>
    <w:rsid w:val="00642C08"/>
    <w:rsid w:val="006437F9"/>
    <w:rsid w:val="00644496"/>
    <w:rsid w:val="0064483F"/>
    <w:rsid w:val="00644957"/>
    <w:rsid w:val="00645620"/>
    <w:rsid w:val="00645BAD"/>
    <w:rsid w:val="006461EA"/>
    <w:rsid w:val="0064662A"/>
    <w:rsid w:val="006471D5"/>
    <w:rsid w:val="0065021E"/>
    <w:rsid w:val="006503E4"/>
    <w:rsid w:val="00650E21"/>
    <w:rsid w:val="006512FF"/>
    <w:rsid w:val="006516D0"/>
    <w:rsid w:val="006517B4"/>
    <w:rsid w:val="00651D9C"/>
    <w:rsid w:val="006541BA"/>
    <w:rsid w:val="00654D27"/>
    <w:rsid w:val="00654F1D"/>
    <w:rsid w:val="00655037"/>
    <w:rsid w:val="0065505B"/>
    <w:rsid w:val="0065544C"/>
    <w:rsid w:val="0065585C"/>
    <w:rsid w:val="00655A1E"/>
    <w:rsid w:val="00655B48"/>
    <w:rsid w:val="00655B61"/>
    <w:rsid w:val="00655BC1"/>
    <w:rsid w:val="00656362"/>
    <w:rsid w:val="006563CF"/>
    <w:rsid w:val="00656EBF"/>
    <w:rsid w:val="006575FB"/>
    <w:rsid w:val="00657C6D"/>
    <w:rsid w:val="00661445"/>
    <w:rsid w:val="00662319"/>
    <w:rsid w:val="00662B17"/>
    <w:rsid w:val="006634F5"/>
    <w:rsid w:val="00663B79"/>
    <w:rsid w:val="00664592"/>
    <w:rsid w:val="00664D3C"/>
    <w:rsid w:val="0066616C"/>
    <w:rsid w:val="0066677D"/>
    <w:rsid w:val="00666A03"/>
    <w:rsid w:val="00666CB3"/>
    <w:rsid w:val="00666FD7"/>
    <w:rsid w:val="00667484"/>
    <w:rsid w:val="0067020D"/>
    <w:rsid w:val="0067075A"/>
    <w:rsid w:val="00670B25"/>
    <w:rsid w:val="006711A8"/>
    <w:rsid w:val="00671C43"/>
    <w:rsid w:val="00671D8C"/>
    <w:rsid w:val="006720F7"/>
    <w:rsid w:val="0067296F"/>
    <w:rsid w:val="006730CA"/>
    <w:rsid w:val="00673A15"/>
    <w:rsid w:val="006740B7"/>
    <w:rsid w:val="006743B0"/>
    <w:rsid w:val="006744CD"/>
    <w:rsid w:val="00674F4E"/>
    <w:rsid w:val="00674FE1"/>
    <w:rsid w:val="00675183"/>
    <w:rsid w:val="00675769"/>
    <w:rsid w:val="00676128"/>
    <w:rsid w:val="006766E8"/>
    <w:rsid w:val="00676776"/>
    <w:rsid w:val="00676B23"/>
    <w:rsid w:val="006800DB"/>
    <w:rsid w:val="0068153E"/>
    <w:rsid w:val="00681C5E"/>
    <w:rsid w:val="00681E76"/>
    <w:rsid w:val="00682E4B"/>
    <w:rsid w:val="00683333"/>
    <w:rsid w:val="00684A18"/>
    <w:rsid w:val="00684E7E"/>
    <w:rsid w:val="0068512D"/>
    <w:rsid w:val="006852D5"/>
    <w:rsid w:val="00685985"/>
    <w:rsid w:val="00685CF8"/>
    <w:rsid w:val="006861FD"/>
    <w:rsid w:val="006864D0"/>
    <w:rsid w:val="006865E9"/>
    <w:rsid w:val="00686848"/>
    <w:rsid w:val="006911F9"/>
    <w:rsid w:val="00691493"/>
    <w:rsid w:val="00691A44"/>
    <w:rsid w:val="00691A4E"/>
    <w:rsid w:val="00691B35"/>
    <w:rsid w:val="00691BAF"/>
    <w:rsid w:val="00691D57"/>
    <w:rsid w:val="006923AF"/>
    <w:rsid w:val="00692950"/>
    <w:rsid w:val="00693051"/>
    <w:rsid w:val="006941F6"/>
    <w:rsid w:val="0069455D"/>
    <w:rsid w:val="00694579"/>
    <w:rsid w:val="006946E4"/>
    <w:rsid w:val="00695234"/>
    <w:rsid w:val="00695C5D"/>
    <w:rsid w:val="00695D41"/>
    <w:rsid w:val="00695FA4"/>
    <w:rsid w:val="0069613B"/>
    <w:rsid w:val="0069615A"/>
    <w:rsid w:val="0069641E"/>
    <w:rsid w:val="00696654"/>
    <w:rsid w:val="00696821"/>
    <w:rsid w:val="0069702C"/>
    <w:rsid w:val="006970AF"/>
    <w:rsid w:val="006971B0"/>
    <w:rsid w:val="006A0E81"/>
    <w:rsid w:val="006A1184"/>
    <w:rsid w:val="006A2264"/>
    <w:rsid w:val="006A23E3"/>
    <w:rsid w:val="006A2635"/>
    <w:rsid w:val="006A348A"/>
    <w:rsid w:val="006A4A5C"/>
    <w:rsid w:val="006A4FBB"/>
    <w:rsid w:val="006A58B8"/>
    <w:rsid w:val="006A5BCF"/>
    <w:rsid w:val="006A5FA7"/>
    <w:rsid w:val="006A6FCC"/>
    <w:rsid w:val="006B050F"/>
    <w:rsid w:val="006B21E9"/>
    <w:rsid w:val="006B2576"/>
    <w:rsid w:val="006B288D"/>
    <w:rsid w:val="006B295A"/>
    <w:rsid w:val="006B2AB7"/>
    <w:rsid w:val="006B2B0F"/>
    <w:rsid w:val="006B3020"/>
    <w:rsid w:val="006B4063"/>
    <w:rsid w:val="006B44DF"/>
    <w:rsid w:val="006B4B4C"/>
    <w:rsid w:val="006B4EA6"/>
    <w:rsid w:val="006B5CBA"/>
    <w:rsid w:val="006B67C0"/>
    <w:rsid w:val="006B6A4C"/>
    <w:rsid w:val="006B6AEE"/>
    <w:rsid w:val="006B76AE"/>
    <w:rsid w:val="006C023B"/>
    <w:rsid w:val="006C027E"/>
    <w:rsid w:val="006C0DD2"/>
    <w:rsid w:val="006C163C"/>
    <w:rsid w:val="006C1753"/>
    <w:rsid w:val="006C1CC9"/>
    <w:rsid w:val="006C1F3F"/>
    <w:rsid w:val="006C2152"/>
    <w:rsid w:val="006C24D0"/>
    <w:rsid w:val="006C29DA"/>
    <w:rsid w:val="006C3D01"/>
    <w:rsid w:val="006C4474"/>
    <w:rsid w:val="006C44F6"/>
    <w:rsid w:val="006C473F"/>
    <w:rsid w:val="006C4C51"/>
    <w:rsid w:val="006C68DD"/>
    <w:rsid w:val="006C70C4"/>
    <w:rsid w:val="006C7442"/>
    <w:rsid w:val="006D0411"/>
    <w:rsid w:val="006D0B4F"/>
    <w:rsid w:val="006D336E"/>
    <w:rsid w:val="006D3B76"/>
    <w:rsid w:val="006D3ECE"/>
    <w:rsid w:val="006D422A"/>
    <w:rsid w:val="006D4938"/>
    <w:rsid w:val="006D494A"/>
    <w:rsid w:val="006D49CA"/>
    <w:rsid w:val="006D4A38"/>
    <w:rsid w:val="006D4C73"/>
    <w:rsid w:val="006D5540"/>
    <w:rsid w:val="006D66E5"/>
    <w:rsid w:val="006D6E5B"/>
    <w:rsid w:val="006E02FB"/>
    <w:rsid w:val="006E032E"/>
    <w:rsid w:val="006E0A07"/>
    <w:rsid w:val="006E0CD1"/>
    <w:rsid w:val="006E10B9"/>
    <w:rsid w:val="006E13C3"/>
    <w:rsid w:val="006E153F"/>
    <w:rsid w:val="006E202E"/>
    <w:rsid w:val="006E2046"/>
    <w:rsid w:val="006E256E"/>
    <w:rsid w:val="006E2907"/>
    <w:rsid w:val="006E2C3C"/>
    <w:rsid w:val="006E2E26"/>
    <w:rsid w:val="006E448D"/>
    <w:rsid w:val="006E668A"/>
    <w:rsid w:val="006E6BC4"/>
    <w:rsid w:val="006E75F1"/>
    <w:rsid w:val="006E7829"/>
    <w:rsid w:val="006F05A9"/>
    <w:rsid w:val="006F1224"/>
    <w:rsid w:val="006F1D84"/>
    <w:rsid w:val="006F2463"/>
    <w:rsid w:val="006F252F"/>
    <w:rsid w:val="006F326F"/>
    <w:rsid w:val="006F34EB"/>
    <w:rsid w:val="006F4689"/>
    <w:rsid w:val="006F538E"/>
    <w:rsid w:val="006F6506"/>
    <w:rsid w:val="006F679A"/>
    <w:rsid w:val="006F77B7"/>
    <w:rsid w:val="006F7A9E"/>
    <w:rsid w:val="0070054E"/>
    <w:rsid w:val="007006AD"/>
    <w:rsid w:val="00700AC7"/>
    <w:rsid w:val="00701A1B"/>
    <w:rsid w:val="00701B59"/>
    <w:rsid w:val="00702DBF"/>
    <w:rsid w:val="00703C24"/>
    <w:rsid w:val="007048E9"/>
    <w:rsid w:val="00705216"/>
    <w:rsid w:val="007057C0"/>
    <w:rsid w:val="00706943"/>
    <w:rsid w:val="00710F9B"/>
    <w:rsid w:val="0071273C"/>
    <w:rsid w:val="00712AC5"/>
    <w:rsid w:val="00713928"/>
    <w:rsid w:val="00714307"/>
    <w:rsid w:val="00714845"/>
    <w:rsid w:val="00715820"/>
    <w:rsid w:val="00715BFB"/>
    <w:rsid w:val="00715D7C"/>
    <w:rsid w:val="007167AD"/>
    <w:rsid w:val="00716E1A"/>
    <w:rsid w:val="007174E1"/>
    <w:rsid w:val="00717AEC"/>
    <w:rsid w:val="00717FB9"/>
    <w:rsid w:val="007206F8"/>
    <w:rsid w:val="007214A8"/>
    <w:rsid w:val="00721B62"/>
    <w:rsid w:val="0072252B"/>
    <w:rsid w:val="00722900"/>
    <w:rsid w:val="00723530"/>
    <w:rsid w:val="0072468E"/>
    <w:rsid w:val="00724CC4"/>
    <w:rsid w:val="00725195"/>
    <w:rsid w:val="0072551A"/>
    <w:rsid w:val="00725B8B"/>
    <w:rsid w:val="00726052"/>
    <w:rsid w:val="007266D6"/>
    <w:rsid w:val="00726FB7"/>
    <w:rsid w:val="00727282"/>
    <w:rsid w:val="0072736C"/>
    <w:rsid w:val="00727AD5"/>
    <w:rsid w:val="00731767"/>
    <w:rsid w:val="00731CBE"/>
    <w:rsid w:val="007324C1"/>
    <w:rsid w:val="00732B93"/>
    <w:rsid w:val="00732EEC"/>
    <w:rsid w:val="00733016"/>
    <w:rsid w:val="0073314A"/>
    <w:rsid w:val="00733284"/>
    <w:rsid w:val="00733C09"/>
    <w:rsid w:val="00733EB0"/>
    <w:rsid w:val="00734E47"/>
    <w:rsid w:val="007350DF"/>
    <w:rsid w:val="007353E7"/>
    <w:rsid w:val="00735972"/>
    <w:rsid w:val="00735BC5"/>
    <w:rsid w:val="00736403"/>
    <w:rsid w:val="00736C8E"/>
    <w:rsid w:val="00736E8C"/>
    <w:rsid w:val="007373D4"/>
    <w:rsid w:val="00737866"/>
    <w:rsid w:val="007379C0"/>
    <w:rsid w:val="0074025C"/>
    <w:rsid w:val="0074083F"/>
    <w:rsid w:val="00741B42"/>
    <w:rsid w:val="00742546"/>
    <w:rsid w:val="00742BD4"/>
    <w:rsid w:val="00742C2A"/>
    <w:rsid w:val="00743809"/>
    <w:rsid w:val="00744028"/>
    <w:rsid w:val="0074482F"/>
    <w:rsid w:val="0074549E"/>
    <w:rsid w:val="00746509"/>
    <w:rsid w:val="00746D72"/>
    <w:rsid w:val="00747312"/>
    <w:rsid w:val="00750A8D"/>
    <w:rsid w:val="007522C4"/>
    <w:rsid w:val="00752E8D"/>
    <w:rsid w:val="00752F53"/>
    <w:rsid w:val="00752F73"/>
    <w:rsid w:val="00753014"/>
    <w:rsid w:val="007535D8"/>
    <w:rsid w:val="00753D07"/>
    <w:rsid w:val="00753E60"/>
    <w:rsid w:val="00754E1F"/>
    <w:rsid w:val="007555D5"/>
    <w:rsid w:val="00756433"/>
    <w:rsid w:val="00756E2E"/>
    <w:rsid w:val="00757E04"/>
    <w:rsid w:val="00757FA5"/>
    <w:rsid w:val="00757FCA"/>
    <w:rsid w:val="007602CA"/>
    <w:rsid w:val="007609C0"/>
    <w:rsid w:val="007613D4"/>
    <w:rsid w:val="007615EC"/>
    <w:rsid w:val="007632E0"/>
    <w:rsid w:val="00764120"/>
    <w:rsid w:val="007645A6"/>
    <w:rsid w:val="007647F5"/>
    <w:rsid w:val="00766403"/>
    <w:rsid w:val="00766DB2"/>
    <w:rsid w:val="00767AD9"/>
    <w:rsid w:val="00767B68"/>
    <w:rsid w:val="00767CAF"/>
    <w:rsid w:val="00767E19"/>
    <w:rsid w:val="00767F01"/>
    <w:rsid w:val="0077065A"/>
    <w:rsid w:val="00770C4F"/>
    <w:rsid w:val="007710B8"/>
    <w:rsid w:val="00771742"/>
    <w:rsid w:val="00771C76"/>
    <w:rsid w:val="0077204E"/>
    <w:rsid w:val="0077214E"/>
    <w:rsid w:val="00772670"/>
    <w:rsid w:val="00772DCF"/>
    <w:rsid w:val="00773981"/>
    <w:rsid w:val="00773C84"/>
    <w:rsid w:val="0077428B"/>
    <w:rsid w:val="0077505A"/>
    <w:rsid w:val="00775140"/>
    <w:rsid w:val="00775A66"/>
    <w:rsid w:val="0077622B"/>
    <w:rsid w:val="007765E7"/>
    <w:rsid w:val="00776BF6"/>
    <w:rsid w:val="0077723B"/>
    <w:rsid w:val="00780582"/>
    <w:rsid w:val="0078067A"/>
    <w:rsid w:val="00780AD8"/>
    <w:rsid w:val="00780B9E"/>
    <w:rsid w:val="00782892"/>
    <w:rsid w:val="0078365B"/>
    <w:rsid w:val="00783855"/>
    <w:rsid w:val="00783C22"/>
    <w:rsid w:val="0078469A"/>
    <w:rsid w:val="007848E4"/>
    <w:rsid w:val="00785179"/>
    <w:rsid w:val="00785330"/>
    <w:rsid w:val="00785809"/>
    <w:rsid w:val="007859CC"/>
    <w:rsid w:val="00785B40"/>
    <w:rsid w:val="00787B03"/>
    <w:rsid w:val="00787D89"/>
    <w:rsid w:val="00790231"/>
    <w:rsid w:val="007913B1"/>
    <w:rsid w:val="00791E98"/>
    <w:rsid w:val="00792818"/>
    <w:rsid w:val="00793712"/>
    <w:rsid w:val="007937EB"/>
    <w:rsid w:val="00793D74"/>
    <w:rsid w:val="00794460"/>
    <w:rsid w:val="00794617"/>
    <w:rsid w:val="007949CF"/>
    <w:rsid w:val="00794FD9"/>
    <w:rsid w:val="00795487"/>
    <w:rsid w:val="00795F89"/>
    <w:rsid w:val="00797230"/>
    <w:rsid w:val="0079730B"/>
    <w:rsid w:val="00797E5D"/>
    <w:rsid w:val="00797ED9"/>
    <w:rsid w:val="007A0227"/>
    <w:rsid w:val="007A11C7"/>
    <w:rsid w:val="007A19CC"/>
    <w:rsid w:val="007A1DE1"/>
    <w:rsid w:val="007A2375"/>
    <w:rsid w:val="007A2621"/>
    <w:rsid w:val="007A2A09"/>
    <w:rsid w:val="007A3470"/>
    <w:rsid w:val="007A34B4"/>
    <w:rsid w:val="007A3D55"/>
    <w:rsid w:val="007A4398"/>
    <w:rsid w:val="007A4C69"/>
    <w:rsid w:val="007A4FE5"/>
    <w:rsid w:val="007A543B"/>
    <w:rsid w:val="007A5609"/>
    <w:rsid w:val="007A5703"/>
    <w:rsid w:val="007A5AD6"/>
    <w:rsid w:val="007A5EF5"/>
    <w:rsid w:val="007A653C"/>
    <w:rsid w:val="007A6A09"/>
    <w:rsid w:val="007A6B40"/>
    <w:rsid w:val="007A6F85"/>
    <w:rsid w:val="007A6FA6"/>
    <w:rsid w:val="007A7D73"/>
    <w:rsid w:val="007B0427"/>
    <w:rsid w:val="007B0441"/>
    <w:rsid w:val="007B0842"/>
    <w:rsid w:val="007B0AE4"/>
    <w:rsid w:val="007B0B3A"/>
    <w:rsid w:val="007B223F"/>
    <w:rsid w:val="007B26C0"/>
    <w:rsid w:val="007B2D7A"/>
    <w:rsid w:val="007B33C5"/>
    <w:rsid w:val="007B3481"/>
    <w:rsid w:val="007B3660"/>
    <w:rsid w:val="007B3B15"/>
    <w:rsid w:val="007B45D2"/>
    <w:rsid w:val="007B47CE"/>
    <w:rsid w:val="007B4A4A"/>
    <w:rsid w:val="007B5826"/>
    <w:rsid w:val="007B5E29"/>
    <w:rsid w:val="007B6B36"/>
    <w:rsid w:val="007B6B6B"/>
    <w:rsid w:val="007B7575"/>
    <w:rsid w:val="007B7C27"/>
    <w:rsid w:val="007C09DE"/>
    <w:rsid w:val="007C0E95"/>
    <w:rsid w:val="007C126B"/>
    <w:rsid w:val="007C1CA2"/>
    <w:rsid w:val="007C284D"/>
    <w:rsid w:val="007C3791"/>
    <w:rsid w:val="007C414F"/>
    <w:rsid w:val="007C4E0E"/>
    <w:rsid w:val="007C5247"/>
    <w:rsid w:val="007C5268"/>
    <w:rsid w:val="007C5327"/>
    <w:rsid w:val="007C5EA1"/>
    <w:rsid w:val="007C6CA3"/>
    <w:rsid w:val="007C6CE3"/>
    <w:rsid w:val="007C74AA"/>
    <w:rsid w:val="007C7B8E"/>
    <w:rsid w:val="007D1089"/>
    <w:rsid w:val="007D152A"/>
    <w:rsid w:val="007D1B1C"/>
    <w:rsid w:val="007D2177"/>
    <w:rsid w:val="007D2698"/>
    <w:rsid w:val="007D26C0"/>
    <w:rsid w:val="007D26EB"/>
    <w:rsid w:val="007D2923"/>
    <w:rsid w:val="007D2A36"/>
    <w:rsid w:val="007D2DE3"/>
    <w:rsid w:val="007D2F3D"/>
    <w:rsid w:val="007D3483"/>
    <w:rsid w:val="007D3A4E"/>
    <w:rsid w:val="007D3E3B"/>
    <w:rsid w:val="007D43F1"/>
    <w:rsid w:val="007D5467"/>
    <w:rsid w:val="007D600F"/>
    <w:rsid w:val="007D6BC0"/>
    <w:rsid w:val="007D735E"/>
    <w:rsid w:val="007D73B0"/>
    <w:rsid w:val="007D7749"/>
    <w:rsid w:val="007E04FE"/>
    <w:rsid w:val="007E0540"/>
    <w:rsid w:val="007E058E"/>
    <w:rsid w:val="007E12B4"/>
    <w:rsid w:val="007E19A9"/>
    <w:rsid w:val="007E1F04"/>
    <w:rsid w:val="007E2A6A"/>
    <w:rsid w:val="007E2E4A"/>
    <w:rsid w:val="007E3669"/>
    <w:rsid w:val="007E3B55"/>
    <w:rsid w:val="007E4768"/>
    <w:rsid w:val="007E4956"/>
    <w:rsid w:val="007E49E8"/>
    <w:rsid w:val="007E55BB"/>
    <w:rsid w:val="007E6933"/>
    <w:rsid w:val="007E6DBB"/>
    <w:rsid w:val="007E74D5"/>
    <w:rsid w:val="007F0C31"/>
    <w:rsid w:val="007F1426"/>
    <w:rsid w:val="007F1447"/>
    <w:rsid w:val="007F16B6"/>
    <w:rsid w:val="007F1D85"/>
    <w:rsid w:val="007F1DC4"/>
    <w:rsid w:val="007F2D5F"/>
    <w:rsid w:val="007F3462"/>
    <w:rsid w:val="007F3EEB"/>
    <w:rsid w:val="007F5BE0"/>
    <w:rsid w:val="007F6F52"/>
    <w:rsid w:val="007F70F9"/>
    <w:rsid w:val="007F7EDA"/>
    <w:rsid w:val="008000EA"/>
    <w:rsid w:val="00800AA7"/>
    <w:rsid w:val="0080111F"/>
    <w:rsid w:val="0080192B"/>
    <w:rsid w:val="00801989"/>
    <w:rsid w:val="008026E5"/>
    <w:rsid w:val="008027DC"/>
    <w:rsid w:val="008027F1"/>
    <w:rsid w:val="00802C31"/>
    <w:rsid w:val="00802D07"/>
    <w:rsid w:val="00803120"/>
    <w:rsid w:val="0080373E"/>
    <w:rsid w:val="00803A40"/>
    <w:rsid w:val="00803C53"/>
    <w:rsid w:val="0080433C"/>
    <w:rsid w:val="00804863"/>
    <w:rsid w:val="008060D8"/>
    <w:rsid w:val="00806C89"/>
    <w:rsid w:val="00807298"/>
    <w:rsid w:val="00810230"/>
    <w:rsid w:val="00812123"/>
    <w:rsid w:val="0081221C"/>
    <w:rsid w:val="008127D9"/>
    <w:rsid w:val="00813933"/>
    <w:rsid w:val="00813E61"/>
    <w:rsid w:val="0081411E"/>
    <w:rsid w:val="008143DC"/>
    <w:rsid w:val="008149B9"/>
    <w:rsid w:val="00814F29"/>
    <w:rsid w:val="00815527"/>
    <w:rsid w:val="008155AB"/>
    <w:rsid w:val="00815906"/>
    <w:rsid w:val="008163CA"/>
    <w:rsid w:val="0081649F"/>
    <w:rsid w:val="00816E18"/>
    <w:rsid w:val="008173BA"/>
    <w:rsid w:val="00817AB1"/>
    <w:rsid w:val="00817BB1"/>
    <w:rsid w:val="00820254"/>
    <w:rsid w:val="00820A41"/>
    <w:rsid w:val="00820CBB"/>
    <w:rsid w:val="008217E9"/>
    <w:rsid w:val="0082188B"/>
    <w:rsid w:val="008224DC"/>
    <w:rsid w:val="008224F1"/>
    <w:rsid w:val="00822C82"/>
    <w:rsid w:val="0082389E"/>
    <w:rsid w:val="00823FB0"/>
    <w:rsid w:val="0082522B"/>
    <w:rsid w:val="00825382"/>
    <w:rsid w:val="00825BDF"/>
    <w:rsid w:val="00826CF2"/>
    <w:rsid w:val="008309A5"/>
    <w:rsid w:val="00830C20"/>
    <w:rsid w:val="00832009"/>
    <w:rsid w:val="00832279"/>
    <w:rsid w:val="00832337"/>
    <w:rsid w:val="008338E2"/>
    <w:rsid w:val="00834158"/>
    <w:rsid w:val="00834983"/>
    <w:rsid w:val="00834A46"/>
    <w:rsid w:val="0083562B"/>
    <w:rsid w:val="0083571B"/>
    <w:rsid w:val="00835960"/>
    <w:rsid w:val="00835A61"/>
    <w:rsid w:val="00835C09"/>
    <w:rsid w:val="00835C86"/>
    <w:rsid w:val="008361A6"/>
    <w:rsid w:val="00836949"/>
    <w:rsid w:val="00836CF3"/>
    <w:rsid w:val="00837802"/>
    <w:rsid w:val="00837B9B"/>
    <w:rsid w:val="00837E03"/>
    <w:rsid w:val="00840049"/>
    <w:rsid w:val="0084031C"/>
    <w:rsid w:val="00840987"/>
    <w:rsid w:val="0084122E"/>
    <w:rsid w:val="00842182"/>
    <w:rsid w:val="00842DA5"/>
    <w:rsid w:val="00843442"/>
    <w:rsid w:val="0084391F"/>
    <w:rsid w:val="008446FE"/>
    <w:rsid w:val="008448FA"/>
    <w:rsid w:val="00844C92"/>
    <w:rsid w:val="00844EBD"/>
    <w:rsid w:val="00845059"/>
    <w:rsid w:val="008452A2"/>
    <w:rsid w:val="00845704"/>
    <w:rsid w:val="008462C1"/>
    <w:rsid w:val="008465B5"/>
    <w:rsid w:val="00847589"/>
    <w:rsid w:val="0084758E"/>
    <w:rsid w:val="00847B92"/>
    <w:rsid w:val="00850291"/>
    <w:rsid w:val="00850333"/>
    <w:rsid w:val="008505B4"/>
    <w:rsid w:val="008528A4"/>
    <w:rsid w:val="008528CA"/>
    <w:rsid w:val="00852942"/>
    <w:rsid w:val="00853E10"/>
    <w:rsid w:val="00853FC5"/>
    <w:rsid w:val="008546F6"/>
    <w:rsid w:val="00854C81"/>
    <w:rsid w:val="008554FB"/>
    <w:rsid w:val="00855AC2"/>
    <w:rsid w:val="00856098"/>
    <w:rsid w:val="0085640E"/>
    <w:rsid w:val="00856FE0"/>
    <w:rsid w:val="00857099"/>
    <w:rsid w:val="00857751"/>
    <w:rsid w:val="00860886"/>
    <w:rsid w:val="00861198"/>
    <w:rsid w:val="008620DA"/>
    <w:rsid w:val="00862BCD"/>
    <w:rsid w:val="00862DB1"/>
    <w:rsid w:val="0086345F"/>
    <w:rsid w:val="00863A69"/>
    <w:rsid w:val="00866027"/>
    <w:rsid w:val="0086607D"/>
    <w:rsid w:val="008661E2"/>
    <w:rsid w:val="00866E9D"/>
    <w:rsid w:val="008677A5"/>
    <w:rsid w:val="00867874"/>
    <w:rsid w:val="008678E3"/>
    <w:rsid w:val="008702F0"/>
    <w:rsid w:val="008705A9"/>
    <w:rsid w:val="0087064D"/>
    <w:rsid w:val="0087251F"/>
    <w:rsid w:val="008727AB"/>
    <w:rsid w:val="008739F2"/>
    <w:rsid w:val="00874321"/>
    <w:rsid w:val="00874ED8"/>
    <w:rsid w:val="0087526B"/>
    <w:rsid w:val="0087561D"/>
    <w:rsid w:val="00875C8E"/>
    <w:rsid w:val="00875DC3"/>
    <w:rsid w:val="00876A53"/>
    <w:rsid w:val="00876DB5"/>
    <w:rsid w:val="00876F1A"/>
    <w:rsid w:val="00880018"/>
    <w:rsid w:val="0088066F"/>
    <w:rsid w:val="008806DA"/>
    <w:rsid w:val="00880B34"/>
    <w:rsid w:val="00881109"/>
    <w:rsid w:val="00881411"/>
    <w:rsid w:val="008814CE"/>
    <w:rsid w:val="00881648"/>
    <w:rsid w:val="00881ACD"/>
    <w:rsid w:val="00882224"/>
    <w:rsid w:val="008822B6"/>
    <w:rsid w:val="008824DD"/>
    <w:rsid w:val="0088290F"/>
    <w:rsid w:val="00883F96"/>
    <w:rsid w:val="00884458"/>
    <w:rsid w:val="00885669"/>
    <w:rsid w:val="00885E5C"/>
    <w:rsid w:val="0088614B"/>
    <w:rsid w:val="00886744"/>
    <w:rsid w:val="00886BF6"/>
    <w:rsid w:val="00886EAF"/>
    <w:rsid w:val="00887EC2"/>
    <w:rsid w:val="00891707"/>
    <w:rsid w:val="00891F1D"/>
    <w:rsid w:val="008922E2"/>
    <w:rsid w:val="00892AFE"/>
    <w:rsid w:val="00893243"/>
    <w:rsid w:val="0089397A"/>
    <w:rsid w:val="00893E0A"/>
    <w:rsid w:val="008943F6"/>
    <w:rsid w:val="00894FFA"/>
    <w:rsid w:val="008954AB"/>
    <w:rsid w:val="00895DD7"/>
    <w:rsid w:val="00896241"/>
    <w:rsid w:val="00897072"/>
    <w:rsid w:val="00897734"/>
    <w:rsid w:val="00897C6A"/>
    <w:rsid w:val="00897EFF"/>
    <w:rsid w:val="008A0352"/>
    <w:rsid w:val="008A0EF1"/>
    <w:rsid w:val="008A1349"/>
    <w:rsid w:val="008A2DBC"/>
    <w:rsid w:val="008A2F90"/>
    <w:rsid w:val="008A3067"/>
    <w:rsid w:val="008A3068"/>
    <w:rsid w:val="008A3183"/>
    <w:rsid w:val="008A4750"/>
    <w:rsid w:val="008A514F"/>
    <w:rsid w:val="008A525B"/>
    <w:rsid w:val="008A6692"/>
    <w:rsid w:val="008A6DE8"/>
    <w:rsid w:val="008A7072"/>
    <w:rsid w:val="008A78BD"/>
    <w:rsid w:val="008A79AE"/>
    <w:rsid w:val="008A7D47"/>
    <w:rsid w:val="008B1786"/>
    <w:rsid w:val="008B1AC3"/>
    <w:rsid w:val="008B2A43"/>
    <w:rsid w:val="008B2B1E"/>
    <w:rsid w:val="008B2B27"/>
    <w:rsid w:val="008B3750"/>
    <w:rsid w:val="008B50AA"/>
    <w:rsid w:val="008B66BE"/>
    <w:rsid w:val="008B67C8"/>
    <w:rsid w:val="008B6883"/>
    <w:rsid w:val="008B6AD8"/>
    <w:rsid w:val="008B71D5"/>
    <w:rsid w:val="008B7DA0"/>
    <w:rsid w:val="008C04F4"/>
    <w:rsid w:val="008C0923"/>
    <w:rsid w:val="008C0A3D"/>
    <w:rsid w:val="008C1442"/>
    <w:rsid w:val="008C1E2D"/>
    <w:rsid w:val="008C2268"/>
    <w:rsid w:val="008C331E"/>
    <w:rsid w:val="008C354A"/>
    <w:rsid w:val="008C3E42"/>
    <w:rsid w:val="008C418F"/>
    <w:rsid w:val="008C4F79"/>
    <w:rsid w:val="008C5F10"/>
    <w:rsid w:val="008C62FC"/>
    <w:rsid w:val="008C65D3"/>
    <w:rsid w:val="008C6DD0"/>
    <w:rsid w:val="008C7896"/>
    <w:rsid w:val="008C7CB8"/>
    <w:rsid w:val="008C7E30"/>
    <w:rsid w:val="008C7F7D"/>
    <w:rsid w:val="008D0040"/>
    <w:rsid w:val="008D0D48"/>
    <w:rsid w:val="008D1342"/>
    <w:rsid w:val="008D1A60"/>
    <w:rsid w:val="008D1C37"/>
    <w:rsid w:val="008D1E93"/>
    <w:rsid w:val="008D21CA"/>
    <w:rsid w:val="008D249B"/>
    <w:rsid w:val="008D2E0C"/>
    <w:rsid w:val="008D3170"/>
    <w:rsid w:val="008D3A3C"/>
    <w:rsid w:val="008D4487"/>
    <w:rsid w:val="008D4B7B"/>
    <w:rsid w:val="008D5671"/>
    <w:rsid w:val="008D59B9"/>
    <w:rsid w:val="008D5AE0"/>
    <w:rsid w:val="008D5E12"/>
    <w:rsid w:val="008D6168"/>
    <w:rsid w:val="008D6403"/>
    <w:rsid w:val="008D6675"/>
    <w:rsid w:val="008D6A1B"/>
    <w:rsid w:val="008E0562"/>
    <w:rsid w:val="008E08BF"/>
    <w:rsid w:val="008E187D"/>
    <w:rsid w:val="008E1E15"/>
    <w:rsid w:val="008E1EF4"/>
    <w:rsid w:val="008E224E"/>
    <w:rsid w:val="008E229A"/>
    <w:rsid w:val="008E29E8"/>
    <w:rsid w:val="008E2B28"/>
    <w:rsid w:val="008E2EB3"/>
    <w:rsid w:val="008E2F50"/>
    <w:rsid w:val="008E35C6"/>
    <w:rsid w:val="008E3903"/>
    <w:rsid w:val="008E3E64"/>
    <w:rsid w:val="008E5AC5"/>
    <w:rsid w:val="008E6EF1"/>
    <w:rsid w:val="008E7886"/>
    <w:rsid w:val="008E7AF3"/>
    <w:rsid w:val="008E7BF7"/>
    <w:rsid w:val="008F03FB"/>
    <w:rsid w:val="008F04B0"/>
    <w:rsid w:val="008F076C"/>
    <w:rsid w:val="008F12D0"/>
    <w:rsid w:val="008F12F8"/>
    <w:rsid w:val="008F1763"/>
    <w:rsid w:val="008F18E2"/>
    <w:rsid w:val="008F2394"/>
    <w:rsid w:val="008F2855"/>
    <w:rsid w:val="008F34E5"/>
    <w:rsid w:val="008F3CB4"/>
    <w:rsid w:val="008F4672"/>
    <w:rsid w:val="008F4A0D"/>
    <w:rsid w:val="008F4A53"/>
    <w:rsid w:val="008F563F"/>
    <w:rsid w:val="008F5B31"/>
    <w:rsid w:val="008F6204"/>
    <w:rsid w:val="008F6BB6"/>
    <w:rsid w:val="008F73F0"/>
    <w:rsid w:val="008F7438"/>
    <w:rsid w:val="008F7A32"/>
    <w:rsid w:val="00900326"/>
    <w:rsid w:val="009003BF"/>
    <w:rsid w:val="009005C1"/>
    <w:rsid w:val="0090089F"/>
    <w:rsid w:val="00901296"/>
    <w:rsid w:val="00901628"/>
    <w:rsid w:val="00901EAB"/>
    <w:rsid w:val="0090206B"/>
    <w:rsid w:val="00902090"/>
    <w:rsid w:val="00904135"/>
    <w:rsid w:val="00904B2A"/>
    <w:rsid w:val="00904F86"/>
    <w:rsid w:val="00905CA4"/>
    <w:rsid w:val="00906D7D"/>
    <w:rsid w:val="009071E5"/>
    <w:rsid w:val="00907831"/>
    <w:rsid w:val="00907D29"/>
    <w:rsid w:val="00910F55"/>
    <w:rsid w:val="009111BC"/>
    <w:rsid w:val="00911437"/>
    <w:rsid w:val="00912362"/>
    <w:rsid w:val="00912D6C"/>
    <w:rsid w:val="00913A26"/>
    <w:rsid w:val="00913C7D"/>
    <w:rsid w:val="00913DBF"/>
    <w:rsid w:val="00914621"/>
    <w:rsid w:val="00914A00"/>
    <w:rsid w:val="00914C12"/>
    <w:rsid w:val="009157BF"/>
    <w:rsid w:val="0091649B"/>
    <w:rsid w:val="00917513"/>
    <w:rsid w:val="00917662"/>
    <w:rsid w:val="009177A9"/>
    <w:rsid w:val="0092001A"/>
    <w:rsid w:val="00920353"/>
    <w:rsid w:val="009204E2"/>
    <w:rsid w:val="00920F89"/>
    <w:rsid w:val="00921637"/>
    <w:rsid w:val="009216BD"/>
    <w:rsid w:val="0092189B"/>
    <w:rsid w:val="009218D4"/>
    <w:rsid w:val="009219D3"/>
    <w:rsid w:val="00921DCB"/>
    <w:rsid w:val="009221E7"/>
    <w:rsid w:val="00922443"/>
    <w:rsid w:val="00922AF4"/>
    <w:rsid w:val="00922CFE"/>
    <w:rsid w:val="00922DB0"/>
    <w:rsid w:val="00923135"/>
    <w:rsid w:val="0092320C"/>
    <w:rsid w:val="009233C5"/>
    <w:rsid w:val="00923A7E"/>
    <w:rsid w:val="00923B89"/>
    <w:rsid w:val="009241B0"/>
    <w:rsid w:val="0092482A"/>
    <w:rsid w:val="00924A54"/>
    <w:rsid w:val="009259F4"/>
    <w:rsid w:val="00925F10"/>
    <w:rsid w:val="009266CE"/>
    <w:rsid w:val="00926BA3"/>
    <w:rsid w:val="00927519"/>
    <w:rsid w:val="00927C7F"/>
    <w:rsid w:val="0093030E"/>
    <w:rsid w:val="00931D43"/>
    <w:rsid w:val="00932A9C"/>
    <w:rsid w:val="009335EE"/>
    <w:rsid w:val="0093380F"/>
    <w:rsid w:val="00933B5B"/>
    <w:rsid w:val="00933DC4"/>
    <w:rsid w:val="00933E9B"/>
    <w:rsid w:val="00934409"/>
    <w:rsid w:val="009349AB"/>
    <w:rsid w:val="00934C5F"/>
    <w:rsid w:val="00934C76"/>
    <w:rsid w:val="009352C5"/>
    <w:rsid w:val="00935874"/>
    <w:rsid w:val="00935CFB"/>
    <w:rsid w:val="0093614E"/>
    <w:rsid w:val="00936741"/>
    <w:rsid w:val="009368D0"/>
    <w:rsid w:val="00936AEF"/>
    <w:rsid w:val="0093716C"/>
    <w:rsid w:val="0093771C"/>
    <w:rsid w:val="009401EA"/>
    <w:rsid w:val="00940A7B"/>
    <w:rsid w:val="0094160A"/>
    <w:rsid w:val="009417CF"/>
    <w:rsid w:val="00941A91"/>
    <w:rsid w:val="00941AFB"/>
    <w:rsid w:val="0094290C"/>
    <w:rsid w:val="00942B7A"/>
    <w:rsid w:val="00942C84"/>
    <w:rsid w:val="009445B3"/>
    <w:rsid w:val="00944AE3"/>
    <w:rsid w:val="00945256"/>
    <w:rsid w:val="00945B47"/>
    <w:rsid w:val="00946610"/>
    <w:rsid w:val="00946E10"/>
    <w:rsid w:val="0095015A"/>
    <w:rsid w:val="00950C7D"/>
    <w:rsid w:val="00950FD5"/>
    <w:rsid w:val="00951050"/>
    <w:rsid w:val="00951843"/>
    <w:rsid w:val="00951ECE"/>
    <w:rsid w:val="00951EEA"/>
    <w:rsid w:val="009528B9"/>
    <w:rsid w:val="00952BAC"/>
    <w:rsid w:val="009530E8"/>
    <w:rsid w:val="00953369"/>
    <w:rsid w:val="0095350C"/>
    <w:rsid w:val="00954413"/>
    <w:rsid w:val="009544B8"/>
    <w:rsid w:val="009557DA"/>
    <w:rsid w:val="00955D96"/>
    <w:rsid w:val="0095609A"/>
    <w:rsid w:val="009564EF"/>
    <w:rsid w:val="00957BCE"/>
    <w:rsid w:val="009608E8"/>
    <w:rsid w:val="0096149F"/>
    <w:rsid w:val="00961575"/>
    <w:rsid w:val="00961643"/>
    <w:rsid w:val="00962359"/>
    <w:rsid w:val="009629DE"/>
    <w:rsid w:val="00962AF3"/>
    <w:rsid w:val="00962DD5"/>
    <w:rsid w:val="00963AB0"/>
    <w:rsid w:val="00963D57"/>
    <w:rsid w:val="00964AF4"/>
    <w:rsid w:val="00965572"/>
    <w:rsid w:val="00965E32"/>
    <w:rsid w:val="00966204"/>
    <w:rsid w:val="009665C8"/>
    <w:rsid w:val="00966DF0"/>
    <w:rsid w:val="00966FFA"/>
    <w:rsid w:val="0096712D"/>
    <w:rsid w:val="0096738C"/>
    <w:rsid w:val="00967637"/>
    <w:rsid w:val="00967974"/>
    <w:rsid w:val="00970DB7"/>
    <w:rsid w:val="00970EC9"/>
    <w:rsid w:val="00971736"/>
    <w:rsid w:val="00972FA4"/>
    <w:rsid w:val="009739C4"/>
    <w:rsid w:val="00973E10"/>
    <w:rsid w:val="00974E67"/>
    <w:rsid w:val="00974E81"/>
    <w:rsid w:val="009755A0"/>
    <w:rsid w:val="009758E0"/>
    <w:rsid w:val="009767DD"/>
    <w:rsid w:val="00976CA7"/>
    <w:rsid w:val="00977585"/>
    <w:rsid w:val="00977821"/>
    <w:rsid w:val="00977BD0"/>
    <w:rsid w:val="00977D2E"/>
    <w:rsid w:val="00980EB5"/>
    <w:rsid w:val="009811AD"/>
    <w:rsid w:val="00981CCE"/>
    <w:rsid w:val="00981D1F"/>
    <w:rsid w:val="00982479"/>
    <w:rsid w:val="0098317C"/>
    <w:rsid w:val="00983F76"/>
    <w:rsid w:val="00984036"/>
    <w:rsid w:val="009846E4"/>
    <w:rsid w:val="00984996"/>
    <w:rsid w:val="00984AC1"/>
    <w:rsid w:val="009857C9"/>
    <w:rsid w:val="00985A82"/>
    <w:rsid w:val="00985BED"/>
    <w:rsid w:val="00985E6A"/>
    <w:rsid w:val="00985ED1"/>
    <w:rsid w:val="00985F61"/>
    <w:rsid w:val="009861CF"/>
    <w:rsid w:val="0098672E"/>
    <w:rsid w:val="00986878"/>
    <w:rsid w:val="00986A0D"/>
    <w:rsid w:val="00986AB0"/>
    <w:rsid w:val="00986C5D"/>
    <w:rsid w:val="00986E69"/>
    <w:rsid w:val="00986FB8"/>
    <w:rsid w:val="009879EF"/>
    <w:rsid w:val="00987A89"/>
    <w:rsid w:val="00987DF2"/>
    <w:rsid w:val="00987FC3"/>
    <w:rsid w:val="00990825"/>
    <w:rsid w:val="00990E48"/>
    <w:rsid w:val="00992699"/>
    <w:rsid w:val="00993045"/>
    <w:rsid w:val="0099358E"/>
    <w:rsid w:val="00993BBC"/>
    <w:rsid w:val="00993C7F"/>
    <w:rsid w:val="00994172"/>
    <w:rsid w:val="0099505F"/>
    <w:rsid w:val="0099517E"/>
    <w:rsid w:val="0099528E"/>
    <w:rsid w:val="00996A4D"/>
    <w:rsid w:val="00996BA7"/>
    <w:rsid w:val="00996F11"/>
    <w:rsid w:val="0099721A"/>
    <w:rsid w:val="00997914"/>
    <w:rsid w:val="00997D75"/>
    <w:rsid w:val="009A0094"/>
    <w:rsid w:val="009A015D"/>
    <w:rsid w:val="009A0214"/>
    <w:rsid w:val="009A0548"/>
    <w:rsid w:val="009A0E2D"/>
    <w:rsid w:val="009A0F5D"/>
    <w:rsid w:val="009A1981"/>
    <w:rsid w:val="009A1E00"/>
    <w:rsid w:val="009A2487"/>
    <w:rsid w:val="009A2EB7"/>
    <w:rsid w:val="009A31B6"/>
    <w:rsid w:val="009A3F55"/>
    <w:rsid w:val="009A41FF"/>
    <w:rsid w:val="009A4F9D"/>
    <w:rsid w:val="009A52CC"/>
    <w:rsid w:val="009A5566"/>
    <w:rsid w:val="009A595F"/>
    <w:rsid w:val="009A637D"/>
    <w:rsid w:val="009A64B0"/>
    <w:rsid w:val="009A74FA"/>
    <w:rsid w:val="009A773C"/>
    <w:rsid w:val="009A7742"/>
    <w:rsid w:val="009A78CF"/>
    <w:rsid w:val="009B030C"/>
    <w:rsid w:val="009B096C"/>
    <w:rsid w:val="009B351D"/>
    <w:rsid w:val="009B42BF"/>
    <w:rsid w:val="009B4F53"/>
    <w:rsid w:val="009B503F"/>
    <w:rsid w:val="009B5625"/>
    <w:rsid w:val="009B5657"/>
    <w:rsid w:val="009B5A1D"/>
    <w:rsid w:val="009B5EE9"/>
    <w:rsid w:val="009B671F"/>
    <w:rsid w:val="009B7A1D"/>
    <w:rsid w:val="009B7D68"/>
    <w:rsid w:val="009C0690"/>
    <w:rsid w:val="009C0737"/>
    <w:rsid w:val="009C1265"/>
    <w:rsid w:val="009C16A3"/>
    <w:rsid w:val="009C1917"/>
    <w:rsid w:val="009C2653"/>
    <w:rsid w:val="009C2C47"/>
    <w:rsid w:val="009C33AB"/>
    <w:rsid w:val="009C39C6"/>
    <w:rsid w:val="009C3FC9"/>
    <w:rsid w:val="009C4114"/>
    <w:rsid w:val="009C42F2"/>
    <w:rsid w:val="009C49AE"/>
    <w:rsid w:val="009C4DCF"/>
    <w:rsid w:val="009C559F"/>
    <w:rsid w:val="009C666D"/>
    <w:rsid w:val="009C66A2"/>
    <w:rsid w:val="009C67DA"/>
    <w:rsid w:val="009C694A"/>
    <w:rsid w:val="009C70E7"/>
    <w:rsid w:val="009D0A02"/>
    <w:rsid w:val="009D177B"/>
    <w:rsid w:val="009D21DE"/>
    <w:rsid w:val="009D244B"/>
    <w:rsid w:val="009D245D"/>
    <w:rsid w:val="009D28C8"/>
    <w:rsid w:val="009D2D37"/>
    <w:rsid w:val="009D2F18"/>
    <w:rsid w:val="009D3403"/>
    <w:rsid w:val="009D398A"/>
    <w:rsid w:val="009D3A0F"/>
    <w:rsid w:val="009D3DCC"/>
    <w:rsid w:val="009D3EBE"/>
    <w:rsid w:val="009D453E"/>
    <w:rsid w:val="009D46CB"/>
    <w:rsid w:val="009D4808"/>
    <w:rsid w:val="009D5606"/>
    <w:rsid w:val="009D71BC"/>
    <w:rsid w:val="009D7A56"/>
    <w:rsid w:val="009D7DB8"/>
    <w:rsid w:val="009E04E0"/>
    <w:rsid w:val="009E06F4"/>
    <w:rsid w:val="009E1ED0"/>
    <w:rsid w:val="009E2391"/>
    <w:rsid w:val="009E2D91"/>
    <w:rsid w:val="009E300E"/>
    <w:rsid w:val="009E376B"/>
    <w:rsid w:val="009E4451"/>
    <w:rsid w:val="009E492A"/>
    <w:rsid w:val="009E4E10"/>
    <w:rsid w:val="009E518A"/>
    <w:rsid w:val="009E51A7"/>
    <w:rsid w:val="009E6017"/>
    <w:rsid w:val="009E6119"/>
    <w:rsid w:val="009E7C16"/>
    <w:rsid w:val="009F06F5"/>
    <w:rsid w:val="009F1529"/>
    <w:rsid w:val="009F159E"/>
    <w:rsid w:val="009F2B68"/>
    <w:rsid w:val="009F2D9A"/>
    <w:rsid w:val="009F35EB"/>
    <w:rsid w:val="009F39D5"/>
    <w:rsid w:val="009F3B60"/>
    <w:rsid w:val="009F3E18"/>
    <w:rsid w:val="009F3FB3"/>
    <w:rsid w:val="009F4A43"/>
    <w:rsid w:val="009F4E37"/>
    <w:rsid w:val="009F5115"/>
    <w:rsid w:val="009F5935"/>
    <w:rsid w:val="009F6B4C"/>
    <w:rsid w:val="009F6BBE"/>
    <w:rsid w:val="009F6FF9"/>
    <w:rsid w:val="009F7ED4"/>
    <w:rsid w:val="00A00743"/>
    <w:rsid w:val="00A00C12"/>
    <w:rsid w:val="00A01A79"/>
    <w:rsid w:val="00A01AE4"/>
    <w:rsid w:val="00A01EBC"/>
    <w:rsid w:val="00A032C1"/>
    <w:rsid w:val="00A03933"/>
    <w:rsid w:val="00A046AC"/>
    <w:rsid w:val="00A0502A"/>
    <w:rsid w:val="00A05CB1"/>
    <w:rsid w:val="00A06892"/>
    <w:rsid w:val="00A06920"/>
    <w:rsid w:val="00A06BAC"/>
    <w:rsid w:val="00A06C2D"/>
    <w:rsid w:val="00A06C58"/>
    <w:rsid w:val="00A06FA2"/>
    <w:rsid w:val="00A077C6"/>
    <w:rsid w:val="00A11150"/>
    <w:rsid w:val="00A12257"/>
    <w:rsid w:val="00A123D4"/>
    <w:rsid w:val="00A128B8"/>
    <w:rsid w:val="00A12ECC"/>
    <w:rsid w:val="00A13F35"/>
    <w:rsid w:val="00A14A15"/>
    <w:rsid w:val="00A14C89"/>
    <w:rsid w:val="00A155D9"/>
    <w:rsid w:val="00A15C83"/>
    <w:rsid w:val="00A1625B"/>
    <w:rsid w:val="00A167BA"/>
    <w:rsid w:val="00A16C70"/>
    <w:rsid w:val="00A17B19"/>
    <w:rsid w:val="00A17EE5"/>
    <w:rsid w:val="00A20011"/>
    <w:rsid w:val="00A20AEF"/>
    <w:rsid w:val="00A22641"/>
    <w:rsid w:val="00A23297"/>
    <w:rsid w:val="00A23CC2"/>
    <w:rsid w:val="00A23E1A"/>
    <w:rsid w:val="00A23EFA"/>
    <w:rsid w:val="00A246A7"/>
    <w:rsid w:val="00A25386"/>
    <w:rsid w:val="00A25408"/>
    <w:rsid w:val="00A2566E"/>
    <w:rsid w:val="00A25725"/>
    <w:rsid w:val="00A257C7"/>
    <w:rsid w:val="00A257F2"/>
    <w:rsid w:val="00A25E24"/>
    <w:rsid w:val="00A25F56"/>
    <w:rsid w:val="00A25FBE"/>
    <w:rsid w:val="00A2614A"/>
    <w:rsid w:val="00A26FA8"/>
    <w:rsid w:val="00A276A3"/>
    <w:rsid w:val="00A278D8"/>
    <w:rsid w:val="00A301A8"/>
    <w:rsid w:val="00A30FF3"/>
    <w:rsid w:val="00A31388"/>
    <w:rsid w:val="00A3182F"/>
    <w:rsid w:val="00A31B18"/>
    <w:rsid w:val="00A31F60"/>
    <w:rsid w:val="00A32EBC"/>
    <w:rsid w:val="00A3326D"/>
    <w:rsid w:val="00A33420"/>
    <w:rsid w:val="00A33637"/>
    <w:rsid w:val="00A3404E"/>
    <w:rsid w:val="00A34628"/>
    <w:rsid w:val="00A34731"/>
    <w:rsid w:val="00A34DBD"/>
    <w:rsid w:val="00A35CBF"/>
    <w:rsid w:val="00A36100"/>
    <w:rsid w:val="00A3638E"/>
    <w:rsid w:val="00A36D87"/>
    <w:rsid w:val="00A37017"/>
    <w:rsid w:val="00A375C2"/>
    <w:rsid w:val="00A404A5"/>
    <w:rsid w:val="00A404AE"/>
    <w:rsid w:val="00A408AC"/>
    <w:rsid w:val="00A4105B"/>
    <w:rsid w:val="00A41C22"/>
    <w:rsid w:val="00A41C53"/>
    <w:rsid w:val="00A421D2"/>
    <w:rsid w:val="00A4264C"/>
    <w:rsid w:val="00A427A6"/>
    <w:rsid w:val="00A42BD5"/>
    <w:rsid w:val="00A44CFB"/>
    <w:rsid w:val="00A45894"/>
    <w:rsid w:val="00A46240"/>
    <w:rsid w:val="00A46AA9"/>
    <w:rsid w:val="00A46CB6"/>
    <w:rsid w:val="00A46F8B"/>
    <w:rsid w:val="00A47AF6"/>
    <w:rsid w:val="00A47F91"/>
    <w:rsid w:val="00A5103D"/>
    <w:rsid w:val="00A51ECD"/>
    <w:rsid w:val="00A51FAC"/>
    <w:rsid w:val="00A52232"/>
    <w:rsid w:val="00A52535"/>
    <w:rsid w:val="00A52899"/>
    <w:rsid w:val="00A52F25"/>
    <w:rsid w:val="00A53896"/>
    <w:rsid w:val="00A544C5"/>
    <w:rsid w:val="00A54DB2"/>
    <w:rsid w:val="00A55240"/>
    <w:rsid w:val="00A55DAA"/>
    <w:rsid w:val="00A57316"/>
    <w:rsid w:val="00A5734F"/>
    <w:rsid w:val="00A5795D"/>
    <w:rsid w:val="00A57ECD"/>
    <w:rsid w:val="00A60365"/>
    <w:rsid w:val="00A606E1"/>
    <w:rsid w:val="00A60C34"/>
    <w:rsid w:val="00A61FFA"/>
    <w:rsid w:val="00A62233"/>
    <w:rsid w:val="00A63189"/>
    <w:rsid w:val="00A63A6C"/>
    <w:rsid w:val="00A63B4B"/>
    <w:rsid w:val="00A64356"/>
    <w:rsid w:val="00A64F09"/>
    <w:rsid w:val="00A64FB8"/>
    <w:rsid w:val="00A65153"/>
    <w:rsid w:val="00A6599D"/>
    <w:rsid w:val="00A66998"/>
    <w:rsid w:val="00A66B3D"/>
    <w:rsid w:val="00A66DBC"/>
    <w:rsid w:val="00A6764C"/>
    <w:rsid w:val="00A67A0B"/>
    <w:rsid w:val="00A67D3B"/>
    <w:rsid w:val="00A67F5E"/>
    <w:rsid w:val="00A705EA"/>
    <w:rsid w:val="00A70D91"/>
    <w:rsid w:val="00A714F7"/>
    <w:rsid w:val="00A716B5"/>
    <w:rsid w:val="00A71FA8"/>
    <w:rsid w:val="00A72A66"/>
    <w:rsid w:val="00A733F5"/>
    <w:rsid w:val="00A7343A"/>
    <w:rsid w:val="00A744C2"/>
    <w:rsid w:val="00A74D0F"/>
    <w:rsid w:val="00A751EF"/>
    <w:rsid w:val="00A75362"/>
    <w:rsid w:val="00A76850"/>
    <w:rsid w:val="00A773A3"/>
    <w:rsid w:val="00A77C65"/>
    <w:rsid w:val="00A77F9D"/>
    <w:rsid w:val="00A800D6"/>
    <w:rsid w:val="00A8017B"/>
    <w:rsid w:val="00A809ED"/>
    <w:rsid w:val="00A8274F"/>
    <w:rsid w:val="00A82E3B"/>
    <w:rsid w:val="00A831B2"/>
    <w:rsid w:val="00A84782"/>
    <w:rsid w:val="00A8541F"/>
    <w:rsid w:val="00A8563B"/>
    <w:rsid w:val="00A85BC0"/>
    <w:rsid w:val="00A85E57"/>
    <w:rsid w:val="00A86C84"/>
    <w:rsid w:val="00A86CEF"/>
    <w:rsid w:val="00A86D01"/>
    <w:rsid w:val="00A87207"/>
    <w:rsid w:val="00A87D43"/>
    <w:rsid w:val="00A900D6"/>
    <w:rsid w:val="00A9043B"/>
    <w:rsid w:val="00A905E7"/>
    <w:rsid w:val="00A90B8E"/>
    <w:rsid w:val="00A91C02"/>
    <w:rsid w:val="00A91D1B"/>
    <w:rsid w:val="00A9210C"/>
    <w:rsid w:val="00A928E7"/>
    <w:rsid w:val="00A92A17"/>
    <w:rsid w:val="00A92B37"/>
    <w:rsid w:val="00A92D9F"/>
    <w:rsid w:val="00A92F6C"/>
    <w:rsid w:val="00A931D9"/>
    <w:rsid w:val="00A937D5"/>
    <w:rsid w:val="00A93F29"/>
    <w:rsid w:val="00A940F8"/>
    <w:rsid w:val="00A941E9"/>
    <w:rsid w:val="00A946E2"/>
    <w:rsid w:val="00A94C7A"/>
    <w:rsid w:val="00A94D4D"/>
    <w:rsid w:val="00A94E2B"/>
    <w:rsid w:val="00A95103"/>
    <w:rsid w:val="00A9582F"/>
    <w:rsid w:val="00A95A0D"/>
    <w:rsid w:val="00A96D41"/>
    <w:rsid w:val="00A97247"/>
    <w:rsid w:val="00A976A7"/>
    <w:rsid w:val="00A97983"/>
    <w:rsid w:val="00A97D04"/>
    <w:rsid w:val="00AA09D2"/>
    <w:rsid w:val="00AA12D0"/>
    <w:rsid w:val="00AA3936"/>
    <w:rsid w:val="00AA419D"/>
    <w:rsid w:val="00AA41C9"/>
    <w:rsid w:val="00AA4805"/>
    <w:rsid w:val="00AA4ADF"/>
    <w:rsid w:val="00AA4D67"/>
    <w:rsid w:val="00AA4E7B"/>
    <w:rsid w:val="00AA4F5C"/>
    <w:rsid w:val="00AA5B5C"/>
    <w:rsid w:val="00AA6351"/>
    <w:rsid w:val="00AA64B3"/>
    <w:rsid w:val="00AA6940"/>
    <w:rsid w:val="00AA77AF"/>
    <w:rsid w:val="00AB047A"/>
    <w:rsid w:val="00AB0ADB"/>
    <w:rsid w:val="00AB0CFE"/>
    <w:rsid w:val="00AB0EA2"/>
    <w:rsid w:val="00AB1D5C"/>
    <w:rsid w:val="00AB2216"/>
    <w:rsid w:val="00AB2329"/>
    <w:rsid w:val="00AB29ED"/>
    <w:rsid w:val="00AB36BA"/>
    <w:rsid w:val="00AB3AD1"/>
    <w:rsid w:val="00AB3BED"/>
    <w:rsid w:val="00AB3CCA"/>
    <w:rsid w:val="00AB4A0B"/>
    <w:rsid w:val="00AB4F69"/>
    <w:rsid w:val="00AB5881"/>
    <w:rsid w:val="00AB6630"/>
    <w:rsid w:val="00AB66C2"/>
    <w:rsid w:val="00AB679D"/>
    <w:rsid w:val="00AB6921"/>
    <w:rsid w:val="00AB6CA0"/>
    <w:rsid w:val="00AB71F8"/>
    <w:rsid w:val="00AB76CF"/>
    <w:rsid w:val="00AB79C3"/>
    <w:rsid w:val="00AB7D63"/>
    <w:rsid w:val="00AB7D98"/>
    <w:rsid w:val="00AC00E6"/>
    <w:rsid w:val="00AC0357"/>
    <w:rsid w:val="00AC042C"/>
    <w:rsid w:val="00AC09CE"/>
    <w:rsid w:val="00AC0AE0"/>
    <w:rsid w:val="00AC0B03"/>
    <w:rsid w:val="00AC1184"/>
    <w:rsid w:val="00AC142F"/>
    <w:rsid w:val="00AC1770"/>
    <w:rsid w:val="00AC178D"/>
    <w:rsid w:val="00AC1ECC"/>
    <w:rsid w:val="00AC215F"/>
    <w:rsid w:val="00AC24D7"/>
    <w:rsid w:val="00AC346B"/>
    <w:rsid w:val="00AC36E5"/>
    <w:rsid w:val="00AC56A9"/>
    <w:rsid w:val="00AC7366"/>
    <w:rsid w:val="00AC7398"/>
    <w:rsid w:val="00AC7533"/>
    <w:rsid w:val="00AD02F8"/>
    <w:rsid w:val="00AD0BB2"/>
    <w:rsid w:val="00AD0F7F"/>
    <w:rsid w:val="00AD10EB"/>
    <w:rsid w:val="00AD2113"/>
    <w:rsid w:val="00AD2313"/>
    <w:rsid w:val="00AD2524"/>
    <w:rsid w:val="00AD2AAE"/>
    <w:rsid w:val="00AD32AE"/>
    <w:rsid w:val="00AD3772"/>
    <w:rsid w:val="00AD3815"/>
    <w:rsid w:val="00AD3BD9"/>
    <w:rsid w:val="00AD40BA"/>
    <w:rsid w:val="00AD43A7"/>
    <w:rsid w:val="00AD4C41"/>
    <w:rsid w:val="00AD4D92"/>
    <w:rsid w:val="00AD603C"/>
    <w:rsid w:val="00AD6100"/>
    <w:rsid w:val="00AD63F6"/>
    <w:rsid w:val="00AD7104"/>
    <w:rsid w:val="00AD7A1D"/>
    <w:rsid w:val="00AD7BA5"/>
    <w:rsid w:val="00AE13C3"/>
    <w:rsid w:val="00AE1A8E"/>
    <w:rsid w:val="00AE245F"/>
    <w:rsid w:val="00AE2936"/>
    <w:rsid w:val="00AE2CA0"/>
    <w:rsid w:val="00AE391E"/>
    <w:rsid w:val="00AE3992"/>
    <w:rsid w:val="00AE3A44"/>
    <w:rsid w:val="00AE426A"/>
    <w:rsid w:val="00AE4B06"/>
    <w:rsid w:val="00AE4CBC"/>
    <w:rsid w:val="00AE51BC"/>
    <w:rsid w:val="00AE5831"/>
    <w:rsid w:val="00AE6868"/>
    <w:rsid w:val="00AE7EA6"/>
    <w:rsid w:val="00AF0035"/>
    <w:rsid w:val="00AF025E"/>
    <w:rsid w:val="00AF046E"/>
    <w:rsid w:val="00AF05F2"/>
    <w:rsid w:val="00AF1E7D"/>
    <w:rsid w:val="00AF2295"/>
    <w:rsid w:val="00AF2DBB"/>
    <w:rsid w:val="00AF39A5"/>
    <w:rsid w:val="00AF43E1"/>
    <w:rsid w:val="00AF4CC6"/>
    <w:rsid w:val="00AF4E98"/>
    <w:rsid w:val="00AF5615"/>
    <w:rsid w:val="00AF5621"/>
    <w:rsid w:val="00AF5D0F"/>
    <w:rsid w:val="00AF616D"/>
    <w:rsid w:val="00AF62F1"/>
    <w:rsid w:val="00AF6559"/>
    <w:rsid w:val="00AF67A7"/>
    <w:rsid w:val="00AF70C8"/>
    <w:rsid w:val="00AF7395"/>
    <w:rsid w:val="00AF749F"/>
    <w:rsid w:val="00AF77CD"/>
    <w:rsid w:val="00B017C1"/>
    <w:rsid w:val="00B01AB6"/>
    <w:rsid w:val="00B01AC1"/>
    <w:rsid w:val="00B01B34"/>
    <w:rsid w:val="00B0253E"/>
    <w:rsid w:val="00B02EA6"/>
    <w:rsid w:val="00B02EBD"/>
    <w:rsid w:val="00B043DF"/>
    <w:rsid w:val="00B047FC"/>
    <w:rsid w:val="00B05E31"/>
    <w:rsid w:val="00B05F22"/>
    <w:rsid w:val="00B0632C"/>
    <w:rsid w:val="00B0672E"/>
    <w:rsid w:val="00B06F9E"/>
    <w:rsid w:val="00B06FD7"/>
    <w:rsid w:val="00B07043"/>
    <w:rsid w:val="00B07CED"/>
    <w:rsid w:val="00B07D0C"/>
    <w:rsid w:val="00B102CC"/>
    <w:rsid w:val="00B10D23"/>
    <w:rsid w:val="00B10ED6"/>
    <w:rsid w:val="00B110D9"/>
    <w:rsid w:val="00B115D2"/>
    <w:rsid w:val="00B11AC8"/>
    <w:rsid w:val="00B11B37"/>
    <w:rsid w:val="00B12832"/>
    <w:rsid w:val="00B1366E"/>
    <w:rsid w:val="00B138AB"/>
    <w:rsid w:val="00B13EAA"/>
    <w:rsid w:val="00B14150"/>
    <w:rsid w:val="00B141D1"/>
    <w:rsid w:val="00B145B5"/>
    <w:rsid w:val="00B14606"/>
    <w:rsid w:val="00B148EB"/>
    <w:rsid w:val="00B149CB"/>
    <w:rsid w:val="00B14A03"/>
    <w:rsid w:val="00B15127"/>
    <w:rsid w:val="00B15A1D"/>
    <w:rsid w:val="00B16C59"/>
    <w:rsid w:val="00B16E1B"/>
    <w:rsid w:val="00B17171"/>
    <w:rsid w:val="00B17FB3"/>
    <w:rsid w:val="00B20969"/>
    <w:rsid w:val="00B20E5A"/>
    <w:rsid w:val="00B21EA7"/>
    <w:rsid w:val="00B224DD"/>
    <w:rsid w:val="00B22CFE"/>
    <w:rsid w:val="00B22DFB"/>
    <w:rsid w:val="00B22FA3"/>
    <w:rsid w:val="00B2354C"/>
    <w:rsid w:val="00B2442D"/>
    <w:rsid w:val="00B24ABC"/>
    <w:rsid w:val="00B25114"/>
    <w:rsid w:val="00B2523E"/>
    <w:rsid w:val="00B252F8"/>
    <w:rsid w:val="00B26108"/>
    <w:rsid w:val="00B2621B"/>
    <w:rsid w:val="00B26461"/>
    <w:rsid w:val="00B26CF7"/>
    <w:rsid w:val="00B27D26"/>
    <w:rsid w:val="00B31B38"/>
    <w:rsid w:val="00B32229"/>
    <w:rsid w:val="00B3289B"/>
    <w:rsid w:val="00B328FD"/>
    <w:rsid w:val="00B33306"/>
    <w:rsid w:val="00B334CE"/>
    <w:rsid w:val="00B34241"/>
    <w:rsid w:val="00B347DF"/>
    <w:rsid w:val="00B35395"/>
    <w:rsid w:val="00B35ADC"/>
    <w:rsid w:val="00B35BD9"/>
    <w:rsid w:val="00B3623D"/>
    <w:rsid w:val="00B367FA"/>
    <w:rsid w:val="00B37003"/>
    <w:rsid w:val="00B372C0"/>
    <w:rsid w:val="00B37576"/>
    <w:rsid w:val="00B409F8"/>
    <w:rsid w:val="00B42129"/>
    <w:rsid w:val="00B433CA"/>
    <w:rsid w:val="00B44B21"/>
    <w:rsid w:val="00B4596E"/>
    <w:rsid w:val="00B45D36"/>
    <w:rsid w:val="00B4670A"/>
    <w:rsid w:val="00B4737F"/>
    <w:rsid w:val="00B50103"/>
    <w:rsid w:val="00B5035F"/>
    <w:rsid w:val="00B528CD"/>
    <w:rsid w:val="00B53712"/>
    <w:rsid w:val="00B53AAE"/>
    <w:rsid w:val="00B53F92"/>
    <w:rsid w:val="00B547BA"/>
    <w:rsid w:val="00B5504F"/>
    <w:rsid w:val="00B5568B"/>
    <w:rsid w:val="00B5607E"/>
    <w:rsid w:val="00B561D5"/>
    <w:rsid w:val="00B56C13"/>
    <w:rsid w:val="00B57341"/>
    <w:rsid w:val="00B57FA9"/>
    <w:rsid w:val="00B60252"/>
    <w:rsid w:val="00B605C1"/>
    <w:rsid w:val="00B60DCE"/>
    <w:rsid w:val="00B61AA6"/>
    <w:rsid w:val="00B61C6A"/>
    <w:rsid w:val="00B61E54"/>
    <w:rsid w:val="00B625E9"/>
    <w:rsid w:val="00B62922"/>
    <w:rsid w:val="00B62B58"/>
    <w:rsid w:val="00B62D50"/>
    <w:rsid w:val="00B6311F"/>
    <w:rsid w:val="00B6355E"/>
    <w:rsid w:val="00B640BE"/>
    <w:rsid w:val="00B65110"/>
    <w:rsid w:val="00B65901"/>
    <w:rsid w:val="00B65ACA"/>
    <w:rsid w:val="00B65FDA"/>
    <w:rsid w:val="00B66882"/>
    <w:rsid w:val="00B67655"/>
    <w:rsid w:val="00B67AD9"/>
    <w:rsid w:val="00B70473"/>
    <w:rsid w:val="00B70722"/>
    <w:rsid w:val="00B70970"/>
    <w:rsid w:val="00B70C5C"/>
    <w:rsid w:val="00B71A86"/>
    <w:rsid w:val="00B71F6F"/>
    <w:rsid w:val="00B7252A"/>
    <w:rsid w:val="00B73143"/>
    <w:rsid w:val="00B73E47"/>
    <w:rsid w:val="00B74058"/>
    <w:rsid w:val="00B76597"/>
    <w:rsid w:val="00B76A07"/>
    <w:rsid w:val="00B76DD8"/>
    <w:rsid w:val="00B7729C"/>
    <w:rsid w:val="00B779E2"/>
    <w:rsid w:val="00B8027C"/>
    <w:rsid w:val="00B8187B"/>
    <w:rsid w:val="00B819B2"/>
    <w:rsid w:val="00B81AD3"/>
    <w:rsid w:val="00B82B7A"/>
    <w:rsid w:val="00B82CD5"/>
    <w:rsid w:val="00B830DE"/>
    <w:rsid w:val="00B8323F"/>
    <w:rsid w:val="00B83D09"/>
    <w:rsid w:val="00B84833"/>
    <w:rsid w:val="00B8490A"/>
    <w:rsid w:val="00B84EB4"/>
    <w:rsid w:val="00B858AF"/>
    <w:rsid w:val="00B85FE3"/>
    <w:rsid w:val="00B860DF"/>
    <w:rsid w:val="00B86408"/>
    <w:rsid w:val="00B87771"/>
    <w:rsid w:val="00B878B5"/>
    <w:rsid w:val="00B90D77"/>
    <w:rsid w:val="00B91EAC"/>
    <w:rsid w:val="00B924DA"/>
    <w:rsid w:val="00B92A58"/>
    <w:rsid w:val="00B93265"/>
    <w:rsid w:val="00B93BE1"/>
    <w:rsid w:val="00B93F6C"/>
    <w:rsid w:val="00B95E78"/>
    <w:rsid w:val="00B96825"/>
    <w:rsid w:val="00B96D6F"/>
    <w:rsid w:val="00BA0664"/>
    <w:rsid w:val="00BA07E5"/>
    <w:rsid w:val="00BA0819"/>
    <w:rsid w:val="00BA08FD"/>
    <w:rsid w:val="00BA0A43"/>
    <w:rsid w:val="00BA0B00"/>
    <w:rsid w:val="00BA18BB"/>
    <w:rsid w:val="00BA199B"/>
    <w:rsid w:val="00BA1A29"/>
    <w:rsid w:val="00BA1B0E"/>
    <w:rsid w:val="00BA2163"/>
    <w:rsid w:val="00BA29E1"/>
    <w:rsid w:val="00BA32A3"/>
    <w:rsid w:val="00BA3B8F"/>
    <w:rsid w:val="00BA3CE6"/>
    <w:rsid w:val="00BA3E2D"/>
    <w:rsid w:val="00BA4132"/>
    <w:rsid w:val="00BA48EF"/>
    <w:rsid w:val="00BA50F9"/>
    <w:rsid w:val="00BA5812"/>
    <w:rsid w:val="00BA6535"/>
    <w:rsid w:val="00BA67D1"/>
    <w:rsid w:val="00BA6EBA"/>
    <w:rsid w:val="00BA6F47"/>
    <w:rsid w:val="00BA73DA"/>
    <w:rsid w:val="00BA7AC8"/>
    <w:rsid w:val="00BA7DBB"/>
    <w:rsid w:val="00BB0601"/>
    <w:rsid w:val="00BB0804"/>
    <w:rsid w:val="00BB0D09"/>
    <w:rsid w:val="00BB1420"/>
    <w:rsid w:val="00BB18E1"/>
    <w:rsid w:val="00BB1D90"/>
    <w:rsid w:val="00BB1DF9"/>
    <w:rsid w:val="00BB2348"/>
    <w:rsid w:val="00BB2ABA"/>
    <w:rsid w:val="00BB3176"/>
    <w:rsid w:val="00BB31B5"/>
    <w:rsid w:val="00BB330F"/>
    <w:rsid w:val="00BB3950"/>
    <w:rsid w:val="00BB4155"/>
    <w:rsid w:val="00BB4A4A"/>
    <w:rsid w:val="00BB5A5C"/>
    <w:rsid w:val="00BB5E34"/>
    <w:rsid w:val="00BB5F32"/>
    <w:rsid w:val="00BB6B36"/>
    <w:rsid w:val="00BB6DBD"/>
    <w:rsid w:val="00BC00AC"/>
    <w:rsid w:val="00BC065A"/>
    <w:rsid w:val="00BC0B24"/>
    <w:rsid w:val="00BC0EED"/>
    <w:rsid w:val="00BC1441"/>
    <w:rsid w:val="00BC1F84"/>
    <w:rsid w:val="00BC3298"/>
    <w:rsid w:val="00BC3697"/>
    <w:rsid w:val="00BC3D1F"/>
    <w:rsid w:val="00BC435A"/>
    <w:rsid w:val="00BC4415"/>
    <w:rsid w:val="00BC61B0"/>
    <w:rsid w:val="00BC621B"/>
    <w:rsid w:val="00BC6A16"/>
    <w:rsid w:val="00BC6FA6"/>
    <w:rsid w:val="00BD1353"/>
    <w:rsid w:val="00BD14B9"/>
    <w:rsid w:val="00BD2268"/>
    <w:rsid w:val="00BD27EF"/>
    <w:rsid w:val="00BD2B23"/>
    <w:rsid w:val="00BD2B28"/>
    <w:rsid w:val="00BD2D3A"/>
    <w:rsid w:val="00BD3869"/>
    <w:rsid w:val="00BD3A25"/>
    <w:rsid w:val="00BD3DB8"/>
    <w:rsid w:val="00BD3FD0"/>
    <w:rsid w:val="00BD4532"/>
    <w:rsid w:val="00BD4591"/>
    <w:rsid w:val="00BD4D46"/>
    <w:rsid w:val="00BD554E"/>
    <w:rsid w:val="00BD5CFC"/>
    <w:rsid w:val="00BD635B"/>
    <w:rsid w:val="00BD6C26"/>
    <w:rsid w:val="00BD6E92"/>
    <w:rsid w:val="00BD6F12"/>
    <w:rsid w:val="00BD71C5"/>
    <w:rsid w:val="00BD7483"/>
    <w:rsid w:val="00BD7731"/>
    <w:rsid w:val="00BD7B24"/>
    <w:rsid w:val="00BD7B5B"/>
    <w:rsid w:val="00BE05CB"/>
    <w:rsid w:val="00BE08C5"/>
    <w:rsid w:val="00BE0A13"/>
    <w:rsid w:val="00BE0CDC"/>
    <w:rsid w:val="00BE1605"/>
    <w:rsid w:val="00BE16C9"/>
    <w:rsid w:val="00BE27B6"/>
    <w:rsid w:val="00BE2A5E"/>
    <w:rsid w:val="00BE2A9E"/>
    <w:rsid w:val="00BE2E25"/>
    <w:rsid w:val="00BE3555"/>
    <w:rsid w:val="00BE3558"/>
    <w:rsid w:val="00BE37A2"/>
    <w:rsid w:val="00BE41CD"/>
    <w:rsid w:val="00BE4377"/>
    <w:rsid w:val="00BE4636"/>
    <w:rsid w:val="00BE4DDB"/>
    <w:rsid w:val="00BE51A1"/>
    <w:rsid w:val="00BE5498"/>
    <w:rsid w:val="00BE5F6B"/>
    <w:rsid w:val="00BE62B3"/>
    <w:rsid w:val="00BE6610"/>
    <w:rsid w:val="00BE674A"/>
    <w:rsid w:val="00BE6807"/>
    <w:rsid w:val="00BE69AE"/>
    <w:rsid w:val="00BE7243"/>
    <w:rsid w:val="00BE743E"/>
    <w:rsid w:val="00BE7755"/>
    <w:rsid w:val="00BE7CB1"/>
    <w:rsid w:val="00BF0BA0"/>
    <w:rsid w:val="00BF0BFF"/>
    <w:rsid w:val="00BF1894"/>
    <w:rsid w:val="00BF1B38"/>
    <w:rsid w:val="00BF2313"/>
    <w:rsid w:val="00BF2662"/>
    <w:rsid w:val="00BF3016"/>
    <w:rsid w:val="00BF3DEA"/>
    <w:rsid w:val="00BF40E0"/>
    <w:rsid w:val="00BF44A6"/>
    <w:rsid w:val="00BF4628"/>
    <w:rsid w:val="00BF4A9C"/>
    <w:rsid w:val="00BF4C7A"/>
    <w:rsid w:val="00BF5136"/>
    <w:rsid w:val="00BF513D"/>
    <w:rsid w:val="00BF57BC"/>
    <w:rsid w:val="00BF5E12"/>
    <w:rsid w:val="00BF6B51"/>
    <w:rsid w:val="00BF759D"/>
    <w:rsid w:val="00BF77E3"/>
    <w:rsid w:val="00BF7C20"/>
    <w:rsid w:val="00C00A6D"/>
    <w:rsid w:val="00C01091"/>
    <w:rsid w:val="00C01333"/>
    <w:rsid w:val="00C013DF"/>
    <w:rsid w:val="00C01DB5"/>
    <w:rsid w:val="00C02B2D"/>
    <w:rsid w:val="00C02BB6"/>
    <w:rsid w:val="00C02C73"/>
    <w:rsid w:val="00C03971"/>
    <w:rsid w:val="00C0463C"/>
    <w:rsid w:val="00C0482A"/>
    <w:rsid w:val="00C048F0"/>
    <w:rsid w:val="00C04C97"/>
    <w:rsid w:val="00C04FC3"/>
    <w:rsid w:val="00C0509F"/>
    <w:rsid w:val="00C050C7"/>
    <w:rsid w:val="00C05C29"/>
    <w:rsid w:val="00C05CB6"/>
    <w:rsid w:val="00C0690E"/>
    <w:rsid w:val="00C06F84"/>
    <w:rsid w:val="00C07196"/>
    <w:rsid w:val="00C074F8"/>
    <w:rsid w:val="00C07AEE"/>
    <w:rsid w:val="00C103C2"/>
    <w:rsid w:val="00C10714"/>
    <w:rsid w:val="00C11EE2"/>
    <w:rsid w:val="00C12A62"/>
    <w:rsid w:val="00C1384A"/>
    <w:rsid w:val="00C139C4"/>
    <w:rsid w:val="00C15675"/>
    <w:rsid w:val="00C165E6"/>
    <w:rsid w:val="00C16728"/>
    <w:rsid w:val="00C16862"/>
    <w:rsid w:val="00C16F30"/>
    <w:rsid w:val="00C17AD3"/>
    <w:rsid w:val="00C17AFC"/>
    <w:rsid w:val="00C2125E"/>
    <w:rsid w:val="00C218FA"/>
    <w:rsid w:val="00C21D5D"/>
    <w:rsid w:val="00C226D0"/>
    <w:rsid w:val="00C2290F"/>
    <w:rsid w:val="00C22A22"/>
    <w:rsid w:val="00C233CC"/>
    <w:rsid w:val="00C240E7"/>
    <w:rsid w:val="00C242EA"/>
    <w:rsid w:val="00C246FF"/>
    <w:rsid w:val="00C247A3"/>
    <w:rsid w:val="00C24969"/>
    <w:rsid w:val="00C24E7B"/>
    <w:rsid w:val="00C25B4E"/>
    <w:rsid w:val="00C25EAC"/>
    <w:rsid w:val="00C27123"/>
    <w:rsid w:val="00C2727B"/>
    <w:rsid w:val="00C272F8"/>
    <w:rsid w:val="00C27556"/>
    <w:rsid w:val="00C277D9"/>
    <w:rsid w:val="00C27811"/>
    <w:rsid w:val="00C27878"/>
    <w:rsid w:val="00C30887"/>
    <w:rsid w:val="00C30ECF"/>
    <w:rsid w:val="00C31DC4"/>
    <w:rsid w:val="00C31F14"/>
    <w:rsid w:val="00C328E9"/>
    <w:rsid w:val="00C333F9"/>
    <w:rsid w:val="00C346F0"/>
    <w:rsid w:val="00C35143"/>
    <w:rsid w:val="00C35383"/>
    <w:rsid w:val="00C35936"/>
    <w:rsid w:val="00C3690E"/>
    <w:rsid w:val="00C36C94"/>
    <w:rsid w:val="00C36E5D"/>
    <w:rsid w:val="00C407CB"/>
    <w:rsid w:val="00C40880"/>
    <w:rsid w:val="00C40EBD"/>
    <w:rsid w:val="00C41509"/>
    <w:rsid w:val="00C41726"/>
    <w:rsid w:val="00C41E73"/>
    <w:rsid w:val="00C42026"/>
    <w:rsid w:val="00C4229A"/>
    <w:rsid w:val="00C42495"/>
    <w:rsid w:val="00C426ED"/>
    <w:rsid w:val="00C4391F"/>
    <w:rsid w:val="00C43C05"/>
    <w:rsid w:val="00C442C8"/>
    <w:rsid w:val="00C44B23"/>
    <w:rsid w:val="00C44B5C"/>
    <w:rsid w:val="00C44B85"/>
    <w:rsid w:val="00C44C95"/>
    <w:rsid w:val="00C45291"/>
    <w:rsid w:val="00C45874"/>
    <w:rsid w:val="00C45C06"/>
    <w:rsid w:val="00C45F1A"/>
    <w:rsid w:val="00C46192"/>
    <w:rsid w:val="00C46537"/>
    <w:rsid w:val="00C47C2D"/>
    <w:rsid w:val="00C47F61"/>
    <w:rsid w:val="00C513DB"/>
    <w:rsid w:val="00C5190F"/>
    <w:rsid w:val="00C51E94"/>
    <w:rsid w:val="00C52197"/>
    <w:rsid w:val="00C53147"/>
    <w:rsid w:val="00C53962"/>
    <w:rsid w:val="00C54187"/>
    <w:rsid w:val="00C545C9"/>
    <w:rsid w:val="00C54BAA"/>
    <w:rsid w:val="00C55DE2"/>
    <w:rsid w:val="00C5630F"/>
    <w:rsid w:val="00C565CD"/>
    <w:rsid w:val="00C5693F"/>
    <w:rsid w:val="00C57739"/>
    <w:rsid w:val="00C57D1F"/>
    <w:rsid w:val="00C606C9"/>
    <w:rsid w:val="00C61451"/>
    <w:rsid w:val="00C6173A"/>
    <w:rsid w:val="00C61854"/>
    <w:rsid w:val="00C61FDC"/>
    <w:rsid w:val="00C62156"/>
    <w:rsid w:val="00C626A2"/>
    <w:rsid w:val="00C62A7D"/>
    <w:rsid w:val="00C63093"/>
    <w:rsid w:val="00C63481"/>
    <w:rsid w:val="00C6378F"/>
    <w:rsid w:val="00C6380F"/>
    <w:rsid w:val="00C63DDB"/>
    <w:rsid w:val="00C642A6"/>
    <w:rsid w:val="00C64773"/>
    <w:rsid w:val="00C6494D"/>
    <w:rsid w:val="00C64AEA"/>
    <w:rsid w:val="00C64DE2"/>
    <w:rsid w:val="00C64DE9"/>
    <w:rsid w:val="00C6548B"/>
    <w:rsid w:val="00C65565"/>
    <w:rsid w:val="00C66557"/>
    <w:rsid w:val="00C671A6"/>
    <w:rsid w:val="00C67262"/>
    <w:rsid w:val="00C67B36"/>
    <w:rsid w:val="00C67B8D"/>
    <w:rsid w:val="00C67C6D"/>
    <w:rsid w:val="00C67CDC"/>
    <w:rsid w:val="00C7042B"/>
    <w:rsid w:val="00C70ACF"/>
    <w:rsid w:val="00C7107E"/>
    <w:rsid w:val="00C71788"/>
    <w:rsid w:val="00C71D57"/>
    <w:rsid w:val="00C71E88"/>
    <w:rsid w:val="00C71ED6"/>
    <w:rsid w:val="00C72540"/>
    <w:rsid w:val="00C726A0"/>
    <w:rsid w:val="00C73364"/>
    <w:rsid w:val="00C73890"/>
    <w:rsid w:val="00C73E9C"/>
    <w:rsid w:val="00C74710"/>
    <w:rsid w:val="00C74E6E"/>
    <w:rsid w:val="00C76099"/>
    <w:rsid w:val="00C76409"/>
    <w:rsid w:val="00C76418"/>
    <w:rsid w:val="00C772D8"/>
    <w:rsid w:val="00C77894"/>
    <w:rsid w:val="00C80B38"/>
    <w:rsid w:val="00C80D5A"/>
    <w:rsid w:val="00C81351"/>
    <w:rsid w:val="00C81D88"/>
    <w:rsid w:val="00C8295C"/>
    <w:rsid w:val="00C8372F"/>
    <w:rsid w:val="00C83D5C"/>
    <w:rsid w:val="00C83E1E"/>
    <w:rsid w:val="00C84B98"/>
    <w:rsid w:val="00C850EF"/>
    <w:rsid w:val="00C8520D"/>
    <w:rsid w:val="00C853C6"/>
    <w:rsid w:val="00C865F0"/>
    <w:rsid w:val="00C86731"/>
    <w:rsid w:val="00C86E7D"/>
    <w:rsid w:val="00C86E83"/>
    <w:rsid w:val="00C90122"/>
    <w:rsid w:val="00C90F89"/>
    <w:rsid w:val="00C91246"/>
    <w:rsid w:val="00C9198F"/>
    <w:rsid w:val="00C91A70"/>
    <w:rsid w:val="00C92CDE"/>
    <w:rsid w:val="00C94352"/>
    <w:rsid w:val="00C94F22"/>
    <w:rsid w:val="00C95340"/>
    <w:rsid w:val="00C9576E"/>
    <w:rsid w:val="00C95B3B"/>
    <w:rsid w:val="00C95ED2"/>
    <w:rsid w:val="00C97525"/>
    <w:rsid w:val="00C975FF"/>
    <w:rsid w:val="00C97A00"/>
    <w:rsid w:val="00C97BFC"/>
    <w:rsid w:val="00C97D16"/>
    <w:rsid w:val="00CA01F6"/>
    <w:rsid w:val="00CA083D"/>
    <w:rsid w:val="00CA0BFA"/>
    <w:rsid w:val="00CA171A"/>
    <w:rsid w:val="00CA19B5"/>
    <w:rsid w:val="00CA2A18"/>
    <w:rsid w:val="00CA2C98"/>
    <w:rsid w:val="00CA2ECA"/>
    <w:rsid w:val="00CA30B6"/>
    <w:rsid w:val="00CA3362"/>
    <w:rsid w:val="00CA3B51"/>
    <w:rsid w:val="00CA4152"/>
    <w:rsid w:val="00CA4803"/>
    <w:rsid w:val="00CA4DBB"/>
    <w:rsid w:val="00CA5363"/>
    <w:rsid w:val="00CA5BB4"/>
    <w:rsid w:val="00CA6339"/>
    <w:rsid w:val="00CA6A78"/>
    <w:rsid w:val="00CA79AE"/>
    <w:rsid w:val="00CA7A2F"/>
    <w:rsid w:val="00CA7B5B"/>
    <w:rsid w:val="00CA7E3D"/>
    <w:rsid w:val="00CB01E2"/>
    <w:rsid w:val="00CB043A"/>
    <w:rsid w:val="00CB0DCD"/>
    <w:rsid w:val="00CB127A"/>
    <w:rsid w:val="00CB1987"/>
    <w:rsid w:val="00CB1B68"/>
    <w:rsid w:val="00CB1CA5"/>
    <w:rsid w:val="00CB1FE1"/>
    <w:rsid w:val="00CB23C4"/>
    <w:rsid w:val="00CB23D3"/>
    <w:rsid w:val="00CB2A11"/>
    <w:rsid w:val="00CB2F1F"/>
    <w:rsid w:val="00CB2F43"/>
    <w:rsid w:val="00CB335C"/>
    <w:rsid w:val="00CB39FA"/>
    <w:rsid w:val="00CB3DAC"/>
    <w:rsid w:val="00CB4163"/>
    <w:rsid w:val="00CB4529"/>
    <w:rsid w:val="00CB4C96"/>
    <w:rsid w:val="00CB5148"/>
    <w:rsid w:val="00CB5B4A"/>
    <w:rsid w:val="00CB6917"/>
    <w:rsid w:val="00CB6A97"/>
    <w:rsid w:val="00CB6ADB"/>
    <w:rsid w:val="00CB6F86"/>
    <w:rsid w:val="00CC0AAF"/>
    <w:rsid w:val="00CC0AFB"/>
    <w:rsid w:val="00CC0B6A"/>
    <w:rsid w:val="00CC1352"/>
    <w:rsid w:val="00CC3EC5"/>
    <w:rsid w:val="00CC41CD"/>
    <w:rsid w:val="00CC46BA"/>
    <w:rsid w:val="00CC56B2"/>
    <w:rsid w:val="00CC56C1"/>
    <w:rsid w:val="00CC56DD"/>
    <w:rsid w:val="00CC574E"/>
    <w:rsid w:val="00CC587E"/>
    <w:rsid w:val="00CC64AE"/>
    <w:rsid w:val="00CC653C"/>
    <w:rsid w:val="00CC698F"/>
    <w:rsid w:val="00CC7074"/>
    <w:rsid w:val="00CC7315"/>
    <w:rsid w:val="00CD082A"/>
    <w:rsid w:val="00CD0AA0"/>
    <w:rsid w:val="00CD0E33"/>
    <w:rsid w:val="00CD0F9E"/>
    <w:rsid w:val="00CD1D1E"/>
    <w:rsid w:val="00CD1FDC"/>
    <w:rsid w:val="00CD2452"/>
    <w:rsid w:val="00CD2835"/>
    <w:rsid w:val="00CD2D33"/>
    <w:rsid w:val="00CD32D4"/>
    <w:rsid w:val="00CD3DB5"/>
    <w:rsid w:val="00CD5417"/>
    <w:rsid w:val="00CD6923"/>
    <w:rsid w:val="00CE1D62"/>
    <w:rsid w:val="00CE20C4"/>
    <w:rsid w:val="00CE21DA"/>
    <w:rsid w:val="00CE2B95"/>
    <w:rsid w:val="00CE31B7"/>
    <w:rsid w:val="00CE3606"/>
    <w:rsid w:val="00CE3FF5"/>
    <w:rsid w:val="00CE4961"/>
    <w:rsid w:val="00CE568D"/>
    <w:rsid w:val="00CE5CBA"/>
    <w:rsid w:val="00CE627D"/>
    <w:rsid w:val="00CE6C0D"/>
    <w:rsid w:val="00CE6EA0"/>
    <w:rsid w:val="00CE6EDA"/>
    <w:rsid w:val="00CF02AF"/>
    <w:rsid w:val="00CF09C1"/>
    <w:rsid w:val="00CF0AB3"/>
    <w:rsid w:val="00CF1284"/>
    <w:rsid w:val="00CF179F"/>
    <w:rsid w:val="00CF1E58"/>
    <w:rsid w:val="00CF2B8F"/>
    <w:rsid w:val="00CF33EA"/>
    <w:rsid w:val="00CF3471"/>
    <w:rsid w:val="00CF351E"/>
    <w:rsid w:val="00CF3952"/>
    <w:rsid w:val="00CF3DCA"/>
    <w:rsid w:val="00CF41A2"/>
    <w:rsid w:val="00CF453D"/>
    <w:rsid w:val="00CF53A3"/>
    <w:rsid w:val="00CF6F62"/>
    <w:rsid w:val="00CF6FF5"/>
    <w:rsid w:val="00CF70D3"/>
    <w:rsid w:val="00CF7F78"/>
    <w:rsid w:val="00D001B9"/>
    <w:rsid w:val="00D00238"/>
    <w:rsid w:val="00D0036E"/>
    <w:rsid w:val="00D00C69"/>
    <w:rsid w:val="00D0251E"/>
    <w:rsid w:val="00D035A6"/>
    <w:rsid w:val="00D04413"/>
    <w:rsid w:val="00D053D9"/>
    <w:rsid w:val="00D058DB"/>
    <w:rsid w:val="00D05A8F"/>
    <w:rsid w:val="00D05B9B"/>
    <w:rsid w:val="00D05EE2"/>
    <w:rsid w:val="00D05F91"/>
    <w:rsid w:val="00D07143"/>
    <w:rsid w:val="00D075CB"/>
    <w:rsid w:val="00D07BFC"/>
    <w:rsid w:val="00D07E96"/>
    <w:rsid w:val="00D100EC"/>
    <w:rsid w:val="00D11860"/>
    <w:rsid w:val="00D11F24"/>
    <w:rsid w:val="00D122B1"/>
    <w:rsid w:val="00D12CBE"/>
    <w:rsid w:val="00D137E4"/>
    <w:rsid w:val="00D13829"/>
    <w:rsid w:val="00D13881"/>
    <w:rsid w:val="00D13A0F"/>
    <w:rsid w:val="00D14DF9"/>
    <w:rsid w:val="00D15478"/>
    <w:rsid w:val="00D15662"/>
    <w:rsid w:val="00D15718"/>
    <w:rsid w:val="00D1608E"/>
    <w:rsid w:val="00D16356"/>
    <w:rsid w:val="00D16CC9"/>
    <w:rsid w:val="00D16D5A"/>
    <w:rsid w:val="00D2089E"/>
    <w:rsid w:val="00D2116F"/>
    <w:rsid w:val="00D217A2"/>
    <w:rsid w:val="00D21DBA"/>
    <w:rsid w:val="00D22F84"/>
    <w:rsid w:val="00D2322B"/>
    <w:rsid w:val="00D23562"/>
    <w:rsid w:val="00D2423D"/>
    <w:rsid w:val="00D24AC4"/>
    <w:rsid w:val="00D24B6B"/>
    <w:rsid w:val="00D24F8E"/>
    <w:rsid w:val="00D268C0"/>
    <w:rsid w:val="00D26AA4"/>
    <w:rsid w:val="00D26AEE"/>
    <w:rsid w:val="00D26B90"/>
    <w:rsid w:val="00D26C43"/>
    <w:rsid w:val="00D279A6"/>
    <w:rsid w:val="00D27FE4"/>
    <w:rsid w:val="00D300E8"/>
    <w:rsid w:val="00D30C75"/>
    <w:rsid w:val="00D316B8"/>
    <w:rsid w:val="00D318E1"/>
    <w:rsid w:val="00D31DF5"/>
    <w:rsid w:val="00D31FD5"/>
    <w:rsid w:val="00D32D33"/>
    <w:rsid w:val="00D34F2F"/>
    <w:rsid w:val="00D353E1"/>
    <w:rsid w:val="00D35B1D"/>
    <w:rsid w:val="00D35C37"/>
    <w:rsid w:val="00D364C3"/>
    <w:rsid w:val="00D36B67"/>
    <w:rsid w:val="00D36BB4"/>
    <w:rsid w:val="00D3720D"/>
    <w:rsid w:val="00D40381"/>
    <w:rsid w:val="00D40BFB"/>
    <w:rsid w:val="00D41B8C"/>
    <w:rsid w:val="00D41D93"/>
    <w:rsid w:val="00D423BD"/>
    <w:rsid w:val="00D429EC"/>
    <w:rsid w:val="00D42B7A"/>
    <w:rsid w:val="00D42C42"/>
    <w:rsid w:val="00D433CC"/>
    <w:rsid w:val="00D437B4"/>
    <w:rsid w:val="00D43DF8"/>
    <w:rsid w:val="00D4480B"/>
    <w:rsid w:val="00D448D4"/>
    <w:rsid w:val="00D454B4"/>
    <w:rsid w:val="00D457F9"/>
    <w:rsid w:val="00D46714"/>
    <w:rsid w:val="00D46814"/>
    <w:rsid w:val="00D502E5"/>
    <w:rsid w:val="00D5042C"/>
    <w:rsid w:val="00D50D5E"/>
    <w:rsid w:val="00D51234"/>
    <w:rsid w:val="00D5141D"/>
    <w:rsid w:val="00D51494"/>
    <w:rsid w:val="00D51849"/>
    <w:rsid w:val="00D51D0E"/>
    <w:rsid w:val="00D526E2"/>
    <w:rsid w:val="00D52AE7"/>
    <w:rsid w:val="00D52ED9"/>
    <w:rsid w:val="00D53173"/>
    <w:rsid w:val="00D5551D"/>
    <w:rsid w:val="00D5594F"/>
    <w:rsid w:val="00D55D1E"/>
    <w:rsid w:val="00D55D4F"/>
    <w:rsid w:val="00D55D6F"/>
    <w:rsid w:val="00D55E4F"/>
    <w:rsid w:val="00D55E56"/>
    <w:rsid w:val="00D56441"/>
    <w:rsid w:val="00D572E1"/>
    <w:rsid w:val="00D57333"/>
    <w:rsid w:val="00D5771E"/>
    <w:rsid w:val="00D57929"/>
    <w:rsid w:val="00D57CBB"/>
    <w:rsid w:val="00D603C7"/>
    <w:rsid w:val="00D60AA8"/>
    <w:rsid w:val="00D6137C"/>
    <w:rsid w:val="00D62686"/>
    <w:rsid w:val="00D63367"/>
    <w:rsid w:val="00D6350E"/>
    <w:rsid w:val="00D63782"/>
    <w:rsid w:val="00D64CDA"/>
    <w:rsid w:val="00D653F2"/>
    <w:rsid w:val="00D65BFE"/>
    <w:rsid w:val="00D65D5F"/>
    <w:rsid w:val="00D65F41"/>
    <w:rsid w:val="00D67583"/>
    <w:rsid w:val="00D700B0"/>
    <w:rsid w:val="00D70580"/>
    <w:rsid w:val="00D71524"/>
    <w:rsid w:val="00D71568"/>
    <w:rsid w:val="00D71BB9"/>
    <w:rsid w:val="00D7208E"/>
    <w:rsid w:val="00D720BC"/>
    <w:rsid w:val="00D72930"/>
    <w:rsid w:val="00D72DE8"/>
    <w:rsid w:val="00D72EC4"/>
    <w:rsid w:val="00D72EF6"/>
    <w:rsid w:val="00D73422"/>
    <w:rsid w:val="00D73E31"/>
    <w:rsid w:val="00D74561"/>
    <w:rsid w:val="00D748D1"/>
    <w:rsid w:val="00D74DA7"/>
    <w:rsid w:val="00D76533"/>
    <w:rsid w:val="00D76C5A"/>
    <w:rsid w:val="00D77380"/>
    <w:rsid w:val="00D77D42"/>
    <w:rsid w:val="00D802B7"/>
    <w:rsid w:val="00D808C0"/>
    <w:rsid w:val="00D80F51"/>
    <w:rsid w:val="00D814A1"/>
    <w:rsid w:val="00D81947"/>
    <w:rsid w:val="00D81C59"/>
    <w:rsid w:val="00D820FD"/>
    <w:rsid w:val="00D8217B"/>
    <w:rsid w:val="00D82A6B"/>
    <w:rsid w:val="00D82E43"/>
    <w:rsid w:val="00D8315D"/>
    <w:rsid w:val="00D832B8"/>
    <w:rsid w:val="00D833E9"/>
    <w:rsid w:val="00D835E6"/>
    <w:rsid w:val="00D84233"/>
    <w:rsid w:val="00D8426B"/>
    <w:rsid w:val="00D84A56"/>
    <w:rsid w:val="00D854B1"/>
    <w:rsid w:val="00D86A2E"/>
    <w:rsid w:val="00D900AA"/>
    <w:rsid w:val="00D90137"/>
    <w:rsid w:val="00D91585"/>
    <w:rsid w:val="00D91C20"/>
    <w:rsid w:val="00D91E85"/>
    <w:rsid w:val="00D92438"/>
    <w:rsid w:val="00D92912"/>
    <w:rsid w:val="00D92B2D"/>
    <w:rsid w:val="00D93231"/>
    <w:rsid w:val="00D94338"/>
    <w:rsid w:val="00D949B9"/>
    <w:rsid w:val="00D94A32"/>
    <w:rsid w:val="00D94D89"/>
    <w:rsid w:val="00D965BD"/>
    <w:rsid w:val="00D96E2E"/>
    <w:rsid w:val="00D9783F"/>
    <w:rsid w:val="00DA0668"/>
    <w:rsid w:val="00DA075C"/>
    <w:rsid w:val="00DA1F07"/>
    <w:rsid w:val="00DA3578"/>
    <w:rsid w:val="00DA39AD"/>
    <w:rsid w:val="00DA5DD2"/>
    <w:rsid w:val="00DA63AC"/>
    <w:rsid w:val="00DA6596"/>
    <w:rsid w:val="00DA75C8"/>
    <w:rsid w:val="00DA78B5"/>
    <w:rsid w:val="00DB1AF2"/>
    <w:rsid w:val="00DB1C5F"/>
    <w:rsid w:val="00DB271E"/>
    <w:rsid w:val="00DB29F2"/>
    <w:rsid w:val="00DB2C13"/>
    <w:rsid w:val="00DB3741"/>
    <w:rsid w:val="00DB37FA"/>
    <w:rsid w:val="00DB3C61"/>
    <w:rsid w:val="00DB52E9"/>
    <w:rsid w:val="00DB5720"/>
    <w:rsid w:val="00DB594B"/>
    <w:rsid w:val="00DB5E57"/>
    <w:rsid w:val="00DB63C6"/>
    <w:rsid w:val="00DB66C2"/>
    <w:rsid w:val="00DB7093"/>
    <w:rsid w:val="00DB7B01"/>
    <w:rsid w:val="00DC045C"/>
    <w:rsid w:val="00DC0ECE"/>
    <w:rsid w:val="00DC0ED9"/>
    <w:rsid w:val="00DC16B9"/>
    <w:rsid w:val="00DC2575"/>
    <w:rsid w:val="00DC35DA"/>
    <w:rsid w:val="00DC3D75"/>
    <w:rsid w:val="00DC459C"/>
    <w:rsid w:val="00DC4EE1"/>
    <w:rsid w:val="00DC5614"/>
    <w:rsid w:val="00DC5E0A"/>
    <w:rsid w:val="00DC6118"/>
    <w:rsid w:val="00DC684A"/>
    <w:rsid w:val="00DC7518"/>
    <w:rsid w:val="00DC7D30"/>
    <w:rsid w:val="00DC7E36"/>
    <w:rsid w:val="00DC7E3F"/>
    <w:rsid w:val="00DD0162"/>
    <w:rsid w:val="00DD01B4"/>
    <w:rsid w:val="00DD06F6"/>
    <w:rsid w:val="00DD1B65"/>
    <w:rsid w:val="00DD1DC0"/>
    <w:rsid w:val="00DD270C"/>
    <w:rsid w:val="00DD274A"/>
    <w:rsid w:val="00DD281D"/>
    <w:rsid w:val="00DD2978"/>
    <w:rsid w:val="00DD2BA8"/>
    <w:rsid w:val="00DD3B82"/>
    <w:rsid w:val="00DD3CED"/>
    <w:rsid w:val="00DD406F"/>
    <w:rsid w:val="00DD443A"/>
    <w:rsid w:val="00DD4968"/>
    <w:rsid w:val="00DD5301"/>
    <w:rsid w:val="00DD5555"/>
    <w:rsid w:val="00DD6586"/>
    <w:rsid w:val="00DD6653"/>
    <w:rsid w:val="00DD6BDF"/>
    <w:rsid w:val="00DD6D30"/>
    <w:rsid w:val="00DD6E44"/>
    <w:rsid w:val="00DD7079"/>
    <w:rsid w:val="00DD7955"/>
    <w:rsid w:val="00DD79BD"/>
    <w:rsid w:val="00DD7D63"/>
    <w:rsid w:val="00DD7ECB"/>
    <w:rsid w:val="00DE0245"/>
    <w:rsid w:val="00DE07B0"/>
    <w:rsid w:val="00DE082B"/>
    <w:rsid w:val="00DE1313"/>
    <w:rsid w:val="00DE1BE0"/>
    <w:rsid w:val="00DE27D2"/>
    <w:rsid w:val="00DE2CDA"/>
    <w:rsid w:val="00DE4B34"/>
    <w:rsid w:val="00DE4D9A"/>
    <w:rsid w:val="00DE5030"/>
    <w:rsid w:val="00DE584D"/>
    <w:rsid w:val="00DE62E0"/>
    <w:rsid w:val="00DE7062"/>
    <w:rsid w:val="00DE7480"/>
    <w:rsid w:val="00DF0543"/>
    <w:rsid w:val="00DF09D5"/>
    <w:rsid w:val="00DF0FBF"/>
    <w:rsid w:val="00DF1404"/>
    <w:rsid w:val="00DF2133"/>
    <w:rsid w:val="00DF227D"/>
    <w:rsid w:val="00DF2472"/>
    <w:rsid w:val="00DF2DA8"/>
    <w:rsid w:val="00DF32E0"/>
    <w:rsid w:val="00DF4AFF"/>
    <w:rsid w:val="00DF4C77"/>
    <w:rsid w:val="00DF62C6"/>
    <w:rsid w:val="00DF6713"/>
    <w:rsid w:val="00DF77CE"/>
    <w:rsid w:val="00E0119A"/>
    <w:rsid w:val="00E01CB6"/>
    <w:rsid w:val="00E021C1"/>
    <w:rsid w:val="00E023D0"/>
    <w:rsid w:val="00E04C22"/>
    <w:rsid w:val="00E05870"/>
    <w:rsid w:val="00E066E4"/>
    <w:rsid w:val="00E06935"/>
    <w:rsid w:val="00E100C0"/>
    <w:rsid w:val="00E11D6E"/>
    <w:rsid w:val="00E14870"/>
    <w:rsid w:val="00E1551B"/>
    <w:rsid w:val="00E15AE3"/>
    <w:rsid w:val="00E15F27"/>
    <w:rsid w:val="00E1638F"/>
    <w:rsid w:val="00E166FC"/>
    <w:rsid w:val="00E1672E"/>
    <w:rsid w:val="00E16DB8"/>
    <w:rsid w:val="00E17871"/>
    <w:rsid w:val="00E1798E"/>
    <w:rsid w:val="00E17F33"/>
    <w:rsid w:val="00E205C9"/>
    <w:rsid w:val="00E20A9D"/>
    <w:rsid w:val="00E21349"/>
    <w:rsid w:val="00E21AC0"/>
    <w:rsid w:val="00E222D3"/>
    <w:rsid w:val="00E2240D"/>
    <w:rsid w:val="00E22A2C"/>
    <w:rsid w:val="00E22DB1"/>
    <w:rsid w:val="00E234AE"/>
    <w:rsid w:val="00E236EE"/>
    <w:rsid w:val="00E239CF"/>
    <w:rsid w:val="00E240CE"/>
    <w:rsid w:val="00E244FF"/>
    <w:rsid w:val="00E24744"/>
    <w:rsid w:val="00E24C52"/>
    <w:rsid w:val="00E25585"/>
    <w:rsid w:val="00E255C4"/>
    <w:rsid w:val="00E25A0C"/>
    <w:rsid w:val="00E25A0F"/>
    <w:rsid w:val="00E25DE6"/>
    <w:rsid w:val="00E2646F"/>
    <w:rsid w:val="00E27700"/>
    <w:rsid w:val="00E3056D"/>
    <w:rsid w:val="00E30AAC"/>
    <w:rsid w:val="00E312C2"/>
    <w:rsid w:val="00E318AF"/>
    <w:rsid w:val="00E31D84"/>
    <w:rsid w:val="00E3246C"/>
    <w:rsid w:val="00E32F42"/>
    <w:rsid w:val="00E330D3"/>
    <w:rsid w:val="00E3318B"/>
    <w:rsid w:val="00E332ED"/>
    <w:rsid w:val="00E33467"/>
    <w:rsid w:val="00E34071"/>
    <w:rsid w:val="00E35F11"/>
    <w:rsid w:val="00E36289"/>
    <w:rsid w:val="00E370FA"/>
    <w:rsid w:val="00E379B4"/>
    <w:rsid w:val="00E40212"/>
    <w:rsid w:val="00E403A7"/>
    <w:rsid w:val="00E40F73"/>
    <w:rsid w:val="00E413D6"/>
    <w:rsid w:val="00E41476"/>
    <w:rsid w:val="00E41EC6"/>
    <w:rsid w:val="00E41F1E"/>
    <w:rsid w:val="00E4276A"/>
    <w:rsid w:val="00E42F55"/>
    <w:rsid w:val="00E434A1"/>
    <w:rsid w:val="00E44524"/>
    <w:rsid w:val="00E4488F"/>
    <w:rsid w:val="00E44DA4"/>
    <w:rsid w:val="00E45BB9"/>
    <w:rsid w:val="00E4643A"/>
    <w:rsid w:val="00E46F5A"/>
    <w:rsid w:val="00E47470"/>
    <w:rsid w:val="00E47F6C"/>
    <w:rsid w:val="00E50866"/>
    <w:rsid w:val="00E5090F"/>
    <w:rsid w:val="00E51021"/>
    <w:rsid w:val="00E512CF"/>
    <w:rsid w:val="00E513B6"/>
    <w:rsid w:val="00E5219F"/>
    <w:rsid w:val="00E5232A"/>
    <w:rsid w:val="00E528CA"/>
    <w:rsid w:val="00E53967"/>
    <w:rsid w:val="00E53CC8"/>
    <w:rsid w:val="00E53F02"/>
    <w:rsid w:val="00E54629"/>
    <w:rsid w:val="00E5476E"/>
    <w:rsid w:val="00E54FA1"/>
    <w:rsid w:val="00E556AC"/>
    <w:rsid w:val="00E55935"/>
    <w:rsid w:val="00E5596E"/>
    <w:rsid w:val="00E57B18"/>
    <w:rsid w:val="00E601C1"/>
    <w:rsid w:val="00E6083E"/>
    <w:rsid w:val="00E60D2C"/>
    <w:rsid w:val="00E60F10"/>
    <w:rsid w:val="00E60F46"/>
    <w:rsid w:val="00E61472"/>
    <w:rsid w:val="00E61B1A"/>
    <w:rsid w:val="00E6222E"/>
    <w:rsid w:val="00E62693"/>
    <w:rsid w:val="00E63B36"/>
    <w:rsid w:val="00E64119"/>
    <w:rsid w:val="00E64DAB"/>
    <w:rsid w:val="00E64E56"/>
    <w:rsid w:val="00E64F6D"/>
    <w:rsid w:val="00E650C6"/>
    <w:rsid w:val="00E65A4E"/>
    <w:rsid w:val="00E65BC4"/>
    <w:rsid w:val="00E66148"/>
    <w:rsid w:val="00E66752"/>
    <w:rsid w:val="00E6752B"/>
    <w:rsid w:val="00E675B0"/>
    <w:rsid w:val="00E676C8"/>
    <w:rsid w:val="00E67A95"/>
    <w:rsid w:val="00E70679"/>
    <w:rsid w:val="00E70992"/>
    <w:rsid w:val="00E70BC4"/>
    <w:rsid w:val="00E7184B"/>
    <w:rsid w:val="00E71F41"/>
    <w:rsid w:val="00E724B0"/>
    <w:rsid w:val="00E7344F"/>
    <w:rsid w:val="00E735D3"/>
    <w:rsid w:val="00E7368F"/>
    <w:rsid w:val="00E7372D"/>
    <w:rsid w:val="00E73846"/>
    <w:rsid w:val="00E73BCB"/>
    <w:rsid w:val="00E74241"/>
    <w:rsid w:val="00E744E0"/>
    <w:rsid w:val="00E751E2"/>
    <w:rsid w:val="00E75480"/>
    <w:rsid w:val="00E75DF7"/>
    <w:rsid w:val="00E76290"/>
    <w:rsid w:val="00E76480"/>
    <w:rsid w:val="00E76831"/>
    <w:rsid w:val="00E76C73"/>
    <w:rsid w:val="00E7728A"/>
    <w:rsid w:val="00E77B32"/>
    <w:rsid w:val="00E77CB2"/>
    <w:rsid w:val="00E80238"/>
    <w:rsid w:val="00E80796"/>
    <w:rsid w:val="00E80D0F"/>
    <w:rsid w:val="00E810A7"/>
    <w:rsid w:val="00E82302"/>
    <w:rsid w:val="00E824BC"/>
    <w:rsid w:val="00E82C80"/>
    <w:rsid w:val="00E83771"/>
    <w:rsid w:val="00E838AD"/>
    <w:rsid w:val="00E83E43"/>
    <w:rsid w:val="00E844FB"/>
    <w:rsid w:val="00E84A97"/>
    <w:rsid w:val="00E84AFE"/>
    <w:rsid w:val="00E84BE5"/>
    <w:rsid w:val="00E84F5E"/>
    <w:rsid w:val="00E86DEB"/>
    <w:rsid w:val="00E87260"/>
    <w:rsid w:val="00E87850"/>
    <w:rsid w:val="00E87ADD"/>
    <w:rsid w:val="00E87F67"/>
    <w:rsid w:val="00E902CF"/>
    <w:rsid w:val="00E905CB"/>
    <w:rsid w:val="00E90630"/>
    <w:rsid w:val="00E906B6"/>
    <w:rsid w:val="00E90833"/>
    <w:rsid w:val="00E914CD"/>
    <w:rsid w:val="00E917BD"/>
    <w:rsid w:val="00E9267E"/>
    <w:rsid w:val="00E9343E"/>
    <w:rsid w:val="00E93CDD"/>
    <w:rsid w:val="00E94541"/>
    <w:rsid w:val="00E948CD"/>
    <w:rsid w:val="00E94D18"/>
    <w:rsid w:val="00E95AA8"/>
    <w:rsid w:val="00E95E9A"/>
    <w:rsid w:val="00E96409"/>
    <w:rsid w:val="00E96882"/>
    <w:rsid w:val="00E968DF"/>
    <w:rsid w:val="00E971AA"/>
    <w:rsid w:val="00E971AF"/>
    <w:rsid w:val="00E97638"/>
    <w:rsid w:val="00E978DB"/>
    <w:rsid w:val="00EA078D"/>
    <w:rsid w:val="00EA080F"/>
    <w:rsid w:val="00EA0973"/>
    <w:rsid w:val="00EA10CD"/>
    <w:rsid w:val="00EA1398"/>
    <w:rsid w:val="00EA175B"/>
    <w:rsid w:val="00EA1821"/>
    <w:rsid w:val="00EA2FCC"/>
    <w:rsid w:val="00EA366A"/>
    <w:rsid w:val="00EA455C"/>
    <w:rsid w:val="00EA5946"/>
    <w:rsid w:val="00EA5C9D"/>
    <w:rsid w:val="00EA6EF4"/>
    <w:rsid w:val="00EA702D"/>
    <w:rsid w:val="00EA72E2"/>
    <w:rsid w:val="00EA7830"/>
    <w:rsid w:val="00EA7A05"/>
    <w:rsid w:val="00EB040D"/>
    <w:rsid w:val="00EB0BB5"/>
    <w:rsid w:val="00EB0D04"/>
    <w:rsid w:val="00EB1872"/>
    <w:rsid w:val="00EB18D8"/>
    <w:rsid w:val="00EB1F71"/>
    <w:rsid w:val="00EB22C5"/>
    <w:rsid w:val="00EB2838"/>
    <w:rsid w:val="00EB29D4"/>
    <w:rsid w:val="00EB2C6C"/>
    <w:rsid w:val="00EB3072"/>
    <w:rsid w:val="00EB3FB3"/>
    <w:rsid w:val="00EB4026"/>
    <w:rsid w:val="00EB42E6"/>
    <w:rsid w:val="00EB47CC"/>
    <w:rsid w:val="00EB4B0F"/>
    <w:rsid w:val="00EB53FE"/>
    <w:rsid w:val="00EB59FD"/>
    <w:rsid w:val="00EB6246"/>
    <w:rsid w:val="00EB69BA"/>
    <w:rsid w:val="00EB6CE4"/>
    <w:rsid w:val="00EB78F9"/>
    <w:rsid w:val="00EB7E2E"/>
    <w:rsid w:val="00EC0C01"/>
    <w:rsid w:val="00EC1ADC"/>
    <w:rsid w:val="00EC2D89"/>
    <w:rsid w:val="00EC2DDE"/>
    <w:rsid w:val="00EC2FE2"/>
    <w:rsid w:val="00EC353C"/>
    <w:rsid w:val="00EC44ED"/>
    <w:rsid w:val="00EC44F9"/>
    <w:rsid w:val="00EC4619"/>
    <w:rsid w:val="00EC4877"/>
    <w:rsid w:val="00EC51AE"/>
    <w:rsid w:val="00EC5BCD"/>
    <w:rsid w:val="00EC5EA6"/>
    <w:rsid w:val="00EC5FC3"/>
    <w:rsid w:val="00EC62EF"/>
    <w:rsid w:val="00EC6A21"/>
    <w:rsid w:val="00EC6C4C"/>
    <w:rsid w:val="00EC6FE1"/>
    <w:rsid w:val="00EC7004"/>
    <w:rsid w:val="00EC7305"/>
    <w:rsid w:val="00EC7999"/>
    <w:rsid w:val="00EC7B87"/>
    <w:rsid w:val="00ED0727"/>
    <w:rsid w:val="00ED26C6"/>
    <w:rsid w:val="00ED2AB9"/>
    <w:rsid w:val="00ED3256"/>
    <w:rsid w:val="00ED3997"/>
    <w:rsid w:val="00ED556A"/>
    <w:rsid w:val="00ED5726"/>
    <w:rsid w:val="00ED637A"/>
    <w:rsid w:val="00ED696F"/>
    <w:rsid w:val="00ED7DCA"/>
    <w:rsid w:val="00EE00D5"/>
    <w:rsid w:val="00EE03BB"/>
    <w:rsid w:val="00EE062E"/>
    <w:rsid w:val="00EE086F"/>
    <w:rsid w:val="00EE0C0E"/>
    <w:rsid w:val="00EE12AF"/>
    <w:rsid w:val="00EE133B"/>
    <w:rsid w:val="00EE2343"/>
    <w:rsid w:val="00EE2A49"/>
    <w:rsid w:val="00EE2B43"/>
    <w:rsid w:val="00EE312E"/>
    <w:rsid w:val="00EE3143"/>
    <w:rsid w:val="00EE4107"/>
    <w:rsid w:val="00EE4767"/>
    <w:rsid w:val="00EE4F8C"/>
    <w:rsid w:val="00EE558A"/>
    <w:rsid w:val="00EE5B39"/>
    <w:rsid w:val="00EE64D9"/>
    <w:rsid w:val="00EE6A0A"/>
    <w:rsid w:val="00EE6B07"/>
    <w:rsid w:val="00EE7259"/>
    <w:rsid w:val="00EE733D"/>
    <w:rsid w:val="00EE7BFD"/>
    <w:rsid w:val="00EF03F0"/>
    <w:rsid w:val="00EF292D"/>
    <w:rsid w:val="00EF2A94"/>
    <w:rsid w:val="00EF2FAA"/>
    <w:rsid w:val="00EF34B2"/>
    <w:rsid w:val="00EF43AE"/>
    <w:rsid w:val="00EF450E"/>
    <w:rsid w:val="00EF4A34"/>
    <w:rsid w:val="00EF5E44"/>
    <w:rsid w:val="00EF6092"/>
    <w:rsid w:val="00EF60FC"/>
    <w:rsid w:val="00EF6561"/>
    <w:rsid w:val="00EF70B6"/>
    <w:rsid w:val="00EF71CC"/>
    <w:rsid w:val="00EF7F39"/>
    <w:rsid w:val="00F00822"/>
    <w:rsid w:val="00F00944"/>
    <w:rsid w:val="00F00ECC"/>
    <w:rsid w:val="00F010A3"/>
    <w:rsid w:val="00F01167"/>
    <w:rsid w:val="00F01E30"/>
    <w:rsid w:val="00F01FBF"/>
    <w:rsid w:val="00F02747"/>
    <w:rsid w:val="00F02EB5"/>
    <w:rsid w:val="00F02F70"/>
    <w:rsid w:val="00F02F8F"/>
    <w:rsid w:val="00F031E2"/>
    <w:rsid w:val="00F036A4"/>
    <w:rsid w:val="00F03B66"/>
    <w:rsid w:val="00F0475A"/>
    <w:rsid w:val="00F04C5E"/>
    <w:rsid w:val="00F04EA6"/>
    <w:rsid w:val="00F05418"/>
    <w:rsid w:val="00F05BC7"/>
    <w:rsid w:val="00F06065"/>
    <w:rsid w:val="00F063B0"/>
    <w:rsid w:val="00F06C45"/>
    <w:rsid w:val="00F07350"/>
    <w:rsid w:val="00F07945"/>
    <w:rsid w:val="00F07A58"/>
    <w:rsid w:val="00F10E9C"/>
    <w:rsid w:val="00F113B6"/>
    <w:rsid w:val="00F115DC"/>
    <w:rsid w:val="00F1181B"/>
    <w:rsid w:val="00F118FF"/>
    <w:rsid w:val="00F11AF0"/>
    <w:rsid w:val="00F127FF"/>
    <w:rsid w:val="00F12851"/>
    <w:rsid w:val="00F129F9"/>
    <w:rsid w:val="00F138E1"/>
    <w:rsid w:val="00F13E1D"/>
    <w:rsid w:val="00F13F8C"/>
    <w:rsid w:val="00F14C6D"/>
    <w:rsid w:val="00F155B0"/>
    <w:rsid w:val="00F155FF"/>
    <w:rsid w:val="00F156DB"/>
    <w:rsid w:val="00F1570B"/>
    <w:rsid w:val="00F1636D"/>
    <w:rsid w:val="00F16CF1"/>
    <w:rsid w:val="00F170B6"/>
    <w:rsid w:val="00F17385"/>
    <w:rsid w:val="00F17BF2"/>
    <w:rsid w:val="00F17F6E"/>
    <w:rsid w:val="00F200D8"/>
    <w:rsid w:val="00F203FA"/>
    <w:rsid w:val="00F205B6"/>
    <w:rsid w:val="00F20B2E"/>
    <w:rsid w:val="00F20FE9"/>
    <w:rsid w:val="00F216DC"/>
    <w:rsid w:val="00F21B6C"/>
    <w:rsid w:val="00F2249F"/>
    <w:rsid w:val="00F22C8A"/>
    <w:rsid w:val="00F23480"/>
    <w:rsid w:val="00F2407E"/>
    <w:rsid w:val="00F241C3"/>
    <w:rsid w:val="00F25227"/>
    <w:rsid w:val="00F25826"/>
    <w:rsid w:val="00F25CA5"/>
    <w:rsid w:val="00F260F4"/>
    <w:rsid w:val="00F26331"/>
    <w:rsid w:val="00F273AA"/>
    <w:rsid w:val="00F273F1"/>
    <w:rsid w:val="00F27CBB"/>
    <w:rsid w:val="00F3037A"/>
    <w:rsid w:val="00F3071F"/>
    <w:rsid w:val="00F3208B"/>
    <w:rsid w:val="00F32792"/>
    <w:rsid w:val="00F327F8"/>
    <w:rsid w:val="00F328D9"/>
    <w:rsid w:val="00F33BD7"/>
    <w:rsid w:val="00F349AA"/>
    <w:rsid w:val="00F3582D"/>
    <w:rsid w:val="00F36A90"/>
    <w:rsid w:val="00F36E05"/>
    <w:rsid w:val="00F37861"/>
    <w:rsid w:val="00F378B6"/>
    <w:rsid w:val="00F41637"/>
    <w:rsid w:val="00F42175"/>
    <w:rsid w:val="00F4230E"/>
    <w:rsid w:val="00F42B7B"/>
    <w:rsid w:val="00F438DC"/>
    <w:rsid w:val="00F43ADE"/>
    <w:rsid w:val="00F442EB"/>
    <w:rsid w:val="00F44BC0"/>
    <w:rsid w:val="00F44DF2"/>
    <w:rsid w:val="00F45465"/>
    <w:rsid w:val="00F456F6"/>
    <w:rsid w:val="00F45A28"/>
    <w:rsid w:val="00F45F91"/>
    <w:rsid w:val="00F4721A"/>
    <w:rsid w:val="00F47287"/>
    <w:rsid w:val="00F477E1"/>
    <w:rsid w:val="00F47DFB"/>
    <w:rsid w:val="00F509A7"/>
    <w:rsid w:val="00F52AF1"/>
    <w:rsid w:val="00F53779"/>
    <w:rsid w:val="00F54409"/>
    <w:rsid w:val="00F565BB"/>
    <w:rsid w:val="00F56A04"/>
    <w:rsid w:val="00F57362"/>
    <w:rsid w:val="00F57C4A"/>
    <w:rsid w:val="00F57EB5"/>
    <w:rsid w:val="00F61F84"/>
    <w:rsid w:val="00F62633"/>
    <w:rsid w:val="00F63A06"/>
    <w:rsid w:val="00F65809"/>
    <w:rsid w:val="00F65F76"/>
    <w:rsid w:val="00F662E5"/>
    <w:rsid w:val="00F6750F"/>
    <w:rsid w:val="00F67712"/>
    <w:rsid w:val="00F67783"/>
    <w:rsid w:val="00F67E9E"/>
    <w:rsid w:val="00F7090B"/>
    <w:rsid w:val="00F70AAC"/>
    <w:rsid w:val="00F70D83"/>
    <w:rsid w:val="00F7112A"/>
    <w:rsid w:val="00F7185F"/>
    <w:rsid w:val="00F71CF1"/>
    <w:rsid w:val="00F71DB2"/>
    <w:rsid w:val="00F72F48"/>
    <w:rsid w:val="00F72F6E"/>
    <w:rsid w:val="00F730FB"/>
    <w:rsid w:val="00F741C3"/>
    <w:rsid w:val="00F742BC"/>
    <w:rsid w:val="00F74370"/>
    <w:rsid w:val="00F747F5"/>
    <w:rsid w:val="00F76AC8"/>
    <w:rsid w:val="00F76CD4"/>
    <w:rsid w:val="00F7724F"/>
    <w:rsid w:val="00F77B18"/>
    <w:rsid w:val="00F803CA"/>
    <w:rsid w:val="00F80B67"/>
    <w:rsid w:val="00F810C7"/>
    <w:rsid w:val="00F827B3"/>
    <w:rsid w:val="00F82BAB"/>
    <w:rsid w:val="00F83D21"/>
    <w:rsid w:val="00F840CD"/>
    <w:rsid w:val="00F8439A"/>
    <w:rsid w:val="00F8581D"/>
    <w:rsid w:val="00F85F7C"/>
    <w:rsid w:val="00F86311"/>
    <w:rsid w:val="00F868FE"/>
    <w:rsid w:val="00F90B2A"/>
    <w:rsid w:val="00F90B99"/>
    <w:rsid w:val="00F9279F"/>
    <w:rsid w:val="00F934DC"/>
    <w:rsid w:val="00F94136"/>
    <w:rsid w:val="00F9434F"/>
    <w:rsid w:val="00F9477C"/>
    <w:rsid w:val="00F954B1"/>
    <w:rsid w:val="00F95A2F"/>
    <w:rsid w:val="00F95ADD"/>
    <w:rsid w:val="00F9656F"/>
    <w:rsid w:val="00F97705"/>
    <w:rsid w:val="00F97DBA"/>
    <w:rsid w:val="00FA02F3"/>
    <w:rsid w:val="00FA0B23"/>
    <w:rsid w:val="00FA2285"/>
    <w:rsid w:val="00FA2470"/>
    <w:rsid w:val="00FA26E6"/>
    <w:rsid w:val="00FA2741"/>
    <w:rsid w:val="00FA2C41"/>
    <w:rsid w:val="00FA3279"/>
    <w:rsid w:val="00FA32D4"/>
    <w:rsid w:val="00FA43D0"/>
    <w:rsid w:val="00FA4680"/>
    <w:rsid w:val="00FA481D"/>
    <w:rsid w:val="00FA4989"/>
    <w:rsid w:val="00FA4DC1"/>
    <w:rsid w:val="00FA53AB"/>
    <w:rsid w:val="00FA5838"/>
    <w:rsid w:val="00FA5C27"/>
    <w:rsid w:val="00FA6878"/>
    <w:rsid w:val="00FA6A13"/>
    <w:rsid w:val="00FA6B3C"/>
    <w:rsid w:val="00FA7293"/>
    <w:rsid w:val="00FA73B9"/>
    <w:rsid w:val="00FA7474"/>
    <w:rsid w:val="00FA75DB"/>
    <w:rsid w:val="00FA765A"/>
    <w:rsid w:val="00FA7B1E"/>
    <w:rsid w:val="00FB079F"/>
    <w:rsid w:val="00FB08C5"/>
    <w:rsid w:val="00FB0B14"/>
    <w:rsid w:val="00FB0FCC"/>
    <w:rsid w:val="00FB163E"/>
    <w:rsid w:val="00FB1AFA"/>
    <w:rsid w:val="00FB1F77"/>
    <w:rsid w:val="00FB24C0"/>
    <w:rsid w:val="00FB46E1"/>
    <w:rsid w:val="00FB544C"/>
    <w:rsid w:val="00FB58E9"/>
    <w:rsid w:val="00FB5FF1"/>
    <w:rsid w:val="00FB6766"/>
    <w:rsid w:val="00FB7261"/>
    <w:rsid w:val="00FB7C9D"/>
    <w:rsid w:val="00FB7EFA"/>
    <w:rsid w:val="00FB7F8D"/>
    <w:rsid w:val="00FC0209"/>
    <w:rsid w:val="00FC053E"/>
    <w:rsid w:val="00FC057F"/>
    <w:rsid w:val="00FC0627"/>
    <w:rsid w:val="00FC0CAD"/>
    <w:rsid w:val="00FC1525"/>
    <w:rsid w:val="00FC18DB"/>
    <w:rsid w:val="00FC1AF2"/>
    <w:rsid w:val="00FC25B7"/>
    <w:rsid w:val="00FC2C0F"/>
    <w:rsid w:val="00FC2D5F"/>
    <w:rsid w:val="00FC366B"/>
    <w:rsid w:val="00FC3997"/>
    <w:rsid w:val="00FC3A8B"/>
    <w:rsid w:val="00FC40E9"/>
    <w:rsid w:val="00FC4B4E"/>
    <w:rsid w:val="00FC4BEC"/>
    <w:rsid w:val="00FC5B29"/>
    <w:rsid w:val="00FC5DE4"/>
    <w:rsid w:val="00FC6712"/>
    <w:rsid w:val="00FC68F8"/>
    <w:rsid w:val="00FC79EE"/>
    <w:rsid w:val="00FD06C6"/>
    <w:rsid w:val="00FD06D8"/>
    <w:rsid w:val="00FD0725"/>
    <w:rsid w:val="00FD08E2"/>
    <w:rsid w:val="00FD1B47"/>
    <w:rsid w:val="00FD1D42"/>
    <w:rsid w:val="00FD1F66"/>
    <w:rsid w:val="00FD245E"/>
    <w:rsid w:val="00FD2831"/>
    <w:rsid w:val="00FD36EB"/>
    <w:rsid w:val="00FD3733"/>
    <w:rsid w:val="00FD3A0C"/>
    <w:rsid w:val="00FD3F3C"/>
    <w:rsid w:val="00FD4617"/>
    <w:rsid w:val="00FD49B8"/>
    <w:rsid w:val="00FD518B"/>
    <w:rsid w:val="00FD6535"/>
    <w:rsid w:val="00FD7299"/>
    <w:rsid w:val="00FD730E"/>
    <w:rsid w:val="00FD7A18"/>
    <w:rsid w:val="00FD7B42"/>
    <w:rsid w:val="00FD7C79"/>
    <w:rsid w:val="00FE0303"/>
    <w:rsid w:val="00FE0457"/>
    <w:rsid w:val="00FE0CC3"/>
    <w:rsid w:val="00FE12DA"/>
    <w:rsid w:val="00FE2061"/>
    <w:rsid w:val="00FE2744"/>
    <w:rsid w:val="00FE2787"/>
    <w:rsid w:val="00FE290E"/>
    <w:rsid w:val="00FE38F7"/>
    <w:rsid w:val="00FE44C1"/>
    <w:rsid w:val="00FE4FE2"/>
    <w:rsid w:val="00FE5BB0"/>
    <w:rsid w:val="00FE6340"/>
    <w:rsid w:val="00FE70C0"/>
    <w:rsid w:val="00FE78A5"/>
    <w:rsid w:val="00FF0280"/>
    <w:rsid w:val="00FF03E2"/>
    <w:rsid w:val="00FF0C58"/>
    <w:rsid w:val="00FF0E8A"/>
    <w:rsid w:val="00FF1FD3"/>
    <w:rsid w:val="00FF20C0"/>
    <w:rsid w:val="00FF318A"/>
    <w:rsid w:val="00FF33FA"/>
    <w:rsid w:val="00FF41F4"/>
    <w:rsid w:val="00FF4718"/>
    <w:rsid w:val="00FF478B"/>
    <w:rsid w:val="00FF4FC0"/>
    <w:rsid w:val="00FF54EF"/>
    <w:rsid w:val="00FF691B"/>
    <w:rsid w:val="00FF6D94"/>
    <w:rsid w:val="00FF7889"/>
    <w:rsid w:val="00FF7936"/>
    <w:rsid w:val="00FF7AE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F1"/>
    <w:pPr>
      <w:spacing w:after="100" w:line="400" w:lineRule="exact"/>
      <w:jc w:val="both"/>
    </w:pPr>
    <w:rPr>
      <w:rFonts w:ascii="Century Schoolbook" w:hAnsi="Century Schoolbook"/>
      <w:sz w:val="27"/>
    </w:rPr>
  </w:style>
  <w:style w:type="paragraph" w:styleId="Heading1">
    <w:name w:val="heading 1"/>
    <w:basedOn w:val="Normal"/>
    <w:next w:val="Normal"/>
    <w:qFormat/>
    <w:rsid w:val="00F273F1"/>
    <w:pPr>
      <w:keepNext/>
      <w:spacing w:before="140" w:line="240" w:lineRule="atLeast"/>
      <w:jc w:val="center"/>
      <w:outlineLvl w:val="0"/>
    </w:pPr>
    <w:rPr>
      <w:b/>
      <w:smallCaps/>
    </w:rPr>
  </w:style>
  <w:style w:type="paragraph" w:styleId="Heading2">
    <w:name w:val="heading 2"/>
    <w:basedOn w:val="Normal"/>
    <w:next w:val="Normal"/>
    <w:qFormat/>
    <w:rsid w:val="00F273F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273F1"/>
    <w:pPr>
      <w:keepNext/>
      <w:tabs>
        <w:tab w:val="left" w:pos="1584"/>
      </w:tabs>
      <w:spacing w:before="140" w:line="240" w:lineRule="atLeast"/>
      <w:ind w:left="1584" w:hanging="432"/>
      <w:jc w:val="left"/>
      <w:outlineLvl w:val="2"/>
    </w:pPr>
    <w:rPr>
      <w:i/>
    </w:rPr>
  </w:style>
  <w:style w:type="paragraph" w:styleId="Heading4">
    <w:name w:val="heading 4"/>
    <w:basedOn w:val="Normal"/>
    <w:rsid w:val="00F273F1"/>
    <w:pPr>
      <w:keepNext/>
      <w:tabs>
        <w:tab w:val="left" w:pos="2016"/>
      </w:tabs>
      <w:spacing w:before="140" w:line="240" w:lineRule="atLeast"/>
      <w:ind w:left="2016" w:hanging="432"/>
      <w:jc w:val="left"/>
      <w:outlineLvl w:val="3"/>
    </w:pPr>
    <w:rPr>
      <w:i/>
    </w:rPr>
  </w:style>
  <w:style w:type="paragraph" w:styleId="Heading5">
    <w:name w:val="heading 5"/>
    <w:basedOn w:val="Normal"/>
    <w:rsid w:val="00F273F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273F1"/>
    <w:pPr>
      <w:ind w:left="720"/>
    </w:pPr>
  </w:style>
  <w:style w:type="paragraph" w:styleId="Footer">
    <w:name w:val="footer"/>
    <w:basedOn w:val="Normal"/>
    <w:qFormat/>
    <w:rsid w:val="00F273F1"/>
    <w:pPr>
      <w:tabs>
        <w:tab w:val="center" w:pos="3960"/>
        <w:tab w:val="right" w:pos="10080"/>
      </w:tabs>
      <w:spacing w:after="0" w:line="240" w:lineRule="auto"/>
      <w:jc w:val="center"/>
    </w:pPr>
    <w:rPr>
      <w:sz w:val="22"/>
    </w:rPr>
  </w:style>
  <w:style w:type="paragraph" w:styleId="Header">
    <w:name w:val="header"/>
    <w:basedOn w:val="Normal"/>
    <w:qFormat/>
    <w:rsid w:val="00F273F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273F1"/>
    <w:rPr>
      <w:rFonts w:ascii="Century Schoolbook" w:hAnsi="Century Schoolbook"/>
      <w:b/>
      <w:i w:val="0"/>
      <w:position w:val="4"/>
      <w:sz w:val="27"/>
      <w:vertAlign w:val="superscript"/>
    </w:rPr>
  </w:style>
  <w:style w:type="paragraph" w:styleId="FootnoteText">
    <w:name w:val="footnote text"/>
    <w:basedOn w:val="Normal"/>
    <w:link w:val="FootnoteTextChar"/>
    <w:rsid w:val="00F273F1"/>
    <w:pPr>
      <w:spacing w:line="300" w:lineRule="exact"/>
    </w:pPr>
  </w:style>
  <w:style w:type="paragraph" w:customStyle="1" w:styleId="Title1">
    <w:name w:val="Title1"/>
    <w:basedOn w:val="Normal"/>
    <w:rsid w:val="00F273F1"/>
    <w:pPr>
      <w:tabs>
        <w:tab w:val="left" w:pos="5760"/>
        <w:tab w:val="left" w:pos="6480"/>
      </w:tabs>
      <w:spacing w:line="240" w:lineRule="atLeast"/>
    </w:pPr>
  </w:style>
  <w:style w:type="paragraph" w:customStyle="1" w:styleId="Recommend">
    <w:name w:val="Recommend"/>
    <w:basedOn w:val="Normal"/>
    <w:rsid w:val="00F273F1"/>
  </w:style>
  <w:style w:type="paragraph" w:customStyle="1" w:styleId="Summary">
    <w:name w:val="Summary"/>
    <w:basedOn w:val="Normal"/>
    <w:rsid w:val="00F273F1"/>
    <w:pPr>
      <w:ind w:left="2160" w:hanging="2160"/>
    </w:pPr>
  </w:style>
  <w:style w:type="paragraph" w:customStyle="1" w:styleId="Text">
    <w:name w:val="Text"/>
    <w:basedOn w:val="Normal"/>
    <w:rsid w:val="00F273F1"/>
    <w:pPr>
      <w:tabs>
        <w:tab w:val="left" w:pos="720"/>
        <w:tab w:val="left" w:pos="1440"/>
        <w:tab w:val="left" w:pos="2160"/>
        <w:tab w:val="center" w:pos="4320"/>
      </w:tabs>
      <w:spacing w:line="480" w:lineRule="atLeast"/>
      <w:ind w:firstLine="540"/>
    </w:pPr>
  </w:style>
  <w:style w:type="paragraph" w:styleId="Date">
    <w:name w:val="Date"/>
    <w:basedOn w:val="Normal"/>
    <w:semiHidden/>
    <w:rsid w:val="00F273F1"/>
    <w:pPr>
      <w:jc w:val="right"/>
    </w:pPr>
  </w:style>
  <w:style w:type="character" w:styleId="PageNumber">
    <w:name w:val="page number"/>
    <w:basedOn w:val="DefaultParagraphFont"/>
    <w:rsid w:val="00F273F1"/>
  </w:style>
  <w:style w:type="paragraph" w:customStyle="1" w:styleId="subject">
    <w:name w:val="subject"/>
    <w:basedOn w:val="Normal"/>
    <w:rsid w:val="00F273F1"/>
    <w:pPr>
      <w:tabs>
        <w:tab w:val="left" w:pos="1008"/>
      </w:tabs>
      <w:ind w:left="990" w:hanging="990"/>
    </w:pPr>
    <w:rPr>
      <w:b/>
    </w:rPr>
  </w:style>
  <w:style w:type="paragraph" w:customStyle="1" w:styleId="Titles">
    <w:name w:val="Titles"/>
    <w:basedOn w:val="Normal"/>
    <w:rsid w:val="00F273F1"/>
    <w:pPr>
      <w:tabs>
        <w:tab w:val="left" w:pos="2160"/>
      </w:tabs>
      <w:ind w:left="2160" w:hanging="2160"/>
    </w:pPr>
    <w:rPr>
      <w:b/>
    </w:rPr>
  </w:style>
  <w:style w:type="paragraph" w:styleId="TOAHeading">
    <w:name w:val="toa heading"/>
    <w:basedOn w:val="Normal"/>
    <w:next w:val="Normal"/>
    <w:semiHidden/>
    <w:rsid w:val="00F273F1"/>
    <w:pPr>
      <w:spacing w:before="120"/>
    </w:pPr>
    <w:rPr>
      <w:b/>
    </w:rPr>
  </w:style>
  <w:style w:type="paragraph" w:styleId="TOC1">
    <w:name w:val="toc 1"/>
    <w:basedOn w:val="Normal"/>
    <w:next w:val="Normal"/>
    <w:autoRedefine/>
    <w:semiHidden/>
    <w:rsid w:val="00F273F1"/>
  </w:style>
  <w:style w:type="paragraph" w:styleId="TOC2">
    <w:name w:val="toc 2"/>
    <w:basedOn w:val="Normal"/>
    <w:next w:val="Normal"/>
    <w:autoRedefine/>
    <w:semiHidden/>
    <w:rsid w:val="00F273F1"/>
    <w:pPr>
      <w:ind w:left="259"/>
    </w:pPr>
  </w:style>
  <w:style w:type="paragraph" w:styleId="TOC3">
    <w:name w:val="toc 3"/>
    <w:basedOn w:val="Normal"/>
    <w:next w:val="Normal"/>
    <w:autoRedefine/>
    <w:semiHidden/>
    <w:rsid w:val="00F273F1"/>
    <w:pPr>
      <w:ind w:left="520"/>
    </w:pPr>
  </w:style>
  <w:style w:type="paragraph" w:styleId="TOC4">
    <w:name w:val="toc 4"/>
    <w:basedOn w:val="Normal"/>
    <w:next w:val="Normal"/>
    <w:autoRedefine/>
    <w:semiHidden/>
    <w:rsid w:val="00F273F1"/>
    <w:pPr>
      <w:ind w:left="780"/>
    </w:pPr>
  </w:style>
  <w:style w:type="paragraph" w:styleId="TOC5">
    <w:name w:val="toc 5"/>
    <w:basedOn w:val="Normal"/>
    <w:next w:val="Normal"/>
    <w:autoRedefine/>
    <w:semiHidden/>
    <w:rsid w:val="00F273F1"/>
    <w:pPr>
      <w:ind w:left="1040"/>
    </w:pPr>
  </w:style>
  <w:style w:type="paragraph" w:styleId="TOC6">
    <w:name w:val="toc 6"/>
    <w:basedOn w:val="Normal"/>
    <w:next w:val="Normal"/>
    <w:autoRedefine/>
    <w:semiHidden/>
    <w:rsid w:val="00F273F1"/>
    <w:pPr>
      <w:ind w:left="1300"/>
    </w:pPr>
  </w:style>
  <w:style w:type="paragraph" w:styleId="TOC7">
    <w:name w:val="toc 7"/>
    <w:basedOn w:val="Normal"/>
    <w:next w:val="Normal"/>
    <w:autoRedefine/>
    <w:semiHidden/>
    <w:rsid w:val="00F273F1"/>
    <w:pPr>
      <w:ind w:left="1560"/>
    </w:pPr>
  </w:style>
  <w:style w:type="paragraph" w:styleId="TOC8">
    <w:name w:val="toc 8"/>
    <w:basedOn w:val="Normal"/>
    <w:next w:val="Normal"/>
    <w:autoRedefine/>
    <w:semiHidden/>
    <w:rsid w:val="00F273F1"/>
    <w:pPr>
      <w:ind w:left="1820"/>
    </w:pPr>
  </w:style>
  <w:style w:type="paragraph" w:styleId="TOC9">
    <w:name w:val="toc 9"/>
    <w:basedOn w:val="Normal"/>
    <w:next w:val="Normal"/>
    <w:autoRedefine/>
    <w:semiHidden/>
    <w:rsid w:val="00F273F1"/>
    <w:pPr>
      <w:ind w:left="2080"/>
    </w:pPr>
  </w:style>
  <w:style w:type="paragraph" w:customStyle="1" w:styleId="Contents">
    <w:name w:val="Contents"/>
    <w:basedOn w:val="Normal"/>
    <w:rsid w:val="00F273F1"/>
    <w:pPr>
      <w:jc w:val="center"/>
    </w:pPr>
    <w:rPr>
      <w:b/>
      <w:spacing w:val="100"/>
    </w:rPr>
  </w:style>
  <w:style w:type="paragraph" w:styleId="ListParagraph">
    <w:name w:val="List Paragraph"/>
    <w:basedOn w:val="Normal"/>
    <w:uiPriority w:val="34"/>
    <w:qFormat/>
    <w:rsid w:val="007324C1"/>
    <w:pPr>
      <w:ind w:left="720"/>
      <w:contextualSpacing/>
    </w:pPr>
  </w:style>
  <w:style w:type="character" w:styleId="Emphasis">
    <w:name w:val="Emphasis"/>
    <w:basedOn w:val="DefaultParagraphFont"/>
    <w:uiPriority w:val="20"/>
    <w:qFormat/>
    <w:rsid w:val="00AB047A"/>
    <w:rPr>
      <w:i/>
      <w:iCs/>
    </w:rPr>
  </w:style>
  <w:style w:type="character" w:customStyle="1" w:styleId="costarpage">
    <w:name w:val="co_starpage"/>
    <w:basedOn w:val="DefaultParagraphFont"/>
    <w:rsid w:val="00AB047A"/>
  </w:style>
  <w:style w:type="character" w:styleId="Hyperlink">
    <w:name w:val="Hyperlink"/>
    <w:basedOn w:val="DefaultParagraphFont"/>
    <w:uiPriority w:val="99"/>
    <w:unhideWhenUsed/>
    <w:rsid w:val="008E7886"/>
    <w:rPr>
      <w:color w:val="0000FF" w:themeColor="hyperlink"/>
      <w:u w:val="single"/>
    </w:rPr>
  </w:style>
  <w:style w:type="character" w:customStyle="1" w:styleId="UnresolvedMention">
    <w:name w:val="Unresolved Mention"/>
    <w:basedOn w:val="DefaultParagraphFont"/>
    <w:uiPriority w:val="99"/>
    <w:semiHidden/>
    <w:unhideWhenUsed/>
    <w:rsid w:val="008E7886"/>
    <w:rPr>
      <w:color w:val="605E5C"/>
      <w:shd w:val="clear" w:color="auto" w:fill="E1DFDD"/>
    </w:rPr>
  </w:style>
  <w:style w:type="paragraph" w:styleId="BalloonText">
    <w:name w:val="Balloon Text"/>
    <w:basedOn w:val="Normal"/>
    <w:link w:val="BalloonTextChar"/>
    <w:uiPriority w:val="99"/>
    <w:semiHidden/>
    <w:unhideWhenUsed/>
    <w:rsid w:val="0059168C"/>
    <w:rPr>
      <w:sz w:val="18"/>
      <w:szCs w:val="18"/>
    </w:rPr>
  </w:style>
  <w:style w:type="character" w:customStyle="1" w:styleId="BalloonTextChar">
    <w:name w:val="Balloon Text Char"/>
    <w:basedOn w:val="DefaultParagraphFont"/>
    <w:link w:val="BalloonText"/>
    <w:uiPriority w:val="99"/>
    <w:semiHidden/>
    <w:rsid w:val="0059168C"/>
    <w:rPr>
      <w:sz w:val="18"/>
      <w:szCs w:val="18"/>
    </w:rPr>
  </w:style>
  <w:style w:type="character" w:styleId="FollowedHyperlink">
    <w:name w:val="FollowedHyperlink"/>
    <w:basedOn w:val="DefaultParagraphFont"/>
    <w:uiPriority w:val="99"/>
    <w:semiHidden/>
    <w:unhideWhenUsed/>
    <w:rsid w:val="004E4D04"/>
    <w:rPr>
      <w:color w:val="800080" w:themeColor="followedHyperlink"/>
      <w:u w:val="single"/>
    </w:rPr>
  </w:style>
  <w:style w:type="character" w:styleId="CommentReference">
    <w:name w:val="annotation reference"/>
    <w:basedOn w:val="DefaultParagraphFont"/>
    <w:uiPriority w:val="99"/>
    <w:semiHidden/>
    <w:unhideWhenUsed/>
    <w:rsid w:val="0014352B"/>
    <w:rPr>
      <w:sz w:val="16"/>
      <w:szCs w:val="16"/>
    </w:rPr>
  </w:style>
  <w:style w:type="paragraph" w:styleId="CommentText">
    <w:name w:val="annotation text"/>
    <w:basedOn w:val="Normal"/>
    <w:link w:val="CommentTextChar"/>
    <w:uiPriority w:val="99"/>
    <w:unhideWhenUsed/>
    <w:rsid w:val="0014352B"/>
    <w:rPr>
      <w:sz w:val="20"/>
    </w:rPr>
  </w:style>
  <w:style w:type="character" w:customStyle="1" w:styleId="CommentTextChar">
    <w:name w:val="Comment Text Char"/>
    <w:basedOn w:val="DefaultParagraphFont"/>
    <w:link w:val="CommentText"/>
    <w:uiPriority w:val="99"/>
    <w:rsid w:val="0014352B"/>
  </w:style>
  <w:style w:type="paragraph" w:styleId="CommentSubject">
    <w:name w:val="annotation subject"/>
    <w:basedOn w:val="CommentText"/>
    <w:next w:val="CommentText"/>
    <w:link w:val="CommentSubjectChar"/>
    <w:uiPriority w:val="99"/>
    <w:semiHidden/>
    <w:unhideWhenUsed/>
    <w:rsid w:val="0014352B"/>
    <w:rPr>
      <w:b/>
      <w:bCs/>
    </w:rPr>
  </w:style>
  <w:style w:type="character" w:customStyle="1" w:styleId="CommentSubjectChar">
    <w:name w:val="Comment Subject Char"/>
    <w:basedOn w:val="CommentTextChar"/>
    <w:link w:val="CommentSubject"/>
    <w:uiPriority w:val="99"/>
    <w:semiHidden/>
    <w:rsid w:val="0014352B"/>
    <w:rPr>
      <w:b/>
      <w:bCs/>
    </w:rPr>
  </w:style>
  <w:style w:type="character" w:customStyle="1" w:styleId="FootnoteTextChar">
    <w:name w:val="Footnote Text Char"/>
    <w:basedOn w:val="DefaultParagraphFont"/>
    <w:link w:val="FootnoteText"/>
    <w:rsid w:val="00C24969"/>
    <w:rPr>
      <w:rFonts w:ascii="Century Schoolbook" w:hAnsi="Century Schoolbook"/>
      <w:sz w:val="27"/>
    </w:rPr>
  </w:style>
  <w:style w:type="paragraph" w:styleId="BodyText">
    <w:name w:val="Body Text"/>
    <w:basedOn w:val="Normal"/>
    <w:link w:val="BodyTextChar"/>
    <w:qFormat/>
    <w:rsid w:val="00F273F1"/>
  </w:style>
  <w:style w:type="character" w:customStyle="1" w:styleId="BodyTextChar">
    <w:name w:val="Body Text Char"/>
    <w:basedOn w:val="DefaultParagraphFont"/>
    <w:link w:val="BodyText"/>
    <w:rsid w:val="00F273F1"/>
    <w:rPr>
      <w:rFonts w:ascii="Century Schoolbook" w:hAnsi="Century Schoolbook"/>
      <w:sz w:val="27"/>
    </w:rPr>
  </w:style>
  <w:style w:type="paragraph" w:styleId="Revision">
    <w:name w:val="Revision"/>
    <w:hidden/>
    <w:uiPriority w:val="99"/>
    <w:semiHidden/>
    <w:rsid w:val="00797ED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6ACB-1D31-48EB-82C4-3704DF99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8242</Words>
  <Characters>46985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2022-01-03T15:40:13Z</dcterms:created>
  <dcterms:modified xsi:type="dcterms:W3CDTF">2022-01-03T15:40:13Z</dcterms:modified>
</cp:coreProperties>
</file>