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ACE3" w14:textId="2FF374B6" w:rsidR="00805ED0" w:rsidRDefault="00805ED0" w:rsidP="00805ED0">
      <w:pPr>
        <w:tabs>
          <w:tab w:val="left" w:pos="1440"/>
        </w:tabs>
        <w:spacing w:after="0"/>
        <w:jc w:val="center"/>
        <w:rPr>
          <w:caps/>
          <w:sz w:val="36"/>
        </w:rPr>
      </w:pPr>
      <w:r>
        <w:rPr>
          <w:b/>
          <w:caps/>
          <w:sz w:val="36"/>
        </w:rPr>
        <w:t>IN THE SUPREME COURT OF CALIFORNIA</w:t>
      </w:r>
    </w:p>
    <w:p w14:paraId="1C186837" w14:textId="6F62CEA9" w:rsidR="00805ED0" w:rsidRDefault="00805ED0" w:rsidP="00805ED0">
      <w:pPr>
        <w:tabs>
          <w:tab w:val="left" w:pos="1440"/>
        </w:tabs>
        <w:spacing w:after="0"/>
        <w:jc w:val="center"/>
        <w:rPr>
          <w:caps/>
        </w:rPr>
      </w:pPr>
    </w:p>
    <w:p w14:paraId="3C9F0A94" w14:textId="54C148A3" w:rsidR="00805ED0" w:rsidRDefault="00805ED0" w:rsidP="00805ED0">
      <w:pPr>
        <w:tabs>
          <w:tab w:val="left" w:pos="1440"/>
        </w:tabs>
        <w:spacing w:after="0"/>
        <w:jc w:val="center"/>
        <w:rPr>
          <w:caps/>
        </w:rPr>
      </w:pPr>
      <w:r>
        <w:rPr>
          <w:caps/>
        </w:rPr>
        <w:t>THE PEOPLE</w:t>
      </w:r>
      <w:r w:rsidR="007B403C">
        <w:rPr>
          <w:caps/>
        </w:rPr>
        <w:t>,</w:t>
      </w:r>
    </w:p>
    <w:p w14:paraId="6BC04988" w14:textId="5D285C38" w:rsidR="00805ED0" w:rsidRPr="00A25807" w:rsidRDefault="00805ED0" w:rsidP="00805ED0">
      <w:pPr>
        <w:tabs>
          <w:tab w:val="left" w:pos="1440"/>
        </w:tabs>
        <w:spacing w:after="0"/>
        <w:jc w:val="center"/>
      </w:pPr>
      <w:r w:rsidRPr="00A25807">
        <w:t>Plaintiff and Respondent</w:t>
      </w:r>
      <w:r w:rsidR="00553515">
        <w:t>,</w:t>
      </w:r>
    </w:p>
    <w:p w14:paraId="2E84AAE4" w14:textId="41E0726B" w:rsidR="00805ED0" w:rsidRPr="00A25807" w:rsidRDefault="00805ED0" w:rsidP="00805ED0">
      <w:pPr>
        <w:tabs>
          <w:tab w:val="left" w:pos="1440"/>
        </w:tabs>
        <w:spacing w:after="0"/>
        <w:jc w:val="center"/>
      </w:pPr>
      <w:r w:rsidRPr="00A25807">
        <w:t>v.</w:t>
      </w:r>
    </w:p>
    <w:p w14:paraId="5A9237E1" w14:textId="160C79D9" w:rsidR="00805ED0" w:rsidRDefault="00805ED0" w:rsidP="00805ED0">
      <w:pPr>
        <w:tabs>
          <w:tab w:val="left" w:pos="1440"/>
        </w:tabs>
        <w:spacing w:after="0"/>
        <w:jc w:val="center"/>
        <w:rPr>
          <w:caps/>
        </w:rPr>
      </w:pPr>
      <w:r>
        <w:rPr>
          <w:caps/>
        </w:rPr>
        <w:t>TREYVON LOVE OLLO</w:t>
      </w:r>
      <w:r w:rsidR="007B403C">
        <w:rPr>
          <w:caps/>
        </w:rPr>
        <w:t>,</w:t>
      </w:r>
    </w:p>
    <w:p w14:paraId="1419D2CA" w14:textId="64450DCB" w:rsidR="00805ED0" w:rsidRPr="00A25807" w:rsidRDefault="00805ED0" w:rsidP="00805ED0">
      <w:pPr>
        <w:tabs>
          <w:tab w:val="left" w:pos="1440"/>
        </w:tabs>
        <w:spacing w:after="0"/>
        <w:jc w:val="center"/>
      </w:pPr>
      <w:r w:rsidRPr="00A25807">
        <w:t>Defendant and Appellan</w:t>
      </w:r>
      <w:r w:rsidR="00A25807">
        <w:t>t</w:t>
      </w:r>
      <w:r w:rsidRPr="00A25807">
        <w:t>.</w:t>
      </w:r>
    </w:p>
    <w:p w14:paraId="79028EDC" w14:textId="722F7A1E" w:rsidR="00805ED0" w:rsidRDefault="00805ED0" w:rsidP="00805ED0">
      <w:pPr>
        <w:tabs>
          <w:tab w:val="left" w:pos="1440"/>
        </w:tabs>
        <w:spacing w:after="0"/>
        <w:jc w:val="center"/>
        <w:rPr>
          <w:caps/>
        </w:rPr>
      </w:pPr>
    </w:p>
    <w:p w14:paraId="226CB5D4" w14:textId="6BEF3BF4" w:rsidR="00805ED0" w:rsidRDefault="00805ED0" w:rsidP="00805ED0">
      <w:pPr>
        <w:tabs>
          <w:tab w:val="left" w:pos="1440"/>
        </w:tabs>
        <w:spacing w:after="0"/>
        <w:jc w:val="center"/>
        <w:rPr>
          <w:caps/>
        </w:rPr>
      </w:pPr>
      <w:r>
        <w:rPr>
          <w:caps/>
        </w:rPr>
        <w:t>S260130</w:t>
      </w:r>
    </w:p>
    <w:p w14:paraId="53DC0131" w14:textId="3A2690E3" w:rsidR="00805ED0" w:rsidRDefault="00805ED0" w:rsidP="00805ED0">
      <w:pPr>
        <w:tabs>
          <w:tab w:val="left" w:pos="1440"/>
        </w:tabs>
        <w:spacing w:after="0"/>
        <w:jc w:val="center"/>
        <w:rPr>
          <w:caps/>
        </w:rPr>
      </w:pPr>
    </w:p>
    <w:p w14:paraId="7491375E" w14:textId="3C7B8AF6" w:rsidR="00805ED0" w:rsidRPr="00C95D97" w:rsidRDefault="00805ED0" w:rsidP="00805ED0">
      <w:pPr>
        <w:tabs>
          <w:tab w:val="left" w:pos="1440"/>
        </w:tabs>
        <w:spacing w:after="0"/>
        <w:jc w:val="center"/>
      </w:pPr>
      <w:r w:rsidRPr="00C95D97">
        <w:t>Second Appellate District, Division Two</w:t>
      </w:r>
    </w:p>
    <w:p w14:paraId="6A8EDB87" w14:textId="07655EDA" w:rsidR="00805ED0" w:rsidRPr="00C95D97" w:rsidRDefault="00805ED0" w:rsidP="00805ED0">
      <w:pPr>
        <w:tabs>
          <w:tab w:val="left" w:pos="1440"/>
        </w:tabs>
        <w:spacing w:after="0"/>
        <w:jc w:val="center"/>
      </w:pPr>
      <w:r w:rsidRPr="00C95D97">
        <w:t>B290948</w:t>
      </w:r>
    </w:p>
    <w:p w14:paraId="2C06945B" w14:textId="137638CF" w:rsidR="00805ED0" w:rsidRDefault="00805ED0" w:rsidP="00805ED0">
      <w:pPr>
        <w:tabs>
          <w:tab w:val="left" w:pos="1440"/>
        </w:tabs>
        <w:spacing w:after="0"/>
        <w:jc w:val="center"/>
        <w:rPr>
          <w:caps/>
        </w:rPr>
      </w:pPr>
    </w:p>
    <w:p w14:paraId="396E1732" w14:textId="33ADDCF2" w:rsidR="00805ED0" w:rsidRPr="008556B5" w:rsidRDefault="00805ED0" w:rsidP="00805ED0">
      <w:pPr>
        <w:tabs>
          <w:tab w:val="left" w:pos="1440"/>
        </w:tabs>
        <w:spacing w:after="0"/>
        <w:jc w:val="center"/>
      </w:pPr>
      <w:r w:rsidRPr="008556B5">
        <w:t>Los Angeles County</w:t>
      </w:r>
      <w:r w:rsidR="007B403C" w:rsidRPr="007B403C">
        <w:t xml:space="preserve"> </w:t>
      </w:r>
      <w:r w:rsidR="007B403C" w:rsidRPr="008556B5">
        <w:t>Super</w:t>
      </w:r>
      <w:r w:rsidR="007B403C">
        <w:t>ior</w:t>
      </w:r>
      <w:r w:rsidR="007B403C" w:rsidRPr="008556B5">
        <w:t xml:space="preserve"> C</w:t>
      </w:r>
      <w:r w:rsidR="007B403C">
        <w:t>our</w:t>
      </w:r>
      <w:r w:rsidR="007B403C" w:rsidRPr="008556B5">
        <w:t>t</w:t>
      </w:r>
    </w:p>
    <w:p w14:paraId="6BE0F89E" w14:textId="60905A8E" w:rsidR="00805ED0" w:rsidRPr="008556B5" w:rsidRDefault="00805ED0" w:rsidP="00805ED0">
      <w:pPr>
        <w:tabs>
          <w:tab w:val="left" w:pos="1440"/>
        </w:tabs>
        <w:spacing w:after="0"/>
        <w:jc w:val="center"/>
      </w:pPr>
      <w:r w:rsidRPr="008556B5">
        <w:t>KA115677</w:t>
      </w:r>
    </w:p>
    <w:p w14:paraId="7D56D056" w14:textId="06836D01" w:rsidR="00805ED0" w:rsidRDefault="00805ED0" w:rsidP="00805ED0">
      <w:pPr>
        <w:pBdr>
          <w:bottom w:val="single" w:sz="4" w:space="1" w:color="auto"/>
        </w:pBdr>
        <w:tabs>
          <w:tab w:val="left" w:pos="1440"/>
        </w:tabs>
        <w:spacing w:after="0"/>
        <w:jc w:val="center"/>
        <w:rPr>
          <w:caps/>
        </w:rPr>
      </w:pPr>
    </w:p>
    <w:p w14:paraId="7AF97948" w14:textId="4FAEA8A8" w:rsidR="00805ED0" w:rsidRDefault="00805ED0" w:rsidP="00805ED0">
      <w:pPr>
        <w:tabs>
          <w:tab w:val="left" w:pos="1440"/>
        </w:tabs>
        <w:spacing w:after="0"/>
        <w:jc w:val="center"/>
        <w:rPr>
          <w:caps/>
        </w:rPr>
      </w:pPr>
    </w:p>
    <w:p w14:paraId="7A890547" w14:textId="06A348D7" w:rsidR="00805ED0" w:rsidRDefault="00D7072A" w:rsidP="00805ED0">
      <w:pPr>
        <w:tabs>
          <w:tab w:val="left" w:pos="1440"/>
        </w:tabs>
        <w:spacing w:after="0"/>
        <w:jc w:val="center"/>
        <w:rPr>
          <w:caps/>
        </w:rPr>
      </w:pPr>
      <w:r>
        <w:rPr>
          <w:caps/>
        </w:rPr>
        <w:t>J</w:t>
      </w:r>
      <w:r>
        <w:t xml:space="preserve">une </w:t>
      </w:r>
      <w:r>
        <w:rPr>
          <w:caps/>
        </w:rPr>
        <w:t>21</w:t>
      </w:r>
      <w:r w:rsidR="00805ED0">
        <w:rPr>
          <w:caps/>
        </w:rPr>
        <w:t>, 2021</w:t>
      </w:r>
    </w:p>
    <w:p w14:paraId="5E2363D1" w14:textId="0EB9302E" w:rsidR="00805ED0" w:rsidRDefault="00805ED0" w:rsidP="00805ED0">
      <w:pPr>
        <w:tabs>
          <w:tab w:val="left" w:pos="1440"/>
        </w:tabs>
        <w:spacing w:after="0"/>
        <w:jc w:val="center"/>
        <w:rPr>
          <w:caps/>
        </w:rPr>
      </w:pPr>
    </w:p>
    <w:p w14:paraId="68DC1DB9" w14:textId="331B510C" w:rsidR="00805ED0" w:rsidRPr="00085AAD" w:rsidRDefault="009C1A7C" w:rsidP="00085AAD">
      <w:pPr>
        <w:tabs>
          <w:tab w:val="left" w:pos="1440"/>
        </w:tabs>
        <w:spacing w:after="0"/>
        <w:jc w:val="left"/>
      </w:pPr>
      <w:r>
        <w:t xml:space="preserve">Justice Liu authored the opinion of the Court, in which </w:t>
      </w:r>
      <w:r w:rsidR="00D7072A" w:rsidRPr="00D7072A">
        <w:t>Chief Justice Cantil-Sakauye and Justices Corrigan, Cuéllar, Kruger, Groban, and Jenkins</w:t>
      </w:r>
      <w:r>
        <w:t xml:space="preserve"> concurred.</w:t>
      </w:r>
    </w:p>
    <w:p w14:paraId="7904BC94" w14:textId="77777777" w:rsidR="00805ED0" w:rsidRPr="00805ED0" w:rsidRDefault="00805ED0" w:rsidP="00805ED0">
      <w:pPr>
        <w:pBdr>
          <w:bottom w:val="single" w:sz="4" w:space="1" w:color="auto"/>
        </w:pBdr>
        <w:tabs>
          <w:tab w:val="left" w:pos="1440"/>
        </w:tabs>
        <w:spacing w:line="480" w:lineRule="atLeast"/>
        <w:jc w:val="left"/>
        <w:rPr>
          <w:caps/>
        </w:rPr>
      </w:pPr>
      <w:bookmarkStart w:id="0" w:name="Return"/>
      <w:bookmarkEnd w:id="0"/>
    </w:p>
    <w:p w14:paraId="70A2E552" w14:textId="77777777" w:rsidR="00805ED0" w:rsidRDefault="00805ED0" w:rsidP="00085AAD">
      <w:pPr>
        <w:tabs>
          <w:tab w:val="left" w:pos="1440"/>
        </w:tabs>
        <w:spacing w:line="480" w:lineRule="atLeast"/>
        <w:rPr>
          <w:b/>
          <w:caps/>
        </w:rPr>
        <w:sectPr w:rsidR="00805ED0" w:rsidSect="00805ED0">
          <w:headerReference w:type="default" r:id="rId7"/>
          <w:footerReference w:type="default" r:id="rId8"/>
          <w:pgSz w:w="12240" w:h="15840"/>
          <w:pgMar w:top="1800" w:right="2160" w:bottom="1440" w:left="2160" w:header="720" w:footer="720" w:gutter="0"/>
          <w:cols w:space="720"/>
          <w:titlePg/>
          <w:docGrid w:linePitch="367"/>
        </w:sectPr>
      </w:pPr>
    </w:p>
    <w:p w14:paraId="4A3AE5AF" w14:textId="2EFAF609" w:rsidR="00805ED0" w:rsidRPr="00D453A0" w:rsidRDefault="00805ED0" w:rsidP="00805ED0">
      <w:pPr>
        <w:tabs>
          <w:tab w:val="left" w:pos="1440"/>
        </w:tabs>
        <w:jc w:val="center"/>
        <w:rPr>
          <w:bCs/>
        </w:rPr>
      </w:pPr>
      <w:r w:rsidRPr="00D453A0">
        <w:rPr>
          <w:bCs/>
        </w:rPr>
        <w:lastRenderedPageBreak/>
        <w:t>P</w:t>
      </w:r>
      <w:r w:rsidR="00D453A0" w:rsidRPr="00D453A0">
        <w:rPr>
          <w:bCs/>
        </w:rPr>
        <w:t>EOPLE</w:t>
      </w:r>
      <w:r w:rsidRPr="00D453A0">
        <w:rPr>
          <w:bCs/>
        </w:rPr>
        <w:t xml:space="preserve"> v. O</w:t>
      </w:r>
      <w:r w:rsidR="00D453A0" w:rsidRPr="00D453A0">
        <w:rPr>
          <w:bCs/>
        </w:rPr>
        <w:t>LLO</w:t>
      </w:r>
    </w:p>
    <w:p w14:paraId="04EFF823" w14:textId="77777777" w:rsidR="00805ED0" w:rsidRPr="00D453A0" w:rsidRDefault="00805ED0" w:rsidP="00805ED0">
      <w:pPr>
        <w:tabs>
          <w:tab w:val="left" w:pos="1440"/>
        </w:tabs>
        <w:jc w:val="center"/>
        <w:rPr>
          <w:bCs/>
        </w:rPr>
      </w:pPr>
      <w:r w:rsidRPr="00D453A0">
        <w:rPr>
          <w:bCs/>
        </w:rPr>
        <w:t>S260130</w:t>
      </w:r>
    </w:p>
    <w:p w14:paraId="2C4BF3E1" w14:textId="77777777" w:rsidR="00805ED0" w:rsidRDefault="00805ED0" w:rsidP="00805ED0">
      <w:pPr>
        <w:tabs>
          <w:tab w:val="left" w:pos="1440"/>
        </w:tabs>
        <w:jc w:val="center"/>
        <w:rPr>
          <w:b/>
          <w:caps/>
        </w:rPr>
      </w:pPr>
    </w:p>
    <w:p w14:paraId="167EA8CB" w14:textId="77777777" w:rsidR="00805ED0" w:rsidRPr="00C97515" w:rsidRDefault="00805ED0" w:rsidP="00805ED0">
      <w:pPr>
        <w:tabs>
          <w:tab w:val="left" w:pos="1440"/>
        </w:tabs>
        <w:jc w:val="center"/>
        <w:rPr>
          <w:bCs/>
        </w:rPr>
      </w:pPr>
      <w:r w:rsidRPr="00C97515">
        <w:rPr>
          <w:bCs/>
        </w:rPr>
        <w:t>Opinion of the Court by Liu, J.</w:t>
      </w:r>
    </w:p>
    <w:p w14:paraId="362F7EA0" w14:textId="19FFC195" w:rsidR="00D14F95" w:rsidRPr="00805ED0" w:rsidRDefault="00D14F95" w:rsidP="00805ED0">
      <w:pPr>
        <w:tabs>
          <w:tab w:val="left" w:pos="1440"/>
        </w:tabs>
        <w:jc w:val="center"/>
        <w:rPr>
          <w:b/>
          <w:caps/>
        </w:rPr>
      </w:pPr>
      <w:bookmarkStart w:id="1" w:name="justice"/>
      <w:bookmarkStart w:id="2" w:name="mainstory"/>
      <w:bookmarkEnd w:id="1"/>
      <w:bookmarkEnd w:id="2"/>
    </w:p>
    <w:p w14:paraId="7470547D" w14:textId="7C0E7D9D" w:rsidR="00240A91" w:rsidRPr="00805ED0" w:rsidRDefault="00105F12" w:rsidP="00805ED0">
      <w:pPr>
        <w:ind w:firstLine="720"/>
        <w:rPr>
          <w:rFonts w:cstheme="minorHAnsi"/>
        </w:rPr>
      </w:pPr>
      <w:r w:rsidRPr="00805ED0">
        <w:rPr>
          <w:rFonts w:cstheme="minorHAnsi"/>
        </w:rPr>
        <w:t>Penal Code section 12022.7, subdivision (a) provides that a</w:t>
      </w:r>
      <w:r w:rsidR="00993AC0" w:rsidRPr="00805ED0">
        <w:rPr>
          <w:rFonts w:cstheme="minorHAnsi"/>
        </w:rPr>
        <w:t xml:space="preserve"> defendant</w:t>
      </w:r>
      <w:r w:rsidR="00240A91" w:rsidRPr="00805ED0">
        <w:rPr>
          <w:rFonts w:cstheme="minorHAnsi"/>
        </w:rPr>
        <w:t xml:space="preserve"> who personally inflicts great bodily injury on any person other than an accomplice in the commission of a felony shall receive an additional three</w:t>
      </w:r>
      <w:r w:rsidR="00240A91" w:rsidRPr="00805ED0">
        <w:rPr>
          <w:rFonts w:cstheme="minorHAnsi"/>
        </w:rPr>
        <w:noBreakHyphen/>
        <w:t xml:space="preserve">year term of imprisonment following the prison term imposed for the underlying offense.  In 2018, a Los Angeles County jury convicted </w:t>
      </w:r>
      <w:r w:rsidR="00930FA1">
        <w:rPr>
          <w:rFonts w:cstheme="minorHAnsi"/>
        </w:rPr>
        <w:t>d</w:t>
      </w:r>
      <w:r w:rsidR="00240A91" w:rsidRPr="00805ED0">
        <w:rPr>
          <w:rFonts w:cstheme="minorHAnsi"/>
        </w:rPr>
        <w:t xml:space="preserve">efendant Treyvon Love </w:t>
      </w:r>
      <w:proofErr w:type="spellStart"/>
      <w:r w:rsidR="00240A91" w:rsidRPr="00805ED0">
        <w:rPr>
          <w:rFonts w:cstheme="minorHAnsi"/>
        </w:rPr>
        <w:t>Ollo</w:t>
      </w:r>
      <w:proofErr w:type="spellEnd"/>
      <w:r w:rsidR="00240A91" w:rsidRPr="00805ED0">
        <w:rPr>
          <w:rFonts w:cstheme="minorHAnsi"/>
        </w:rPr>
        <w:t xml:space="preserve"> of furnishing or giving a controlled substance to a minor (Health &amp; </w:t>
      </w:r>
      <w:proofErr w:type="spellStart"/>
      <w:r w:rsidR="00240A91" w:rsidRPr="00805ED0">
        <w:rPr>
          <w:rFonts w:cstheme="minorHAnsi"/>
        </w:rPr>
        <w:t>Saf</w:t>
      </w:r>
      <w:proofErr w:type="spellEnd"/>
      <w:r w:rsidR="00240A91" w:rsidRPr="00805ED0">
        <w:rPr>
          <w:rFonts w:cstheme="minorHAnsi"/>
        </w:rPr>
        <w:t>. Code</w:t>
      </w:r>
      <w:r w:rsidR="00EA55DF" w:rsidRPr="00805ED0">
        <w:rPr>
          <w:rFonts w:cstheme="minorHAnsi"/>
        </w:rPr>
        <w:t>,</w:t>
      </w:r>
      <w:r w:rsidR="00240A91" w:rsidRPr="00805ED0">
        <w:rPr>
          <w:rFonts w:cstheme="minorHAnsi"/>
        </w:rPr>
        <w:t xml:space="preserve"> § 11353)</w:t>
      </w:r>
      <w:r w:rsidR="00EA4100" w:rsidRPr="00805ED0">
        <w:rPr>
          <w:rFonts w:cstheme="minorHAnsi"/>
        </w:rPr>
        <w:t xml:space="preserve"> and</w:t>
      </w:r>
      <w:r w:rsidR="00240A91" w:rsidRPr="00805ED0">
        <w:rPr>
          <w:rFonts w:cstheme="minorHAnsi"/>
        </w:rPr>
        <w:t xml:space="preserve"> found true the allegation that </w:t>
      </w:r>
      <w:proofErr w:type="spellStart"/>
      <w:r w:rsidR="00240A91" w:rsidRPr="00805ED0">
        <w:rPr>
          <w:rFonts w:cstheme="minorHAnsi"/>
        </w:rPr>
        <w:t>Ollo</w:t>
      </w:r>
      <w:proofErr w:type="spellEnd"/>
      <w:r w:rsidR="00240A91" w:rsidRPr="00805ED0">
        <w:rPr>
          <w:rFonts w:cstheme="minorHAnsi"/>
        </w:rPr>
        <w:t xml:space="preserve"> had personally inflicted great bodily injury upon the minor in the commission of the offense.  The trial court imposed a nine</w:t>
      </w:r>
      <w:r w:rsidR="00240A91" w:rsidRPr="00805ED0">
        <w:rPr>
          <w:rFonts w:cstheme="minorHAnsi"/>
        </w:rPr>
        <w:noBreakHyphen/>
        <w:t>year prison sentence for the furnishing count</w:t>
      </w:r>
      <w:r w:rsidR="00195A67" w:rsidRPr="00805ED0">
        <w:rPr>
          <w:rFonts w:cstheme="minorHAnsi"/>
        </w:rPr>
        <w:t>,</w:t>
      </w:r>
      <w:r w:rsidR="00BF0EDC" w:rsidRPr="00805ED0">
        <w:rPr>
          <w:rFonts w:cstheme="minorHAnsi"/>
        </w:rPr>
        <w:t xml:space="preserve"> plus an additional</w:t>
      </w:r>
      <w:r w:rsidR="00240A91" w:rsidRPr="00805ED0">
        <w:rPr>
          <w:rFonts w:cstheme="minorHAnsi"/>
        </w:rPr>
        <w:t xml:space="preserve"> three years for the great</w:t>
      </w:r>
      <w:r w:rsidR="00D05359" w:rsidRPr="00805ED0">
        <w:rPr>
          <w:rFonts w:cstheme="minorHAnsi"/>
        </w:rPr>
        <w:t xml:space="preserve"> </w:t>
      </w:r>
      <w:r w:rsidR="00240A91" w:rsidRPr="00805ED0">
        <w:rPr>
          <w:rFonts w:cstheme="minorHAnsi"/>
        </w:rPr>
        <w:t>bodily</w:t>
      </w:r>
      <w:r w:rsidR="00D05359" w:rsidRPr="00805ED0">
        <w:rPr>
          <w:rFonts w:cstheme="minorHAnsi"/>
        </w:rPr>
        <w:t xml:space="preserve"> </w:t>
      </w:r>
      <w:r w:rsidR="00240A91" w:rsidRPr="00805ED0">
        <w:rPr>
          <w:rFonts w:cstheme="minorHAnsi"/>
        </w:rPr>
        <w:t xml:space="preserve">injury enhancement.  The Court of Appeal affirmed, </w:t>
      </w:r>
      <w:r w:rsidR="00E46D9A" w:rsidRPr="00805ED0">
        <w:rPr>
          <w:rFonts w:cstheme="minorHAnsi"/>
        </w:rPr>
        <w:t>hold</w:t>
      </w:r>
      <w:r w:rsidR="002456F9" w:rsidRPr="00805ED0">
        <w:rPr>
          <w:rFonts w:cstheme="minorHAnsi"/>
        </w:rPr>
        <w:t>ing</w:t>
      </w:r>
      <w:r w:rsidR="00E46D9A" w:rsidRPr="00805ED0">
        <w:rPr>
          <w:rFonts w:cstheme="minorHAnsi"/>
        </w:rPr>
        <w:t xml:space="preserve"> </w:t>
      </w:r>
      <w:r w:rsidR="00240A91" w:rsidRPr="00805ED0">
        <w:rPr>
          <w:rFonts w:cstheme="minorHAnsi"/>
        </w:rPr>
        <w:t xml:space="preserve">as a matter of law that furnishing drugs to a victim who later overdoses </w:t>
      </w:r>
      <w:proofErr w:type="gramStart"/>
      <w:r w:rsidR="00240A91" w:rsidRPr="00805ED0">
        <w:rPr>
          <w:rFonts w:cstheme="minorHAnsi"/>
        </w:rPr>
        <w:t>is</w:t>
      </w:r>
      <w:proofErr w:type="gramEnd"/>
      <w:r w:rsidR="00240A91" w:rsidRPr="00805ED0">
        <w:rPr>
          <w:rFonts w:cstheme="minorHAnsi"/>
        </w:rPr>
        <w:t xml:space="preserve"> sufficient for a great</w:t>
      </w:r>
      <w:r w:rsidR="00FF296E" w:rsidRPr="00805ED0">
        <w:rPr>
          <w:rFonts w:cstheme="minorHAnsi"/>
        </w:rPr>
        <w:t xml:space="preserve"> </w:t>
      </w:r>
      <w:r w:rsidR="00240A91" w:rsidRPr="00805ED0">
        <w:rPr>
          <w:rFonts w:cstheme="minorHAnsi"/>
        </w:rPr>
        <w:t>bodily</w:t>
      </w:r>
      <w:r w:rsidR="00FF296E" w:rsidRPr="00805ED0">
        <w:rPr>
          <w:rFonts w:cstheme="minorHAnsi"/>
        </w:rPr>
        <w:t xml:space="preserve"> </w:t>
      </w:r>
      <w:r w:rsidR="00240A91" w:rsidRPr="00805ED0">
        <w:rPr>
          <w:rFonts w:cstheme="minorHAnsi"/>
        </w:rPr>
        <w:t xml:space="preserve">injury enhancement.  </w:t>
      </w:r>
      <w:r w:rsidR="00240A91" w:rsidRPr="00805ED0">
        <w:rPr>
          <w:rFonts w:cstheme="minorHAnsi"/>
          <w:szCs w:val="26"/>
          <w:shd w:val="clear" w:color="auto" w:fill="FFFFFF"/>
        </w:rPr>
        <w:t>(</w:t>
      </w:r>
      <w:r w:rsidR="00240A91" w:rsidRPr="00805ED0">
        <w:rPr>
          <w:rFonts w:cstheme="minorHAnsi"/>
          <w:i/>
          <w:iCs/>
          <w:szCs w:val="26"/>
          <w:shd w:val="clear" w:color="auto" w:fill="FFFFFF"/>
        </w:rPr>
        <w:t xml:space="preserve">People v. </w:t>
      </w:r>
      <w:proofErr w:type="spellStart"/>
      <w:r w:rsidR="00240A91" w:rsidRPr="00805ED0">
        <w:rPr>
          <w:rFonts w:cstheme="minorHAnsi"/>
          <w:i/>
          <w:iCs/>
          <w:szCs w:val="26"/>
          <w:shd w:val="clear" w:color="auto" w:fill="FFFFFF"/>
        </w:rPr>
        <w:t>Ollo</w:t>
      </w:r>
      <w:proofErr w:type="spellEnd"/>
      <w:r w:rsidR="00240A91" w:rsidRPr="00805ED0">
        <w:rPr>
          <w:rFonts w:cstheme="minorHAnsi"/>
          <w:szCs w:val="26"/>
          <w:shd w:val="clear" w:color="auto" w:fill="FFFFFF"/>
        </w:rPr>
        <w:t xml:space="preserve"> (2019) 42 Cal.App.5th 1152, 1158 (</w:t>
      </w:r>
      <w:proofErr w:type="spellStart"/>
      <w:r w:rsidR="00240A91" w:rsidRPr="00805ED0">
        <w:rPr>
          <w:rFonts w:cstheme="minorHAnsi"/>
          <w:i/>
          <w:iCs/>
          <w:szCs w:val="26"/>
          <w:shd w:val="clear" w:color="auto" w:fill="FFFFFF"/>
        </w:rPr>
        <w:t>Ollo</w:t>
      </w:r>
      <w:proofErr w:type="spellEnd"/>
      <w:r w:rsidR="00240A91" w:rsidRPr="00805ED0">
        <w:rPr>
          <w:rFonts w:cstheme="minorHAnsi"/>
          <w:szCs w:val="26"/>
          <w:shd w:val="clear" w:color="auto" w:fill="FFFFFF"/>
        </w:rPr>
        <w:t>).)</w:t>
      </w:r>
    </w:p>
    <w:p w14:paraId="14662DDC" w14:textId="713A3AC3" w:rsidR="00240A91" w:rsidRPr="00805ED0" w:rsidRDefault="00A1403D" w:rsidP="00805ED0">
      <w:pPr>
        <w:ind w:firstLine="720"/>
        <w:rPr>
          <w:rFonts w:cstheme="minorHAnsi"/>
          <w:szCs w:val="26"/>
          <w:shd w:val="clear" w:color="auto" w:fill="FFFFFF"/>
        </w:rPr>
      </w:pPr>
      <w:r w:rsidRPr="00805ED0">
        <w:rPr>
          <w:rFonts w:cstheme="minorHAnsi"/>
          <w:szCs w:val="26"/>
          <w:shd w:val="clear" w:color="auto" w:fill="FFFFFF"/>
        </w:rPr>
        <w:t xml:space="preserve">We granted review to determine </w:t>
      </w:r>
      <w:r w:rsidR="00240A91" w:rsidRPr="00805ED0">
        <w:rPr>
          <w:rFonts w:cstheme="minorHAnsi"/>
          <w:szCs w:val="26"/>
          <w:shd w:val="clear" w:color="auto" w:fill="FFFFFF"/>
        </w:rPr>
        <w:t xml:space="preserve">whether a defendant who furnishes a controlled substance “personally inflicts” great bodily injury whenever </w:t>
      </w:r>
      <w:r w:rsidR="00FF296E" w:rsidRPr="00805ED0">
        <w:rPr>
          <w:rFonts w:cstheme="minorHAnsi"/>
          <w:szCs w:val="26"/>
          <w:shd w:val="clear" w:color="auto" w:fill="FFFFFF"/>
        </w:rPr>
        <w:t xml:space="preserve">the person furnished with the drugs </w:t>
      </w:r>
      <w:r w:rsidR="00240A91" w:rsidRPr="00805ED0">
        <w:rPr>
          <w:rFonts w:cstheme="minorHAnsi"/>
          <w:szCs w:val="26"/>
          <w:shd w:val="clear" w:color="auto" w:fill="FFFFFF"/>
        </w:rPr>
        <w:t>suffer</w:t>
      </w:r>
      <w:r w:rsidR="00FF296E" w:rsidRPr="00805ED0">
        <w:rPr>
          <w:rFonts w:cstheme="minorHAnsi"/>
          <w:szCs w:val="26"/>
          <w:shd w:val="clear" w:color="auto" w:fill="FFFFFF"/>
        </w:rPr>
        <w:t>s</w:t>
      </w:r>
      <w:r w:rsidR="00240A91" w:rsidRPr="00805ED0">
        <w:rPr>
          <w:rFonts w:cstheme="minorHAnsi"/>
          <w:szCs w:val="26"/>
          <w:shd w:val="clear" w:color="auto" w:fill="FFFFFF"/>
        </w:rPr>
        <w:t xml:space="preserve"> such injury </w:t>
      </w:r>
      <w:r w:rsidR="00FF296E" w:rsidRPr="00805ED0">
        <w:rPr>
          <w:rFonts w:cstheme="minorHAnsi"/>
          <w:szCs w:val="26"/>
          <w:shd w:val="clear" w:color="auto" w:fill="FFFFFF"/>
        </w:rPr>
        <w:t>from using the</w:t>
      </w:r>
      <w:r w:rsidR="00240A91" w:rsidRPr="00805ED0">
        <w:rPr>
          <w:rFonts w:cstheme="minorHAnsi"/>
          <w:szCs w:val="26"/>
          <w:shd w:val="clear" w:color="auto" w:fill="FFFFFF"/>
        </w:rPr>
        <w:t xml:space="preserve"> drug</w:t>
      </w:r>
      <w:r w:rsidR="00FF296E" w:rsidRPr="00805ED0">
        <w:rPr>
          <w:rFonts w:cstheme="minorHAnsi"/>
          <w:szCs w:val="26"/>
          <w:shd w:val="clear" w:color="auto" w:fill="FFFFFF"/>
        </w:rPr>
        <w:t>s</w:t>
      </w:r>
      <w:r w:rsidR="00240A91" w:rsidRPr="00805ED0">
        <w:rPr>
          <w:rFonts w:cstheme="minorHAnsi"/>
          <w:szCs w:val="26"/>
          <w:shd w:val="clear" w:color="auto" w:fill="FFFFFF"/>
        </w:rPr>
        <w:t>.  (</w:t>
      </w:r>
      <w:r w:rsidR="00105F12" w:rsidRPr="00805ED0">
        <w:rPr>
          <w:rFonts w:cstheme="minorHAnsi"/>
          <w:szCs w:val="26"/>
          <w:shd w:val="clear" w:color="auto" w:fill="FFFFFF"/>
        </w:rPr>
        <w:t xml:space="preserve">Pen. Code, </w:t>
      </w:r>
      <w:r w:rsidR="00240A91" w:rsidRPr="00805ED0">
        <w:rPr>
          <w:rFonts w:cstheme="minorHAnsi"/>
          <w:szCs w:val="26"/>
          <w:shd w:val="clear" w:color="auto" w:fill="FFFFFF"/>
        </w:rPr>
        <w:t>§ 12022.7</w:t>
      </w:r>
      <w:r w:rsidR="00105F12" w:rsidRPr="00805ED0">
        <w:rPr>
          <w:rFonts w:cstheme="minorHAnsi"/>
          <w:szCs w:val="26"/>
          <w:shd w:val="clear" w:color="auto" w:fill="FFFFFF"/>
        </w:rPr>
        <w:t xml:space="preserve">; </w:t>
      </w:r>
      <w:r w:rsidR="00105F12" w:rsidRPr="00805ED0">
        <w:rPr>
          <w:rFonts w:cstheme="minorHAnsi"/>
        </w:rPr>
        <w:t>a</w:t>
      </w:r>
      <w:r w:rsidR="00105F12" w:rsidRPr="00805ED0">
        <w:t>ll undesignated statutory references are to the Penal Code</w:t>
      </w:r>
      <w:r w:rsidR="00105F12" w:rsidRPr="00805ED0">
        <w:rPr>
          <w:rFonts w:cstheme="minorHAnsi"/>
        </w:rPr>
        <w:t>.</w:t>
      </w:r>
      <w:r w:rsidR="00240A91" w:rsidRPr="00805ED0">
        <w:rPr>
          <w:rFonts w:cstheme="minorHAnsi"/>
          <w:szCs w:val="26"/>
          <w:shd w:val="clear" w:color="auto" w:fill="FFFFFF"/>
        </w:rPr>
        <w:t xml:space="preserve">)  In other words, is a conviction for furnishing or giving a controlled substance sufficient as a matter of law to establish personal infliction </w:t>
      </w:r>
      <w:r w:rsidR="00FF296E" w:rsidRPr="00805ED0">
        <w:rPr>
          <w:rFonts w:cstheme="minorHAnsi"/>
          <w:szCs w:val="26"/>
          <w:shd w:val="clear" w:color="auto" w:fill="FFFFFF"/>
        </w:rPr>
        <w:t xml:space="preserve">of great bodily injury </w:t>
      </w:r>
      <w:r w:rsidR="00240A91" w:rsidRPr="00805ED0">
        <w:rPr>
          <w:rFonts w:cstheme="minorHAnsi"/>
          <w:szCs w:val="26"/>
          <w:shd w:val="clear" w:color="auto" w:fill="FFFFFF"/>
        </w:rPr>
        <w:t>under section 12022.7</w:t>
      </w:r>
      <w:r w:rsidR="00FF296E" w:rsidRPr="00805ED0">
        <w:rPr>
          <w:rFonts w:cstheme="minorHAnsi"/>
          <w:szCs w:val="26"/>
          <w:shd w:val="clear" w:color="auto" w:fill="FFFFFF"/>
        </w:rPr>
        <w:t>?</w:t>
      </w:r>
      <w:r w:rsidR="00240A91" w:rsidRPr="00805ED0">
        <w:rPr>
          <w:rFonts w:cstheme="minorHAnsi"/>
          <w:szCs w:val="26"/>
          <w:shd w:val="clear" w:color="auto" w:fill="FFFFFF"/>
        </w:rPr>
        <w:t xml:space="preserve">  </w:t>
      </w:r>
      <w:r w:rsidR="00282A12" w:rsidRPr="00805ED0">
        <w:rPr>
          <w:rFonts w:cstheme="minorHAnsi"/>
          <w:szCs w:val="26"/>
          <w:shd w:val="clear" w:color="auto" w:fill="FFFFFF"/>
        </w:rPr>
        <w:t>W</w:t>
      </w:r>
      <w:r w:rsidR="00FF296E" w:rsidRPr="00805ED0">
        <w:rPr>
          <w:rFonts w:cstheme="minorHAnsi"/>
          <w:szCs w:val="26"/>
          <w:shd w:val="clear" w:color="auto" w:fill="FFFFFF"/>
        </w:rPr>
        <w:t>e hold</w:t>
      </w:r>
      <w:r w:rsidR="00240A91" w:rsidRPr="00805ED0">
        <w:rPr>
          <w:rFonts w:cstheme="minorHAnsi"/>
          <w:szCs w:val="26"/>
          <w:shd w:val="clear" w:color="auto" w:fill="FFFFFF"/>
        </w:rPr>
        <w:t xml:space="preserve"> that the act of furnishing is not</w:t>
      </w:r>
      <w:r w:rsidR="00EF011A" w:rsidRPr="00805ED0">
        <w:rPr>
          <w:rFonts w:cstheme="minorHAnsi"/>
          <w:szCs w:val="26"/>
          <w:shd w:val="clear" w:color="auto" w:fill="FFFFFF"/>
        </w:rPr>
        <w:t xml:space="preserve"> by itself</w:t>
      </w:r>
      <w:r w:rsidR="00240A91" w:rsidRPr="00805ED0">
        <w:rPr>
          <w:rFonts w:cstheme="minorHAnsi"/>
          <w:szCs w:val="26"/>
          <w:shd w:val="clear" w:color="auto" w:fill="FFFFFF"/>
        </w:rPr>
        <w:t xml:space="preserve"> sufficient to establish </w:t>
      </w:r>
      <w:r w:rsidR="00240A91" w:rsidRPr="00805ED0">
        <w:rPr>
          <w:rFonts w:cstheme="minorHAnsi"/>
          <w:szCs w:val="26"/>
          <w:shd w:val="clear" w:color="auto" w:fill="FFFFFF"/>
        </w:rPr>
        <w:lastRenderedPageBreak/>
        <w:t>personal infliction.  Whether a defendant</w:t>
      </w:r>
      <w:r w:rsidR="00FF296E" w:rsidRPr="00805ED0">
        <w:rPr>
          <w:rFonts w:cstheme="minorHAnsi"/>
          <w:szCs w:val="26"/>
          <w:shd w:val="clear" w:color="auto" w:fill="FFFFFF"/>
        </w:rPr>
        <w:t xml:space="preserve"> who furnishes drugs</w:t>
      </w:r>
      <w:r w:rsidR="00240A91" w:rsidRPr="00805ED0">
        <w:rPr>
          <w:rFonts w:cstheme="minorHAnsi"/>
          <w:szCs w:val="26"/>
          <w:shd w:val="clear" w:color="auto" w:fill="FFFFFF"/>
        </w:rPr>
        <w:t xml:space="preserve"> personally inflicts </w:t>
      </w:r>
      <w:r w:rsidR="00FF296E" w:rsidRPr="00805ED0">
        <w:rPr>
          <w:rFonts w:cstheme="minorHAnsi"/>
          <w:szCs w:val="26"/>
          <w:shd w:val="clear" w:color="auto" w:fill="FFFFFF"/>
        </w:rPr>
        <w:t xml:space="preserve">such </w:t>
      </w:r>
      <w:r w:rsidR="00240A91" w:rsidRPr="00805ED0">
        <w:rPr>
          <w:rFonts w:cstheme="minorHAnsi"/>
          <w:szCs w:val="26"/>
          <w:shd w:val="clear" w:color="auto" w:fill="FFFFFF"/>
        </w:rPr>
        <w:t xml:space="preserve">injury depends on the facts of the particular case.  </w:t>
      </w:r>
      <w:r w:rsidR="00240A91" w:rsidRPr="00805ED0">
        <w:rPr>
          <w:rFonts w:cstheme="minorHAnsi"/>
        </w:rPr>
        <w:t>To determine whether a defendant personal</w:t>
      </w:r>
      <w:r w:rsidR="002E7B11" w:rsidRPr="00805ED0">
        <w:rPr>
          <w:rFonts w:cstheme="minorHAnsi"/>
        </w:rPr>
        <w:t>ly</w:t>
      </w:r>
      <w:r w:rsidR="00240A91" w:rsidRPr="00805ED0">
        <w:rPr>
          <w:rFonts w:cstheme="minorHAnsi"/>
        </w:rPr>
        <w:t xml:space="preserve"> inflicts an injury, </w:t>
      </w:r>
      <w:r w:rsidR="00105F12" w:rsidRPr="00805ED0">
        <w:rPr>
          <w:rFonts w:cstheme="minorHAnsi"/>
        </w:rPr>
        <w:t xml:space="preserve">factfinders and </w:t>
      </w:r>
      <w:r w:rsidR="00240A91" w:rsidRPr="00805ED0">
        <w:rPr>
          <w:rFonts w:cstheme="minorHAnsi"/>
        </w:rPr>
        <w:t xml:space="preserve">courts must examine the circumstances of the underlying offense and the defendant’s role in causing the injury that followed.  </w:t>
      </w:r>
    </w:p>
    <w:p w14:paraId="2EF9FA82" w14:textId="77777777" w:rsidR="00DF7A86" w:rsidRPr="00805ED0" w:rsidRDefault="00240A91" w:rsidP="00805ED0">
      <w:pPr>
        <w:pStyle w:val="Heading1"/>
      </w:pPr>
      <w:r w:rsidRPr="00805ED0">
        <w:t>I.</w:t>
      </w:r>
    </w:p>
    <w:p w14:paraId="470C1FCC" w14:textId="3D1FE7BD" w:rsidR="00240A91" w:rsidRPr="00805ED0" w:rsidRDefault="00240A91" w:rsidP="00805ED0">
      <w:pPr>
        <w:ind w:firstLine="720"/>
      </w:pPr>
      <w:r w:rsidRPr="00805ED0">
        <w:t xml:space="preserve">On June 29, 2017, </w:t>
      </w:r>
      <w:r w:rsidR="00083508" w:rsidRPr="00805ED0">
        <w:t>18</w:t>
      </w:r>
      <w:r w:rsidRPr="00805ED0">
        <w:noBreakHyphen/>
        <w:t>year</w:t>
      </w:r>
      <w:r w:rsidRPr="00805ED0">
        <w:noBreakHyphen/>
        <w:t xml:space="preserve">old </w:t>
      </w:r>
      <w:proofErr w:type="spellStart"/>
      <w:r w:rsidRPr="00805ED0">
        <w:t>Ollo</w:t>
      </w:r>
      <w:proofErr w:type="spellEnd"/>
      <w:r w:rsidRPr="00805ED0">
        <w:t xml:space="preserve"> sent his </w:t>
      </w:r>
      <w:r w:rsidR="00083508" w:rsidRPr="00805ED0">
        <w:t>16</w:t>
      </w:r>
      <w:r w:rsidRPr="00805ED0">
        <w:noBreakHyphen/>
        <w:t>year</w:t>
      </w:r>
      <w:r w:rsidRPr="00805ED0">
        <w:noBreakHyphen/>
        <w:t xml:space="preserve">old girlfriend, Reina, a text message telling her that he had cocaine.  Reina arrived at </w:t>
      </w:r>
      <w:proofErr w:type="spellStart"/>
      <w:r w:rsidRPr="00805ED0">
        <w:t>Ollo’s</w:t>
      </w:r>
      <w:proofErr w:type="spellEnd"/>
      <w:r w:rsidRPr="00805ED0">
        <w:t xml:space="preserve"> house around 5:00 p.m.  Reina used an identification card to separate</w:t>
      </w:r>
      <w:r w:rsidRPr="00805ED0">
        <w:rPr>
          <w:color w:val="FF0000"/>
        </w:rPr>
        <w:t xml:space="preserve"> </w:t>
      </w:r>
      <w:r w:rsidRPr="00805ED0">
        <w:t xml:space="preserve">two lines of </w:t>
      </w:r>
      <w:r w:rsidR="00B64DA4">
        <w:t>white powder</w:t>
      </w:r>
      <w:r w:rsidR="00FF296E" w:rsidRPr="00805ED0">
        <w:t>,</w:t>
      </w:r>
      <w:r w:rsidRPr="00805ED0">
        <w:t xml:space="preserve"> and </w:t>
      </w:r>
      <w:r w:rsidR="00FF296E" w:rsidRPr="00805ED0">
        <w:t xml:space="preserve">she then </w:t>
      </w:r>
      <w:r w:rsidRPr="00805ED0">
        <w:t xml:space="preserve">snorted one line.  </w:t>
      </w:r>
      <w:proofErr w:type="spellStart"/>
      <w:r w:rsidRPr="00805ED0">
        <w:t>Ollo</w:t>
      </w:r>
      <w:proofErr w:type="spellEnd"/>
      <w:r w:rsidRPr="00805ED0">
        <w:t xml:space="preserve"> did not partake.  He </w:t>
      </w:r>
      <w:r w:rsidR="00FC40C5" w:rsidRPr="00805ED0">
        <w:t xml:space="preserve">later </w:t>
      </w:r>
      <w:r w:rsidRPr="00805ED0">
        <w:t xml:space="preserve">told the police that the </w:t>
      </w:r>
      <w:r w:rsidR="00D13AF6">
        <w:t>powder</w:t>
      </w:r>
      <w:r w:rsidR="00D13AF6" w:rsidRPr="00805ED0">
        <w:t xml:space="preserve"> </w:t>
      </w:r>
      <w:r w:rsidRPr="00805ED0">
        <w:t xml:space="preserve">“smell[ed] like gasoline” and was less white than the cocaine he usually purchased.  Around 7:30 or 8:00 p.m., 30 minutes after snorting the substance, Reina fell asleep.  At 9:00 p.m., </w:t>
      </w:r>
      <w:proofErr w:type="spellStart"/>
      <w:r w:rsidRPr="00805ED0">
        <w:t>Ollo</w:t>
      </w:r>
      <w:proofErr w:type="spellEnd"/>
      <w:r w:rsidRPr="00805ED0">
        <w:t xml:space="preserve"> checked to make sure Reina was still breathing.  </w:t>
      </w:r>
      <w:proofErr w:type="spellStart"/>
      <w:r w:rsidRPr="00805ED0">
        <w:t>Ollo</w:t>
      </w:r>
      <w:proofErr w:type="spellEnd"/>
      <w:r w:rsidRPr="00805ED0">
        <w:t xml:space="preserve"> then fell asleep next to Reina.</w:t>
      </w:r>
    </w:p>
    <w:p w14:paraId="372CB565" w14:textId="24F6562F" w:rsidR="00240A91" w:rsidRPr="00805ED0" w:rsidRDefault="00240A91" w:rsidP="00805ED0">
      <w:pPr>
        <w:ind w:firstLine="720"/>
      </w:pPr>
      <w:proofErr w:type="spellStart"/>
      <w:r w:rsidRPr="00805ED0">
        <w:t>Ollo</w:t>
      </w:r>
      <w:proofErr w:type="spellEnd"/>
      <w:r w:rsidRPr="00805ED0">
        <w:t xml:space="preserve"> woke up the next morning between 8:00 and 9:00 a.m.  When he tried to </w:t>
      </w:r>
      <w:r w:rsidR="00FF296E" w:rsidRPr="00805ED0">
        <w:t>rouse</w:t>
      </w:r>
      <w:r w:rsidRPr="00805ED0">
        <w:t xml:space="preserve"> Reina, she was nonresponsive, cold, and stiff.  </w:t>
      </w:r>
      <w:proofErr w:type="spellStart"/>
      <w:r w:rsidRPr="00805ED0">
        <w:t>Ollo</w:t>
      </w:r>
      <w:proofErr w:type="spellEnd"/>
      <w:r w:rsidRPr="00805ED0">
        <w:t xml:space="preserve"> sent text messages to a friend asking for help putting Reina in </w:t>
      </w:r>
      <w:r w:rsidR="00CA23CB">
        <w:t>a car</w:t>
      </w:r>
      <w:r w:rsidRPr="00805ED0">
        <w:t xml:space="preserve"> to take her to the hospital, but the friend said he did not want to get involved.  </w:t>
      </w:r>
      <w:proofErr w:type="spellStart"/>
      <w:r w:rsidRPr="00805ED0">
        <w:t>Ollo</w:t>
      </w:r>
      <w:proofErr w:type="spellEnd"/>
      <w:r w:rsidRPr="00805ED0">
        <w:t xml:space="preserve"> then called 911.  Reina was pronounced dead at the scene.</w:t>
      </w:r>
    </w:p>
    <w:p w14:paraId="4937A6D4" w14:textId="1160F41C" w:rsidR="00240A91" w:rsidRPr="00805ED0" w:rsidRDefault="00240A91" w:rsidP="00805ED0">
      <w:pPr>
        <w:ind w:firstLine="720"/>
      </w:pPr>
      <w:r w:rsidRPr="00805ED0">
        <w:t>A white powdery substance collected from the dresser near Reina’s body tested positive for fentanyl.  Toxicology samples collected during Reina’s autopsy also tested positive for fentanyl.  The medical examiner determined that Reina died from fentanyl intoxication.</w:t>
      </w:r>
    </w:p>
    <w:p w14:paraId="53B87610" w14:textId="02CEB16A" w:rsidR="001D0BA2" w:rsidRPr="00805ED0" w:rsidRDefault="00240A91" w:rsidP="00805ED0">
      <w:pPr>
        <w:ind w:firstLine="720"/>
      </w:pPr>
      <w:proofErr w:type="spellStart"/>
      <w:r w:rsidRPr="00805ED0">
        <w:t>Ollo</w:t>
      </w:r>
      <w:proofErr w:type="spellEnd"/>
      <w:r w:rsidRPr="00805ED0">
        <w:t xml:space="preserve"> was charged with furnishing, giving, or offering to furnish or give a controlled substance to a minor</w:t>
      </w:r>
      <w:r w:rsidR="008D793C" w:rsidRPr="00805ED0">
        <w:t>.</w:t>
      </w:r>
      <w:r w:rsidRPr="00805ED0">
        <w:t xml:space="preserve"> </w:t>
      </w:r>
      <w:r w:rsidR="008D793C" w:rsidRPr="00805ED0">
        <w:t xml:space="preserve"> </w:t>
      </w:r>
      <w:r w:rsidRPr="00805ED0">
        <w:t xml:space="preserve">(Health &amp; </w:t>
      </w:r>
      <w:proofErr w:type="spellStart"/>
      <w:r w:rsidRPr="00805ED0">
        <w:t>Saf</w:t>
      </w:r>
      <w:proofErr w:type="spellEnd"/>
      <w:r w:rsidRPr="00805ED0">
        <w:t xml:space="preserve">. </w:t>
      </w:r>
      <w:r w:rsidRPr="00805ED0">
        <w:lastRenderedPageBreak/>
        <w:t xml:space="preserve">Code, </w:t>
      </w:r>
      <w:r w:rsidRPr="00805ED0">
        <w:rPr>
          <w:rFonts w:cstheme="minorHAnsi"/>
        </w:rPr>
        <w:t>§</w:t>
      </w:r>
      <w:r w:rsidRPr="00805ED0">
        <w:t> 11353</w:t>
      </w:r>
      <w:r w:rsidR="008D793C" w:rsidRPr="00805ED0">
        <w:t>.</w:t>
      </w:r>
      <w:r w:rsidRPr="00805ED0">
        <w:t>)  The prosecutor further alleged that in the commission of this crime</w:t>
      </w:r>
      <w:r w:rsidR="00FF296E" w:rsidRPr="00805ED0">
        <w:t>,</w:t>
      </w:r>
      <w:r w:rsidRPr="00805ED0">
        <w:t xml:space="preserve"> </w:t>
      </w:r>
      <w:proofErr w:type="spellStart"/>
      <w:r w:rsidRPr="00805ED0">
        <w:t>Ollo</w:t>
      </w:r>
      <w:proofErr w:type="spellEnd"/>
      <w:r w:rsidRPr="00805ED0">
        <w:t xml:space="preserve"> personally inflicted great bodily injury upon Re</w:t>
      </w:r>
      <w:r w:rsidR="00607A7E" w:rsidRPr="00805ED0">
        <w:t>i</w:t>
      </w:r>
      <w:r w:rsidRPr="00805ED0">
        <w:t>na</w:t>
      </w:r>
      <w:r w:rsidR="008D793C" w:rsidRPr="00805ED0">
        <w:t>.</w:t>
      </w:r>
      <w:r w:rsidRPr="00805ED0">
        <w:t xml:space="preserve"> </w:t>
      </w:r>
      <w:r w:rsidR="008D793C" w:rsidRPr="00805ED0">
        <w:t xml:space="preserve"> </w:t>
      </w:r>
      <w:r w:rsidRPr="00805ED0">
        <w:t>(</w:t>
      </w:r>
      <w:r w:rsidRPr="00805ED0">
        <w:rPr>
          <w:rFonts w:cstheme="minorHAnsi"/>
        </w:rPr>
        <w:t>§</w:t>
      </w:r>
      <w:r w:rsidRPr="00805ED0">
        <w:t xml:space="preserve"> 12022.7, </w:t>
      </w:r>
      <w:proofErr w:type="spellStart"/>
      <w:r w:rsidRPr="00805ED0">
        <w:t>subd</w:t>
      </w:r>
      <w:proofErr w:type="spellEnd"/>
      <w:r w:rsidRPr="00805ED0">
        <w:t>. (a)</w:t>
      </w:r>
      <w:r w:rsidR="008D793C" w:rsidRPr="00805ED0">
        <w:t>.</w:t>
      </w:r>
      <w:r w:rsidRPr="00805ED0">
        <w:t>)  After the prosecutor presented h</w:t>
      </w:r>
      <w:r w:rsidR="00891AA5" w:rsidRPr="00805ED0">
        <w:t>er</w:t>
      </w:r>
      <w:r w:rsidRPr="00805ED0">
        <w:t xml:space="preserve"> case</w:t>
      </w:r>
      <w:r w:rsidR="00260B5F" w:rsidRPr="00805ED0">
        <w:t>-</w:t>
      </w:r>
      <w:r w:rsidRPr="00805ED0">
        <w:t>in</w:t>
      </w:r>
      <w:r w:rsidR="00260B5F" w:rsidRPr="00805ED0">
        <w:t>-</w:t>
      </w:r>
      <w:r w:rsidRPr="00805ED0">
        <w:t xml:space="preserve">chief, </w:t>
      </w:r>
      <w:proofErr w:type="spellStart"/>
      <w:r w:rsidRPr="00805ED0">
        <w:t>Ollo</w:t>
      </w:r>
      <w:proofErr w:type="spellEnd"/>
      <w:r w:rsidRPr="00805ED0">
        <w:t xml:space="preserve"> moved to </w:t>
      </w:r>
      <w:r w:rsidR="003A723B" w:rsidRPr="00805ED0">
        <w:t xml:space="preserve">dismiss </w:t>
      </w:r>
      <w:r w:rsidRPr="00805ED0">
        <w:t>the</w:t>
      </w:r>
      <w:r w:rsidR="00625045" w:rsidRPr="00805ED0">
        <w:t xml:space="preserve"> </w:t>
      </w:r>
      <w:r w:rsidRPr="00805ED0">
        <w:t>allegation</w:t>
      </w:r>
      <w:r w:rsidR="00625045" w:rsidRPr="00805ED0">
        <w:t xml:space="preserve"> of great bodily injury</w:t>
      </w:r>
      <w:r w:rsidRPr="00805ED0">
        <w:t>.  The court denied the motion.</w:t>
      </w:r>
      <w:r w:rsidR="007F15A9" w:rsidRPr="00805ED0">
        <w:t xml:space="preserve">  </w:t>
      </w:r>
      <w:r w:rsidR="002662C2" w:rsidRPr="00805ED0">
        <w:t>Defense counsel</w:t>
      </w:r>
      <w:r w:rsidR="0016523B" w:rsidRPr="00805ED0">
        <w:t xml:space="preserve"> </w:t>
      </w:r>
      <w:r w:rsidR="00113A67" w:rsidRPr="00805ED0">
        <w:t xml:space="preserve">then </w:t>
      </w:r>
      <w:r w:rsidR="002662C2" w:rsidRPr="00805ED0">
        <w:t xml:space="preserve">requested clarification </w:t>
      </w:r>
      <w:r w:rsidR="0016523B" w:rsidRPr="00805ED0">
        <w:t xml:space="preserve">of the court’s </w:t>
      </w:r>
      <w:r w:rsidR="00FD13EC" w:rsidRPr="00805ED0">
        <w:t>order</w:t>
      </w:r>
      <w:r w:rsidR="00AF6EF8" w:rsidRPr="00805ED0">
        <w:t xml:space="preserve"> and </w:t>
      </w:r>
      <w:r w:rsidR="00476E5C" w:rsidRPr="00805ED0">
        <w:t>a</w:t>
      </w:r>
      <w:r w:rsidR="002A3DA2" w:rsidRPr="00805ED0">
        <w:t>sserted</w:t>
      </w:r>
      <w:r w:rsidR="00AF6EF8" w:rsidRPr="00805ED0">
        <w:t xml:space="preserve"> that </w:t>
      </w:r>
      <w:r w:rsidR="00A76A19" w:rsidRPr="00805ED0">
        <w:t xml:space="preserve">he </w:t>
      </w:r>
      <w:r w:rsidR="000C0C0A" w:rsidRPr="00805ED0">
        <w:t>“</w:t>
      </w:r>
      <w:r w:rsidR="00A76A19" w:rsidRPr="00805ED0">
        <w:t>should</w:t>
      </w:r>
      <w:r w:rsidR="00AF6EF8" w:rsidRPr="00805ED0">
        <w:t xml:space="preserve"> </w:t>
      </w:r>
      <w:r w:rsidR="00A76A19" w:rsidRPr="00805ED0">
        <w:t>be able to argue whether the facts meet the elements” of the great</w:t>
      </w:r>
      <w:r w:rsidR="00FF296E" w:rsidRPr="00805ED0">
        <w:t xml:space="preserve"> </w:t>
      </w:r>
      <w:r w:rsidR="002A3DA2" w:rsidRPr="00805ED0">
        <w:t>bodily</w:t>
      </w:r>
      <w:r w:rsidR="00FF296E" w:rsidRPr="00805ED0">
        <w:t xml:space="preserve"> </w:t>
      </w:r>
      <w:r w:rsidR="00A76A19" w:rsidRPr="00805ED0">
        <w:t>injury enhancement</w:t>
      </w:r>
      <w:r w:rsidR="00AF6EF8" w:rsidRPr="00805ED0">
        <w:t>.</w:t>
      </w:r>
      <w:r w:rsidR="00060580" w:rsidRPr="00805ED0">
        <w:t xml:space="preserve">  </w:t>
      </w:r>
      <w:r w:rsidR="00893A98" w:rsidRPr="00805ED0">
        <w:t>The court</w:t>
      </w:r>
      <w:r w:rsidR="00105F12" w:rsidRPr="00805ED0">
        <w:t xml:space="preserve">, relying on </w:t>
      </w:r>
      <w:r w:rsidR="00105F12" w:rsidRPr="00805ED0">
        <w:rPr>
          <w:rFonts w:cstheme="minorHAnsi"/>
          <w:i/>
          <w:iCs/>
          <w:szCs w:val="26"/>
          <w:shd w:val="clear" w:color="auto" w:fill="FFFFFF"/>
        </w:rPr>
        <w:t xml:space="preserve">People v. Martinez </w:t>
      </w:r>
      <w:r w:rsidR="00105F12" w:rsidRPr="00805ED0">
        <w:rPr>
          <w:rFonts w:cstheme="minorHAnsi"/>
          <w:szCs w:val="26"/>
          <w:shd w:val="clear" w:color="auto" w:fill="FFFFFF"/>
        </w:rPr>
        <w:t>(2014) 226 Cal.App.4th 1169 (</w:t>
      </w:r>
      <w:r w:rsidR="00105F12" w:rsidRPr="00805ED0">
        <w:rPr>
          <w:rFonts w:cstheme="minorHAnsi"/>
          <w:i/>
          <w:szCs w:val="26"/>
          <w:shd w:val="clear" w:color="auto" w:fill="FFFFFF"/>
        </w:rPr>
        <w:t>Martinez</w:t>
      </w:r>
      <w:r w:rsidR="00105F12" w:rsidRPr="00805ED0">
        <w:rPr>
          <w:rFonts w:cstheme="minorHAnsi"/>
          <w:szCs w:val="26"/>
          <w:shd w:val="clear" w:color="auto" w:fill="FFFFFF"/>
        </w:rPr>
        <w:t>)</w:t>
      </w:r>
      <w:r w:rsidR="00105F12" w:rsidRPr="00805ED0">
        <w:t xml:space="preserve">, </w:t>
      </w:r>
      <w:r w:rsidR="00893A98" w:rsidRPr="00805ED0">
        <w:t>responde</w:t>
      </w:r>
      <w:r w:rsidR="00652D54" w:rsidRPr="00805ED0">
        <w:t>d, “He wants to argue</w:t>
      </w:r>
      <w:r w:rsidR="00060580" w:rsidRPr="00805ED0">
        <w:t xml:space="preserve"> she’s responsible for her own death, she took the drugs on her own volition, right?  And according to these cases I don’t think you can argue that.”  Defense counsel </w:t>
      </w:r>
      <w:r w:rsidR="000C065E" w:rsidRPr="00805ED0">
        <w:t>objected</w:t>
      </w:r>
      <w:r w:rsidR="006D230D" w:rsidRPr="00805ED0">
        <w:t xml:space="preserve">, arguing that </w:t>
      </w:r>
      <w:r w:rsidR="0073109A" w:rsidRPr="00805ED0">
        <w:t>the case</w:t>
      </w:r>
      <w:r w:rsidR="00105F12" w:rsidRPr="00805ED0">
        <w:t xml:space="preserve"> law</w:t>
      </w:r>
      <w:r w:rsidR="0073109A" w:rsidRPr="00805ED0">
        <w:t xml:space="preserve"> cited by the court </w:t>
      </w:r>
      <w:r w:rsidR="00105F12" w:rsidRPr="00805ED0">
        <w:t xml:space="preserve">was </w:t>
      </w:r>
      <w:r w:rsidR="0073109A" w:rsidRPr="00805ED0">
        <w:t xml:space="preserve">“very distinguishable as to the acts” and </w:t>
      </w:r>
      <w:r w:rsidR="00FF296E" w:rsidRPr="00805ED0">
        <w:t xml:space="preserve">that </w:t>
      </w:r>
      <w:r w:rsidR="0073109A" w:rsidRPr="00805ED0">
        <w:t xml:space="preserve">“it would be a complete violation of Mr. </w:t>
      </w:r>
      <w:proofErr w:type="spellStart"/>
      <w:r w:rsidR="0073109A" w:rsidRPr="00805ED0">
        <w:t>Ollo’s</w:t>
      </w:r>
      <w:proofErr w:type="spellEnd"/>
      <w:r w:rsidR="0073109A" w:rsidRPr="00805ED0">
        <w:t xml:space="preserve"> Sixth Amendment right to prevent </w:t>
      </w:r>
      <w:r w:rsidR="00541E58" w:rsidRPr="00805ED0">
        <w:t>[defense counsel]</w:t>
      </w:r>
      <w:r w:rsidR="0073109A" w:rsidRPr="00805ED0">
        <w:t xml:space="preserve"> from arguing whether or not facts from the stand meet the </w:t>
      </w:r>
      <w:r w:rsidR="00DB7CBA" w:rsidRPr="00805ED0">
        <w:t>elements.”</w:t>
      </w:r>
      <w:r w:rsidR="00593B0E" w:rsidRPr="00805ED0">
        <w:t xml:space="preserve">  </w:t>
      </w:r>
      <w:r w:rsidR="007D3D88" w:rsidRPr="00805ED0">
        <w:t xml:space="preserve">The </w:t>
      </w:r>
      <w:r w:rsidR="00FF296E" w:rsidRPr="00805ED0">
        <w:t>c</w:t>
      </w:r>
      <w:r w:rsidR="007D3D88" w:rsidRPr="00805ED0">
        <w:t>ourt concluded this exchange by stating</w:t>
      </w:r>
      <w:r w:rsidR="00B17B17" w:rsidRPr="00805ED0">
        <w:t xml:space="preserve">, “If your argument is going to be </w:t>
      </w:r>
      <w:r w:rsidR="002B4275" w:rsidRPr="00805ED0">
        <w:t>[</w:t>
      </w:r>
      <w:proofErr w:type="spellStart"/>
      <w:r w:rsidR="002B4275" w:rsidRPr="00805ED0">
        <w:t>Ollo</w:t>
      </w:r>
      <w:proofErr w:type="spellEnd"/>
      <w:r w:rsidR="002B4275" w:rsidRPr="00805ED0">
        <w:t>]</w:t>
      </w:r>
      <w:r w:rsidR="00B17B17" w:rsidRPr="00805ED0">
        <w:t xml:space="preserve"> gave </w:t>
      </w:r>
      <w:r w:rsidR="002B4275" w:rsidRPr="00805ED0">
        <w:t>[Reina]</w:t>
      </w:r>
      <w:r w:rsidR="00B17B17" w:rsidRPr="00805ED0">
        <w:t xml:space="preserve"> the drugs</w:t>
      </w:r>
      <w:r w:rsidR="002F780B">
        <w:t> </w:t>
      </w:r>
      <w:r w:rsidR="00B17B17" w:rsidRPr="00805ED0">
        <w:t>— if you believe he gave her the drugs</w:t>
      </w:r>
      <w:r w:rsidR="0042169C" w:rsidRPr="00805ED0">
        <w:t xml:space="preserve">, he’s not responsible because she voluntarily took them, I don’t think that can be done because I think it’s in contravention to </w:t>
      </w:r>
      <w:r w:rsidR="00FF296E" w:rsidRPr="00805ED0">
        <w:t>[</w:t>
      </w:r>
      <w:r w:rsidR="00105F12" w:rsidRPr="00805ED0">
        <w:rPr>
          <w:i/>
        </w:rPr>
        <w:t>Martinez</w:t>
      </w:r>
      <w:r w:rsidR="00FF296E" w:rsidRPr="00805ED0">
        <w:rPr>
          <w:rFonts w:cstheme="minorHAnsi"/>
          <w:szCs w:val="26"/>
          <w:shd w:val="clear" w:color="auto" w:fill="FFFFFF"/>
        </w:rPr>
        <w:t>]</w:t>
      </w:r>
      <w:r w:rsidR="0042169C" w:rsidRPr="00805ED0">
        <w:t>.”</w:t>
      </w:r>
    </w:p>
    <w:p w14:paraId="04A66FCA" w14:textId="35EDC9AC" w:rsidR="00240A91" w:rsidRPr="00805ED0" w:rsidRDefault="0039434A" w:rsidP="00805ED0">
      <w:pPr>
        <w:ind w:firstLine="720"/>
        <w:rPr>
          <w:rFonts w:cstheme="minorHAnsi"/>
        </w:rPr>
      </w:pPr>
      <w:r w:rsidRPr="00805ED0">
        <w:t>In his</w:t>
      </w:r>
      <w:r w:rsidR="0036136E" w:rsidRPr="00805ED0">
        <w:t xml:space="preserve"> closing </w:t>
      </w:r>
      <w:r w:rsidRPr="00805ED0">
        <w:t>statement</w:t>
      </w:r>
      <w:r w:rsidR="0036136E" w:rsidRPr="00805ED0">
        <w:t xml:space="preserve">, defense counsel </w:t>
      </w:r>
      <w:r w:rsidR="004172A3" w:rsidRPr="00805ED0">
        <w:t xml:space="preserve">argued that there was no evidence </w:t>
      </w:r>
      <w:proofErr w:type="spellStart"/>
      <w:r w:rsidR="001D0BA2" w:rsidRPr="00805ED0">
        <w:t>Ollo</w:t>
      </w:r>
      <w:proofErr w:type="spellEnd"/>
      <w:r w:rsidR="001D0BA2" w:rsidRPr="00805ED0">
        <w:t xml:space="preserve"> gave </w:t>
      </w:r>
      <w:r w:rsidR="00B97040" w:rsidRPr="00805ED0">
        <w:t xml:space="preserve">the </w:t>
      </w:r>
      <w:r w:rsidR="003B2DF3" w:rsidRPr="00805ED0">
        <w:t>fentanyl</w:t>
      </w:r>
      <w:r w:rsidR="001D0BA2" w:rsidRPr="00805ED0">
        <w:t xml:space="preserve"> to Reina.</w:t>
      </w:r>
      <w:r w:rsidRPr="00805ED0">
        <w:t xml:space="preserve">  He did not discuss whether the facts met the elements of the </w:t>
      </w:r>
      <w:r w:rsidR="000D7479" w:rsidRPr="00805ED0">
        <w:t>great bodily injury</w:t>
      </w:r>
      <w:r w:rsidRPr="00805ED0">
        <w:t xml:space="preserve"> enhancement</w:t>
      </w:r>
      <w:r w:rsidR="001A797A" w:rsidRPr="00805ED0">
        <w:t xml:space="preserve">.  </w:t>
      </w:r>
      <w:r w:rsidR="00240A91" w:rsidRPr="00805ED0">
        <w:t xml:space="preserve">The jury convicted </w:t>
      </w:r>
      <w:proofErr w:type="spellStart"/>
      <w:r w:rsidR="00240A91" w:rsidRPr="00805ED0">
        <w:t>Ollo</w:t>
      </w:r>
      <w:proofErr w:type="spellEnd"/>
      <w:r w:rsidR="00240A91" w:rsidRPr="00805ED0">
        <w:t xml:space="preserve"> of </w:t>
      </w:r>
      <w:r w:rsidR="00896ADE" w:rsidRPr="00805ED0">
        <w:t xml:space="preserve">offering a controlled substance to a minor and </w:t>
      </w:r>
      <w:r w:rsidR="00531DC6" w:rsidRPr="00805ED0">
        <w:t xml:space="preserve">furnishing or giving away </w:t>
      </w:r>
      <w:r w:rsidR="00240A91" w:rsidRPr="00805ED0">
        <w:t xml:space="preserve">a controlled substance to a minor.  </w:t>
      </w:r>
      <w:r w:rsidR="00240A91" w:rsidRPr="00805ED0">
        <w:rPr>
          <w:rFonts w:cstheme="minorHAnsi"/>
        </w:rPr>
        <w:t>It also sustained the allegation that</w:t>
      </w:r>
      <w:r w:rsidR="00863566" w:rsidRPr="00805ED0">
        <w:rPr>
          <w:rFonts w:cstheme="minorHAnsi"/>
        </w:rPr>
        <w:t xml:space="preserve"> </w:t>
      </w:r>
      <w:proofErr w:type="spellStart"/>
      <w:r w:rsidR="004D6714" w:rsidRPr="00805ED0">
        <w:rPr>
          <w:rFonts w:cstheme="minorHAnsi"/>
        </w:rPr>
        <w:t>Ollo</w:t>
      </w:r>
      <w:proofErr w:type="spellEnd"/>
      <w:r w:rsidR="004D6714" w:rsidRPr="00805ED0">
        <w:rPr>
          <w:rFonts w:cstheme="minorHAnsi"/>
        </w:rPr>
        <w:t xml:space="preserve"> personal</w:t>
      </w:r>
      <w:r w:rsidR="00863566" w:rsidRPr="00805ED0">
        <w:rPr>
          <w:rFonts w:cstheme="minorHAnsi"/>
        </w:rPr>
        <w:t>ly</w:t>
      </w:r>
      <w:r w:rsidR="004D6714" w:rsidRPr="00805ED0">
        <w:rPr>
          <w:rFonts w:cstheme="minorHAnsi"/>
        </w:rPr>
        <w:t xml:space="preserve"> inflicted great bodily injury upon Reina within the meaning of section 12022.7, subdivision (a).</w:t>
      </w:r>
      <w:r w:rsidR="00240A91" w:rsidRPr="00805ED0">
        <w:rPr>
          <w:rFonts w:cstheme="minorHAnsi"/>
        </w:rPr>
        <w:t xml:space="preserve">  </w:t>
      </w:r>
      <w:r w:rsidR="00240A91" w:rsidRPr="00805ED0">
        <w:rPr>
          <w:rFonts w:cstheme="minorHAnsi"/>
        </w:rPr>
        <w:lastRenderedPageBreak/>
        <w:t xml:space="preserve">The court sentenced </w:t>
      </w:r>
      <w:proofErr w:type="spellStart"/>
      <w:r w:rsidR="00240A91" w:rsidRPr="00805ED0">
        <w:rPr>
          <w:rFonts w:cstheme="minorHAnsi"/>
        </w:rPr>
        <w:t>Ollo</w:t>
      </w:r>
      <w:proofErr w:type="spellEnd"/>
      <w:r w:rsidR="00240A91" w:rsidRPr="00805ED0">
        <w:rPr>
          <w:rFonts w:cstheme="minorHAnsi"/>
        </w:rPr>
        <w:t xml:space="preserve"> to nine years in prison, plus an additional three years for the </w:t>
      </w:r>
      <w:r w:rsidR="000D7479" w:rsidRPr="00805ED0">
        <w:rPr>
          <w:rFonts w:cstheme="minorHAnsi"/>
        </w:rPr>
        <w:t>great bodily injury</w:t>
      </w:r>
      <w:r w:rsidR="00A94402" w:rsidRPr="00805ED0">
        <w:rPr>
          <w:rFonts w:cstheme="minorHAnsi"/>
        </w:rPr>
        <w:t xml:space="preserve"> </w:t>
      </w:r>
      <w:r w:rsidR="00240A91" w:rsidRPr="00805ED0">
        <w:rPr>
          <w:rFonts w:cstheme="minorHAnsi"/>
        </w:rPr>
        <w:t>enhancement.</w:t>
      </w:r>
    </w:p>
    <w:p w14:paraId="001B41F9" w14:textId="6AB8F086" w:rsidR="00240A91" w:rsidRPr="00805ED0" w:rsidRDefault="00CA23CB" w:rsidP="00805ED0">
      <w:pPr>
        <w:ind w:firstLine="720"/>
        <w:rPr>
          <w:rFonts w:cstheme="minorHAnsi"/>
          <w:szCs w:val="26"/>
          <w:shd w:val="clear" w:color="auto" w:fill="FFFFFF"/>
        </w:rPr>
      </w:pPr>
      <w:r>
        <w:rPr>
          <w:rFonts w:cstheme="minorHAnsi"/>
          <w:szCs w:val="26"/>
        </w:rPr>
        <w:t xml:space="preserve">On appeal, </w:t>
      </w:r>
      <w:proofErr w:type="spellStart"/>
      <w:r w:rsidR="00240A91" w:rsidRPr="00805ED0">
        <w:rPr>
          <w:rFonts w:cstheme="minorHAnsi"/>
          <w:szCs w:val="26"/>
        </w:rPr>
        <w:t>Ollo</w:t>
      </w:r>
      <w:proofErr w:type="spellEnd"/>
      <w:r w:rsidR="00240A91" w:rsidRPr="00805ED0">
        <w:rPr>
          <w:rFonts w:cstheme="minorHAnsi"/>
          <w:szCs w:val="26"/>
        </w:rPr>
        <w:t xml:space="preserve"> argu</w:t>
      </w:r>
      <w:r>
        <w:rPr>
          <w:rFonts w:cstheme="minorHAnsi"/>
          <w:szCs w:val="26"/>
        </w:rPr>
        <w:t>ed</w:t>
      </w:r>
      <w:r w:rsidR="00240A91" w:rsidRPr="00805ED0">
        <w:rPr>
          <w:rFonts w:cstheme="minorHAnsi"/>
          <w:szCs w:val="26"/>
        </w:rPr>
        <w:t xml:space="preserve"> that the trial court erred by limiting defense counsel’s closing argument.  The Court of Appeal affirmed.  </w:t>
      </w:r>
      <w:r w:rsidR="00240A91" w:rsidRPr="00805ED0">
        <w:rPr>
          <w:rFonts w:cstheme="minorHAnsi"/>
          <w:szCs w:val="26"/>
          <w:shd w:val="clear" w:color="auto" w:fill="FFFFFF"/>
        </w:rPr>
        <w:t>(</w:t>
      </w:r>
      <w:proofErr w:type="spellStart"/>
      <w:r w:rsidR="00240A91" w:rsidRPr="00805ED0">
        <w:rPr>
          <w:rFonts w:cstheme="minorHAnsi"/>
          <w:i/>
          <w:iCs/>
          <w:szCs w:val="26"/>
          <w:shd w:val="clear" w:color="auto" w:fill="FFFFFF"/>
        </w:rPr>
        <w:t>Ollo</w:t>
      </w:r>
      <w:proofErr w:type="spellEnd"/>
      <w:r w:rsidR="00240A91" w:rsidRPr="00805ED0">
        <w:rPr>
          <w:rFonts w:cstheme="minorHAnsi"/>
          <w:szCs w:val="26"/>
          <w:shd w:val="clear" w:color="auto" w:fill="FFFFFF"/>
        </w:rPr>
        <w:t xml:space="preserve">, </w:t>
      </w:r>
      <w:r w:rsidR="00240A91" w:rsidRPr="00805ED0">
        <w:rPr>
          <w:rFonts w:cstheme="minorHAnsi"/>
          <w:i/>
          <w:iCs/>
          <w:szCs w:val="26"/>
          <w:shd w:val="clear" w:color="auto" w:fill="FFFFFF"/>
        </w:rPr>
        <w:t>supra</w:t>
      </w:r>
      <w:r w:rsidR="00240A91" w:rsidRPr="00805ED0">
        <w:rPr>
          <w:rFonts w:cstheme="minorHAnsi"/>
          <w:szCs w:val="26"/>
          <w:shd w:val="clear" w:color="auto" w:fill="FFFFFF"/>
        </w:rPr>
        <w:t xml:space="preserve">, 42 Cal.App.5th </w:t>
      </w:r>
      <w:r w:rsidR="003F65D9" w:rsidRPr="00805ED0">
        <w:rPr>
          <w:rFonts w:cstheme="minorHAnsi"/>
          <w:szCs w:val="26"/>
          <w:shd w:val="clear" w:color="auto" w:fill="FFFFFF"/>
        </w:rPr>
        <w:t>at pp. 1158–1159</w:t>
      </w:r>
      <w:r w:rsidR="00240A91" w:rsidRPr="00805ED0">
        <w:rPr>
          <w:rFonts w:cstheme="minorHAnsi"/>
          <w:szCs w:val="26"/>
          <w:shd w:val="clear" w:color="auto" w:fill="FFFFFF"/>
        </w:rPr>
        <w:t>.)</w:t>
      </w:r>
      <w:r w:rsidR="00296A67" w:rsidRPr="00805ED0">
        <w:rPr>
          <w:rFonts w:cstheme="minorHAnsi"/>
          <w:szCs w:val="26"/>
        </w:rPr>
        <w:t xml:space="preserve">  It noted that “</w:t>
      </w:r>
      <w:r w:rsidR="00296A67" w:rsidRPr="00805ED0">
        <w:rPr>
          <w:szCs w:val="26"/>
          <w:shd w:val="clear" w:color="auto" w:fill="FFFFFF"/>
        </w:rPr>
        <w:t>trial courts enjoy ‘</w:t>
      </w:r>
      <w:r w:rsidR="00542651">
        <w:rPr>
          <w:szCs w:val="26"/>
          <w:shd w:val="clear" w:color="auto" w:fill="FFFFFF"/>
        </w:rPr>
        <w:t> </w:t>
      </w:r>
      <w:r w:rsidR="00296A67" w:rsidRPr="00805ED0">
        <w:rPr>
          <w:szCs w:val="26"/>
          <w:shd w:val="clear" w:color="auto" w:fill="FFFFFF"/>
        </w:rPr>
        <w:t>“great latitude” ’ in regulating the permissible scope of closing argument . . . , and on that basis may preclude any argument that is contrary to the law.”  (</w:t>
      </w:r>
      <w:r w:rsidR="00296A67" w:rsidRPr="00805ED0">
        <w:rPr>
          <w:i/>
          <w:iCs/>
          <w:szCs w:val="26"/>
          <w:shd w:val="clear" w:color="auto" w:fill="FFFFFF"/>
        </w:rPr>
        <w:t>Id.</w:t>
      </w:r>
      <w:r w:rsidR="00296A67" w:rsidRPr="00805ED0">
        <w:rPr>
          <w:szCs w:val="26"/>
          <w:shd w:val="clear" w:color="auto" w:fill="FFFFFF"/>
        </w:rPr>
        <w:t xml:space="preserve"> at </w:t>
      </w:r>
      <w:r w:rsidR="008B5405" w:rsidRPr="00805ED0">
        <w:rPr>
          <w:szCs w:val="26"/>
          <w:shd w:val="clear" w:color="auto" w:fill="FFFFFF"/>
        </w:rPr>
        <w:t>p. </w:t>
      </w:r>
      <w:r w:rsidR="00296A67" w:rsidRPr="00805ED0">
        <w:rPr>
          <w:szCs w:val="26"/>
          <w:shd w:val="clear" w:color="auto" w:fill="FFFFFF"/>
        </w:rPr>
        <w:t>1156</w:t>
      </w:r>
      <w:r w:rsidR="00930FA1">
        <w:rPr>
          <w:szCs w:val="26"/>
          <w:shd w:val="clear" w:color="auto" w:fill="FFFFFF"/>
        </w:rPr>
        <w:t>, citation omitted</w:t>
      </w:r>
      <w:r w:rsidR="00923320" w:rsidRPr="00805ED0">
        <w:rPr>
          <w:szCs w:val="26"/>
          <w:bdr w:val="none" w:sz="0" w:space="0" w:color="auto" w:frame="1"/>
          <w:shd w:val="clear" w:color="auto" w:fill="FFFFFF"/>
        </w:rPr>
        <w:t>.)</w:t>
      </w:r>
      <w:r w:rsidR="0094274B" w:rsidRPr="00805ED0">
        <w:rPr>
          <w:szCs w:val="26"/>
          <w:shd w:val="clear" w:color="auto" w:fill="FFFFFF"/>
        </w:rPr>
        <w:t xml:space="preserve">  </w:t>
      </w:r>
      <w:r w:rsidR="00240A91" w:rsidRPr="00805ED0">
        <w:rPr>
          <w:rFonts w:cstheme="minorHAnsi"/>
          <w:szCs w:val="26"/>
        </w:rPr>
        <w:t xml:space="preserve">It </w:t>
      </w:r>
      <w:r w:rsidR="004D5F81" w:rsidRPr="00805ED0">
        <w:rPr>
          <w:rFonts w:cstheme="minorHAnsi"/>
          <w:szCs w:val="26"/>
        </w:rPr>
        <w:t xml:space="preserve">then </w:t>
      </w:r>
      <w:r w:rsidR="000D7479" w:rsidRPr="00805ED0">
        <w:rPr>
          <w:rFonts w:cstheme="minorHAnsi"/>
          <w:szCs w:val="26"/>
        </w:rPr>
        <w:t xml:space="preserve">held </w:t>
      </w:r>
      <w:r w:rsidR="00240A91" w:rsidRPr="00805ED0">
        <w:rPr>
          <w:rFonts w:cstheme="minorHAnsi"/>
          <w:szCs w:val="26"/>
        </w:rPr>
        <w:t>that “a defendant’s act of furnishing drugs and the user’s voluntary act of ingesting them constitute concurrent direct causes, such that the defendant who so furnishes personally inflicts great bodily injury upon his victim when she subsequently dies from an overdose.”  (</w:t>
      </w:r>
      <w:r w:rsidR="00240A91" w:rsidRPr="00805ED0">
        <w:rPr>
          <w:rFonts w:cstheme="minorHAnsi"/>
          <w:i/>
          <w:iCs/>
          <w:szCs w:val="26"/>
        </w:rPr>
        <w:t>Id.</w:t>
      </w:r>
      <w:r w:rsidR="00240A91" w:rsidRPr="00805ED0">
        <w:rPr>
          <w:rFonts w:cstheme="minorHAnsi"/>
          <w:szCs w:val="26"/>
        </w:rPr>
        <w:t xml:space="preserve"> at p. 1158.)</w:t>
      </w:r>
      <w:r w:rsidR="001A5CBF" w:rsidRPr="00805ED0">
        <w:rPr>
          <w:rFonts w:cstheme="minorHAnsi"/>
          <w:szCs w:val="26"/>
          <w:shd w:val="clear" w:color="auto" w:fill="FFFFFF"/>
        </w:rPr>
        <w:t xml:space="preserve">  </w:t>
      </w:r>
      <w:r w:rsidR="000D7479" w:rsidRPr="00805ED0">
        <w:rPr>
          <w:rFonts w:cstheme="minorHAnsi"/>
          <w:szCs w:val="26"/>
          <w:shd w:val="clear" w:color="auto" w:fill="FFFFFF"/>
        </w:rPr>
        <w:t>Acknowledging the breadth of its</w:t>
      </w:r>
      <w:r w:rsidR="001A5CBF" w:rsidRPr="00805ED0">
        <w:rPr>
          <w:rFonts w:cstheme="minorHAnsi"/>
          <w:szCs w:val="26"/>
          <w:shd w:val="clear" w:color="auto" w:fill="FFFFFF"/>
        </w:rPr>
        <w:t xml:space="preserve"> holding,</w:t>
      </w:r>
      <w:r w:rsidR="000D7479" w:rsidRPr="00805ED0">
        <w:rPr>
          <w:rFonts w:cstheme="minorHAnsi"/>
          <w:szCs w:val="26"/>
          <w:shd w:val="clear" w:color="auto" w:fill="FFFFFF"/>
        </w:rPr>
        <w:t xml:space="preserve"> the court said that</w:t>
      </w:r>
      <w:r w:rsidR="001A5CBF" w:rsidRPr="00805ED0">
        <w:rPr>
          <w:rFonts w:cstheme="minorHAnsi"/>
          <w:szCs w:val="26"/>
          <w:shd w:val="clear" w:color="auto" w:fill="FFFFFF"/>
        </w:rPr>
        <w:t xml:space="preserve"> “</w:t>
      </w:r>
      <w:r w:rsidR="00240A91" w:rsidRPr="00805ED0">
        <w:rPr>
          <w:rFonts w:cstheme="minorHAnsi"/>
          <w:szCs w:val="26"/>
        </w:rPr>
        <w:t>drug dealers are liable for additional prison</w:t>
      </w:r>
      <w:r w:rsidR="00240A91" w:rsidRPr="00805ED0">
        <w:rPr>
          <w:rFonts w:cstheme="minorHAnsi"/>
          <w:szCs w:val="26"/>
          <w:shd w:val="clear" w:color="auto" w:fill="FFFFFF"/>
        </w:rPr>
        <w:t xml:space="preserve"> </w:t>
      </w:r>
      <w:r w:rsidR="00240A91" w:rsidRPr="00805ED0">
        <w:rPr>
          <w:rFonts w:cstheme="minorHAnsi"/>
          <w:szCs w:val="26"/>
        </w:rPr>
        <w:t xml:space="preserve">time </w:t>
      </w:r>
      <w:r w:rsidR="00240A91" w:rsidRPr="00805ED0">
        <w:rPr>
          <w:rFonts w:cstheme="minorHAnsi"/>
          <w:i/>
          <w:szCs w:val="26"/>
        </w:rPr>
        <w:t>whenever</w:t>
      </w:r>
      <w:r w:rsidR="00240A91" w:rsidRPr="00805ED0">
        <w:rPr>
          <w:rFonts w:cstheme="minorHAnsi"/>
          <w:szCs w:val="26"/>
        </w:rPr>
        <w:t xml:space="preserve"> the persons to whom they furnish drugs are subjected to great bodily injury due to their drug use.”  (</w:t>
      </w:r>
      <w:r w:rsidR="00240A91" w:rsidRPr="00805ED0">
        <w:rPr>
          <w:rFonts w:cstheme="minorHAnsi"/>
          <w:i/>
          <w:iCs/>
          <w:szCs w:val="26"/>
        </w:rPr>
        <w:t>Id.</w:t>
      </w:r>
      <w:r w:rsidR="00240A91" w:rsidRPr="00805ED0">
        <w:rPr>
          <w:rFonts w:cstheme="minorHAnsi"/>
          <w:szCs w:val="26"/>
        </w:rPr>
        <w:t xml:space="preserve"> at p. 1159</w:t>
      </w:r>
      <w:r w:rsidR="00105F12" w:rsidRPr="00805ED0">
        <w:rPr>
          <w:rFonts w:cstheme="minorHAnsi"/>
          <w:szCs w:val="26"/>
        </w:rPr>
        <w:t>, italics added</w:t>
      </w:r>
      <w:r w:rsidR="00240A91" w:rsidRPr="00805ED0">
        <w:rPr>
          <w:rFonts w:cstheme="minorHAnsi"/>
          <w:szCs w:val="26"/>
        </w:rPr>
        <w:t>.)  We granted review.</w:t>
      </w:r>
    </w:p>
    <w:p w14:paraId="30BE99AA" w14:textId="77777777" w:rsidR="00240A91" w:rsidRPr="00805ED0" w:rsidRDefault="00240A91" w:rsidP="00805ED0">
      <w:pPr>
        <w:pStyle w:val="Heading1"/>
        <w:rPr>
          <w:shd w:val="clear" w:color="auto" w:fill="FFFFFF"/>
        </w:rPr>
      </w:pPr>
      <w:r w:rsidRPr="00805ED0">
        <w:rPr>
          <w:shd w:val="clear" w:color="auto" w:fill="FFFFFF"/>
        </w:rPr>
        <w:t>II.</w:t>
      </w:r>
    </w:p>
    <w:p w14:paraId="7325AB7A" w14:textId="4AEDA1A2" w:rsidR="008427EE" w:rsidRPr="00805ED0" w:rsidRDefault="003F2BD3" w:rsidP="00805ED0">
      <w:pPr>
        <w:ind w:firstLine="720"/>
        <w:rPr>
          <w:rFonts w:cstheme="minorHAnsi"/>
          <w:szCs w:val="26"/>
          <w:shd w:val="clear" w:color="auto" w:fill="FFFFFF"/>
        </w:rPr>
      </w:pPr>
      <w:r w:rsidRPr="00805ED0">
        <w:t>“</w:t>
      </w:r>
      <w:r w:rsidR="00240A91" w:rsidRPr="00805ED0">
        <w:t xml:space="preserve">California has </w:t>
      </w:r>
      <w:r w:rsidR="00215DBE" w:rsidRPr="00805ED0">
        <w:t>many</w:t>
      </w:r>
      <w:r w:rsidR="00240A91" w:rsidRPr="00805ED0">
        <w:t xml:space="preserve"> sentencing statutes that increase the prison term otherwise available for </w:t>
      </w:r>
      <w:r w:rsidR="00A343EB" w:rsidRPr="00805ED0">
        <w:t>the charged</w:t>
      </w:r>
      <w:r w:rsidR="00240A91" w:rsidRPr="00805ED0">
        <w:t xml:space="preserve"> offense.</w:t>
      </w:r>
      <w:r w:rsidR="00A343EB" w:rsidRPr="00805ED0">
        <w:t>”</w:t>
      </w:r>
      <w:r w:rsidR="00240A91" w:rsidRPr="00805ED0">
        <w:t xml:space="preserve">  (</w:t>
      </w:r>
      <w:r w:rsidR="00240A91" w:rsidRPr="00805ED0">
        <w:rPr>
          <w:i/>
          <w:iCs/>
        </w:rPr>
        <w:t>People v. Modiri</w:t>
      </w:r>
      <w:r w:rsidR="00240A91" w:rsidRPr="00805ED0">
        <w:t xml:space="preserve"> (2006) 39 Cal.4th 481, 491 (</w:t>
      </w:r>
      <w:r w:rsidR="00240A91" w:rsidRPr="00805ED0">
        <w:rPr>
          <w:i/>
          <w:iCs/>
        </w:rPr>
        <w:t>Modiri</w:t>
      </w:r>
      <w:r w:rsidR="00240A91" w:rsidRPr="00805ED0">
        <w:t>)</w:t>
      </w:r>
      <w:r w:rsidR="007A15A0" w:rsidRPr="00805ED0">
        <w:t>.</w:t>
      </w:r>
      <w:r w:rsidR="00240A91" w:rsidRPr="00805ED0">
        <w:t xml:space="preserve">)  These sentence </w:t>
      </w:r>
      <w:r w:rsidR="00240A91" w:rsidRPr="00805ED0">
        <w:rPr>
          <w:rFonts w:cstheme="minorHAnsi"/>
          <w:szCs w:val="26"/>
          <w:shd w:val="clear" w:color="auto" w:fill="FFFFFF"/>
        </w:rPr>
        <w:t xml:space="preserve">enhancements </w:t>
      </w:r>
      <w:r w:rsidR="001A664A" w:rsidRPr="00805ED0">
        <w:rPr>
          <w:rFonts w:cstheme="minorHAnsi"/>
          <w:szCs w:val="26"/>
          <w:shd w:val="clear" w:color="auto" w:fill="FFFFFF"/>
        </w:rPr>
        <w:t>“</w:t>
      </w:r>
      <w:r w:rsidR="00542651">
        <w:rPr>
          <w:rFonts w:cstheme="minorHAnsi"/>
          <w:szCs w:val="26"/>
          <w:shd w:val="clear" w:color="auto" w:fill="FFFFFF"/>
        </w:rPr>
        <w:t> </w:t>
      </w:r>
      <w:r w:rsidR="007D6F16">
        <w:rPr>
          <w:rFonts w:cstheme="minorHAnsi"/>
          <w:szCs w:val="26"/>
          <w:shd w:val="clear" w:color="auto" w:fill="FFFFFF"/>
        </w:rPr>
        <w:t>‘</w:t>
      </w:r>
      <w:r w:rsidR="00240A91" w:rsidRPr="00805ED0">
        <w:rPr>
          <w:rFonts w:cstheme="minorHAnsi"/>
          <w:szCs w:val="26"/>
          <w:shd w:val="clear" w:color="auto" w:fill="FFFFFF"/>
        </w:rPr>
        <w:t xml:space="preserve">typically focus on an element of the commission of the crime or the criminal history of the defendant which is not present for all such crimes and </w:t>
      </w:r>
      <w:proofErr w:type="gramStart"/>
      <w:r w:rsidR="00240A91" w:rsidRPr="00805ED0">
        <w:rPr>
          <w:rFonts w:cstheme="minorHAnsi"/>
          <w:szCs w:val="26"/>
          <w:shd w:val="clear" w:color="auto" w:fill="FFFFFF"/>
        </w:rPr>
        <w:t>perpetrators</w:t>
      </w:r>
      <w:proofErr w:type="gramEnd"/>
      <w:r w:rsidR="00240A91" w:rsidRPr="00805ED0">
        <w:rPr>
          <w:rFonts w:cstheme="minorHAnsi"/>
          <w:szCs w:val="26"/>
          <w:shd w:val="clear" w:color="auto" w:fill="FFFFFF"/>
        </w:rPr>
        <w:t xml:space="preserve"> and which justifies a higher penalty than that prescribed for the offenses themselves.</w:t>
      </w:r>
      <w:r w:rsidR="007D6F16">
        <w:rPr>
          <w:rFonts w:cstheme="minorHAnsi"/>
          <w:szCs w:val="26"/>
          <w:shd w:val="clear" w:color="auto" w:fill="FFFFFF"/>
        </w:rPr>
        <w:t>’</w:t>
      </w:r>
      <w:r w:rsidR="00542651">
        <w:rPr>
          <w:rFonts w:cstheme="minorHAnsi"/>
          <w:szCs w:val="26"/>
          <w:shd w:val="clear" w:color="auto" w:fill="FFFFFF"/>
        </w:rPr>
        <w:t> </w:t>
      </w:r>
      <w:r w:rsidR="00240A91" w:rsidRPr="00805ED0">
        <w:rPr>
          <w:rFonts w:cstheme="minorHAnsi"/>
          <w:szCs w:val="26"/>
          <w:shd w:val="clear" w:color="auto" w:fill="FFFFFF"/>
        </w:rPr>
        <w:t>”  (</w:t>
      </w:r>
      <w:r w:rsidR="00240A91" w:rsidRPr="00805ED0">
        <w:rPr>
          <w:rFonts w:cstheme="minorHAnsi"/>
          <w:i/>
          <w:iCs/>
          <w:szCs w:val="26"/>
          <w:shd w:val="clear" w:color="auto" w:fill="FFFFFF"/>
        </w:rPr>
        <w:t>People v. Ahmed</w:t>
      </w:r>
      <w:r w:rsidR="00240A91" w:rsidRPr="00805ED0">
        <w:rPr>
          <w:rFonts w:cstheme="minorHAnsi"/>
          <w:szCs w:val="26"/>
          <w:shd w:val="clear" w:color="auto" w:fill="FFFFFF"/>
        </w:rPr>
        <w:t xml:space="preserve"> (2011) 53 Cal.4th 156, 161</w:t>
      </w:r>
      <w:r w:rsidR="007A15A0" w:rsidRPr="00805ED0">
        <w:rPr>
          <w:rFonts w:cstheme="minorHAnsi"/>
          <w:szCs w:val="26"/>
          <w:shd w:val="clear" w:color="auto" w:fill="FFFFFF"/>
        </w:rPr>
        <w:t xml:space="preserve"> (</w:t>
      </w:r>
      <w:r w:rsidR="007A15A0" w:rsidRPr="00805ED0">
        <w:rPr>
          <w:rFonts w:cstheme="minorHAnsi"/>
          <w:i/>
          <w:iCs/>
          <w:szCs w:val="26"/>
          <w:shd w:val="clear" w:color="auto" w:fill="FFFFFF"/>
        </w:rPr>
        <w:t>Ahmed</w:t>
      </w:r>
      <w:r w:rsidR="007A15A0" w:rsidRPr="00805ED0">
        <w:rPr>
          <w:rFonts w:cstheme="minorHAnsi"/>
          <w:szCs w:val="26"/>
          <w:shd w:val="clear" w:color="auto" w:fill="FFFFFF"/>
        </w:rPr>
        <w:t>)</w:t>
      </w:r>
      <w:r w:rsidR="00240A91" w:rsidRPr="00805ED0">
        <w:rPr>
          <w:rFonts w:cstheme="minorHAnsi"/>
          <w:szCs w:val="26"/>
          <w:shd w:val="clear" w:color="auto" w:fill="FFFFFF"/>
        </w:rPr>
        <w:t>.)  “[T]here are at least two types of sentence enhancements:  (1) those which go to the nature of the offender; and (2) those which go to the nature of the offense.”  (</w:t>
      </w:r>
      <w:r w:rsidR="00240A91" w:rsidRPr="00805ED0">
        <w:rPr>
          <w:rFonts w:cstheme="minorHAnsi"/>
          <w:i/>
          <w:iCs/>
          <w:szCs w:val="26"/>
          <w:shd w:val="clear" w:color="auto" w:fill="FFFFFF"/>
        </w:rPr>
        <w:t xml:space="preserve">People v. </w:t>
      </w:r>
      <w:r w:rsidR="00240A91" w:rsidRPr="00805ED0">
        <w:rPr>
          <w:rFonts w:cstheme="minorHAnsi"/>
          <w:i/>
          <w:iCs/>
          <w:szCs w:val="26"/>
          <w:shd w:val="clear" w:color="auto" w:fill="FFFFFF"/>
        </w:rPr>
        <w:lastRenderedPageBreak/>
        <w:t>Coronado</w:t>
      </w:r>
      <w:r w:rsidR="00240A91" w:rsidRPr="00805ED0">
        <w:rPr>
          <w:rFonts w:cstheme="minorHAnsi"/>
          <w:szCs w:val="26"/>
          <w:shd w:val="clear" w:color="auto" w:fill="FFFFFF"/>
        </w:rPr>
        <w:t xml:space="preserve"> (1995) 12 Cal.4th 145, 156.)  The first category generally focuses on “the </w:t>
      </w:r>
      <w:r w:rsidR="00240A91" w:rsidRPr="00805ED0">
        <w:rPr>
          <w:rFonts w:cstheme="minorHAnsi"/>
          <w:i/>
          <w:iCs/>
          <w:szCs w:val="26"/>
          <w:shd w:val="clear" w:color="auto" w:fill="FFFFFF"/>
        </w:rPr>
        <w:t>defendant’s status</w:t>
      </w:r>
      <w:r w:rsidR="00240A91" w:rsidRPr="00805ED0">
        <w:rPr>
          <w:rFonts w:cstheme="minorHAnsi"/>
          <w:szCs w:val="26"/>
          <w:shd w:val="clear" w:color="auto" w:fill="FFFFFF"/>
        </w:rPr>
        <w:t xml:space="preserve"> as a repeat offender.”  (</w:t>
      </w:r>
      <w:r w:rsidR="000C460E" w:rsidRPr="00805ED0">
        <w:rPr>
          <w:rFonts w:cstheme="minorHAnsi"/>
          <w:i/>
          <w:iCs/>
          <w:szCs w:val="26"/>
          <w:shd w:val="clear" w:color="auto" w:fill="FFFFFF"/>
        </w:rPr>
        <w:t>I</w:t>
      </w:r>
      <w:r w:rsidR="004978EE" w:rsidRPr="00805ED0">
        <w:rPr>
          <w:rFonts w:cstheme="minorHAnsi"/>
          <w:i/>
          <w:iCs/>
          <w:szCs w:val="26"/>
          <w:shd w:val="clear" w:color="auto" w:fill="FFFFFF"/>
        </w:rPr>
        <w:t>bi</w:t>
      </w:r>
      <w:r w:rsidR="0036308C" w:rsidRPr="00805ED0">
        <w:rPr>
          <w:rFonts w:cstheme="minorHAnsi"/>
          <w:i/>
          <w:iCs/>
          <w:szCs w:val="26"/>
          <w:shd w:val="clear" w:color="auto" w:fill="FFFFFF"/>
        </w:rPr>
        <w:t>d.</w:t>
      </w:r>
      <w:r w:rsidR="00240A91" w:rsidRPr="00805ED0">
        <w:rPr>
          <w:rFonts w:cstheme="minorHAnsi"/>
          <w:szCs w:val="26"/>
          <w:shd w:val="clear" w:color="auto" w:fill="FFFFFF"/>
        </w:rPr>
        <w:t xml:space="preserve">)  The second category “arise[s] from the </w:t>
      </w:r>
      <w:r w:rsidR="00240A91" w:rsidRPr="00805ED0">
        <w:rPr>
          <w:rFonts w:cstheme="minorHAnsi"/>
          <w:i/>
          <w:iCs/>
          <w:szCs w:val="26"/>
          <w:shd w:val="clear" w:color="auto" w:fill="FFFFFF"/>
        </w:rPr>
        <w:t>circumstances of the crime</w:t>
      </w:r>
      <w:r w:rsidR="00240A91" w:rsidRPr="00805ED0">
        <w:rPr>
          <w:rFonts w:cstheme="minorHAnsi"/>
          <w:szCs w:val="26"/>
          <w:shd w:val="clear" w:color="auto" w:fill="FFFFFF"/>
        </w:rPr>
        <w:t xml:space="preserve"> and typically focus[es] on what the defendant did when the current offense was committed.”  (</w:t>
      </w:r>
      <w:r w:rsidR="00240A91" w:rsidRPr="00805ED0">
        <w:rPr>
          <w:rFonts w:cstheme="minorHAnsi"/>
          <w:i/>
          <w:iCs/>
          <w:szCs w:val="26"/>
          <w:shd w:val="clear" w:color="auto" w:fill="FFFFFF"/>
        </w:rPr>
        <w:t>I</w:t>
      </w:r>
      <w:r w:rsidR="00E13579" w:rsidRPr="00805ED0">
        <w:rPr>
          <w:rFonts w:cstheme="minorHAnsi"/>
          <w:i/>
          <w:iCs/>
          <w:szCs w:val="26"/>
          <w:shd w:val="clear" w:color="auto" w:fill="FFFFFF"/>
        </w:rPr>
        <w:t>d</w:t>
      </w:r>
      <w:r w:rsidR="00240A91" w:rsidRPr="00805ED0">
        <w:rPr>
          <w:rFonts w:cstheme="minorHAnsi"/>
          <w:i/>
          <w:iCs/>
          <w:szCs w:val="26"/>
          <w:shd w:val="clear" w:color="auto" w:fill="FFFFFF"/>
        </w:rPr>
        <w:t>.</w:t>
      </w:r>
      <w:r w:rsidR="00E13579" w:rsidRPr="00805ED0">
        <w:rPr>
          <w:rFonts w:cstheme="minorHAnsi"/>
          <w:szCs w:val="26"/>
          <w:shd w:val="clear" w:color="auto" w:fill="FFFFFF"/>
        </w:rPr>
        <w:t xml:space="preserve"> at p. 157</w:t>
      </w:r>
      <w:r w:rsidR="007364EF" w:rsidRPr="00805ED0">
        <w:rPr>
          <w:rFonts w:cstheme="minorHAnsi"/>
          <w:szCs w:val="26"/>
          <w:shd w:val="clear" w:color="auto" w:fill="FFFFFF"/>
        </w:rPr>
        <w:t>.</w:t>
      </w:r>
      <w:r w:rsidR="00240A91" w:rsidRPr="00805ED0">
        <w:rPr>
          <w:rFonts w:cstheme="minorHAnsi"/>
          <w:szCs w:val="26"/>
          <w:shd w:val="clear" w:color="auto" w:fill="FFFFFF"/>
        </w:rPr>
        <w:t>)</w:t>
      </w:r>
      <w:r w:rsidR="005A2169" w:rsidRPr="00805ED0">
        <w:rPr>
          <w:rFonts w:cstheme="minorHAnsi"/>
          <w:szCs w:val="26"/>
          <w:shd w:val="clear" w:color="auto" w:fill="FFFFFF"/>
        </w:rPr>
        <w:t xml:space="preserve">  </w:t>
      </w:r>
      <w:r w:rsidR="000D7479" w:rsidRPr="00805ED0">
        <w:rPr>
          <w:rFonts w:cstheme="minorHAnsi"/>
          <w:szCs w:val="26"/>
          <w:shd w:val="clear" w:color="auto" w:fill="FFFFFF"/>
        </w:rPr>
        <w:t>S</w:t>
      </w:r>
      <w:r w:rsidR="00240A91" w:rsidRPr="00805ED0">
        <w:rPr>
          <w:rFonts w:cstheme="minorHAnsi"/>
          <w:szCs w:val="26"/>
          <w:shd w:val="clear" w:color="auto" w:fill="FFFFFF"/>
        </w:rPr>
        <w:t xml:space="preserve">ection 12022.7 </w:t>
      </w:r>
      <w:r w:rsidR="000D7479" w:rsidRPr="00805ED0">
        <w:rPr>
          <w:rFonts w:cstheme="minorHAnsi"/>
          <w:szCs w:val="26"/>
          <w:shd w:val="clear" w:color="auto" w:fill="FFFFFF"/>
        </w:rPr>
        <w:t xml:space="preserve">belongs to </w:t>
      </w:r>
      <w:r w:rsidR="00240A91" w:rsidRPr="00805ED0">
        <w:rPr>
          <w:rFonts w:cstheme="minorHAnsi"/>
          <w:szCs w:val="26"/>
          <w:shd w:val="clear" w:color="auto" w:fill="FFFFFF"/>
        </w:rPr>
        <w:t>the second category.  (</w:t>
      </w:r>
      <w:r w:rsidR="00240A91" w:rsidRPr="00805ED0">
        <w:rPr>
          <w:rFonts w:cstheme="minorHAnsi"/>
          <w:i/>
          <w:iCs/>
          <w:szCs w:val="26"/>
          <w:shd w:val="clear" w:color="auto" w:fill="FFFFFF"/>
        </w:rPr>
        <w:t>Ahmed</w:t>
      </w:r>
      <w:r w:rsidR="00240A91" w:rsidRPr="00805ED0">
        <w:rPr>
          <w:rFonts w:cstheme="minorHAnsi"/>
          <w:szCs w:val="26"/>
          <w:shd w:val="clear" w:color="auto" w:fill="FFFFFF"/>
        </w:rPr>
        <w:t xml:space="preserve">, at p. 161.)  </w:t>
      </w:r>
      <w:r w:rsidR="000D7479" w:rsidRPr="00805ED0">
        <w:rPr>
          <w:rFonts w:cstheme="minorHAnsi"/>
          <w:szCs w:val="26"/>
          <w:shd w:val="clear" w:color="auto" w:fill="FFFFFF"/>
        </w:rPr>
        <w:t>It</w:t>
      </w:r>
      <w:r w:rsidR="00240A91" w:rsidRPr="00805ED0">
        <w:rPr>
          <w:rFonts w:cstheme="minorHAnsi"/>
          <w:szCs w:val="26"/>
          <w:shd w:val="clear" w:color="auto" w:fill="FFFFFF"/>
        </w:rPr>
        <w:t xml:space="preserve"> provides</w:t>
      </w:r>
      <w:r w:rsidR="000D7479" w:rsidRPr="00805ED0">
        <w:rPr>
          <w:rFonts w:cstheme="minorHAnsi"/>
          <w:szCs w:val="26"/>
          <w:shd w:val="clear" w:color="auto" w:fill="FFFFFF"/>
        </w:rPr>
        <w:t xml:space="preserve">: </w:t>
      </w:r>
      <w:r w:rsidR="00240A91" w:rsidRPr="00805ED0">
        <w:rPr>
          <w:rFonts w:cstheme="minorHAnsi"/>
          <w:szCs w:val="26"/>
          <w:shd w:val="clear" w:color="auto" w:fill="FFFFFF"/>
        </w:rPr>
        <w:t xml:space="preserve"> </w:t>
      </w:r>
      <w:r w:rsidR="00240A91" w:rsidRPr="00805ED0">
        <w:rPr>
          <w:rFonts w:cstheme="minorHAnsi"/>
          <w:szCs w:val="26"/>
        </w:rPr>
        <w:t>“</w:t>
      </w:r>
      <w:r w:rsidR="00240A91" w:rsidRPr="00805ED0">
        <w:rPr>
          <w:rFonts w:cstheme="minorHAnsi"/>
          <w:szCs w:val="26"/>
          <w:shd w:val="clear" w:color="auto" w:fill="FFFFFF"/>
        </w:rPr>
        <w:t xml:space="preserve">Any person who personally inflicts great bodily injury on any person other than an accomplice in the commission of a felony or attempted felony shall be punished by an additional and consecutive term of imprisonment in the state prison for three years.”  (§ 12022.7, </w:t>
      </w:r>
      <w:proofErr w:type="spellStart"/>
      <w:r w:rsidR="00240A91" w:rsidRPr="00805ED0">
        <w:rPr>
          <w:rFonts w:cstheme="minorHAnsi"/>
          <w:szCs w:val="26"/>
          <w:shd w:val="clear" w:color="auto" w:fill="FFFFFF"/>
        </w:rPr>
        <w:t>subd</w:t>
      </w:r>
      <w:proofErr w:type="spellEnd"/>
      <w:r w:rsidR="00240A91" w:rsidRPr="00805ED0">
        <w:rPr>
          <w:rFonts w:cstheme="minorHAnsi"/>
          <w:szCs w:val="26"/>
          <w:shd w:val="clear" w:color="auto" w:fill="FFFFFF"/>
        </w:rPr>
        <w:t xml:space="preserve">. (a).)  </w:t>
      </w:r>
    </w:p>
    <w:p w14:paraId="3F35819E" w14:textId="25B020D9" w:rsidR="00A76976" w:rsidRPr="00805ED0" w:rsidRDefault="00240A91" w:rsidP="00805ED0">
      <w:pPr>
        <w:ind w:firstLine="720"/>
        <w:rPr>
          <w:szCs w:val="26"/>
          <w:shd w:val="clear" w:color="auto" w:fill="FFFFFF"/>
        </w:rPr>
      </w:pPr>
      <w:r w:rsidRPr="00805ED0">
        <w:rPr>
          <w:rFonts w:cstheme="minorHAnsi"/>
          <w:szCs w:val="26"/>
          <w:shd w:val="clear" w:color="auto" w:fill="FFFFFF"/>
        </w:rPr>
        <w:t xml:space="preserve">The issue is whether a defendant who furnishes a controlled substance </w:t>
      </w:r>
      <w:r w:rsidR="005E3F6D" w:rsidRPr="00805ED0">
        <w:rPr>
          <w:rFonts w:cstheme="minorHAnsi"/>
          <w:szCs w:val="26"/>
          <w:shd w:val="clear" w:color="auto" w:fill="FFFFFF"/>
        </w:rPr>
        <w:t>“</w:t>
      </w:r>
      <w:r w:rsidRPr="00805ED0">
        <w:rPr>
          <w:rFonts w:cstheme="minorHAnsi"/>
          <w:szCs w:val="26"/>
          <w:shd w:val="clear" w:color="auto" w:fill="FFFFFF"/>
        </w:rPr>
        <w:t>personally inflicts</w:t>
      </w:r>
      <w:r w:rsidR="005E3F6D" w:rsidRPr="00805ED0">
        <w:rPr>
          <w:rFonts w:cstheme="minorHAnsi"/>
          <w:szCs w:val="26"/>
          <w:shd w:val="clear" w:color="auto" w:fill="FFFFFF"/>
        </w:rPr>
        <w:t>”</w:t>
      </w:r>
      <w:r w:rsidRPr="00805ED0">
        <w:rPr>
          <w:rFonts w:cstheme="minorHAnsi"/>
          <w:szCs w:val="26"/>
          <w:shd w:val="clear" w:color="auto" w:fill="FFFFFF"/>
        </w:rPr>
        <w:t xml:space="preserve"> great bodily injury</w:t>
      </w:r>
      <w:r w:rsidR="001A664A" w:rsidRPr="00805ED0">
        <w:rPr>
          <w:rFonts w:cstheme="minorHAnsi"/>
          <w:szCs w:val="26"/>
          <w:shd w:val="clear" w:color="auto" w:fill="FFFFFF"/>
        </w:rPr>
        <w:t xml:space="preserve"> as a matter of law</w:t>
      </w:r>
      <w:r w:rsidR="00062A7B" w:rsidRPr="00805ED0">
        <w:rPr>
          <w:rFonts w:cstheme="minorHAnsi"/>
          <w:szCs w:val="26"/>
          <w:shd w:val="clear" w:color="auto" w:fill="FFFFFF"/>
        </w:rPr>
        <w:t xml:space="preserve"> </w:t>
      </w:r>
      <w:r w:rsidRPr="00805ED0">
        <w:rPr>
          <w:rFonts w:cstheme="minorHAnsi"/>
          <w:szCs w:val="26"/>
          <w:shd w:val="clear" w:color="auto" w:fill="FFFFFF"/>
        </w:rPr>
        <w:t>whenever a person to whom he</w:t>
      </w:r>
      <w:r w:rsidR="007D6F16">
        <w:rPr>
          <w:rFonts w:cstheme="minorHAnsi"/>
          <w:szCs w:val="26"/>
          <w:shd w:val="clear" w:color="auto" w:fill="FFFFFF"/>
        </w:rPr>
        <w:t xml:space="preserve"> or she</w:t>
      </w:r>
      <w:r w:rsidRPr="00805ED0">
        <w:rPr>
          <w:rFonts w:cstheme="minorHAnsi"/>
          <w:szCs w:val="26"/>
          <w:shd w:val="clear" w:color="auto" w:fill="FFFFFF"/>
        </w:rPr>
        <w:t xml:space="preserve"> </w:t>
      </w:r>
      <w:r w:rsidR="009D3A9A" w:rsidRPr="00805ED0">
        <w:rPr>
          <w:rFonts w:cstheme="minorHAnsi"/>
          <w:szCs w:val="26"/>
          <w:shd w:val="clear" w:color="auto" w:fill="FFFFFF"/>
        </w:rPr>
        <w:t>provides</w:t>
      </w:r>
      <w:r w:rsidRPr="00805ED0">
        <w:rPr>
          <w:rFonts w:cstheme="minorHAnsi"/>
          <w:szCs w:val="26"/>
          <w:shd w:val="clear" w:color="auto" w:fill="FFFFFF"/>
        </w:rPr>
        <w:t xml:space="preserve"> </w:t>
      </w:r>
      <w:r w:rsidR="008427EE" w:rsidRPr="00805ED0">
        <w:rPr>
          <w:rFonts w:cstheme="minorHAnsi"/>
          <w:szCs w:val="26"/>
          <w:shd w:val="clear" w:color="auto" w:fill="FFFFFF"/>
        </w:rPr>
        <w:t xml:space="preserve">drugs </w:t>
      </w:r>
      <w:r w:rsidR="007271E3" w:rsidRPr="00805ED0">
        <w:rPr>
          <w:rFonts w:cstheme="minorHAnsi"/>
          <w:szCs w:val="26"/>
          <w:shd w:val="clear" w:color="auto" w:fill="FFFFFF"/>
        </w:rPr>
        <w:t>dies</w:t>
      </w:r>
      <w:r w:rsidR="008427EE" w:rsidRPr="00805ED0">
        <w:rPr>
          <w:rFonts w:cstheme="minorHAnsi"/>
          <w:szCs w:val="26"/>
          <w:shd w:val="clear" w:color="auto" w:fill="FFFFFF"/>
        </w:rPr>
        <w:t xml:space="preserve"> or suffers other great bodily injury </w:t>
      </w:r>
      <w:r w:rsidR="000D7479" w:rsidRPr="00805ED0">
        <w:rPr>
          <w:rFonts w:cstheme="minorHAnsi"/>
          <w:szCs w:val="26"/>
          <w:shd w:val="clear" w:color="auto" w:fill="FFFFFF"/>
        </w:rPr>
        <w:t>from using the drugs</w:t>
      </w:r>
      <w:r w:rsidR="008427EE" w:rsidRPr="00805ED0">
        <w:rPr>
          <w:rFonts w:cstheme="minorHAnsi"/>
          <w:szCs w:val="26"/>
          <w:shd w:val="clear" w:color="auto" w:fill="FFFFFF"/>
        </w:rPr>
        <w:t>.</w:t>
      </w:r>
      <w:r w:rsidR="007D6F16">
        <w:rPr>
          <w:rFonts w:cstheme="minorHAnsi"/>
          <w:szCs w:val="26"/>
          <w:shd w:val="clear" w:color="auto" w:fill="FFFFFF"/>
        </w:rPr>
        <w:t xml:space="preserve">  (</w:t>
      </w:r>
      <w:r w:rsidR="007D6F16" w:rsidRPr="00805ED0">
        <w:rPr>
          <w:rFonts w:cstheme="minorHAnsi"/>
          <w:szCs w:val="26"/>
          <w:shd w:val="clear" w:color="auto" w:fill="FFFFFF"/>
        </w:rPr>
        <w:t>§ 12022.7</w:t>
      </w:r>
      <w:r w:rsidR="007D6F16">
        <w:rPr>
          <w:rFonts w:cstheme="minorHAnsi"/>
          <w:szCs w:val="26"/>
          <w:shd w:val="clear" w:color="auto" w:fill="FFFFFF"/>
        </w:rPr>
        <w:t xml:space="preserve">, </w:t>
      </w:r>
      <w:proofErr w:type="spellStart"/>
      <w:r w:rsidR="007D6F16">
        <w:rPr>
          <w:rFonts w:cstheme="minorHAnsi"/>
          <w:szCs w:val="26"/>
          <w:shd w:val="clear" w:color="auto" w:fill="FFFFFF"/>
        </w:rPr>
        <w:t>subd</w:t>
      </w:r>
      <w:proofErr w:type="spellEnd"/>
      <w:r w:rsidR="007D6F16">
        <w:rPr>
          <w:rFonts w:cstheme="minorHAnsi"/>
          <w:szCs w:val="26"/>
          <w:shd w:val="clear" w:color="auto" w:fill="FFFFFF"/>
        </w:rPr>
        <w:t>. (a).)</w:t>
      </w:r>
      <w:r w:rsidR="0035780D" w:rsidRPr="00805ED0">
        <w:rPr>
          <w:rFonts w:cstheme="minorHAnsi"/>
          <w:szCs w:val="26"/>
          <w:shd w:val="clear" w:color="auto" w:fill="FFFFFF"/>
        </w:rPr>
        <w:t xml:space="preserve">  We review this question of statutory interpretation de novo.</w:t>
      </w:r>
      <w:r w:rsidR="0057033D" w:rsidRPr="00805ED0">
        <w:rPr>
          <w:rFonts w:cstheme="minorHAnsi"/>
          <w:szCs w:val="26"/>
          <w:shd w:val="clear" w:color="auto" w:fill="FFFFFF"/>
        </w:rPr>
        <w:t xml:space="preserve">  (</w:t>
      </w:r>
      <w:r w:rsidR="000E30FA" w:rsidRPr="00805ED0">
        <w:rPr>
          <w:rFonts w:cstheme="minorHAnsi"/>
          <w:i/>
          <w:iCs/>
          <w:szCs w:val="26"/>
          <w:shd w:val="clear" w:color="auto" w:fill="FFFFFF"/>
        </w:rPr>
        <w:t xml:space="preserve">People v. </w:t>
      </w:r>
      <w:proofErr w:type="spellStart"/>
      <w:r w:rsidR="000E30FA" w:rsidRPr="00805ED0">
        <w:rPr>
          <w:rFonts w:cstheme="minorHAnsi"/>
          <w:i/>
          <w:iCs/>
          <w:szCs w:val="26"/>
          <w:shd w:val="clear" w:color="auto" w:fill="FFFFFF"/>
        </w:rPr>
        <w:t>Prunty</w:t>
      </w:r>
      <w:proofErr w:type="spellEnd"/>
      <w:r w:rsidR="000E30FA" w:rsidRPr="00805ED0">
        <w:rPr>
          <w:rFonts w:cstheme="minorHAnsi"/>
          <w:szCs w:val="26"/>
          <w:shd w:val="clear" w:color="auto" w:fill="FFFFFF"/>
        </w:rPr>
        <w:t xml:space="preserve"> (2015) </w:t>
      </w:r>
      <w:r w:rsidR="00C11650" w:rsidRPr="00805ED0">
        <w:rPr>
          <w:rFonts w:cstheme="minorHAnsi"/>
          <w:szCs w:val="26"/>
          <w:shd w:val="clear" w:color="auto" w:fill="FFFFFF"/>
        </w:rPr>
        <w:t>62 Cal.4th 59, 71</w:t>
      </w:r>
      <w:r w:rsidR="008470FE" w:rsidRPr="00805ED0">
        <w:rPr>
          <w:rFonts w:cstheme="minorHAnsi"/>
          <w:szCs w:val="26"/>
          <w:shd w:val="clear" w:color="auto" w:fill="FFFFFF"/>
        </w:rPr>
        <w:t xml:space="preserve">.)  </w:t>
      </w:r>
      <w:proofErr w:type="spellStart"/>
      <w:r w:rsidR="0050760B" w:rsidRPr="00805ED0">
        <w:rPr>
          <w:szCs w:val="26"/>
          <w:shd w:val="clear" w:color="auto" w:fill="FFFFFF"/>
        </w:rPr>
        <w:t>Ollo</w:t>
      </w:r>
      <w:proofErr w:type="spellEnd"/>
      <w:r w:rsidR="00603B43" w:rsidRPr="00805ED0">
        <w:rPr>
          <w:szCs w:val="26"/>
          <w:shd w:val="clear" w:color="auto" w:fill="FFFFFF"/>
        </w:rPr>
        <w:t xml:space="preserve"> does not</w:t>
      </w:r>
      <w:r w:rsidR="00DB6A2A" w:rsidRPr="00805ED0">
        <w:rPr>
          <w:szCs w:val="26"/>
          <w:shd w:val="clear" w:color="auto" w:fill="FFFFFF"/>
        </w:rPr>
        <w:t xml:space="preserve"> raise a</w:t>
      </w:r>
      <w:r w:rsidR="00603B43" w:rsidRPr="00805ED0">
        <w:rPr>
          <w:szCs w:val="26"/>
          <w:shd w:val="clear" w:color="auto" w:fill="FFFFFF"/>
        </w:rPr>
        <w:t xml:space="preserve"> challenge </w:t>
      </w:r>
      <w:r w:rsidR="00DB6A2A" w:rsidRPr="00805ED0">
        <w:rPr>
          <w:szCs w:val="26"/>
          <w:shd w:val="clear" w:color="auto" w:fill="FFFFFF"/>
        </w:rPr>
        <w:t>to the</w:t>
      </w:r>
      <w:r w:rsidR="00603B43" w:rsidRPr="00805ED0">
        <w:rPr>
          <w:szCs w:val="26"/>
          <w:shd w:val="clear" w:color="auto" w:fill="FFFFFF"/>
        </w:rPr>
        <w:t xml:space="preserve"> sufficiency of the evidence to </w:t>
      </w:r>
      <w:r w:rsidR="005122A9" w:rsidRPr="00805ED0">
        <w:rPr>
          <w:szCs w:val="26"/>
          <w:shd w:val="clear" w:color="auto" w:fill="FFFFFF"/>
        </w:rPr>
        <w:t>s</w:t>
      </w:r>
      <w:r w:rsidR="00DB6A2A" w:rsidRPr="00805ED0">
        <w:rPr>
          <w:szCs w:val="26"/>
          <w:shd w:val="clear" w:color="auto" w:fill="FFFFFF"/>
        </w:rPr>
        <w:t>upport</w:t>
      </w:r>
      <w:r w:rsidR="00603B43" w:rsidRPr="00805ED0">
        <w:rPr>
          <w:szCs w:val="26"/>
          <w:shd w:val="clear" w:color="auto" w:fill="FFFFFF"/>
        </w:rPr>
        <w:t xml:space="preserve"> </w:t>
      </w:r>
      <w:r w:rsidR="00F658AD" w:rsidRPr="00805ED0">
        <w:rPr>
          <w:szCs w:val="26"/>
          <w:shd w:val="clear" w:color="auto" w:fill="FFFFFF"/>
        </w:rPr>
        <w:t>a</w:t>
      </w:r>
      <w:r w:rsidR="005122A9" w:rsidRPr="00805ED0">
        <w:rPr>
          <w:szCs w:val="26"/>
          <w:shd w:val="clear" w:color="auto" w:fill="FFFFFF"/>
        </w:rPr>
        <w:t xml:space="preserve"> great bodily injury</w:t>
      </w:r>
      <w:r w:rsidR="00D66F71" w:rsidRPr="00805ED0">
        <w:rPr>
          <w:szCs w:val="26"/>
          <w:shd w:val="clear" w:color="auto" w:fill="FFFFFF"/>
        </w:rPr>
        <w:t xml:space="preserve"> enhancemen</w:t>
      </w:r>
      <w:r w:rsidR="00830609" w:rsidRPr="00805ED0">
        <w:rPr>
          <w:szCs w:val="26"/>
          <w:shd w:val="clear" w:color="auto" w:fill="FFFFFF"/>
        </w:rPr>
        <w:t>t</w:t>
      </w:r>
      <w:r w:rsidR="00E668C7" w:rsidRPr="00805ED0">
        <w:rPr>
          <w:szCs w:val="26"/>
          <w:shd w:val="clear" w:color="auto" w:fill="FFFFFF"/>
        </w:rPr>
        <w:t>, so we express no view on whether the record here, viewed “in the light most favorable to the judgment,” contains substantial evidence in support of the enhancement</w:t>
      </w:r>
      <w:r w:rsidR="002F780B">
        <w:rPr>
          <w:szCs w:val="26"/>
          <w:shd w:val="clear" w:color="auto" w:fill="FFFFFF"/>
        </w:rPr>
        <w:t> </w:t>
      </w:r>
      <w:r w:rsidR="00E668C7" w:rsidRPr="00805ED0">
        <w:rPr>
          <w:szCs w:val="26"/>
          <w:shd w:val="clear" w:color="auto" w:fill="FFFFFF"/>
        </w:rPr>
        <w:t>— “that is, </w:t>
      </w:r>
      <w:r w:rsidR="00E668C7" w:rsidRPr="00805ED0">
        <w:rPr>
          <w:rStyle w:val="cosearchterm"/>
          <w:szCs w:val="26"/>
          <w:bdr w:val="none" w:sz="0" w:space="0" w:color="auto" w:frame="1"/>
        </w:rPr>
        <w:t>evidence</w:t>
      </w:r>
      <w:r w:rsidR="00E668C7" w:rsidRPr="00805ED0">
        <w:rPr>
          <w:szCs w:val="26"/>
          <w:shd w:val="clear" w:color="auto" w:fill="FFFFFF"/>
        </w:rPr>
        <w:t> that is reasonable, credible, and of solid value</w:t>
      </w:r>
      <w:r w:rsidR="002F780B">
        <w:rPr>
          <w:szCs w:val="26"/>
          <w:shd w:val="clear" w:color="auto" w:fill="FFFFFF"/>
        </w:rPr>
        <w:t> </w:t>
      </w:r>
      <w:r w:rsidR="00E668C7" w:rsidRPr="00805ED0">
        <w:rPr>
          <w:szCs w:val="26"/>
          <w:shd w:val="clear" w:color="auto" w:fill="FFFFFF"/>
        </w:rPr>
        <w:t>— from which a reasonable trier of fact could find the defendant guilty beyond a reasonable doubt.”</w:t>
      </w:r>
      <w:r w:rsidR="00830609" w:rsidRPr="00805ED0">
        <w:rPr>
          <w:szCs w:val="26"/>
          <w:shd w:val="clear" w:color="auto" w:fill="FFFFFF"/>
        </w:rPr>
        <w:t xml:space="preserve">  (</w:t>
      </w:r>
      <w:r w:rsidR="00F658AD" w:rsidRPr="00805ED0">
        <w:rPr>
          <w:i/>
          <w:iCs/>
          <w:szCs w:val="26"/>
          <w:shd w:val="clear" w:color="auto" w:fill="FFFFFF"/>
        </w:rPr>
        <w:t xml:space="preserve">People v. </w:t>
      </w:r>
      <w:proofErr w:type="spellStart"/>
      <w:r w:rsidR="00F658AD" w:rsidRPr="00805ED0">
        <w:rPr>
          <w:i/>
          <w:iCs/>
          <w:szCs w:val="26"/>
          <w:shd w:val="clear" w:color="auto" w:fill="FFFFFF"/>
        </w:rPr>
        <w:t>Albillar</w:t>
      </w:r>
      <w:proofErr w:type="spellEnd"/>
      <w:r w:rsidR="00F658AD" w:rsidRPr="00805ED0">
        <w:rPr>
          <w:szCs w:val="26"/>
          <w:shd w:val="clear" w:color="auto" w:fill="FFFFFF"/>
        </w:rPr>
        <w:t xml:space="preserve"> (2010) 51 Cal.4th </w:t>
      </w:r>
      <w:r w:rsidR="00202086" w:rsidRPr="00805ED0">
        <w:rPr>
          <w:szCs w:val="26"/>
          <w:shd w:val="clear" w:color="auto" w:fill="FFFFFF"/>
        </w:rPr>
        <w:t>47, 60.)</w:t>
      </w:r>
    </w:p>
    <w:p w14:paraId="52DB9BC5" w14:textId="261F007E" w:rsidR="00240A91" w:rsidRPr="00805ED0" w:rsidRDefault="00240A91" w:rsidP="00805ED0">
      <w:pPr>
        <w:ind w:firstLine="720"/>
        <w:rPr>
          <w:rFonts w:cstheme="minorHAnsi"/>
          <w:szCs w:val="26"/>
          <w:shd w:val="clear" w:color="auto" w:fill="FFFFFF"/>
        </w:rPr>
      </w:pPr>
      <w:proofErr w:type="spellStart"/>
      <w:r w:rsidRPr="00805ED0">
        <w:rPr>
          <w:rFonts w:cstheme="minorHAnsi"/>
          <w:szCs w:val="26"/>
          <w:shd w:val="clear" w:color="auto" w:fill="FFFFFF"/>
        </w:rPr>
        <w:t>Ollo</w:t>
      </w:r>
      <w:proofErr w:type="spellEnd"/>
      <w:r w:rsidRPr="00805ED0">
        <w:rPr>
          <w:rFonts w:cstheme="minorHAnsi"/>
          <w:szCs w:val="26"/>
          <w:shd w:val="clear" w:color="auto" w:fill="FFFFFF"/>
        </w:rPr>
        <w:t xml:space="preserve"> and the Attorney General </w:t>
      </w:r>
      <w:r w:rsidR="000D7479" w:rsidRPr="00805ED0">
        <w:rPr>
          <w:rFonts w:cstheme="minorHAnsi"/>
          <w:szCs w:val="26"/>
          <w:shd w:val="clear" w:color="auto" w:fill="FFFFFF"/>
        </w:rPr>
        <w:t>agree</w:t>
      </w:r>
      <w:r w:rsidRPr="00805ED0">
        <w:rPr>
          <w:rFonts w:cstheme="minorHAnsi"/>
          <w:szCs w:val="26"/>
          <w:shd w:val="clear" w:color="auto" w:fill="FFFFFF"/>
        </w:rPr>
        <w:t xml:space="preserve"> that “</w:t>
      </w:r>
      <w:r w:rsidRPr="00805ED0">
        <w:rPr>
          <w:rFonts w:cstheme="minorHAnsi"/>
          <w:szCs w:val="26"/>
        </w:rPr>
        <w:t>the act of providing drugs to a person</w:t>
      </w:r>
      <w:r w:rsidRPr="00805ED0">
        <w:rPr>
          <w:rFonts w:cstheme="minorHAnsi"/>
          <w:szCs w:val="26"/>
          <w:shd w:val="clear" w:color="auto" w:fill="FFFFFF"/>
        </w:rPr>
        <w:t xml:space="preserve"> </w:t>
      </w:r>
      <w:r w:rsidRPr="00805ED0">
        <w:rPr>
          <w:rFonts w:cstheme="minorHAnsi"/>
          <w:szCs w:val="26"/>
        </w:rPr>
        <w:t>who subsequently overdoses should not automatically result in a</w:t>
      </w:r>
      <w:r w:rsidRPr="00805ED0">
        <w:rPr>
          <w:rFonts w:cstheme="minorHAnsi"/>
          <w:szCs w:val="26"/>
          <w:shd w:val="clear" w:color="auto" w:fill="FFFFFF"/>
        </w:rPr>
        <w:t xml:space="preserve"> </w:t>
      </w:r>
      <w:r w:rsidRPr="00805ED0">
        <w:rPr>
          <w:rFonts w:cstheme="minorHAnsi"/>
          <w:szCs w:val="26"/>
        </w:rPr>
        <w:t xml:space="preserve">great bodily injury enhancement.”  </w:t>
      </w:r>
      <w:r w:rsidR="000E3748" w:rsidRPr="00805ED0">
        <w:rPr>
          <w:rFonts w:cstheme="minorHAnsi"/>
          <w:szCs w:val="26"/>
        </w:rPr>
        <w:t>W</w:t>
      </w:r>
      <w:r w:rsidR="000D7479" w:rsidRPr="00805ED0">
        <w:rPr>
          <w:rFonts w:cstheme="minorHAnsi"/>
          <w:szCs w:val="26"/>
        </w:rPr>
        <w:t xml:space="preserve">e </w:t>
      </w:r>
      <w:r w:rsidRPr="00805ED0">
        <w:rPr>
          <w:rFonts w:cstheme="minorHAnsi"/>
          <w:szCs w:val="26"/>
        </w:rPr>
        <w:t>agree</w:t>
      </w:r>
      <w:r w:rsidR="000D7479" w:rsidRPr="00805ED0">
        <w:rPr>
          <w:rFonts w:cstheme="minorHAnsi"/>
          <w:szCs w:val="26"/>
        </w:rPr>
        <w:t xml:space="preserve"> as well</w:t>
      </w:r>
      <w:r w:rsidRPr="00805ED0">
        <w:rPr>
          <w:rFonts w:cstheme="minorHAnsi"/>
          <w:szCs w:val="26"/>
        </w:rPr>
        <w:t xml:space="preserve">.  </w:t>
      </w:r>
      <w:r w:rsidR="00A26324" w:rsidRPr="00805ED0">
        <w:rPr>
          <w:rFonts w:cstheme="minorHAnsi"/>
          <w:szCs w:val="26"/>
        </w:rPr>
        <w:t>As explained below, w</w:t>
      </w:r>
      <w:r w:rsidRPr="00805ED0">
        <w:rPr>
          <w:rFonts w:cstheme="minorHAnsi"/>
          <w:szCs w:val="26"/>
        </w:rPr>
        <w:t xml:space="preserve">hether the furnishing </w:t>
      </w:r>
      <w:r w:rsidRPr="00805ED0">
        <w:rPr>
          <w:rFonts w:cstheme="minorHAnsi"/>
          <w:szCs w:val="26"/>
        </w:rPr>
        <w:lastRenderedPageBreak/>
        <w:t>of drugs constitutes personal infliction within the meaning of section 12022.7 depends on the circumstances underlying the furnishing</w:t>
      </w:r>
      <w:r w:rsidR="000D7479" w:rsidRPr="00805ED0">
        <w:rPr>
          <w:rFonts w:cstheme="minorHAnsi"/>
          <w:szCs w:val="26"/>
        </w:rPr>
        <w:t xml:space="preserve"> offense</w:t>
      </w:r>
      <w:r w:rsidRPr="00805ED0">
        <w:rPr>
          <w:rFonts w:cstheme="minorHAnsi"/>
          <w:szCs w:val="26"/>
        </w:rPr>
        <w:t xml:space="preserve">.  </w:t>
      </w:r>
      <w:r w:rsidR="00105F12" w:rsidRPr="00805ED0">
        <w:rPr>
          <w:rFonts w:cstheme="minorHAnsi"/>
          <w:szCs w:val="26"/>
        </w:rPr>
        <w:t>A</w:t>
      </w:r>
      <w:r w:rsidRPr="00805ED0">
        <w:rPr>
          <w:rFonts w:cstheme="minorHAnsi"/>
          <w:szCs w:val="26"/>
        </w:rPr>
        <w:t xml:space="preserve"> fact</w:t>
      </w:r>
      <w:r w:rsidRPr="00805ED0">
        <w:rPr>
          <w:rFonts w:cstheme="minorHAnsi"/>
          <w:szCs w:val="26"/>
        </w:rPr>
        <w:noBreakHyphen/>
        <w:t xml:space="preserve">specific inquiry </w:t>
      </w:r>
      <w:r w:rsidR="00105F12" w:rsidRPr="00805ED0">
        <w:rPr>
          <w:rFonts w:cstheme="minorHAnsi"/>
          <w:szCs w:val="26"/>
        </w:rPr>
        <w:t xml:space="preserve">is required </w:t>
      </w:r>
      <w:r w:rsidRPr="00805ED0">
        <w:rPr>
          <w:rFonts w:cstheme="minorHAnsi"/>
          <w:szCs w:val="26"/>
        </w:rPr>
        <w:t xml:space="preserve">to determine whether a defendant personally inflicted great bodily injury </w:t>
      </w:r>
      <w:r w:rsidR="000D7479" w:rsidRPr="00805ED0">
        <w:rPr>
          <w:rFonts w:cstheme="minorHAnsi"/>
          <w:szCs w:val="26"/>
        </w:rPr>
        <w:t xml:space="preserve">where such injury resulted from </w:t>
      </w:r>
      <w:r w:rsidRPr="00805ED0">
        <w:rPr>
          <w:rFonts w:cstheme="minorHAnsi"/>
          <w:szCs w:val="26"/>
        </w:rPr>
        <w:t>ingestion of the furnished drugs.</w:t>
      </w:r>
      <w:r w:rsidR="00C65C17" w:rsidRPr="00805ED0">
        <w:rPr>
          <w:rFonts w:cstheme="minorHAnsi"/>
          <w:szCs w:val="26"/>
        </w:rPr>
        <w:t xml:space="preserve"> </w:t>
      </w:r>
    </w:p>
    <w:p w14:paraId="4DF3AB08" w14:textId="0CB4B434" w:rsidR="00240A91" w:rsidRPr="00805ED0" w:rsidRDefault="000D7479" w:rsidP="00406D31">
      <w:pPr>
        <w:ind w:firstLine="720"/>
        <w:rPr>
          <w:rFonts w:cstheme="minorHAnsi"/>
          <w:szCs w:val="26"/>
          <w:shd w:val="clear" w:color="auto" w:fill="FFFFFF"/>
        </w:rPr>
      </w:pPr>
      <w:r w:rsidRPr="00805ED0">
        <w:rPr>
          <w:rFonts w:cstheme="minorHAnsi"/>
          <w:szCs w:val="26"/>
        </w:rPr>
        <w:t>We</w:t>
      </w:r>
      <w:r w:rsidR="00240A91" w:rsidRPr="00805ED0">
        <w:rPr>
          <w:rFonts w:cstheme="minorHAnsi"/>
          <w:szCs w:val="26"/>
        </w:rPr>
        <w:t xml:space="preserve"> begin with the language of section 12022.7.  We have previously observed that the meaning of “personally inflict” is clear and unambiguous</w:t>
      </w:r>
      <w:r w:rsidR="00117184" w:rsidRPr="00805ED0">
        <w:rPr>
          <w:rFonts w:cstheme="minorHAnsi"/>
          <w:szCs w:val="26"/>
        </w:rPr>
        <w:t xml:space="preserve"> in the context of injuries resulting</w:t>
      </w:r>
      <w:r w:rsidR="00F517FC" w:rsidRPr="00805ED0">
        <w:rPr>
          <w:rFonts w:cstheme="minorHAnsi"/>
          <w:szCs w:val="26"/>
        </w:rPr>
        <w:t xml:space="preserve"> from the</w:t>
      </w:r>
      <w:r w:rsidR="00FF1686">
        <w:rPr>
          <w:rFonts w:cstheme="minorHAnsi"/>
          <w:szCs w:val="26"/>
        </w:rPr>
        <w:t xml:space="preserve"> direct</w:t>
      </w:r>
      <w:r w:rsidR="00F517FC" w:rsidRPr="00805ED0">
        <w:rPr>
          <w:rFonts w:cstheme="minorHAnsi"/>
          <w:szCs w:val="26"/>
        </w:rPr>
        <w:t xml:space="preserve"> application of physical force</w:t>
      </w:r>
      <w:r w:rsidR="00240A91" w:rsidRPr="00805ED0">
        <w:rPr>
          <w:rFonts w:cstheme="minorHAnsi"/>
          <w:szCs w:val="26"/>
        </w:rPr>
        <w:t>.  (</w:t>
      </w:r>
      <w:r w:rsidR="00240A91" w:rsidRPr="00805ED0">
        <w:rPr>
          <w:rFonts w:cstheme="minorHAnsi"/>
          <w:i/>
          <w:iCs/>
          <w:szCs w:val="26"/>
        </w:rPr>
        <w:t>People v. Cole</w:t>
      </w:r>
      <w:r w:rsidR="00240A91" w:rsidRPr="00805ED0">
        <w:rPr>
          <w:rFonts w:cstheme="minorHAnsi"/>
          <w:szCs w:val="26"/>
        </w:rPr>
        <w:t xml:space="preserve"> (1982) 31 Ca</w:t>
      </w:r>
      <w:r w:rsidR="00C22B04" w:rsidRPr="00805ED0">
        <w:rPr>
          <w:rFonts w:cstheme="minorHAnsi"/>
          <w:szCs w:val="26"/>
        </w:rPr>
        <w:t>l</w:t>
      </w:r>
      <w:r w:rsidR="00240A91" w:rsidRPr="00805ED0">
        <w:rPr>
          <w:rFonts w:cstheme="minorHAnsi"/>
          <w:szCs w:val="26"/>
        </w:rPr>
        <w:t>.3d 568, 572 (</w:t>
      </w:r>
      <w:r w:rsidR="00240A91" w:rsidRPr="00805ED0">
        <w:rPr>
          <w:rFonts w:cstheme="minorHAnsi"/>
          <w:i/>
          <w:iCs/>
          <w:szCs w:val="26"/>
        </w:rPr>
        <w:t>Cole</w:t>
      </w:r>
      <w:r w:rsidR="00240A91" w:rsidRPr="00805ED0">
        <w:rPr>
          <w:rFonts w:cstheme="minorHAnsi"/>
          <w:szCs w:val="26"/>
        </w:rPr>
        <w:t xml:space="preserve">).)  Commonly understood, </w:t>
      </w:r>
      <w:r w:rsidR="00DB348B" w:rsidRPr="00805ED0">
        <w:rPr>
          <w:rFonts w:cstheme="minorHAnsi"/>
          <w:szCs w:val="26"/>
          <w:shd w:val="clear" w:color="auto" w:fill="FFFFFF"/>
        </w:rPr>
        <w:t xml:space="preserve">the term “personally” refers to “an act performed ‘in person,’ and involving ‘the actual or immediate presence or action of the individual person himself (as opposed to a substitute, deputy, messenger, </w:t>
      </w:r>
      <w:proofErr w:type="gramStart"/>
      <w:r w:rsidR="00DB348B" w:rsidRPr="00805ED0">
        <w:rPr>
          <w:rFonts w:cstheme="minorHAnsi"/>
          <w:szCs w:val="26"/>
          <w:shd w:val="clear" w:color="auto" w:fill="FFFFFF"/>
        </w:rPr>
        <w:t>etc</w:t>
      </w:r>
      <w:r w:rsidR="00406D31">
        <w:rPr>
          <w:rFonts w:cstheme="minorHAnsi"/>
          <w:szCs w:val="26"/>
          <w:shd w:val="clear" w:color="auto" w:fill="FFFFFF"/>
        </w:rPr>
        <w:t>.</w:t>
      </w:r>
      <w:proofErr w:type="gramEnd"/>
      <w:r w:rsidR="00DB348B" w:rsidRPr="00805ED0">
        <w:rPr>
          <w:rFonts w:cstheme="minorHAnsi"/>
          <w:szCs w:val="26"/>
          <w:shd w:val="clear" w:color="auto" w:fill="FFFFFF"/>
        </w:rPr>
        <w:t>).’ ”  (</w:t>
      </w:r>
      <w:r w:rsidR="0047208F" w:rsidRPr="00805ED0">
        <w:rPr>
          <w:rFonts w:cstheme="minorHAnsi"/>
          <w:i/>
          <w:iCs/>
          <w:szCs w:val="26"/>
          <w:shd w:val="clear" w:color="auto" w:fill="FFFFFF"/>
        </w:rPr>
        <w:t>Modiri</w:t>
      </w:r>
      <w:r w:rsidR="0047208F" w:rsidRPr="00805ED0">
        <w:rPr>
          <w:rFonts w:cstheme="minorHAnsi"/>
          <w:szCs w:val="26"/>
          <w:shd w:val="clear" w:color="auto" w:fill="FFFFFF"/>
        </w:rPr>
        <w:t>,</w:t>
      </w:r>
      <w:r w:rsidR="00403F4E" w:rsidRPr="00805ED0">
        <w:rPr>
          <w:rFonts w:cstheme="minorHAnsi"/>
          <w:szCs w:val="26"/>
          <w:shd w:val="clear" w:color="auto" w:fill="FFFFFF"/>
        </w:rPr>
        <w:t xml:space="preserve"> </w:t>
      </w:r>
      <w:r w:rsidR="00403F4E" w:rsidRPr="00805ED0">
        <w:rPr>
          <w:rFonts w:cstheme="minorHAnsi"/>
          <w:i/>
          <w:szCs w:val="26"/>
          <w:shd w:val="clear" w:color="auto" w:fill="FFFFFF"/>
        </w:rPr>
        <w:t>supra</w:t>
      </w:r>
      <w:r w:rsidR="00403F4E" w:rsidRPr="00805ED0">
        <w:rPr>
          <w:rFonts w:cstheme="minorHAnsi"/>
          <w:szCs w:val="26"/>
          <w:shd w:val="clear" w:color="auto" w:fill="FFFFFF"/>
        </w:rPr>
        <w:t>, 39 Cal.4th</w:t>
      </w:r>
      <w:r w:rsidR="0047208F" w:rsidRPr="00805ED0">
        <w:rPr>
          <w:rFonts w:cstheme="minorHAnsi"/>
          <w:szCs w:val="26"/>
          <w:shd w:val="clear" w:color="auto" w:fill="FFFFFF"/>
        </w:rPr>
        <w:t xml:space="preserve"> at p. 493</w:t>
      </w:r>
      <w:r w:rsidR="00DB348B" w:rsidRPr="00805ED0">
        <w:rPr>
          <w:rFonts w:cstheme="minorHAnsi"/>
          <w:szCs w:val="26"/>
          <w:shd w:val="clear" w:color="auto" w:fill="FFFFFF"/>
        </w:rPr>
        <w:t xml:space="preserve">, quoting </w:t>
      </w:r>
      <w:r w:rsidR="00296523">
        <w:rPr>
          <w:rFonts w:cstheme="minorHAnsi"/>
          <w:szCs w:val="26"/>
          <w:shd w:val="clear" w:color="auto" w:fill="FFFFFF"/>
        </w:rPr>
        <w:t>9</w:t>
      </w:r>
      <w:r w:rsidR="00296523" w:rsidRPr="00805ED0">
        <w:rPr>
          <w:rFonts w:cstheme="minorHAnsi"/>
          <w:szCs w:val="26"/>
          <w:shd w:val="clear" w:color="auto" w:fill="FFFFFF"/>
        </w:rPr>
        <w:t xml:space="preserve"> </w:t>
      </w:r>
      <w:r w:rsidR="00DB348B" w:rsidRPr="00805ED0">
        <w:rPr>
          <w:rFonts w:cstheme="minorHAnsi"/>
          <w:szCs w:val="26"/>
          <w:shd w:val="clear" w:color="auto" w:fill="FFFFFF"/>
        </w:rPr>
        <w:t xml:space="preserve">Oxford English Dict. (2d ed.1989) p. 599.)  The </w:t>
      </w:r>
      <w:r w:rsidR="000D6724" w:rsidRPr="00805ED0">
        <w:rPr>
          <w:rFonts w:cstheme="minorHAnsi"/>
          <w:szCs w:val="26"/>
          <w:shd w:val="clear" w:color="auto" w:fill="FFFFFF"/>
        </w:rPr>
        <w:t>verb</w:t>
      </w:r>
      <w:r w:rsidR="00DB348B" w:rsidRPr="00805ED0">
        <w:rPr>
          <w:rFonts w:cstheme="minorHAnsi"/>
          <w:szCs w:val="26"/>
          <w:shd w:val="clear" w:color="auto" w:fill="FFFFFF"/>
        </w:rPr>
        <w:t xml:space="preserve"> </w:t>
      </w:r>
      <w:r w:rsidR="00240A91" w:rsidRPr="00805ED0">
        <w:rPr>
          <w:rFonts w:cstheme="minorHAnsi"/>
          <w:szCs w:val="26"/>
        </w:rPr>
        <w:t>“to inflict” means “ </w:t>
      </w:r>
      <w:r w:rsidR="00240A91" w:rsidRPr="00805ED0">
        <w:rPr>
          <w:rFonts w:cstheme="minorHAnsi"/>
          <w:szCs w:val="26"/>
          <w:shd w:val="clear" w:color="auto" w:fill="FFFFFF"/>
        </w:rPr>
        <w:t xml:space="preserve">‘to lay (a blow) </w:t>
      </w:r>
      <w:proofErr w:type="gramStart"/>
      <w:r w:rsidR="00240A91" w:rsidRPr="00805ED0">
        <w:rPr>
          <w:rFonts w:cstheme="minorHAnsi"/>
          <w:szCs w:val="26"/>
          <w:shd w:val="clear" w:color="auto" w:fill="FFFFFF"/>
        </w:rPr>
        <w:t>on:</w:t>
      </w:r>
      <w:proofErr w:type="gramEnd"/>
      <w:r w:rsidR="00240A91" w:rsidRPr="00805ED0">
        <w:rPr>
          <w:rFonts w:cstheme="minorHAnsi"/>
          <w:szCs w:val="26"/>
          <w:shd w:val="clear" w:color="auto" w:fill="FFFFFF"/>
        </w:rPr>
        <w:t xml:space="preserve"> cause (something damaging or painful) to be endured: impose.’ ”  (</w:t>
      </w:r>
      <w:r w:rsidR="00403F4E" w:rsidRPr="00805ED0">
        <w:rPr>
          <w:rFonts w:cstheme="minorHAnsi"/>
          <w:i/>
          <w:iCs/>
          <w:szCs w:val="26"/>
          <w:shd w:val="clear" w:color="auto" w:fill="FFFFFF"/>
        </w:rPr>
        <w:t>Modiri</w:t>
      </w:r>
      <w:r w:rsidR="00403F4E" w:rsidRPr="00805ED0">
        <w:rPr>
          <w:rFonts w:cstheme="minorHAnsi"/>
          <w:iCs/>
          <w:szCs w:val="26"/>
          <w:shd w:val="clear" w:color="auto" w:fill="FFFFFF"/>
        </w:rPr>
        <w:t>, at p. 493</w:t>
      </w:r>
      <w:r w:rsidR="00240A91" w:rsidRPr="00805ED0">
        <w:rPr>
          <w:rFonts w:cstheme="minorHAnsi"/>
          <w:szCs w:val="26"/>
          <w:shd w:val="clear" w:color="auto" w:fill="FFFFFF"/>
        </w:rPr>
        <w:t xml:space="preserve">, quoting Webster’s 3d New </w:t>
      </w:r>
      <w:proofErr w:type="spellStart"/>
      <w:r w:rsidR="00240A91" w:rsidRPr="00805ED0">
        <w:rPr>
          <w:rFonts w:cstheme="minorHAnsi"/>
          <w:szCs w:val="26"/>
          <w:shd w:val="clear" w:color="auto" w:fill="FFFFFF"/>
        </w:rPr>
        <w:t>Internat.</w:t>
      </w:r>
      <w:proofErr w:type="spellEnd"/>
      <w:r w:rsidR="00240A91" w:rsidRPr="00805ED0">
        <w:rPr>
          <w:rFonts w:cstheme="minorHAnsi"/>
          <w:szCs w:val="26"/>
          <w:shd w:val="clear" w:color="auto" w:fill="FFFFFF"/>
        </w:rPr>
        <w:t xml:space="preserve"> Dict. (2002) p.</w:t>
      </w:r>
      <w:r w:rsidRPr="00805ED0">
        <w:rPr>
          <w:rFonts w:cstheme="minorHAnsi"/>
          <w:szCs w:val="26"/>
          <w:shd w:val="clear" w:color="auto" w:fill="FFFFFF"/>
        </w:rPr>
        <w:t> </w:t>
      </w:r>
      <w:r w:rsidR="00240A91" w:rsidRPr="00805ED0">
        <w:rPr>
          <w:rFonts w:cstheme="minorHAnsi"/>
          <w:szCs w:val="26"/>
          <w:shd w:val="clear" w:color="auto" w:fill="FFFFFF"/>
        </w:rPr>
        <w:t xml:space="preserve">1160.)  The meaning of the statutory requirement that a defendant personally </w:t>
      </w:r>
      <w:proofErr w:type="gramStart"/>
      <w:r w:rsidR="00240A91" w:rsidRPr="00805ED0">
        <w:rPr>
          <w:rFonts w:cstheme="minorHAnsi"/>
          <w:szCs w:val="26"/>
          <w:shd w:val="clear" w:color="auto" w:fill="FFFFFF"/>
        </w:rPr>
        <w:t>inflict</w:t>
      </w:r>
      <w:proofErr w:type="gramEnd"/>
      <w:r w:rsidR="00240A91" w:rsidRPr="00805ED0">
        <w:rPr>
          <w:rFonts w:cstheme="minorHAnsi"/>
          <w:szCs w:val="26"/>
          <w:shd w:val="clear" w:color="auto" w:fill="FFFFFF"/>
        </w:rPr>
        <w:t xml:space="preserve"> the</w:t>
      </w:r>
      <w:r w:rsidR="006B5CBD" w:rsidRPr="00805ED0">
        <w:rPr>
          <w:rFonts w:cstheme="minorHAnsi"/>
          <w:szCs w:val="26"/>
          <w:shd w:val="clear" w:color="auto" w:fill="FFFFFF"/>
        </w:rPr>
        <w:t xml:space="preserve"> victim’s</w:t>
      </w:r>
      <w:r w:rsidR="00240A91" w:rsidRPr="00805ED0">
        <w:rPr>
          <w:rFonts w:cstheme="minorHAnsi"/>
          <w:szCs w:val="26"/>
          <w:shd w:val="clear" w:color="auto" w:fill="FFFFFF"/>
        </w:rPr>
        <w:t xml:space="preserve"> injury does not differ from its nonlegal meaning.  (</w:t>
      </w:r>
      <w:r w:rsidR="00240A91" w:rsidRPr="00805ED0">
        <w:rPr>
          <w:rFonts w:cstheme="minorHAnsi"/>
          <w:i/>
          <w:iCs/>
          <w:szCs w:val="26"/>
          <w:shd w:val="clear" w:color="auto" w:fill="FFFFFF"/>
        </w:rPr>
        <w:t>People v. Cross</w:t>
      </w:r>
      <w:r w:rsidR="00240A91" w:rsidRPr="00805ED0">
        <w:rPr>
          <w:rFonts w:cstheme="minorHAnsi"/>
          <w:szCs w:val="26"/>
          <w:shd w:val="clear" w:color="auto" w:fill="FFFFFF"/>
        </w:rPr>
        <w:t xml:space="preserve"> (2008) 45 Cal.4th 58, 68 (</w:t>
      </w:r>
      <w:r w:rsidR="00240A91" w:rsidRPr="00805ED0">
        <w:rPr>
          <w:rFonts w:cstheme="minorHAnsi"/>
          <w:i/>
          <w:iCs/>
          <w:szCs w:val="26"/>
          <w:shd w:val="clear" w:color="auto" w:fill="FFFFFF"/>
        </w:rPr>
        <w:t>Cross</w:t>
      </w:r>
      <w:r w:rsidR="00240A91" w:rsidRPr="00805ED0">
        <w:rPr>
          <w:rFonts w:cstheme="minorHAnsi"/>
          <w:szCs w:val="26"/>
          <w:shd w:val="clear" w:color="auto" w:fill="FFFFFF"/>
        </w:rPr>
        <w:t xml:space="preserve">).)  </w:t>
      </w:r>
      <w:r w:rsidR="00406D31">
        <w:rPr>
          <w:rFonts w:cstheme="minorHAnsi"/>
          <w:szCs w:val="26"/>
          <w:shd w:val="clear" w:color="auto" w:fill="FFFFFF"/>
        </w:rPr>
        <w:t>“[</w:t>
      </w:r>
      <w:r w:rsidR="00240A91" w:rsidRPr="00805ED0">
        <w:rPr>
          <w:rFonts w:cstheme="minorHAnsi"/>
          <w:szCs w:val="26"/>
          <w:shd w:val="clear" w:color="auto" w:fill="FFFFFF"/>
        </w:rPr>
        <w:t>T</w:t>
      </w:r>
      <w:r w:rsidR="00406D31">
        <w:rPr>
          <w:rFonts w:cstheme="minorHAnsi"/>
          <w:szCs w:val="26"/>
          <w:shd w:val="clear" w:color="auto" w:fill="FFFFFF"/>
        </w:rPr>
        <w:t>]</w:t>
      </w:r>
      <w:r w:rsidR="00240A91" w:rsidRPr="00805ED0">
        <w:rPr>
          <w:rFonts w:cstheme="minorHAnsi"/>
          <w:szCs w:val="26"/>
          <w:shd w:val="clear" w:color="auto" w:fill="FFFFFF"/>
        </w:rPr>
        <w:t xml:space="preserve">he </w:t>
      </w:r>
      <w:proofErr w:type="gramStart"/>
      <w:r w:rsidR="00240A91" w:rsidRPr="00805ED0">
        <w:rPr>
          <w:rFonts w:cstheme="minorHAnsi"/>
          <w:szCs w:val="26"/>
          <w:shd w:val="clear" w:color="auto" w:fill="FFFFFF"/>
        </w:rPr>
        <w:t>phrase</w:t>
      </w:r>
      <w:proofErr w:type="gramEnd"/>
      <w:r w:rsidR="00240A91" w:rsidRPr="00805ED0">
        <w:rPr>
          <w:rFonts w:cstheme="minorHAnsi"/>
          <w:szCs w:val="26"/>
          <w:shd w:val="clear" w:color="auto" w:fill="FFFFFF"/>
        </w:rPr>
        <w:t xml:space="preserve"> </w:t>
      </w:r>
      <w:r w:rsidR="00406D31">
        <w:rPr>
          <w:rFonts w:cstheme="minorHAnsi"/>
          <w:szCs w:val="26"/>
          <w:shd w:val="clear" w:color="auto" w:fill="FFFFFF"/>
        </w:rPr>
        <w:t>‘</w:t>
      </w:r>
      <w:r w:rsidR="00240A91" w:rsidRPr="00805ED0">
        <w:rPr>
          <w:rFonts w:cstheme="minorHAnsi"/>
          <w:szCs w:val="26"/>
          <w:shd w:val="clear" w:color="auto" w:fill="FFFFFF"/>
        </w:rPr>
        <w:t>personally inflict</w:t>
      </w:r>
      <w:r w:rsidR="00406D31">
        <w:rPr>
          <w:rFonts w:cstheme="minorHAnsi"/>
          <w:szCs w:val="26"/>
          <w:shd w:val="clear" w:color="auto" w:fill="FFFFFF"/>
        </w:rPr>
        <w:t>s’</w:t>
      </w:r>
      <w:r w:rsidR="00240A91" w:rsidRPr="00805ED0">
        <w:rPr>
          <w:rFonts w:cstheme="minorHAnsi"/>
          <w:szCs w:val="26"/>
          <w:shd w:val="clear" w:color="auto" w:fill="FFFFFF"/>
        </w:rPr>
        <w:t xml:space="preserve"> means that someone ‘in person’ . . . , that is, directly and not through an intermediary, </w:t>
      </w:r>
      <w:proofErr w:type="spellStart"/>
      <w:r w:rsidR="00240A91" w:rsidRPr="00805ED0">
        <w:rPr>
          <w:rFonts w:cstheme="minorHAnsi"/>
          <w:szCs w:val="26"/>
          <w:shd w:val="clear" w:color="auto" w:fill="FFFFFF"/>
        </w:rPr>
        <w:t>‘cause</w:t>
      </w:r>
      <w:proofErr w:type="spellEnd"/>
      <w:r w:rsidR="00240A91" w:rsidRPr="00805ED0">
        <w:rPr>
          <w:rFonts w:cstheme="minorHAnsi"/>
          <w:szCs w:val="26"/>
          <w:shd w:val="clear" w:color="auto" w:fill="FFFFFF"/>
        </w:rPr>
        <w:t>[s] something (damaging or painful) to be endured.’ ”  (</w:t>
      </w:r>
      <w:r w:rsidR="00240A91" w:rsidRPr="00805ED0">
        <w:rPr>
          <w:rFonts w:cstheme="minorHAnsi"/>
          <w:i/>
          <w:iCs/>
          <w:szCs w:val="26"/>
          <w:shd w:val="clear" w:color="auto" w:fill="FFFFFF"/>
        </w:rPr>
        <w:t>Ibid.</w:t>
      </w:r>
      <w:r w:rsidR="00296523">
        <w:rPr>
          <w:rFonts w:cstheme="minorHAnsi"/>
          <w:szCs w:val="26"/>
          <w:shd w:val="clear" w:color="auto" w:fill="FFFFFF"/>
        </w:rPr>
        <w:t>, citation omitted.</w:t>
      </w:r>
      <w:r w:rsidR="00240A91" w:rsidRPr="00805ED0">
        <w:rPr>
          <w:rFonts w:cstheme="minorHAnsi"/>
          <w:szCs w:val="26"/>
          <w:shd w:val="clear" w:color="auto" w:fill="FFFFFF"/>
        </w:rPr>
        <w:t>)</w:t>
      </w:r>
    </w:p>
    <w:p w14:paraId="719F82B0" w14:textId="0B71DA6D" w:rsidR="00403F4E" w:rsidRPr="00805ED0" w:rsidRDefault="00AE0718" w:rsidP="00805ED0">
      <w:pPr>
        <w:ind w:firstLine="720"/>
        <w:rPr>
          <w:rFonts w:cstheme="minorHAnsi"/>
          <w:szCs w:val="26"/>
          <w:shd w:val="clear" w:color="auto" w:fill="FFFFFF"/>
        </w:rPr>
      </w:pPr>
      <w:r w:rsidRPr="00805ED0">
        <w:rPr>
          <w:rFonts w:cstheme="minorHAnsi"/>
          <w:szCs w:val="26"/>
          <w:shd w:val="clear" w:color="auto" w:fill="FFFFFF"/>
        </w:rPr>
        <w:t xml:space="preserve">The meaning of “personally inflict” is </w:t>
      </w:r>
      <w:r w:rsidR="00403F4E" w:rsidRPr="00805ED0">
        <w:rPr>
          <w:rFonts w:cstheme="minorHAnsi"/>
          <w:szCs w:val="26"/>
          <w:shd w:val="clear" w:color="auto" w:fill="FFFFFF"/>
        </w:rPr>
        <w:t>less clear</w:t>
      </w:r>
      <w:r w:rsidRPr="00805ED0">
        <w:rPr>
          <w:rFonts w:cstheme="minorHAnsi"/>
          <w:szCs w:val="26"/>
          <w:shd w:val="clear" w:color="auto" w:fill="FFFFFF"/>
        </w:rPr>
        <w:t xml:space="preserve"> in the contex</w:t>
      </w:r>
      <w:r w:rsidR="00314596" w:rsidRPr="00805ED0">
        <w:rPr>
          <w:rFonts w:cstheme="minorHAnsi"/>
          <w:szCs w:val="26"/>
          <w:shd w:val="clear" w:color="auto" w:fill="FFFFFF"/>
        </w:rPr>
        <w:t>t</w:t>
      </w:r>
      <w:r w:rsidRPr="00805ED0">
        <w:rPr>
          <w:rFonts w:cstheme="minorHAnsi"/>
          <w:szCs w:val="26"/>
          <w:shd w:val="clear" w:color="auto" w:fill="FFFFFF"/>
        </w:rPr>
        <w:t xml:space="preserve"> of a drug furnishing offense</w:t>
      </w:r>
      <w:r w:rsidR="004D58A7" w:rsidRPr="00805ED0">
        <w:rPr>
          <w:rFonts w:cstheme="minorHAnsi"/>
          <w:szCs w:val="26"/>
          <w:shd w:val="clear" w:color="auto" w:fill="FFFFFF"/>
        </w:rPr>
        <w:t xml:space="preserve"> </w:t>
      </w:r>
      <w:r w:rsidR="00A97EB3" w:rsidRPr="00805ED0">
        <w:rPr>
          <w:rFonts w:cstheme="minorHAnsi"/>
          <w:szCs w:val="26"/>
          <w:shd w:val="clear" w:color="auto" w:fill="FFFFFF"/>
        </w:rPr>
        <w:t xml:space="preserve">where the defendant provides a controlled </w:t>
      </w:r>
      <w:proofErr w:type="gramStart"/>
      <w:r w:rsidR="00A97EB3" w:rsidRPr="00805ED0">
        <w:rPr>
          <w:rFonts w:cstheme="minorHAnsi"/>
          <w:szCs w:val="26"/>
          <w:shd w:val="clear" w:color="auto" w:fill="FFFFFF"/>
        </w:rPr>
        <w:t>substance</w:t>
      </w:r>
      <w:proofErr w:type="gramEnd"/>
      <w:r w:rsidR="00A97EB3" w:rsidRPr="00805ED0">
        <w:rPr>
          <w:rFonts w:cstheme="minorHAnsi"/>
          <w:szCs w:val="26"/>
          <w:shd w:val="clear" w:color="auto" w:fill="FFFFFF"/>
        </w:rPr>
        <w:t xml:space="preserve"> </w:t>
      </w:r>
      <w:r w:rsidR="008728DB" w:rsidRPr="00805ED0">
        <w:rPr>
          <w:rFonts w:cstheme="minorHAnsi"/>
          <w:szCs w:val="26"/>
          <w:shd w:val="clear" w:color="auto" w:fill="FFFFFF"/>
        </w:rPr>
        <w:t>and the injury arises only after the victim ingests the substance</w:t>
      </w:r>
      <w:r w:rsidR="001139E4" w:rsidRPr="00805ED0">
        <w:rPr>
          <w:rFonts w:cstheme="minorHAnsi"/>
          <w:szCs w:val="26"/>
          <w:shd w:val="clear" w:color="auto" w:fill="FFFFFF"/>
        </w:rPr>
        <w:t>.</w:t>
      </w:r>
      <w:r w:rsidR="0093608F" w:rsidRPr="00805ED0">
        <w:rPr>
          <w:rFonts w:cstheme="minorHAnsi"/>
          <w:szCs w:val="26"/>
          <w:shd w:val="clear" w:color="auto" w:fill="FFFFFF"/>
        </w:rPr>
        <w:t xml:space="preserve">  </w:t>
      </w:r>
      <w:r w:rsidR="00403F4E" w:rsidRPr="00805ED0">
        <w:rPr>
          <w:rFonts w:cstheme="minorHAnsi"/>
          <w:szCs w:val="26"/>
          <w:shd w:val="clear" w:color="auto" w:fill="FFFFFF"/>
        </w:rPr>
        <w:t>But</w:t>
      </w:r>
      <w:r w:rsidR="00924AB1" w:rsidRPr="00805ED0">
        <w:rPr>
          <w:rFonts w:cstheme="minorHAnsi"/>
          <w:szCs w:val="26"/>
          <w:shd w:val="clear" w:color="auto" w:fill="FFFFFF"/>
        </w:rPr>
        <w:t xml:space="preserve"> </w:t>
      </w:r>
      <w:r w:rsidR="001232BD" w:rsidRPr="00805ED0">
        <w:rPr>
          <w:rFonts w:cstheme="minorHAnsi"/>
          <w:szCs w:val="26"/>
          <w:shd w:val="clear" w:color="auto" w:fill="FFFFFF"/>
        </w:rPr>
        <w:t>n</w:t>
      </w:r>
      <w:r w:rsidR="00240A91" w:rsidRPr="00805ED0">
        <w:rPr>
          <w:rFonts w:cstheme="minorHAnsi"/>
          <w:szCs w:val="26"/>
          <w:shd w:val="clear" w:color="auto" w:fill="FFFFFF"/>
        </w:rPr>
        <w:t xml:space="preserve">othing in the language of section 12022.7 suggests that all acts of providing </w:t>
      </w:r>
      <w:r w:rsidR="004730B5" w:rsidRPr="00805ED0">
        <w:rPr>
          <w:rFonts w:cstheme="minorHAnsi"/>
          <w:szCs w:val="26"/>
          <w:shd w:val="clear" w:color="auto" w:fill="FFFFFF"/>
        </w:rPr>
        <w:t xml:space="preserve">a </w:t>
      </w:r>
      <w:r w:rsidR="00240A91" w:rsidRPr="00805ED0">
        <w:rPr>
          <w:rFonts w:cstheme="minorHAnsi"/>
          <w:szCs w:val="26"/>
          <w:shd w:val="clear" w:color="auto" w:fill="FFFFFF"/>
        </w:rPr>
        <w:t xml:space="preserve">controlled substance </w:t>
      </w:r>
      <w:r w:rsidR="000D7479" w:rsidRPr="00805ED0">
        <w:rPr>
          <w:rFonts w:cstheme="minorHAnsi"/>
          <w:szCs w:val="26"/>
          <w:shd w:val="clear" w:color="auto" w:fill="FFFFFF"/>
        </w:rPr>
        <w:t xml:space="preserve">subsume the </w:t>
      </w:r>
      <w:r w:rsidR="00240A91" w:rsidRPr="00805ED0">
        <w:rPr>
          <w:rFonts w:cstheme="minorHAnsi"/>
          <w:szCs w:val="26"/>
          <w:shd w:val="clear" w:color="auto" w:fill="FFFFFF"/>
        </w:rPr>
        <w:t xml:space="preserve">personal infliction of injuries </w:t>
      </w:r>
      <w:r w:rsidR="00047DBA" w:rsidRPr="00805ED0">
        <w:rPr>
          <w:rFonts w:cstheme="minorHAnsi"/>
          <w:szCs w:val="26"/>
          <w:shd w:val="clear" w:color="auto" w:fill="FFFFFF"/>
        </w:rPr>
        <w:t xml:space="preserve">resulting </w:t>
      </w:r>
      <w:r w:rsidR="00047DBA" w:rsidRPr="00805ED0">
        <w:rPr>
          <w:rFonts w:cstheme="minorHAnsi"/>
          <w:szCs w:val="26"/>
          <w:shd w:val="clear" w:color="auto" w:fill="FFFFFF"/>
        </w:rPr>
        <w:lastRenderedPageBreak/>
        <w:t>from</w:t>
      </w:r>
      <w:r w:rsidR="00240A91" w:rsidRPr="00805ED0">
        <w:rPr>
          <w:rFonts w:cstheme="minorHAnsi"/>
          <w:szCs w:val="26"/>
          <w:shd w:val="clear" w:color="auto" w:fill="FFFFFF"/>
        </w:rPr>
        <w:t xml:space="preserve"> consumption of </w:t>
      </w:r>
      <w:r w:rsidR="00047DBA" w:rsidRPr="00805ED0">
        <w:rPr>
          <w:rFonts w:cstheme="minorHAnsi"/>
          <w:szCs w:val="26"/>
          <w:shd w:val="clear" w:color="auto" w:fill="FFFFFF"/>
        </w:rPr>
        <w:t xml:space="preserve">the </w:t>
      </w:r>
      <w:r w:rsidR="00240A91" w:rsidRPr="00805ED0">
        <w:rPr>
          <w:rFonts w:cstheme="minorHAnsi"/>
          <w:szCs w:val="26"/>
          <w:shd w:val="clear" w:color="auto" w:fill="FFFFFF"/>
        </w:rPr>
        <w:t xml:space="preserve">substance.  </w:t>
      </w:r>
      <w:r w:rsidR="00047DBA" w:rsidRPr="00805ED0">
        <w:rPr>
          <w:rFonts w:cstheme="minorHAnsi"/>
          <w:szCs w:val="26"/>
          <w:shd w:val="clear" w:color="auto" w:fill="FFFFFF"/>
        </w:rPr>
        <w:t>O</w:t>
      </w:r>
      <w:r w:rsidR="00240A91" w:rsidRPr="00805ED0">
        <w:rPr>
          <w:rFonts w:cstheme="minorHAnsi"/>
          <w:szCs w:val="26"/>
          <w:shd w:val="clear" w:color="auto" w:fill="FFFFFF"/>
        </w:rPr>
        <w:t xml:space="preserve">ur precedent </w:t>
      </w:r>
      <w:r w:rsidR="00047DBA" w:rsidRPr="00805ED0">
        <w:rPr>
          <w:rFonts w:cstheme="minorHAnsi"/>
          <w:szCs w:val="26"/>
          <w:shd w:val="clear" w:color="auto" w:fill="FFFFFF"/>
        </w:rPr>
        <w:t>has held</w:t>
      </w:r>
      <w:r w:rsidR="00240A91" w:rsidRPr="00805ED0">
        <w:rPr>
          <w:rFonts w:cstheme="minorHAnsi"/>
          <w:szCs w:val="26"/>
          <w:shd w:val="clear" w:color="auto" w:fill="FFFFFF"/>
        </w:rPr>
        <w:t xml:space="preserve"> that whether a defendant personally inflicts an injury depends on the facts of the particular case rather than the charged offense.</w:t>
      </w:r>
    </w:p>
    <w:p w14:paraId="27086F90" w14:textId="2CA5C8D9" w:rsidR="00400FF0" w:rsidRPr="00805ED0" w:rsidRDefault="00301A99" w:rsidP="00805ED0">
      <w:pPr>
        <w:ind w:firstLine="720"/>
        <w:rPr>
          <w:rFonts w:cstheme="minorHAnsi"/>
          <w:szCs w:val="26"/>
          <w:shd w:val="clear" w:color="auto" w:fill="FFFFFF"/>
        </w:rPr>
      </w:pPr>
      <w:r w:rsidRPr="00CF0747">
        <w:rPr>
          <w:rFonts w:cstheme="minorHAnsi"/>
          <w:szCs w:val="26"/>
          <w:shd w:val="clear" w:color="auto" w:fill="FFFFFF"/>
        </w:rPr>
        <w:t xml:space="preserve">In </w:t>
      </w:r>
      <w:r w:rsidRPr="00CF0747">
        <w:rPr>
          <w:rFonts w:cstheme="minorHAnsi"/>
          <w:i/>
          <w:iCs/>
          <w:szCs w:val="26"/>
          <w:shd w:val="clear" w:color="auto" w:fill="FFFFFF"/>
        </w:rPr>
        <w:t>Ahmed</w:t>
      </w:r>
      <w:r w:rsidRPr="00CF0747">
        <w:rPr>
          <w:rFonts w:cstheme="minorHAnsi"/>
          <w:szCs w:val="26"/>
          <w:shd w:val="clear" w:color="auto" w:fill="FFFFFF"/>
        </w:rPr>
        <w:t xml:space="preserve">, </w:t>
      </w:r>
      <w:r w:rsidR="000B33AE" w:rsidRPr="00CF0747">
        <w:rPr>
          <w:rFonts w:cstheme="minorHAnsi"/>
          <w:szCs w:val="26"/>
          <w:shd w:val="clear" w:color="auto" w:fill="FFFFFF"/>
        </w:rPr>
        <w:t>we</w:t>
      </w:r>
      <w:r w:rsidR="00121972" w:rsidRPr="00CF0747">
        <w:rPr>
          <w:rFonts w:cstheme="minorHAnsi"/>
          <w:szCs w:val="26"/>
          <w:shd w:val="clear" w:color="auto" w:fill="FFFFFF"/>
        </w:rPr>
        <w:t xml:space="preserve"> reviewed </w:t>
      </w:r>
      <w:r w:rsidR="000B33AE" w:rsidRPr="00CF0747">
        <w:rPr>
          <w:rFonts w:cstheme="minorHAnsi"/>
          <w:szCs w:val="26"/>
          <w:shd w:val="clear" w:color="auto" w:fill="FFFFFF"/>
        </w:rPr>
        <w:t xml:space="preserve">a </w:t>
      </w:r>
      <w:r w:rsidR="00121972" w:rsidRPr="00CF0747">
        <w:rPr>
          <w:rFonts w:cstheme="minorHAnsi"/>
          <w:szCs w:val="26"/>
          <w:shd w:val="clear" w:color="auto" w:fill="FFFFFF"/>
        </w:rPr>
        <w:t xml:space="preserve">trial </w:t>
      </w:r>
      <w:r w:rsidR="000B33AE" w:rsidRPr="00CF0747">
        <w:rPr>
          <w:rFonts w:cstheme="minorHAnsi"/>
          <w:szCs w:val="26"/>
          <w:shd w:val="clear" w:color="auto" w:fill="FFFFFF"/>
        </w:rPr>
        <w:t xml:space="preserve">court’s </w:t>
      </w:r>
      <w:r w:rsidR="0094130F" w:rsidRPr="00CF0747">
        <w:rPr>
          <w:rFonts w:cstheme="minorHAnsi"/>
          <w:szCs w:val="26"/>
          <w:shd w:val="clear" w:color="auto" w:fill="FFFFFF"/>
        </w:rPr>
        <w:t xml:space="preserve">imposition of </w:t>
      </w:r>
      <w:r w:rsidR="00A54D61" w:rsidRPr="00CF0747">
        <w:rPr>
          <w:szCs w:val="26"/>
          <w:shd w:val="clear" w:color="auto" w:fill="FFFFFF"/>
        </w:rPr>
        <w:t>enhancement</w:t>
      </w:r>
      <w:r w:rsidR="00C846BB" w:rsidRPr="00CF0747">
        <w:rPr>
          <w:szCs w:val="26"/>
          <w:shd w:val="clear" w:color="auto" w:fill="FFFFFF"/>
        </w:rPr>
        <w:t xml:space="preserve">s for </w:t>
      </w:r>
      <w:r w:rsidR="00A43F3E" w:rsidRPr="00CF0747">
        <w:rPr>
          <w:szCs w:val="26"/>
          <w:shd w:val="clear" w:color="auto" w:fill="FFFFFF"/>
        </w:rPr>
        <w:t>“</w:t>
      </w:r>
      <w:r w:rsidR="000122D3" w:rsidRPr="00CF0747">
        <w:rPr>
          <w:szCs w:val="26"/>
          <w:shd w:val="clear" w:color="auto" w:fill="FFFFFF"/>
        </w:rPr>
        <w:t>personally inflict[</w:t>
      </w:r>
      <w:proofErr w:type="spellStart"/>
      <w:r w:rsidR="000122D3" w:rsidRPr="00CF0747">
        <w:rPr>
          <w:szCs w:val="26"/>
          <w:shd w:val="clear" w:color="auto" w:fill="FFFFFF"/>
        </w:rPr>
        <w:t>ing</w:t>
      </w:r>
      <w:proofErr w:type="spellEnd"/>
      <w:r w:rsidR="000122D3" w:rsidRPr="00CF0747">
        <w:rPr>
          <w:szCs w:val="26"/>
          <w:shd w:val="clear" w:color="auto" w:fill="FFFFFF"/>
        </w:rPr>
        <w:t>] great bodily injury under circumstances involving domestic violence in the commission of a felony or attempted felony</w:t>
      </w:r>
      <w:r w:rsidR="00C73D05" w:rsidRPr="00CF0747">
        <w:rPr>
          <w:szCs w:val="26"/>
          <w:shd w:val="clear" w:color="auto" w:fill="FFFFFF"/>
        </w:rPr>
        <w:t>”</w:t>
      </w:r>
      <w:r w:rsidR="008B0966" w:rsidRPr="00805ED0">
        <w:rPr>
          <w:szCs w:val="26"/>
          <w:shd w:val="clear" w:color="auto" w:fill="FFFFFF"/>
        </w:rPr>
        <w:t xml:space="preserve"> </w:t>
      </w:r>
      <w:r w:rsidR="00EF5865" w:rsidRPr="00805ED0">
        <w:rPr>
          <w:szCs w:val="26"/>
          <w:shd w:val="clear" w:color="auto" w:fill="FFFFFF"/>
        </w:rPr>
        <w:t xml:space="preserve">(§ 12022.7, </w:t>
      </w:r>
      <w:proofErr w:type="spellStart"/>
      <w:r w:rsidR="00EF5865" w:rsidRPr="00805ED0">
        <w:rPr>
          <w:szCs w:val="26"/>
          <w:shd w:val="clear" w:color="auto" w:fill="FFFFFF"/>
        </w:rPr>
        <w:t>subd</w:t>
      </w:r>
      <w:proofErr w:type="spellEnd"/>
      <w:r w:rsidR="00EF5865" w:rsidRPr="00805ED0">
        <w:rPr>
          <w:szCs w:val="26"/>
          <w:shd w:val="clear" w:color="auto" w:fill="FFFFFF"/>
        </w:rPr>
        <w:t xml:space="preserve">. (e)) and </w:t>
      </w:r>
      <w:r w:rsidR="004154CA" w:rsidRPr="00805ED0">
        <w:rPr>
          <w:szCs w:val="26"/>
          <w:shd w:val="clear" w:color="auto" w:fill="FFFFFF"/>
        </w:rPr>
        <w:t>“personally us[</w:t>
      </w:r>
      <w:proofErr w:type="spellStart"/>
      <w:r w:rsidR="004154CA" w:rsidRPr="00805ED0">
        <w:rPr>
          <w:szCs w:val="26"/>
          <w:shd w:val="clear" w:color="auto" w:fill="FFFFFF"/>
        </w:rPr>
        <w:t>ing</w:t>
      </w:r>
      <w:proofErr w:type="spellEnd"/>
      <w:r w:rsidR="004154CA" w:rsidRPr="00805ED0">
        <w:rPr>
          <w:szCs w:val="26"/>
          <w:shd w:val="clear" w:color="auto" w:fill="FFFFFF"/>
        </w:rPr>
        <w:t>] a firearm in the commission of a felony or attempted felony”</w:t>
      </w:r>
      <w:r w:rsidR="00A43F3E" w:rsidRPr="00805ED0">
        <w:rPr>
          <w:szCs w:val="26"/>
          <w:shd w:val="clear" w:color="auto" w:fill="FFFFFF"/>
        </w:rPr>
        <w:t xml:space="preserve"> (§ 12022.5, </w:t>
      </w:r>
      <w:proofErr w:type="spellStart"/>
      <w:r w:rsidR="00A43F3E" w:rsidRPr="00805ED0">
        <w:rPr>
          <w:szCs w:val="26"/>
          <w:shd w:val="clear" w:color="auto" w:fill="FFFFFF"/>
        </w:rPr>
        <w:t>subd</w:t>
      </w:r>
      <w:proofErr w:type="spellEnd"/>
      <w:r w:rsidR="00A43F3E" w:rsidRPr="00805ED0">
        <w:rPr>
          <w:szCs w:val="26"/>
          <w:shd w:val="clear" w:color="auto" w:fill="FFFFFF"/>
        </w:rPr>
        <w:t>. (a))</w:t>
      </w:r>
      <w:r w:rsidR="00535F8A" w:rsidRPr="00805ED0">
        <w:rPr>
          <w:szCs w:val="26"/>
          <w:shd w:val="clear" w:color="auto" w:fill="FFFFFF"/>
        </w:rPr>
        <w:t xml:space="preserve">.  </w:t>
      </w:r>
      <w:r w:rsidR="00400FF0" w:rsidRPr="00805ED0">
        <w:rPr>
          <w:rFonts w:cstheme="minorHAnsi"/>
          <w:szCs w:val="26"/>
          <w:shd w:val="clear" w:color="auto" w:fill="FFFFFF"/>
        </w:rPr>
        <w:t>W</w:t>
      </w:r>
      <w:r w:rsidR="005E5DF2" w:rsidRPr="00805ED0">
        <w:rPr>
          <w:rFonts w:cstheme="minorHAnsi"/>
          <w:szCs w:val="26"/>
          <w:shd w:val="clear" w:color="auto" w:fill="FFFFFF"/>
        </w:rPr>
        <w:t xml:space="preserve">e explained that </w:t>
      </w:r>
      <w:r w:rsidR="00BF290B" w:rsidRPr="00805ED0">
        <w:rPr>
          <w:rFonts w:cstheme="minorHAnsi"/>
          <w:szCs w:val="26"/>
          <w:shd w:val="clear" w:color="auto" w:fill="FFFFFF"/>
        </w:rPr>
        <w:t xml:space="preserve">the </w:t>
      </w:r>
      <w:r w:rsidR="005E5DF2" w:rsidRPr="00805ED0">
        <w:rPr>
          <w:rFonts w:cstheme="minorHAnsi"/>
          <w:szCs w:val="26"/>
          <w:shd w:val="clear" w:color="auto" w:fill="FFFFFF"/>
        </w:rPr>
        <w:t>sentence enhancements authorized under</w:t>
      </w:r>
      <w:r w:rsidR="00400FF0" w:rsidRPr="00805ED0">
        <w:rPr>
          <w:rFonts w:cstheme="minorHAnsi"/>
          <w:szCs w:val="26"/>
          <w:shd w:val="clear" w:color="auto" w:fill="FFFFFF"/>
        </w:rPr>
        <w:t xml:space="preserve"> </w:t>
      </w:r>
      <w:r w:rsidR="005E5DF2" w:rsidRPr="00805ED0">
        <w:rPr>
          <w:rFonts w:cstheme="minorHAnsi"/>
          <w:szCs w:val="26"/>
          <w:shd w:val="clear" w:color="auto" w:fill="FFFFFF"/>
        </w:rPr>
        <w:t>section</w:t>
      </w:r>
      <w:r w:rsidR="00F45FB8" w:rsidRPr="00805ED0">
        <w:rPr>
          <w:rFonts w:cstheme="minorHAnsi"/>
          <w:szCs w:val="26"/>
          <w:shd w:val="clear" w:color="auto" w:fill="FFFFFF"/>
        </w:rPr>
        <w:t>s</w:t>
      </w:r>
      <w:r w:rsidR="005E5DF2" w:rsidRPr="00805ED0">
        <w:rPr>
          <w:rFonts w:cstheme="minorHAnsi"/>
          <w:szCs w:val="26"/>
          <w:shd w:val="clear" w:color="auto" w:fill="FFFFFF"/>
        </w:rPr>
        <w:t xml:space="preserve"> 12022.</w:t>
      </w:r>
      <w:r w:rsidR="00F45FB8" w:rsidRPr="00805ED0">
        <w:rPr>
          <w:rFonts w:cstheme="minorHAnsi"/>
          <w:szCs w:val="26"/>
          <w:shd w:val="clear" w:color="auto" w:fill="FFFFFF"/>
        </w:rPr>
        <w:t xml:space="preserve">5 and 12022.7 </w:t>
      </w:r>
      <w:r w:rsidR="005E5DF2" w:rsidRPr="00805ED0">
        <w:rPr>
          <w:rFonts w:cstheme="minorHAnsi"/>
          <w:szCs w:val="26"/>
          <w:shd w:val="clear" w:color="auto" w:fill="FFFFFF"/>
        </w:rPr>
        <w:t xml:space="preserve">“arise from the </w:t>
      </w:r>
      <w:r w:rsidR="005E5DF2" w:rsidRPr="00805ED0">
        <w:rPr>
          <w:rFonts w:cstheme="minorHAnsi"/>
          <w:i/>
          <w:iCs/>
          <w:szCs w:val="26"/>
          <w:shd w:val="clear" w:color="auto" w:fill="FFFFFF"/>
        </w:rPr>
        <w:t>circumstances of the crime</w:t>
      </w:r>
      <w:r w:rsidR="005E5DF2" w:rsidRPr="00805ED0">
        <w:rPr>
          <w:rFonts w:cstheme="minorHAnsi"/>
          <w:szCs w:val="26"/>
          <w:shd w:val="clear" w:color="auto" w:fill="FFFFFF"/>
        </w:rPr>
        <w:t xml:space="preserve"> and typically focus on what the defendant did when the current offense was committed.”  (</w:t>
      </w:r>
      <w:r w:rsidR="00D654D6" w:rsidRPr="00805ED0">
        <w:rPr>
          <w:rFonts w:cstheme="minorHAnsi"/>
          <w:i/>
          <w:iCs/>
          <w:szCs w:val="26"/>
          <w:shd w:val="clear" w:color="auto" w:fill="FFFFFF"/>
        </w:rPr>
        <w:t>Ahmed</w:t>
      </w:r>
      <w:r w:rsidR="00D654D6" w:rsidRPr="00805ED0">
        <w:rPr>
          <w:rFonts w:cstheme="minorHAnsi"/>
          <w:szCs w:val="26"/>
          <w:shd w:val="clear" w:color="auto" w:fill="FFFFFF"/>
        </w:rPr>
        <w:t xml:space="preserve">, </w:t>
      </w:r>
      <w:r w:rsidR="00D654D6" w:rsidRPr="00805ED0">
        <w:rPr>
          <w:rFonts w:cstheme="minorHAnsi"/>
          <w:i/>
          <w:iCs/>
          <w:szCs w:val="26"/>
          <w:shd w:val="clear" w:color="auto" w:fill="FFFFFF"/>
        </w:rPr>
        <w:t>supra</w:t>
      </w:r>
      <w:r w:rsidR="00D654D6" w:rsidRPr="00805ED0">
        <w:rPr>
          <w:rFonts w:cstheme="minorHAnsi"/>
          <w:szCs w:val="26"/>
          <w:shd w:val="clear" w:color="auto" w:fill="FFFFFF"/>
        </w:rPr>
        <w:t>, 53</w:t>
      </w:r>
      <w:r w:rsidR="00C124C7" w:rsidRPr="00805ED0">
        <w:rPr>
          <w:rFonts w:cstheme="minorHAnsi"/>
          <w:szCs w:val="26"/>
          <w:shd w:val="clear" w:color="auto" w:fill="FFFFFF"/>
        </w:rPr>
        <w:t> </w:t>
      </w:r>
      <w:r w:rsidR="00D654D6" w:rsidRPr="00805ED0">
        <w:rPr>
          <w:rFonts w:cstheme="minorHAnsi"/>
          <w:szCs w:val="26"/>
          <w:shd w:val="clear" w:color="auto" w:fill="FFFFFF"/>
        </w:rPr>
        <w:t xml:space="preserve">Cal.4th </w:t>
      </w:r>
      <w:r w:rsidR="005E5DF2" w:rsidRPr="00805ED0">
        <w:rPr>
          <w:rFonts w:cstheme="minorHAnsi"/>
          <w:szCs w:val="26"/>
          <w:shd w:val="clear" w:color="auto" w:fill="FFFFFF"/>
        </w:rPr>
        <w:t xml:space="preserve">at p. 161.)  This </w:t>
      </w:r>
      <w:r w:rsidR="00D654D6" w:rsidRPr="00805ED0">
        <w:rPr>
          <w:rFonts w:cstheme="minorHAnsi"/>
          <w:szCs w:val="26"/>
          <w:shd w:val="clear" w:color="auto" w:fill="FFFFFF"/>
        </w:rPr>
        <w:t>indicates</w:t>
      </w:r>
      <w:r w:rsidR="005E5DF2" w:rsidRPr="00805ED0">
        <w:rPr>
          <w:rFonts w:cstheme="minorHAnsi"/>
          <w:szCs w:val="26"/>
          <w:shd w:val="clear" w:color="auto" w:fill="FFFFFF"/>
        </w:rPr>
        <w:t xml:space="preserve"> that </w:t>
      </w:r>
      <w:r w:rsidR="00D654D6" w:rsidRPr="00805ED0">
        <w:rPr>
          <w:rFonts w:cstheme="minorHAnsi"/>
          <w:szCs w:val="26"/>
          <w:shd w:val="clear" w:color="auto" w:fill="FFFFFF"/>
        </w:rPr>
        <w:t xml:space="preserve">the applicability of the </w:t>
      </w:r>
      <w:r w:rsidR="005E5DF2" w:rsidRPr="00805ED0">
        <w:rPr>
          <w:rFonts w:cstheme="minorHAnsi"/>
          <w:szCs w:val="26"/>
          <w:shd w:val="clear" w:color="auto" w:fill="FFFFFF"/>
        </w:rPr>
        <w:t xml:space="preserve">enhancements </w:t>
      </w:r>
      <w:r w:rsidR="00D654D6" w:rsidRPr="00805ED0">
        <w:rPr>
          <w:rFonts w:cstheme="minorHAnsi"/>
          <w:szCs w:val="26"/>
          <w:shd w:val="clear" w:color="auto" w:fill="FFFFFF"/>
        </w:rPr>
        <w:t>depends on</w:t>
      </w:r>
      <w:r w:rsidR="005E5DF2" w:rsidRPr="00805ED0">
        <w:rPr>
          <w:rFonts w:cstheme="minorHAnsi"/>
          <w:szCs w:val="26"/>
          <w:shd w:val="clear" w:color="auto" w:fill="FFFFFF"/>
        </w:rPr>
        <w:t xml:space="preserve"> the circumstances underlying the offense and the defendant’s actions in committing the crime.  </w:t>
      </w:r>
    </w:p>
    <w:p w14:paraId="750552C7" w14:textId="0AAF6736" w:rsidR="004D2228" w:rsidRPr="00805ED0" w:rsidRDefault="00240A91" w:rsidP="00805ED0">
      <w:pPr>
        <w:ind w:firstLine="720"/>
        <w:rPr>
          <w:rFonts w:cstheme="minorHAnsi"/>
          <w:szCs w:val="26"/>
          <w:shd w:val="clear" w:color="auto" w:fill="FFFFFF"/>
        </w:rPr>
      </w:pPr>
      <w:r w:rsidRPr="00805ED0">
        <w:rPr>
          <w:rFonts w:cstheme="minorHAnsi"/>
          <w:szCs w:val="26"/>
          <w:shd w:val="clear" w:color="auto" w:fill="FFFFFF"/>
        </w:rPr>
        <w:t xml:space="preserve">In </w:t>
      </w:r>
      <w:r w:rsidRPr="00805ED0">
        <w:rPr>
          <w:rFonts w:cstheme="minorHAnsi"/>
          <w:i/>
          <w:iCs/>
          <w:szCs w:val="26"/>
          <w:shd w:val="clear" w:color="auto" w:fill="FFFFFF"/>
        </w:rPr>
        <w:t>Modiri</w:t>
      </w:r>
      <w:r w:rsidRPr="00805ED0">
        <w:rPr>
          <w:rFonts w:cstheme="minorHAnsi"/>
          <w:szCs w:val="26"/>
          <w:shd w:val="clear" w:color="auto" w:fill="FFFFFF"/>
        </w:rPr>
        <w:t>, we construed the identical phrase “personally inflicts great bodily injury” in section 1192.7, subdivision (c)(8).  (</w:t>
      </w:r>
      <w:r w:rsidRPr="00805ED0">
        <w:rPr>
          <w:rFonts w:cstheme="minorHAnsi"/>
          <w:i/>
          <w:iCs/>
          <w:szCs w:val="26"/>
          <w:shd w:val="clear" w:color="auto" w:fill="FFFFFF"/>
        </w:rPr>
        <w:t>Modiri</w:t>
      </w:r>
      <w:r w:rsidRPr="00805ED0">
        <w:rPr>
          <w:rFonts w:cstheme="minorHAnsi"/>
          <w:szCs w:val="26"/>
          <w:shd w:val="clear" w:color="auto" w:fill="FFFFFF"/>
        </w:rPr>
        <w:t xml:space="preserve">, </w:t>
      </w:r>
      <w:r w:rsidRPr="00805ED0">
        <w:rPr>
          <w:rFonts w:cstheme="minorHAnsi"/>
          <w:i/>
          <w:iCs/>
          <w:szCs w:val="26"/>
          <w:shd w:val="clear" w:color="auto" w:fill="FFFFFF"/>
        </w:rPr>
        <w:t>supra</w:t>
      </w:r>
      <w:r w:rsidRPr="00805ED0">
        <w:rPr>
          <w:rFonts w:cstheme="minorHAnsi"/>
          <w:szCs w:val="26"/>
          <w:shd w:val="clear" w:color="auto" w:fill="FFFFFF"/>
        </w:rPr>
        <w:t>, 39 Cal.4th at pp. 493–494.)  We explained that in the context of an assault conviction, personal infliction “calls for the defendant to administer a blow or other force to the victim” and “for the defendant to do so directly rather than through an intermediary.”  (</w:t>
      </w:r>
      <w:r w:rsidRPr="00805ED0">
        <w:rPr>
          <w:rFonts w:cstheme="minorHAnsi"/>
          <w:i/>
          <w:iCs/>
          <w:szCs w:val="26"/>
          <w:shd w:val="clear" w:color="auto" w:fill="FFFFFF"/>
        </w:rPr>
        <w:t>Id.</w:t>
      </w:r>
      <w:r w:rsidRPr="00805ED0">
        <w:rPr>
          <w:rFonts w:cstheme="minorHAnsi"/>
          <w:szCs w:val="26"/>
          <w:shd w:val="clear" w:color="auto" w:fill="FFFFFF"/>
        </w:rPr>
        <w:t xml:space="preserve"> at p. 493.)  “[T]he defendant’s role in both the physical attack and the infliction of great bodily injury cannot be minor, trivial, or insubstantial.”  (</w:t>
      </w:r>
      <w:r w:rsidRPr="00805ED0">
        <w:rPr>
          <w:rFonts w:cstheme="minorHAnsi"/>
          <w:i/>
          <w:iCs/>
          <w:szCs w:val="26"/>
          <w:shd w:val="clear" w:color="auto" w:fill="FFFFFF"/>
        </w:rPr>
        <w:t>Id.</w:t>
      </w:r>
      <w:r w:rsidRPr="00805ED0">
        <w:rPr>
          <w:rFonts w:cstheme="minorHAnsi"/>
          <w:szCs w:val="26"/>
          <w:shd w:val="clear" w:color="auto" w:fill="FFFFFF"/>
        </w:rPr>
        <w:t xml:space="preserve"> at p. 494.)  Such determinations regarding a defendant’s role in </w:t>
      </w:r>
      <w:r w:rsidR="00B95FA6" w:rsidRPr="00805ED0">
        <w:rPr>
          <w:rFonts w:cstheme="minorHAnsi"/>
          <w:szCs w:val="26"/>
          <w:shd w:val="clear" w:color="auto" w:fill="FFFFFF"/>
        </w:rPr>
        <w:t>the</w:t>
      </w:r>
      <w:r w:rsidRPr="00805ED0">
        <w:rPr>
          <w:rFonts w:cstheme="minorHAnsi"/>
          <w:szCs w:val="26"/>
          <w:shd w:val="clear" w:color="auto" w:fill="FFFFFF"/>
        </w:rPr>
        <w:t xml:space="preserve"> physical attack and resulting injury cannot be made from a defendant’s assault conviction alone.  Instead, </w:t>
      </w:r>
      <w:r w:rsidR="00D654D6" w:rsidRPr="00805ED0">
        <w:rPr>
          <w:rFonts w:cstheme="minorHAnsi"/>
          <w:szCs w:val="26"/>
          <w:shd w:val="clear" w:color="auto" w:fill="FFFFFF"/>
        </w:rPr>
        <w:t xml:space="preserve">the factfinder </w:t>
      </w:r>
      <w:r w:rsidRPr="00805ED0">
        <w:rPr>
          <w:rFonts w:cstheme="minorHAnsi"/>
          <w:szCs w:val="26"/>
          <w:shd w:val="clear" w:color="auto" w:fill="FFFFFF"/>
        </w:rPr>
        <w:t xml:space="preserve">must examine the circumstances underlying the conviction.  (See </w:t>
      </w:r>
      <w:r w:rsidRPr="00805ED0">
        <w:rPr>
          <w:rFonts w:cstheme="minorHAnsi"/>
          <w:i/>
          <w:iCs/>
          <w:szCs w:val="26"/>
          <w:shd w:val="clear" w:color="auto" w:fill="FFFFFF"/>
        </w:rPr>
        <w:t>People v. Corona</w:t>
      </w:r>
      <w:r w:rsidRPr="00805ED0">
        <w:rPr>
          <w:rFonts w:cstheme="minorHAnsi"/>
          <w:szCs w:val="26"/>
          <w:shd w:val="clear" w:color="auto" w:fill="FFFFFF"/>
        </w:rPr>
        <w:t xml:space="preserve"> (1989) 213 Cal.App.3d 589, 594 [examining “the conduct of [defendant] during the attack” to </w:t>
      </w:r>
      <w:r w:rsidRPr="00805ED0">
        <w:rPr>
          <w:rFonts w:cstheme="minorHAnsi"/>
          <w:szCs w:val="26"/>
          <w:shd w:val="clear" w:color="auto" w:fill="FFFFFF"/>
        </w:rPr>
        <w:lastRenderedPageBreak/>
        <w:t xml:space="preserve">determine whether there was sufficient evidence to support the finding </w:t>
      </w:r>
      <w:r w:rsidR="00E07DB5" w:rsidRPr="00805ED0">
        <w:rPr>
          <w:rFonts w:cstheme="minorHAnsi"/>
          <w:szCs w:val="26"/>
          <w:shd w:val="clear" w:color="auto" w:fill="FFFFFF"/>
        </w:rPr>
        <w:t xml:space="preserve">that </w:t>
      </w:r>
      <w:r w:rsidRPr="00805ED0">
        <w:rPr>
          <w:rFonts w:cstheme="minorHAnsi"/>
          <w:szCs w:val="26"/>
          <w:shd w:val="clear" w:color="auto" w:fill="FFFFFF"/>
        </w:rPr>
        <w:t xml:space="preserve">he personally inflicted the victim’s injury]; </w:t>
      </w:r>
      <w:r w:rsidRPr="00805ED0">
        <w:rPr>
          <w:rFonts w:cstheme="minorHAnsi"/>
          <w:i/>
          <w:iCs/>
          <w:szCs w:val="26"/>
          <w:shd w:val="clear" w:color="auto" w:fill="FFFFFF"/>
        </w:rPr>
        <w:t>People v. Valenzuela</w:t>
      </w:r>
      <w:r w:rsidRPr="00805ED0">
        <w:rPr>
          <w:rFonts w:cstheme="minorHAnsi"/>
          <w:szCs w:val="26"/>
          <w:shd w:val="clear" w:color="auto" w:fill="FFFFFF"/>
        </w:rPr>
        <w:t xml:space="preserve"> (2010) 191 Cal.App.4th 316, 323</w:t>
      </w:r>
      <w:r w:rsidR="009A7E49" w:rsidRPr="00805ED0">
        <w:rPr>
          <w:rFonts w:cstheme="minorHAnsi"/>
          <w:szCs w:val="26"/>
          <w:shd w:val="clear" w:color="auto" w:fill="FFFFFF"/>
        </w:rPr>
        <w:t xml:space="preserve"> (</w:t>
      </w:r>
      <w:r w:rsidR="009A7E49" w:rsidRPr="00805ED0">
        <w:rPr>
          <w:rFonts w:cstheme="minorHAnsi"/>
          <w:i/>
          <w:iCs/>
          <w:szCs w:val="26"/>
          <w:shd w:val="clear" w:color="auto" w:fill="FFFFFF"/>
        </w:rPr>
        <w:t>Valenzuela</w:t>
      </w:r>
      <w:r w:rsidR="009A7E49" w:rsidRPr="00805ED0">
        <w:rPr>
          <w:rFonts w:cstheme="minorHAnsi"/>
          <w:szCs w:val="26"/>
          <w:shd w:val="clear" w:color="auto" w:fill="FFFFFF"/>
        </w:rPr>
        <w:t>)</w:t>
      </w:r>
      <w:r w:rsidRPr="00805ED0">
        <w:rPr>
          <w:rFonts w:cstheme="minorHAnsi"/>
          <w:szCs w:val="26"/>
          <w:shd w:val="clear" w:color="auto" w:fill="FFFFFF"/>
        </w:rPr>
        <w:t xml:space="preserve"> [“Without additional facts regarding the crime,” defendant’s “bare plea” to reckless driving that proximately causes great bodily injury </w:t>
      </w:r>
      <w:r w:rsidR="007D4768" w:rsidRPr="00805ED0">
        <w:rPr>
          <w:rFonts w:cstheme="minorHAnsi"/>
          <w:szCs w:val="26"/>
          <w:shd w:val="clear" w:color="auto" w:fill="FFFFFF"/>
        </w:rPr>
        <w:t>(</w:t>
      </w:r>
      <w:proofErr w:type="spellStart"/>
      <w:r w:rsidR="007D4768" w:rsidRPr="00805ED0">
        <w:rPr>
          <w:rFonts w:cstheme="minorHAnsi"/>
          <w:szCs w:val="26"/>
          <w:shd w:val="clear" w:color="auto" w:fill="FFFFFF"/>
        </w:rPr>
        <w:t>Veh</w:t>
      </w:r>
      <w:proofErr w:type="spellEnd"/>
      <w:r w:rsidR="007D4768" w:rsidRPr="00805ED0">
        <w:rPr>
          <w:rFonts w:cstheme="minorHAnsi"/>
          <w:szCs w:val="26"/>
          <w:shd w:val="clear" w:color="auto" w:fill="FFFFFF"/>
        </w:rPr>
        <w:t xml:space="preserve">. Code, § 23104, </w:t>
      </w:r>
      <w:proofErr w:type="spellStart"/>
      <w:r w:rsidR="007D4768" w:rsidRPr="00805ED0">
        <w:rPr>
          <w:rFonts w:cstheme="minorHAnsi"/>
          <w:szCs w:val="26"/>
          <w:shd w:val="clear" w:color="auto" w:fill="FFFFFF"/>
        </w:rPr>
        <w:t>subd</w:t>
      </w:r>
      <w:proofErr w:type="spellEnd"/>
      <w:r w:rsidR="007D4768" w:rsidRPr="00805ED0">
        <w:rPr>
          <w:rFonts w:cstheme="minorHAnsi"/>
          <w:szCs w:val="26"/>
          <w:shd w:val="clear" w:color="auto" w:fill="FFFFFF"/>
        </w:rPr>
        <w:t>. (b))</w:t>
      </w:r>
      <w:r w:rsidR="006A78B2" w:rsidRPr="00805ED0">
        <w:rPr>
          <w:rFonts w:cstheme="minorHAnsi"/>
          <w:szCs w:val="26"/>
          <w:shd w:val="clear" w:color="auto" w:fill="FFFFFF"/>
        </w:rPr>
        <w:t xml:space="preserve"> </w:t>
      </w:r>
      <w:r w:rsidRPr="00805ED0">
        <w:rPr>
          <w:rFonts w:cstheme="minorHAnsi"/>
          <w:szCs w:val="26"/>
          <w:shd w:val="clear" w:color="auto" w:fill="FFFFFF"/>
        </w:rPr>
        <w:t>“does not prove he personally inflicted great bodily injury on his victims.”].)</w:t>
      </w:r>
      <w:r w:rsidR="00F30111" w:rsidRPr="00805ED0">
        <w:rPr>
          <w:rFonts w:cstheme="minorHAnsi"/>
          <w:szCs w:val="26"/>
          <w:shd w:val="clear" w:color="auto" w:fill="FFFFFF"/>
        </w:rPr>
        <w:t xml:space="preserve">  </w:t>
      </w:r>
    </w:p>
    <w:p w14:paraId="477ECA82" w14:textId="29D54F88" w:rsidR="00240A91" w:rsidRPr="00805ED0" w:rsidRDefault="00D654D6" w:rsidP="00805ED0">
      <w:pPr>
        <w:ind w:firstLine="720"/>
        <w:rPr>
          <w:rFonts w:cstheme="minorHAnsi"/>
          <w:szCs w:val="26"/>
          <w:shd w:val="clear" w:color="auto" w:fill="FFFFFF"/>
        </w:rPr>
      </w:pPr>
      <w:r w:rsidRPr="00805ED0">
        <w:rPr>
          <w:rFonts w:cstheme="minorHAnsi"/>
          <w:szCs w:val="26"/>
          <w:shd w:val="clear" w:color="auto" w:fill="FFFFFF"/>
        </w:rPr>
        <w:t>L</w:t>
      </w:r>
      <w:r w:rsidR="00240A91" w:rsidRPr="00805ED0">
        <w:rPr>
          <w:rFonts w:cstheme="minorHAnsi"/>
          <w:szCs w:val="26"/>
          <w:shd w:val="clear" w:color="auto" w:fill="FFFFFF"/>
        </w:rPr>
        <w:t xml:space="preserve">egislative </w:t>
      </w:r>
      <w:r w:rsidRPr="00805ED0">
        <w:rPr>
          <w:rFonts w:cstheme="minorHAnsi"/>
          <w:szCs w:val="26"/>
          <w:shd w:val="clear" w:color="auto" w:fill="FFFFFF"/>
        </w:rPr>
        <w:t xml:space="preserve">history </w:t>
      </w:r>
      <w:r w:rsidR="00240A91" w:rsidRPr="00805ED0">
        <w:rPr>
          <w:rFonts w:cstheme="minorHAnsi"/>
          <w:szCs w:val="26"/>
          <w:shd w:val="clear" w:color="auto" w:fill="FFFFFF"/>
        </w:rPr>
        <w:t>also counsels against the broad application of section 12022.7</w:t>
      </w:r>
      <w:r w:rsidR="009C1918" w:rsidRPr="00805ED0">
        <w:rPr>
          <w:rFonts w:cstheme="minorHAnsi"/>
          <w:szCs w:val="26"/>
          <w:shd w:val="clear" w:color="auto" w:fill="FFFFFF"/>
        </w:rPr>
        <w:t>, subdivision (a)</w:t>
      </w:r>
      <w:r w:rsidR="00240A91" w:rsidRPr="00805ED0">
        <w:rPr>
          <w:rFonts w:cstheme="minorHAnsi"/>
          <w:szCs w:val="26"/>
          <w:shd w:val="clear" w:color="auto" w:fill="FFFFFF"/>
        </w:rPr>
        <w:t xml:space="preserve"> to all defendants whose furnishing of drugs results in great bodily injury.  In 1977, the Legislature amended section 12022.7 </w:t>
      </w:r>
      <w:r w:rsidRPr="00805ED0">
        <w:rPr>
          <w:rFonts w:cstheme="minorHAnsi"/>
          <w:szCs w:val="26"/>
          <w:shd w:val="clear" w:color="auto" w:fill="FFFFFF"/>
        </w:rPr>
        <w:t xml:space="preserve">by </w:t>
      </w:r>
      <w:r w:rsidR="00240A91" w:rsidRPr="00805ED0">
        <w:rPr>
          <w:rFonts w:cstheme="minorHAnsi"/>
          <w:szCs w:val="26"/>
          <w:shd w:val="clear" w:color="auto" w:fill="FFFFFF"/>
        </w:rPr>
        <w:t>add</w:t>
      </w:r>
      <w:r w:rsidRPr="00805ED0">
        <w:rPr>
          <w:rFonts w:cstheme="minorHAnsi"/>
          <w:szCs w:val="26"/>
          <w:shd w:val="clear" w:color="auto" w:fill="FFFFFF"/>
        </w:rPr>
        <w:t>ing</w:t>
      </w:r>
      <w:r w:rsidR="00240A91" w:rsidRPr="00805ED0">
        <w:rPr>
          <w:rFonts w:cstheme="minorHAnsi"/>
          <w:szCs w:val="26"/>
          <w:shd w:val="clear" w:color="auto" w:fill="FFFFFF"/>
        </w:rPr>
        <w:t xml:space="preserve"> the </w:t>
      </w:r>
      <w:r w:rsidRPr="00805ED0">
        <w:rPr>
          <w:rFonts w:cstheme="minorHAnsi"/>
          <w:szCs w:val="26"/>
          <w:shd w:val="clear" w:color="auto" w:fill="FFFFFF"/>
        </w:rPr>
        <w:t xml:space="preserve">term </w:t>
      </w:r>
      <w:r w:rsidR="00240A91" w:rsidRPr="00805ED0">
        <w:rPr>
          <w:rFonts w:cstheme="minorHAnsi"/>
          <w:szCs w:val="26"/>
          <w:shd w:val="clear" w:color="auto" w:fill="FFFFFF"/>
        </w:rPr>
        <w:t xml:space="preserve">“personally” </w:t>
      </w:r>
      <w:r w:rsidRPr="00805ED0">
        <w:rPr>
          <w:rFonts w:cstheme="minorHAnsi"/>
          <w:szCs w:val="26"/>
          <w:shd w:val="clear" w:color="auto" w:fill="FFFFFF"/>
        </w:rPr>
        <w:t>before the word “inflicts</w:t>
      </w:r>
      <w:r w:rsidR="00240A91" w:rsidRPr="00805ED0">
        <w:rPr>
          <w:rFonts w:cstheme="minorHAnsi"/>
          <w:szCs w:val="26"/>
          <w:shd w:val="clear" w:color="auto" w:fill="FFFFFF"/>
        </w:rPr>
        <w:t>.</w:t>
      </w:r>
      <w:r w:rsidRPr="00805ED0">
        <w:rPr>
          <w:rFonts w:cstheme="minorHAnsi"/>
          <w:szCs w:val="26"/>
          <w:shd w:val="clear" w:color="auto" w:fill="FFFFFF"/>
        </w:rPr>
        <w:t>”</w:t>
      </w:r>
      <w:r w:rsidR="00240A91" w:rsidRPr="00805ED0">
        <w:rPr>
          <w:rFonts w:cstheme="minorHAnsi"/>
          <w:szCs w:val="26"/>
          <w:shd w:val="clear" w:color="auto" w:fill="FFFFFF"/>
        </w:rPr>
        <w:t xml:space="preserve">  (Stats. 1977, </w:t>
      </w:r>
      <w:proofErr w:type="spellStart"/>
      <w:r w:rsidR="00240A91" w:rsidRPr="00805ED0">
        <w:rPr>
          <w:rFonts w:cstheme="minorHAnsi"/>
          <w:szCs w:val="26"/>
          <w:shd w:val="clear" w:color="auto" w:fill="FFFFFF"/>
        </w:rPr>
        <w:t>ch.</w:t>
      </w:r>
      <w:proofErr w:type="spellEnd"/>
      <w:r w:rsidR="00406D31">
        <w:rPr>
          <w:rFonts w:cstheme="minorHAnsi"/>
          <w:szCs w:val="26"/>
          <w:shd w:val="clear" w:color="auto" w:fill="FFFFFF"/>
        </w:rPr>
        <w:t> </w:t>
      </w:r>
      <w:r w:rsidR="00240A91" w:rsidRPr="00805ED0">
        <w:rPr>
          <w:rFonts w:cstheme="minorHAnsi"/>
          <w:szCs w:val="26"/>
          <w:shd w:val="clear" w:color="auto" w:fill="FFFFFF"/>
        </w:rPr>
        <w:t xml:space="preserve">165, </w:t>
      </w:r>
      <w:r w:rsidR="00240A91" w:rsidRPr="000448AD">
        <w:rPr>
          <w:rFonts w:cstheme="minorHAnsi"/>
          <w:szCs w:val="26"/>
          <w:shd w:val="clear" w:color="auto" w:fill="FFFFFF"/>
        </w:rPr>
        <w:t>§ 94</w:t>
      </w:r>
      <w:r w:rsidR="00240A91" w:rsidRPr="00805ED0">
        <w:rPr>
          <w:rFonts w:cstheme="minorHAnsi"/>
          <w:szCs w:val="26"/>
          <w:shd w:val="clear" w:color="auto" w:fill="FFFFFF"/>
        </w:rPr>
        <w:t>, eff. June 29, 1977</w:t>
      </w:r>
      <w:r w:rsidR="007270E7" w:rsidRPr="00805ED0">
        <w:rPr>
          <w:rFonts w:cstheme="minorHAnsi"/>
          <w:szCs w:val="26"/>
          <w:shd w:val="clear" w:color="auto" w:fill="FFFFFF"/>
        </w:rPr>
        <w:t xml:space="preserve">; </w:t>
      </w:r>
      <w:r w:rsidR="006E46CD" w:rsidRPr="00805ED0">
        <w:rPr>
          <w:rFonts w:cstheme="minorHAnsi"/>
          <w:szCs w:val="26"/>
          <w:shd w:val="clear" w:color="auto" w:fill="FFFFFF"/>
        </w:rPr>
        <w:t xml:space="preserve">see </w:t>
      </w:r>
      <w:r w:rsidR="00E042FD">
        <w:rPr>
          <w:rStyle w:val="Emphasis"/>
          <w:rFonts w:cstheme="minorHAnsi"/>
          <w:szCs w:val="26"/>
          <w:bdr w:val="none" w:sz="0" w:space="0" w:color="auto" w:frame="1"/>
          <w:shd w:val="clear" w:color="auto" w:fill="FFFFFF"/>
        </w:rPr>
        <w:t>Criminal Procedure</w:t>
      </w:r>
      <w:r w:rsidR="007270E7" w:rsidRPr="00805ED0">
        <w:rPr>
          <w:rFonts w:cstheme="minorHAnsi"/>
          <w:szCs w:val="26"/>
          <w:shd w:val="clear" w:color="auto" w:fill="FFFFFF"/>
        </w:rPr>
        <w:t> (1978) 9 Pacific L.J. 281, 472</w:t>
      </w:r>
      <w:r w:rsidR="0083193E" w:rsidRPr="00805ED0">
        <w:rPr>
          <w:rFonts w:cstheme="minorHAnsi"/>
          <w:szCs w:val="26"/>
          <w:shd w:val="clear" w:color="auto" w:fill="FFFFFF"/>
        </w:rPr>
        <w:t xml:space="preserve"> [“</w:t>
      </w:r>
      <w:r w:rsidR="00326AF6" w:rsidRPr="00805ED0">
        <w:rPr>
          <w:rFonts w:cstheme="minorHAnsi"/>
          <w:szCs w:val="26"/>
          <w:shd w:val="clear" w:color="auto" w:fill="FFFFFF"/>
        </w:rPr>
        <w:t xml:space="preserve">Section 12022.7 now clearly requires that in order for the </w:t>
      </w:r>
      <w:proofErr w:type="gramStart"/>
      <w:r w:rsidR="00326AF6" w:rsidRPr="00805ED0">
        <w:rPr>
          <w:rFonts w:cstheme="minorHAnsi"/>
          <w:szCs w:val="26"/>
          <w:shd w:val="clear" w:color="auto" w:fill="FFFFFF"/>
        </w:rPr>
        <w:t>three year</w:t>
      </w:r>
      <w:proofErr w:type="gramEnd"/>
      <w:r w:rsidR="00326AF6" w:rsidRPr="00805ED0">
        <w:rPr>
          <w:rFonts w:cstheme="minorHAnsi"/>
          <w:szCs w:val="26"/>
          <w:shd w:val="clear" w:color="auto" w:fill="FFFFFF"/>
        </w:rPr>
        <w:t xml:space="preserve"> enhancement to apply, the ‘great bodily injury’ must be personally inflicted by the defendant</w:t>
      </w:r>
      <w:r w:rsidR="00406D31">
        <w:rPr>
          <w:rFonts w:cstheme="minorHAnsi"/>
          <w:szCs w:val="26"/>
          <w:shd w:val="clear" w:color="auto" w:fill="FFFFFF"/>
        </w:rPr>
        <w:t>.</w:t>
      </w:r>
      <w:r w:rsidR="00326AF6" w:rsidRPr="00805ED0">
        <w:rPr>
          <w:rFonts w:cstheme="minorHAnsi"/>
          <w:szCs w:val="26"/>
          <w:shd w:val="clear" w:color="auto" w:fill="FFFFFF"/>
        </w:rPr>
        <w:t>”</w:t>
      </w:r>
      <w:r w:rsidR="006E46CD" w:rsidRPr="00805ED0">
        <w:rPr>
          <w:rFonts w:cstheme="minorHAnsi"/>
          <w:szCs w:val="26"/>
          <w:shd w:val="clear" w:color="auto" w:fill="FFFFFF"/>
        </w:rPr>
        <w:t>].</w:t>
      </w:r>
      <w:r w:rsidR="00E622D7" w:rsidRPr="00805ED0">
        <w:rPr>
          <w:rFonts w:cstheme="minorHAnsi"/>
          <w:szCs w:val="26"/>
          <w:shd w:val="clear" w:color="auto" w:fill="FFFFFF"/>
        </w:rPr>
        <w:t xml:space="preserve">)  </w:t>
      </w:r>
      <w:r w:rsidR="00240A91" w:rsidRPr="00805ED0">
        <w:rPr>
          <w:rFonts w:cstheme="minorHAnsi"/>
          <w:szCs w:val="26"/>
          <w:shd w:val="clear" w:color="auto" w:fill="FFFFFF"/>
        </w:rPr>
        <w:t xml:space="preserve">“[T]he Legislature intended the designation ‘personally’ to limit the category of persons subject to the enhancement” such that </w:t>
      </w:r>
      <w:r w:rsidR="00E042FD">
        <w:rPr>
          <w:rFonts w:cstheme="minorHAnsi"/>
          <w:szCs w:val="26"/>
          <w:shd w:val="clear" w:color="auto" w:fill="FFFFFF"/>
        </w:rPr>
        <w:t xml:space="preserve">an </w:t>
      </w:r>
      <w:r w:rsidR="00240A91" w:rsidRPr="00805ED0">
        <w:rPr>
          <w:rFonts w:cstheme="minorHAnsi"/>
          <w:szCs w:val="26"/>
          <w:shd w:val="clear" w:color="auto" w:fill="FFFFFF"/>
        </w:rPr>
        <w:t>additional penalty for causing great bodily injury is imposed “only on those principals who perform the act that directly inflicts the injury.”  (</w:t>
      </w:r>
      <w:r w:rsidR="00771CBA" w:rsidRPr="00805ED0">
        <w:rPr>
          <w:rFonts w:cstheme="minorHAnsi"/>
          <w:i/>
          <w:iCs/>
          <w:szCs w:val="26"/>
          <w:shd w:val="clear" w:color="auto" w:fill="FFFFFF"/>
        </w:rPr>
        <w:t>Cole</w:t>
      </w:r>
      <w:r w:rsidR="00771CBA" w:rsidRPr="00805ED0">
        <w:rPr>
          <w:rFonts w:cstheme="minorHAnsi"/>
          <w:szCs w:val="26"/>
          <w:shd w:val="clear" w:color="auto" w:fill="FFFFFF"/>
        </w:rPr>
        <w:t>,</w:t>
      </w:r>
      <w:r w:rsidR="00103B70" w:rsidRPr="00805ED0">
        <w:rPr>
          <w:rFonts w:cstheme="minorHAnsi"/>
          <w:szCs w:val="26"/>
          <w:shd w:val="clear" w:color="auto" w:fill="FFFFFF"/>
        </w:rPr>
        <w:t xml:space="preserve"> </w:t>
      </w:r>
      <w:r w:rsidR="00103B70" w:rsidRPr="00805ED0">
        <w:rPr>
          <w:rFonts w:cstheme="minorHAnsi"/>
          <w:i/>
          <w:iCs/>
          <w:szCs w:val="26"/>
          <w:shd w:val="clear" w:color="auto" w:fill="FFFFFF"/>
        </w:rPr>
        <w:t>supra</w:t>
      </w:r>
      <w:r w:rsidR="00103B70" w:rsidRPr="00805ED0">
        <w:rPr>
          <w:rFonts w:cstheme="minorHAnsi"/>
          <w:szCs w:val="26"/>
          <w:shd w:val="clear" w:color="auto" w:fill="FFFFFF"/>
        </w:rPr>
        <w:t xml:space="preserve">, </w:t>
      </w:r>
      <w:r w:rsidR="00F17C1D" w:rsidRPr="00805ED0">
        <w:rPr>
          <w:rFonts w:cstheme="minorHAnsi"/>
          <w:szCs w:val="26"/>
          <w:shd w:val="clear" w:color="auto" w:fill="FFFFFF"/>
        </w:rPr>
        <w:t>31 Cal.3d</w:t>
      </w:r>
      <w:r w:rsidR="00240A91" w:rsidRPr="00805ED0">
        <w:rPr>
          <w:rFonts w:cstheme="minorHAnsi"/>
          <w:szCs w:val="26"/>
          <w:shd w:val="clear" w:color="auto" w:fill="FFFFFF"/>
        </w:rPr>
        <w:t xml:space="preserve"> at p. 571.)  “[O]ne who merely aids, abets, or directs another to inflict the physical injury is not subject to the enhanced penalty of </w:t>
      </w:r>
      <w:r w:rsidR="00240A91" w:rsidRPr="00805ED0">
        <w:rPr>
          <w:rFonts w:cstheme="minorHAnsi"/>
          <w:szCs w:val="26"/>
          <w:bdr w:val="none" w:sz="0" w:space="0" w:color="auto" w:frame="1"/>
          <w:shd w:val="clear" w:color="auto" w:fill="FFFFFF"/>
        </w:rPr>
        <w:t>section 12022.7</w:t>
      </w:r>
      <w:r w:rsidR="00240A91" w:rsidRPr="00805ED0">
        <w:rPr>
          <w:rFonts w:cstheme="minorHAnsi"/>
          <w:szCs w:val="26"/>
          <w:shd w:val="clear" w:color="auto" w:fill="FFFFFF"/>
        </w:rPr>
        <w:t>.”  (</w:t>
      </w:r>
      <w:r w:rsidR="00240A91" w:rsidRPr="00805ED0">
        <w:rPr>
          <w:rFonts w:cstheme="minorHAnsi"/>
          <w:i/>
          <w:iCs/>
          <w:szCs w:val="26"/>
          <w:shd w:val="clear" w:color="auto" w:fill="FFFFFF"/>
        </w:rPr>
        <w:t>I</w:t>
      </w:r>
      <w:r w:rsidR="00E042FD">
        <w:rPr>
          <w:rFonts w:cstheme="minorHAnsi"/>
          <w:i/>
          <w:iCs/>
          <w:szCs w:val="26"/>
          <w:shd w:val="clear" w:color="auto" w:fill="FFFFFF"/>
        </w:rPr>
        <w:t>bi</w:t>
      </w:r>
      <w:r w:rsidR="00240A91" w:rsidRPr="00805ED0">
        <w:rPr>
          <w:rFonts w:cstheme="minorHAnsi"/>
          <w:i/>
          <w:iCs/>
          <w:szCs w:val="26"/>
          <w:shd w:val="clear" w:color="auto" w:fill="FFFFFF"/>
        </w:rPr>
        <w:t>d.</w:t>
      </w:r>
      <w:r w:rsidR="00240A91" w:rsidRPr="00805ED0">
        <w:rPr>
          <w:rFonts w:cstheme="minorHAnsi"/>
          <w:szCs w:val="26"/>
          <w:shd w:val="clear" w:color="auto" w:fill="FFFFFF"/>
        </w:rPr>
        <w:t xml:space="preserve">)  The 1977 amendment expresses a legislative intent to endorse a </w:t>
      </w:r>
      <w:r w:rsidR="004A1FE5" w:rsidRPr="00805ED0">
        <w:rPr>
          <w:rFonts w:cstheme="minorHAnsi"/>
          <w:szCs w:val="26"/>
          <w:shd w:val="clear" w:color="auto" w:fill="FFFFFF"/>
        </w:rPr>
        <w:t>“</w:t>
      </w:r>
      <w:r w:rsidR="00240A91" w:rsidRPr="00805ED0">
        <w:rPr>
          <w:rFonts w:cstheme="minorHAnsi"/>
          <w:szCs w:val="26"/>
          <w:shd w:val="clear" w:color="auto" w:fill="FFFFFF"/>
        </w:rPr>
        <w:t>restricted definition of the class of individuals subject to the enhanced penalty for the infliction of great bodily injury.”  (</w:t>
      </w:r>
      <w:r w:rsidR="00240A91" w:rsidRPr="00805ED0">
        <w:rPr>
          <w:rFonts w:cstheme="minorHAnsi"/>
          <w:i/>
          <w:iCs/>
          <w:szCs w:val="26"/>
          <w:shd w:val="clear" w:color="auto" w:fill="FFFFFF"/>
        </w:rPr>
        <w:t>I</w:t>
      </w:r>
      <w:r w:rsidR="00585C46" w:rsidRPr="00805ED0">
        <w:rPr>
          <w:rFonts w:cstheme="minorHAnsi"/>
          <w:i/>
          <w:iCs/>
          <w:szCs w:val="26"/>
          <w:shd w:val="clear" w:color="auto" w:fill="FFFFFF"/>
        </w:rPr>
        <w:t>d</w:t>
      </w:r>
      <w:r w:rsidR="00240A91" w:rsidRPr="00805ED0">
        <w:rPr>
          <w:rFonts w:cstheme="minorHAnsi"/>
          <w:szCs w:val="26"/>
          <w:shd w:val="clear" w:color="auto" w:fill="FFFFFF"/>
        </w:rPr>
        <w:t>.</w:t>
      </w:r>
      <w:r w:rsidR="00E042FD">
        <w:rPr>
          <w:rFonts w:cstheme="minorHAnsi"/>
          <w:szCs w:val="26"/>
          <w:shd w:val="clear" w:color="auto" w:fill="FFFFFF"/>
        </w:rPr>
        <w:t xml:space="preserve"> at p. 579.</w:t>
      </w:r>
      <w:r w:rsidR="00240A91" w:rsidRPr="00805ED0">
        <w:rPr>
          <w:rFonts w:cstheme="minorHAnsi"/>
          <w:szCs w:val="26"/>
          <w:shd w:val="clear" w:color="auto" w:fill="FFFFFF"/>
        </w:rPr>
        <w:t>)</w:t>
      </w:r>
    </w:p>
    <w:p w14:paraId="61E7E027" w14:textId="53EA9423" w:rsidR="00341055" w:rsidRPr="00805ED0" w:rsidRDefault="003A4E02" w:rsidP="00805ED0">
      <w:pPr>
        <w:ind w:firstLine="720"/>
        <w:rPr>
          <w:rFonts w:cstheme="minorHAnsi"/>
          <w:szCs w:val="26"/>
          <w:shd w:val="clear" w:color="auto" w:fill="FFFFFF"/>
        </w:rPr>
      </w:pPr>
      <w:r w:rsidRPr="00805ED0">
        <w:rPr>
          <w:rFonts w:cstheme="minorHAnsi"/>
          <w:szCs w:val="26"/>
          <w:shd w:val="clear" w:color="auto" w:fill="FFFFFF"/>
        </w:rPr>
        <w:t xml:space="preserve">Furnishing a controlled substance may take many different forms, and </w:t>
      </w:r>
      <w:r w:rsidR="003A6BE8" w:rsidRPr="00805ED0">
        <w:rPr>
          <w:rFonts w:cstheme="minorHAnsi"/>
          <w:szCs w:val="26"/>
          <w:shd w:val="clear" w:color="auto" w:fill="FFFFFF"/>
        </w:rPr>
        <w:t>not all</w:t>
      </w:r>
      <w:r w:rsidRPr="00805ED0">
        <w:rPr>
          <w:rFonts w:cstheme="minorHAnsi"/>
          <w:szCs w:val="26"/>
          <w:shd w:val="clear" w:color="auto" w:fill="FFFFFF"/>
        </w:rPr>
        <w:t xml:space="preserve"> furnishers </w:t>
      </w:r>
      <w:r w:rsidR="0094469A" w:rsidRPr="00805ED0">
        <w:rPr>
          <w:rFonts w:cstheme="minorHAnsi"/>
          <w:szCs w:val="26"/>
          <w:shd w:val="clear" w:color="auto" w:fill="FFFFFF"/>
        </w:rPr>
        <w:t xml:space="preserve">fall within the </w:t>
      </w:r>
      <w:r w:rsidR="00FE14A4" w:rsidRPr="00805ED0">
        <w:rPr>
          <w:rFonts w:cstheme="minorHAnsi"/>
          <w:szCs w:val="26"/>
          <w:shd w:val="clear" w:color="auto" w:fill="FFFFFF"/>
        </w:rPr>
        <w:t>class</w:t>
      </w:r>
      <w:r w:rsidR="0094469A" w:rsidRPr="00805ED0">
        <w:rPr>
          <w:rFonts w:cstheme="minorHAnsi"/>
          <w:szCs w:val="26"/>
          <w:shd w:val="clear" w:color="auto" w:fill="FFFFFF"/>
        </w:rPr>
        <w:t xml:space="preserve"> of </w:t>
      </w:r>
      <w:r w:rsidR="00A75913" w:rsidRPr="00805ED0">
        <w:rPr>
          <w:rFonts w:cstheme="minorHAnsi"/>
          <w:szCs w:val="26"/>
          <w:shd w:val="clear" w:color="auto" w:fill="FFFFFF"/>
        </w:rPr>
        <w:t xml:space="preserve">individuals who </w:t>
      </w:r>
      <w:r w:rsidR="0094469A" w:rsidRPr="00805ED0">
        <w:rPr>
          <w:rFonts w:cstheme="minorHAnsi"/>
          <w:szCs w:val="26"/>
          <w:shd w:val="clear" w:color="auto" w:fill="FFFFFF"/>
        </w:rPr>
        <w:t>“perform the act that directly inflicts the injury.”</w:t>
      </w:r>
      <w:r w:rsidR="00B44DC5" w:rsidRPr="00805ED0">
        <w:rPr>
          <w:rFonts w:cstheme="minorHAnsi"/>
          <w:szCs w:val="26"/>
          <w:shd w:val="clear" w:color="auto" w:fill="FFFFFF"/>
        </w:rPr>
        <w:t xml:space="preserve">  (</w:t>
      </w:r>
      <w:r w:rsidR="00B44DC5" w:rsidRPr="00805ED0">
        <w:rPr>
          <w:rFonts w:cstheme="minorHAnsi"/>
          <w:i/>
          <w:iCs/>
          <w:szCs w:val="26"/>
          <w:shd w:val="clear" w:color="auto" w:fill="FFFFFF"/>
        </w:rPr>
        <w:t>Cole</w:t>
      </w:r>
      <w:r w:rsidR="00B44DC5" w:rsidRPr="00805ED0">
        <w:rPr>
          <w:rFonts w:cstheme="minorHAnsi"/>
          <w:szCs w:val="26"/>
          <w:shd w:val="clear" w:color="auto" w:fill="FFFFFF"/>
        </w:rPr>
        <w:t xml:space="preserve">, </w:t>
      </w:r>
      <w:r w:rsidR="00B44DC5" w:rsidRPr="00805ED0">
        <w:rPr>
          <w:rFonts w:cstheme="minorHAnsi"/>
          <w:i/>
          <w:iCs/>
          <w:szCs w:val="26"/>
          <w:shd w:val="clear" w:color="auto" w:fill="FFFFFF"/>
        </w:rPr>
        <w:t>supra</w:t>
      </w:r>
      <w:r w:rsidR="00B44DC5" w:rsidRPr="00805ED0">
        <w:rPr>
          <w:rFonts w:cstheme="minorHAnsi"/>
          <w:szCs w:val="26"/>
          <w:shd w:val="clear" w:color="auto" w:fill="FFFFFF"/>
        </w:rPr>
        <w:t>, 31 Cal.3d at p. 571.)</w:t>
      </w:r>
      <w:r w:rsidR="00B9618B" w:rsidRPr="00805ED0">
        <w:rPr>
          <w:rFonts w:cstheme="minorHAnsi"/>
          <w:szCs w:val="26"/>
          <w:shd w:val="clear" w:color="auto" w:fill="FFFFFF"/>
        </w:rPr>
        <w:t xml:space="preserve">  Two cases </w:t>
      </w:r>
      <w:r w:rsidR="00DF2173" w:rsidRPr="00805ED0">
        <w:rPr>
          <w:rFonts w:cstheme="minorHAnsi"/>
          <w:szCs w:val="26"/>
          <w:shd w:val="clear" w:color="auto" w:fill="FFFFFF"/>
        </w:rPr>
        <w:t xml:space="preserve">illustrate </w:t>
      </w:r>
      <w:r w:rsidR="00DF2173" w:rsidRPr="00805ED0">
        <w:rPr>
          <w:rFonts w:cstheme="minorHAnsi"/>
          <w:szCs w:val="26"/>
          <w:shd w:val="clear" w:color="auto" w:fill="FFFFFF"/>
        </w:rPr>
        <w:lastRenderedPageBreak/>
        <w:t xml:space="preserve">this point and demonstrate </w:t>
      </w:r>
      <w:r w:rsidR="007B3C04" w:rsidRPr="00805ED0">
        <w:rPr>
          <w:rFonts w:cstheme="minorHAnsi"/>
          <w:szCs w:val="26"/>
          <w:shd w:val="clear" w:color="auto" w:fill="FFFFFF"/>
        </w:rPr>
        <w:t>why</w:t>
      </w:r>
      <w:r w:rsidR="00D311F9" w:rsidRPr="00805ED0">
        <w:rPr>
          <w:rFonts w:cstheme="minorHAnsi"/>
          <w:szCs w:val="26"/>
          <w:shd w:val="clear" w:color="auto" w:fill="FFFFFF"/>
        </w:rPr>
        <w:t xml:space="preserve"> a fact</w:t>
      </w:r>
      <w:r w:rsidR="00D311F9" w:rsidRPr="00805ED0">
        <w:rPr>
          <w:rFonts w:cstheme="minorHAnsi"/>
          <w:szCs w:val="26"/>
          <w:shd w:val="clear" w:color="auto" w:fill="FFFFFF"/>
        </w:rPr>
        <w:noBreakHyphen/>
        <w:t xml:space="preserve">specific analysis accords with the </w:t>
      </w:r>
      <w:r w:rsidR="003A6BE8" w:rsidRPr="00805ED0">
        <w:rPr>
          <w:rFonts w:cstheme="minorHAnsi"/>
          <w:szCs w:val="26"/>
          <w:shd w:val="clear" w:color="auto" w:fill="FFFFFF"/>
        </w:rPr>
        <w:t xml:space="preserve">Legislature’s </w:t>
      </w:r>
      <w:r w:rsidR="00D311F9" w:rsidRPr="00805ED0">
        <w:rPr>
          <w:rFonts w:cstheme="minorHAnsi"/>
          <w:szCs w:val="26"/>
          <w:shd w:val="clear" w:color="auto" w:fill="FFFFFF"/>
        </w:rPr>
        <w:t>intent.</w:t>
      </w:r>
      <w:r w:rsidR="007B3C04" w:rsidRPr="00805ED0">
        <w:rPr>
          <w:rFonts w:cstheme="minorHAnsi"/>
          <w:szCs w:val="26"/>
          <w:shd w:val="clear" w:color="auto" w:fill="FFFFFF"/>
        </w:rPr>
        <w:t xml:space="preserve">  </w:t>
      </w:r>
      <w:r w:rsidR="00240A91" w:rsidRPr="00805ED0">
        <w:rPr>
          <w:rFonts w:cstheme="minorHAnsi"/>
          <w:szCs w:val="26"/>
          <w:shd w:val="clear" w:color="auto" w:fill="FFFFFF"/>
        </w:rPr>
        <w:t xml:space="preserve">In </w:t>
      </w:r>
      <w:r w:rsidR="00240A91" w:rsidRPr="00805ED0">
        <w:rPr>
          <w:rFonts w:cstheme="minorHAnsi"/>
          <w:i/>
          <w:iCs/>
          <w:szCs w:val="26"/>
          <w:shd w:val="clear" w:color="auto" w:fill="FFFFFF"/>
        </w:rPr>
        <w:t>Martinez</w:t>
      </w:r>
      <w:r w:rsidR="00105F12" w:rsidRPr="00805ED0">
        <w:rPr>
          <w:rFonts w:cstheme="minorHAnsi"/>
          <w:iCs/>
          <w:szCs w:val="26"/>
          <w:shd w:val="clear" w:color="auto" w:fill="FFFFFF"/>
        </w:rPr>
        <w:t>, the case on which the trial court here relied</w:t>
      </w:r>
      <w:r w:rsidR="003A19E1" w:rsidRPr="00805ED0">
        <w:rPr>
          <w:rFonts w:cstheme="minorHAnsi"/>
          <w:szCs w:val="26"/>
          <w:shd w:val="clear" w:color="auto" w:fill="FFFFFF"/>
        </w:rPr>
        <w:t>,</w:t>
      </w:r>
      <w:r w:rsidR="00240A91" w:rsidRPr="00805ED0">
        <w:rPr>
          <w:rFonts w:cstheme="minorHAnsi"/>
          <w:szCs w:val="26"/>
          <w:shd w:val="clear" w:color="auto" w:fill="FFFFFF"/>
        </w:rPr>
        <w:t xml:space="preserve"> the defendant was convicted of three counts of furnishing </w:t>
      </w:r>
      <w:r w:rsidR="00087094" w:rsidRPr="00805ED0">
        <w:rPr>
          <w:rFonts w:cstheme="minorHAnsi"/>
          <w:szCs w:val="26"/>
          <w:shd w:val="clear" w:color="auto" w:fill="FFFFFF"/>
        </w:rPr>
        <w:t xml:space="preserve">a controlled substance </w:t>
      </w:r>
      <w:r w:rsidR="00240A91" w:rsidRPr="00805ED0">
        <w:rPr>
          <w:rFonts w:cstheme="minorHAnsi"/>
          <w:szCs w:val="26"/>
          <w:shd w:val="clear" w:color="auto" w:fill="FFFFFF"/>
        </w:rPr>
        <w:t xml:space="preserve">after supplying an individual with six </w:t>
      </w:r>
      <w:r w:rsidR="00071392" w:rsidRPr="00805ED0">
        <w:rPr>
          <w:rFonts w:cstheme="minorHAnsi"/>
          <w:szCs w:val="26"/>
          <w:shd w:val="clear" w:color="auto" w:fill="FFFFFF"/>
        </w:rPr>
        <w:t>to</w:t>
      </w:r>
      <w:r w:rsidR="00240A91" w:rsidRPr="00805ED0">
        <w:rPr>
          <w:rFonts w:cstheme="minorHAnsi"/>
          <w:szCs w:val="26"/>
          <w:shd w:val="clear" w:color="auto" w:fill="FFFFFF"/>
        </w:rPr>
        <w:t xml:space="preserve"> seven 10</w:t>
      </w:r>
      <w:r w:rsidR="00240A91" w:rsidRPr="00805ED0">
        <w:rPr>
          <w:rFonts w:cstheme="minorHAnsi"/>
          <w:szCs w:val="26"/>
          <w:shd w:val="clear" w:color="auto" w:fill="FFFFFF"/>
        </w:rPr>
        <w:noBreakHyphen/>
        <w:t>milligram methadone pills and six to eight 10</w:t>
      </w:r>
      <w:r w:rsidR="00240A91" w:rsidRPr="00805ED0">
        <w:rPr>
          <w:rFonts w:cstheme="minorHAnsi"/>
          <w:szCs w:val="26"/>
          <w:shd w:val="clear" w:color="auto" w:fill="FFFFFF"/>
        </w:rPr>
        <w:noBreakHyphen/>
        <w:t xml:space="preserve">milligram hydrocodone pills over the course of a night of drinking.  </w:t>
      </w:r>
      <w:r w:rsidR="00105F12" w:rsidRPr="00805ED0">
        <w:rPr>
          <w:rFonts w:cstheme="minorHAnsi"/>
          <w:szCs w:val="26"/>
          <w:shd w:val="clear" w:color="auto" w:fill="FFFFFF"/>
        </w:rPr>
        <w:t>(</w:t>
      </w:r>
      <w:r w:rsidR="00105F12" w:rsidRPr="00805ED0">
        <w:rPr>
          <w:rFonts w:cstheme="minorHAnsi"/>
          <w:i/>
          <w:iCs/>
          <w:szCs w:val="26"/>
          <w:shd w:val="clear" w:color="auto" w:fill="FFFFFF"/>
        </w:rPr>
        <w:t>Martinez</w:t>
      </w:r>
      <w:r w:rsidR="00105F12" w:rsidRPr="00805ED0">
        <w:rPr>
          <w:rFonts w:cstheme="minorHAnsi"/>
          <w:iCs/>
          <w:szCs w:val="26"/>
          <w:shd w:val="clear" w:color="auto" w:fill="FFFFFF"/>
        </w:rPr>
        <w:t xml:space="preserve">, </w:t>
      </w:r>
      <w:r w:rsidR="00105F12" w:rsidRPr="00805ED0">
        <w:rPr>
          <w:rFonts w:cstheme="minorHAnsi"/>
          <w:i/>
          <w:iCs/>
          <w:szCs w:val="26"/>
          <w:shd w:val="clear" w:color="auto" w:fill="FFFFFF"/>
        </w:rPr>
        <w:t>supra</w:t>
      </w:r>
      <w:r w:rsidR="00105F12" w:rsidRPr="00805ED0">
        <w:rPr>
          <w:rFonts w:cstheme="minorHAnsi"/>
          <w:iCs/>
          <w:szCs w:val="26"/>
          <w:shd w:val="clear" w:color="auto" w:fill="FFFFFF"/>
        </w:rPr>
        <w:t xml:space="preserve">, </w:t>
      </w:r>
      <w:r w:rsidR="00105F12" w:rsidRPr="00805ED0">
        <w:rPr>
          <w:rFonts w:cstheme="minorHAnsi"/>
          <w:szCs w:val="26"/>
          <w:shd w:val="clear" w:color="auto" w:fill="FFFFFF"/>
        </w:rPr>
        <w:t xml:space="preserve">226 Cal.App.4th at p. 1178.)  </w:t>
      </w:r>
      <w:r w:rsidR="00240A91" w:rsidRPr="00805ED0">
        <w:rPr>
          <w:rFonts w:cstheme="minorHAnsi"/>
          <w:szCs w:val="26"/>
          <w:shd w:val="clear" w:color="auto" w:fill="FFFFFF"/>
        </w:rPr>
        <w:t>The defendant supplied the pills “knowing that the drugs were more dangerous when combined with alcohol” and continued to supply drugs to the individual while “watch[</w:t>
      </w:r>
      <w:proofErr w:type="spellStart"/>
      <w:r w:rsidR="00240A91" w:rsidRPr="00805ED0">
        <w:rPr>
          <w:rFonts w:cstheme="minorHAnsi"/>
          <w:szCs w:val="26"/>
          <w:shd w:val="clear" w:color="auto" w:fill="FFFFFF"/>
        </w:rPr>
        <w:t>ing</w:t>
      </w:r>
      <w:proofErr w:type="spellEnd"/>
      <w:r w:rsidR="00240A91" w:rsidRPr="00805ED0">
        <w:rPr>
          <w:rFonts w:cstheme="minorHAnsi"/>
          <w:szCs w:val="26"/>
          <w:shd w:val="clear" w:color="auto" w:fill="FFFFFF"/>
        </w:rPr>
        <w:t>] her continue to consume alcohol and become intoxicated, so intoxicated that [the defendant] felt she was not in any condition to drive.”  (</w:t>
      </w:r>
      <w:r w:rsidR="00240A91" w:rsidRPr="00805ED0">
        <w:rPr>
          <w:rFonts w:cstheme="minorHAnsi"/>
          <w:i/>
          <w:iCs/>
          <w:szCs w:val="26"/>
          <w:shd w:val="clear" w:color="auto" w:fill="FFFFFF"/>
        </w:rPr>
        <w:t>Id.</w:t>
      </w:r>
      <w:r w:rsidR="00240A91" w:rsidRPr="00805ED0">
        <w:rPr>
          <w:rFonts w:cstheme="minorHAnsi"/>
          <w:szCs w:val="26"/>
          <w:shd w:val="clear" w:color="auto" w:fill="FFFFFF"/>
        </w:rPr>
        <w:t xml:space="preserve"> at p. 1186.)</w:t>
      </w:r>
      <w:r w:rsidR="00293CBA" w:rsidRPr="00805ED0">
        <w:rPr>
          <w:rFonts w:cstheme="minorHAnsi"/>
          <w:szCs w:val="26"/>
          <w:shd w:val="clear" w:color="auto" w:fill="FFFFFF"/>
        </w:rPr>
        <w:t xml:space="preserve">  </w:t>
      </w:r>
      <w:r w:rsidR="006D5E50" w:rsidRPr="00805ED0">
        <w:rPr>
          <w:rFonts w:cstheme="minorHAnsi"/>
          <w:szCs w:val="26"/>
          <w:shd w:val="clear" w:color="auto" w:fill="FFFFFF"/>
        </w:rPr>
        <w:t>The</w:t>
      </w:r>
      <w:r w:rsidR="00293CBA" w:rsidRPr="00805ED0">
        <w:rPr>
          <w:rFonts w:cstheme="minorHAnsi"/>
          <w:szCs w:val="26"/>
          <w:shd w:val="clear" w:color="auto" w:fill="FFFFFF"/>
        </w:rPr>
        <w:t xml:space="preserve"> individual overdosed</w:t>
      </w:r>
      <w:r w:rsidR="006D5E50" w:rsidRPr="00805ED0">
        <w:rPr>
          <w:rFonts w:cstheme="minorHAnsi"/>
          <w:szCs w:val="26"/>
          <w:shd w:val="clear" w:color="auto" w:fill="FFFFFF"/>
        </w:rPr>
        <w:t xml:space="preserve"> due to her consumption of </w:t>
      </w:r>
      <w:r w:rsidR="0089453A" w:rsidRPr="00805ED0">
        <w:rPr>
          <w:rFonts w:cstheme="minorHAnsi"/>
          <w:szCs w:val="26"/>
          <w:shd w:val="clear" w:color="auto" w:fill="FFFFFF"/>
        </w:rPr>
        <w:t>“</w:t>
      </w:r>
      <w:r w:rsidR="006C5AF3" w:rsidRPr="00805ED0">
        <w:rPr>
          <w:rFonts w:cstheme="minorHAnsi"/>
          <w:szCs w:val="26"/>
          <w:shd w:val="clear" w:color="auto" w:fill="FFFFFF"/>
        </w:rPr>
        <w:t xml:space="preserve">a </w:t>
      </w:r>
      <w:r w:rsidR="00925A3B" w:rsidRPr="00805ED0">
        <w:rPr>
          <w:rFonts w:cstheme="minorHAnsi"/>
          <w:szCs w:val="26"/>
          <w:shd w:val="clear" w:color="auto" w:fill="FFFFFF"/>
        </w:rPr>
        <w:t>lethal quantity of drugs</w:t>
      </w:r>
      <w:r w:rsidR="0089453A" w:rsidRPr="00805ED0">
        <w:rPr>
          <w:rFonts w:cstheme="minorHAnsi"/>
          <w:szCs w:val="26"/>
          <w:shd w:val="clear" w:color="auto" w:fill="FFFFFF"/>
        </w:rPr>
        <w:t>.”</w:t>
      </w:r>
      <w:r w:rsidR="00822026" w:rsidRPr="00805ED0">
        <w:rPr>
          <w:rFonts w:cstheme="minorHAnsi"/>
          <w:szCs w:val="26"/>
          <w:shd w:val="clear" w:color="auto" w:fill="FFFFFF"/>
        </w:rPr>
        <w:t xml:space="preserve">  (</w:t>
      </w:r>
      <w:r w:rsidR="0089453A" w:rsidRPr="00805ED0">
        <w:rPr>
          <w:rFonts w:cstheme="minorHAnsi"/>
          <w:i/>
          <w:iCs/>
          <w:szCs w:val="26"/>
          <w:shd w:val="clear" w:color="auto" w:fill="FFFFFF"/>
        </w:rPr>
        <w:t>Ibid.</w:t>
      </w:r>
      <w:r w:rsidR="0089453A" w:rsidRPr="00805ED0">
        <w:rPr>
          <w:rFonts w:cstheme="minorHAnsi"/>
          <w:szCs w:val="26"/>
          <w:shd w:val="clear" w:color="auto" w:fill="FFFFFF"/>
        </w:rPr>
        <w:t>)</w:t>
      </w:r>
      <w:r w:rsidR="005E7599" w:rsidRPr="00805ED0">
        <w:rPr>
          <w:rFonts w:cstheme="minorHAnsi"/>
          <w:szCs w:val="26"/>
          <w:shd w:val="clear" w:color="auto" w:fill="FFFFFF"/>
        </w:rPr>
        <w:t xml:space="preserve">  </w:t>
      </w:r>
      <w:r w:rsidR="00403F4E" w:rsidRPr="00805ED0">
        <w:rPr>
          <w:rFonts w:cstheme="minorHAnsi"/>
          <w:szCs w:val="26"/>
          <w:shd w:val="clear" w:color="auto" w:fill="FFFFFF"/>
        </w:rPr>
        <w:t xml:space="preserve">On those facts, the </w:t>
      </w:r>
      <w:r w:rsidR="00312A4D" w:rsidRPr="00805ED0">
        <w:rPr>
          <w:rFonts w:cstheme="minorHAnsi"/>
          <w:szCs w:val="26"/>
          <w:shd w:val="clear" w:color="auto" w:fill="FFFFFF"/>
        </w:rPr>
        <w:t>court</w:t>
      </w:r>
      <w:r w:rsidR="00423B1C" w:rsidRPr="00805ED0">
        <w:rPr>
          <w:rFonts w:cstheme="minorHAnsi"/>
          <w:szCs w:val="26"/>
          <w:shd w:val="clear" w:color="auto" w:fill="FFFFFF"/>
        </w:rPr>
        <w:t xml:space="preserve"> </w:t>
      </w:r>
      <w:r w:rsidR="00403F4E" w:rsidRPr="00805ED0">
        <w:rPr>
          <w:rFonts w:cstheme="minorHAnsi"/>
          <w:szCs w:val="26"/>
          <w:shd w:val="clear" w:color="auto" w:fill="FFFFFF"/>
        </w:rPr>
        <w:t>found</w:t>
      </w:r>
      <w:r w:rsidR="00FB39AD" w:rsidRPr="00805ED0">
        <w:rPr>
          <w:rFonts w:cstheme="minorHAnsi"/>
          <w:szCs w:val="26"/>
          <w:shd w:val="clear" w:color="auto" w:fill="FFFFFF"/>
        </w:rPr>
        <w:t xml:space="preserve"> substantial evidence that the defendant personally inflicted great bodily injury within the meaning of section 12022.7.</w:t>
      </w:r>
      <w:r w:rsidR="00C71928" w:rsidRPr="00805ED0">
        <w:rPr>
          <w:rFonts w:cstheme="minorHAnsi"/>
          <w:szCs w:val="26"/>
          <w:shd w:val="clear" w:color="auto" w:fill="FFFFFF"/>
        </w:rPr>
        <w:t xml:space="preserve">  (</w:t>
      </w:r>
      <w:r w:rsidR="003A6BE8" w:rsidRPr="00805ED0">
        <w:rPr>
          <w:rFonts w:cstheme="minorHAnsi"/>
          <w:i/>
          <w:iCs/>
          <w:szCs w:val="26"/>
          <w:shd w:val="clear" w:color="auto" w:fill="FFFFFF"/>
        </w:rPr>
        <w:t>Martinez</w:t>
      </w:r>
      <w:r w:rsidR="003A6BE8" w:rsidRPr="00805ED0">
        <w:rPr>
          <w:rFonts w:cstheme="minorHAnsi"/>
          <w:iCs/>
          <w:szCs w:val="26"/>
          <w:shd w:val="clear" w:color="auto" w:fill="FFFFFF"/>
        </w:rPr>
        <w:t>, at p. 1186.</w:t>
      </w:r>
      <w:r w:rsidR="00C71928" w:rsidRPr="00805ED0">
        <w:rPr>
          <w:rFonts w:cstheme="minorHAnsi"/>
          <w:szCs w:val="26"/>
          <w:shd w:val="clear" w:color="auto" w:fill="FFFFFF"/>
        </w:rPr>
        <w:t>)</w:t>
      </w:r>
    </w:p>
    <w:p w14:paraId="45F93FC7" w14:textId="7758D644" w:rsidR="003D3E73" w:rsidRPr="00805ED0" w:rsidRDefault="007256A8" w:rsidP="00805ED0">
      <w:pPr>
        <w:ind w:firstLine="720"/>
        <w:rPr>
          <w:rFonts w:cstheme="minorHAnsi"/>
          <w:szCs w:val="26"/>
          <w:shd w:val="clear" w:color="auto" w:fill="FFFFFF"/>
        </w:rPr>
      </w:pPr>
      <w:r w:rsidRPr="00805ED0">
        <w:rPr>
          <w:rFonts w:cstheme="minorHAnsi"/>
          <w:szCs w:val="26"/>
          <w:shd w:val="clear" w:color="auto" w:fill="FFFFFF"/>
        </w:rPr>
        <w:t xml:space="preserve">In </w:t>
      </w:r>
      <w:r w:rsidR="00240A91" w:rsidRPr="00805ED0">
        <w:rPr>
          <w:rFonts w:cstheme="minorHAnsi"/>
          <w:i/>
          <w:iCs/>
          <w:szCs w:val="26"/>
          <w:shd w:val="clear" w:color="auto" w:fill="FFFFFF"/>
        </w:rPr>
        <w:t>People v. Slough</w:t>
      </w:r>
      <w:r w:rsidR="00240A91" w:rsidRPr="00805ED0">
        <w:rPr>
          <w:rFonts w:cstheme="minorHAnsi"/>
          <w:szCs w:val="26"/>
          <w:shd w:val="clear" w:color="auto" w:fill="FFFFFF"/>
        </w:rPr>
        <w:t xml:space="preserve"> (2017) 11 Cal.App.5th 419, 425 (</w:t>
      </w:r>
      <w:r w:rsidR="00240A91" w:rsidRPr="00805ED0">
        <w:rPr>
          <w:rFonts w:cstheme="minorHAnsi"/>
          <w:i/>
          <w:iCs/>
          <w:szCs w:val="26"/>
          <w:shd w:val="clear" w:color="auto" w:fill="FFFFFF"/>
        </w:rPr>
        <w:t>Slough</w:t>
      </w:r>
      <w:r w:rsidR="00240A91" w:rsidRPr="00805ED0">
        <w:rPr>
          <w:rFonts w:cstheme="minorHAnsi"/>
          <w:szCs w:val="26"/>
          <w:shd w:val="clear" w:color="auto" w:fill="FFFFFF"/>
        </w:rPr>
        <w:t>)</w:t>
      </w:r>
      <w:r w:rsidR="003A6BE8" w:rsidRPr="00805ED0">
        <w:rPr>
          <w:rFonts w:cstheme="minorHAnsi"/>
          <w:szCs w:val="26"/>
          <w:shd w:val="clear" w:color="auto" w:fill="FFFFFF"/>
        </w:rPr>
        <w:t>, the defendant</w:t>
      </w:r>
      <w:r w:rsidRPr="00805ED0">
        <w:rPr>
          <w:rFonts w:cstheme="minorHAnsi"/>
          <w:szCs w:val="26"/>
          <w:shd w:val="clear" w:color="auto" w:fill="FFFFFF"/>
        </w:rPr>
        <w:t xml:space="preserve"> </w:t>
      </w:r>
      <w:r w:rsidR="00240A91" w:rsidRPr="00805ED0">
        <w:rPr>
          <w:rFonts w:cstheme="minorHAnsi"/>
          <w:szCs w:val="26"/>
          <w:shd w:val="clear" w:color="auto" w:fill="FFFFFF"/>
        </w:rPr>
        <w:t xml:space="preserve">supplied heroin to an individual in exchange for money.  After this exchange, the defendant and </w:t>
      </w:r>
      <w:r w:rsidR="00406D31">
        <w:rPr>
          <w:rFonts w:cstheme="minorHAnsi"/>
          <w:szCs w:val="26"/>
          <w:shd w:val="clear" w:color="auto" w:fill="FFFFFF"/>
        </w:rPr>
        <w:t xml:space="preserve">the </w:t>
      </w:r>
      <w:r w:rsidR="00240A91" w:rsidRPr="00805ED0">
        <w:rPr>
          <w:rFonts w:cstheme="minorHAnsi"/>
          <w:szCs w:val="26"/>
          <w:shd w:val="clear" w:color="auto" w:fill="FFFFFF"/>
        </w:rPr>
        <w:t>individual went their separate ways.  (</w:t>
      </w:r>
      <w:r w:rsidR="00240A91" w:rsidRPr="00805ED0">
        <w:rPr>
          <w:rFonts w:cstheme="minorHAnsi"/>
          <w:i/>
          <w:iCs/>
          <w:szCs w:val="26"/>
          <w:shd w:val="clear" w:color="auto" w:fill="FFFFFF"/>
        </w:rPr>
        <w:t>Ibid.</w:t>
      </w:r>
      <w:r w:rsidR="00240A91" w:rsidRPr="00805ED0">
        <w:rPr>
          <w:rFonts w:cstheme="minorHAnsi"/>
          <w:szCs w:val="26"/>
          <w:shd w:val="clear" w:color="auto" w:fill="FFFFFF"/>
        </w:rPr>
        <w:t>)  The individual returned home, injected the heroin, and overdosed.  (</w:t>
      </w:r>
      <w:r w:rsidR="00240A91" w:rsidRPr="00805ED0">
        <w:rPr>
          <w:rFonts w:cstheme="minorHAnsi"/>
          <w:i/>
          <w:iCs/>
          <w:szCs w:val="26"/>
          <w:shd w:val="clear" w:color="auto" w:fill="FFFFFF"/>
        </w:rPr>
        <w:t>Id.</w:t>
      </w:r>
      <w:r w:rsidR="00240A91" w:rsidRPr="00805ED0">
        <w:rPr>
          <w:rFonts w:cstheme="minorHAnsi"/>
          <w:szCs w:val="26"/>
          <w:shd w:val="clear" w:color="auto" w:fill="FFFFFF"/>
        </w:rPr>
        <w:t xml:space="preserve"> at p. 422.)  Although the defendant supplied the heroin, he played no part in the individual’s ingestion of the drugs.  (</w:t>
      </w:r>
      <w:r w:rsidR="00240A91" w:rsidRPr="00805ED0">
        <w:rPr>
          <w:rFonts w:cstheme="minorHAnsi"/>
          <w:i/>
          <w:iCs/>
          <w:szCs w:val="26"/>
          <w:shd w:val="clear" w:color="auto" w:fill="FFFFFF"/>
        </w:rPr>
        <w:t>Id.</w:t>
      </w:r>
      <w:r w:rsidR="00240A91" w:rsidRPr="00805ED0">
        <w:rPr>
          <w:rFonts w:cstheme="minorHAnsi"/>
          <w:szCs w:val="26"/>
          <w:shd w:val="clear" w:color="auto" w:fill="FFFFFF"/>
        </w:rPr>
        <w:t xml:space="preserve"> at p. 425</w:t>
      </w:r>
      <w:r w:rsidR="00F85B31" w:rsidRPr="00805ED0">
        <w:rPr>
          <w:rFonts w:cstheme="minorHAnsi"/>
          <w:szCs w:val="26"/>
          <w:shd w:val="clear" w:color="auto" w:fill="FFFFFF"/>
        </w:rPr>
        <w:t xml:space="preserve">.)  </w:t>
      </w:r>
      <w:r w:rsidR="00F226FF" w:rsidRPr="00805ED0">
        <w:rPr>
          <w:rFonts w:cstheme="minorHAnsi"/>
          <w:szCs w:val="26"/>
          <w:shd w:val="clear" w:color="auto" w:fill="FFFFFF"/>
        </w:rPr>
        <w:t xml:space="preserve">The </w:t>
      </w:r>
      <w:r w:rsidR="00E40EBB" w:rsidRPr="00805ED0">
        <w:rPr>
          <w:rFonts w:cstheme="minorHAnsi"/>
          <w:szCs w:val="26"/>
          <w:shd w:val="clear" w:color="auto" w:fill="FFFFFF"/>
        </w:rPr>
        <w:t>court</w:t>
      </w:r>
      <w:r w:rsidR="00F226FF" w:rsidRPr="00805ED0">
        <w:rPr>
          <w:rFonts w:cstheme="minorHAnsi"/>
          <w:szCs w:val="26"/>
          <w:shd w:val="clear" w:color="auto" w:fill="FFFFFF"/>
        </w:rPr>
        <w:t xml:space="preserve"> concluded there was insufficient evidence to support a finding </w:t>
      </w:r>
      <w:r w:rsidR="009C2D04" w:rsidRPr="00805ED0">
        <w:rPr>
          <w:rFonts w:cstheme="minorHAnsi"/>
          <w:szCs w:val="26"/>
          <w:shd w:val="clear" w:color="auto" w:fill="FFFFFF"/>
        </w:rPr>
        <w:t>that the defendant personally inflicted great bodily injury.  (</w:t>
      </w:r>
      <w:r w:rsidR="009C2D04" w:rsidRPr="00805ED0">
        <w:rPr>
          <w:rFonts w:cstheme="minorHAnsi"/>
          <w:i/>
          <w:iCs/>
          <w:szCs w:val="26"/>
          <w:shd w:val="clear" w:color="auto" w:fill="FFFFFF"/>
        </w:rPr>
        <w:t>Id.</w:t>
      </w:r>
      <w:r w:rsidR="009C2D04" w:rsidRPr="00805ED0">
        <w:rPr>
          <w:rFonts w:cstheme="minorHAnsi"/>
          <w:szCs w:val="26"/>
          <w:shd w:val="clear" w:color="auto" w:fill="FFFFFF"/>
        </w:rPr>
        <w:t xml:space="preserve"> at pp. 424–425.)</w:t>
      </w:r>
      <w:r w:rsidR="00E40EBB" w:rsidRPr="00805ED0">
        <w:rPr>
          <w:rFonts w:cstheme="minorHAnsi"/>
          <w:szCs w:val="26"/>
          <w:shd w:val="clear" w:color="auto" w:fill="FFFFFF"/>
        </w:rPr>
        <w:t xml:space="preserve">  The court distinguished </w:t>
      </w:r>
      <w:r w:rsidR="00E40EBB" w:rsidRPr="00805ED0">
        <w:rPr>
          <w:rFonts w:cstheme="minorHAnsi"/>
          <w:i/>
          <w:szCs w:val="26"/>
          <w:shd w:val="clear" w:color="auto" w:fill="FFFFFF"/>
        </w:rPr>
        <w:t>Martinez</w:t>
      </w:r>
      <w:r w:rsidR="00E40EBB" w:rsidRPr="00805ED0">
        <w:rPr>
          <w:rFonts w:cstheme="minorHAnsi"/>
          <w:szCs w:val="26"/>
          <w:shd w:val="clear" w:color="auto" w:fill="FFFFFF"/>
        </w:rPr>
        <w:t xml:space="preserve"> on the ground that there “the defendant repeatedly supplied drugs to the victim while observing her increasing intoxication; the furnishing was akin to administering.”  (</w:t>
      </w:r>
      <w:r w:rsidR="00E40EBB" w:rsidRPr="00805ED0">
        <w:rPr>
          <w:rFonts w:cstheme="minorHAnsi"/>
          <w:i/>
          <w:szCs w:val="26"/>
          <w:shd w:val="clear" w:color="auto" w:fill="FFFFFF"/>
        </w:rPr>
        <w:t>Slough</w:t>
      </w:r>
      <w:r w:rsidR="00E40EBB" w:rsidRPr="00805ED0">
        <w:rPr>
          <w:rFonts w:cstheme="minorHAnsi"/>
          <w:szCs w:val="26"/>
          <w:shd w:val="clear" w:color="auto" w:fill="FFFFFF"/>
        </w:rPr>
        <w:t>, at p. 425.)</w:t>
      </w:r>
    </w:p>
    <w:p w14:paraId="28535F9F" w14:textId="5CE7338B" w:rsidR="00030B21" w:rsidRPr="00805ED0" w:rsidRDefault="0019042E" w:rsidP="00805ED0">
      <w:pPr>
        <w:ind w:firstLine="720"/>
        <w:rPr>
          <w:rFonts w:cstheme="minorHAnsi"/>
          <w:szCs w:val="26"/>
          <w:shd w:val="clear" w:color="auto" w:fill="FFFFFF"/>
        </w:rPr>
      </w:pPr>
      <w:r w:rsidRPr="00805ED0">
        <w:rPr>
          <w:rFonts w:cstheme="minorHAnsi"/>
          <w:szCs w:val="26"/>
          <w:shd w:val="clear" w:color="auto" w:fill="FFFFFF"/>
        </w:rPr>
        <w:lastRenderedPageBreak/>
        <w:t xml:space="preserve">In </w:t>
      </w:r>
      <w:r w:rsidRPr="00805ED0">
        <w:rPr>
          <w:rFonts w:cstheme="minorHAnsi"/>
          <w:i/>
          <w:iCs/>
          <w:szCs w:val="26"/>
          <w:shd w:val="clear" w:color="auto" w:fill="FFFFFF"/>
        </w:rPr>
        <w:t>Martinez</w:t>
      </w:r>
      <w:r w:rsidRPr="00805ED0">
        <w:rPr>
          <w:rFonts w:cstheme="minorHAnsi"/>
          <w:szCs w:val="26"/>
          <w:shd w:val="clear" w:color="auto" w:fill="FFFFFF"/>
        </w:rPr>
        <w:t xml:space="preserve">, the </w:t>
      </w:r>
      <w:r w:rsidR="009A6B1D" w:rsidRPr="00805ED0">
        <w:rPr>
          <w:rFonts w:cstheme="minorHAnsi"/>
          <w:szCs w:val="26"/>
          <w:shd w:val="clear" w:color="auto" w:fill="FFFFFF"/>
        </w:rPr>
        <w:t>court</w:t>
      </w:r>
      <w:r w:rsidRPr="00805ED0">
        <w:rPr>
          <w:rFonts w:cstheme="minorHAnsi"/>
          <w:szCs w:val="26"/>
          <w:shd w:val="clear" w:color="auto" w:fill="FFFFFF"/>
        </w:rPr>
        <w:t xml:space="preserve"> </w:t>
      </w:r>
      <w:r w:rsidR="00DA10BD">
        <w:rPr>
          <w:rFonts w:cstheme="minorHAnsi"/>
          <w:szCs w:val="26"/>
          <w:shd w:val="clear" w:color="auto" w:fill="FFFFFF"/>
        </w:rPr>
        <w:t>reasonably</w:t>
      </w:r>
      <w:r w:rsidRPr="00805ED0">
        <w:rPr>
          <w:rFonts w:cstheme="minorHAnsi"/>
          <w:szCs w:val="26"/>
          <w:shd w:val="clear" w:color="auto" w:fill="FFFFFF"/>
        </w:rPr>
        <w:t xml:space="preserve"> </w:t>
      </w:r>
      <w:r w:rsidR="00147F9A" w:rsidRPr="00805ED0">
        <w:rPr>
          <w:rFonts w:cstheme="minorHAnsi"/>
          <w:szCs w:val="26"/>
          <w:shd w:val="clear" w:color="auto" w:fill="FFFFFF"/>
        </w:rPr>
        <w:t xml:space="preserve">characterized the defendant’s act of personally providing a lethal quantity of drugs to the victim while observing her increasing intoxication as </w:t>
      </w:r>
      <w:r w:rsidR="00E87664" w:rsidRPr="00805ED0">
        <w:rPr>
          <w:rFonts w:cstheme="minorHAnsi"/>
          <w:szCs w:val="26"/>
          <w:shd w:val="clear" w:color="auto" w:fill="FFFFFF"/>
        </w:rPr>
        <w:t>a</w:t>
      </w:r>
      <w:r w:rsidR="00147F9A" w:rsidRPr="00805ED0">
        <w:rPr>
          <w:rFonts w:cstheme="minorHAnsi"/>
          <w:szCs w:val="26"/>
          <w:shd w:val="clear" w:color="auto" w:fill="FFFFFF"/>
        </w:rPr>
        <w:t xml:space="preserve"> direct cause of her overdose</w:t>
      </w:r>
      <w:r w:rsidR="003C55E8" w:rsidRPr="00805ED0">
        <w:rPr>
          <w:rFonts w:cstheme="minorHAnsi"/>
          <w:szCs w:val="26"/>
          <w:shd w:val="clear" w:color="auto" w:fill="FFFFFF"/>
        </w:rPr>
        <w:t>.</w:t>
      </w:r>
      <w:r w:rsidR="00153C2E" w:rsidRPr="00805ED0">
        <w:rPr>
          <w:rFonts w:cstheme="minorHAnsi"/>
          <w:szCs w:val="26"/>
          <w:shd w:val="clear" w:color="auto" w:fill="FFFFFF"/>
        </w:rPr>
        <w:t xml:space="preserve">  (See </w:t>
      </w:r>
      <w:r w:rsidR="00153C2E" w:rsidRPr="00805ED0">
        <w:rPr>
          <w:rFonts w:cstheme="minorHAnsi"/>
          <w:i/>
          <w:iCs/>
          <w:szCs w:val="26"/>
          <w:shd w:val="clear" w:color="auto" w:fill="FFFFFF"/>
        </w:rPr>
        <w:t>Martinez</w:t>
      </w:r>
      <w:r w:rsidR="00153C2E" w:rsidRPr="00805ED0">
        <w:rPr>
          <w:rFonts w:cstheme="minorHAnsi"/>
          <w:szCs w:val="26"/>
          <w:shd w:val="clear" w:color="auto" w:fill="FFFFFF"/>
        </w:rPr>
        <w:t xml:space="preserve">, </w:t>
      </w:r>
      <w:r w:rsidR="00153C2E" w:rsidRPr="00805ED0">
        <w:rPr>
          <w:rFonts w:cstheme="minorHAnsi"/>
          <w:i/>
          <w:iCs/>
          <w:szCs w:val="26"/>
          <w:shd w:val="clear" w:color="auto" w:fill="FFFFFF"/>
        </w:rPr>
        <w:t>supra</w:t>
      </w:r>
      <w:r w:rsidR="00153C2E" w:rsidRPr="00805ED0">
        <w:rPr>
          <w:rFonts w:cstheme="minorHAnsi"/>
          <w:szCs w:val="26"/>
          <w:shd w:val="clear" w:color="auto" w:fill="FFFFFF"/>
        </w:rPr>
        <w:t>,</w:t>
      </w:r>
      <w:r w:rsidR="00937802" w:rsidRPr="00805ED0">
        <w:rPr>
          <w:rFonts w:cstheme="minorHAnsi"/>
          <w:szCs w:val="26"/>
          <w:shd w:val="clear" w:color="auto" w:fill="FFFFFF"/>
        </w:rPr>
        <w:t xml:space="preserve"> 226 Cal.App.4th at p. 1186.)</w:t>
      </w:r>
      <w:r w:rsidR="003C55E8" w:rsidRPr="00805ED0">
        <w:rPr>
          <w:rFonts w:cstheme="minorHAnsi"/>
          <w:szCs w:val="26"/>
          <w:shd w:val="clear" w:color="auto" w:fill="FFFFFF"/>
        </w:rPr>
        <w:t xml:space="preserve">  </w:t>
      </w:r>
      <w:r w:rsidR="00B03728" w:rsidRPr="00805ED0">
        <w:rPr>
          <w:rFonts w:cstheme="minorHAnsi"/>
          <w:szCs w:val="26"/>
          <w:shd w:val="clear" w:color="auto" w:fill="FFFFFF"/>
        </w:rPr>
        <w:t xml:space="preserve">In </w:t>
      </w:r>
      <w:r w:rsidR="00B03728" w:rsidRPr="00805ED0">
        <w:rPr>
          <w:rFonts w:cstheme="minorHAnsi"/>
          <w:i/>
          <w:iCs/>
          <w:szCs w:val="26"/>
          <w:shd w:val="clear" w:color="auto" w:fill="FFFFFF"/>
        </w:rPr>
        <w:t>Slough</w:t>
      </w:r>
      <w:r w:rsidR="00B03728" w:rsidRPr="00805ED0">
        <w:rPr>
          <w:rFonts w:cstheme="minorHAnsi"/>
          <w:szCs w:val="26"/>
          <w:shd w:val="clear" w:color="auto" w:fill="FFFFFF"/>
        </w:rPr>
        <w:t xml:space="preserve">, by contrast, </w:t>
      </w:r>
      <w:r w:rsidR="005F26DC" w:rsidRPr="00805ED0">
        <w:rPr>
          <w:rFonts w:cstheme="minorHAnsi"/>
          <w:szCs w:val="26"/>
          <w:shd w:val="clear" w:color="auto" w:fill="FFFFFF"/>
        </w:rPr>
        <w:t>the defendant</w:t>
      </w:r>
      <w:r w:rsidR="00884A97" w:rsidRPr="00805ED0">
        <w:rPr>
          <w:rFonts w:cstheme="minorHAnsi"/>
          <w:szCs w:val="26"/>
          <w:shd w:val="clear" w:color="auto" w:fill="FFFFFF"/>
        </w:rPr>
        <w:t xml:space="preserve"> provided drugs but</w:t>
      </w:r>
      <w:r w:rsidR="005F26DC" w:rsidRPr="00805ED0">
        <w:rPr>
          <w:rFonts w:cstheme="minorHAnsi"/>
          <w:szCs w:val="26"/>
          <w:shd w:val="clear" w:color="auto" w:fill="FFFFFF"/>
        </w:rPr>
        <w:t xml:space="preserve"> </w:t>
      </w:r>
      <w:r w:rsidR="003B208B" w:rsidRPr="00805ED0">
        <w:rPr>
          <w:rFonts w:cstheme="minorHAnsi"/>
          <w:szCs w:val="26"/>
          <w:shd w:val="clear" w:color="auto" w:fill="FFFFFF"/>
        </w:rPr>
        <w:t xml:space="preserve">played no </w:t>
      </w:r>
      <w:r w:rsidR="00243F5C" w:rsidRPr="00805ED0">
        <w:rPr>
          <w:rFonts w:cstheme="minorHAnsi"/>
          <w:szCs w:val="26"/>
          <w:shd w:val="clear" w:color="auto" w:fill="FFFFFF"/>
        </w:rPr>
        <w:t>role</w:t>
      </w:r>
      <w:r w:rsidR="003B208B" w:rsidRPr="00805ED0">
        <w:rPr>
          <w:rFonts w:cstheme="minorHAnsi"/>
          <w:szCs w:val="26"/>
          <w:shd w:val="clear" w:color="auto" w:fill="FFFFFF"/>
        </w:rPr>
        <w:t xml:space="preserve"> in</w:t>
      </w:r>
      <w:r w:rsidR="00683D74" w:rsidRPr="00805ED0">
        <w:rPr>
          <w:rFonts w:cstheme="minorHAnsi"/>
          <w:szCs w:val="26"/>
          <w:shd w:val="clear" w:color="auto" w:fill="FFFFFF"/>
        </w:rPr>
        <w:t xml:space="preserve"> the </w:t>
      </w:r>
      <w:r w:rsidR="00E4663C" w:rsidRPr="00805ED0">
        <w:rPr>
          <w:rFonts w:cstheme="minorHAnsi"/>
          <w:szCs w:val="26"/>
          <w:shd w:val="clear" w:color="auto" w:fill="FFFFFF"/>
        </w:rPr>
        <w:t>victim’s</w:t>
      </w:r>
      <w:r w:rsidR="00683D74" w:rsidRPr="00805ED0">
        <w:rPr>
          <w:rFonts w:cstheme="minorHAnsi"/>
          <w:szCs w:val="26"/>
          <w:shd w:val="clear" w:color="auto" w:fill="FFFFFF"/>
        </w:rPr>
        <w:t xml:space="preserve"> ingestion.</w:t>
      </w:r>
      <w:r w:rsidR="00965664" w:rsidRPr="00805ED0">
        <w:rPr>
          <w:rFonts w:cstheme="minorHAnsi"/>
          <w:szCs w:val="26"/>
          <w:shd w:val="clear" w:color="auto" w:fill="FFFFFF"/>
        </w:rPr>
        <w:t xml:space="preserve">  Th</w:t>
      </w:r>
      <w:r w:rsidR="00ED1592" w:rsidRPr="00805ED0">
        <w:rPr>
          <w:rFonts w:cstheme="minorHAnsi"/>
          <w:szCs w:val="26"/>
          <w:shd w:val="clear" w:color="auto" w:fill="FFFFFF"/>
        </w:rPr>
        <w:t xml:space="preserve">e </w:t>
      </w:r>
      <w:r w:rsidR="00EB4B15">
        <w:rPr>
          <w:rFonts w:cstheme="minorHAnsi"/>
          <w:i/>
          <w:iCs/>
          <w:szCs w:val="26"/>
          <w:shd w:val="clear" w:color="auto" w:fill="FFFFFF"/>
        </w:rPr>
        <w:t xml:space="preserve">Slough </w:t>
      </w:r>
      <w:r w:rsidR="009A6B1D" w:rsidRPr="00805ED0">
        <w:rPr>
          <w:rFonts w:cstheme="minorHAnsi"/>
          <w:szCs w:val="26"/>
          <w:shd w:val="clear" w:color="auto" w:fill="FFFFFF"/>
        </w:rPr>
        <w:t xml:space="preserve">court </w:t>
      </w:r>
      <w:r w:rsidR="00DA10BD">
        <w:rPr>
          <w:rFonts w:cstheme="minorHAnsi"/>
          <w:szCs w:val="26"/>
          <w:shd w:val="clear" w:color="auto" w:fill="FFFFFF"/>
        </w:rPr>
        <w:t>reasonably</w:t>
      </w:r>
      <w:r w:rsidR="00ED1592" w:rsidRPr="00805ED0">
        <w:rPr>
          <w:rFonts w:cstheme="minorHAnsi"/>
          <w:szCs w:val="26"/>
          <w:shd w:val="clear" w:color="auto" w:fill="FFFFFF"/>
        </w:rPr>
        <w:t xml:space="preserve"> concluded that because </w:t>
      </w:r>
      <w:r w:rsidR="008B47AC" w:rsidRPr="00805ED0">
        <w:rPr>
          <w:rFonts w:cstheme="minorHAnsi"/>
          <w:szCs w:val="26"/>
          <w:shd w:val="clear" w:color="auto" w:fill="FFFFFF"/>
        </w:rPr>
        <w:t>the defendant</w:t>
      </w:r>
      <w:r w:rsidR="00ED1592" w:rsidRPr="00805ED0">
        <w:rPr>
          <w:rFonts w:cstheme="minorHAnsi"/>
          <w:szCs w:val="26"/>
          <w:shd w:val="clear" w:color="auto" w:fill="FFFFFF"/>
        </w:rPr>
        <w:t xml:space="preserve"> “neither performed nor participated in the act that directly inflicted the injury,”</w:t>
      </w:r>
      <w:r w:rsidR="008B47AC" w:rsidRPr="00805ED0">
        <w:rPr>
          <w:rFonts w:cstheme="minorHAnsi"/>
          <w:szCs w:val="26"/>
          <w:shd w:val="clear" w:color="auto" w:fill="FFFFFF"/>
        </w:rPr>
        <w:t xml:space="preserve"> the </w:t>
      </w:r>
      <w:r w:rsidR="000D7479" w:rsidRPr="00805ED0">
        <w:rPr>
          <w:rFonts w:cstheme="minorHAnsi"/>
          <w:szCs w:val="26"/>
          <w:shd w:val="clear" w:color="auto" w:fill="FFFFFF"/>
        </w:rPr>
        <w:t>great bodily injury</w:t>
      </w:r>
      <w:r w:rsidR="008B47AC" w:rsidRPr="00805ED0">
        <w:rPr>
          <w:rFonts w:cstheme="minorHAnsi"/>
          <w:szCs w:val="26"/>
          <w:shd w:val="clear" w:color="auto" w:fill="FFFFFF"/>
        </w:rPr>
        <w:t xml:space="preserve"> enhancement could not apply.</w:t>
      </w:r>
      <w:r w:rsidR="004029AA" w:rsidRPr="00805ED0">
        <w:rPr>
          <w:rFonts w:cstheme="minorHAnsi"/>
          <w:szCs w:val="26"/>
          <w:shd w:val="clear" w:color="auto" w:fill="FFFFFF"/>
        </w:rPr>
        <w:t xml:space="preserve">  </w:t>
      </w:r>
      <w:r w:rsidR="003A6BE8" w:rsidRPr="00805ED0">
        <w:rPr>
          <w:rFonts w:cstheme="minorHAnsi"/>
          <w:szCs w:val="26"/>
          <w:shd w:val="clear" w:color="auto" w:fill="FFFFFF"/>
        </w:rPr>
        <w:t>(</w:t>
      </w:r>
      <w:r w:rsidR="003A6BE8" w:rsidRPr="00805ED0">
        <w:rPr>
          <w:rFonts w:cstheme="minorHAnsi"/>
          <w:i/>
          <w:iCs/>
          <w:szCs w:val="26"/>
          <w:shd w:val="clear" w:color="auto" w:fill="FFFFFF"/>
        </w:rPr>
        <w:t>Slough</w:t>
      </w:r>
      <w:r w:rsidR="003A6BE8" w:rsidRPr="00805ED0">
        <w:rPr>
          <w:rFonts w:cstheme="minorHAnsi"/>
          <w:szCs w:val="26"/>
          <w:shd w:val="clear" w:color="auto" w:fill="FFFFFF"/>
        </w:rPr>
        <w:t xml:space="preserve">, </w:t>
      </w:r>
      <w:r w:rsidR="003A6BE8" w:rsidRPr="00805ED0">
        <w:rPr>
          <w:rFonts w:cstheme="minorHAnsi"/>
          <w:i/>
          <w:szCs w:val="26"/>
          <w:shd w:val="clear" w:color="auto" w:fill="FFFFFF"/>
        </w:rPr>
        <w:t>supra</w:t>
      </w:r>
      <w:r w:rsidR="003A6BE8" w:rsidRPr="00805ED0">
        <w:rPr>
          <w:rFonts w:cstheme="minorHAnsi"/>
          <w:szCs w:val="26"/>
          <w:shd w:val="clear" w:color="auto" w:fill="FFFFFF"/>
        </w:rPr>
        <w:t xml:space="preserve">, 11 Cal.App.5th at p. 425.)  </w:t>
      </w:r>
      <w:r w:rsidR="005A2B8E" w:rsidRPr="00805ED0">
        <w:rPr>
          <w:rFonts w:cstheme="minorHAnsi"/>
          <w:szCs w:val="26"/>
          <w:shd w:val="clear" w:color="auto" w:fill="FFFFFF"/>
        </w:rPr>
        <w:t>If</w:t>
      </w:r>
      <w:r w:rsidR="00E40EBB" w:rsidRPr="00805ED0">
        <w:rPr>
          <w:rFonts w:cstheme="minorHAnsi"/>
          <w:szCs w:val="26"/>
          <w:shd w:val="clear" w:color="auto" w:fill="FFFFFF"/>
        </w:rPr>
        <w:t xml:space="preserve"> </w:t>
      </w:r>
      <w:r w:rsidR="005A2B8E" w:rsidRPr="00805ED0">
        <w:rPr>
          <w:rFonts w:cstheme="minorHAnsi"/>
          <w:szCs w:val="26"/>
          <w:shd w:val="clear" w:color="auto" w:fill="FFFFFF"/>
        </w:rPr>
        <w:t xml:space="preserve">the enhancement </w:t>
      </w:r>
      <w:r w:rsidR="00E40EBB" w:rsidRPr="00805ED0">
        <w:rPr>
          <w:rFonts w:cstheme="minorHAnsi"/>
          <w:szCs w:val="26"/>
          <w:shd w:val="clear" w:color="auto" w:fill="FFFFFF"/>
        </w:rPr>
        <w:t xml:space="preserve">were to apply </w:t>
      </w:r>
      <w:r w:rsidR="005A2B8E" w:rsidRPr="00805ED0">
        <w:rPr>
          <w:rFonts w:cstheme="minorHAnsi"/>
          <w:szCs w:val="26"/>
          <w:shd w:val="clear" w:color="auto" w:fill="FFFFFF"/>
        </w:rPr>
        <w:t xml:space="preserve">to defendants like those in </w:t>
      </w:r>
      <w:r w:rsidR="005A2B8E" w:rsidRPr="00805ED0">
        <w:rPr>
          <w:rFonts w:cstheme="minorHAnsi"/>
          <w:i/>
          <w:iCs/>
          <w:szCs w:val="26"/>
          <w:shd w:val="clear" w:color="auto" w:fill="FFFFFF"/>
        </w:rPr>
        <w:t>Slough</w:t>
      </w:r>
      <w:r w:rsidR="005A2B8E" w:rsidRPr="00805ED0">
        <w:rPr>
          <w:rFonts w:cstheme="minorHAnsi"/>
          <w:szCs w:val="26"/>
          <w:shd w:val="clear" w:color="auto" w:fill="FFFFFF"/>
        </w:rPr>
        <w:t xml:space="preserve">, who play no part in the act that directly inflicts the injury, the </w:t>
      </w:r>
      <w:r w:rsidR="00B44386" w:rsidRPr="00805ED0">
        <w:rPr>
          <w:rFonts w:cstheme="minorHAnsi"/>
          <w:szCs w:val="26"/>
          <w:shd w:val="clear" w:color="auto" w:fill="FFFFFF"/>
        </w:rPr>
        <w:t xml:space="preserve">term </w:t>
      </w:r>
      <w:r w:rsidR="005A2B8E" w:rsidRPr="00805ED0">
        <w:rPr>
          <w:rFonts w:cstheme="minorHAnsi"/>
          <w:szCs w:val="26"/>
          <w:shd w:val="clear" w:color="auto" w:fill="FFFFFF"/>
        </w:rPr>
        <w:t xml:space="preserve">“personally” </w:t>
      </w:r>
      <w:r w:rsidR="00B44386" w:rsidRPr="00805ED0">
        <w:rPr>
          <w:rFonts w:cstheme="minorHAnsi"/>
          <w:szCs w:val="26"/>
          <w:shd w:val="clear" w:color="auto" w:fill="FFFFFF"/>
        </w:rPr>
        <w:t xml:space="preserve">in the phrase “personally inflicts” would be read </w:t>
      </w:r>
      <w:r w:rsidR="003A6BE8" w:rsidRPr="00805ED0">
        <w:rPr>
          <w:rFonts w:cstheme="minorHAnsi"/>
          <w:szCs w:val="26"/>
          <w:shd w:val="clear" w:color="auto" w:fill="FFFFFF"/>
        </w:rPr>
        <w:t xml:space="preserve">out </w:t>
      </w:r>
      <w:r w:rsidR="005A2B8E" w:rsidRPr="00805ED0">
        <w:rPr>
          <w:rFonts w:cstheme="minorHAnsi"/>
          <w:szCs w:val="26"/>
          <w:shd w:val="clear" w:color="auto" w:fill="FFFFFF"/>
        </w:rPr>
        <w:t>of section 12022.7.</w:t>
      </w:r>
      <w:r w:rsidR="00E27E74" w:rsidRPr="00805ED0">
        <w:rPr>
          <w:rFonts w:cstheme="minorHAnsi"/>
          <w:szCs w:val="26"/>
          <w:shd w:val="clear" w:color="auto" w:fill="FFFFFF"/>
        </w:rPr>
        <w:t xml:space="preserve">  </w:t>
      </w:r>
      <w:r w:rsidR="00240A91" w:rsidRPr="00805ED0">
        <w:rPr>
          <w:rFonts w:cstheme="minorHAnsi"/>
          <w:szCs w:val="26"/>
          <w:shd w:val="clear" w:color="auto" w:fill="FFFFFF"/>
        </w:rPr>
        <w:t>To effectuate the Legislature’s intent</w:t>
      </w:r>
      <w:r w:rsidR="0038269B" w:rsidRPr="00805ED0">
        <w:rPr>
          <w:rFonts w:cstheme="minorHAnsi"/>
          <w:szCs w:val="26"/>
          <w:shd w:val="clear" w:color="auto" w:fill="FFFFFF"/>
        </w:rPr>
        <w:t xml:space="preserve"> to impose the enhancement only on “those who directly perform the act that causes the physical injury to the victim”</w:t>
      </w:r>
      <w:r w:rsidR="00670935" w:rsidRPr="00805ED0">
        <w:rPr>
          <w:rFonts w:cstheme="minorHAnsi"/>
          <w:szCs w:val="26"/>
          <w:shd w:val="clear" w:color="auto" w:fill="FFFFFF"/>
        </w:rPr>
        <w:t xml:space="preserve"> (</w:t>
      </w:r>
      <w:r w:rsidR="00670935" w:rsidRPr="00805ED0">
        <w:rPr>
          <w:rFonts w:cstheme="minorHAnsi"/>
          <w:i/>
          <w:iCs/>
          <w:szCs w:val="26"/>
          <w:shd w:val="clear" w:color="auto" w:fill="FFFFFF"/>
        </w:rPr>
        <w:t>Cole</w:t>
      </w:r>
      <w:r w:rsidR="00670935" w:rsidRPr="00805ED0">
        <w:rPr>
          <w:rFonts w:cstheme="minorHAnsi"/>
          <w:szCs w:val="26"/>
          <w:shd w:val="clear" w:color="auto" w:fill="FFFFFF"/>
        </w:rPr>
        <w:t xml:space="preserve">, </w:t>
      </w:r>
      <w:r w:rsidR="00670935" w:rsidRPr="00805ED0">
        <w:rPr>
          <w:rFonts w:cstheme="minorHAnsi"/>
          <w:i/>
          <w:iCs/>
          <w:szCs w:val="26"/>
          <w:shd w:val="clear" w:color="auto" w:fill="FFFFFF"/>
        </w:rPr>
        <w:t>supra</w:t>
      </w:r>
      <w:r w:rsidR="00670935" w:rsidRPr="00805ED0">
        <w:rPr>
          <w:rFonts w:cstheme="minorHAnsi"/>
          <w:szCs w:val="26"/>
          <w:shd w:val="clear" w:color="auto" w:fill="FFFFFF"/>
        </w:rPr>
        <w:t>, 31</w:t>
      </w:r>
      <w:r w:rsidR="00E85AEE" w:rsidRPr="00805ED0">
        <w:rPr>
          <w:rFonts w:cstheme="minorHAnsi"/>
          <w:szCs w:val="26"/>
          <w:shd w:val="clear" w:color="auto" w:fill="FFFFFF"/>
        </w:rPr>
        <w:t> </w:t>
      </w:r>
      <w:r w:rsidR="00670935" w:rsidRPr="00805ED0">
        <w:rPr>
          <w:rFonts w:cstheme="minorHAnsi"/>
          <w:szCs w:val="26"/>
          <w:shd w:val="clear" w:color="auto" w:fill="FFFFFF"/>
        </w:rPr>
        <w:t>Cal.3d at p. 579)</w:t>
      </w:r>
      <w:r w:rsidR="00240A91" w:rsidRPr="00805ED0">
        <w:rPr>
          <w:rFonts w:cstheme="minorHAnsi"/>
          <w:szCs w:val="26"/>
          <w:shd w:val="clear" w:color="auto" w:fill="FFFFFF"/>
        </w:rPr>
        <w:t xml:space="preserve">, </w:t>
      </w:r>
      <w:r w:rsidR="003A6BE8" w:rsidRPr="00805ED0">
        <w:rPr>
          <w:rFonts w:cstheme="minorHAnsi"/>
          <w:szCs w:val="26"/>
          <w:shd w:val="clear" w:color="auto" w:fill="FFFFFF"/>
        </w:rPr>
        <w:t xml:space="preserve">we hold that the </w:t>
      </w:r>
      <w:r w:rsidR="00E40EBB" w:rsidRPr="00805ED0">
        <w:rPr>
          <w:rFonts w:cstheme="minorHAnsi"/>
          <w:szCs w:val="26"/>
          <w:shd w:val="clear" w:color="auto" w:fill="FFFFFF"/>
        </w:rPr>
        <w:t xml:space="preserve">applicability of section 12022.7, subdivision (a) to cases where a victim suffers great bodily injury from using drugs unlawfully furnished by the defendant depends on </w:t>
      </w:r>
      <w:r w:rsidR="00240A91" w:rsidRPr="00805ED0">
        <w:rPr>
          <w:rFonts w:cstheme="minorHAnsi"/>
          <w:szCs w:val="26"/>
          <w:shd w:val="clear" w:color="auto" w:fill="FFFFFF"/>
        </w:rPr>
        <w:t xml:space="preserve">the particular </w:t>
      </w:r>
      <w:r w:rsidR="003A6BE8" w:rsidRPr="00805ED0">
        <w:rPr>
          <w:rFonts w:cstheme="minorHAnsi"/>
          <w:szCs w:val="26"/>
          <w:shd w:val="clear" w:color="auto" w:fill="FFFFFF"/>
        </w:rPr>
        <w:t xml:space="preserve">circumstances </w:t>
      </w:r>
      <w:r w:rsidR="00240A91" w:rsidRPr="00805ED0">
        <w:rPr>
          <w:rFonts w:cstheme="minorHAnsi"/>
          <w:szCs w:val="26"/>
          <w:shd w:val="clear" w:color="auto" w:fill="FFFFFF"/>
        </w:rPr>
        <w:t>of each ca</w:t>
      </w:r>
      <w:r w:rsidR="000E7BDA" w:rsidRPr="00805ED0">
        <w:rPr>
          <w:rFonts w:cstheme="minorHAnsi"/>
          <w:szCs w:val="26"/>
          <w:shd w:val="clear" w:color="auto" w:fill="FFFFFF"/>
        </w:rPr>
        <w:t>se</w:t>
      </w:r>
      <w:r w:rsidR="00E40EBB" w:rsidRPr="00805ED0">
        <w:rPr>
          <w:rFonts w:cstheme="minorHAnsi"/>
          <w:szCs w:val="26"/>
          <w:shd w:val="clear" w:color="auto" w:fill="FFFFFF"/>
        </w:rPr>
        <w:t>.</w:t>
      </w:r>
    </w:p>
    <w:p w14:paraId="672FF35B" w14:textId="3232470B" w:rsidR="00FF60FA" w:rsidRPr="00805ED0" w:rsidRDefault="007F040E" w:rsidP="00805ED0">
      <w:pPr>
        <w:ind w:firstLine="720"/>
        <w:rPr>
          <w:szCs w:val="26"/>
        </w:rPr>
      </w:pPr>
      <w:r w:rsidRPr="00805ED0">
        <w:rPr>
          <w:rFonts w:cstheme="minorHAnsi"/>
          <w:szCs w:val="26"/>
          <w:shd w:val="clear" w:color="auto" w:fill="FFFFFF"/>
        </w:rPr>
        <w:t>In determining whether the personal infliction requirement is satisfied, the key inquiry is whether “the furnishing was akin to administering.”  (</w:t>
      </w:r>
      <w:r w:rsidRPr="00805ED0">
        <w:rPr>
          <w:rFonts w:cstheme="minorHAnsi"/>
          <w:i/>
          <w:iCs/>
          <w:szCs w:val="26"/>
          <w:shd w:val="clear" w:color="auto" w:fill="FFFFFF"/>
        </w:rPr>
        <w:t>Slough,</w:t>
      </w:r>
      <w:r w:rsidRPr="00805ED0">
        <w:rPr>
          <w:rFonts w:cstheme="minorHAnsi"/>
          <w:i/>
          <w:szCs w:val="26"/>
          <w:shd w:val="clear" w:color="auto" w:fill="FFFFFF"/>
        </w:rPr>
        <w:t xml:space="preserve"> supra</w:t>
      </w:r>
      <w:r w:rsidRPr="00805ED0">
        <w:rPr>
          <w:rFonts w:cstheme="minorHAnsi"/>
          <w:szCs w:val="26"/>
          <w:shd w:val="clear" w:color="auto" w:fill="FFFFFF"/>
        </w:rPr>
        <w:t xml:space="preserve">, 11 Cal.App.5th at p. 425.)  </w:t>
      </w:r>
      <w:r w:rsidRPr="00805ED0">
        <w:t>When</w:t>
      </w:r>
      <w:r w:rsidRPr="00805ED0">
        <w:rPr>
          <w:szCs w:val="26"/>
        </w:rPr>
        <w:t xml:space="preserve"> a defendant </w:t>
      </w:r>
      <w:r w:rsidRPr="00805ED0">
        <w:rPr>
          <w:i/>
          <w:iCs/>
          <w:szCs w:val="26"/>
        </w:rPr>
        <w:t>administers</w:t>
      </w:r>
      <w:r w:rsidRPr="00805ED0">
        <w:rPr>
          <w:szCs w:val="26"/>
        </w:rPr>
        <w:t xml:space="preserve"> the drugs without the victim’s consent, </w:t>
      </w:r>
      <w:r w:rsidR="00403F4E" w:rsidRPr="00805ED0">
        <w:rPr>
          <w:szCs w:val="26"/>
        </w:rPr>
        <w:t>the defendant</w:t>
      </w:r>
      <w:r w:rsidRPr="00805ED0">
        <w:rPr>
          <w:szCs w:val="26"/>
        </w:rPr>
        <w:t xml:space="preserve"> has participated in the injury-causing act and thus may be held liable for personal infliction of the overdose</w:t>
      </w:r>
      <w:r w:rsidR="00403F4E" w:rsidRPr="00805ED0">
        <w:rPr>
          <w:szCs w:val="26"/>
        </w:rPr>
        <w:t>.  W</w:t>
      </w:r>
      <w:r w:rsidRPr="00805ED0">
        <w:rPr>
          <w:szCs w:val="26"/>
        </w:rPr>
        <w:t xml:space="preserve">here </w:t>
      </w:r>
      <w:r w:rsidR="00403F4E" w:rsidRPr="00805ED0">
        <w:rPr>
          <w:szCs w:val="26"/>
        </w:rPr>
        <w:t>a defendant</w:t>
      </w:r>
      <w:r w:rsidRPr="00805ED0">
        <w:rPr>
          <w:szCs w:val="26"/>
        </w:rPr>
        <w:t xml:space="preserve"> simply </w:t>
      </w:r>
      <w:r w:rsidR="00AF5DE7">
        <w:rPr>
          <w:i/>
          <w:iCs/>
          <w:szCs w:val="26"/>
        </w:rPr>
        <w:t>provides</w:t>
      </w:r>
      <w:r w:rsidR="00AF5DE7" w:rsidRPr="00805ED0">
        <w:rPr>
          <w:szCs w:val="26"/>
        </w:rPr>
        <w:t xml:space="preserve"> </w:t>
      </w:r>
      <w:r w:rsidRPr="00805ED0">
        <w:rPr>
          <w:szCs w:val="26"/>
        </w:rPr>
        <w:t>drugs</w:t>
      </w:r>
      <w:r w:rsidR="00403F4E" w:rsidRPr="00805ED0">
        <w:rPr>
          <w:szCs w:val="26"/>
        </w:rPr>
        <w:t xml:space="preserve"> to a user who </w:t>
      </w:r>
      <w:r w:rsidR="00A847A0" w:rsidRPr="00805ED0">
        <w:rPr>
          <w:szCs w:val="26"/>
        </w:rPr>
        <w:t xml:space="preserve">subsequently </w:t>
      </w:r>
      <w:r w:rsidR="00403F4E" w:rsidRPr="00805ED0">
        <w:rPr>
          <w:szCs w:val="26"/>
        </w:rPr>
        <w:t>overdoses</w:t>
      </w:r>
      <w:r w:rsidRPr="00805ED0">
        <w:rPr>
          <w:szCs w:val="26"/>
        </w:rPr>
        <w:t xml:space="preserve">, </w:t>
      </w:r>
      <w:r w:rsidR="00403F4E" w:rsidRPr="00805ED0">
        <w:rPr>
          <w:szCs w:val="26"/>
        </w:rPr>
        <w:t>the defendant</w:t>
      </w:r>
      <w:r w:rsidRPr="00805ED0">
        <w:rPr>
          <w:szCs w:val="26"/>
        </w:rPr>
        <w:t xml:space="preserve"> facilitates but does not personally inflict the overdose.</w:t>
      </w:r>
      <w:r w:rsidR="00B144DE" w:rsidRPr="00805ED0">
        <w:rPr>
          <w:szCs w:val="26"/>
        </w:rPr>
        <w:t xml:space="preserve">  Th</w:t>
      </w:r>
      <w:r w:rsidR="005E6822" w:rsidRPr="00805ED0">
        <w:rPr>
          <w:szCs w:val="26"/>
        </w:rPr>
        <w:t>is</w:t>
      </w:r>
      <w:r w:rsidR="00B144DE" w:rsidRPr="00805ED0">
        <w:rPr>
          <w:szCs w:val="26"/>
        </w:rPr>
        <w:t xml:space="preserve"> distinction </w:t>
      </w:r>
      <w:r w:rsidR="005E6822" w:rsidRPr="00805ED0">
        <w:rPr>
          <w:szCs w:val="26"/>
        </w:rPr>
        <w:t>recognize</w:t>
      </w:r>
      <w:r w:rsidR="00403F4E" w:rsidRPr="00805ED0">
        <w:rPr>
          <w:szCs w:val="26"/>
        </w:rPr>
        <w:t>s</w:t>
      </w:r>
      <w:r w:rsidR="005E6822" w:rsidRPr="00805ED0">
        <w:rPr>
          <w:szCs w:val="26"/>
        </w:rPr>
        <w:t xml:space="preserve"> the importance of </w:t>
      </w:r>
      <w:r w:rsidR="007E113C" w:rsidRPr="00805ED0">
        <w:rPr>
          <w:szCs w:val="26"/>
        </w:rPr>
        <w:t xml:space="preserve">the voluntariness of a victim’s ingestion in the determination of whether a defendant </w:t>
      </w:r>
      <w:r w:rsidR="007E113C" w:rsidRPr="00805ED0">
        <w:rPr>
          <w:szCs w:val="26"/>
        </w:rPr>
        <w:lastRenderedPageBreak/>
        <w:t>personally inflict</w:t>
      </w:r>
      <w:r w:rsidR="00D16D5C" w:rsidRPr="00805ED0">
        <w:rPr>
          <w:szCs w:val="26"/>
        </w:rPr>
        <w:t>s</w:t>
      </w:r>
      <w:r w:rsidR="007E113C" w:rsidRPr="00805ED0">
        <w:rPr>
          <w:szCs w:val="26"/>
        </w:rPr>
        <w:t xml:space="preserve"> great bodily injury</w:t>
      </w:r>
      <w:r w:rsidR="00292DC2" w:rsidRPr="00805ED0">
        <w:rPr>
          <w:szCs w:val="26"/>
        </w:rPr>
        <w:t xml:space="preserve"> in the drug furnishing context.</w:t>
      </w:r>
      <w:r w:rsidR="00D16D5C" w:rsidRPr="00805ED0">
        <w:rPr>
          <w:szCs w:val="26"/>
        </w:rPr>
        <w:t xml:space="preserve">  </w:t>
      </w:r>
      <w:r w:rsidR="00030B21" w:rsidRPr="00805ED0">
        <w:t xml:space="preserve">To be eligible for the great bodily injury enhancement, a defendant’s participation in the act of ingestion must occur in circumstances in which the victim is not an independent </w:t>
      </w:r>
      <w:r w:rsidR="007F67B4" w:rsidRPr="00805ED0">
        <w:t>“</w:t>
      </w:r>
      <w:r w:rsidR="00030B21" w:rsidRPr="00805ED0">
        <w:t>intermediary</w:t>
      </w:r>
      <w:r w:rsidR="007F67B4" w:rsidRPr="00805ED0">
        <w:t>”</w:t>
      </w:r>
      <w:r w:rsidR="00030B21" w:rsidRPr="00805ED0">
        <w:t xml:space="preserve"> capable of breaking the </w:t>
      </w:r>
      <w:r w:rsidR="007F67B4" w:rsidRPr="00805ED0">
        <w:t>“</w:t>
      </w:r>
      <w:r w:rsidR="00030B21" w:rsidRPr="00805ED0">
        <w:t>personal[]</w:t>
      </w:r>
      <w:r w:rsidR="007F67B4" w:rsidRPr="00805ED0">
        <w:t>”</w:t>
      </w:r>
      <w:r w:rsidR="00030B21" w:rsidRPr="00805ED0">
        <w:t xml:space="preserve"> nexus between the defendant and the overdose injury.  (</w:t>
      </w:r>
      <w:r w:rsidR="00030B21" w:rsidRPr="00805ED0">
        <w:rPr>
          <w:i/>
          <w:iCs/>
        </w:rPr>
        <w:t>Cross</w:t>
      </w:r>
      <w:r w:rsidR="00713A9E" w:rsidRPr="00805ED0">
        <w:t xml:space="preserve">, </w:t>
      </w:r>
      <w:r w:rsidR="00713A9E" w:rsidRPr="00805ED0">
        <w:rPr>
          <w:i/>
          <w:iCs/>
        </w:rPr>
        <w:t>supra</w:t>
      </w:r>
      <w:r w:rsidR="00713A9E" w:rsidRPr="00805ED0">
        <w:t>,</w:t>
      </w:r>
      <w:r w:rsidR="00030B21" w:rsidRPr="00805ED0">
        <w:t xml:space="preserve"> 45 Cal.4th </w:t>
      </w:r>
      <w:r w:rsidR="00713A9E" w:rsidRPr="00805ED0">
        <w:t>at p. </w:t>
      </w:r>
      <w:r w:rsidR="00030B21" w:rsidRPr="00805ED0">
        <w:t>68.)  Whereas a victim with full capacity</w:t>
      </w:r>
      <w:r w:rsidR="00773038">
        <w:t xml:space="preserve"> who voluntarily chooses to ingest a controlled substance</w:t>
      </w:r>
      <w:r w:rsidR="00030B21" w:rsidRPr="00805ED0">
        <w:t xml:space="preserve"> is an independent intermediary, a victim who ingests drugs </w:t>
      </w:r>
      <w:r w:rsidR="00A847A0" w:rsidRPr="00805ED0">
        <w:t>as a result</w:t>
      </w:r>
      <w:r w:rsidR="00030B21" w:rsidRPr="00805ED0">
        <w:t xml:space="preserve"> of coercion or with diminished capacity is not.  </w:t>
      </w:r>
      <w:r w:rsidR="002A1706">
        <w:t>B</w:t>
      </w:r>
      <w:r w:rsidR="00A847A0" w:rsidRPr="00805ED0">
        <w:t xml:space="preserve">ecause </w:t>
      </w:r>
      <w:r w:rsidR="00030B21" w:rsidRPr="00805ED0">
        <w:t xml:space="preserve">the victim’s intoxication in </w:t>
      </w:r>
      <w:r w:rsidR="00030B21" w:rsidRPr="00805ED0">
        <w:rPr>
          <w:i/>
          <w:iCs/>
          <w:szCs w:val="26"/>
        </w:rPr>
        <w:t>Martinez</w:t>
      </w:r>
      <w:r w:rsidR="00030B21" w:rsidRPr="00805ED0">
        <w:rPr>
          <w:szCs w:val="26"/>
        </w:rPr>
        <w:t xml:space="preserve"> </w:t>
      </w:r>
      <w:r w:rsidR="00030B21" w:rsidRPr="00805ED0">
        <w:t xml:space="preserve">impaired her ability to stop consuming </w:t>
      </w:r>
      <w:r w:rsidR="00A847A0" w:rsidRPr="00805ED0">
        <w:t>drugs</w:t>
      </w:r>
      <w:r w:rsidR="00030B21" w:rsidRPr="00805ED0">
        <w:t>, her consumption was not fully voluntary.</w:t>
      </w:r>
    </w:p>
    <w:p w14:paraId="7B55776C" w14:textId="3F36EC11" w:rsidR="000902B9" w:rsidRPr="00805ED0" w:rsidRDefault="000902B9" w:rsidP="00805ED0">
      <w:pPr>
        <w:pStyle w:val="Heading1"/>
        <w:rPr>
          <w:shd w:val="clear" w:color="auto" w:fill="FFFFFF"/>
        </w:rPr>
      </w:pPr>
      <w:r w:rsidRPr="00805ED0">
        <w:rPr>
          <w:shd w:val="clear" w:color="auto" w:fill="FFFFFF"/>
        </w:rPr>
        <w:t>III.</w:t>
      </w:r>
    </w:p>
    <w:p w14:paraId="1FB5C974" w14:textId="4DDC40A5" w:rsidR="00240A91" w:rsidRPr="00805ED0" w:rsidRDefault="00AE624E" w:rsidP="00805ED0">
      <w:pPr>
        <w:ind w:firstLine="720"/>
      </w:pPr>
      <w:r w:rsidRPr="00805ED0">
        <w:rPr>
          <w:rFonts w:cstheme="minorHAnsi"/>
          <w:szCs w:val="26"/>
          <w:shd w:val="clear" w:color="auto" w:fill="FFFFFF"/>
        </w:rPr>
        <w:t>T</w:t>
      </w:r>
      <w:r w:rsidR="00396254" w:rsidRPr="00805ED0">
        <w:rPr>
          <w:rFonts w:cstheme="minorHAnsi"/>
          <w:szCs w:val="26"/>
          <w:shd w:val="clear" w:color="auto" w:fill="FFFFFF"/>
        </w:rPr>
        <w:t xml:space="preserve">he </w:t>
      </w:r>
      <w:r w:rsidR="00240A91" w:rsidRPr="00805ED0">
        <w:rPr>
          <w:rFonts w:cstheme="minorHAnsi"/>
          <w:szCs w:val="26"/>
          <w:shd w:val="clear" w:color="auto" w:fill="FFFFFF"/>
        </w:rPr>
        <w:t xml:space="preserve">Court of Appeal </w:t>
      </w:r>
      <w:r w:rsidR="00396254" w:rsidRPr="00805ED0">
        <w:rPr>
          <w:rFonts w:cstheme="minorHAnsi"/>
          <w:szCs w:val="26"/>
          <w:shd w:val="clear" w:color="auto" w:fill="FFFFFF"/>
        </w:rPr>
        <w:t>below warned that</w:t>
      </w:r>
      <w:r w:rsidR="00240A91" w:rsidRPr="00805ED0">
        <w:rPr>
          <w:rFonts w:cstheme="minorHAnsi"/>
          <w:szCs w:val="26"/>
          <w:shd w:val="clear" w:color="auto" w:fill="FFFFFF"/>
        </w:rPr>
        <w:t xml:space="preserve"> </w:t>
      </w:r>
      <w:r w:rsidR="00240A91" w:rsidRPr="00805ED0">
        <w:t xml:space="preserve">if a victim’s </w:t>
      </w:r>
      <w:r w:rsidR="00ED10CF" w:rsidRPr="00805ED0">
        <w:t xml:space="preserve">independent </w:t>
      </w:r>
      <w:r w:rsidR="00240A91" w:rsidRPr="00805ED0">
        <w:t>ingestion of drugs were to shield the drug furnisher from a finding of personal infliction, this would contravene the plain language of section 12022.7</w:t>
      </w:r>
      <w:r w:rsidR="00ED4BAB" w:rsidRPr="00805ED0">
        <w:t xml:space="preserve"> by shielding an entire class of crimes from the </w:t>
      </w:r>
      <w:r w:rsidR="002920D4" w:rsidRPr="00805ED0">
        <w:t>enhancement</w:t>
      </w:r>
      <w:r w:rsidR="00240A91" w:rsidRPr="00805ED0">
        <w:t>.  (</w:t>
      </w:r>
      <w:proofErr w:type="spellStart"/>
      <w:r w:rsidR="00240A91" w:rsidRPr="00805ED0">
        <w:rPr>
          <w:i/>
        </w:rPr>
        <w:t>Ollo</w:t>
      </w:r>
      <w:proofErr w:type="spellEnd"/>
      <w:r w:rsidR="00240A91" w:rsidRPr="00805ED0">
        <w:t xml:space="preserve">, </w:t>
      </w:r>
      <w:r w:rsidR="00240A91" w:rsidRPr="00805ED0">
        <w:rPr>
          <w:i/>
        </w:rPr>
        <w:t>supra</w:t>
      </w:r>
      <w:r w:rsidR="00240A91" w:rsidRPr="00805ED0">
        <w:t>, 42 Cal.App.5th at p.</w:t>
      </w:r>
      <w:r w:rsidR="006863F3" w:rsidRPr="00805ED0">
        <w:t> </w:t>
      </w:r>
      <w:r w:rsidR="00240A91" w:rsidRPr="00805ED0">
        <w:t xml:space="preserve">1158.)  </w:t>
      </w:r>
      <w:r w:rsidR="002920D4" w:rsidRPr="00805ED0">
        <w:t xml:space="preserve">As the </w:t>
      </w:r>
      <w:r w:rsidR="00F92CF7" w:rsidRPr="00805ED0">
        <w:t>court</w:t>
      </w:r>
      <w:r w:rsidR="00240A91" w:rsidRPr="00805ED0">
        <w:t xml:space="preserve"> </w:t>
      </w:r>
      <w:r w:rsidR="002920D4" w:rsidRPr="00805ED0">
        <w:t xml:space="preserve">observed, </w:t>
      </w:r>
      <w:r w:rsidR="00240A91" w:rsidRPr="00805ED0">
        <w:t xml:space="preserve">section 12022.7, </w:t>
      </w:r>
      <w:r w:rsidR="00240A91" w:rsidRPr="00805ED0">
        <w:rPr>
          <w:rFonts w:cstheme="minorHAnsi"/>
          <w:szCs w:val="26"/>
        </w:rPr>
        <w:t xml:space="preserve">subdivision (g) lists certain crimes that cannot support a great bodily injury enhancement.  </w:t>
      </w:r>
      <w:r w:rsidR="00240A91" w:rsidRPr="00805ED0">
        <w:t>(</w:t>
      </w:r>
      <w:proofErr w:type="spellStart"/>
      <w:r w:rsidR="00A936E7" w:rsidRPr="00805ED0">
        <w:rPr>
          <w:i/>
        </w:rPr>
        <w:t>Ollo</w:t>
      </w:r>
      <w:proofErr w:type="spellEnd"/>
      <w:r w:rsidR="00A936E7" w:rsidRPr="00805ED0">
        <w:t>, at p. 1158</w:t>
      </w:r>
      <w:r w:rsidR="00240A91" w:rsidRPr="00805ED0">
        <w:t>.)  This list consists of murder, manslaughter, arson as defined in section 451, and unlawfully causing fire as defined in section 452</w:t>
      </w:r>
      <w:r w:rsidR="00B91227" w:rsidRPr="00805ED0">
        <w:t>; it does not include furnishing controlled substances</w:t>
      </w:r>
      <w:r w:rsidR="00240A91" w:rsidRPr="00805ED0">
        <w:t>.  (</w:t>
      </w:r>
      <w:proofErr w:type="spellStart"/>
      <w:r w:rsidR="003A6BE8" w:rsidRPr="00805ED0">
        <w:rPr>
          <w:i/>
        </w:rPr>
        <w:t>Ollo</w:t>
      </w:r>
      <w:proofErr w:type="spellEnd"/>
      <w:r w:rsidR="003A6BE8" w:rsidRPr="00805ED0">
        <w:t>, at p. 1158</w:t>
      </w:r>
      <w:r w:rsidR="00240A91" w:rsidRPr="00805ED0">
        <w:t xml:space="preserve">.)  </w:t>
      </w:r>
      <w:r w:rsidR="00240A91" w:rsidRPr="00805ED0">
        <w:rPr>
          <w:rFonts w:cstheme="minorHAnsi"/>
          <w:szCs w:val="26"/>
        </w:rPr>
        <w:t>“</w:t>
      </w:r>
      <w:r w:rsidR="00240A91" w:rsidRPr="00805ED0">
        <w:rPr>
          <w:rFonts w:cstheme="minorHAnsi"/>
          <w:szCs w:val="26"/>
          <w:shd w:val="clear" w:color="auto" w:fill="FFFFFF"/>
        </w:rPr>
        <w:t>Were we to conclude that a victim’s voluntary ingestion of a drug furnished by another breaks the causal chain as a matter of law,</w:t>
      </w:r>
      <w:r w:rsidR="003A6BE8" w:rsidRPr="00805ED0">
        <w:rPr>
          <w:rFonts w:cstheme="minorHAnsi"/>
          <w:szCs w:val="26"/>
          <w:shd w:val="clear" w:color="auto" w:fill="FFFFFF"/>
        </w:rPr>
        <w:t xml:space="preserve">” </w:t>
      </w:r>
      <w:r w:rsidR="003A6BE8" w:rsidRPr="00805ED0">
        <w:rPr>
          <w:rFonts w:cstheme="minorHAnsi"/>
          <w:szCs w:val="26"/>
        </w:rPr>
        <w:t xml:space="preserve">the court reasoned, </w:t>
      </w:r>
      <w:r w:rsidR="003A6BE8" w:rsidRPr="00805ED0">
        <w:rPr>
          <w:rFonts w:cstheme="minorHAnsi"/>
          <w:szCs w:val="26"/>
          <w:shd w:val="clear" w:color="auto" w:fill="FFFFFF"/>
        </w:rPr>
        <w:t>“</w:t>
      </w:r>
      <w:r w:rsidR="00240A91" w:rsidRPr="00805ED0">
        <w:rPr>
          <w:rFonts w:cstheme="minorHAnsi"/>
          <w:szCs w:val="26"/>
          <w:shd w:val="clear" w:color="auto" w:fill="FFFFFF"/>
        </w:rPr>
        <w:t xml:space="preserve">we would effectively be adding the crime of furnishing controlled substances to </w:t>
      </w:r>
      <w:r w:rsidR="00557347">
        <w:rPr>
          <w:rFonts w:cstheme="minorHAnsi"/>
          <w:szCs w:val="26"/>
          <w:shd w:val="clear" w:color="auto" w:fill="FFFFFF"/>
        </w:rPr>
        <w:t xml:space="preserve">[section 12022.7,] </w:t>
      </w:r>
      <w:r w:rsidR="00240A91" w:rsidRPr="00805ED0">
        <w:rPr>
          <w:rFonts w:cstheme="minorHAnsi"/>
          <w:szCs w:val="26"/>
          <w:shd w:val="clear" w:color="auto" w:fill="FFFFFF"/>
        </w:rPr>
        <w:t>subdivision (g)’s list.”  (</w:t>
      </w:r>
      <w:r w:rsidR="003A6BE8" w:rsidRPr="00805ED0">
        <w:rPr>
          <w:rFonts w:cstheme="minorHAnsi"/>
          <w:i/>
          <w:iCs/>
          <w:szCs w:val="26"/>
          <w:shd w:val="clear" w:color="auto" w:fill="FFFFFF"/>
        </w:rPr>
        <w:t>Ibid.</w:t>
      </w:r>
      <w:r w:rsidR="00240A91" w:rsidRPr="00805ED0">
        <w:rPr>
          <w:rFonts w:cstheme="minorHAnsi"/>
          <w:szCs w:val="26"/>
          <w:shd w:val="clear" w:color="auto" w:fill="FFFFFF"/>
        </w:rPr>
        <w:t>)</w:t>
      </w:r>
      <w:r w:rsidR="00240A91" w:rsidRPr="00805ED0">
        <w:t xml:space="preserve">  This reasoning assumes that the </w:t>
      </w:r>
      <w:r w:rsidR="003D1061" w:rsidRPr="00805ED0">
        <w:t xml:space="preserve">only alternatives </w:t>
      </w:r>
      <w:r w:rsidR="003A6BE8" w:rsidRPr="00805ED0">
        <w:t xml:space="preserve">are </w:t>
      </w:r>
      <w:r w:rsidR="00240A91" w:rsidRPr="00805ED0">
        <w:t>to hold as a matter of law that the furnishing</w:t>
      </w:r>
      <w:r w:rsidR="00E62A65" w:rsidRPr="00805ED0">
        <w:t xml:space="preserve"> of</w:t>
      </w:r>
      <w:r w:rsidR="00240A91" w:rsidRPr="00805ED0">
        <w:t xml:space="preserve"> drugs is either sufficient or insufficient to establish </w:t>
      </w:r>
      <w:r w:rsidR="00240A91" w:rsidRPr="00805ED0">
        <w:lastRenderedPageBreak/>
        <w:t xml:space="preserve">personal infliction.  But, as </w:t>
      </w:r>
      <w:r w:rsidR="00240A91" w:rsidRPr="00805ED0">
        <w:rPr>
          <w:i/>
          <w:iCs/>
        </w:rPr>
        <w:t>Martinez</w:t>
      </w:r>
      <w:r w:rsidR="00240A91" w:rsidRPr="00805ED0">
        <w:t xml:space="preserve"> and </w:t>
      </w:r>
      <w:r w:rsidR="00240A91" w:rsidRPr="00805ED0">
        <w:rPr>
          <w:i/>
          <w:iCs/>
        </w:rPr>
        <w:t>Slough</w:t>
      </w:r>
      <w:r w:rsidR="00240A91" w:rsidRPr="00805ED0">
        <w:t xml:space="preserve"> </w:t>
      </w:r>
      <w:r w:rsidR="003A6BE8" w:rsidRPr="00805ED0">
        <w:t xml:space="preserve">suggest, </w:t>
      </w:r>
      <w:r w:rsidR="00EF6269" w:rsidRPr="00805ED0">
        <w:t xml:space="preserve">we are not faced with an all-or-nothing choice.  Instead, the statute requires a </w:t>
      </w:r>
      <w:r w:rsidR="00240A91" w:rsidRPr="00805ED0">
        <w:t>fact</w:t>
      </w:r>
      <w:r w:rsidR="00240A91" w:rsidRPr="00805ED0">
        <w:noBreakHyphen/>
      </w:r>
      <w:r w:rsidR="00105F12" w:rsidRPr="00805ED0">
        <w:t xml:space="preserve">specific </w:t>
      </w:r>
      <w:r w:rsidR="00240A91" w:rsidRPr="00805ED0">
        <w:t xml:space="preserve">inquiry that focuses on whether the defendant’s actions in furnishing the drugs amounted to personal infliction of </w:t>
      </w:r>
      <w:r w:rsidR="0044100D" w:rsidRPr="00805ED0">
        <w:t>injury</w:t>
      </w:r>
      <w:r w:rsidR="00240A91" w:rsidRPr="00805ED0">
        <w:t xml:space="preserve"> on the victim.</w:t>
      </w:r>
    </w:p>
    <w:p w14:paraId="5EBF4D5B" w14:textId="6BC94634" w:rsidR="005456F4" w:rsidRPr="00805ED0" w:rsidRDefault="00801B1F" w:rsidP="00805ED0">
      <w:pPr>
        <w:ind w:firstLine="720"/>
      </w:pPr>
      <w:r w:rsidRPr="00805ED0">
        <w:t>The</w:t>
      </w:r>
      <w:r w:rsidR="00240A91" w:rsidRPr="00805ED0">
        <w:t xml:space="preserve"> Court of Appeal also reasoned that applying the enhancement to “drug dealers . . . whenever the persons to whom they furnish drugs are subjected to great bodily injury due to their drug use” serves the deterrent goals of section 12022.7.</w:t>
      </w:r>
      <w:r w:rsidR="00240A91" w:rsidRPr="00805ED0">
        <w:rPr>
          <w:color w:val="0070C0"/>
        </w:rPr>
        <w:t xml:space="preserve">  </w:t>
      </w:r>
      <w:r w:rsidR="00240A91" w:rsidRPr="00805ED0">
        <w:t>(</w:t>
      </w:r>
      <w:proofErr w:type="spellStart"/>
      <w:r w:rsidR="00240A91" w:rsidRPr="00805ED0">
        <w:rPr>
          <w:i/>
        </w:rPr>
        <w:t>Ollo</w:t>
      </w:r>
      <w:proofErr w:type="spellEnd"/>
      <w:r w:rsidR="00240A91" w:rsidRPr="00805ED0">
        <w:t xml:space="preserve">, </w:t>
      </w:r>
      <w:r w:rsidR="00240A91" w:rsidRPr="00805ED0">
        <w:rPr>
          <w:i/>
        </w:rPr>
        <w:t>supra</w:t>
      </w:r>
      <w:r w:rsidR="00240A91" w:rsidRPr="00805ED0">
        <w:t xml:space="preserve">, 42 Cal.App.5th at </w:t>
      </w:r>
      <w:r w:rsidR="00BF36D7" w:rsidRPr="00805ED0">
        <w:t>p</w:t>
      </w:r>
      <w:r w:rsidR="00240A91" w:rsidRPr="00805ED0">
        <w:t>. </w:t>
      </w:r>
      <w:r w:rsidR="00BF36D7" w:rsidRPr="00805ED0">
        <w:t>1159</w:t>
      </w:r>
      <w:r w:rsidR="00240A91" w:rsidRPr="00805ED0">
        <w:t xml:space="preserve">.)  </w:t>
      </w:r>
      <w:r w:rsidR="00F0652B" w:rsidRPr="00805ED0">
        <w:t>T</w:t>
      </w:r>
      <w:r w:rsidR="00240A91" w:rsidRPr="00805ED0">
        <w:t xml:space="preserve">his reasoning is in tension with </w:t>
      </w:r>
      <w:r w:rsidR="00240A91" w:rsidRPr="00805ED0">
        <w:rPr>
          <w:i/>
          <w:iCs/>
        </w:rPr>
        <w:t>Modiri</w:t>
      </w:r>
      <w:r w:rsidR="00240A91" w:rsidRPr="00805ED0">
        <w:t xml:space="preserve">, </w:t>
      </w:r>
      <w:r w:rsidR="00EF6269" w:rsidRPr="00805ED0">
        <w:t>where we said</w:t>
      </w:r>
      <w:r w:rsidR="00240A91" w:rsidRPr="00805ED0">
        <w:t xml:space="preserve"> th</w:t>
      </w:r>
      <w:r w:rsidR="00CD3C27" w:rsidRPr="00805ED0">
        <w:t xml:space="preserve">e </w:t>
      </w:r>
      <w:r w:rsidR="000D7479" w:rsidRPr="00805ED0">
        <w:t>great bodily injury</w:t>
      </w:r>
      <w:r w:rsidR="00240A91" w:rsidRPr="00805ED0">
        <w:t xml:space="preserve"> enhancement aims to “deter[] and punish[] the infliction of gratuitous harm not inherent in the crime itself.”  (</w:t>
      </w:r>
      <w:r w:rsidR="00240A91" w:rsidRPr="00805ED0">
        <w:rPr>
          <w:i/>
        </w:rPr>
        <w:t>Modiri</w:t>
      </w:r>
      <w:r w:rsidR="00240A91" w:rsidRPr="00805ED0">
        <w:t xml:space="preserve">, </w:t>
      </w:r>
      <w:r w:rsidR="00240A91" w:rsidRPr="00805ED0">
        <w:rPr>
          <w:i/>
        </w:rPr>
        <w:t>supra</w:t>
      </w:r>
      <w:r w:rsidR="00240A91" w:rsidRPr="00805ED0">
        <w:t xml:space="preserve">, 39 Cal.4th at p. 492; see </w:t>
      </w:r>
      <w:r w:rsidR="00240A91" w:rsidRPr="00805ED0">
        <w:rPr>
          <w:i/>
          <w:iCs/>
        </w:rPr>
        <w:t>Ahmed</w:t>
      </w:r>
      <w:r w:rsidR="00240A91" w:rsidRPr="00805ED0">
        <w:t xml:space="preserve">, </w:t>
      </w:r>
      <w:r w:rsidR="00240A91" w:rsidRPr="00805ED0">
        <w:rPr>
          <w:i/>
          <w:iCs/>
        </w:rPr>
        <w:t>supra</w:t>
      </w:r>
      <w:r w:rsidR="00240A91" w:rsidRPr="00805ED0">
        <w:t>, 53 Cal.4th at p. 163 [“</w:t>
      </w:r>
      <w:r w:rsidR="00475778" w:rsidRPr="00805ED0">
        <w:t>e</w:t>
      </w:r>
      <w:r w:rsidR="00240A91" w:rsidRPr="00805ED0">
        <w:t xml:space="preserve">nhancement provisions . . . focus on </w:t>
      </w:r>
      <w:r w:rsidR="00240A91" w:rsidRPr="00967661">
        <w:rPr>
          <w:i/>
          <w:iCs/>
        </w:rPr>
        <w:t>aspects</w:t>
      </w:r>
      <w:r w:rsidR="00240A91" w:rsidRPr="00805ED0">
        <w:t xml:space="preserve"> of the criminal act that are not always present and that warrant additional punishment”</w:t>
      </w:r>
      <w:r w:rsidR="00EF6269" w:rsidRPr="00805ED0">
        <w:t>].</w:t>
      </w:r>
      <w:r w:rsidR="00240A91" w:rsidRPr="00805ED0">
        <w:t>)  A fact</w:t>
      </w:r>
      <w:r w:rsidR="00240A91" w:rsidRPr="00805ED0">
        <w:noBreakHyphen/>
        <w:t>based approach better serves the policy goals elucidated</w:t>
      </w:r>
      <w:r w:rsidR="00240A91" w:rsidRPr="00805ED0">
        <w:rPr>
          <w:color w:val="FF0000"/>
        </w:rPr>
        <w:t xml:space="preserve"> </w:t>
      </w:r>
      <w:r w:rsidR="00240A91" w:rsidRPr="00805ED0">
        <w:t xml:space="preserve">in </w:t>
      </w:r>
      <w:r w:rsidR="00240A91" w:rsidRPr="00805ED0">
        <w:rPr>
          <w:i/>
          <w:iCs/>
        </w:rPr>
        <w:t>Modiri.</w:t>
      </w:r>
      <w:r w:rsidR="00240A91" w:rsidRPr="00805ED0">
        <w:t xml:space="preserve">  </w:t>
      </w:r>
      <w:r w:rsidR="005F2525" w:rsidRPr="00805ED0">
        <w:t>As one example, a court might find that the particular wa</w:t>
      </w:r>
      <w:r w:rsidR="003914E5" w:rsidRPr="00805ED0">
        <w:t>y</w:t>
      </w:r>
      <w:r w:rsidR="005F2525" w:rsidRPr="00805ED0">
        <w:t xml:space="preserve"> in which a defendant provided a controlled substance undermined the victim’s </w:t>
      </w:r>
      <w:r w:rsidR="00A847A0" w:rsidRPr="00805ED0">
        <w:t>voluntary</w:t>
      </w:r>
      <w:r w:rsidR="005F2525" w:rsidRPr="00805ED0">
        <w:t xml:space="preserve"> choice </w:t>
      </w:r>
      <w:r w:rsidR="00A847A0" w:rsidRPr="00805ED0">
        <w:t xml:space="preserve">as to </w:t>
      </w:r>
      <w:r w:rsidR="005F2525" w:rsidRPr="00805ED0">
        <w:t xml:space="preserve">whether to consume the drug and thereby directly caused the victim to use the drug in a more dangerous manner than </w:t>
      </w:r>
      <w:r w:rsidR="00C6514B" w:rsidRPr="00805ED0">
        <w:t xml:space="preserve">the </w:t>
      </w:r>
      <w:r w:rsidR="005F2525" w:rsidRPr="00805ED0">
        <w:t>mere</w:t>
      </w:r>
      <w:r w:rsidR="00C6514B" w:rsidRPr="00805ED0">
        <w:t xml:space="preserve"> act of</w:t>
      </w:r>
      <w:r w:rsidR="005F2525" w:rsidRPr="00805ED0">
        <w:t xml:space="preserve"> sell</w:t>
      </w:r>
      <w:r w:rsidR="00C6514B" w:rsidRPr="00805ED0">
        <w:t>ing</w:t>
      </w:r>
      <w:r w:rsidR="005F2525" w:rsidRPr="00805ED0">
        <w:t xml:space="preserve"> drugs on the street.</w:t>
      </w:r>
      <w:r w:rsidR="00240A91" w:rsidRPr="00805ED0">
        <w:t xml:space="preserve">  (</w:t>
      </w:r>
      <w:r w:rsidR="00EF6269" w:rsidRPr="00805ED0">
        <w:t>See, e.g.,</w:t>
      </w:r>
      <w:r w:rsidR="00240A91" w:rsidRPr="00805ED0">
        <w:t xml:space="preserve"> </w:t>
      </w:r>
      <w:r w:rsidR="00240A91" w:rsidRPr="00805ED0">
        <w:rPr>
          <w:rFonts w:cstheme="minorHAnsi"/>
          <w:i/>
          <w:iCs/>
          <w:szCs w:val="26"/>
          <w:shd w:val="clear" w:color="auto" w:fill="FFFFFF"/>
        </w:rPr>
        <w:t>Martinez</w:t>
      </w:r>
      <w:r w:rsidR="00240A91" w:rsidRPr="00805ED0">
        <w:rPr>
          <w:rFonts w:cstheme="minorHAnsi"/>
          <w:szCs w:val="26"/>
          <w:shd w:val="clear" w:color="auto" w:fill="FFFFFF"/>
        </w:rPr>
        <w:t xml:space="preserve">, </w:t>
      </w:r>
      <w:r w:rsidR="00240A91" w:rsidRPr="00805ED0">
        <w:rPr>
          <w:rFonts w:cstheme="minorHAnsi"/>
          <w:i/>
          <w:iCs/>
          <w:szCs w:val="26"/>
          <w:shd w:val="clear" w:color="auto" w:fill="FFFFFF"/>
        </w:rPr>
        <w:t>supra</w:t>
      </w:r>
      <w:r w:rsidR="00240A91" w:rsidRPr="00805ED0">
        <w:rPr>
          <w:rFonts w:cstheme="minorHAnsi"/>
          <w:szCs w:val="26"/>
          <w:shd w:val="clear" w:color="auto" w:fill="FFFFFF"/>
        </w:rPr>
        <w:t xml:space="preserve">, 226 Cal.App.4th </w:t>
      </w:r>
      <w:r w:rsidR="00EF6269" w:rsidRPr="00805ED0">
        <w:rPr>
          <w:rFonts w:cstheme="minorHAnsi"/>
          <w:szCs w:val="26"/>
          <w:shd w:val="clear" w:color="auto" w:fill="FFFFFF"/>
        </w:rPr>
        <w:t xml:space="preserve">at p. 1186 [defendant furnished drugs mixed with alcohol and continued to supply the drugs after </w:t>
      </w:r>
      <w:r w:rsidR="00B44386" w:rsidRPr="00805ED0">
        <w:rPr>
          <w:rFonts w:cstheme="minorHAnsi"/>
          <w:szCs w:val="26"/>
          <w:shd w:val="clear" w:color="auto" w:fill="FFFFFF"/>
        </w:rPr>
        <w:t>observing</w:t>
      </w:r>
      <w:r w:rsidR="00EF6269" w:rsidRPr="00805ED0">
        <w:rPr>
          <w:rFonts w:cstheme="minorHAnsi"/>
          <w:szCs w:val="26"/>
          <w:shd w:val="clear" w:color="auto" w:fill="FFFFFF"/>
        </w:rPr>
        <w:t xml:space="preserve"> the victim had become intoxicated]</w:t>
      </w:r>
      <w:r w:rsidR="00240A91" w:rsidRPr="00805ED0">
        <w:rPr>
          <w:rFonts w:cstheme="minorHAnsi"/>
          <w:szCs w:val="26"/>
          <w:shd w:val="clear" w:color="auto" w:fill="FFFFFF"/>
        </w:rPr>
        <w:t>.)</w:t>
      </w:r>
      <w:r w:rsidR="00240A91" w:rsidRPr="00805ED0">
        <w:t xml:space="preserve">  Applying the enhancement in this circumstance </w:t>
      </w:r>
      <w:r w:rsidR="00EF6269" w:rsidRPr="00805ED0">
        <w:t>w</w:t>
      </w:r>
      <w:r w:rsidR="005F4759" w:rsidRPr="00805ED0">
        <w:t>ould achieve</w:t>
      </w:r>
      <w:r w:rsidR="00240A91" w:rsidRPr="00805ED0">
        <w:t xml:space="preserve"> a deterrent effect independent of the deterrent effect of the punishment for the underlying crime</w:t>
      </w:r>
      <w:r w:rsidR="00EF6269" w:rsidRPr="00805ED0">
        <w:t xml:space="preserve"> of furnishing drugs.</w:t>
      </w:r>
    </w:p>
    <w:p w14:paraId="39689726" w14:textId="536F21E6" w:rsidR="00FE631A" w:rsidRPr="00805ED0" w:rsidRDefault="00EF6269" w:rsidP="00805ED0">
      <w:pPr>
        <w:ind w:firstLine="720"/>
      </w:pPr>
      <w:r w:rsidRPr="00805ED0">
        <w:t>Further, t</w:t>
      </w:r>
      <w:r w:rsidR="00240A91" w:rsidRPr="00805ED0">
        <w:t xml:space="preserve">he Court of Appeal </w:t>
      </w:r>
      <w:r w:rsidR="0096206C" w:rsidRPr="00805ED0">
        <w:t>reasoned</w:t>
      </w:r>
      <w:r w:rsidR="00240A91" w:rsidRPr="00805ED0">
        <w:t xml:space="preserve"> that “a defendant’s act of furnishing drugs and the user’s voluntary act of ingesting </w:t>
      </w:r>
      <w:r w:rsidR="00240A91" w:rsidRPr="00805ED0">
        <w:lastRenderedPageBreak/>
        <w:t>them constitute concurrent direct causes. . . .</w:t>
      </w:r>
      <w:r w:rsidR="00557347">
        <w:t xml:space="preserve"> [¶] .</w:t>
      </w:r>
      <w:r w:rsidR="00833B72">
        <w:t> </w:t>
      </w:r>
      <w:r w:rsidR="00557347">
        <w:t>.</w:t>
      </w:r>
      <w:r w:rsidR="00833B72">
        <w:t> </w:t>
      </w:r>
      <w:r w:rsidR="00557347">
        <w:t>.</w:t>
      </w:r>
      <w:r w:rsidR="00240A91" w:rsidRPr="00805ED0">
        <w:t xml:space="preserve"> [A] defendant directly causes</w:t>
      </w:r>
      <w:r w:rsidR="002F780B">
        <w:t> </w:t>
      </w:r>
      <w:r w:rsidR="00240A91" w:rsidRPr="00805ED0">
        <w:t>— and hence</w:t>
      </w:r>
      <w:r w:rsidR="005F2A5A" w:rsidRPr="00805ED0">
        <w:t>,</w:t>
      </w:r>
      <w:r w:rsidR="00240A91" w:rsidRPr="00805ED0">
        <w:t xml:space="preserve"> personally inflicts</w:t>
      </w:r>
      <w:r w:rsidR="002F780B">
        <w:t> </w:t>
      </w:r>
      <w:r w:rsidR="00240A91" w:rsidRPr="00805ED0">
        <w:t>— great bodily injury when his conduct, together with the victim’s, accidentally produces that injury.”  (</w:t>
      </w:r>
      <w:proofErr w:type="spellStart"/>
      <w:r w:rsidR="00240A91" w:rsidRPr="00805ED0">
        <w:rPr>
          <w:i/>
        </w:rPr>
        <w:t>Ollo</w:t>
      </w:r>
      <w:proofErr w:type="spellEnd"/>
      <w:r w:rsidR="00240A91" w:rsidRPr="00805ED0">
        <w:t xml:space="preserve">, </w:t>
      </w:r>
      <w:r w:rsidR="00240A91" w:rsidRPr="00805ED0">
        <w:rPr>
          <w:i/>
        </w:rPr>
        <w:t>supra</w:t>
      </w:r>
      <w:r w:rsidR="00240A91" w:rsidRPr="00805ED0">
        <w:t>, 42 Cal.App.5th at p. 1158.)</w:t>
      </w:r>
      <w:r w:rsidR="00005AD8" w:rsidRPr="00805ED0">
        <w:t xml:space="preserve">  The </w:t>
      </w:r>
      <w:r w:rsidR="00794C74" w:rsidRPr="00805ED0">
        <w:t>Court of Appeal</w:t>
      </w:r>
      <w:r w:rsidR="00005AD8" w:rsidRPr="00805ED0">
        <w:t xml:space="preserve"> </w:t>
      </w:r>
      <w:r w:rsidR="00522BF3" w:rsidRPr="00805ED0">
        <w:t xml:space="preserve">is </w:t>
      </w:r>
      <w:r w:rsidR="00005AD8" w:rsidRPr="00805ED0">
        <w:t xml:space="preserve">correct </w:t>
      </w:r>
      <w:r w:rsidRPr="00805ED0">
        <w:t>to</w:t>
      </w:r>
      <w:r w:rsidR="0083234F" w:rsidRPr="00805ED0">
        <w:t xml:space="preserve"> recognize that </w:t>
      </w:r>
      <w:r w:rsidR="00194356" w:rsidRPr="00805ED0">
        <w:t xml:space="preserve">more than one person may personally inflict a </w:t>
      </w:r>
      <w:r w:rsidR="008510E5" w:rsidRPr="00805ED0">
        <w:t>single</w:t>
      </w:r>
      <w:r w:rsidR="00194356" w:rsidRPr="00805ED0">
        <w:t xml:space="preserve"> injury</w:t>
      </w:r>
      <w:r w:rsidR="00DD6A1B" w:rsidRPr="00805ED0">
        <w:t xml:space="preserve">.  </w:t>
      </w:r>
      <w:r w:rsidR="00565EB3" w:rsidRPr="00805ED0">
        <w:t xml:space="preserve">In </w:t>
      </w:r>
      <w:r w:rsidR="00565EB3" w:rsidRPr="00805ED0">
        <w:rPr>
          <w:i/>
          <w:iCs/>
        </w:rPr>
        <w:t>Modiri</w:t>
      </w:r>
      <w:r w:rsidR="00565EB3" w:rsidRPr="00805ED0">
        <w:t>,</w:t>
      </w:r>
      <w:r w:rsidR="0023003C" w:rsidRPr="00805ED0">
        <w:t xml:space="preserve"> </w:t>
      </w:r>
      <w:r w:rsidR="00565EB3" w:rsidRPr="00805ED0">
        <w:t xml:space="preserve">we </w:t>
      </w:r>
      <w:r w:rsidR="0023003C" w:rsidRPr="00805ED0">
        <w:t>found</w:t>
      </w:r>
      <w:r w:rsidR="00565EB3" w:rsidRPr="00805ED0">
        <w:t xml:space="preserve"> that a defendant involved in a group beating need not have struck the injuring blow to support a great bodily injury enhancement, provided that the defendant’s personal application of force shows direct participation in the group beating.  (</w:t>
      </w:r>
      <w:r w:rsidR="00565EB3" w:rsidRPr="00805ED0">
        <w:rPr>
          <w:i/>
        </w:rPr>
        <w:t>Modiri</w:t>
      </w:r>
      <w:r w:rsidR="00565EB3" w:rsidRPr="00805ED0">
        <w:t xml:space="preserve">, </w:t>
      </w:r>
      <w:r w:rsidR="00565EB3" w:rsidRPr="00805ED0">
        <w:rPr>
          <w:i/>
          <w:iCs/>
        </w:rPr>
        <w:t>supra</w:t>
      </w:r>
      <w:r w:rsidR="00565EB3" w:rsidRPr="00805ED0">
        <w:t>, 39 Cal.4th at p. 493.)</w:t>
      </w:r>
      <w:r w:rsidR="00B70948" w:rsidRPr="00805ED0">
        <w:t xml:space="preserve">  In reaching this conclusion, we explained that </w:t>
      </w:r>
      <w:r w:rsidR="008A249E" w:rsidRPr="00805ED0">
        <w:t>“[t]he term</w:t>
      </w:r>
      <w:r w:rsidR="004E1887" w:rsidRPr="00805ED0">
        <w:rPr>
          <w:szCs w:val="26"/>
          <w:shd w:val="clear" w:color="auto" w:fill="FFFFFF"/>
        </w:rPr>
        <w:t xml:space="preserve"> </w:t>
      </w:r>
      <w:r w:rsidR="008A249E" w:rsidRPr="00805ED0">
        <w:rPr>
          <w:szCs w:val="26"/>
          <w:shd w:val="clear" w:color="auto" w:fill="FFFFFF"/>
        </w:rPr>
        <w:t>‘</w:t>
      </w:r>
      <w:r w:rsidR="004E1887" w:rsidRPr="00805ED0">
        <w:rPr>
          <w:szCs w:val="26"/>
          <w:shd w:val="clear" w:color="auto" w:fill="FFFFFF"/>
        </w:rPr>
        <w:t>personally,</w:t>
      </w:r>
      <w:r w:rsidR="008A249E" w:rsidRPr="00805ED0">
        <w:rPr>
          <w:szCs w:val="26"/>
          <w:shd w:val="clear" w:color="auto" w:fill="FFFFFF"/>
        </w:rPr>
        <w:t>’</w:t>
      </w:r>
      <w:r w:rsidR="004E1887" w:rsidRPr="00805ED0">
        <w:rPr>
          <w:szCs w:val="26"/>
          <w:shd w:val="clear" w:color="auto" w:fill="FFFFFF"/>
        </w:rPr>
        <w:t xml:space="preserve"> which modifies </w:t>
      </w:r>
      <w:r w:rsidR="008A249E" w:rsidRPr="00805ED0">
        <w:rPr>
          <w:szCs w:val="26"/>
          <w:shd w:val="clear" w:color="auto" w:fill="FFFFFF"/>
        </w:rPr>
        <w:t>‘</w:t>
      </w:r>
      <w:r w:rsidR="004E1887" w:rsidRPr="00805ED0">
        <w:rPr>
          <w:szCs w:val="26"/>
          <w:shd w:val="clear" w:color="auto" w:fill="FFFFFF"/>
        </w:rPr>
        <w:t>inflicts</w:t>
      </w:r>
      <w:r w:rsidR="008A249E" w:rsidRPr="00805ED0">
        <w:rPr>
          <w:szCs w:val="26"/>
          <w:shd w:val="clear" w:color="auto" w:fill="FFFFFF"/>
        </w:rPr>
        <w:t>’</w:t>
      </w:r>
      <w:r w:rsidR="004E1887" w:rsidRPr="00805ED0">
        <w:rPr>
          <w:szCs w:val="26"/>
          <w:shd w:val="clear" w:color="auto" w:fill="FFFFFF"/>
        </w:rPr>
        <w:t xml:space="preserve"> </w:t>
      </w:r>
      <w:r w:rsidR="008A249E" w:rsidRPr="00805ED0">
        <w:rPr>
          <w:szCs w:val="26"/>
          <w:shd w:val="clear" w:color="auto" w:fill="FFFFFF"/>
        </w:rPr>
        <w:t>. . .</w:t>
      </w:r>
      <w:r w:rsidR="00D126AA" w:rsidRPr="00805ED0">
        <w:rPr>
          <w:szCs w:val="26"/>
          <w:shd w:val="clear" w:color="auto" w:fill="FFFFFF"/>
        </w:rPr>
        <w:t> ,</w:t>
      </w:r>
      <w:r w:rsidR="004E1887" w:rsidRPr="00805ED0">
        <w:rPr>
          <w:szCs w:val="26"/>
          <w:shd w:val="clear" w:color="auto" w:fill="FFFFFF"/>
        </w:rPr>
        <w:t xml:space="preserve"> does not mean </w:t>
      </w:r>
      <w:r w:rsidR="004E1887" w:rsidRPr="00805ED0">
        <w:rPr>
          <w:i/>
          <w:iCs/>
          <w:szCs w:val="26"/>
          <w:shd w:val="clear" w:color="auto" w:fill="FFFFFF"/>
        </w:rPr>
        <w:t>exclusive</w:t>
      </w:r>
      <w:r w:rsidR="00557347">
        <w:rPr>
          <w:i/>
          <w:iCs/>
          <w:szCs w:val="26"/>
          <w:shd w:val="clear" w:color="auto" w:fill="FFFFFF"/>
        </w:rPr>
        <w:t xml:space="preserve"> </w:t>
      </w:r>
      <w:r w:rsidR="008A249E" w:rsidRPr="00805ED0">
        <w:rPr>
          <w:szCs w:val="26"/>
          <w:shd w:val="clear" w:color="auto" w:fill="FFFFFF"/>
        </w:rPr>
        <w:t>.</w:t>
      </w:r>
      <w:r w:rsidR="00557347">
        <w:rPr>
          <w:szCs w:val="26"/>
          <w:shd w:val="clear" w:color="auto" w:fill="FFFFFF"/>
        </w:rPr>
        <w:t xml:space="preserve"> . . .</w:t>
      </w:r>
      <w:r w:rsidR="008A249E" w:rsidRPr="00805ED0">
        <w:rPr>
          <w:szCs w:val="26"/>
          <w:shd w:val="clear" w:color="auto" w:fill="FFFFFF"/>
        </w:rPr>
        <w:t>”  (</w:t>
      </w:r>
      <w:r w:rsidR="000C496D" w:rsidRPr="00805ED0">
        <w:rPr>
          <w:i/>
          <w:iCs/>
          <w:szCs w:val="26"/>
          <w:shd w:val="clear" w:color="auto" w:fill="FFFFFF"/>
        </w:rPr>
        <w:t>Ibid.</w:t>
      </w:r>
      <w:r w:rsidR="000C496D" w:rsidRPr="00805ED0">
        <w:rPr>
          <w:szCs w:val="26"/>
          <w:shd w:val="clear" w:color="auto" w:fill="FFFFFF"/>
        </w:rPr>
        <w:t>, italics added.)</w:t>
      </w:r>
      <w:r w:rsidR="00B971FD" w:rsidRPr="00805ED0">
        <w:rPr>
          <w:szCs w:val="26"/>
          <w:shd w:val="clear" w:color="auto" w:fill="FFFFFF"/>
        </w:rPr>
        <w:t xml:space="preserve">  </w:t>
      </w:r>
      <w:r w:rsidR="00114996" w:rsidRPr="00805ED0">
        <w:rPr>
          <w:szCs w:val="26"/>
          <w:shd w:val="clear" w:color="auto" w:fill="FFFFFF"/>
        </w:rPr>
        <w:t>“[N]</w:t>
      </w:r>
      <w:proofErr w:type="spellStart"/>
      <w:r w:rsidR="00114996" w:rsidRPr="00805ED0">
        <w:rPr>
          <w:szCs w:val="26"/>
          <w:shd w:val="clear" w:color="auto" w:fill="FFFFFF"/>
        </w:rPr>
        <w:t>othing</w:t>
      </w:r>
      <w:proofErr w:type="spellEnd"/>
      <w:r w:rsidR="00114996" w:rsidRPr="00805ED0">
        <w:rPr>
          <w:szCs w:val="26"/>
          <w:shd w:val="clear" w:color="auto" w:fill="FFFFFF"/>
        </w:rPr>
        <w:t xml:space="preserve"> in the terms ‘personally’ or ‘inflicts,’ when used in conjunction with </w:t>
      </w:r>
      <w:r w:rsidR="008401B3" w:rsidRPr="00805ED0">
        <w:rPr>
          <w:szCs w:val="26"/>
          <w:shd w:val="clear" w:color="auto" w:fill="FFFFFF"/>
        </w:rPr>
        <w:t>‘</w:t>
      </w:r>
      <w:r w:rsidR="00114996" w:rsidRPr="00805ED0">
        <w:rPr>
          <w:szCs w:val="26"/>
          <w:shd w:val="clear" w:color="auto" w:fill="FFFFFF"/>
        </w:rPr>
        <w:t>great bodily injury</w:t>
      </w:r>
      <w:r w:rsidR="008401B3" w:rsidRPr="00805ED0">
        <w:rPr>
          <w:szCs w:val="26"/>
          <w:shd w:val="clear" w:color="auto" w:fill="FFFFFF"/>
        </w:rPr>
        <w:t>’</w:t>
      </w:r>
      <w:r w:rsidR="00114996" w:rsidRPr="00805ED0">
        <w:rPr>
          <w:szCs w:val="26"/>
          <w:shd w:val="clear" w:color="auto" w:fill="FFFFFF"/>
        </w:rPr>
        <w:t xml:space="preserve"> . . . necessarily implies that the defendant must act alone in causing the victim</w:t>
      </w:r>
      <w:r w:rsidR="008401B3" w:rsidRPr="00805ED0">
        <w:rPr>
          <w:szCs w:val="26"/>
          <w:shd w:val="clear" w:color="auto" w:fill="FFFFFF"/>
        </w:rPr>
        <w:t>’</w:t>
      </w:r>
      <w:r w:rsidR="00114996" w:rsidRPr="00805ED0">
        <w:rPr>
          <w:szCs w:val="26"/>
          <w:shd w:val="clear" w:color="auto" w:fill="FFFFFF"/>
        </w:rPr>
        <w:t>s injuries.”  (</w:t>
      </w:r>
      <w:r w:rsidR="00114996" w:rsidRPr="00805ED0">
        <w:rPr>
          <w:i/>
          <w:iCs/>
          <w:szCs w:val="26"/>
          <w:shd w:val="clear" w:color="auto" w:fill="FFFFFF"/>
        </w:rPr>
        <w:t>Ibid.</w:t>
      </w:r>
      <w:r w:rsidR="006E41FE" w:rsidRPr="00805ED0">
        <w:rPr>
          <w:szCs w:val="26"/>
          <w:shd w:val="clear" w:color="auto" w:fill="FFFFFF"/>
        </w:rPr>
        <w:t xml:space="preserve">; see </w:t>
      </w:r>
      <w:r w:rsidR="006E41FE" w:rsidRPr="00805ED0">
        <w:rPr>
          <w:i/>
          <w:iCs/>
          <w:szCs w:val="26"/>
          <w:shd w:val="clear" w:color="auto" w:fill="FFFFFF"/>
        </w:rPr>
        <w:t>People v. Dominick</w:t>
      </w:r>
      <w:r w:rsidR="006E41FE" w:rsidRPr="00805ED0">
        <w:rPr>
          <w:szCs w:val="26"/>
          <w:shd w:val="clear" w:color="auto" w:fill="FFFFFF"/>
        </w:rPr>
        <w:t xml:space="preserve"> (1986) 182</w:t>
      </w:r>
      <w:r w:rsidR="00E85AEE" w:rsidRPr="00805ED0">
        <w:rPr>
          <w:szCs w:val="26"/>
          <w:shd w:val="clear" w:color="auto" w:fill="FFFFFF"/>
        </w:rPr>
        <w:t> </w:t>
      </w:r>
      <w:r w:rsidR="006E41FE" w:rsidRPr="00805ED0">
        <w:rPr>
          <w:szCs w:val="26"/>
          <w:shd w:val="clear" w:color="auto" w:fill="FFFFFF"/>
        </w:rPr>
        <w:t>Cal.App.3d 1174</w:t>
      </w:r>
      <w:r w:rsidR="006320DD" w:rsidRPr="00805ED0">
        <w:rPr>
          <w:szCs w:val="26"/>
          <w:shd w:val="clear" w:color="auto" w:fill="FFFFFF"/>
        </w:rPr>
        <w:t>, 1210–1211</w:t>
      </w:r>
      <w:r w:rsidR="002F28B5" w:rsidRPr="00805ED0">
        <w:rPr>
          <w:szCs w:val="26"/>
          <w:shd w:val="clear" w:color="auto" w:fill="FFFFFF"/>
        </w:rPr>
        <w:t xml:space="preserve"> </w:t>
      </w:r>
      <w:r w:rsidR="00D77895" w:rsidRPr="00805ED0">
        <w:rPr>
          <w:szCs w:val="26"/>
          <w:shd w:val="clear" w:color="auto" w:fill="FFFFFF"/>
        </w:rPr>
        <w:t>[</w:t>
      </w:r>
      <w:r w:rsidR="00FE631A" w:rsidRPr="00805ED0">
        <w:rPr>
          <w:szCs w:val="26"/>
          <w:shd w:val="clear" w:color="auto" w:fill="FFFFFF"/>
        </w:rPr>
        <w:t xml:space="preserve">defendant who </w:t>
      </w:r>
      <w:r w:rsidR="0082097F" w:rsidRPr="00805ED0">
        <w:rPr>
          <w:szCs w:val="26"/>
          <w:shd w:val="clear" w:color="auto" w:fill="FFFFFF"/>
        </w:rPr>
        <w:t xml:space="preserve">grabbed the victim’s hair and held the victim while a codefendant struck her was </w:t>
      </w:r>
      <w:proofErr w:type="gramStart"/>
      <w:r w:rsidR="0082097F" w:rsidRPr="00805ED0">
        <w:rPr>
          <w:szCs w:val="26"/>
          <w:shd w:val="clear" w:color="auto" w:fill="FFFFFF"/>
        </w:rPr>
        <w:t>directly responsible</w:t>
      </w:r>
      <w:proofErr w:type="gramEnd"/>
      <w:r w:rsidR="0082097F" w:rsidRPr="00805ED0">
        <w:rPr>
          <w:szCs w:val="26"/>
          <w:shd w:val="clear" w:color="auto" w:fill="FFFFFF"/>
        </w:rPr>
        <w:t xml:space="preserve"> for </w:t>
      </w:r>
      <w:r w:rsidR="007F78D2" w:rsidRPr="00805ED0">
        <w:rPr>
          <w:szCs w:val="26"/>
          <w:shd w:val="clear" w:color="auto" w:fill="FFFFFF"/>
        </w:rPr>
        <w:t>the injury the victim suffered when she fell while pulling away]</w:t>
      </w:r>
      <w:r w:rsidR="00D971C9" w:rsidRPr="00805ED0">
        <w:rPr>
          <w:szCs w:val="26"/>
          <w:shd w:val="clear" w:color="auto" w:fill="FFFFFF"/>
        </w:rPr>
        <w:t>.)</w:t>
      </w:r>
    </w:p>
    <w:p w14:paraId="418E33F2" w14:textId="5338F9D0" w:rsidR="00C031BE" w:rsidRPr="00805ED0" w:rsidRDefault="00762985" w:rsidP="00805ED0">
      <w:pPr>
        <w:ind w:firstLine="720"/>
        <w:rPr>
          <w:szCs w:val="26"/>
          <w:bdr w:val="none" w:sz="0" w:space="0" w:color="auto" w:frame="1"/>
          <w:shd w:val="clear" w:color="auto" w:fill="FFFFFF"/>
        </w:rPr>
      </w:pPr>
      <w:r w:rsidRPr="00805ED0">
        <w:t>However,</w:t>
      </w:r>
      <w:r w:rsidR="00A52F79" w:rsidRPr="00805ED0">
        <w:t xml:space="preserve"> </w:t>
      </w:r>
      <w:r w:rsidR="00346477" w:rsidRPr="00805ED0">
        <w:t>a person</w:t>
      </w:r>
      <w:r w:rsidR="00A52F79" w:rsidRPr="00805ED0">
        <w:rPr>
          <w:rFonts w:cstheme="minorHAnsi"/>
          <w:szCs w:val="26"/>
          <w:shd w:val="clear" w:color="auto" w:fill="FFFFFF"/>
        </w:rPr>
        <w:t xml:space="preserve"> who merely aids, abets, or directs another to inflict </w:t>
      </w:r>
      <w:r w:rsidR="005152D5" w:rsidRPr="00805ED0">
        <w:rPr>
          <w:rFonts w:cstheme="minorHAnsi"/>
          <w:szCs w:val="26"/>
          <w:shd w:val="clear" w:color="auto" w:fill="FFFFFF"/>
        </w:rPr>
        <w:t>an</w:t>
      </w:r>
      <w:r w:rsidR="00A52F79" w:rsidRPr="00805ED0">
        <w:rPr>
          <w:rFonts w:cstheme="minorHAnsi"/>
          <w:szCs w:val="26"/>
          <w:shd w:val="clear" w:color="auto" w:fill="FFFFFF"/>
        </w:rPr>
        <w:t xml:space="preserve"> injury is not subject to the enhanced penalty of </w:t>
      </w:r>
      <w:r w:rsidR="00A52F79" w:rsidRPr="00805ED0">
        <w:rPr>
          <w:rFonts w:cstheme="minorHAnsi"/>
          <w:szCs w:val="26"/>
          <w:bdr w:val="none" w:sz="0" w:space="0" w:color="auto" w:frame="1"/>
          <w:shd w:val="clear" w:color="auto" w:fill="FFFFFF"/>
        </w:rPr>
        <w:t>section 12022.7</w:t>
      </w:r>
      <w:r w:rsidR="00A52F79" w:rsidRPr="00805ED0">
        <w:rPr>
          <w:rFonts w:cstheme="minorHAnsi"/>
          <w:szCs w:val="26"/>
          <w:shd w:val="clear" w:color="auto" w:fill="FFFFFF"/>
        </w:rPr>
        <w:t xml:space="preserve">.  </w:t>
      </w:r>
      <w:r w:rsidR="00A52F79" w:rsidRPr="00805ED0">
        <w:t xml:space="preserve">In </w:t>
      </w:r>
      <w:r w:rsidR="00A52F79" w:rsidRPr="00805ED0">
        <w:rPr>
          <w:i/>
          <w:iCs/>
        </w:rPr>
        <w:t>Cole</w:t>
      </w:r>
      <w:r w:rsidR="00A52F79" w:rsidRPr="00805ED0">
        <w:t xml:space="preserve">, we held that </w:t>
      </w:r>
      <w:r w:rsidR="00CD5529" w:rsidRPr="00805ED0">
        <w:t>the</w:t>
      </w:r>
      <w:r w:rsidR="00A52F79" w:rsidRPr="00805ED0">
        <w:t xml:space="preserve"> defendant did not personally inflict</w:t>
      </w:r>
      <w:r w:rsidR="00DC05B4" w:rsidRPr="00805ED0">
        <w:t xml:space="preserve"> </w:t>
      </w:r>
      <w:r w:rsidR="00A52F79" w:rsidRPr="00805ED0">
        <w:t>injury whe</w:t>
      </w:r>
      <w:r w:rsidR="00687FB7" w:rsidRPr="00805ED0">
        <w:t>n</w:t>
      </w:r>
      <w:r w:rsidR="00A52F79" w:rsidRPr="00805ED0">
        <w:t xml:space="preserve"> he directed the attack and blocked the victim’s escape but did not himself inflict the injuries.  (</w:t>
      </w:r>
      <w:r w:rsidR="00346477" w:rsidRPr="00805ED0">
        <w:rPr>
          <w:i/>
        </w:rPr>
        <w:t>Cole</w:t>
      </w:r>
      <w:r w:rsidR="00346477" w:rsidRPr="00805ED0">
        <w:t xml:space="preserve">, </w:t>
      </w:r>
      <w:r w:rsidR="00346477" w:rsidRPr="00805ED0">
        <w:rPr>
          <w:i/>
        </w:rPr>
        <w:t>supra</w:t>
      </w:r>
      <w:r w:rsidR="00346477" w:rsidRPr="00805ED0">
        <w:t xml:space="preserve">, </w:t>
      </w:r>
      <w:r w:rsidR="00346477" w:rsidRPr="00805ED0">
        <w:rPr>
          <w:rFonts w:cstheme="minorHAnsi"/>
          <w:szCs w:val="26"/>
          <w:shd w:val="clear" w:color="auto" w:fill="FFFFFF"/>
        </w:rPr>
        <w:t>31 Cal.3d at p</w:t>
      </w:r>
      <w:r w:rsidR="00B44386" w:rsidRPr="00805ED0">
        <w:rPr>
          <w:rFonts w:cstheme="minorHAnsi"/>
          <w:szCs w:val="26"/>
          <w:shd w:val="clear" w:color="auto" w:fill="FFFFFF"/>
        </w:rPr>
        <w:t>p</w:t>
      </w:r>
      <w:r w:rsidR="00346477" w:rsidRPr="00805ED0">
        <w:rPr>
          <w:rFonts w:cstheme="minorHAnsi"/>
          <w:szCs w:val="26"/>
          <w:shd w:val="clear" w:color="auto" w:fill="FFFFFF"/>
        </w:rPr>
        <w:t>. </w:t>
      </w:r>
      <w:r w:rsidR="00B44386" w:rsidRPr="00805ED0">
        <w:rPr>
          <w:rFonts w:cstheme="minorHAnsi"/>
          <w:szCs w:val="26"/>
          <w:shd w:val="clear" w:color="auto" w:fill="FFFFFF"/>
        </w:rPr>
        <w:t>571</w:t>
      </w:r>
      <w:r w:rsidR="00D47101" w:rsidRPr="00805ED0">
        <w:rPr>
          <w:szCs w:val="26"/>
          <w:shd w:val="clear" w:color="auto" w:fill="FFFFFF"/>
        </w:rPr>
        <w:t>–</w:t>
      </w:r>
      <w:r w:rsidR="00B44386" w:rsidRPr="00805ED0">
        <w:rPr>
          <w:rFonts w:cstheme="minorHAnsi"/>
          <w:szCs w:val="26"/>
          <w:shd w:val="clear" w:color="auto" w:fill="FFFFFF"/>
        </w:rPr>
        <w:t>572.</w:t>
      </w:r>
      <w:r w:rsidR="00A52F79" w:rsidRPr="00805ED0">
        <w:t>)</w:t>
      </w:r>
      <w:r w:rsidR="00607E26" w:rsidRPr="00805ED0">
        <w:t xml:space="preserve">  Applying </w:t>
      </w:r>
      <w:r w:rsidR="00607E26" w:rsidRPr="00805ED0">
        <w:rPr>
          <w:i/>
        </w:rPr>
        <w:t>Cole</w:t>
      </w:r>
      <w:r w:rsidR="00607E26" w:rsidRPr="00805ED0">
        <w:t xml:space="preserve">, </w:t>
      </w:r>
      <w:r w:rsidR="00346477" w:rsidRPr="00805ED0">
        <w:t>the C</w:t>
      </w:r>
      <w:r w:rsidR="00607E26" w:rsidRPr="00805ED0">
        <w:t xml:space="preserve">ourts of </w:t>
      </w:r>
      <w:r w:rsidR="00346477" w:rsidRPr="00805ED0">
        <w:t>A</w:t>
      </w:r>
      <w:r w:rsidR="00607E26" w:rsidRPr="00805ED0">
        <w:t>ppeal have held that “[t]o ‘personally inflict’ injury, the actor must do more than take some direct action which proximately causes injury.”  (</w:t>
      </w:r>
      <w:r w:rsidR="00607E26" w:rsidRPr="00805ED0">
        <w:rPr>
          <w:i/>
        </w:rPr>
        <w:t xml:space="preserve">People v. </w:t>
      </w:r>
      <w:r w:rsidR="00607E26" w:rsidRPr="00805ED0">
        <w:rPr>
          <w:i/>
          <w:szCs w:val="26"/>
        </w:rPr>
        <w:t>Rodriguez</w:t>
      </w:r>
      <w:r w:rsidR="00607E26" w:rsidRPr="00805ED0">
        <w:rPr>
          <w:szCs w:val="26"/>
        </w:rPr>
        <w:t xml:space="preserve"> (1999) 69 Cal.App.4th 341, 349</w:t>
      </w:r>
      <w:r w:rsidR="002D24FE" w:rsidRPr="00805ED0">
        <w:rPr>
          <w:szCs w:val="26"/>
        </w:rPr>
        <w:t xml:space="preserve">; </w:t>
      </w:r>
      <w:r w:rsidR="00E50C03" w:rsidRPr="00805ED0">
        <w:rPr>
          <w:szCs w:val="26"/>
        </w:rPr>
        <w:t xml:space="preserve">see </w:t>
      </w:r>
      <w:r w:rsidR="008559F0" w:rsidRPr="00805ED0">
        <w:rPr>
          <w:i/>
          <w:iCs/>
          <w:szCs w:val="26"/>
        </w:rPr>
        <w:t>People v. Warwick</w:t>
      </w:r>
      <w:r w:rsidR="008559F0" w:rsidRPr="00805ED0">
        <w:rPr>
          <w:szCs w:val="26"/>
        </w:rPr>
        <w:t xml:space="preserve"> (2010) 182 Cal.App.4th 788, 793 </w:t>
      </w:r>
      <w:r w:rsidR="008559F0" w:rsidRPr="00805ED0">
        <w:rPr>
          <w:szCs w:val="26"/>
        </w:rPr>
        <w:lastRenderedPageBreak/>
        <w:t>[</w:t>
      </w:r>
      <w:r w:rsidR="006E4F3A" w:rsidRPr="00805ED0">
        <w:rPr>
          <w:szCs w:val="26"/>
        </w:rPr>
        <w:t>“</w:t>
      </w:r>
      <w:r w:rsidR="007A59C9" w:rsidRPr="00805ED0">
        <w:rPr>
          <w:szCs w:val="26"/>
        </w:rPr>
        <w:t>[F]</w:t>
      </w:r>
      <w:r w:rsidR="006E4F3A" w:rsidRPr="00805ED0">
        <w:rPr>
          <w:szCs w:val="26"/>
        </w:rPr>
        <w:t>or the [</w:t>
      </w:r>
      <w:r w:rsidR="000D7479" w:rsidRPr="00805ED0">
        <w:rPr>
          <w:szCs w:val="26"/>
        </w:rPr>
        <w:t>great bodily injury</w:t>
      </w:r>
      <w:r w:rsidR="006E4F3A" w:rsidRPr="00805ED0">
        <w:rPr>
          <w:szCs w:val="26"/>
        </w:rPr>
        <w:t xml:space="preserve">] enhancement to apply, </w:t>
      </w:r>
      <w:r w:rsidR="00181F2F" w:rsidRPr="00805ED0">
        <w:rPr>
          <w:szCs w:val="26"/>
          <w:shd w:val="clear" w:color="auto" w:fill="FFFFFF"/>
        </w:rPr>
        <w:t xml:space="preserve">the defendant must be the </w:t>
      </w:r>
      <w:r w:rsidR="00181F2F" w:rsidRPr="00805ED0">
        <w:rPr>
          <w:i/>
          <w:iCs/>
          <w:szCs w:val="26"/>
          <w:shd w:val="clear" w:color="auto" w:fill="FFFFFF"/>
        </w:rPr>
        <w:t>direct</w:t>
      </w:r>
      <w:r w:rsidR="00181F2F" w:rsidRPr="00805ED0">
        <w:rPr>
          <w:szCs w:val="26"/>
          <w:shd w:val="clear" w:color="auto" w:fill="FFFFFF"/>
        </w:rPr>
        <w:t>, rather than proximate,</w:t>
      </w:r>
      <w:r w:rsidR="00841908">
        <w:rPr>
          <w:szCs w:val="26"/>
          <w:shd w:val="clear" w:color="auto" w:fill="FFFFFF"/>
        </w:rPr>
        <w:t xml:space="preserve"> cause</w:t>
      </w:r>
      <w:r w:rsidR="00181F2F" w:rsidRPr="00805ED0">
        <w:rPr>
          <w:szCs w:val="26"/>
          <w:shd w:val="clear" w:color="auto" w:fill="FFFFFF"/>
        </w:rPr>
        <w:t xml:space="preserve"> of the victim’s injuries</w:t>
      </w:r>
      <w:r w:rsidR="007A59C9" w:rsidRPr="00805ED0">
        <w:rPr>
          <w:szCs w:val="26"/>
          <w:shd w:val="clear" w:color="auto" w:fill="FFFFFF"/>
        </w:rPr>
        <w:t xml:space="preserve">.”]; </w:t>
      </w:r>
      <w:r w:rsidR="00B47538" w:rsidRPr="00805ED0">
        <w:rPr>
          <w:rStyle w:val="Emphasis"/>
          <w:szCs w:val="26"/>
          <w:bdr w:val="none" w:sz="0" w:space="0" w:color="auto" w:frame="1"/>
          <w:shd w:val="clear" w:color="auto" w:fill="FFFFFF"/>
        </w:rPr>
        <w:t>Valenzuela</w:t>
      </w:r>
      <w:r w:rsidR="006758DD" w:rsidRPr="00805ED0">
        <w:rPr>
          <w:rStyle w:val="Emphasis"/>
          <w:i w:val="0"/>
          <w:iCs w:val="0"/>
          <w:szCs w:val="26"/>
          <w:bdr w:val="none" w:sz="0" w:space="0" w:color="auto" w:frame="1"/>
          <w:shd w:val="clear" w:color="auto" w:fill="FFFFFF"/>
        </w:rPr>
        <w:t xml:space="preserve">, </w:t>
      </w:r>
      <w:r w:rsidR="006758DD" w:rsidRPr="00805ED0">
        <w:rPr>
          <w:rStyle w:val="Emphasis"/>
          <w:szCs w:val="26"/>
          <w:bdr w:val="none" w:sz="0" w:space="0" w:color="auto" w:frame="1"/>
          <w:shd w:val="clear" w:color="auto" w:fill="FFFFFF"/>
        </w:rPr>
        <w:t>supra</w:t>
      </w:r>
      <w:r w:rsidR="006758DD" w:rsidRPr="00805ED0">
        <w:rPr>
          <w:rStyle w:val="Emphasis"/>
          <w:i w:val="0"/>
          <w:iCs w:val="0"/>
          <w:szCs w:val="26"/>
          <w:bdr w:val="none" w:sz="0" w:space="0" w:color="auto" w:frame="1"/>
          <w:shd w:val="clear" w:color="auto" w:fill="FFFFFF"/>
        </w:rPr>
        <w:t>,</w:t>
      </w:r>
      <w:r w:rsidR="00B47538" w:rsidRPr="00805ED0">
        <w:rPr>
          <w:rStyle w:val="Emphasis"/>
          <w:i w:val="0"/>
          <w:iCs w:val="0"/>
          <w:szCs w:val="26"/>
          <w:bdr w:val="none" w:sz="0" w:space="0" w:color="auto" w:frame="1"/>
          <w:shd w:val="clear" w:color="auto" w:fill="FFFFFF"/>
        </w:rPr>
        <w:t xml:space="preserve"> 191 Cal.App.4th</w:t>
      </w:r>
      <w:r w:rsidR="006758DD" w:rsidRPr="00805ED0">
        <w:rPr>
          <w:rStyle w:val="Emphasis"/>
          <w:i w:val="0"/>
          <w:iCs w:val="0"/>
          <w:szCs w:val="26"/>
          <w:bdr w:val="none" w:sz="0" w:space="0" w:color="auto" w:frame="1"/>
          <w:shd w:val="clear" w:color="auto" w:fill="FFFFFF"/>
        </w:rPr>
        <w:t xml:space="preserve"> at p. </w:t>
      </w:r>
      <w:r w:rsidR="00B47538" w:rsidRPr="00805ED0">
        <w:rPr>
          <w:rStyle w:val="Emphasis"/>
          <w:i w:val="0"/>
          <w:iCs w:val="0"/>
          <w:szCs w:val="26"/>
          <w:bdr w:val="none" w:sz="0" w:space="0" w:color="auto" w:frame="1"/>
          <w:shd w:val="clear" w:color="auto" w:fill="FFFFFF"/>
        </w:rPr>
        <w:t>321 [</w:t>
      </w:r>
      <w:r w:rsidR="00AE7E9B" w:rsidRPr="00805ED0">
        <w:rPr>
          <w:rStyle w:val="Emphasis"/>
          <w:i w:val="0"/>
          <w:iCs w:val="0"/>
          <w:szCs w:val="26"/>
          <w:bdr w:val="none" w:sz="0" w:space="0" w:color="auto" w:frame="1"/>
          <w:shd w:val="clear" w:color="auto" w:fill="FFFFFF"/>
        </w:rPr>
        <w:t>“</w:t>
      </w:r>
      <w:r w:rsidR="00AE7E9B" w:rsidRPr="00805ED0">
        <w:rPr>
          <w:szCs w:val="26"/>
          <w:shd w:val="clear" w:color="auto" w:fill="FFFFFF"/>
        </w:rPr>
        <w:t>[P]roof a defendant proximately caused great bodily injury does not constitute proof the defendant personally inflicted such injury</w:t>
      </w:r>
      <w:r w:rsidR="00840549" w:rsidRPr="00805ED0">
        <w:rPr>
          <w:szCs w:val="26"/>
          <w:shd w:val="clear" w:color="auto" w:fill="FFFFFF"/>
        </w:rPr>
        <w:t>.</w:t>
      </w:r>
      <w:r w:rsidR="00AE7E9B" w:rsidRPr="00805ED0">
        <w:rPr>
          <w:szCs w:val="26"/>
          <w:shd w:val="clear" w:color="auto" w:fill="FFFFFF"/>
        </w:rPr>
        <w:t>”</w:t>
      </w:r>
      <w:r w:rsidR="00E50C03" w:rsidRPr="00805ED0">
        <w:rPr>
          <w:szCs w:val="26"/>
          <w:shd w:val="clear" w:color="auto" w:fill="FFFFFF"/>
        </w:rPr>
        <w:t>].)</w:t>
      </w:r>
      <w:r w:rsidR="008F6BF0" w:rsidRPr="00805ED0">
        <w:rPr>
          <w:rStyle w:val="Emphasis"/>
          <w:i w:val="0"/>
          <w:iCs w:val="0"/>
          <w:szCs w:val="26"/>
          <w:bdr w:val="none" w:sz="0" w:space="0" w:color="auto" w:frame="1"/>
          <w:shd w:val="clear" w:color="auto" w:fill="FFFFFF"/>
        </w:rPr>
        <w:t xml:space="preserve">  </w:t>
      </w:r>
      <w:r w:rsidR="00346477" w:rsidRPr="00805ED0">
        <w:rPr>
          <w:rStyle w:val="Emphasis"/>
          <w:i w:val="0"/>
          <w:iCs w:val="0"/>
          <w:szCs w:val="26"/>
          <w:bdr w:val="none" w:sz="0" w:space="0" w:color="auto" w:frame="1"/>
          <w:shd w:val="clear" w:color="auto" w:fill="FFFFFF"/>
        </w:rPr>
        <w:t>T</w:t>
      </w:r>
      <w:r w:rsidR="008F6BF0" w:rsidRPr="00805ED0">
        <w:rPr>
          <w:rStyle w:val="Emphasis"/>
          <w:i w:val="0"/>
          <w:iCs w:val="0"/>
          <w:szCs w:val="26"/>
          <w:bdr w:val="none" w:sz="0" w:space="0" w:color="auto" w:frame="1"/>
          <w:shd w:val="clear" w:color="auto" w:fill="FFFFFF"/>
        </w:rPr>
        <w:t>h</w:t>
      </w:r>
      <w:r w:rsidR="006C4F7C" w:rsidRPr="00805ED0">
        <w:rPr>
          <w:rStyle w:val="Emphasis"/>
          <w:i w:val="0"/>
          <w:iCs w:val="0"/>
          <w:szCs w:val="26"/>
          <w:bdr w:val="none" w:sz="0" w:space="0" w:color="auto" w:frame="1"/>
          <w:shd w:val="clear" w:color="auto" w:fill="FFFFFF"/>
        </w:rPr>
        <w:t>e distinction the</w:t>
      </w:r>
      <w:r w:rsidR="00346477" w:rsidRPr="00805ED0">
        <w:rPr>
          <w:rStyle w:val="Emphasis"/>
          <w:i w:val="0"/>
          <w:iCs w:val="0"/>
          <w:szCs w:val="26"/>
          <w:bdr w:val="none" w:sz="0" w:space="0" w:color="auto" w:frame="1"/>
          <w:shd w:val="clear" w:color="auto" w:fill="FFFFFF"/>
        </w:rPr>
        <w:t>se</w:t>
      </w:r>
      <w:r w:rsidR="006C4F7C" w:rsidRPr="00805ED0">
        <w:rPr>
          <w:rStyle w:val="Emphasis"/>
          <w:i w:val="0"/>
          <w:iCs w:val="0"/>
          <w:szCs w:val="26"/>
          <w:bdr w:val="none" w:sz="0" w:space="0" w:color="auto" w:frame="1"/>
          <w:shd w:val="clear" w:color="auto" w:fill="FFFFFF"/>
        </w:rPr>
        <w:t xml:space="preserve"> courts have drawn between proximate causation and personal infliction</w:t>
      </w:r>
      <w:r w:rsidR="00346477" w:rsidRPr="00805ED0">
        <w:rPr>
          <w:rStyle w:val="Emphasis"/>
          <w:i w:val="0"/>
          <w:iCs w:val="0"/>
          <w:szCs w:val="26"/>
          <w:bdr w:val="none" w:sz="0" w:space="0" w:color="auto" w:frame="1"/>
          <w:shd w:val="clear" w:color="auto" w:fill="FFFFFF"/>
        </w:rPr>
        <w:t xml:space="preserve"> is sound:</w:t>
      </w:r>
      <w:r w:rsidR="00607E26" w:rsidRPr="00805ED0">
        <w:t xml:space="preserve">  </w:t>
      </w:r>
      <w:r w:rsidR="00607E26" w:rsidRPr="00805ED0">
        <w:rPr>
          <w:rFonts w:cstheme="minorHAnsi"/>
          <w:szCs w:val="26"/>
        </w:rPr>
        <w:t>“</w:t>
      </w:r>
      <w:r w:rsidR="00346477" w:rsidRPr="00805ED0">
        <w:rPr>
          <w:rFonts w:cstheme="minorHAnsi"/>
          <w:szCs w:val="26"/>
        </w:rPr>
        <w:t>P</w:t>
      </w:r>
      <w:r w:rsidR="00607E26" w:rsidRPr="00805ED0">
        <w:rPr>
          <w:rFonts w:cstheme="minorHAnsi"/>
          <w:szCs w:val="26"/>
          <w:shd w:val="clear" w:color="auto" w:fill="FFFFFF"/>
        </w:rPr>
        <w:t xml:space="preserve">roximately causing and personally inflicting harm are two different things.  The Legislature is aware of the difference.  When it wants to require personal infliction, it says so.”  </w:t>
      </w:r>
      <w:r w:rsidR="00346477" w:rsidRPr="00805ED0">
        <w:rPr>
          <w:rFonts w:cstheme="minorHAnsi"/>
          <w:szCs w:val="26"/>
          <w:shd w:val="clear" w:color="auto" w:fill="FFFFFF"/>
        </w:rPr>
        <w:t>(</w:t>
      </w:r>
      <w:r w:rsidR="00346477" w:rsidRPr="00805ED0">
        <w:rPr>
          <w:i/>
          <w:iCs/>
        </w:rPr>
        <w:t>People v. Bland</w:t>
      </w:r>
      <w:r w:rsidR="00346477" w:rsidRPr="00805ED0">
        <w:t xml:space="preserve"> (2002) 28 Cal.4th 313, </w:t>
      </w:r>
      <w:r w:rsidR="00346477" w:rsidRPr="00805ED0">
        <w:rPr>
          <w:rFonts w:cstheme="minorHAnsi"/>
          <w:szCs w:val="26"/>
        </w:rPr>
        <w:t>336.)</w:t>
      </w:r>
    </w:p>
    <w:p w14:paraId="147D4C11" w14:textId="4321F9B6" w:rsidR="00240A91" w:rsidRPr="00805ED0" w:rsidRDefault="00240A91" w:rsidP="00805ED0">
      <w:pPr>
        <w:ind w:firstLine="720"/>
        <w:rPr>
          <w:rFonts w:cstheme="minorHAnsi"/>
          <w:szCs w:val="26"/>
          <w:shd w:val="clear" w:color="auto" w:fill="FFFFFF"/>
        </w:rPr>
      </w:pPr>
      <w:r w:rsidRPr="00805ED0">
        <w:rPr>
          <w:rFonts w:cstheme="minorHAnsi"/>
          <w:szCs w:val="26"/>
          <w:shd w:val="clear" w:color="auto" w:fill="FFFFFF"/>
        </w:rPr>
        <w:t xml:space="preserve">The Legislature’s use of the term “personally inflict” in section 12022.7 signifies its intent to punish only actors who directly inflict harm.  In some circumstances, </w:t>
      </w:r>
      <w:r w:rsidR="009F01D1" w:rsidRPr="00805ED0">
        <w:rPr>
          <w:rFonts w:cstheme="minorHAnsi"/>
          <w:szCs w:val="26"/>
          <w:shd w:val="clear" w:color="auto" w:fill="FFFFFF"/>
        </w:rPr>
        <w:t>a</w:t>
      </w:r>
      <w:r w:rsidRPr="00805ED0">
        <w:rPr>
          <w:rFonts w:cstheme="minorHAnsi"/>
          <w:szCs w:val="26"/>
          <w:shd w:val="clear" w:color="auto" w:fill="FFFFFF"/>
        </w:rPr>
        <w:t xml:space="preserve"> </w:t>
      </w:r>
      <w:r w:rsidRPr="00805ED0">
        <w:t xml:space="preserve">defendant’s act of furnishing drugs and </w:t>
      </w:r>
      <w:r w:rsidR="009F01D1" w:rsidRPr="00805ED0">
        <w:t>a</w:t>
      </w:r>
      <w:r w:rsidRPr="00805ED0">
        <w:t xml:space="preserve"> user’s act of ingesting them constitute concurrent direct causes of a subsequent injury.  (E.g., </w:t>
      </w:r>
      <w:r w:rsidRPr="00805ED0">
        <w:rPr>
          <w:rFonts w:cstheme="minorHAnsi"/>
          <w:i/>
          <w:iCs/>
          <w:szCs w:val="26"/>
          <w:shd w:val="clear" w:color="auto" w:fill="FFFFFF"/>
        </w:rPr>
        <w:t>Martinez</w:t>
      </w:r>
      <w:r w:rsidRPr="00805ED0">
        <w:rPr>
          <w:rFonts w:cstheme="minorHAnsi"/>
          <w:szCs w:val="26"/>
          <w:shd w:val="clear" w:color="auto" w:fill="FFFFFF"/>
        </w:rPr>
        <w:t xml:space="preserve">, </w:t>
      </w:r>
      <w:r w:rsidRPr="00805ED0">
        <w:rPr>
          <w:rFonts w:cstheme="minorHAnsi"/>
          <w:i/>
          <w:iCs/>
          <w:szCs w:val="26"/>
          <w:shd w:val="clear" w:color="auto" w:fill="FFFFFF"/>
        </w:rPr>
        <w:t>supra</w:t>
      </w:r>
      <w:r w:rsidRPr="00805ED0">
        <w:rPr>
          <w:rFonts w:cstheme="minorHAnsi"/>
          <w:szCs w:val="26"/>
          <w:shd w:val="clear" w:color="auto" w:fill="FFFFFF"/>
        </w:rPr>
        <w:t xml:space="preserve">, 226 Cal.App.4th 1169.)  In others, the </w:t>
      </w:r>
      <w:r w:rsidRPr="00805ED0">
        <w:t xml:space="preserve">act of furnishing drugs is merely the proximate cause of injury </w:t>
      </w:r>
      <w:r w:rsidR="00B44386" w:rsidRPr="00805ED0">
        <w:t xml:space="preserve">suffered </w:t>
      </w:r>
      <w:r w:rsidRPr="00805ED0">
        <w:t xml:space="preserve">by the drug user.  (E.g., </w:t>
      </w:r>
      <w:r w:rsidRPr="00805ED0">
        <w:rPr>
          <w:i/>
        </w:rPr>
        <w:t>Slough</w:t>
      </w:r>
      <w:r w:rsidRPr="00805ED0">
        <w:t xml:space="preserve">, </w:t>
      </w:r>
      <w:r w:rsidRPr="00805ED0">
        <w:rPr>
          <w:i/>
        </w:rPr>
        <w:t>supra</w:t>
      </w:r>
      <w:r w:rsidRPr="00805ED0">
        <w:t xml:space="preserve">, 11 Cal.App.5th 419.)  </w:t>
      </w:r>
      <w:r w:rsidR="00B44386" w:rsidRPr="00805ED0">
        <w:t>D</w:t>
      </w:r>
      <w:r w:rsidRPr="00805ED0">
        <w:t>istinguish</w:t>
      </w:r>
      <w:r w:rsidR="00B44386" w:rsidRPr="00805ED0">
        <w:t>ing</w:t>
      </w:r>
      <w:r w:rsidRPr="00805ED0">
        <w:t xml:space="preserve"> between such cases and apply</w:t>
      </w:r>
      <w:r w:rsidR="00B44386" w:rsidRPr="00805ED0">
        <w:t>ing</w:t>
      </w:r>
      <w:r w:rsidRPr="00805ED0">
        <w:t xml:space="preserve"> section 12022.7 only where the defendant causes injury “directly</w:t>
      </w:r>
      <w:r w:rsidR="007546A9" w:rsidRPr="00805ED0">
        <w:t xml:space="preserve"> and not through an intermediary</w:t>
      </w:r>
      <w:r w:rsidRPr="00805ED0">
        <w:t>” (</w:t>
      </w:r>
      <w:r w:rsidRPr="00805ED0">
        <w:rPr>
          <w:i/>
          <w:iCs/>
        </w:rPr>
        <w:t>Cross</w:t>
      </w:r>
      <w:r w:rsidRPr="00805ED0">
        <w:t xml:space="preserve">, </w:t>
      </w:r>
      <w:r w:rsidRPr="00805ED0">
        <w:rPr>
          <w:i/>
          <w:iCs/>
        </w:rPr>
        <w:t>supra</w:t>
      </w:r>
      <w:r w:rsidRPr="00805ED0">
        <w:t xml:space="preserve">, 45 Cal.4th at p. 68) </w:t>
      </w:r>
      <w:r w:rsidR="00B44386" w:rsidRPr="00805ED0">
        <w:t>require</w:t>
      </w:r>
      <w:r w:rsidRPr="00805ED0">
        <w:rPr>
          <w:rFonts w:cstheme="minorHAnsi"/>
          <w:szCs w:val="26"/>
          <w:shd w:val="clear" w:color="auto" w:fill="FFFFFF"/>
        </w:rPr>
        <w:t xml:space="preserve"> a </w:t>
      </w:r>
      <w:r w:rsidR="00B44386" w:rsidRPr="00805ED0">
        <w:rPr>
          <w:rFonts w:cstheme="minorHAnsi"/>
          <w:szCs w:val="26"/>
          <w:shd w:val="clear" w:color="auto" w:fill="FFFFFF"/>
        </w:rPr>
        <w:t>fact</w:t>
      </w:r>
      <w:r w:rsidRPr="00805ED0">
        <w:rPr>
          <w:rFonts w:cstheme="minorHAnsi"/>
          <w:szCs w:val="26"/>
          <w:shd w:val="clear" w:color="auto" w:fill="FFFFFF"/>
        </w:rPr>
        <w:noBreakHyphen/>
        <w:t xml:space="preserve">specific analysis of the </w:t>
      </w:r>
      <w:r w:rsidR="00B44386" w:rsidRPr="00805ED0">
        <w:rPr>
          <w:rFonts w:cstheme="minorHAnsi"/>
          <w:szCs w:val="26"/>
          <w:shd w:val="clear" w:color="auto" w:fill="FFFFFF"/>
        </w:rPr>
        <w:t xml:space="preserve">circumstances of the furnishing offense, including the </w:t>
      </w:r>
      <w:r w:rsidRPr="00805ED0">
        <w:rPr>
          <w:rFonts w:cstheme="minorHAnsi"/>
          <w:szCs w:val="26"/>
          <w:shd w:val="clear" w:color="auto" w:fill="FFFFFF"/>
        </w:rPr>
        <w:t>role of the defendant</w:t>
      </w:r>
      <w:r w:rsidR="00B44386" w:rsidRPr="00805ED0">
        <w:rPr>
          <w:rFonts w:cstheme="minorHAnsi"/>
          <w:szCs w:val="26"/>
          <w:shd w:val="clear" w:color="auto" w:fill="FFFFFF"/>
        </w:rPr>
        <w:t xml:space="preserve"> and</w:t>
      </w:r>
      <w:r w:rsidRPr="00805ED0">
        <w:rPr>
          <w:rFonts w:cstheme="minorHAnsi"/>
          <w:szCs w:val="26"/>
          <w:shd w:val="clear" w:color="auto" w:fill="FFFFFF"/>
        </w:rPr>
        <w:t xml:space="preserve"> the victim in </w:t>
      </w:r>
      <w:r w:rsidR="00B44386" w:rsidRPr="00805ED0">
        <w:rPr>
          <w:rFonts w:cstheme="minorHAnsi"/>
          <w:szCs w:val="26"/>
          <w:shd w:val="clear" w:color="auto" w:fill="FFFFFF"/>
        </w:rPr>
        <w:t xml:space="preserve">the events </w:t>
      </w:r>
      <w:r w:rsidRPr="00805ED0">
        <w:rPr>
          <w:rFonts w:cstheme="minorHAnsi"/>
          <w:szCs w:val="26"/>
          <w:shd w:val="clear" w:color="auto" w:fill="FFFFFF"/>
        </w:rPr>
        <w:t xml:space="preserve">resulting </w:t>
      </w:r>
      <w:r w:rsidR="00B44386" w:rsidRPr="00805ED0">
        <w:rPr>
          <w:rFonts w:cstheme="minorHAnsi"/>
          <w:szCs w:val="26"/>
          <w:shd w:val="clear" w:color="auto" w:fill="FFFFFF"/>
        </w:rPr>
        <w:t xml:space="preserve">in </w:t>
      </w:r>
      <w:r w:rsidRPr="00805ED0">
        <w:rPr>
          <w:rFonts w:cstheme="minorHAnsi"/>
          <w:szCs w:val="26"/>
          <w:shd w:val="clear" w:color="auto" w:fill="FFFFFF"/>
        </w:rPr>
        <w:t>injury.</w:t>
      </w:r>
    </w:p>
    <w:p w14:paraId="2015C9E9" w14:textId="4CC0E65F" w:rsidR="00F31085" w:rsidRPr="00805ED0" w:rsidRDefault="00F31085" w:rsidP="00805ED0">
      <w:pPr>
        <w:pStyle w:val="Heading1"/>
      </w:pPr>
      <w:r w:rsidRPr="00805ED0">
        <w:t>I</w:t>
      </w:r>
      <w:r w:rsidR="000902B9" w:rsidRPr="00805ED0">
        <w:t>V</w:t>
      </w:r>
      <w:r w:rsidRPr="00805ED0">
        <w:t>.</w:t>
      </w:r>
    </w:p>
    <w:p w14:paraId="5D587783" w14:textId="4AB6AFF1" w:rsidR="00F372EE" w:rsidRPr="00805ED0" w:rsidRDefault="00A34290" w:rsidP="00805ED0">
      <w:r w:rsidRPr="00805ED0">
        <w:tab/>
      </w:r>
      <w:r w:rsidR="00BC12C0" w:rsidRPr="00805ED0">
        <w:t>We conclude the</w:t>
      </w:r>
      <w:r w:rsidR="00131F2B" w:rsidRPr="00805ED0">
        <w:t xml:space="preserve"> trial court </w:t>
      </w:r>
      <w:r w:rsidR="00C6514B" w:rsidRPr="00805ED0">
        <w:t>erred as a matter of law</w:t>
      </w:r>
      <w:r w:rsidR="00131F2B" w:rsidRPr="00805ED0">
        <w:t xml:space="preserve"> by </w:t>
      </w:r>
      <w:r w:rsidR="00DD222A" w:rsidRPr="00805ED0">
        <w:t>precluding defense counsel from arguing that the facts of this case do not support a great bodily injury enhancement in light of Reina’s voluntary ingestion of the controlled substance.</w:t>
      </w:r>
      <w:r w:rsidR="00862D94" w:rsidRPr="00805ED0">
        <w:t xml:space="preserve">  When </w:t>
      </w:r>
      <w:r w:rsidR="00862D94" w:rsidRPr="00805ED0">
        <w:lastRenderedPageBreak/>
        <w:t xml:space="preserve">defense counsel </w:t>
      </w:r>
      <w:r w:rsidR="00125653" w:rsidRPr="00805ED0">
        <w:t xml:space="preserve">requested </w:t>
      </w:r>
      <w:r w:rsidR="00C6514B" w:rsidRPr="00805ED0">
        <w:t>permission</w:t>
      </w:r>
      <w:r w:rsidR="006A6502" w:rsidRPr="00805ED0">
        <w:t xml:space="preserve"> to argue</w:t>
      </w:r>
      <w:r w:rsidR="00733CF4" w:rsidRPr="00805ED0">
        <w:t xml:space="preserve"> </w:t>
      </w:r>
      <w:r w:rsidR="006A4F6F" w:rsidRPr="00805ED0">
        <w:t>that</w:t>
      </w:r>
      <w:r w:rsidR="006A6502" w:rsidRPr="00805ED0">
        <w:t xml:space="preserve"> the facts</w:t>
      </w:r>
      <w:r w:rsidR="00E22198" w:rsidRPr="00805ED0">
        <w:t xml:space="preserve"> of this case</w:t>
      </w:r>
      <w:r w:rsidR="006A4F6F" w:rsidRPr="00805ED0">
        <w:t xml:space="preserve"> do not</w:t>
      </w:r>
      <w:r w:rsidR="006A6502" w:rsidRPr="00805ED0">
        <w:t xml:space="preserve"> meet the elements of the great bodily injury enhancement, the court responde</w:t>
      </w:r>
      <w:r w:rsidR="00456042" w:rsidRPr="00805ED0">
        <w:t xml:space="preserve">d </w:t>
      </w:r>
      <w:r w:rsidR="00884DD0" w:rsidRPr="00805ED0">
        <w:t xml:space="preserve">that </w:t>
      </w:r>
      <w:r w:rsidR="00456042" w:rsidRPr="00805ED0">
        <w:t>it was “contrary to law” to argue that Reina “voluntarily took the drugs.”</w:t>
      </w:r>
      <w:r w:rsidR="00BB75AB" w:rsidRPr="00805ED0">
        <w:t xml:space="preserve">  </w:t>
      </w:r>
      <w:r w:rsidR="004E5CAB" w:rsidRPr="00805ED0">
        <w:t>The court</w:t>
      </w:r>
      <w:r w:rsidR="00BB75AB" w:rsidRPr="00805ED0">
        <w:t xml:space="preserve"> </w:t>
      </w:r>
      <w:r w:rsidR="00FC28ED" w:rsidRPr="00805ED0">
        <w:t xml:space="preserve">told defense counsel </w:t>
      </w:r>
      <w:r w:rsidR="00C6514B" w:rsidRPr="00805ED0">
        <w:t xml:space="preserve">that </w:t>
      </w:r>
      <w:r w:rsidR="00CC52C3" w:rsidRPr="00805ED0">
        <w:t xml:space="preserve">he </w:t>
      </w:r>
      <w:r w:rsidR="00FC28ED" w:rsidRPr="00805ED0">
        <w:t>was only permitted to argue that</w:t>
      </w:r>
      <w:r w:rsidR="006147A6" w:rsidRPr="00805ED0">
        <w:t xml:space="preserve"> </w:t>
      </w:r>
      <w:proofErr w:type="spellStart"/>
      <w:r w:rsidR="006147A6" w:rsidRPr="00805ED0">
        <w:t>Ollo</w:t>
      </w:r>
      <w:proofErr w:type="spellEnd"/>
      <w:r w:rsidR="006147A6" w:rsidRPr="00805ED0">
        <w:t xml:space="preserve"> was not subject to the enhancement </w:t>
      </w:r>
      <w:r w:rsidR="005178D3" w:rsidRPr="00805ED0">
        <w:t xml:space="preserve">because </w:t>
      </w:r>
      <w:r w:rsidR="006147A6" w:rsidRPr="00805ED0">
        <w:t>he</w:t>
      </w:r>
      <w:r w:rsidR="00F165E4" w:rsidRPr="00805ED0">
        <w:t xml:space="preserve"> did not furnish the drugs</w:t>
      </w:r>
      <w:r w:rsidR="00841908">
        <w:t>,</w:t>
      </w:r>
      <w:r w:rsidR="00C6514B" w:rsidRPr="00805ED0">
        <w:t xml:space="preserve"> and</w:t>
      </w:r>
      <w:r w:rsidR="00F165E4" w:rsidRPr="00805ED0">
        <w:t xml:space="preserve"> Reina brought her own drugs.</w:t>
      </w:r>
      <w:r w:rsidR="00F372EE" w:rsidRPr="00805ED0">
        <w:t xml:space="preserve">  The court then sta</w:t>
      </w:r>
      <w:r w:rsidR="00C7668F" w:rsidRPr="00805ED0">
        <w:t>ted, “If your argument is going to be [</w:t>
      </w:r>
      <w:proofErr w:type="spellStart"/>
      <w:r w:rsidR="00C7668F" w:rsidRPr="00805ED0">
        <w:t>Ollo</w:t>
      </w:r>
      <w:proofErr w:type="spellEnd"/>
      <w:r w:rsidR="00C7668F" w:rsidRPr="00805ED0">
        <w:t>] gave [Reina] the drugs” but</w:t>
      </w:r>
      <w:r w:rsidR="00CB33F4" w:rsidRPr="00805ED0">
        <w:t xml:space="preserve"> “he’s not responsible because she voluntarily took them, I don’t think that can be done.”</w:t>
      </w:r>
    </w:p>
    <w:p w14:paraId="39E634EE" w14:textId="5058D580" w:rsidR="00FA0EB4" w:rsidRPr="00805ED0" w:rsidRDefault="000D1718" w:rsidP="00805ED0">
      <w:r w:rsidRPr="00805ED0">
        <w:tab/>
      </w:r>
      <w:r w:rsidR="00B4799A" w:rsidRPr="00805ED0">
        <w:t xml:space="preserve">The </w:t>
      </w:r>
      <w:r w:rsidR="00AB3778" w:rsidRPr="00805ED0">
        <w:t xml:space="preserve">trial </w:t>
      </w:r>
      <w:r w:rsidR="00B4799A" w:rsidRPr="00805ED0">
        <w:t xml:space="preserve">court’s </w:t>
      </w:r>
      <w:r w:rsidR="0023152C" w:rsidRPr="00805ED0">
        <w:t>statement</w:t>
      </w:r>
      <w:r w:rsidR="00B4799A" w:rsidRPr="00805ED0">
        <w:t xml:space="preserve"> of the law </w:t>
      </w:r>
      <w:r w:rsidR="00AB3778" w:rsidRPr="00805ED0">
        <w:t xml:space="preserve">contravenes our </w:t>
      </w:r>
      <w:r w:rsidR="00C6514B" w:rsidRPr="00805ED0">
        <w:t>reasoning</w:t>
      </w:r>
      <w:r w:rsidR="00AB3778" w:rsidRPr="00805ED0">
        <w:t xml:space="preserve"> that </w:t>
      </w:r>
      <w:r w:rsidR="0023152C" w:rsidRPr="00805ED0">
        <w:t xml:space="preserve">the voluntariness of a victim’s ingestion is </w:t>
      </w:r>
      <w:r w:rsidR="002F3770" w:rsidRPr="00805ED0">
        <w:t>a</w:t>
      </w:r>
      <w:r w:rsidR="0023152C" w:rsidRPr="00805ED0">
        <w:t xml:space="preserve"> key </w:t>
      </w:r>
      <w:r w:rsidR="00BC12C0" w:rsidRPr="00805ED0">
        <w:t>consideration</w:t>
      </w:r>
      <w:r w:rsidR="0023152C" w:rsidRPr="00805ED0">
        <w:t xml:space="preserve"> in </w:t>
      </w:r>
      <w:r w:rsidR="00624A06" w:rsidRPr="00805ED0">
        <w:t>the</w:t>
      </w:r>
      <w:r w:rsidR="0023152C" w:rsidRPr="00805ED0">
        <w:t xml:space="preserve"> determination of whether a defendant personally inflicts great bodily injury in the drug furnishing context.  </w:t>
      </w:r>
      <w:r w:rsidR="00C6514B" w:rsidRPr="00805ED0">
        <w:t>T</w:t>
      </w:r>
      <w:r w:rsidR="004C5E46" w:rsidRPr="00805ED0">
        <w:t xml:space="preserve">he trial court </w:t>
      </w:r>
      <w:r w:rsidR="00C6514B" w:rsidRPr="00805ED0">
        <w:t>erred</w:t>
      </w:r>
      <w:r w:rsidR="004C5E46" w:rsidRPr="00805ED0">
        <w:t xml:space="preserve"> by </w:t>
      </w:r>
      <w:r w:rsidR="00410030" w:rsidRPr="00805ED0">
        <w:t>precluding</w:t>
      </w:r>
      <w:r w:rsidR="004C5E46" w:rsidRPr="00805ED0">
        <w:t xml:space="preserve"> </w:t>
      </w:r>
      <w:r w:rsidR="00293147" w:rsidRPr="00805ED0">
        <w:t>defense counsel from making a legally valid argument that</w:t>
      </w:r>
      <w:r w:rsidR="0029529E" w:rsidRPr="00805ED0">
        <w:t xml:space="preserve"> the facts of this case do not support a great bodily injury enhancement.</w:t>
      </w:r>
      <w:r w:rsidR="00FA0EB4" w:rsidRPr="00805ED0">
        <w:t xml:space="preserve">  (See </w:t>
      </w:r>
      <w:r w:rsidR="00FA0EB4" w:rsidRPr="00805ED0">
        <w:rPr>
          <w:i/>
          <w:iCs/>
        </w:rPr>
        <w:t xml:space="preserve">In re </w:t>
      </w:r>
      <w:proofErr w:type="spellStart"/>
      <w:r w:rsidR="00FA0EB4" w:rsidRPr="00805ED0">
        <w:rPr>
          <w:i/>
          <w:iCs/>
        </w:rPr>
        <w:t>Charlisse</w:t>
      </w:r>
      <w:proofErr w:type="spellEnd"/>
      <w:r w:rsidR="00FA0EB4" w:rsidRPr="00805ED0">
        <w:rPr>
          <w:i/>
          <w:iCs/>
        </w:rPr>
        <w:t xml:space="preserve"> C. </w:t>
      </w:r>
      <w:r w:rsidR="00FA0EB4" w:rsidRPr="00805ED0">
        <w:t>(2008) 45 Cal.4th 145, 159 [“a disposition that rests on an error of law constitutes an abuse of discretion”].)</w:t>
      </w:r>
    </w:p>
    <w:p w14:paraId="281C90B4" w14:textId="77777777" w:rsidR="007F280A" w:rsidRDefault="007F280A">
      <w:pPr>
        <w:spacing w:after="0" w:line="240" w:lineRule="auto"/>
        <w:jc w:val="left"/>
        <w:rPr>
          <w:b/>
          <w:smallCaps/>
          <w:shd w:val="clear" w:color="auto" w:fill="FFFFFF"/>
        </w:rPr>
      </w:pPr>
      <w:r>
        <w:rPr>
          <w:shd w:val="clear" w:color="auto" w:fill="FFFFFF"/>
        </w:rPr>
        <w:br w:type="page"/>
      </w:r>
    </w:p>
    <w:p w14:paraId="25DBE638" w14:textId="475F2508" w:rsidR="00240A91" w:rsidRPr="00805ED0" w:rsidRDefault="00B44386" w:rsidP="00805ED0">
      <w:pPr>
        <w:pStyle w:val="Heading1"/>
        <w:rPr>
          <w:shd w:val="clear" w:color="auto" w:fill="FFFFFF"/>
        </w:rPr>
      </w:pPr>
      <w:r w:rsidRPr="00805ED0">
        <w:rPr>
          <w:shd w:val="clear" w:color="auto" w:fill="FFFFFF"/>
        </w:rPr>
        <w:lastRenderedPageBreak/>
        <w:t>CONCLUSION</w:t>
      </w:r>
    </w:p>
    <w:p w14:paraId="7FA94F24" w14:textId="6D22CD72" w:rsidR="00902EA5" w:rsidRPr="00805ED0" w:rsidRDefault="00131B51" w:rsidP="00967661">
      <w:pPr>
        <w:ind w:firstLine="720"/>
        <w:rPr>
          <w:rFonts w:cstheme="minorHAnsi"/>
        </w:rPr>
      </w:pPr>
      <w:r w:rsidRPr="00BE0052">
        <w:t>We reverse the judgment and remand to the Court of Appeal to apply the holding herein and to consider any other issues raised but not resolved in the Court</w:t>
      </w:r>
      <w:r w:rsidR="00E6319D">
        <w:t xml:space="preserve"> of Appeal</w:t>
      </w:r>
      <w:r w:rsidRPr="00BE0052">
        <w:t>’s original consideration</w:t>
      </w:r>
      <w:r>
        <w:t>.</w:t>
      </w:r>
    </w:p>
    <w:p w14:paraId="162C2E61" w14:textId="6A209963" w:rsidR="00EF052E" w:rsidRPr="00805ED0" w:rsidRDefault="00EF052E" w:rsidP="00967661">
      <w:pPr>
        <w:ind w:left="5760" w:firstLine="720"/>
        <w:rPr>
          <w:rFonts w:cstheme="minorHAnsi"/>
        </w:rPr>
      </w:pPr>
      <w:r w:rsidRPr="00805ED0">
        <w:rPr>
          <w:b/>
        </w:rPr>
        <w:t>LIU, J.</w:t>
      </w:r>
    </w:p>
    <w:p w14:paraId="217A6FC0" w14:textId="77777777" w:rsidR="00346477" w:rsidRPr="00805ED0" w:rsidRDefault="00346477" w:rsidP="00805ED0"/>
    <w:p w14:paraId="73FC9967" w14:textId="77777777" w:rsidR="00D7072A" w:rsidRDefault="00D7072A" w:rsidP="00C43861">
      <w:pPr>
        <w:rPr>
          <w:b/>
        </w:rPr>
      </w:pPr>
      <w:r>
        <w:rPr>
          <w:b/>
        </w:rPr>
        <w:t>We Concur:</w:t>
      </w:r>
    </w:p>
    <w:p w14:paraId="3C960B24" w14:textId="5AD5DCCD" w:rsidR="00D7072A" w:rsidRDefault="00D7072A" w:rsidP="00D7072A">
      <w:pPr>
        <w:spacing w:after="0" w:line="240" w:lineRule="auto"/>
        <w:rPr>
          <w:rFonts w:ascii="Calibri" w:hAnsi="Calibri"/>
          <w:b/>
          <w:sz w:val="22"/>
          <w:lang w:val="it-IT"/>
        </w:rPr>
      </w:pPr>
      <w:r>
        <w:rPr>
          <w:b/>
          <w:lang w:val="it-IT"/>
        </w:rPr>
        <w:t>CANTIL-SAKAUYE, C.</w:t>
      </w:r>
      <w:r w:rsidR="00A620E8">
        <w:rPr>
          <w:b/>
          <w:lang w:val="it-IT"/>
        </w:rPr>
        <w:t> </w:t>
      </w:r>
      <w:r>
        <w:rPr>
          <w:b/>
          <w:lang w:val="it-IT"/>
        </w:rPr>
        <w:t>J.</w:t>
      </w:r>
    </w:p>
    <w:p w14:paraId="63362E55" w14:textId="77777777" w:rsidR="00D7072A" w:rsidRDefault="00D7072A" w:rsidP="00D7072A">
      <w:pPr>
        <w:spacing w:after="0" w:line="240" w:lineRule="auto"/>
        <w:rPr>
          <w:b/>
          <w:lang w:val="it-IT"/>
        </w:rPr>
      </w:pPr>
      <w:r>
        <w:rPr>
          <w:b/>
          <w:lang w:val="it-IT"/>
        </w:rPr>
        <w:t>CORRIGAN, J.</w:t>
      </w:r>
    </w:p>
    <w:p w14:paraId="309C4CF2" w14:textId="77777777" w:rsidR="00D7072A" w:rsidRDefault="00D7072A" w:rsidP="00D7072A">
      <w:pPr>
        <w:spacing w:after="0" w:line="240" w:lineRule="auto"/>
        <w:rPr>
          <w:b/>
          <w:lang w:val="it-IT"/>
        </w:rPr>
      </w:pPr>
      <w:r>
        <w:rPr>
          <w:b/>
          <w:lang w:val="it-IT"/>
        </w:rPr>
        <w:t>CUÉLLAR, J.</w:t>
      </w:r>
    </w:p>
    <w:p w14:paraId="7740A020" w14:textId="77777777" w:rsidR="00D7072A" w:rsidRDefault="00D7072A" w:rsidP="00D7072A">
      <w:pPr>
        <w:spacing w:after="0" w:line="240" w:lineRule="auto"/>
        <w:jc w:val="left"/>
        <w:rPr>
          <w:b/>
          <w:lang w:val="it-IT"/>
        </w:rPr>
      </w:pPr>
      <w:r>
        <w:rPr>
          <w:b/>
          <w:lang w:val="it-IT"/>
        </w:rPr>
        <w:t>KRUGER, J.</w:t>
      </w:r>
    </w:p>
    <w:p w14:paraId="054BDF05" w14:textId="77777777" w:rsidR="00D7072A" w:rsidRDefault="00D7072A" w:rsidP="00D7072A">
      <w:pPr>
        <w:spacing w:after="0" w:line="240" w:lineRule="auto"/>
        <w:jc w:val="left"/>
        <w:rPr>
          <w:b/>
        </w:rPr>
      </w:pPr>
      <w:r>
        <w:rPr>
          <w:b/>
        </w:rPr>
        <w:t>GROBAN, J.</w:t>
      </w:r>
    </w:p>
    <w:p w14:paraId="4AB76BCD" w14:textId="27F9FF43" w:rsidR="00D7072A" w:rsidRDefault="00D7072A" w:rsidP="00D7072A">
      <w:pPr>
        <w:spacing w:after="0" w:line="240" w:lineRule="auto"/>
        <w:jc w:val="left"/>
        <w:rPr>
          <w:b/>
        </w:rPr>
      </w:pPr>
      <w:r>
        <w:rPr>
          <w:b/>
        </w:rPr>
        <w:t>JENKINS, J.</w:t>
      </w:r>
    </w:p>
    <w:p w14:paraId="6E13559F" w14:textId="77777777" w:rsidR="003A752F" w:rsidRDefault="003A752F" w:rsidP="00D7072A">
      <w:pPr>
        <w:spacing w:after="0" w:line="240" w:lineRule="auto"/>
        <w:jc w:val="left"/>
        <w:rPr>
          <w:b/>
        </w:rPr>
        <w:sectPr w:rsidR="003A752F" w:rsidSect="00805ED0">
          <w:footerReference w:type="first" r:id="rId9"/>
          <w:pgSz w:w="12240" w:h="15840"/>
          <w:pgMar w:top="1800" w:right="2160" w:bottom="1440" w:left="2160" w:header="720" w:footer="720" w:gutter="0"/>
          <w:pgNumType w:start="1"/>
          <w:cols w:space="720"/>
          <w:titlePg/>
          <w:docGrid w:linePitch="367"/>
        </w:sectPr>
      </w:pPr>
    </w:p>
    <w:p w14:paraId="4DF22090" w14:textId="77777777" w:rsidR="00E5795F" w:rsidRPr="00E5795F" w:rsidRDefault="00E5795F" w:rsidP="00E5795F">
      <w:pPr>
        <w:spacing w:after="0" w:line="240" w:lineRule="auto"/>
        <w:jc w:val="left"/>
        <w:rPr>
          <w:i/>
          <w:sz w:val="24"/>
          <w:szCs w:val="24"/>
        </w:rPr>
      </w:pPr>
      <w:r w:rsidRPr="00E5795F">
        <w:rPr>
          <w:i/>
          <w:sz w:val="24"/>
          <w:szCs w:val="24"/>
        </w:rPr>
        <w:lastRenderedPageBreak/>
        <w:t>See next page for addresses and telephone numbers for counsel who argued in Supreme Court.</w:t>
      </w:r>
    </w:p>
    <w:p w14:paraId="5CD80E9A" w14:textId="77777777" w:rsidR="00E5795F" w:rsidRPr="00E5795F" w:rsidRDefault="00E5795F" w:rsidP="00E5795F">
      <w:pPr>
        <w:spacing w:after="0" w:line="240" w:lineRule="auto"/>
        <w:jc w:val="left"/>
        <w:rPr>
          <w:i/>
          <w:sz w:val="24"/>
          <w:szCs w:val="24"/>
        </w:rPr>
      </w:pPr>
    </w:p>
    <w:p w14:paraId="67B4FF10" w14:textId="77777777" w:rsidR="00E5795F" w:rsidRPr="00E5795F" w:rsidRDefault="00E5795F" w:rsidP="00E5795F">
      <w:pPr>
        <w:spacing w:after="0" w:line="240" w:lineRule="auto"/>
        <w:jc w:val="left"/>
        <w:rPr>
          <w:b/>
          <w:sz w:val="24"/>
          <w:szCs w:val="24"/>
        </w:rPr>
      </w:pPr>
      <w:r w:rsidRPr="00E5795F">
        <w:rPr>
          <w:b/>
          <w:sz w:val="24"/>
          <w:szCs w:val="24"/>
        </w:rPr>
        <w:t xml:space="preserve">Name of Opinion  </w:t>
      </w:r>
      <w:r w:rsidRPr="00E5795F">
        <w:rPr>
          <w:bCs/>
          <w:sz w:val="24"/>
          <w:szCs w:val="24"/>
        </w:rPr>
        <w:t xml:space="preserve">People v. </w:t>
      </w:r>
      <w:proofErr w:type="spellStart"/>
      <w:r w:rsidRPr="00E5795F">
        <w:rPr>
          <w:bCs/>
          <w:sz w:val="24"/>
          <w:szCs w:val="24"/>
        </w:rPr>
        <w:t>Ollo</w:t>
      </w:r>
      <w:proofErr w:type="spellEnd"/>
      <w:r w:rsidRPr="00E5795F">
        <w:rPr>
          <w:b/>
          <w:sz w:val="24"/>
          <w:szCs w:val="24"/>
        </w:rPr>
        <w:t xml:space="preserve"> </w:t>
      </w:r>
      <w:r w:rsidRPr="00E5795F">
        <w:rPr>
          <w:bCs/>
          <w:sz w:val="24"/>
          <w:szCs w:val="24"/>
        </w:rPr>
        <w:t xml:space="preserve"> </w:t>
      </w:r>
      <w:r w:rsidRPr="00E5795F">
        <w:rPr>
          <w:sz w:val="24"/>
          <w:szCs w:val="24"/>
        </w:rPr>
        <w:t xml:space="preserve"> </w:t>
      </w:r>
      <w:r w:rsidRPr="00E5795F">
        <w:rPr>
          <w:b/>
          <w:sz w:val="24"/>
          <w:szCs w:val="24"/>
        </w:rPr>
        <w:t xml:space="preserve">__________________________________________________________________ </w:t>
      </w:r>
    </w:p>
    <w:p w14:paraId="25A9EFD7" w14:textId="77777777" w:rsidR="00E5795F" w:rsidRPr="00E5795F" w:rsidRDefault="00E5795F" w:rsidP="00E5795F">
      <w:pPr>
        <w:spacing w:after="0" w:line="240" w:lineRule="auto"/>
        <w:jc w:val="left"/>
        <w:rPr>
          <w:b/>
          <w:sz w:val="24"/>
          <w:szCs w:val="24"/>
        </w:rPr>
      </w:pPr>
    </w:p>
    <w:p w14:paraId="0362DB95" w14:textId="77777777" w:rsidR="00E5795F" w:rsidRPr="00E5795F" w:rsidRDefault="00E5795F" w:rsidP="00E5795F">
      <w:pPr>
        <w:spacing w:after="0" w:line="240" w:lineRule="auto"/>
        <w:jc w:val="left"/>
        <w:rPr>
          <w:sz w:val="24"/>
          <w:szCs w:val="24"/>
        </w:rPr>
      </w:pPr>
      <w:r w:rsidRPr="00E5795F">
        <w:rPr>
          <w:b/>
          <w:bCs/>
          <w:sz w:val="24"/>
          <w:szCs w:val="24"/>
          <w:u w:val="single"/>
        </w:rPr>
        <w:t>Procedural Posture</w:t>
      </w:r>
      <w:r w:rsidRPr="00E5795F">
        <w:rPr>
          <w:b/>
          <w:bCs/>
          <w:sz w:val="24"/>
          <w:szCs w:val="24"/>
        </w:rPr>
        <w:t xml:space="preserve"> </w:t>
      </w:r>
      <w:r w:rsidRPr="00E5795F">
        <w:rPr>
          <w:sz w:val="24"/>
          <w:szCs w:val="24"/>
        </w:rPr>
        <w:t>(see XX below)</w:t>
      </w:r>
    </w:p>
    <w:p w14:paraId="028E99C1" w14:textId="77777777" w:rsidR="00E5795F" w:rsidRPr="00E5795F" w:rsidRDefault="00E5795F" w:rsidP="00E5795F">
      <w:pPr>
        <w:spacing w:after="0" w:line="240" w:lineRule="auto"/>
        <w:jc w:val="left"/>
        <w:rPr>
          <w:b/>
          <w:bCs/>
          <w:sz w:val="24"/>
          <w:szCs w:val="24"/>
        </w:rPr>
      </w:pPr>
      <w:r w:rsidRPr="00E5795F">
        <w:rPr>
          <w:b/>
          <w:bCs/>
          <w:sz w:val="24"/>
          <w:szCs w:val="24"/>
        </w:rPr>
        <w:t xml:space="preserve">Original Appeal  </w:t>
      </w:r>
    </w:p>
    <w:p w14:paraId="33AD448D" w14:textId="77777777" w:rsidR="00E5795F" w:rsidRPr="00E5795F" w:rsidRDefault="00E5795F" w:rsidP="00E5795F">
      <w:pPr>
        <w:spacing w:after="0" w:line="240" w:lineRule="auto"/>
        <w:jc w:val="left"/>
        <w:rPr>
          <w:b/>
          <w:bCs/>
          <w:sz w:val="24"/>
          <w:szCs w:val="24"/>
        </w:rPr>
      </w:pPr>
      <w:r w:rsidRPr="00E5795F">
        <w:rPr>
          <w:b/>
          <w:bCs/>
          <w:sz w:val="24"/>
          <w:szCs w:val="24"/>
        </w:rPr>
        <w:t xml:space="preserve">Original Proceeding  </w:t>
      </w:r>
    </w:p>
    <w:p w14:paraId="192B9AFC" w14:textId="77777777" w:rsidR="00E5795F" w:rsidRPr="00E5795F" w:rsidRDefault="00E5795F" w:rsidP="00E5795F">
      <w:pPr>
        <w:spacing w:after="0" w:line="240" w:lineRule="auto"/>
        <w:jc w:val="left"/>
        <w:rPr>
          <w:sz w:val="24"/>
          <w:szCs w:val="24"/>
        </w:rPr>
      </w:pPr>
      <w:r w:rsidRPr="00E5795F">
        <w:rPr>
          <w:b/>
          <w:bCs/>
          <w:sz w:val="24"/>
          <w:szCs w:val="24"/>
        </w:rPr>
        <w:t>Review Granted</w:t>
      </w:r>
      <w:r w:rsidRPr="00E5795F">
        <w:rPr>
          <w:sz w:val="24"/>
          <w:szCs w:val="24"/>
        </w:rPr>
        <w:t xml:space="preserve"> </w:t>
      </w:r>
      <w:r w:rsidRPr="00E5795F">
        <w:rPr>
          <w:b/>
          <w:bCs/>
          <w:sz w:val="24"/>
          <w:szCs w:val="24"/>
        </w:rPr>
        <w:t xml:space="preserve">(published) </w:t>
      </w:r>
      <w:r w:rsidRPr="00E5795F">
        <w:rPr>
          <w:sz w:val="24"/>
          <w:szCs w:val="24"/>
        </w:rPr>
        <w:t>XX 42 Cal.App.5th 1152</w:t>
      </w:r>
    </w:p>
    <w:p w14:paraId="38E58426" w14:textId="77777777" w:rsidR="00E5795F" w:rsidRPr="00E5795F" w:rsidRDefault="00E5795F" w:rsidP="00E5795F">
      <w:pPr>
        <w:spacing w:after="0" w:line="240" w:lineRule="auto"/>
        <w:jc w:val="left"/>
        <w:rPr>
          <w:sz w:val="24"/>
          <w:szCs w:val="24"/>
        </w:rPr>
      </w:pPr>
      <w:r w:rsidRPr="00E5795F">
        <w:rPr>
          <w:b/>
          <w:bCs/>
          <w:sz w:val="24"/>
          <w:szCs w:val="24"/>
        </w:rPr>
        <w:t xml:space="preserve">Review Granted (unpublished) </w:t>
      </w:r>
    </w:p>
    <w:p w14:paraId="580B6E09" w14:textId="77777777" w:rsidR="00E5795F" w:rsidRPr="00E5795F" w:rsidRDefault="00E5795F" w:rsidP="00E5795F">
      <w:pPr>
        <w:spacing w:after="0" w:line="240" w:lineRule="auto"/>
        <w:jc w:val="left"/>
        <w:rPr>
          <w:b/>
          <w:bCs/>
          <w:sz w:val="24"/>
          <w:szCs w:val="24"/>
        </w:rPr>
      </w:pPr>
      <w:r w:rsidRPr="00E5795F">
        <w:rPr>
          <w:b/>
          <w:bCs/>
          <w:sz w:val="24"/>
          <w:szCs w:val="24"/>
        </w:rPr>
        <w:t>Rehearing Granted</w:t>
      </w:r>
    </w:p>
    <w:p w14:paraId="49892D01" w14:textId="77777777" w:rsidR="00E5795F" w:rsidRPr="00E5795F" w:rsidRDefault="00E5795F" w:rsidP="00E5795F">
      <w:pPr>
        <w:spacing w:after="0" w:line="240" w:lineRule="auto"/>
        <w:jc w:val="left"/>
        <w:rPr>
          <w:b/>
          <w:sz w:val="24"/>
          <w:szCs w:val="24"/>
        </w:rPr>
      </w:pPr>
      <w:r w:rsidRPr="00E5795F">
        <w:rPr>
          <w:b/>
          <w:sz w:val="24"/>
          <w:szCs w:val="24"/>
        </w:rPr>
        <w:t xml:space="preserve">__________________________________________________________________ </w:t>
      </w:r>
    </w:p>
    <w:p w14:paraId="2E90621F" w14:textId="77777777" w:rsidR="00E5795F" w:rsidRPr="00E5795F" w:rsidRDefault="00E5795F" w:rsidP="00E5795F">
      <w:pPr>
        <w:spacing w:after="0" w:line="240" w:lineRule="auto"/>
        <w:jc w:val="left"/>
        <w:rPr>
          <w:b/>
          <w:sz w:val="24"/>
          <w:szCs w:val="24"/>
        </w:rPr>
      </w:pPr>
    </w:p>
    <w:p w14:paraId="7411022B" w14:textId="77777777" w:rsidR="00E5795F" w:rsidRPr="00E5795F" w:rsidRDefault="00E5795F" w:rsidP="00E5795F">
      <w:pPr>
        <w:spacing w:after="0" w:line="240" w:lineRule="auto"/>
        <w:jc w:val="left"/>
        <w:rPr>
          <w:bCs/>
          <w:sz w:val="24"/>
          <w:szCs w:val="24"/>
        </w:rPr>
      </w:pPr>
      <w:r w:rsidRPr="00E5795F">
        <w:rPr>
          <w:b/>
          <w:sz w:val="24"/>
          <w:szCs w:val="24"/>
        </w:rPr>
        <w:t>Opinion No.</w:t>
      </w:r>
      <w:r w:rsidRPr="00E5795F">
        <w:rPr>
          <w:sz w:val="24"/>
          <w:szCs w:val="24"/>
        </w:rPr>
        <w:t xml:space="preserve"> S260130 </w:t>
      </w:r>
    </w:p>
    <w:p w14:paraId="4B8D33B1" w14:textId="77777777" w:rsidR="00E5795F" w:rsidRPr="00E5795F" w:rsidRDefault="00E5795F" w:rsidP="00E5795F">
      <w:pPr>
        <w:spacing w:after="0" w:line="240" w:lineRule="auto"/>
        <w:jc w:val="left"/>
        <w:rPr>
          <w:bCs/>
          <w:sz w:val="24"/>
          <w:szCs w:val="24"/>
        </w:rPr>
      </w:pPr>
      <w:r w:rsidRPr="00E5795F">
        <w:rPr>
          <w:b/>
          <w:sz w:val="24"/>
          <w:szCs w:val="24"/>
        </w:rPr>
        <w:t>Date Filed:</w:t>
      </w:r>
      <w:r w:rsidRPr="00E5795F">
        <w:rPr>
          <w:sz w:val="24"/>
          <w:szCs w:val="24"/>
        </w:rPr>
        <w:t xml:space="preserve">  June 21, 2021</w:t>
      </w:r>
    </w:p>
    <w:p w14:paraId="0304E1C0" w14:textId="77777777" w:rsidR="00E5795F" w:rsidRPr="00E5795F" w:rsidRDefault="00E5795F" w:rsidP="00E5795F">
      <w:pPr>
        <w:spacing w:after="0" w:line="240" w:lineRule="auto"/>
        <w:jc w:val="left"/>
        <w:rPr>
          <w:b/>
          <w:sz w:val="24"/>
          <w:szCs w:val="24"/>
        </w:rPr>
      </w:pPr>
      <w:r w:rsidRPr="00E5795F">
        <w:rPr>
          <w:b/>
          <w:sz w:val="24"/>
          <w:szCs w:val="24"/>
        </w:rPr>
        <w:t xml:space="preserve">__________________________________________________________________ </w:t>
      </w:r>
    </w:p>
    <w:p w14:paraId="6D552B0F" w14:textId="77777777" w:rsidR="00E5795F" w:rsidRPr="00E5795F" w:rsidRDefault="00E5795F" w:rsidP="00E5795F">
      <w:pPr>
        <w:spacing w:after="0" w:line="240" w:lineRule="auto"/>
        <w:jc w:val="left"/>
        <w:rPr>
          <w:b/>
          <w:sz w:val="24"/>
          <w:szCs w:val="24"/>
        </w:rPr>
      </w:pPr>
    </w:p>
    <w:p w14:paraId="7761D403" w14:textId="77777777" w:rsidR="00E5795F" w:rsidRPr="00E5795F" w:rsidRDefault="00E5795F" w:rsidP="00E5795F">
      <w:pPr>
        <w:spacing w:after="0" w:line="240" w:lineRule="auto"/>
        <w:jc w:val="left"/>
        <w:rPr>
          <w:bCs/>
          <w:sz w:val="24"/>
          <w:szCs w:val="24"/>
        </w:rPr>
      </w:pPr>
      <w:r w:rsidRPr="00E5795F">
        <w:rPr>
          <w:b/>
          <w:sz w:val="24"/>
          <w:szCs w:val="24"/>
        </w:rPr>
        <w:t xml:space="preserve">Court:  </w:t>
      </w:r>
      <w:r w:rsidRPr="00E5795F">
        <w:rPr>
          <w:bCs/>
          <w:sz w:val="24"/>
          <w:szCs w:val="24"/>
        </w:rPr>
        <w:t>Superior</w:t>
      </w:r>
      <w:r w:rsidRPr="00E5795F">
        <w:rPr>
          <w:b/>
          <w:sz w:val="24"/>
          <w:szCs w:val="24"/>
        </w:rPr>
        <w:t xml:space="preserve">   </w:t>
      </w:r>
    </w:p>
    <w:p w14:paraId="7F0F67B4" w14:textId="77777777" w:rsidR="00E5795F" w:rsidRPr="00E5795F" w:rsidRDefault="00E5795F" w:rsidP="00E5795F">
      <w:pPr>
        <w:spacing w:after="0" w:line="240" w:lineRule="auto"/>
        <w:jc w:val="left"/>
        <w:rPr>
          <w:bCs/>
          <w:sz w:val="24"/>
          <w:szCs w:val="24"/>
        </w:rPr>
      </w:pPr>
      <w:r w:rsidRPr="00E5795F">
        <w:rPr>
          <w:b/>
          <w:sz w:val="24"/>
          <w:szCs w:val="24"/>
        </w:rPr>
        <w:t xml:space="preserve">County:  </w:t>
      </w:r>
      <w:r w:rsidRPr="00E5795F">
        <w:rPr>
          <w:bCs/>
          <w:sz w:val="24"/>
          <w:szCs w:val="24"/>
        </w:rPr>
        <w:t>Los Angeles</w:t>
      </w:r>
      <w:r w:rsidRPr="00E5795F">
        <w:rPr>
          <w:b/>
          <w:sz w:val="24"/>
          <w:szCs w:val="24"/>
        </w:rPr>
        <w:t xml:space="preserve">  </w:t>
      </w:r>
      <w:r w:rsidRPr="00E5795F">
        <w:rPr>
          <w:bCs/>
          <w:sz w:val="24"/>
          <w:szCs w:val="24"/>
        </w:rPr>
        <w:t xml:space="preserve"> </w:t>
      </w:r>
    </w:p>
    <w:p w14:paraId="0D0A64E5" w14:textId="77777777" w:rsidR="00E5795F" w:rsidRPr="00E5795F" w:rsidRDefault="00E5795F" w:rsidP="00E5795F">
      <w:pPr>
        <w:spacing w:after="0" w:line="240" w:lineRule="auto"/>
        <w:ind w:left="720" w:hanging="720"/>
        <w:jc w:val="left"/>
        <w:rPr>
          <w:bCs/>
          <w:sz w:val="24"/>
          <w:szCs w:val="24"/>
        </w:rPr>
      </w:pPr>
      <w:r w:rsidRPr="00E5795F">
        <w:rPr>
          <w:b/>
          <w:sz w:val="24"/>
          <w:szCs w:val="24"/>
        </w:rPr>
        <w:t xml:space="preserve">Judge:  </w:t>
      </w:r>
      <w:r w:rsidRPr="00E5795F">
        <w:rPr>
          <w:bCs/>
          <w:sz w:val="24"/>
          <w:szCs w:val="24"/>
        </w:rPr>
        <w:t>Steven D. Blades</w:t>
      </w:r>
      <w:r w:rsidRPr="00E5795F">
        <w:rPr>
          <w:b/>
          <w:sz w:val="24"/>
          <w:szCs w:val="24"/>
        </w:rPr>
        <w:t xml:space="preserve">  </w:t>
      </w:r>
      <w:r w:rsidRPr="00E5795F">
        <w:rPr>
          <w:bCs/>
          <w:sz w:val="24"/>
          <w:szCs w:val="24"/>
        </w:rPr>
        <w:t xml:space="preserve"> </w:t>
      </w:r>
    </w:p>
    <w:p w14:paraId="62CD6C72" w14:textId="77777777" w:rsidR="00E5795F" w:rsidRPr="00E5795F" w:rsidRDefault="00E5795F" w:rsidP="00E5795F">
      <w:pPr>
        <w:spacing w:after="0" w:line="240" w:lineRule="auto"/>
        <w:jc w:val="left"/>
        <w:rPr>
          <w:b/>
          <w:sz w:val="24"/>
          <w:szCs w:val="24"/>
        </w:rPr>
      </w:pPr>
      <w:r w:rsidRPr="00E5795F">
        <w:rPr>
          <w:b/>
          <w:sz w:val="24"/>
          <w:szCs w:val="24"/>
        </w:rPr>
        <w:t xml:space="preserve">__________________________________________________________________ </w:t>
      </w:r>
    </w:p>
    <w:p w14:paraId="7DC647A6" w14:textId="77777777" w:rsidR="00E5795F" w:rsidRPr="00E5795F" w:rsidRDefault="00E5795F" w:rsidP="00E5795F">
      <w:pPr>
        <w:spacing w:after="0" w:line="240" w:lineRule="auto"/>
        <w:jc w:val="left"/>
        <w:rPr>
          <w:b/>
          <w:sz w:val="24"/>
          <w:szCs w:val="24"/>
        </w:rPr>
      </w:pPr>
    </w:p>
    <w:p w14:paraId="3AB79D45" w14:textId="77777777" w:rsidR="00E5795F" w:rsidRPr="00E5795F" w:rsidRDefault="00E5795F" w:rsidP="00E5795F">
      <w:pPr>
        <w:spacing w:after="0" w:line="240" w:lineRule="auto"/>
        <w:jc w:val="left"/>
        <w:rPr>
          <w:b/>
          <w:sz w:val="24"/>
          <w:szCs w:val="24"/>
        </w:rPr>
      </w:pPr>
      <w:r w:rsidRPr="00E5795F">
        <w:rPr>
          <w:b/>
          <w:sz w:val="24"/>
          <w:szCs w:val="24"/>
        </w:rPr>
        <w:t>Counsel:</w:t>
      </w:r>
    </w:p>
    <w:p w14:paraId="3119448C" w14:textId="77777777" w:rsidR="00E5795F" w:rsidRPr="00E5795F" w:rsidRDefault="00E5795F" w:rsidP="00E5795F">
      <w:pPr>
        <w:spacing w:after="0" w:line="240" w:lineRule="auto"/>
        <w:jc w:val="left"/>
        <w:rPr>
          <w:b/>
          <w:sz w:val="24"/>
          <w:szCs w:val="24"/>
        </w:rPr>
      </w:pPr>
    </w:p>
    <w:p w14:paraId="31677897" w14:textId="77777777" w:rsidR="00E5795F" w:rsidRPr="00E5795F" w:rsidRDefault="00E5795F" w:rsidP="00E5795F">
      <w:pPr>
        <w:spacing w:after="0" w:line="240" w:lineRule="auto"/>
        <w:jc w:val="left"/>
        <w:rPr>
          <w:b/>
          <w:sz w:val="24"/>
          <w:szCs w:val="24"/>
        </w:rPr>
      </w:pPr>
      <w:r w:rsidRPr="00E5795F">
        <w:rPr>
          <w:sz w:val="24"/>
          <w:szCs w:val="24"/>
          <w:bdr w:val="none" w:sz="0" w:space="0" w:color="auto" w:frame="1"/>
        </w:rPr>
        <w:t>Rachel Lederman</w:t>
      </w:r>
      <w:r w:rsidRPr="00E5795F">
        <w:rPr>
          <w:color w:val="212121"/>
          <w:sz w:val="24"/>
          <w:szCs w:val="24"/>
          <w:shd w:val="clear" w:color="auto" w:fill="FFFFFF"/>
        </w:rPr>
        <w:t xml:space="preserve">, under appointment by </w:t>
      </w:r>
      <w:r w:rsidRPr="00E5795F">
        <w:rPr>
          <w:color w:val="000000"/>
          <w:sz w:val="24"/>
          <w:szCs w:val="24"/>
          <w:shd w:val="clear" w:color="auto" w:fill="FFFFFF"/>
        </w:rPr>
        <w:t>the Supreme Court</w:t>
      </w:r>
      <w:r w:rsidRPr="00E5795F">
        <w:rPr>
          <w:color w:val="212121"/>
          <w:sz w:val="24"/>
          <w:szCs w:val="24"/>
          <w:shd w:val="clear" w:color="auto" w:fill="FFFFFF"/>
        </w:rPr>
        <w:t>, for Defendant and Appellant.</w:t>
      </w:r>
      <w:r w:rsidRPr="00E5795F">
        <w:rPr>
          <w:rFonts w:cs="Arial"/>
          <w:color w:val="212121"/>
          <w:sz w:val="24"/>
          <w:szCs w:val="24"/>
        </w:rPr>
        <w:br/>
      </w:r>
      <w:r w:rsidRPr="00E5795F">
        <w:rPr>
          <w:rFonts w:cs="Arial"/>
          <w:color w:val="212121"/>
          <w:sz w:val="24"/>
          <w:szCs w:val="24"/>
        </w:rPr>
        <w:br/>
      </w:r>
      <w:r w:rsidRPr="00E5795F">
        <w:rPr>
          <w:bCs/>
          <w:sz w:val="24"/>
          <w:szCs w:val="24"/>
        </w:rPr>
        <w:t>Xavier Becerra,</w:t>
      </w:r>
      <w:r w:rsidRPr="00E5795F">
        <w:rPr>
          <w:color w:val="212121"/>
          <w:sz w:val="24"/>
          <w:szCs w:val="24"/>
          <w:shd w:val="clear" w:color="auto" w:fill="FFFFFF"/>
        </w:rPr>
        <w:t xml:space="preserve"> Attorney General, </w:t>
      </w:r>
      <w:r w:rsidRPr="00E5795F">
        <w:rPr>
          <w:sz w:val="24"/>
          <w:szCs w:val="24"/>
          <w:bdr w:val="none" w:sz="0" w:space="0" w:color="auto" w:frame="1"/>
        </w:rPr>
        <w:t>Lance E. Winters</w:t>
      </w:r>
      <w:r w:rsidRPr="00E5795F">
        <w:rPr>
          <w:color w:val="212121"/>
          <w:sz w:val="24"/>
          <w:szCs w:val="24"/>
          <w:shd w:val="clear" w:color="auto" w:fill="FFFFFF"/>
        </w:rPr>
        <w:t xml:space="preserve">, Chief Assistant Attorney General, Susan Sullivan </w:t>
      </w:r>
      <w:proofErr w:type="spellStart"/>
      <w:r w:rsidRPr="00E5795F">
        <w:rPr>
          <w:color w:val="212121"/>
          <w:sz w:val="24"/>
          <w:szCs w:val="24"/>
          <w:shd w:val="clear" w:color="auto" w:fill="FFFFFF"/>
        </w:rPr>
        <w:t>Pithey</w:t>
      </w:r>
      <w:proofErr w:type="spellEnd"/>
      <w:r w:rsidRPr="00E5795F">
        <w:rPr>
          <w:color w:val="212121"/>
          <w:sz w:val="24"/>
          <w:szCs w:val="24"/>
          <w:shd w:val="clear" w:color="auto" w:fill="FFFFFF"/>
        </w:rPr>
        <w:t xml:space="preserve">, Assistant Attorney General, </w:t>
      </w:r>
      <w:r w:rsidRPr="00E5795F">
        <w:rPr>
          <w:sz w:val="24"/>
          <w:szCs w:val="24"/>
          <w:bdr w:val="none" w:sz="0" w:space="0" w:color="auto" w:frame="1"/>
        </w:rPr>
        <w:t>Scott A. Taryle</w:t>
      </w:r>
      <w:r w:rsidRPr="00E5795F">
        <w:rPr>
          <w:color w:val="212121"/>
          <w:sz w:val="24"/>
          <w:szCs w:val="24"/>
          <w:shd w:val="clear" w:color="auto" w:fill="FFFFFF"/>
        </w:rPr>
        <w:t xml:space="preserve">, </w:t>
      </w:r>
      <w:r w:rsidRPr="00E5795F">
        <w:rPr>
          <w:sz w:val="24"/>
          <w:szCs w:val="24"/>
          <w:bdr w:val="none" w:sz="0" w:space="0" w:color="auto" w:frame="1"/>
        </w:rPr>
        <w:t>Colleen M. Tiedemann and Michael R. Johnsen</w:t>
      </w:r>
      <w:r w:rsidRPr="00E5795F">
        <w:rPr>
          <w:color w:val="212121"/>
          <w:sz w:val="24"/>
          <w:szCs w:val="24"/>
          <w:shd w:val="clear" w:color="auto" w:fill="FFFFFF"/>
        </w:rPr>
        <w:t>, Deputy Attorneys General, for Plaintiff and Respondent.</w:t>
      </w:r>
      <w:r w:rsidRPr="00E5795F">
        <w:rPr>
          <w:b/>
          <w:sz w:val="24"/>
          <w:szCs w:val="24"/>
        </w:rPr>
        <w:t xml:space="preserve"> </w:t>
      </w:r>
      <w:r w:rsidRPr="00E5795F">
        <w:rPr>
          <w:b/>
          <w:sz w:val="24"/>
          <w:szCs w:val="24"/>
        </w:rPr>
        <w:br w:type="page"/>
      </w:r>
    </w:p>
    <w:p w14:paraId="698A0881" w14:textId="77777777" w:rsidR="00E5795F" w:rsidRPr="00E5795F" w:rsidRDefault="00E5795F" w:rsidP="00E5795F">
      <w:pPr>
        <w:spacing w:after="0" w:line="240" w:lineRule="auto"/>
        <w:jc w:val="left"/>
        <w:rPr>
          <w:b/>
          <w:sz w:val="24"/>
          <w:szCs w:val="24"/>
        </w:rPr>
      </w:pPr>
      <w:r w:rsidRPr="00E5795F">
        <w:rPr>
          <w:b/>
          <w:sz w:val="24"/>
          <w:szCs w:val="24"/>
        </w:rPr>
        <w:lastRenderedPageBreak/>
        <w:t>Counsel who argued in Supreme Court (not intended for publication with opinion):</w:t>
      </w:r>
    </w:p>
    <w:p w14:paraId="6F7519EC" w14:textId="77777777" w:rsidR="00E5795F" w:rsidRPr="00E5795F" w:rsidRDefault="00E5795F" w:rsidP="00E5795F">
      <w:pPr>
        <w:spacing w:after="0" w:line="240" w:lineRule="auto"/>
        <w:jc w:val="left"/>
        <w:rPr>
          <w:b/>
          <w:sz w:val="24"/>
          <w:szCs w:val="24"/>
        </w:rPr>
      </w:pPr>
    </w:p>
    <w:p w14:paraId="7A706380"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Rachel Lederman</w:t>
      </w:r>
    </w:p>
    <w:p w14:paraId="44A60D93"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Attorney at Law</w:t>
      </w:r>
    </w:p>
    <w:p w14:paraId="3163A5C8"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558 Capp St.</w:t>
      </w:r>
    </w:p>
    <w:p w14:paraId="56DBBA47"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San Francisco, CA 94110</w:t>
      </w:r>
    </w:p>
    <w:p w14:paraId="468620B7"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(415) 282-9300</w:t>
      </w:r>
    </w:p>
    <w:p w14:paraId="22A1EE0A" w14:textId="77777777" w:rsidR="00E5795F" w:rsidRPr="00E5795F" w:rsidRDefault="00E5795F" w:rsidP="00E5795F">
      <w:pPr>
        <w:spacing w:after="0" w:line="240" w:lineRule="auto"/>
        <w:jc w:val="left"/>
        <w:rPr>
          <w:sz w:val="24"/>
          <w:szCs w:val="24"/>
          <w:bdr w:val="none" w:sz="0" w:space="0" w:color="auto" w:frame="1"/>
        </w:rPr>
      </w:pPr>
    </w:p>
    <w:p w14:paraId="3935BC24"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Colleen M. Tiedemann</w:t>
      </w:r>
    </w:p>
    <w:p w14:paraId="5D7F87FE"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Deputy Attorney General</w:t>
      </w:r>
    </w:p>
    <w:p w14:paraId="00911017"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300 S. Spring St., Suite 1702</w:t>
      </w:r>
    </w:p>
    <w:p w14:paraId="5822FCA6"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Los Angeles, CA 90013</w:t>
      </w:r>
    </w:p>
    <w:p w14:paraId="51435248" w14:textId="77777777" w:rsidR="00E5795F" w:rsidRPr="00E5795F" w:rsidRDefault="00E5795F" w:rsidP="00E5795F">
      <w:pPr>
        <w:spacing w:after="0" w:line="240" w:lineRule="auto"/>
        <w:jc w:val="left"/>
        <w:rPr>
          <w:sz w:val="24"/>
          <w:szCs w:val="24"/>
          <w:bdr w:val="none" w:sz="0" w:space="0" w:color="auto" w:frame="1"/>
        </w:rPr>
      </w:pPr>
      <w:r w:rsidRPr="00E5795F">
        <w:rPr>
          <w:sz w:val="24"/>
          <w:szCs w:val="24"/>
          <w:bdr w:val="none" w:sz="0" w:space="0" w:color="auto" w:frame="1"/>
        </w:rPr>
        <w:t>(213) 269-6599</w:t>
      </w:r>
    </w:p>
    <w:p w14:paraId="1EB881A1" w14:textId="77777777" w:rsidR="00E5795F" w:rsidRPr="00E5795F" w:rsidRDefault="00E5795F" w:rsidP="00E5795F">
      <w:pPr>
        <w:spacing w:after="0" w:line="240" w:lineRule="auto"/>
        <w:jc w:val="left"/>
        <w:rPr>
          <w:sz w:val="24"/>
          <w:szCs w:val="24"/>
        </w:rPr>
      </w:pPr>
    </w:p>
    <w:p w14:paraId="3CC262FD" w14:textId="61A7667B" w:rsidR="00A620E8" w:rsidRDefault="00A620E8" w:rsidP="00D7072A">
      <w:pPr>
        <w:spacing w:after="0" w:line="240" w:lineRule="auto"/>
        <w:jc w:val="left"/>
        <w:rPr>
          <w:b/>
        </w:rPr>
      </w:pPr>
    </w:p>
    <w:sectPr w:rsidR="00A620E8" w:rsidSect="00FD2AA6">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7710" w14:textId="77777777" w:rsidR="001133FF" w:rsidRDefault="001133FF">
      <w:r>
        <w:separator/>
      </w:r>
    </w:p>
  </w:endnote>
  <w:endnote w:type="continuationSeparator" w:id="0">
    <w:p w14:paraId="5575902A" w14:textId="77777777" w:rsidR="001133FF" w:rsidRDefault="0011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B71A" w14:textId="77777777" w:rsidR="00DF7A86" w:rsidRPr="00332D56" w:rsidRDefault="0044111B">
    <w:pPr>
      <w:pStyle w:val="Footer"/>
      <w:rPr>
        <w:szCs w:val="22"/>
      </w:rPr>
    </w:pPr>
    <w:r w:rsidRPr="00332D56">
      <w:rPr>
        <w:szCs w:val="22"/>
      </w:rPr>
      <w:fldChar w:fldCharType="begin"/>
    </w:r>
    <w:r w:rsidRPr="00332D56">
      <w:rPr>
        <w:szCs w:val="22"/>
      </w:rPr>
      <w:instrText>PAGE</w:instrText>
    </w:r>
    <w:r w:rsidRPr="00332D56">
      <w:rPr>
        <w:szCs w:val="22"/>
      </w:rPr>
      <w:fldChar w:fldCharType="separate"/>
    </w:r>
    <w:r w:rsidRPr="00332D56">
      <w:rPr>
        <w:noProof/>
        <w:szCs w:val="22"/>
      </w:rPr>
      <w:t>1</w:t>
    </w:r>
    <w:r w:rsidRPr="00332D56">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E7E0" w14:textId="77777777" w:rsidR="00805ED0" w:rsidRDefault="00805ED0">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8791" w14:textId="77777777" w:rsidR="00E37E12" w:rsidRDefault="001133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679" w14:textId="77777777" w:rsidR="00E37E12" w:rsidRDefault="001133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AB9C" w14:textId="77777777" w:rsidR="00E37E12" w:rsidRDefault="0011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7FDC" w14:textId="77777777" w:rsidR="001133FF" w:rsidRDefault="001133FF">
      <w:r>
        <w:separator/>
      </w:r>
    </w:p>
  </w:footnote>
  <w:footnote w:type="continuationSeparator" w:id="0">
    <w:p w14:paraId="180DD72A" w14:textId="77777777" w:rsidR="001133FF" w:rsidRDefault="001133FF">
      <w:pPr>
        <w:rPr>
          <w:sz w:val="22"/>
        </w:rPr>
      </w:pPr>
      <w:r>
        <w:rPr>
          <w:sz w:val="22"/>
        </w:rPr>
        <w:continuationSeparator/>
      </w:r>
    </w:p>
    <w:p w14:paraId="66042EF0" w14:textId="77777777" w:rsidR="001133FF" w:rsidRDefault="001133FF">
      <w:pPr>
        <w:rPr>
          <w:sz w:val="22"/>
        </w:rPr>
      </w:pPr>
    </w:p>
    <w:p w14:paraId="49898E5F" w14:textId="77777777" w:rsidR="001133FF" w:rsidRDefault="001133FF">
      <w:pPr>
        <w:rPr>
          <w:i/>
          <w:sz w:val="20"/>
        </w:rPr>
      </w:pPr>
      <w:r>
        <w:rPr>
          <w:i/>
          <w:sz w:val="20"/>
        </w:rPr>
        <w:t>(</w:t>
      </w:r>
      <w:proofErr w:type="gramStart"/>
      <w:r>
        <w:rPr>
          <w:i/>
          <w:sz w:val="20"/>
        </w:rPr>
        <w:t>footnote</w:t>
      </w:r>
      <w:proofErr w:type="gramEnd"/>
      <w:r>
        <w:rPr>
          <w:i/>
          <w:sz w:val="20"/>
        </w:rPr>
        <w:t xml:space="preserve"> continued from previous page)</w:t>
      </w:r>
    </w:p>
    <w:p w14:paraId="3D279C8B" w14:textId="77777777" w:rsidR="001133FF" w:rsidRDefault="001133FF">
      <w:pPr>
        <w:rPr>
          <w:sz w:val="22"/>
        </w:rPr>
      </w:pPr>
    </w:p>
  </w:footnote>
  <w:footnote w:type="continuationNotice" w:id="1">
    <w:p w14:paraId="19560A9C" w14:textId="77777777" w:rsidR="001133FF" w:rsidRDefault="001133FF">
      <w:pPr>
        <w:rPr>
          <w:i/>
          <w:sz w:val="22"/>
        </w:rPr>
      </w:pPr>
    </w:p>
    <w:p w14:paraId="14E1CE94" w14:textId="77777777" w:rsidR="001133FF" w:rsidRDefault="001133FF">
      <w:pPr>
        <w:jc w:val="right"/>
        <w:rPr>
          <w:i/>
          <w:sz w:val="20"/>
        </w:rPr>
      </w:pPr>
      <w:r>
        <w:rPr>
          <w:i/>
          <w:sz w:val="20"/>
        </w:rPr>
        <w:t>(</w:t>
      </w:r>
      <w:proofErr w:type="gramStart"/>
      <w:r>
        <w:rPr>
          <w:i/>
          <w:sz w:val="20"/>
        </w:rPr>
        <w:t>footnote</w:t>
      </w:r>
      <w:proofErr w:type="gramEnd"/>
      <w:r>
        <w:rPr>
          <w:i/>
          <w:sz w:val="20"/>
        </w:rPr>
        <w:t xml:space="preserv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439" w14:textId="64E6D6D9" w:rsidR="00805ED0" w:rsidRDefault="00805ED0">
    <w:pPr>
      <w:pStyle w:val="Header"/>
    </w:pPr>
    <w:r>
      <w:t>PEOPLE v. OLLO</w:t>
    </w:r>
  </w:p>
  <w:p w14:paraId="4E228AA0" w14:textId="3FF5BE9B" w:rsidR="00805ED0" w:rsidRDefault="00805ED0">
    <w:pPr>
      <w:pStyle w:val="Header"/>
    </w:pPr>
    <w:r>
      <w:t>Opinion of the Court by Liu, J.</w:t>
    </w:r>
  </w:p>
  <w:p w14:paraId="519E22B0" w14:textId="77777777" w:rsidR="00805ED0" w:rsidRDefault="00805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F6D" w14:textId="77777777" w:rsidR="00E37E12" w:rsidRDefault="00113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AEB6" w14:textId="77777777" w:rsidR="00E37E12" w:rsidRDefault="00113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E4FE" w14:textId="77777777" w:rsidR="00E37E12" w:rsidRDefault="00113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91"/>
    <w:rsid w:val="00000922"/>
    <w:rsid w:val="00000D68"/>
    <w:rsid w:val="0000132A"/>
    <w:rsid w:val="00005AD8"/>
    <w:rsid w:val="000122D3"/>
    <w:rsid w:val="0001587F"/>
    <w:rsid w:val="000201ED"/>
    <w:rsid w:val="00021F16"/>
    <w:rsid w:val="00022615"/>
    <w:rsid w:val="00022716"/>
    <w:rsid w:val="00026307"/>
    <w:rsid w:val="00027501"/>
    <w:rsid w:val="000307F1"/>
    <w:rsid w:val="00030B21"/>
    <w:rsid w:val="00041449"/>
    <w:rsid w:val="000448AD"/>
    <w:rsid w:val="00045829"/>
    <w:rsid w:val="000462DD"/>
    <w:rsid w:val="00047DBA"/>
    <w:rsid w:val="000509E8"/>
    <w:rsid w:val="0005180E"/>
    <w:rsid w:val="00060580"/>
    <w:rsid w:val="00060CB7"/>
    <w:rsid w:val="00062A7B"/>
    <w:rsid w:val="00063019"/>
    <w:rsid w:val="00063CD1"/>
    <w:rsid w:val="00063FE8"/>
    <w:rsid w:val="00071392"/>
    <w:rsid w:val="0007140C"/>
    <w:rsid w:val="00075D4B"/>
    <w:rsid w:val="00081315"/>
    <w:rsid w:val="00082018"/>
    <w:rsid w:val="00083508"/>
    <w:rsid w:val="00084DB3"/>
    <w:rsid w:val="00085A33"/>
    <w:rsid w:val="00085AAD"/>
    <w:rsid w:val="00086EFA"/>
    <w:rsid w:val="00087094"/>
    <w:rsid w:val="0008785E"/>
    <w:rsid w:val="000902B9"/>
    <w:rsid w:val="0009178E"/>
    <w:rsid w:val="000967C6"/>
    <w:rsid w:val="000A192C"/>
    <w:rsid w:val="000A2953"/>
    <w:rsid w:val="000A72D3"/>
    <w:rsid w:val="000A74F5"/>
    <w:rsid w:val="000A77B4"/>
    <w:rsid w:val="000B0638"/>
    <w:rsid w:val="000B0C87"/>
    <w:rsid w:val="000B33AE"/>
    <w:rsid w:val="000B346D"/>
    <w:rsid w:val="000B5A4C"/>
    <w:rsid w:val="000C065E"/>
    <w:rsid w:val="000C0C0A"/>
    <w:rsid w:val="000C460E"/>
    <w:rsid w:val="000C496D"/>
    <w:rsid w:val="000C4AE7"/>
    <w:rsid w:val="000C51F4"/>
    <w:rsid w:val="000C6FF7"/>
    <w:rsid w:val="000D1718"/>
    <w:rsid w:val="000D19D4"/>
    <w:rsid w:val="000D2A9D"/>
    <w:rsid w:val="000D417A"/>
    <w:rsid w:val="000D6724"/>
    <w:rsid w:val="000D73A2"/>
    <w:rsid w:val="000D7479"/>
    <w:rsid w:val="000E04B8"/>
    <w:rsid w:val="000E0687"/>
    <w:rsid w:val="000E1D86"/>
    <w:rsid w:val="000E30FA"/>
    <w:rsid w:val="000E3748"/>
    <w:rsid w:val="000E4063"/>
    <w:rsid w:val="000E4969"/>
    <w:rsid w:val="000E7363"/>
    <w:rsid w:val="000E7BDA"/>
    <w:rsid w:val="000F1648"/>
    <w:rsid w:val="000F22CA"/>
    <w:rsid w:val="000F27B3"/>
    <w:rsid w:val="000F375D"/>
    <w:rsid w:val="000F64BB"/>
    <w:rsid w:val="00100189"/>
    <w:rsid w:val="00103B70"/>
    <w:rsid w:val="00103B97"/>
    <w:rsid w:val="00103F97"/>
    <w:rsid w:val="00105C98"/>
    <w:rsid w:val="00105F12"/>
    <w:rsid w:val="001067EC"/>
    <w:rsid w:val="00106E11"/>
    <w:rsid w:val="0011339E"/>
    <w:rsid w:val="001133FF"/>
    <w:rsid w:val="001139E4"/>
    <w:rsid w:val="00113A67"/>
    <w:rsid w:val="00114450"/>
    <w:rsid w:val="00114996"/>
    <w:rsid w:val="00115736"/>
    <w:rsid w:val="0011592F"/>
    <w:rsid w:val="0011609F"/>
    <w:rsid w:val="00117184"/>
    <w:rsid w:val="00121972"/>
    <w:rsid w:val="001232BD"/>
    <w:rsid w:val="001242A9"/>
    <w:rsid w:val="00124329"/>
    <w:rsid w:val="00125653"/>
    <w:rsid w:val="0012660B"/>
    <w:rsid w:val="00131B51"/>
    <w:rsid w:val="00131F2B"/>
    <w:rsid w:val="0013286F"/>
    <w:rsid w:val="00133FD1"/>
    <w:rsid w:val="00136D62"/>
    <w:rsid w:val="00137BC8"/>
    <w:rsid w:val="00143AEA"/>
    <w:rsid w:val="00143E33"/>
    <w:rsid w:val="001466BA"/>
    <w:rsid w:val="00146B8B"/>
    <w:rsid w:val="001478F1"/>
    <w:rsid w:val="00147F9A"/>
    <w:rsid w:val="00152D31"/>
    <w:rsid w:val="00153C2E"/>
    <w:rsid w:val="001562E8"/>
    <w:rsid w:val="0015784C"/>
    <w:rsid w:val="00157CCB"/>
    <w:rsid w:val="001600AB"/>
    <w:rsid w:val="0016471F"/>
    <w:rsid w:val="0016523B"/>
    <w:rsid w:val="0016748D"/>
    <w:rsid w:val="00170171"/>
    <w:rsid w:val="001706CF"/>
    <w:rsid w:val="00171A6F"/>
    <w:rsid w:val="001800E8"/>
    <w:rsid w:val="00180ADF"/>
    <w:rsid w:val="00181F2F"/>
    <w:rsid w:val="0018406E"/>
    <w:rsid w:val="0018560E"/>
    <w:rsid w:val="00186E47"/>
    <w:rsid w:val="0019042E"/>
    <w:rsid w:val="00190857"/>
    <w:rsid w:val="00191534"/>
    <w:rsid w:val="00191C02"/>
    <w:rsid w:val="00191DD9"/>
    <w:rsid w:val="00193BBD"/>
    <w:rsid w:val="0019409E"/>
    <w:rsid w:val="00194356"/>
    <w:rsid w:val="00195703"/>
    <w:rsid w:val="00195A67"/>
    <w:rsid w:val="001968F1"/>
    <w:rsid w:val="001A5011"/>
    <w:rsid w:val="001A5CBF"/>
    <w:rsid w:val="001A664A"/>
    <w:rsid w:val="001A7113"/>
    <w:rsid w:val="001A7722"/>
    <w:rsid w:val="001A797A"/>
    <w:rsid w:val="001B48A1"/>
    <w:rsid w:val="001B5673"/>
    <w:rsid w:val="001B6E9E"/>
    <w:rsid w:val="001C1081"/>
    <w:rsid w:val="001C1901"/>
    <w:rsid w:val="001C1CB6"/>
    <w:rsid w:val="001C3460"/>
    <w:rsid w:val="001C612A"/>
    <w:rsid w:val="001C6C49"/>
    <w:rsid w:val="001C7B7B"/>
    <w:rsid w:val="001D086D"/>
    <w:rsid w:val="001D0BA2"/>
    <w:rsid w:val="001D2151"/>
    <w:rsid w:val="001D2A80"/>
    <w:rsid w:val="001D4B5B"/>
    <w:rsid w:val="001D72E3"/>
    <w:rsid w:val="001D744C"/>
    <w:rsid w:val="001E192F"/>
    <w:rsid w:val="001E2F6D"/>
    <w:rsid w:val="001E3AFD"/>
    <w:rsid w:val="001E3D34"/>
    <w:rsid w:val="001E5DA0"/>
    <w:rsid w:val="001E7885"/>
    <w:rsid w:val="001F1605"/>
    <w:rsid w:val="001F27B0"/>
    <w:rsid w:val="001F2C92"/>
    <w:rsid w:val="001F5B19"/>
    <w:rsid w:val="001F5FF9"/>
    <w:rsid w:val="00201BBC"/>
    <w:rsid w:val="00202086"/>
    <w:rsid w:val="0020283E"/>
    <w:rsid w:val="0021030B"/>
    <w:rsid w:val="00211455"/>
    <w:rsid w:val="00215DBE"/>
    <w:rsid w:val="00215EC2"/>
    <w:rsid w:val="002179E9"/>
    <w:rsid w:val="00220CB1"/>
    <w:rsid w:val="00225AA5"/>
    <w:rsid w:val="0023003C"/>
    <w:rsid w:val="0023107A"/>
    <w:rsid w:val="0023152C"/>
    <w:rsid w:val="002323A4"/>
    <w:rsid w:val="00235A45"/>
    <w:rsid w:val="002373E8"/>
    <w:rsid w:val="00240A91"/>
    <w:rsid w:val="002416DA"/>
    <w:rsid w:val="00243F5C"/>
    <w:rsid w:val="00244D1A"/>
    <w:rsid w:val="002456F9"/>
    <w:rsid w:val="00245A2F"/>
    <w:rsid w:val="00246D92"/>
    <w:rsid w:val="00253C1D"/>
    <w:rsid w:val="0025599F"/>
    <w:rsid w:val="002565E9"/>
    <w:rsid w:val="00260926"/>
    <w:rsid w:val="00260B5F"/>
    <w:rsid w:val="00261316"/>
    <w:rsid w:val="0026167F"/>
    <w:rsid w:val="002629D9"/>
    <w:rsid w:val="002662C2"/>
    <w:rsid w:val="002668E6"/>
    <w:rsid w:val="00266E9D"/>
    <w:rsid w:val="00271639"/>
    <w:rsid w:val="00280A83"/>
    <w:rsid w:val="00281623"/>
    <w:rsid w:val="00282436"/>
    <w:rsid w:val="00282A12"/>
    <w:rsid w:val="00285A08"/>
    <w:rsid w:val="00290382"/>
    <w:rsid w:val="00291A72"/>
    <w:rsid w:val="002920D4"/>
    <w:rsid w:val="00292298"/>
    <w:rsid w:val="00292DC2"/>
    <w:rsid w:val="00293147"/>
    <w:rsid w:val="00293CBA"/>
    <w:rsid w:val="002943C6"/>
    <w:rsid w:val="00294F80"/>
    <w:rsid w:val="00295026"/>
    <w:rsid w:val="0029529E"/>
    <w:rsid w:val="00296523"/>
    <w:rsid w:val="00296A67"/>
    <w:rsid w:val="002A0AB3"/>
    <w:rsid w:val="002A1706"/>
    <w:rsid w:val="002A1E87"/>
    <w:rsid w:val="002A299A"/>
    <w:rsid w:val="002A3DA2"/>
    <w:rsid w:val="002A4358"/>
    <w:rsid w:val="002A7338"/>
    <w:rsid w:val="002B2466"/>
    <w:rsid w:val="002B374F"/>
    <w:rsid w:val="002B4275"/>
    <w:rsid w:val="002B5722"/>
    <w:rsid w:val="002C06EB"/>
    <w:rsid w:val="002C2A44"/>
    <w:rsid w:val="002C45A3"/>
    <w:rsid w:val="002C6E96"/>
    <w:rsid w:val="002D24FE"/>
    <w:rsid w:val="002D6F4B"/>
    <w:rsid w:val="002E246E"/>
    <w:rsid w:val="002E249A"/>
    <w:rsid w:val="002E4C92"/>
    <w:rsid w:val="002E525C"/>
    <w:rsid w:val="002E527D"/>
    <w:rsid w:val="002E7B11"/>
    <w:rsid w:val="002E7CA6"/>
    <w:rsid w:val="002E7ED9"/>
    <w:rsid w:val="002F09DE"/>
    <w:rsid w:val="002F239C"/>
    <w:rsid w:val="002F28B5"/>
    <w:rsid w:val="002F313C"/>
    <w:rsid w:val="002F3290"/>
    <w:rsid w:val="002F3770"/>
    <w:rsid w:val="002F4A18"/>
    <w:rsid w:val="002F7428"/>
    <w:rsid w:val="002F780B"/>
    <w:rsid w:val="003012E3"/>
    <w:rsid w:val="00301A91"/>
    <w:rsid w:val="00301A99"/>
    <w:rsid w:val="003101D7"/>
    <w:rsid w:val="003104E7"/>
    <w:rsid w:val="003104EA"/>
    <w:rsid w:val="00310D31"/>
    <w:rsid w:val="003110C1"/>
    <w:rsid w:val="0031163A"/>
    <w:rsid w:val="00311C8E"/>
    <w:rsid w:val="00312A4D"/>
    <w:rsid w:val="00314596"/>
    <w:rsid w:val="003156E6"/>
    <w:rsid w:val="00317B16"/>
    <w:rsid w:val="00321980"/>
    <w:rsid w:val="003249B4"/>
    <w:rsid w:val="00325422"/>
    <w:rsid w:val="0032610A"/>
    <w:rsid w:val="00326AF6"/>
    <w:rsid w:val="0032704F"/>
    <w:rsid w:val="00327763"/>
    <w:rsid w:val="00330262"/>
    <w:rsid w:val="0033188C"/>
    <w:rsid w:val="00332D56"/>
    <w:rsid w:val="00334EF7"/>
    <w:rsid w:val="00335158"/>
    <w:rsid w:val="00340456"/>
    <w:rsid w:val="00341055"/>
    <w:rsid w:val="00341421"/>
    <w:rsid w:val="00343DDF"/>
    <w:rsid w:val="00345725"/>
    <w:rsid w:val="00345E45"/>
    <w:rsid w:val="00346477"/>
    <w:rsid w:val="003509F3"/>
    <w:rsid w:val="0035288E"/>
    <w:rsid w:val="00355A7F"/>
    <w:rsid w:val="0035780D"/>
    <w:rsid w:val="003612D2"/>
    <w:rsid w:val="0036136E"/>
    <w:rsid w:val="00362A78"/>
    <w:rsid w:val="0036308C"/>
    <w:rsid w:val="0036581B"/>
    <w:rsid w:val="0036618F"/>
    <w:rsid w:val="003673E5"/>
    <w:rsid w:val="00372700"/>
    <w:rsid w:val="0037391E"/>
    <w:rsid w:val="003740FD"/>
    <w:rsid w:val="00375B70"/>
    <w:rsid w:val="00375DA2"/>
    <w:rsid w:val="00382430"/>
    <w:rsid w:val="0038269B"/>
    <w:rsid w:val="003827DA"/>
    <w:rsid w:val="003836D8"/>
    <w:rsid w:val="003879D6"/>
    <w:rsid w:val="00390C9A"/>
    <w:rsid w:val="003914E5"/>
    <w:rsid w:val="003915B9"/>
    <w:rsid w:val="00392786"/>
    <w:rsid w:val="0039434A"/>
    <w:rsid w:val="00394671"/>
    <w:rsid w:val="003949D6"/>
    <w:rsid w:val="00395B67"/>
    <w:rsid w:val="00396254"/>
    <w:rsid w:val="00396564"/>
    <w:rsid w:val="00397E0C"/>
    <w:rsid w:val="003A0D7E"/>
    <w:rsid w:val="003A1078"/>
    <w:rsid w:val="003A19E1"/>
    <w:rsid w:val="003A2367"/>
    <w:rsid w:val="003A32D5"/>
    <w:rsid w:val="003A3CD1"/>
    <w:rsid w:val="003A4E02"/>
    <w:rsid w:val="003A6BE8"/>
    <w:rsid w:val="003A723B"/>
    <w:rsid w:val="003A752F"/>
    <w:rsid w:val="003A7F0F"/>
    <w:rsid w:val="003B208B"/>
    <w:rsid w:val="003B2DF3"/>
    <w:rsid w:val="003B6480"/>
    <w:rsid w:val="003B7659"/>
    <w:rsid w:val="003C0249"/>
    <w:rsid w:val="003C3161"/>
    <w:rsid w:val="003C55E8"/>
    <w:rsid w:val="003C7581"/>
    <w:rsid w:val="003D1061"/>
    <w:rsid w:val="003D3E73"/>
    <w:rsid w:val="003D7EA9"/>
    <w:rsid w:val="003E40FF"/>
    <w:rsid w:val="003E431A"/>
    <w:rsid w:val="003E524A"/>
    <w:rsid w:val="003E53C7"/>
    <w:rsid w:val="003E6172"/>
    <w:rsid w:val="003F0767"/>
    <w:rsid w:val="003F2BD3"/>
    <w:rsid w:val="003F2F10"/>
    <w:rsid w:val="003F2F4A"/>
    <w:rsid w:val="003F2F72"/>
    <w:rsid w:val="003F5EBE"/>
    <w:rsid w:val="003F65D9"/>
    <w:rsid w:val="004007F7"/>
    <w:rsid w:val="00400FF0"/>
    <w:rsid w:val="004029AA"/>
    <w:rsid w:val="00403F4E"/>
    <w:rsid w:val="00406D31"/>
    <w:rsid w:val="00410030"/>
    <w:rsid w:val="004103E3"/>
    <w:rsid w:val="0041196C"/>
    <w:rsid w:val="0041385F"/>
    <w:rsid w:val="00413D10"/>
    <w:rsid w:val="004154CA"/>
    <w:rsid w:val="004172A3"/>
    <w:rsid w:val="0042169C"/>
    <w:rsid w:val="00421BC3"/>
    <w:rsid w:val="00423B1C"/>
    <w:rsid w:val="00424418"/>
    <w:rsid w:val="00426EB9"/>
    <w:rsid w:val="00430072"/>
    <w:rsid w:val="004314E8"/>
    <w:rsid w:val="00431C2B"/>
    <w:rsid w:val="00432044"/>
    <w:rsid w:val="0044099A"/>
    <w:rsid w:val="0044100D"/>
    <w:rsid w:val="0044111B"/>
    <w:rsid w:val="0044379C"/>
    <w:rsid w:val="00443E38"/>
    <w:rsid w:val="0044469C"/>
    <w:rsid w:val="004448BD"/>
    <w:rsid w:val="00445783"/>
    <w:rsid w:val="00447841"/>
    <w:rsid w:val="004506F7"/>
    <w:rsid w:val="00450A65"/>
    <w:rsid w:val="00450F96"/>
    <w:rsid w:val="00453333"/>
    <w:rsid w:val="0045484D"/>
    <w:rsid w:val="00455E16"/>
    <w:rsid w:val="00456042"/>
    <w:rsid w:val="004567F9"/>
    <w:rsid w:val="00457F0C"/>
    <w:rsid w:val="0046048F"/>
    <w:rsid w:val="00460EA4"/>
    <w:rsid w:val="004628F1"/>
    <w:rsid w:val="004710FE"/>
    <w:rsid w:val="00471738"/>
    <w:rsid w:val="0047208F"/>
    <w:rsid w:val="004730B5"/>
    <w:rsid w:val="00474F76"/>
    <w:rsid w:val="00475778"/>
    <w:rsid w:val="00476E5C"/>
    <w:rsid w:val="004774C0"/>
    <w:rsid w:val="00477E7A"/>
    <w:rsid w:val="00481331"/>
    <w:rsid w:val="004820B0"/>
    <w:rsid w:val="00487B1C"/>
    <w:rsid w:val="00487D50"/>
    <w:rsid w:val="00490EA8"/>
    <w:rsid w:val="00491D38"/>
    <w:rsid w:val="00492566"/>
    <w:rsid w:val="00494A62"/>
    <w:rsid w:val="004959CE"/>
    <w:rsid w:val="004978EE"/>
    <w:rsid w:val="004A129E"/>
    <w:rsid w:val="004A1FE5"/>
    <w:rsid w:val="004A2C90"/>
    <w:rsid w:val="004A421E"/>
    <w:rsid w:val="004A5A65"/>
    <w:rsid w:val="004A6AE3"/>
    <w:rsid w:val="004A7B1F"/>
    <w:rsid w:val="004B20B3"/>
    <w:rsid w:val="004B2FB2"/>
    <w:rsid w:val="004B43B2"/>
    <w:rsid w:val="004B6103"/>
    <w:rsid w:val="004B723F"/>
    <w:rsid w:val="004C11FA"/>
    <w:rsid w:val="004C2841"/>
    <w:rsid w:val="004C4ADD"/>
    <w:rsid w:val="004C50C3"/>
    <w:rsid w:val="004C5E46"/>
    <w:rsid w:val="004C5EC5"/>
    <w:rsid w:val="004C6F21"/>
    <w:rsid w:val="004D0D63"/>
    <w:rsid w:val="004D1D12"/>
    <w:rsid w:val="004D2228"/>
    <w:rsid w:val="004D34E1"/>
    <w:rsid w:val="004D5403"/>
    <w:rsid w:val="004D57AE"/>
    <w:rsid w:val="004D58A7"/>
    <w:rsid w:val="004D5D6B"/>
    <w:rsid w:val="004D5F81"/>
    <w:rsid w:val="004D6297"/>
    <w:rsid w:val="004D6714"/>
    <w:rsid w:val="004E1887"/>
    <w:rsid w:val="004E300B"/>
    <w:rsid w:val="004E36CA"/>
    <w:rsid w:val="004E386D"/>
    <w:rsid w:val="004E530F"/>
    <w:rsid w:val="004E5CAB"/>
    <w:rsid w:val="004E67DF"/>
    <w:rsid w:val="004F2174"/>
    <w:rsid w:val="004F2DED"/>
    <w:rsid w:val="005058BF"/>
    <w:rsid w:val="0050760B"/>
    <w:rsid w:val="00511001"/>
    <w:rsid w:val="00511633"/>
    <w:rsid w:val="00511F53"/>
    <w:rsid w:val="005122A9"/>
    <w:rsid w:val="005129CC"/>
    <w:rsid w:val="00513BA5"/>
    <w:rsid w:val="005152D5"/>
    <w:rsid w:val="005169FB"/>
    <w:rsid w:val="005178D3"/>
    <w:rsid w:val="00517EC5"/>
    <w:rsid w:val="00522BF3"/>
    <w:rsid w:val="00524A7A"/>
    <w:rsid w:val="00525B48"/>
    <w:rsid w:val="00530043"/>
    <w:rsid w:val="00531DC6"/>
    <w:rsid w:val="005344A8"/>
    <w:rsid w:val="00535190"/>
    <w:rsid w:val="00535F8A"/>
    <w:rsid w:val="00540619"/>
    <w:rsid w:val="00541E58"/>
    <w:rsid w:val="00542651"/>
    <w:rsid w:val="00544A1C"/>
    <w:rsid w:val="00544C06"/>
    <w:rsid w:val="00545162"/>
    <w:rsid w:val="005456F4"/>
    <w:rsid w:val="00545BD8"/>
    <w:rsid w:val="00553515"/>
    <w:rsid w:val="00553518"/>
    <w:rsid w:val="0055674D"/>
    <w:rsid w:val="00556EC2"/>
    <w:rsid w:val="00557347"/>
    <w:rsid w:val="00557A35"/>
    <w:rsid w:val="0056316B"/>
    <w:rsid w:val="0056424D"/>
    <w:rsid w:val="00564D1F"/>
    <w:rsid w:val="00565EB3"/>
    <w:rsid w:val="0057033D"/>
    <w:rsid w:val="00570EE0"/>
    <w:rsid w:val="00571586"/>
    <w:rsid w:val="005718A7"/>
    <w:rsid w:val="00571DE3"/>
    <w:rsid w:val="00575A29"/>
    <w:rsid w:val="00582853"/>
    <w:rsid w:val="0058341F"/>
    <w:rsid w:val="00583D58"/>
    <w:rsid w:val="00585063"/>
    <w:rsid w:val="00585C46"/>
    <w:rsid w:val="005870A3"/>
    <w:rsid w:val="00587424"/>
    <w:rsid w:val="00592BA7"/>
    <w:rsid w:val="00593B0E"/>
    <w:rsid w:val="00595BC8"/>
    <w:rsid w:val="00596BCA"/>
    <w:rsid w:val="0059715C"/>
    <w:rsid w:val="005A1034"/>
    <w:rsid w:val="005A1C01"/>
    <w:rsid w:val="005A2169"/>
    <w:rsid w:val="005A260A"/>
    <w:rsid w:val="005A2B8E"/>
    <w:rsid w:val="005A41D2"/>
    <w:rsid w:val="005A4795"/>
    <w:rsid w:val="005A4FF3"/>
    <w:rsid w:val="005B3891"/>
    <w:rsid w:val="005B3CEC"/>
    <w:rsid w:val="005B522E"/>
    <w:rsid w:val="005B691A"/>
    <w:rsid w:val="005B6FC4"/>
    <w:rsid w:val="005C145F"/>
    <w:rsid w:val="005C270C"/>
    <w:rsid w:val="005C3FB3"/>
    <w:rsid w:val="005C44AB"/>
    <w:rsid w:val="005C526B"/>
    <w:rsid w:val="005D21C4"/>
    <w:rsid w:val="005D2A12"/>
    <w:rsid w:val="005D4240"/>
    <w:rsid w:val="005D5728"/>
    <w:rsid w:val="005E085E"/>
    <w:rsid w:val="005E32D5"/>
    <w:rsid w:val="005E3F6D"/>
    <w:rsid w:val="005E50CC"/>
    <w:rsid w:val="005E5DF2"/>
    <w:rsid w:val="005E6822"/>
    <w:rsid w:val="005E7599"/>
    <w:rsid w:val="005F028E"/>
    <w:rsid w:val="005F063F"/>
    <w:rsid w:val="005F0E0E"/>
    <w:rsid w:val="005F2525"/>
    <w:rsid w:val="005F26DC"/>
    <w:rsid w:val="005F2A5A"/>
    <w:rsid w:val="005F4759"/>
    <w:rsid w:val="005F5BC0"/>
    <w:rsid w:val="005F753E"/>
    <w:rsid w:val="006004D4"/>
    <w:rsid w:val="00601F12"/>
    <w:rsid w:val="00603B43"/>
    <w:rsid w:val="00603F74"/>
    <w:rsid w:val="00607A7E"/>
    <w:rsid w:val="00607E26"/>
    <w:rsid w:val="00610C7C"/>
    <w:rsid w:val="0061161C"/>
    <w:rsid w:val="00612417"/>
    <w:rsid w:val="00612D86"/>
    <w:rsid w:val="00613602"/>
    <w:rsid w:val="006147A6"/>
    <w:rsid w:val="00614882"/>
    <w:rsid w:val="00620EA2"/>
    <w:rsid w:val="00622645"/>
    <w:rsid w:val="00623F17"/>
    <w:rsid w:val="00624A06"/>
    <w:rsid w:val="00625045"/>
    <w:rsid w:val="006279B0"/>
    <w:rsid w:val="0063008C"/>
    <w:rsid w:val="00631457"/>
    <w:rsid w:val="006320DD"/>
    <w:rsid w:val="00636869"/>
    <w:rsid w:val="00636BE3"/>
    <w:rsid w:val="00637E9C"/>
    <w:rsid w:val="0064381D"/>
    <w:rsid w:val="0064461A"/>
    <w:rsid w:val="00646DEE"/>
    <w:rsid w:val="00647C95"/>
    <w:rsid w:val="00647E18"/>
    <w:rsid w:val="00652B65"/>
    <w:rsid w:val="00652D54"/>
    <w:rsid w:val="006628DA"/>
    <w:rsid w:val="00663C7D"/>
    <w:rsid w:val="00667303"/>
    <w:rsid w:val="00670935"/>
    <w:rsid w:val="00671B10"/>
    <w:rsid w:val="00671D63"/>
    <w:rsid w:val="006727EA"/>
    <w:rsid w:val="00673041"/>
    <w:rsid w:val="006749EF"/>
    <w:rsid w:val="00674F6D"/>
    <w:rsid w:val="006758DD"/>
    <w:rsid w:val="00676248"/>
    <w:rsid w:val="006777F4"/>
    <w:rsid w:val="0068077A"/>
    <w:rsid w:val="006822AC"/>
    <w:rsid w:val="006828EB"/>
    <w:rsid w:val="00683B5F"/>
    <w:rsid w:val="00683D74"/>
    <w:rsid w:val="006863F3"/>
    <w:rsid w:val="0068791D"/>
    <w:rsid w:val="00687FB7"/>
    <w:rsid w:val="00690228"/>
    <w:rsid w:val="00690447"/>
    <w:rsid w:val="00696E2C"/>
    <w:rsid w:val="00697464"/>
    <w:rsid w:val="006A1DB3"/>
    <w:rsid w:val="006A2984"/>
    <w:rsid w:val="006A4747"/>
    <w:rsid w:val="006A4F6F"/>
    <w:rsid w:val="006A6502"/>
    <w:rsid w:val="006A78B2"/>
    <w:rsid w:val="006B13CC"/>
    <w:rsid w:val="006B38F6"/>
    <w:rsid w:val="006B5CBD"/>
    <w:rsid w:val="006B5F19"/>
    <w:rsid w:val="006B7055"/>
    <w:rsid w:val="006C1AB5"/>
    <w:rsid w:val="006C2603"/>
    <w:rsid w:val="006C40B0"/>
    <w:rsid w:val="006C4F7C"/>
    <w:rsid w:val="006C5AF3"/>
    <w:rsid w:val="006C6CD6"/>
    <w:rsid w:val="006C7279"/>
    <w:rsid w:val="006C7B67"/>
    <w:rsid w:val="006C7F9C"/>
    <w:rsid w:val="006D1279"/>
    <w:rsid w:val="006D1289"/>
    <w:rsid w:val="006D230D"/>
    <w:rsid w:val="006D32A2"/>
    <w:rsid w:val="006D3951"/>
    <w:rsid w:val="006D3B4B"/>
    <w:rsid w:val="006D4A18"/>
    <w:rsid w:val="006D5E50"/>
    <w:rsid w:val="006D6C71"/>
    <w:rsid w:val="006D6D03"/>
    <w:rsid w:val="006E00F5"/>
    <w:rsid w:val="006E383E"/>
    <w:rsid w:val="006E41FE"/>
    <w:rsid w:val="006E46CD"/>
    <w:rsid w:val="006E4F3A"/>
    <w:rsid w:val="006E508D"/>
    <w:rsid w:val="006E7FA7"/>
    <w:rsid w:val="006F01E6"/>
    <w:rsid w:val="006F1223"/>
    <w:rsid w:val="006F1D14"/>
    <w:rsid w:val="006F1E90"/>
    <w:rsid w:val="006F2772"/>
    <w:rsid w:val="006F2ABE"/>
    <w:rsid w:val="006F2CB2"/>
    <w:rsid w:val="006F3BAB"/>
    <w:rsid w:val="006F51D4"/>
    <w:rsid w:val="006F55F8"/>
    <w:rsid w:val="00702589"/>
    <w:rsid w:val="007042B4"/>
    <w:rsid w:val="00705BF5"/>
    <w:rsid w:val="00706AC0"/>
    <w:rsid w:val="0071137B"/>
    <w:rsid w:val="00712B59"/>
    <w:rsid w:val="00713A9E"/>
    <w:rsid w:val="00713BFB"/>
    <w:rsid w:val="00713C80"/>
    <w:rsid w:val="00713E13"/>
    <w:rsid w:val="00717504"/>
    <w:rsid w:val="00717BB0"/>
    <w:rsid w:val="00721101"/>
    <w:rsid w:val="0072116E"/>
    <w:rsid w:val="007218EC"/>
    <w:rsid w:val="00721B34"/>
    <w:rsid w:val="00723B1D"/>
    <w:rsid w:val="007256A8"/>
    <w:rsid w:val="00726964"/>
    <w:rsid w:val="007270E7"/>
    <w:rsid w:val="007271E3"/>
    <w:rsid w:val="007309B0"/>
    <w:rsid w:val="00730EC0"/>
    <w:rsid w:val="0073109A"/>
    <w:rsid w:val="0073327C"/>
    <w:rsid w:val="00733CF4"/>
    <w:rsid w:val="007349F8"/>
    <w:rsid w:val="007364EF"/>
    <w:rsid w:val="00736C46"/>
    <w:rsid w:val="00736C4B"/>
    <w:rsid w:val="00736D3E"/>
    <w:rsid w:val="00742538"/>
    <w:rsid w:val="00743763"/>
    <w:rsid w:val="007546A9"/>
    <w:rsid w:val="007566D8"/>
    <w:rsid w:val="00762985"/>
    <w:rsid w:val="00763667"/>
    <w:rsid w:val="00763784"/>
    <w:rsid w:val="00765AD3"/>
    <w:rsid w:val="0076603C"/>
    <w:rsid w:val="00766DAE"/>
    <w:rsid w:val="00767E5B"/>
    <w:rsid w:val="00767F37"/>
    <w:rsid w:val="00771CBA"/>
    <w:rsid w:val="007728AE"/>
    <w:rsid w:val="00772AB7"/>
    <w:rsid w:val="00772D1A"/>
    <w:rsid w:val="00773038"/>
    <w:rsid w:val="0077355D"/>
    <w:rsid w:val="0078070E"/>
    <w:rsid w:val="007834A5"/>
    <w:rsid w:val="00783C44"/>
    <w:rsid w:val="007845CF"/>
    <w:rsid w:val="00784C93"/>
    <w:rsid w:val="0079048E"/>
    <w:rsid w:val="00794C74"/>
    <w:rsid w:val="00794E6E"/>
    <w:rsid w:val="0079604C"/>
    <w:rsid w:val="007A07E2"/>
    <w:rsid w:val="007A15A0"/>
    <w:rsid w:val="007A2226"/>
    <w:rsid w:val="007A59C9"/>
    <w:rsid w:val="007A649C"/>
    <w:rsid w:val="007A69A3"/>
    <w:rsid w:val="007A6A85"/>
    <w:rsid w:val="007A7653"/>
    <w:rsid w:val="007A76C0"/>
    <w:rsid w:val="007A78DB"/>
    <w:rsid w:val="007A7E62"/>
    <w:rsid w:val="007B219A"/>
    <w:rsid w:val="007B21B0"/>
    <w:rsid w:val="007B2B9B"/>
    <w:rsid w:val="007B2F0C"/>
    <w:rsid w:val="007B3C04"/>
    <w:rsid w:val="007B403C"/>
    <w:rsid w:val="007B43E4"/>
    <w:rsid w:val="007B4F3A"/>
    <w:rsid w:val="007B5B48"/>
    <w:rsid w:val="007C0D36"/>
    <w:rsid w:val="007C520D"/>
    <w:rsid w:val="007C57F1"/>
    <w:rsid w:val="007C7E71"/>
    <w:rsid w:val="007D3D88"/>
    <w:rsid w:val="007D4768"/>
    <w:rsid w:val="007D6F16"/>
    <w:rsid w:val="007E113C"/>
    <w:rsid w:val="007E16FC"/>
    <w:rsid w:val="007E4BE2"/>
    <w:rsid w:val="007F040E"/>
    <w:rsid w:val="007F0A16"/>
    <w:rsid w:val="007F15A9"/>
    <w:rsid w:val="007F17CD"/>
    <w:rsid w:val="007F280A"/>
    <w:rsid w:val="007F67B4"/>
    <w:rsid w:val="007F78D2"/>
    <w:rsid w:val="007F7EDB"/>
    <w:rsid w:val="0080047A"/>
    <w:rsid w:val="00801B1F"/>
    <w:rsid w:val="00803713"/>
    <w:rsid w:val="00805ED0"/>
    <w:rsid w:val="00806740"/>
    <w:rsid w:val="008104E9"/>
    <w:rsid w:val="00810AB8"/>
    <w:rsid w:val="008118FB"/>
    <w:rsid w:val="00811CB7"/>
    <w:rsid w:val="00814E7D"/>
    <w:rsid w:val="0081550D"/>
    <w:rsid w:val="00820922"/>
    <w:rsid w:val="0082097F"/>
    <w:rsid w:val="00822026"/>
    <w:rsid w:val="00822E23"/>
    <w:rsid w:val="008253B1"/>
    <w:rsid w:val="008253D0"/>
    <w:rsid w:val="008257EB"/>
    <w:rsid w:val="00825D6B"/>
    <w:rsid w:val="008275D8"/>
    <w:rsid w:val="0082796A"/>
    <w:rsid w:val="00830609"/>
    <w:rsid w:val="00831069"/>
    <w:rsid w:val="0083193E"/>
    <w:rsid w:val="0083234F"/>
    <w:rsid w:val="00833B72"/>
    <w:rsid w:val="00834026"/>
    <w:rsid w:val="008375C4"/>
    <w:rsid w:val="008401B3"/>
    <w:rsid w:val="00840549"/>
    <w:rsid w:val="00841908"/>
    <w:rsid w:val="00841A76"/>
    <w:rsid w:val="00842146"/>
    <w:rsid w:val="008427EE"/>
    <w:rsid w:val="0084424C"/>
    <w:rsid w:val="008470FE"/>
    <w:rsid w:val="00850106"/>
    <w:rsid w:val="008505BF"/>
    <w:rsid w:val="008510E5"/>
    <w:rsid w:val="008521E8"/>
    <w:rsid w:val="008527C5"/>
    <w:rsid w:val="00853FCC"/>
    <w:rsid w:val="008541D0"/>
    <w:rsid w:val="008556B5"/>
    <w:rsid w:val="008559F0"/>
    <w:rsid w:val="008578B4"/>
    <w:rsid w:val="00862D94"/>
    <w:rsid w:val="00863472"/>
    <w:rsid w:val="00863566"/>
    <w:rsid w:val="00864367"/>
    <w:rsid w:val="00864C6C"/>
    <w:rsid w:val="0087260D"/>
    <w:rsid w:val="008728DB"/>
    <w:rsid w:val="00872CD3"/>
    <w:rsid w:val="00874841"/>
    <w:rsid w:val="00877BE1"/>
    <w:rsid w:val="008845B0"/>
    <w:rsid w:val="00884A97"/>
    <w:rsid w:val="00884DD0"/>
    <w:rsid w:val="008875C6"/>
    <w:rsid w:val="00887805"/>
    <w:rsid w:val="00887C5D"/>
    <w:rsid w:val="00891AA5"/>
    <w:rsid w:val="00893A98"/>
    <w:rsid w:val="00894424"/>
    <w:rsid w:val="0089453A"/>
    <w:rsid w:val="00896ADE"/>
    <w:rsid w:val="008A0263"/>
    <w:rsid w:val="008A249E"/>
    <w:rsid w:val="008A2590"/>
    <w:rsid w:val="008A38B4"/>
    <w:rsid w:val="008A3DF9"/>
    <w:rsid w:val="008A3FB8"/>
    <w:rsid w:val="008A66F1"/>
    <w:rsid w:val="008A714C"/>
    <w:rsid w:val="008A7918"/>
    <w:rsid w:val="008B0966"/>
    <w:rsid w:val="008B12C5"/>
    <w:rsid w:val="008B1CA6"/>
    <w:rsid w:val="008B2BA8"/>
    <w:rsid w:val="008B47AC"/>
    <w:rsid w:val="008B5405"/>
    <w:rsid w:val="008C3342"/>
    <w:rsid w:val="008C7073"/>
    <w:rsid w:val="008C73C4"/>
    <w:rsid w:val="008C7F7F"/>
    <w:rsid w:val="008D3622"/>
    <w:rsid w:val="008D4707"/>
    <w:rsid w:val="008D4B5E"/>
    <w:rsid w:val="008D793C"/>
    <w:rsid w:val="008D7CBB"/>
    <w:rsid w:val="008E0AAF"/>
    <w:rsid w:val="008E1EE6"/>
    <w:rsid w:val="008E2224"/>
    <w:rsid w:val="008E495E"/>
    <w:rsid w:val="008F0773"/>
    <w:rsid w:val="008F1412"/>
    <w:rsid w:val="008F1A69"/>
    <w:rsid w:val="008F5B4E"/>
    <w:rsid w:val="008F6BF0"/>
    <w:rsid w:val="00900B9B"/>
    <w:rsid w:val="00902EA5"/>
    <w:rsid w:val="009032D9"/>
    <w:rsid w:val="00903448"/>
    <w:rsid w:val="009043BB"/>
    <w:rsid w:val="0091150D"/>
    <w:rsid w:val="0091574C"/>
    <w:rsid w:val="00916139"/>
    <w:rsid w:val="00916166"/>
    <w:rsid w:val="00921332"/>
    <w:rsid w:val="009216D0"/>
    <w:rsid w:val="00922597"/>
    <w:rsid w:val="0092327D"/>
    <w:rsid w:val="00923320"/>
    <w:rsid w:val="00924AB1"/>
    <w:rsid w:val="00925A3B"/>
    <w:rsid w:val="00926DD9"/>
    <w:rsid w:val="00927E13"/>
    <w:rsid w:val="00930FA1"/>
    <w:rsid w:val="00931243"/>
    <w:rsid w:val="00931A7D"/>
    <w:rsid w:val="00933350"/>
    <w:rsid w:val="0093608F"/>
    <w:rsid w:val="00936419"/>
    <w:rsid w:val="00937802"/>
    <w:rsid w:val="00940E22"/>
    <w:rsid w:val="0094130F"/>
    <w:rsid w:val="00941406"/>
    <w:rsid w:val="0094274B"/>
    <w:rsid w:val="0094469A"/>
    <w:rsid w:val="009454E8"/>
    <w:rsid w:val="009475B9"/>
    <w:rsid w:val="00947CC5"/>
    <w:rsid w:val="00950A37"/>
    <w:rsid w:val="009519E6"/>
    <w:rsid w:val="00951C64"/>
    <w:rsid w:val="0095731F"/>
    <w:rsid w:val="009601DA"/>
    <w:rsid w:val="00960C4D"/>
    <w:rsid w:val="00961513"/>
    <w:rsid w:val="0096206C"/>
    <w:rsid w:val="009632DB"/>
    <w:rsid w:val="0096351D"/>
    <w:rsid w:val="009650BB"/>
    <w:rsid w:val="00965664"/>
    <w:rsid w:val="00967661"/>
    <w:rsid w:val="009745FB"/>
    <w:rsid w:val="00974758"/>
    <w:rsid w:val="009748DB"/>
    <w:rsid w:val="00982520"/>
    <w:rsid w:val="00991526"/>
    <w:rsid w:val="00991A61"/>
    <w:rsid w:val="00993AC0"/>
    <w:rsid w:val="009A1284"/>
    <w:rsid w:val="009A2554"/>
    <w:rsid w:val="009A2AC5"/>
    <w:rsid w:val="009A60C0"/>
    <w:rsid w:val="009A6B1D"/>
    <w:rsid w:val="009A7E49"/>
    <w:rsid w:val="009B1088"/>
    <w:rsid w:val="009B3F36"/>
    <w:rsid w:val="009B42B0"/>
    <w:rsid w:val="009B4387"/>
    <w:rsid w:val="009B4A04"/>
    <w:rsid w:val="009B75FA"/>
    <w:rsid w:val="009B7708"/>
    <w:rsid w:val="009C1918"/>
    <w:rsid w:val="009C1A7C"/>
    <w:rsid w:val="009C2B07"/>
    <w:rsid w:val="009C2D04"/>
    <w:rsid w:val="009C40F7"/>
    <w:rsid w:val="009C59E9"/>
    <w:rsid w:val="009C7E3D"/>
    <w:rsid w:val="009C7EBE"/>
    <w:rsid w:val="009D229E"/>
    <w:rsid w:val="009D3A9A"/>
    <w:rsid w:val="009E08A7"/>
    <w:rsid w:val="009E2893"/>
    <w:rsid w:val="009E2D89"/>
    <w:rsid w:val="009E4309"/>
    <w:rsid w:val="009E54E0"/>
    <w:rsid w:val="009E6C13"/>
    <w:rsid w:val="009E6DD0"/>
    <w:rsid w:val="009E7C46"/>
    <w:rsid w:val="009F01D1"/>
    <w:rsid w:val="009F1B9F"/>
    <w:rsid w:val="009F2247"/>
    <w:rsid w:val="009F35F7"/>
    <w:rsid w:val="009F7DAB"/>
    <w:rsid w:val="00A00757"/>
    <w:rsid w:val="00A02103"/>
    <w:rsid w:val="00A0563C"/>
    <w:rsid w:val="00A05651"/>
    <w:rsid w:val="00A05EE1"/>
    <w:rsid w:val="00A0674C"/>
    <w:rsid w:val="00A06A81"/>
    <w:rsid w:val="00A06E4C"/>
    <w:rsid w:val="00A11F4C"/>
    <w:rsid w:val="00A127EE"/>
    <w:rsid w:val="00A12E25"/>
    <w:rsid w:val="00A1403D"/>
    <w:rsid w:val="00A15392"/>
    <w:rsid w:val="00A16B24"/>
    <w:rsid w:val="00A1768F"/>
    <w:rsid w:val="00A17DAA"/>
    <w:rsid w:val="00A2184C"/>
    <w:rsid w:val="00A22425"/>
    <w:rsid w:val="00A24F0D"/>
    <w:rsid w:val="00A25807"/>
    <w:rsid w:val="00A26324"/>
    <w:rsid w:val="00A27044"/>
    <w:rsid w:val="00A27148"/>
    <w:rsid w:val="00A27682"/>
    <w:rsid w:val="00A27833"/>
    <w:rsid w:val="00A3302A"/>
    <w:rsid w:val="00A34290"/>
    <w:rsid w:val="00A343EB"/>
    <w:rsid w:val="00A37212"/>
    <w:rsid w:val="00A40180"/>
    <w:rsid w:val="00A40718"/>
    <w:rsid w:val="00A43F3E"/>
    <w:rsid w:val="00A45A0D"/>
    <w:rsid w:val="00A464FE"/>
    <w:rsid w:val="00A46ADD"/>
    <w:rsid w:val="00A5234E"/>
    <w:rsid w:val="00A52F75"/>
    <w:rsid w:val="00A52F79"/>
    <w:rsid w:val="00A537DF"/>
    <w:rsid w:val="00A54D61"/>
    <w:rsid w:val="00A55488"/>
    <w:rsid w:val="00A5599C"/>
    <w:rsid w:val="00A56F94"/>
    <w:rsid w:val="00A6165C"/>
    <w:rsid w:val="00A620E8"/>
    <w:rsid w:val="00A732D8"/>
    <w:rsid w:val="00A74F0D"/>
    <w:rsid w:val="00A75913"/>
    <w:rsid w:val="00A76976"/>
    <w:rsid w:val="00A76A19"/>
    <w:rsid w:val="00A81DF8"/>
    <w:rsid w:val="00A84527"/>
    <w:rsid w:val="00A847A0"/>
    <w:rsid w:val="00A91411"/>
    <w:rsid w:val="00A91791"/>
    <w:rsid w:val="00A91A40"/>
    <w:rsid w:val="00A936E7"/>
    <w:rsid w:val="00A93F42"/>
    <w:rsid w:val="00A94402"/>
    <w:rsid w:val="00A95B92"/>
    <w:rsid w:val="00A962A1"/>
    <w:rsid w:val="00A97EB3"/>
    <w:rsid w:val="00AA16DC"/>
    <w:rsid w:val="00AB081F"/>
    <w:rsid w:val="00AB13D8"/>
    <w:rsid w:val="00AB3778"/>
    <w:rsid w:val="00AB3A78"/>
    <w:rsid w:val="00AB750B"/>
    <w:rsid w:val="00AB7F2D"/>
    <w:rsid w:val="00AC3FF2"/>
    <w:rsid w:val="00AC5668"/>
    <w:rsid w:val="00AC5864"/>
    <w:rsid w:val="00AC7F68"/>
    <w:rsid w:val="00AD00F9"/>
    <w:rsid w:val="00AD2C6C"/>
    <w:rsid w:val="00AD3C9F"/>
    <w:rsid w:val="00AD5C86"/>
    <w:rsid w:val="00AE0718"/>
    <w:rsid w:val="00AE0754"/>
    <w:rsid w:val="00AE542D"/>
    <w:rsid w:val="00AE624E"/>
    <w:rsid w:val="00AE7E9B"/>
    <w:rsid w:val="00AF1A97"/>
    <w:rsid w:val="00AF1CDD"/>
    <w:rsid w:val="00AF3E79"/>
    <w:rsid w:val="00AF5DE7"/>
    <w:rsid w:val="00AF6EF8"/>
    <w:rsid w:val="00B03728"/>
    <w:rsid w:val="00B03730"/>
    <w:rsid w:val="00B07059"/>
    <w:rsid w:val="00B10669"/>
    <w:rsid w:val="00B144DE"/>
    <w:rsid w:val="00B16E02"/>
    <w:rsid w:val="00B17B17"/>
    <w:rsid w:val="00B209C4"/>
    <w:rsid w:val="00B263D7"/>
    <w:rsid w:val="00B268D3"/>
    <w:rsid w:val="00B27235"/>
    <w:rsid w:val="00B275A5"/>
    <w:rsid w:val="00B3011E"/>
    <w:rsid w:val="00B351A1"/>
    <w:rsid w:val="00B44386"/>
    <w:rsid w:val="00B44DC5"/>
    <w:rsid w:val="00B44F1C"/>
    <w:rsid w:val="00B4594E"/>
    <w:rsid w:val="00B47538"/>
    <w:rsid w:val="00B4799A"/>
    <w:rsid w:val="00B520B9"/>
    <w:rsid w:val="00B53481"/>
    <w:rsid w:val="00B53A4D"/>
    <w:rsid w:val="00B54534"/>
    <w:rsid w:val="00B60BCF"/>
    <w:rsid w:val="00B63D11"/>
    <w:rsid w:val="00B64DA4"/>
    <w:rsid w:val="00B65FB6"/>
    <w:rsid w:val="00B66C6E"/>
    <w:rsid w:val="00B70948"/>
    <w:rsid w:val="00B71640"/>
    <w:rsid w:val="00B743CE"/>
    <w:rsid w:val="00B74ECA"/>
    <w:rsid w:val="00B7698F"/>
    <w:rsid w:val="00B76CFF"/>
    <w:rsid w:val="00B80537"/>
    <w:rsid w:val="00B80D57"/>
    <w:rsid w:val="00B82B25"/>
    <w:rsid w:val="00B830A3"/>
    <w:rsid w:val="00B859F8"/>
    <w:rsid w:val="00B91227"/>
    <w:rsid w:val="00B94451"/>
    <w:rsid w:val="00B95BCD"/>
    <w:rsid w:val="00B95FA6"/>
    <w:rsid w:val="00B9618B"/>
    <w:rsid w:val="00B9641F"/>
    <w:rsid w:val="00B9658E"/>
    <w:rsid w:val="00B97040"/>
    <w:rsid w:val="00B971FD"/>
    <w:rsid w:val="00BA00AD"/>
    <w:rsid w:val="00BA3DD4"/>
    <w:rsid w:val="00BA4CB1"/>
    <w:rsid w:val="00BA5929"/>
    <w:rsid w:val="00BB1566"/>
    <w:rsid w:val="00BB2332"/>
    <w:rsid w:val="00BB2639"/>
    <w:rsid w:val="00BB340B"/>
    <w:rsid w:val="00BB6229"/>
    <w:rsid w:val="00BB75AB"/>
    <w:rsid w:val="00BB78F1"/>
    <w:rsid w:val="00BC012D"/>
    <w:rsid w:val="00BC12C0"/>
    <w:rsid w:val="00BC3D79"/>
    <w:rsid w:val="00BC5714"/>
    <w:rsid w:val="00BD39EB"/>
    <w:rsid w:val="00BD4073"/>
    <w:rsid w:val="00BD40AD"/>
    <w:rsid w:val="00BD5F9F"/>
    <w:rsid w:val="00BE0000"/>
    <w:rsid w:val="00BE0607"/>
    <w:rsid w:val="00BE19F3"/>
    <w:rsid w:val="00BE4E5B"/>
    <w:rsid w:val="00BF06C2"/>
    <w:rsid w:val="00BF0EDC"/>
    <w:rsid w:val="00BF290B"/>
    <w:rsid w:val="00BF36D7"/>
    <w:rsid w:val="00BF4090"/>
    <w:rsid w:val="00BF4D66"/>
    <w:rsid w:val="00BF789C"/>
    <w:rsid w:val="00C031BE"/>
    <w:rsid w:val="00C035C6"/>
    <w:rsid w:val="00C11591"/>
    <w:rsid w:val="00C11650"/>
    <w:rsid w:val="00C12284"/>
    <w:rsid w:val="00C124C7"/>
    <w:rsid w:val="00C13AC3"/>
    <w:rsid w:val="00C16900"/>
    <w:rsid w:val="00C17AFF"/>
    <w:rsid w:val="00C22B04"/>
    <w:rsid w:val="00C2397F"/>
    <w:rsid w:val="00C24874"/>
    <w:rsid w:val="00C24964"/>
    <w:rsid w:val="00C257B8"/>
    <w:rsid w:val="00C30837"/>
    <w:rsid w:val="00C310C8"/>
    <w:rsid w:val="00C32332"/>
    <w:rsid w:val="00C34DEC"/>
    <w:rsid w:val="00C43861"/>
    <w:rsid w:val="00C47B3E"/>
    <w:rsid w:val="00C47D47"/>
    <w:rsid w:val="00C47FB8"/>
    <w:rsid w:val="00C541F1"/>
    <w:rsid w:val="00C55BE7"/>
    <w:rsid w:val="00C611D9"/>
    <w:rsid w:val="00C6181C"/>
    <w:rsid w:val="00C64976"/>
    <w:rsid w:val="00C6514B"/>
    <w:rsid w:val="00C65C17"/>
    <w:rsid w:val="00C66019"/>
    <w:rsid w:val="00C71928"/>
    <w:rsid w:val="00C72990"/>
    <w:rsid w:val="00C73D05"/>
    <w:rsid w:val="00C74846"/>
    <w:rsid w:val="00C752EF"/>
    <w:rsid w:val="00C75C24"/>
    <w:rsid w:val="00C7668F"/>
    <w:rsid w:val="00C8387D"/>
    <w:rsid w:val="00C846BB"/>
    <w:rsid w:val="00C9051D"/>
    <w:rsid w:val="00C90A70"/>
    <w:rsid w:val="00C95978"/>
    <w:rsid w:val="00C95D97"/>
    <w:rsid w:val="00C97515"/>
    <w:rsid w:val="00CA0351"/>
    <w:rsid w:val="00CA090E"/>
    <w:rsid w:val="00CA23CB"/>
    <w:rsid w:val="00CA33CA"/>
    <w:rsid w:val="00CB130F"/>
    <w:rsid w:val="00CB1BAF"/>
    <w:rsid w:val="00CB33F4"/>
    <w:rsid w:val="00CB3E05"/>
    <w:rsid w:val="00CB486F"/>
    <w:rsid w:val="00CC17F7"/>
    <w:rsid w:val="00CC52C3"/>
    <w:rsid w:val="00CC7C87"/>
    <w:rsid w:val="00CD3790"/>
    <w:rsid w:val="00CD3BF0"/>
    <w:rsid w:val="00CD3C27"/>
    <w:rsid w:val="00CD4241"/>
    <w:rsid w:val="00CD5529"/>
    <w:rsid w:val="00CD601F"/>
    <w:rsid w:val="00CD7A50"/>
    <w:rsid w:val="00CF0298"/>
    <w:rsid w:val="00CF0747"/>
    <w:rsid w:val="00CF4FEB"/>
    <w:rsid w:val="00CF54B5"/>
    <w:rsid w:val="00CF5644"/>
    <w:rsid w:val="00CF69C1"/>
    <w:rsid w:val="00D03A00"/>
    <w:rsid w:val="00D03D98"/>
    <w:rsid w:val="00D05359"/>
    <w:rsid w:val="00D06B7C"/>
    <w:rsid w:val="00D06DD1"/>
    <w:rsid w:val="00D10AC5"/>
    <w:rsid w:val="00D11C39"/>
    <w:rsid w:val="00D126AA"/>
    <w:rsid w:val="00D13AF6"/>
    <w:rsid w:val="00D14E79"/>
    <w:rsid w:val="00D14F95"/>
    <w:rsid w:val="00D1523E"/>
    <w:rsid w:val="00D1562C"/>
    <w:rsid w:val="00D16D5C"/>
    <w:rsid w:val="00D16E51"/>
    <w:rsid w:val="00D171C5"/>
    <w:rsid w:val="00D20EE1"/>
    <w:rsid w:val="00D249FC"/>
    <w:rsid w:val="00D24F9F"/>
    <w:rsid w:val="00D25444"/>
    <w:rsid w:val="00D25A87"/>
    <w:rsid w:val="00D270B4"/>
    <w:rsid w:val="00D2744E"/>
    <w:rsid w:val="00D31067"/>
    <w:rsid w:val="00D311F9"/>
    <w:rsid w:val="00D349F4"/>
    <w:rsid w:val="00D40C36"/>
    <w:rsid w:val="00D439B9"/>
    <w:rsid w:val="00D43A43"/>
    <w:rsid w:val="00D43BA3"/>
    <w:rsid w:val="00D43F5C"/>
    <w:rsid w:val="00D449E6"/>
    <w:rsid w:val="00D453A0"/>
    <w:rsid w:val="00D47101"/>
    <w:rsid w:val="00D50637"/>
    <w:rsid w:val="00D50B46"/>
    <w:rsid w:val="00D54D49"/>
    <w:rsid w:val="00D57353"/>
    <w:rsid w:val="00D57A7F"/>
    <w:rsid w:val="00D60210"/>
    <w:rsid w:val="00D60E93"/>
    <w:rsid w:val="00D60EB2"/>
    <w:rsid w:val="00D6216A"/>
    <w:rsid w:val="00D654D6"/>
    <w:rsid w:val="00D66F71"/>
    <w:rsid w:val="00D6709F"/>
    <w:rsid w:val="00D7072A"/>
    <w:rsid w:val="00D71874"/>
    <w:rsid w:val="00D722EB"/>
    <w:rsid w:val="00D73E89"/>
    <w:rsid w:val="00D742E3"/>
    <w:rsid w:val="00D75C25"/>
    <w:rsid w:val="00D765CE"/>
    <w:rsid w:val="00D7703B"/>
    <w:rsid w:val="00D77100"/>
    <w:rsid w:val="00D77144"/>
    <w:rsid w:val="00D77895"/>
    <w:rsid w:val="00D808C6"/>
    <w:rsid w:val="00D817E4"/>
    <w:rsid w:val="00D82F56"/>
    <w:rsid w:val="00D84958"/>
    <w:rsid w:val="00D84C26"/>
    <w:rsid w:val="00D84CDE"/>
    <w:rsid w:val="00D8549B"/>
    <w:rsid w:val="00D86427"/>
    <w:rsid w:val="00D912D1"/>
    <w:rsid w:val="00D921BD"/>
    <w:rsid w:val="00D9341E"/>
    <w:rsid w:val="00D93992"/>
    <w:rsid w:val="00D93DAB"/>
    <w:rsid w:val="00D941B5"/>
    <w:rsid w:val="00D971C9"/>
    <w:rsid w:val="00DA10BD"/>
    <w:rsid w:val="00DA1420"/>
    <w:rsid w:val="00DA2624"/>
    <w:rsid w:val="00DA3504"/>
    <w:rsid w:val="00DA5C3B"/>
    <w:rsid w:val="00DA6021"/>
    <w:rsid w:val="00DB1A34"/>
    <w:rsid w:val="00DB348B"/>
    <w:rsid w:val="00DB3707"/>
    <w:rsid w:val="00DB413E"/>
    <w:rsid w:val="00DB4EC2"/>
    <w:rsid w:val="00DB6A2A"/>
    <w:rsid w:val="00DB7CBA"/>
    <w:rsid w:val="00DB7CE0"/>
    <w:rsid w:val="00DC05B4"/>
    <w:rsid w:val="00DC129A"/>
    <w:rsid w:val="00DC210D"/>
    <w:rsid w:val="00DC64A2"/>
    <w:rsid w:val="00DC68B5"/>
    <w:rsid w:val="00DD188D"/>
    <w:rsid w:val="00DD1D63"/>
    <w:rsid w:val="00DD222A"/>
    <w:rsid w:val="00DD3D85"/>
    <w:rsid w:val="00DD663B"/>
    <w:rsid w:val="00DD6A1B"/>
    <w:rsid w:val="00DD7968"/>
    <w:rsid w:val="00DE329F"/>
    <w:rsid w:val="00DE3EFF"/>
    <w:rsid w:val="00DE4120"/>
    <w:rsid w:val="00DE5F55"/>
    <w:rsid w:val="00DE60B0"/>
    <w:rsid w:val="00DE7997"/>
    <w:rsid w:val="00DF2173"/>
    <w:rsid w:val="00DF2370"/>
    <w:rsid w:val="00DF24BD"/>
    <w:rsid w:val="00DF3E35"/>
    <w:rsid w:val="00DF7A7D"/>
    <w:rsid w:val="00DF7A86"/>
    <w:rsid w:val="00E0416F"/>
    <w:rsid w:val="00E042FD"/>
    <w:rsid w:val="00E07DB5"/>
    <w:rsid w:val="00E117B4"/>
    <w:rsid w:val="00E1250D"/>
    <w:rsid w:val="00E13109"/>
    <w:rsid w:val="00E13579"/>
    <w:rsid w:val="00E1524F"/>
    <w:rsid w:val="00E200B2"/>
    <w:rsid w:val="00E210FE"/>
    <w:rsid w:val="00E22198"/>
    <w:rsid w:val="00E24931"/>
    <w:rsid w:val="00E27E74"/>
    <w:rsid w:val="00E30950"/>
    <w:rsid w:val="00E40431"/>
    <w:rsid w:val="00E40AC0"/>
    <w:rsid w:val="00E40EBB"/>
    <w:rsid w:val="00E42D9A"/>
    <w:rsid w:val="00E4663C"/>
    <w:rsid w:val="00E46D9A"/>
    <w:rsid w:val="00E4764F"/>
    <w:rsid w:val="00E50C03"/>
    <w:rsid w:val="00E52BC6"/>
    <w:rsid w:val="00E52C8A"/>
    <w:rsid w:val="00E5352D"/>
    <w:rsid w:val="00E53EFC"/>
    <w:rsid w:val="00E5795F"/>
    <w:rsid w:val="00E61D98"/>
    <w:rsid w:val="00E622D7"/>
    <w:rsid w:val="00E62A65"/>
    <w:rsid w:val="00E62B5B"/>
    <w:rsid w:val="00E6319D"/>
    <w:rsid w:val="00E668C7"/>
    <w:rsid w:val="00E67527"/>
    <w:rsid w:val="00E679C0"/>
    <w:rsid w:val="00E73EFA"/>
    <w:rsid w:val="00E774FE"/>
    <w:rsid w:val="00E7799E"/>
    <w:rsid w:val="00E806CA"/>
    <w:rsid w:val="00E83A4D"/>
    <w:rsid w:val="00E85AEE"/>
    <w:rsid w:val="00E863D1"/>
    <w:rsid w:val="00E87664"/>
    <w:rsid w:val="00E901D2"/>
    <w:rsid w:val="00E90878"/>
    <w:rsid w:val="00E94DC4"/>
    <w:rsid w:val="00E95407"/>
    <w:rsid w:val="00E96CEE"/>
    <w:rsid w:val="00EA1967"/>
    <w:rsid w:val="00EA19E2"/>
    <w:rsid w:val="00EA4100"/>
    <w:rsid w:val="00EA55DF"/>
    <w:rsid w:val="00EA7298"/>
    <w:rsid w:val="00EB18DC"/>
    <w:rsid w:val="00EB442C"/>
    <w:rsid w:val="00EB4B15"/>
    <w:rsid w:val="00EB61C4"/>
    <w:rsid w:val="00EB6748"/>
    <w:rsid w:val="00EC047B"/>
    <w:rsid w:val="00EC29F8"/>
    <w:rsid w:val="00EC2F04"/>
    <w:rsid w:val="00EC7830"/>
    <w:rsid w:val="00EC7D60"/>
    <w:rsid w:val="00ED004B"/>
    <w:rsid w:val="00ED014F"/>
    <w:rsid w:val="00ED10CF"/>
    <w:rsid w:val="00ED1592"/>
    <w:rsid w:val="00ED339C"/>
    <w:rsid w:val="00ED4BAB"/>
    <w:rsid w:val="00ED723C"/>
    <w:rsid w:val="00ED7496"/>
    <w:rsid w:val="00EE0B56"/>
    <w:rsid w:val="00EE2AAA"/>
    <w:rsid w:val="00EE5013"/>
    <w:rsid w:val="00EE7BB6"/>
    <w:rsid w:val="00EF011A"/>
    <w:rsid w:val="00EF052E"/>
    <w:rsid w:val="00EF4F82"/>
    <w:rsid w:val="00EF5865"/>
    <w:rsid w:val="00EF60A8"/>
    <w:rsid w:val="00EF6269"/>
    <w:rsid w:val="00EF7C91"/>
    <w:rsid w:val="00F02A53"/>
    <w:rsid w:val="00F04B91"/>
    <w:rsid w:val="00F0652B"/>
    <w:rsid w:val="00F07321"/>
    <w:rsid w:val="00F12700"/>
    <w:rsid w:val="00F1374D"/>
    <w:rsid w:val="00F1382D"/>
    <w:rsid w:val="00F165E4"/>
    <w:rsid w:val="00F17C1D"/>
    <w:rsid w:val="00F226FF"/>
    <w:rsid w:val="00F25D1A"/>
    <w:rsid w:val="00F267D5"/>
    <w:rsid w:val="00F269A9"/>
    <w:rsid w:val="00F30111"/>
    <w:rsid w:val="00F31085"/>
    <w:rsid w:val="00F31471"/>
    <w:rsid w:val="00F32AC2"/>
    <w:rsid w:val="00F33A62"/>
    <w:rsid w:val="00F33DDD"/>
    <w:rsid w:val="00F3488F"/>
    <w:rsid w:val="00F372EE"/>
    <w:rsid w:val="00F45FB8"/>
    <w:rsid w:val="00F517FC"/>
    <w:rsid w:val="00F52CB1"/>
    <w:rsid w:val="00F54BF8"/>
    <w:rsid w:val="00F568EF"/>
    <w:rsid w:val="00F5755A"/>
    <w:rsid w:val="00F57D16"/>
    <w:rsid w:val="00F602B9"/>
    <w:rsid w:val="00F615F7"/>
    <w:rsid w:val="00F642E2"/>
    <w:rsid w:val="00F64E0E"/>
    <w:rsid w:val="00F658AD"/>
    <w:rsid w:val="00F65CFF"/>
    <w:rsid w:val="00F66255"/>
    <w:rsid w:val="00F66EE6"/>
    <w:rsid w:val="00F71BAE"/>
    <w:rsid w:val="00F72CF7"/>
    <w:rsid w:val="00F749D9"/>
    <w:rsid w:val="00F75AFC"/>
    <w:rsid w:val="00F760C6"/>
    <w:rsid w:val="00F8053B"/>
    <w:rsid w:val="00F81B94"/>
    <w:rsid w:val="00F8245B"/>
    <w:rsid w:val="00F84892"/>
    <w:rsid w:val="00F859E7"/>
    <w:rsid w:val="00F85B31"/>
    <w:rsid w:val="00F85E37"/>
    <w:rsid w:val="00F90233"/>
    <w:rsid w:val="00F92CF7"/>
    <w:rsid w:val="00F93FBD"/>
    <w:rsid w:val="00FA05C8"/>
    <w:rsid w:val="00FA0EB4"/>
    <w:rsid w:val="00FA158E"/>
    <w:rsid w:val="00FA22D2"/>
    <w:rsid w:val="00FA454E"/>
    <w:rsid w:val="00FB3964"/>
    <w:rsid w:val="00FB39AD"/>
    <w:rsid w:val="00FB453E"/>
    <w:rsid w:val="00FB5292"/>
    <w:rsid w:val="00FB767B"/>
    <w:rsid w:val="00FC28ED"/>
    <w:rsid w:val="00FC40C5"/>
    <w:rsid w:val="00FC6870"/>
    <w:rsid w:val="00FD13EC"/>
    <w:rsid w:val="00FD1B0B"/>
    <w:rsid w:val="00FD3272"/>
    <w:rsid w:val="00FE14A4"/>
    <w:rsid w:val="00FE18E3"/>
    <w:rsid w:val="00FE2212"/>
    <w:rsid w:val="00FE2C17"/>
    <w:rsid w:val="00FE30FD"/>
    <w:rsid w:val="00FE631A"/>
    <w:rsid w:val="00FF1686"/>
    <w:rsid w:val="00FF296E"/>
    <w:rsid w:val="00FF3992"/>
    <w:rsid w:val="00FF5AFF"/>
    <w:rsid w:val="00FF60FA"/>
    <w:rsid w:val="00FF6949"/>
    <w:rsid w:val="00FF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2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ED0"/>
    <w:pPr>
      <w:spacing w:after="100" w:line="400" w:lineRule="exact"/>
      <w:jc w:val="both"/>
    </w:pPr>
    <w:rPr>
      <w:rFonts w:ascii="Century Schoolbook" w:hAnsi="Century Schoolbook"/>
      <w:sz w:val="27"/>
    </w:rPr>
  </w:style>
  <w:style w:type="paragraph" w:styleId="Heading1">
    <w:name w:val="heading 1"/>
    <w:basedOn w:val="Normal"/>
    <w:next w:val="Normal"/>
    <w:qFormat/>
    <w:rsid w:val="00805ED0"/>
    <w:pPr>
      <w:keepNext/>
      <w:spacing w:before="140" w:line="240" w:lineRule="atLeast"/>
      <w:jc w:val="center"/>
      <w:outlineLvl w:val="0"/>
    </w:pPr>
    <w:rPr>
      <w:b/>
      <w:smallCaps/>
    </w:rPr>
  </w:style>
  <w:style w:type="paragraph" w:styleId="Heading2">
    <w:name w:val="heading 2"/>
    <w:basedOn w:val="Normal"/>
    <w:next w:val="Normal"/>
    <w:qFormat/>
    <w:rsid w:val="00805ED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05ED0"/>
    <w:pPr>
      <w:keepNext/>
      <w:tabs>
        <w:tab w:val="left" w:pos="1584"/>
      </w:tabs>
      <w:spacing w:before="140" w:line="240" w:lineRule="atLeast"/>
      <w:ind w:left="1584" w:hanging="432"/>
      <w:jc w:val="left"/>
      <w:outlineLvl w:val="2"/>
    </w:pPr>
    <w:rPr>
      <w:i/>
    </w:rPr>
  </w:style>
  <w:style w:type="paragraph" w:styleId="Heading4">
    <w:name w:val="heading 4"/>
    <w:basedOn w:val="Normal"/>
    <w:rsid w:val="00805ED0"/>
    <w:pPr>
      <w:keepNext/>
      <w:tabs>
        <w:tab w:val="left" w:pos="2016"/>
      </w:tabs>
      <w:spacing w:before="140" w:line="240" w:lineRule="atLeast"/>
      <w:ind w:left="2016" w:hanging="432"/>
      <w:jc w:val="left"/>
      <w:outlineLvl w:val="3"/>
    </w:pPr>
    <w:rPr>
      <w:i/>
    </w:rPr>
  </w:style>
  <w:style w:type="paragraph" w:styleId="Heading5">
    <w:name w:val="heading 5"/>
    <w:basedOn w:val="Normal"/>
    <w:rsid w:val="00805ED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05ED0"/>
    <w:pPr>
      <w:ind w:left="720"/>
    </w:pPr>
  </w:style>
  <w:style w:type="paragraph" w:styleId="Footer">
    <w:name w:val="footer"/>
    <w:basedOn w:val="Normal"/>
    <w:qFormat/>
    <w:rsid w:val="00805ED0"/>
    <w:pPr>
      <w:tabs>
        <w:tab w:val="center" w:pos="3960"/>
        <w:tab w:val="right" w:pos="10080"/>
      </w:tabs>
      <w:spacing w:after="0" w:line="240" w:lineRule="auto"/>
      <w:jc w:val="center"/>
    </w:pPr>
    <w:rPr>
      <w:sz w:val="22"/>
    </w:rPr>
  </w:style>
  <w:style w:type="paragraph" w:styleId="Header">
    <w:name w:val="header"/>
    <w:basedOn w:val="Normal"/>
    <w:qFormat/>
    <w:rsid w:val="00805ED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05ED0"/>
    <w:rPr>
      <w:rFonts w:ascii="Century Schoolbook" w:hAnsi="Century Schoolbook"/>
      <w:b/>
      <w:i w:val="0"/>
      <w:position w:val="4"/>
      <w:sz w:val="27"/>
      <w:vertAlign w:val="superscript"/>
    </w:rPr>
  </w:style>
  <w:style w:type="paragraph" w:styleId="FootnoteText">
    <w:name w:val="footnote text"/>
    <w:basedOn w:val="Normal"/>
    <w:rsid w:val="00805ED0"/>
    <w:pPr>
      <w:spacing w:line="300" w:lineRule="exact"/>
    </w:pPr>
  </w:style>
  <w:style w:type="paragraph" w:customStyle="1" w:styleId="Title1">
    <w:name w:val="Title1"/>
    <w:basedOn w:val="Normal"/>
    <w:rsid w:val="00805ED0"/>
    <w:pPr>
      <w:tabs>
        <w:tab w:val="left" w:pos="5760"/>
        <w:tab w:val="left" w:pos="6480"/>
      </w:tabs>
      <w:spacing w:line="240" w:lineRule="atLeast"/>
    </w:pPr>
  </w:style>
  <w:style w:type="paragraph" w:customStyle="1" w:styleId="Recommend">
    <w:name w:val="Recommend"/>
    <w:basedOn w:val="Normal"/>
    <w:rsid w:val="00805ED0"/>
  </w:style>
  <w:style w:type="paragraph" w:customStyle="1" w:styleId="Summary">
    <w:name w:val="Summary"/>
    <w:basedOn w:val="Normal"/>
    <w:rsid w:val="00805ED0"/>
    <w:pPr>
      <w:ind w:left="2160" w:hanging="2160"/>
    </w:pPr>
  </w:style>
  <w:style w:type="paragraph" w:customStyle="1" w:styleId="Text">
    <w:name w:val="Text"/>
    <w:basedOn w:val="Normal"/>
    <w:rsid w:val="00805ED0"/>
    <w:pPr>
      <w:tabs>
        <w:tab w:val="left" w:pos="720"/>
        <w:tab w:val="left" w:pos="1440"/>
        <w:tab w:val="left" w:pos="2160"/>
        <w:tab w:val="center" w:pos="4320"/>
      </w:tabs>
      <w:spacing w:line="480" w:lineRule="atLeast"/>
      <w:ind w:firstLine="540"/>
    </w:pPr>
  </w:style>
  <w:style w:type="paragraph" w:styleId="Date">
    <w:name w:val="Date"/>
    <w:basedOn w:val="Normal"/>
    <w:semiHidden/>
    <w:rsid w:val="00805ED0"/>
    <w:pPr>
      <w:jc w:val="right"/>
    </w:pPr>
  </w:style>
  <w:style w:type="character" w:styleId="PageNumber">
    <w:name w:val="page number"/>
    <w:basedOn w:val="DefaultParagraphFont"/>
    <w:rsid w:val="00805ED0"/>
  </w:style>
  <w:style w:type="paragraph" w:customStyle="1" w:styleId="subject">
    <w:name w:val="subject"/>
    <w:basedOn w:val="Normal"/>
    <w:rsid w:val="00805ED0"/>
    <w:pPr>
      <w:tabs>
        <w:tab w:val="left" w:pos="1008"/>
      </w:tabs>
      <w:ind w:left="990" w:hanging="990"/>
    </w:pPr>
    <w:rPr>
      <w:b/>
    </w:rPr>
  </w:style>
  <w:style w:type="paragraph" w:customStyle="1" w:styleId="Titles">
    <w:name w:val="Titles"/>
    <w:basedOn w:val="Normal"/>
    <w:rsid w:val="00805ED0"/>
    <w:pPr>
      <w:tabs>
        <w:tab w:val="left" w:pos="2160"/>
      </w:tabs>
      <w:ind w:left="2160" w:hanging="2160"/>
    </w:pPr>
    <w:rPr>
      <w:b/>
    </w:rPr>
  </w:style>
  <w:style w:type="paragraph" w:styleId="TOAHeading">
    <w:name w:val="toa heading"/>
    <w:basedOn w:val="Normal"/>
    <w:next w:val="Normal"/>
    <w:semiHidden/>
    <w:rsid w:val="00805ED0"/>
    <w:pPr>
      <w:spacing w:before="120"/>
    </w:pPr>
    <w:rPr>
      <w:b/>
    </w:rPr>
  </w:style>
  <w:style w:type="paragraph" w:styleId="TOC1">
    <w:name w:val="toc 1"/>
    <w:basedOn w:val="Normal"/>
    <w:next w:val="Normal"/>
    <w:autoRedefine/>
    <w:semiHidden/>
    <w:rsid w:val="00805ED0"/>
  </w:style>
  <w:style w:type="paragraph" w:styleId="TOC2">
    <w:name w:val="toc 2"/>
    <w:basedOn w:val="Normal"/>
    <w:next w:val="Normal"/>
    <w:autoRedefine/>
    <w:semiHidden/>
    <w:rsid w:val="00805ED0"/>
    <w:pPr>
      <w:ind w:left="259"/>
    </w:pPr>
  </w:style>
  <w:style w:type="paragraph" w:styleId="TOC3">
    <w:name w:val="toc 3"/>
    <w:basedOn w:val="Normal"/>
    <w:next w:val="Normal"/>
    <w:autoRedefine/>
    <w:semiHidden/>
    <w:rsid w:val="00805ED0"/>
    <w:pPr>
      <w:ind w:left="520"/>
    </w:pPr>
  </w:style>
  <w:style w:type="paragraph" w:styleId="TOC4">
    <w:name w:val="toc 4"/>
    <w:basedOn w:val="Normal"/>
    <w:next w:val="Normal"/>
    <w:autoRedefine/>
    <w:semiHidden/>
    <w:rsid w:val="00805ED0"/>
    <w:pPr>
      <w:ind w:left="780"/>
    </w:pPr>
  </w:style>
  <w:style w:type="paragraph" w:styleId="TOC5">
    <w:name w:val="toc 5"/>
    <w:basedOn w:val="Normal"/>
    <w:next w:val="Normal"/>
    <w:autoRedefine/>
    <w:semiHidden/>
    <w:rsid w:val="00805ED0"/>
    <w:pPr>
      <w:ind w:left="1040"/>
    </w:pPr>
  </w:style>
  <w:style w:type="paragraph" w:styleId="TOC6">
    <w:name w:val="toc 6"/>
    <w:basedOn w:val="Normal"/>
    <w:next w:val="Normal"/>
    <w:autoRedefine/>
    <w:semiHidden/>
    <w:rsid w:val="00805ED0"/>
    <w:pPr>
      <w:ind w:left="1300"/>
    </w:pPr>
  </w:style>
  <w:style w:type="paragraph" w:styleId="TOC7">
    <w:name w:val="toc 7"/>
    <w:basedOn w:val="Normal"/>
    <w:next w:val="Normal"/>
    <w:autoRedefine/>
    <w:semiHidden/>
    <w:rsid w:val="00805ED0"/>
    <w:pPr>
      <w:ind w:left="1560"/>
    </w:pPr>
  </w:style>
  <w:style w:type="paragraph" w:styleId="TOC8">
    <w:name w:val="toc 8"/>
    <w:basedOn w:val="Normal"/>
    <w:next w:val="Normal"/>
    <w:autoRedefine/>
    <w:semiHidden/>
    <w:rsid w:val="00805ED0"/>
    <w:pPr>
      <w:ind w:left="1820"/>
    </w:pPr>
  </w:style>
  <w:style w:type="paragraph" w:styleId="TOC9">
    <w:name w:val="toc 9"/>
    <w:basedOn w:val="Normal"/>
    <w:next w:val="Normal"/>
    <w:autoRedefine/>
    <w:semiHidden/>
    <w:rsid w:val="00805ED0"/>
    <w:pPr>
      <w:ind w:left="2080"/>
    </w:pPr>
  </w:style>
  <w:style w:type="paragraph" w:customStyle="1" w:styleId="Contents">
    <w:name w:val="Contents"/>
    <w:basedOn w:val="Normal"/>
    <w:rsid w:val="00805ED0"/>
    <w:pPr>
      <w:jc w:val="center"/>
    </w:pPr>
    <w:rPr>
      <w:b/>
      <w:spacing w:val="100"/>
    </w:rPr>
  </w:style>
  <w:style w:type="character" w:styleId="Emphasis">
    <w:name w:val="Emphasis"/>
    <w:basedOn w:val="DefaultParagraphFont"/>
    <w:uiPriority w:val="20"/>
    <w:qFormat/>
    <w:rsid w:val="00240A91"/>
    <w:rPr>
      <w:i/>
      <w:iCs/>
    </w:rPr>
  </w:style>
  <w:style w:type="character" w:styleId="Hyperlink">
    <w:name w:val="Hyperlink"/>
    <w:basedOn w:val="DefaultParagraphFont"/>
    <w:uiPriority w:val="99"/>
    <w:semiHidden/>
    <w:unhideWhenUsed/>
    <w:rsid w:val="002565E9"/>
    <w:rPr>
      <w:color w:val="0000FF"/>
      <w:u w:val="single"/>
    </w:rPr>
  </w:style>
  <w:style w:type="character" w:customStyle="1" w:styleId="coinlinekeyciteflag">
    <w:name w:val="co_inlinekeyciteflag"/>
    <w:basedOn w:val="DefaultParagraphFont"/>
    <w:rsid w:val="002565E9"/>
  </w:style>
  <w:style w:type="character" w:customStyle="1" w:styleId="costarpage">
    <w:name w:val="co_starpage"/>
    <w:basedOn w:val="DefaultParagraphFont"/>
    <w:rsid w:val="00100189"/>
  </w:style>
  <w:style w:type="character" w:styleId="CommentReference">
    <w:name w:val="annotation reference"/>
    <w:basedOn w:val="DefaultParagraphFont"/>
    <w:uiPriority w:val="99"/>
    <w:semiHidden/>
    <w:unhideWhenUsed/>
    <w:rsid w:val="00A91411"/>
    <w:rPr>
      <w:sz w:val="16"/>
      <w:szCs w:val="16"/>
    </w:rPr>
  </w:style>
  <w:style w:type="paragraph" w:styleId="CommentText">
    <w:name w:val="annotation text"/>
    <w:basedOn w:val="Normal"/>
    <w:link w:val="CommentTextChar"/>
    <w:uiPriority w:val="99"/>
    <w:unhideWhenUsed/>
    <w:rsid w:val="00A91411"/>
    <w:rPr>
      <w:sz w:val="20"/>
    </w:rPr>
  </w:style>
  <w:style w:type="character" w:customStyle="1" w:styleId="CommentTextChar">
    <w:name w:val="Comment Text Char"/>
    <w:basedOn w:val="DefaultParagraphFont"/>
    <w:link w:val="CommentText"/>
    <w:uiPriority w:val="99"/>
    <w:rsid w:val="00A91411"/>
  </w:style>
  <w:style w:type="paragraph" w:styleId="CommentSubject">
    <w:name w:val="annotation subject"/>
    <w:basedOn w:val="CommentText"/>
    <w:next w:val="CommentText"/>
    <w:link w:val="CommentSubjectChar"/>
    <w:uiPriority w:val="99"/>
    <w:semiHidden/>
    <w:unhideWhenUsed/>
    <w:rsid w:val="00A91411"/>
    <w:rPr>
      <w:b/>
      <w:bCs/>
    </w:rPr>
  </w:style>
  <w:style w:type="character" w:customStyle="1" w:styleId="CommentSubjectChar">
    <w:name w:val="Comment Subject Char"/>
    <w:basedOn w:val="CommentTextChar"/>
    <w:link w:val="CommentSubject"/>
    <w:uiPriority w:val="99"/>
    <w:semiHidden/>
    <w:rsid w:val="00A91411"/>
    <w:rPr>
      <w:b/>
      <w:bCs/>
    </w:rPr>
  </w:style>
  <w:style w:type="paragraph" w:styleId="BalloonText">
    <w:name w:val="Balloon Text"/>
    <w:basedOn w:val="Normal"/>
    <w:link w:val="BalloonTextChar"/>
    <w:uiPriority w:val="99"/>
    <w:semiHidden/>
    <w:unhideWhenUsed/>
    <w:rsid w:val="00A91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411"/>
    <w:rPr>
      <w:rFonts w:ascii="Segoe UI" w:hAnsi="Segoe UI" w:cs="Segoe UI"/>
      <w:sz w:val="18"/>
      <w:szCs w:val="18"/>
    </w:rPr>
  </w:style>
  <w:style w:type="paragraph" w:styleId="Revision">
    <w:name w:val="Revision"/>
    <w:hidden/>
    <w:uiPriority w:val="99"/>
    <w:semiHidden/>
    <w:rsid w:val="00673041"/>
    <w:rPr>
      <w:sz w:val="26"/>
    </w:rPr>
  </w:style>
  <w:style w:type="character" w:customStyle="1" w:styleId="cosearchterm">
    <w:name w:val="co_searchterm"/>
    <w:basedOn w:val="DefaultParagraphFont"/>
    <w:rsid w:val="003156E6"/>
  </w:style>
  <w:style w:type="paragraph" w:styleId="BodyText">
    <w:name w:val="Body Text"/>
    <w:basedOn w:val="Normal"/>
    <w:link w:val="BodyTextChar"/>
    <w:qFormat/>
    <w:rsid w:val="00805ED0"/>
  </w:style>
  <w:style w:type="character" w:customStyle="1" w:styleId="BodyTextChar">
    <w:name w:val="Body Text Char"/>
    <w:basedOn w:val="DefaultParagraphFont"/>
    <w:link w:val="BodyText"/>
    <w:rsid w:val="00805ED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77382">
      <w:bodyDiv w:val="1"/>
      <w:marLeft w:val="0"/>
      <w:marRight w:val="0"/>
      <w:marTop w:val="0"/>
      <w:marBottom w:val="0"/>
      <w:divBdr>
        <w:top w:val="none" w:sz="0" w:space="0" w:color="auto"/>
        <w:left w:val="none" w:sz="0" w:space="0" w:color="auto"/>
        <w:bottom w:val="none" w:sz="0" w:space="0" w:color="auto"/>
        <w:right w:val="none" w:sz="0" w:space="0" w:color="auto"/>
      </w:divBdr>
    </w:div>
    <w:div w:id="921991480">
      <w:bodyDiv w:val="1"/>
      <w:marLeft w:val="0"/>
      <w:marRight w:val="0"/>
      <w:marTop w:val="0"/>
      <w:marBottom w:val="0"/>
      <w:divBdr>
        <w:top w:val="none" w:sz="0" w:space="0" w:color="auto"/>
        <w:left w:val="none" w:sz="0" w:space="0" w:color="auto"/>
        <w:bottom w:val="none" w:sz="0" w:space="0" w:color="auto"/>
        <w:right w:val="none" w:sz="0" w:space="0" w:color="auto"/>
      </w:divBdr>
    </w:div>
    <w:div w:id="1027607077">
      <w:bodyDiv w:val="1"/>
      <w:marLeft w:val="0"/>
      <w:marRight w:val="0"/>
      <w:marTop w:val="0"/>
      <w:marBottom w:val="0"/>
      <w:divBdr>
        <w:top w:val="none" w:sz="0" w:space="0" w:color="auto"/>
        <w:left w:val="none" w:sz="0" w:space="0" w:color="auto"/>
        <w:bottom w:val="none" w:sz="0" w:space="0" w:color="auto"/>
        <w:right w:val="none" w:sz="0" w:space="0" w:color="auto"/>
      </w:divBdr>
    </w:div>
    <w:div w:id="1145899048">
      <w:bodyDiv w:val="1"/>
      <w:marLeft w:val="0"/>
      <w:marRight w:val="0"/>
      <w:marTop w:val="0"/>
      <w:marBottom w:val="0"/>
      <w:divBdr>
        <w:top w:val="none" w:sz="0" w:space="0" w:color="auto"/>
        <w:left w:val="none" w:sz="0" w:space="0" w:color="auto"/>
        <w:bottom w:val="none" w:sz="0" w:space="0" w:color="auto"/>
        <w:right w:val="none" w:sz="0" w:space="0" w:color="auto"/>
      </w:divBdr>
    </w:div>
    <w:div w:id="15246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04CB-EFE4-48A7-A6AD-DFBCDFEF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2021-06-18T15:25:00Z</dcterms:created>
  <dcterms:modified xsi:type="dcterms:W3CDTF">2021-06-18T16:16:00Z</dcterms:modified>
</cp:coreProperties>
</file>