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6CDDD" w14:textId="5A38FC9D" w:rsidR="0077608C" w:rsidRDefault="0077608C" w:rsidP="0077608C">
      <w:pPr>
        <w:tabs>
          <w:tab w:val="left" w:leader="underscore" w:pos="4680"/>
        </w:tabs>
        <w:spacing w:after="0"/>
        <w:jc w:val="center"/>
        <w:rPr>
          <w:sz w:val="36"/>
        </w:rPr>
      </w:pPr>
      <w:bookmarkStart w:id="0" w:name="MarkDocLoc"/>
      <w:bookmarkEnd w:id="0"/>
      <w:r>
        <w:rPr>
          <w:b/>
          <w:sz w:val="36"/>
        </w:rPr>
        <w:t>IN THE SUPREME COURT OF CALIFORNIA</w:t>
      </w:r>
    </w:p>
    <w:p w14:paraId="57400107" w14:textId="4D745C42" w:rsidR="0077608C" w:rsidRDefault="0077608C" w:rsidP="0077608C">
      <w:pPr>
        <w:tabs>
          <w:tab w:val="left" w:leader="underscore" w:pos="4680"/>
        </w:tabs>
        <w:spacing w:after="0"/>
        <w:jc w:val="center"/>
      </w:pPr>
    </w:p>
    <w:p w14:paraId="04042D57" w14:textId="2BECF8BE" w:rsidR="0077608C" w:rsidRDefault="0077608C" w:rsidP="0077608C">
      <w:pPr>
        <w:tabs>
          <w:tab w:val="left" w:leader="underscore" w:pos="4680"/>
        </w:tabs>
        <w:spacing w:after="0"/>
        <w:jc w:val="center"/>
      </w:pPr>
      <w:r>
        <w:t>MICHAEL GOMEZ DALY et al.</w:t>
      </w:r>
      <w:r w:rsidR="00727E2D">
        <w:t>,</w:t>
      </w:r>
    </w:p>
    <w:p w14:paraId="09330E37" w14:textId="28F5E3E5" w:rsidR="0077608C" w:rsidRDefault="0077608C" w:rsidP="0077608C">
      <w:pPr>
        <w:tabs>
          <w:tab w:val="left" w:leader="underscore" w:pos="4680"/>
        </w:tabs>
        <w:spacing w:after="0"/>
        <w:jc w:val="center"/>
      </w:pPr>
      <w:r>
        <w:t>P</w:t>
      </w:r>
      <w:r w:rsidR="007064CE">
        <w:t>laintiffs</w:t>
      </w:r>
      <w:r>
        <w:t xml:space="preserve"> and Respondents</w:t>
      </w:r>
      <w:r w:rsidR="00727E2D">
        <w:t>,</w:t>
      </w:r>
    </w:p>
    <w:p w14:paraId="509934EA" w14:textId="49A8995D" w:rsidR="0077608C" w:rsidRDefault="0077608C" w:rsidP="0077608C">
      <w:pPr>
        <w:tabs>
          <w:tab w:val="left" w:leader="underscore" w:pos="4680"/>
        </w:tabs>
        <w:spacing w:after="0"/>
        <w:jc w:val="center"/>
      </w:pPr>
      <w:r>
        <w:t>v.</w:t>
      </w:r>
    </w:p>
    <w:p w14:paraId="40E31045" w14:textId="77777777" w:rsidR="007064CE" w:rsidRDefault="00727E2D" w:rsidP="0077608C">
      <w:pPr>
        <w:tabs>
          <w:tab w:val="left" w:leader="underscore" w:pos="4680"/>
        </w:tabs>
        <w:spacing w:after="0"/>
        <w:jc w:val="center"/>
      </w:pPr>
      <w:r>
        <w:t xml:space="preserve">SAN BERNARDINO COUNTY </w:t>
      </w:r>
      <w:r w:rsidR="007064CE">
        <w:t xml:space="preserve">BOARD OF </w:t>
      </w:r>
    </w:p>
    <w:p w14:paraId="64106212" w14:textId="7EE20B93" w:rsidR="0077608C" w:rsidRDefault="007064CE" w:rsidP="0077608C">
      <w:pPr>
        <w:tabs>
          <w:tab w:val="left" w:leader="underscore" w:pos="4680"/>
        </w:tabs>
        <w:spacing w:after="0"/>
        <w:jc w:val="center"/>
      </w:pPr>
      <w:r>
        <w:t xml:space="preserve">SUPERVISORS </w:t>
      </w:r>
      <w:r w:rsidR="00727E2D">
        <w:t>et al.,</w:t>
      </w:r>
    </w:p>
    <w:p w14:paraId="03889B8F" w14:textId="31260215" w:rsidR="00727E2D" w:rsidRDefault="007064CE" w:rsidP="0077608C">
      <w:pPr>
        <w:tabs>
          <w:tab w:val="left" w:leader="underscore" w:pos="4680"/>
        </w:tabs>
        <w:spacing w:after="0"/>
        <w:jc w:val="center"/>
      </w:pPr>
      <w:r>
        <w:t>Defendants</w:t>
      </w:r>
      <w:r w:rsidR="0077608C">
        <w:t xml:space="preserve"> and </w:t>
      </w:r>
      <w:proofErr w:type="gramStart"/>
      <w:r w:rsidR="0077608C">
        <w:t>Appellants</w:t>
      </w:r>
      <w:r w:rsidR="00727E2D">
        <w:t>;</w:t>
      </w:r>
      <w:proofErr w:type="gramEnd"/>
    </w:p>
    <w:p w14:paraId="34DA4BEF" w14:textId="77777777" w:rsidR="00727E2D" w:rsidRDefault="00727E2D" w:rsidP="0077608C">
      <w:pPr>
        <w:tabs>
          <w:tab w:val="left" w:leader="underscore" w:pos="4680"/>
        </w:tabs>
        <w:spacing w:after="0"/>
        <w:jc w:val="center"/>
      </w:pPr>
      <w:r>
        <w:t>DAWN ROWE,</w:t>
      </w:r>
    </w:p>
    <w:p w14:paraId="2A027E0E" w14:textId="480973D3" w:rsidR="0077608C" w:rsidRDefault="00727E2D" w:rsidP="0077608C">
      <w:pPr>
        <w:tabs>
          <w:tab w:val="left" w:leader="underscore" w:pos="4680"/>
        </w:tabs>
        <w:spacing w:after="0"/>
        <w:jc w:val="center"/>
      </w:pPr>
      <w:r>
        <w:t>Real Party in Interest</w:t>
      </w:r>
      <w:r w:rsidR="007064CE">
        <w:t xml:space="preserve"> and Appellant</w:t>
      </w:r>
      <w:r>
        <w:t>.</w:t>
      </w:r>
    </w:p>
    <w:p w14:paraId="0528CCFB" w14:textId="094C6312" w:rsidR="0077608C" w:rsidRDefault="0077608C" w:rsidP="0077608C">
      <w:pPr>
        <w:tabs>
          <w:tab w:val="left" w:leader="underscore" w:pos="4680"/>
        </w:tabs>
        <w:spacing w:after="0"/>
        <w:jc w:val="center"/>
      </w:pPr>
    </w:p>
    <w:p w14:paraId="5281719F" w14:textId="0EB248F3" w:rsidR="0077608C" w:rsidRDefault="0077608C" w:rsidP="0077608C">
      <w:pPr>
        <w:tabs>
          <w:tab w:val="left" w:leader="underscore" w:pos="4680"/>
        </w:tabs>
        <w:spacing w:after="0"/>
        <w:jc w:val="center"/>
      </w:pPr>
      <w:r>
        <w:t>S260209</w:t>
      </w:r>
    </w:p>
    <w:p w14:paraId="68A55470" w14:textId="0317BF6E" w:rsidR="0077608C" w:rsidRDefault="0077608C" w:rsidP="0077608C">
      <w:pPr>
        <w:tabs>
          <w:tab w:val="left" w:leader="underscore" w:pos="4680"/>
        </w:tabs>
        <w:spacing w:after="0"/>
        <w:jc w:val="center"/>
      </w:pPr>
    </w:p>
    <w:p w14:paraId="41178DF1" w14:textId="0EAC4B8C" w:rsidR="0077608C" w:rsidRDefault="0077608C" w:rsidP="0077608C">
      <w:pPr>
        <w:tabs>
          <w:tab w:val="left" w:leader="underscore" w:pos="4680"/>
        </w:tabs>
        <w:spacing w:after="0"/>
        <w:jc w:val="center"/>
      </w:pPr>
      <w:r>
        <w:t>Fourth Appellate District, Division Two</w:t>
      </w:r>
    </w:p>
    <w:p w14:paraId="02DAFBE0" w14:textId="162F6276" w:rsidR="0077608C" w:rsidRDefault="0077608C" w:rsidP="0077608C">
      <w:pPr>
        <w:tabs>
          <w:tab w:val="left" w:leader="underscore" w:pos="4680"/>
        </w:tabs>
        <w:spacing w:after="0"/>
        <w:jc w:val="center"/>
      </w:pPr>
      <w:r>
        <w:t>E073730</w:t>
      </w:r>
    </w:p>
    <w:p w14:paraId="32E0FB98" w14:textId="77777777" w:rsidR="0077608C" w:rsidRDefault="0077608C" w:rsidP="0077608C">
      <w:pPr>
        <w:tabs>
          <w:tab w:val="left" w:leader="underscore" w:pos="4680"/>
        </w:tabs>
        <w:spacing w:after="0"/>
        <w:jc w:val="center"/>
      </w:pPr>
    </w:p>
    <w:p w14:paraId="41FFE0FB" w14:textId="7B580CCB" w:rsidR="0077608C" w:rsidRDefault="0077608C" w:rsidP="0077608C">
      <w:pPr>
        <w:tabs>
          <w:tab w:val="left" w:leader="underscore" w:pos="4680"/>
        </w:tabs>
        <w:spacing w:after="0"/>
        <w:jc w:val="center"/>
      </w:pPr>
      <w:r>
        <w:t>San Bernardino County Superior Court</w:t>
      </w:r>
    </w:p>
    <w:p w14:paraId="76107E57" w14:textId="396B3A90" w:rsidR="0077608C" w:rsidRDefault="0077608C" w:rsidP="0077608C">
      <w:pPr>
        <w:tabs>
          <w:tab w:val="left" w:leader="underscore" w:pos="4680"/>
        </w:tabs>
        <w:spacing w:after="0"/>
        <w:jc w:val="center"/>
      </w:pPr>
      <w:r>
        <w:t>CIVDS1833846</w:t>
      </w:r>
    </w:p>
    <w:p w14:paraId="77124B1F" w14:textId="13D8D2DC" w:rsidR="0077608C" w:rsidRDefault="0077608C" w:rsidP="0077608C">
      <w:pPr>
        <w:pBdr>
          <w:bottom w:val="single" w:sz="4" w:space="1" w:color="auto"/>
        </w:pBdr>
        <w:tabs>
          <w:tab w:val="left" w:leader="underscore" w:pos="4680"/>
        </w:tabs>
        <w:spacing w:after="0"/>
        <w:jc w:val="center"/>
      </w:pPr>
    </w:p>
    <w:p w14:paraId="528032D5" w14:textId="77777777" w:rsidR="0014730F" w:rsidRDefault="0014730F" w:rsidP="00BC0BD3">
      <w:pPr>
        <w:tabs>
          <w:tab w:val="left" w:leader="underscore" w:pos="4680"/>
        </w:tabs>
        <w:spacing w:after="0"/>
        <w:jc w:val="center"/>
      </w:pPr>
    </w:p>
    <w:p w14:paraId="4D08773D" w14:textId="1B5622C2" w:rsidR="00BC0BD3" w:rsidRDefault="00BC0BD3" w:rsidP="00BC0BD3">
      <w:pPr>
        <w:tabs>
          <w:tab w:val="left" w:leader="underscore" w:pos="4680"/>
        </w:tabs>
        <w:spacing w:after="0"/>
        <w:jc w:val="center"/>
      </w:pPr>
      <w:r>
        <w:t>August 9, 2021</w:t>
      </w:r>
    </w:p>
    <w:p w14:paraId="001DF94C" w14:textId="18F19501" w:rsidR="0077608C" w:rsidRDefault="0077608C" w:rsidP="0077608C">
      <w:pPr>
        <w:tabs>
          <w:tab w:val="left" w:leader="underscore" w:pos="4680"/>
        </w:tabs>
        <w:spacing w:after="0"/>
        <w:jc w:val="center"/>
      </w:pPr>
    </w:p>
    <w:p w14:paraId="1055CC93" w14:textId="77777777" w:rsidR="00BC0BD3" w:rsidRDefault="00BC0BD3" w:rsidP="00BC0BD3">
      <w:pPr>
        <w:tabs>
          <w:tab w:val="left" w:leader="underscore" w:pos="4680"/>
        </w:tabs>
        <w:spacing w:after="0"/>
        <w:jc w:val="left"/>
      </w:pPr>
      <w:r>
        <w:t>Justice Kruger authored the opinion of the Court, in which Chief Justice Cantil-Sakauye and Justices Corrigan, Liu, Cuéllar, Groban, and Jenkins concurred.</w:t>
      </w:r>
    </w:p>
    <w:p w14:paraId="36033C40" w14:textId="77777777" w:rsidR="00AA6B19" w:rsidRPr="0077608C" w:rsidRDefault="00AA6B19" w:rsidP="0077608C">
      <w:pPr>
        <w:pBdr>
          <w:bottom w:val="single" w:sz="4" w:space="1" w:color="auto"/>
        </w:pBdr>
        <w:tabs>
          <w:tab w:val="left" w:leader="underscore" w:pos="4680"/>
        </w:tabs>
        <w:spacing w:line="240" w:lineRule="atLeast"/>
        <w:jc w:val="left"/>
      </w:pPr>
      <w:bookmarkStart w:id="1" w:name="Return"/>
      <w:bookmarkEnd w:id="1"/>
    </w:p>
    <w:p w14:paraId="1ABE56DA" w14:textId="77777777" w:rsidR="0077608C" w:rsidRDefault="0077608C">
      <w:pPr>
        <w:tabs>
          <w:tab w:val="left" w:leader="underscore" w:pos="4680"/>
        </w:tabs>
        <w:spacing w:line="240" w:lineRule="atLeast"/>
        <w:sectPr w:rsidR="0077608C" w:rsidSect="0077608C">
          <w:headerReference w:type="default" r:id="rId7"/>
          <w:footerReference w:type="default" r:id="rId8"/>
          <w:pgSz w:w="12240" w:h="15840"/>
          <w:pgMar w:top="1800" w:right="2160" w:bottom="1440" w:left="2160" w:header="720" w:footer="720" w:gutter="0"/>
          <w:cols w:space="720"/>
          <w:titlePg/>
          <w:docGrid w:linePitch="367"/>
        </w:sectPr>
      </w:pPr>
    </w:p>
    <w:p w14:paraId="169262F1" w14:textId="6DB25B6E" w:rsidR="0077608C" w:rsidRDefault="0077608C" w:rsidP="0077608C">
      <w:pPr>
        <w:tabs>
          <w:tab w:val="left" w:leader="underscore" w:pos="4680"/>
        </w:tabs>
        <w:jc w:val="center"/>
      </w:pPr>
      <w:r>
        <w:lastRenderedPageBreak/>
        <w:t>DALY</w:t>
      </w:r>
      <w:r w:rsidR="00F260C1">
        <w:t xml:space="preserve"> </w:t>
      </w:r>
      <w:r>
        <w:t>v.</w:t>
      </w:r>
      <w:r w:rsidR="007064CE">
        <w:t xml:space="preserve"> SAN BERNARDINO COUNTY </w:t>
      </w:r>
      <w:r>
        <w:t>BOARD OF SUPERVISORS</w:t>
      </w:r>
    </w:p>
    <w:p w14:paraId="46BE97AA" w14:textId="77777777" w:rsidR="0077608C" w:rsidRDefault="0077608C" w:rsidP="0077608C">
      <w:pPr>
        <w:tabs>
          <w:tab w:val="left" w:leader="underscore" w:pos="4680"/>
        </w:tabs>
        <w:jc w:val="center"/>
      </w:pPr>
      <w:r>
        <w:t>S260209</w:t>
      </w:r>
    </w:p>
    <w:p w14:paraId="11BDFE0D" w14:textId="77777777" w:rsidR="0077608C" w:rsidRDefault="0077608C" w:rsidP="0077608C">
      <w:pPr>
        <w:tabs>
          <w:tab w:val="left" w:leader="underscore" w:pos="4680"/>
        </w:tabs>
        <w:jc w:val="center"/>
      </w:pPr>
    </w:p>
    <w:p w14:paraId="227DB385" w14:textId="77777777" w:rsidR="0077608C" w:rsidRDefault="0077608C" w:rsidP="0077608C">
      <w:pPr>
        <w:tabs>
          <w:tab w:val="left" w:leader="underscore" w:pos="4680"/>
        </w:tabs>
        <w:jc w:val="center"/>
      </w:pPr>
      <w:r>
        <w:t>Opinion of the Court by Kruger, J.</w:t>
      </w:r>
    </w:p>
    <w:p w14:paraId="5493B729" w14:textId="77777777" w:rsidR="001702E7" w:rsidRPr="0077608C" w:rsidRDefault="001702E7" w:rsidP="0077608C">
      <w:pPr>
        <w:tabs>
          <w:tab w:val="left" w:pos="1440"/>
          <w:tab w:val="left" w:pos="4680"/>
          <w:tab w:val="center" w:pos="7200"/>
        </w:tabs>
      </w:pPr>
    </w:p>
    <w:p w14:paraId="6053DBCA" w14:textId="244B3789" w:rsidR="00B700BC" w:rsidRDefault="00B700BC" w:rsidP="009D2139">
      <w:pPr>
        <w:tabs>
          <w:tab w:val="left" w:pos="1440"/>
        </w:tabs>
        <w:ind w:firstLine="720"/>
      </w:pPr>
      <w:bookmarkStart w:id="2" w:name="_Hlk76718369"/>
      <w:r>
        <w:t>To prevent injuries “</w:t>
      </w:r>
      <w:r w:rsidRPr="00E75CC4">
        <w:t>from the premature enforcement of a determination which may later be found to have been wrong</w:t>
      </w:r>
      <w:r>
        <w:t>,” the law has developed a set of rules and procedures for staying enforcement of certain court orders while they are reviewed on appeal.  (</w:t>
      </w:r>
      <w:r w:rsidRPr="00504CB8">
        <w:rPr>
          <w:i/>
          <w:iCs/>
        </w:rPr>
        <w:t>Scripps</w:t>
      </w:r>
      <w:r>
        <w:rPr>
          <w:i/>
          <w:iCs/>
        </w:rPr>
        <w:noBreakHyphen/>
      </w:r>
      <w:r w:rsidRPr="00504CB8">
        <w:rPr>
          <w:i/>
          <w:iCs/>
        </w:rPr>
        <w:t xml:space="preserve">Howard Radio v. </w:t>
      </w:r>
      <w:r>
        <w:rPr>
          <w:i/>
          <w:iCs/>
        </w:rPr>
        <w:t>Comm’n</w:t>
      </w:r>
      <w:r>
        <w:t xml:space="preserve"> (1942)</w:t>
      </w:r>
      <w:r w:rsidRPr="00551F13">
        <w:t xml:space="preserve"> 316 U.S. 4, 9</w:t>
      </w:r>
      <w:r>
        <w:t xml:space="preserve">.)  </w:t>
      </w:r>
      <w:r w:rsidR="00F20CF2">
        <w:t>In California, a</w:t>
      </w:r>
      <w:r>
        <w:t xml:space="preserve"> </w:t>
      </w:r>
      <w:r w:rsidR="00D3767E">
        <w:t>long</w:t>
      </w:r>
      <w:r w:rsidR="009B53E9">
        <w:t xml:space="preserve">-established </w:t>
      </w:r>
      <w:r>
        <w:t>set of rules govern</w:t>
      </w:r>
      <w:r w:rsidR="009B53E9">
        <w:t>s</w:t>
      </w:r>
      <w:r>
        <w:t xml:space="preserve"> stays of injunctive orders — that is, order</w:t>
      </w:r>
      <w:r w:rsidR="00F20CF2">
        <w:t xml:space="preserve">s to </w:t>
      </w:r>
      <w:r>
        <w:t xml:space="preserve">do something or </w:t>
      </w:r>
      <w:r w:rsidR="00F20CF2">
        <w:t xml:space="preserve">to </w:t>
      </w:r>
      <w:r>
        <w:t xml:space="preserve">refrain from doing something.  What rule applies depends on which kind of </w:t>
      </w:r>
      <w:r w:rsidR="00046D23">
        <w:t xml:space="preserve">order </w:t>
      </w:r>
      <w:r>
        <w:t>it is.  An injunction that requires no action and merely preserves the status quo (a so-called prohibitory injunction) ordinarily takes effect immediately, while an injunction requiring the defendant to take affirmative action (a so-called mandatory injunction) is automatically stayed during the pendency of the appeal.</w:t>
      </w:r>
    </w:p>
    <w:bookmarkEnd w:id="2"/>
    <w:p w14:paraId="0C23BF9C" w14:textId="003B0908" w:rsidR="00B700BC" w:rsidRDefault="00B700BC" w:rsidP="00B700BC">
      <w:pPr>
        <w:tabs>
          <w:tab w:val="left" w:pos="1440"/>
        </w:tabs>
        <w:ind w:firstLine="720"/>
      </w:pPr>
      <w:r>
        <w:t xml:space="preserve">In this case we consider how these rules apply to an order requiring a local legislative body, the San Bernardino County Board of Supervisors, to remove and replace one of its members.  The order was based on a ruling </w:t>
      </w:r>
      <w:r w:rsidRPr="006854A5">
        <w:t xml:space="preserve">that the </w:t>
      </w:r>
      <w:r w:rsidR="003C5F66">
        <w:t>b</w:t>
      </w:r>
      <w:r w:rsidRPr="006854A5">
        <w:t xml:space="preserve">oard had violated </w:t>
      </w:r>
      <w:r>
        <w:t xml:space="preserve">statutory open-meeting requirements in making an </w:t>
      </w:r>
      <w:r w:rsidRPr="006854A5">
        <w:t>appointment</w:t>
      </w:r>
      <w:r>
        <w:t xml:space="preserve"> to a vacant board seat; as a remedy, the superior court required the </w:t>
      </w:r>
      <w:r w:rsidR="003C5F66">
        <w:t>b</w:t>
      </w:r>
      <w:r>
        <w:t>oard to</w:t>
      </w:r>
      <w:r w:rsidRPr="006854A5">
        <w:t xml:space="preserve"> rescind </w:t>
      </w:r>
      <w:r>
        <w:t>the appointment and to seat a replacement board member to be named by the Governor</w:t>
      </w:r>
      <w:r w:rsidRPr="006854A5">
        <w:t xml:space="preserve">, </w:t>
      </w:r>
      <w:r>
        <w:t xml:space="preserve">according to the terms of the </w:t>
      </w:r>
      <w:r w:rsidRPr="006854A5">
        <w:t>county charter.</w:t>
      </w:r>
      <w:r>
        <w:t xml:space="preserve">  The </w:t>
      </w:r>
      <w:r w:rsidR="003C5F66">
        <w:t>b</w:t>
      </w:r>
      <w:r>
        <w:t xml:space="preserve">oard filed a petition for a writ of supersedeas to stay the effect of the </w:t>
      </w:r>
      <w:r>
        <w:lastRenderedPageBreak/>
        <w:t>superior court’s order, which the Court of Appeal denied.</w:t>
      </w:r>
      <w:r w:rsidR="000B639A">
        <w:t xml:space="preserve">  </w:t>
      </w:r>
      <w:r w:rsidR="005429AA">
        <w:t>We now reverse</w:t>
      </w:r>
      <w:r w:rsidR="003A01D5">
        <w:t xml:space="preserve">.  </w:t>
      </w:r>
      <w:r>
        <w:t xml:space="preserve">The superior court’s order to remove and replace the board member was a mandatory injunction — a command that the </w:t>
      </w:r>
      <w:r w:rsidR="003C5F66">
        <w:t>b</w:t>
      </w:r>
      <w:r>
        <w:t xml:space="preserve">oard take affirmative action to remedy the violation found by the trial court.  As such, under long-established precedent, the order should be stayed until the appellate court has determined whether the trial court was correct.  </w:t>
      </w:r>
    </w:p>
    <w:p w14:paraId="527A7460" w14:textId="77777777" w:rsidR="00B700BC" w:rsidRPr="006854A5" w:rsidRDefault="00B700BC" w:rsidP="00B700BC">
      <w:pPr>
        <w:pStyle w:val="Heading1"/>
        <w:spacing w:before="0" w:line="400" w:lineRule="exact"/>
      </w:pPr>
      <w:r w:rsidRPr="006854A5">
        <w:t>I.</w:t>
      </w:r>
    </w:p>
    <w:p w14:paraId="3ECF6343" w14:textId="72E2BBF4" w:rsidR="00B700BC" w:rsidRPr="006854A5" w:rsidRDefault="00B700BC" w:rsidP="00B700BC">
      <w:pPr>
        <w:tabs>
          <w:tab w:val="left" w:pos="1440"/>
        </w:tabs>
        <w:ind w:firstLine="720"/>
      </w:pPr>
      <w:r w:rsidRPr="006854A5">
        <w:t xml:space="preserve">The </w:t>
      </w:r>
      <w:r>
        <w:t xml:space="preserve">San Bernardino County </w:t>
      </w:r>
      <w:r w:rsidRPr="006854A5">
        <w:t xml:space="preserve">Board </w:t>
      </w:r>
      <w:r>
        <w:t xml:space="preserve">of Supervisors </w:t>
      </w:r>
      <w:r w:rsidRPr="006854A5">
        <w:t xml:space="preserve">consists of five members elected from districts </w:t>
      </w:r>
      <w:r>
        <w:t>within the county</w:t>
      </w:r>
      <w:r w:rsidRPr="006854A5">
        <w:t xml:space="preserve">.  The county charter provides that within 30 days of a vacancy on the </w:t>
      </w:r>
      <w:r w:rsidR="00210FC6">
        <w:t>b</w:t>
      </w:r>
      <w:r w:rsidRPr="006854A5">
        <w:t xml:space="preserve">oard, the remaining members of the </w:t>
      </w:r>
      <w:r w:rsidR="00210FC6">
        <w:t>b</w:t>
      </w:r>
      <w:r w:rsidRPr="006854A5">
        <w:t xml:space="preserve">oard are to appoint a replacement by majority vote.  If the </w:t>
      </w:r>
      <w:r w:rsidR="00210FC6">
        <w:t>b</w:t>
      </w:r>
      <w:r w:rsidRPr="006854A5">
        <w:t xml:space="preserve">oard does not fill the vacancy within 30 days, the appointment is to </w:t>
      </w:r>
      <w:r>
        <w:t xml:space="preserve">be </w:t>
      </w:r>
      <w:r w:rsidRPr="006854A5">
        <w:t>made by the Governor.  (San Bernardino</w:t>
      </w:r>
      <w:r w:rsidR="007064CE">
        <w:t xml:space="preserve"> County Charter</w:t>
      </w:r>
      <w:r w:rsidRPr="006854A5">
        <w:t xml:space="preserve">, </w:t>
      </w:r>
      <w:r>
        <w:t>a</w:t>
      </w:r>
      <w:r w:rsidRPr="006854A5">
        <w:t>rt. 1,</w:t>
      </w:r>
      <w:r>
        <w:t xml:space="preserve"> </w:t>
      </w:r>
      <w:r w:rsidRPr="006854A5">
        <w:t>§§</w:t>
      </w:r>
      <w:r>
        <w:t> </w:t>
      </w:r>
      <w:r w:rsidRPr="006854A5">
        <w:t>1, 7, as amended through Nov. 6, 2012.</w:t>
      </w:r>
      <w:r>
        <w:t>)</w:t>
      </w:r>
    </w:p>
    <w:p w14:paraId="351FD9C2" w14:textId="78D8A802" w:rsidR="00B700BC" w:rsidRDefault="00B700BC" w:rsidP="00B700BC">
      <w:pPr>
        <w:tabs>
          <w:tab w:val="left" w:pos="1440"/>
        </w:tabs>
        <w:ind w:firstLine="720"/>
      </w:pPr>
      <w:r>
        <w:t>T</w:t>
      </w:r>
      <w:r w:rsidRPr="006854A5">
        <w:t xml:space="preserve">he supervisorial seat for San Bernardino County’s Third District became vacant </w:t>
      </w:r>
      <w:r>
        <w:t>o</w:t>
      </w:r>
      <w:r w:rsidRPr="006854A5">
        <w:t>n December 3, 2018, when the incumbent left to join the California Assembly.</w:t>
      </w:r>
      <w:r>
        <w:t xml:space="preserve">  </w:t>
      </w:r>
      <w:r w:rsidRPr="006854A5">
        <w:t xml:space="preserve">The </w:t>
      </w:r>
      <w:r w:rsidR="00210FC6">
        <w:t>b</w:t>
      </w:r>
      <w:r w:rsidRPr="006854A5">
        <w:t xml:space="preserve">oard’s remaining supervisors </w:t>
      </w:r>
      <w:r>
        <w:t xml:space="preserve">began </w:t>
      </w:r>
      <w:r w:rsidRPr="006854A5">
        <w:t xml:space="preserve">the process of appointing a replacement.  The </w:t>
      </w:r>
      <w:r w:rsidR="00210FC6">
        <w:t>b</w:t>
      </w:r>
      <w:r w:rsidRPr="006854A5">
        <w:t>oard received 48 applications from candidates</w:t>
      </w:r>
      <w:r w:rsidR="00DF3892">
        <w:t xml:space="preserve"> meeting the eligibility requirements</w:t>
      </w:r>
      <w:r w:rsidRPr="006854A5">
        <w:t xml:space="preserve">.  Rather than interviewing all 48 applicants, the </w:t>
      </w:r>
      <w:r w:rsidR="00DF0EE1">
        <w:t xml:space="preserve">supervisors </w:t>
      </w:r>
      <w:r w:rsidR="008B721F">
        <w:t xml:space="preserve">instead decided </w:t>
      </w:r>
      <w:r w:rsidR="00DF0EE1">
        <w:t xml:space="preserve">they each </w:t>
      </w:r>
      <w:r w:rsidR="008B721F">
        <w:t xml:space="preserve">would </w:t>
      </w:r>
      <w:r w:rsidRPr="006854A5">
        <w:t xml:space="preserve">submit nominees to the </w:t>
      </w:r>
      <w:r w:rsidR="00210FC6">
        <w:t>b</w:t>
      </w:r>
      <w:r w:rsidRPr="006854A5">
        <w:t>oard’s clerk by e</w:t>
      </w:r>
      <w:r w:rsidR="004944DC">
        <w:t>-</w:t>
      </w:r>
      <w:r w:rsidRPr="006854A5">
        <w:t>mail; only those candidates who had received at least two nominations would be interviewed.  Through this e</w:t>
      </w:r>
      <w:r w:rsidR="007064CE">
        <w:t>-</w:t>
      </w:r>
      <w:r w:rsidRPr="006854A5">
        <w:t>mail nomination process</w:t>
      </w:r>
      <w:r>
        <w:t>,</w:t>
      </w:r>
      <w:r w:rsidRPr="006854A5">
        <w:t xml:space="preserve"> </w:t>
      </w:r>
      <w:r w:rsidR="008B721F">
        <w:t xml:space="preserve">the board selected </w:t>
      </w:r>
      <w:r w:rsidRPr="006854A5">
        <w:t xml:space="preserve">13 candidates to be interviewed at a public meeting.  At that meeting, the </w:t>
      </w:r>
      <w:r w:rsidR="00210FC6">
        <w:t>b</w:t>
      </w:r>
      <w:r w:rsidRPr="006854A5">
        <w:t xml:space="preserve">oard </w:t>
      </w:r>
      <w:r w:rsidR="002C4E83">
        <w:t>then winnowed the field to</w:t>
      </w:r>
      <w:r w:rsidRPr="006854A5">
        <w:t xml:space="preserve"> five finalists, including real party in interest Dawn Rowe</w:t>
      </w:r>
      <w:r w:rsidR="002C4E83">
        <w:t>.  The finalists were</w:t>
      </w:r>
      <w:r w:rsidRPr="006854A5">
        <w:t xml:space="preserve"> to be interviewed again at a special meeting on </w:t>
      </w:r>
      <w:r w:rsidRPr="006854A5">
        <w:lastRenderedPageBreak/>
        <w:t xml:space="preserve">December 13, at which time </w:t>
      </w:r>
      <w:r>
        <w:t xml:space="preserve">the </w:t>
      </w:r>
      <w:r w:rsidR="00210FC6">
        <w:t>b</w:t>
      </w:r>
      <w:r>
        <w:t xml:space="preserve">oard expected to make </w:t>
      </w:r>
      <w:r w:rsidRPr="006854A5">
        <w:t>the appointment</w:t>
      </w:r>
      <w:r>
        <w:t>.</w:t>
      </w:r>
    </w:p>
    <w:p w14:paraId="21F1A7D8" w14:textId="65345AA9" w:rsidR="00B700BC" w:rsidRPr="006854A5" w:rsidRDefault="00BE5CA5" w:rsidP="00B700BC">
      <w:pPr>
        <w:tabs>
          <w:tab w:val="left" w:pos="1440"/>
        </w:tabs>
        <w:ind w:firstLine="720"/>
      </w:pPr>
      <w:r>
        <w:t xml:space="preserve">Before that special meeting took place, </w:t>
      </w:r>
      <w:r w:rsidR="00B700BC">
        <w:t xml:space="preserve">the </w:t>
      </w:r>
      <w:r w:rsidR="00210FC6">
        <w:t>b</w:t>
      </w:r>
      <w:r w:rsidR="00B700BC">
        <w:t xml:space="preserve">oard received </w:t>
      </w:r>
      <w:r w:rsidR="00B700BC" w:rsidRPr="006854A5">
        <w:t xml:space="preserve">a letter from a resident </w:t>
      </w:r>
      <w:r w:rsidR="00B700BC">
        <w:t xml:space="preserve">who claimed </w:t>
      </w:r>
      <w:r w:rsidR="00B700BC" w:rsidRPr="006854A5">
        <w:t>the e</w:t>
      </w:r>
      <w:r w:rsidR="007064CE">
        <w:t>-</w:t>
      </w:r>
      <w:r w:rsidR="00B700BC" w:rsidRPr="006854A5">
        <w:t xml:space="preserve">mail nomination process </w:t>
      </w:r>
      <w:r>
        <w:t xml:space="preserve">had </w:t>
      </w:r>
      <w:r w:rsidR="00B700BC" w:rsidRPr="006854A5">
        <w:t xml:space="preserve">violated </w:t>
      </w:r>
      <w:r w:rsidR="00B700BC">
        <w:t xml:space="preserve">the </w:t>
      </w:r>
      <w:r w:rsidR="00B700BC" w:rsidRPr="005E14C0">
        <w:t>Ralph M. Brown Act</w:t>
      </w:r>
      <w:r w:rsidR="00B700BC">
        <w:t xml:space="preserve"> (Brown Act)</w:t>
      </w:r>
      <w:r w:rsidR="00B700BC" w:rsidRPr="005E14C0">
        <w:t xml:space="preserve">, Government Code section 54950 et seq., </w:t>
      </w:r>
      <w:r w:rsidR="00B700BC">
        <w:t xml:space="preserve">which </w:t>
      </w:r>
      <w:r w:rsidR="00066D7E">
        <w:t xml:space="preserve">generally requires local legislative bodies to hold </w:t>
      </w:r>
      <w:r w:rsidR="00B700BC">
        <w:t>open meeting</w:t>
      </w:r>
      <w:r w:rsidR="00066D7E">
        <w:t>s</w:t>
      </w:r>
      <w:r w:rsidR="00B700BC">
        <w:t xml:space="preserve">.  </w:t>
      </w:r>
      <w:r w:rsidR="009448DB">
        <w:t>T</w:t>
      </w:r>
      <w:r w:rsidR="00B700BC">
        <w:t xml:space="preserve">he </w:t>
      </w:r>
      <w:r w:rsidR="003C5F66">
        <w:t>b</w:t>
      </w:r>
      <w:r w:rsidR="00B700BC">
        <w:t xml:space="preserve">oard </w:t>
      </w:r>
      <w:r w:rsidR="009448DB">
        <w:t xml:space="preserve">then </w:t>
      </w:r>
      <w:r w:rsidR="00B700BC">
        <w:t xml:space="preserve">deferred </w:t>
      </w:r>
      <w:r w:rsidR="00B700BC" w:rsidRPr="006854A5">
        <w:t xml:space="preserve">further action on the appointment to its regular meeting set for December 18, 2018.  Before the December 18 meeting, </w:t>
      </w:r>
      <w:r w:rsidR="003D12C7">
        <w:t xml:space="preserve">plaintiff </w:t>
      </w:r>
      <w:r w:rsidR="00B700BC" w:rsidRPr="006854A5">
        <w:t xml:space="preserve">Michael Gomez Daly sent the </w:t>
      </w:r>
      <w:r w:rsidR="00210FC6">
        <w:t>b</w:t>
      </w:r>
      <w:r w:rsidR="00B700BC" w:rsidRPr="006854A5">
        <w:t xml:space="preserve">oard a letter on behalf of the </w:t>
      </w:r>
      <w:r w:rsidR="00B700BC">
        <w:t xml:space="preserve">civic </w:t>
      </w:r>
      <w:r w:rsidR="00B700BC" w:rsidRPr="006854A5">
        <w:t xml:space="preserve">organization he directed, </w:t>
      </w:r>
      <w:r w:rsidR="003F1423">
        <w:t xml:space="preserve">plaintiff </w:t>
      </w:r>
      <w:r w:rsidR="003F1423" w:rsidRPr="006854A5">
        <w:t>Inland Empire United,</w:t>
      </w:r>
      <w:r w:rsidR="003F1423">
        <w:t xml:space="preserve"> </w:t>
      </w:r>
      <w:r w:rsidR="00B700BC">
        <w:t xml:space="preserve">also </w:t>
      </w:r>
      <w:r w:rsidR="00B700BC" w:rsidRPr="006854A5">
        <w:t xml:space="preserve">asserting that the </w:t>
      </w:r>
      <w:r w:rsidR="00210FC6">
        <w:t>b</w:t>
      </w:r>
      <w:r w:rsidR="00B700BC" w:rsidRPr="006854A5">
        <w:t xml:space="preserve">oard’s nomination process had violated Brown Act provisions against </w:t>
      </w:r>
      <w:r w:rsidR="00DF0EE1">
        <w:t>“</w:t>
      </w:r>
      <w:r w:rsidR="00B700BC" w:rsidRPr="006854A5">
        <w:t>seriatim</w:t>
      </w:r>
      <w:r w:rsidR="00DF0EE1">
        <w:t>”</w:t>
      </w:r>
      <w:r w:rsidR="00B700BC" w:rsidRPr="006854A5">
        <w:t xml:space="preserve"> meetings</w:t>
      </w:r>
      <w:r w:rsidR="00DF0EE1">
        <w:t xml:space="preserve"> </w:t>
      </w:r>
      <w:r w:rsidR="00EA20FE">
        <w:t>(</w:t>
      </w:r>
      <w:r w:rsidR="00DF0EE1">
        <w:t xml:space="preserve">that is, a series of closed </w:t>
      </w:r>
      <w:r w:rsidR="001C6536">
        <w:t>communication</w:t>
      </w:r>
      <w:r w:rsidR="00DF0EE1">
        <w:t xml:space="preserve">s or deliberations </w:t>
      </w:r>
      <w:r w:rsidR="00671E0C">
        <w:t xml:space="preserve">between members that </w:t>
      </w:r>
      <w:r w:rsidR="00DF0EE1">
        <w:t>collective</w:t>
      </w:r>
      <w:r w:rsidR="00671E0C">
        <w:t>ly</w:t>
      </w:r>
      <w:r w:rsidR="00DF0EE1">
        <w:t xml:space="preserve"> </w:t>
      </w:r>
      <w:r w:rsidR="00671E0C">
        <w:t xml:space="preserve">add up to </w:t>
      </w:r>
      <w:r w:rsidR="00DF0EE1">
        <w:t>the work of a legislative quorum</w:t>
      </w:r>
      <w:r w:rsidR="00EA20FE">
        <w:t>)</w:t>
      </w:r>
      <w:r w:rsidR="00B700BC" w:rsidRPr="006854A5">
        <w:t xml:space="preserve"> and secret ballots.  Daly demanded the </w:t>
      </w:r>
      <w:r w:rsidR="00210FC6">
        <w:t>b</w:t>
      </w:r>
      <w:r w:rsidR="00B700BC" w:rsidRPr="006854A5">
        <w:t xml:space="preserve">oard adopt a new selection process in which all qualified applicants would have the opportunity for an interview. </w:t>
      </w:r>
    </w:p>
    <w:p w14:paraId="4EC0BE11" w14:textId="174BBB8B" w:rsidR="00B700BC" w:rsidRPr="006854A5" w:rsidRDefault="00B700BC" w:rsidP="00B700BC">
      <w:pPr>
        <w:tabs>
          <w:tab w:val="left" w:pos="1440"/>
        </w:tabs>
        <w:ind w:firstLine="720"/>
      </w:pPr>
      <w:r w:rsidRPr="006854A5">
        <w:t>At the December 18</w:t>
      </w:r>
      <w:r>
        <w:t xml:space="preserve"> </w:t>
      </w:r>
      <w:r w:rsidRPr="006854A5">
        <w:t xml:space="preserve">meeting, the </w:t>
      </w:r>
      <w:r w:rsidR="00210FC6">
        <w:t>b</w:t>
      </w:r>
      <w:r w:rsidRPr="006854A5">
        <w:t xml:space="preserve">oard </w:t>
      </w:r>
      <w:proofErr w:type="gramStart"/>
      <w:r>
        <w:t>took action</w:t>
      </w:r>
      <w:proofErr w:type="gramEnd"/>
      <w:r>
        <w:t xml:space="preserve"> in response to the claims that the e</w:t>
      </w:r>
      <w:r w:rsidR="007064CE">
        <w:t>-</w:t>
      </w:r>
      <w:r>
        <w:t xml:space="preserve">mail nomination process violated the Brown Act.  It </w:t>
      </w:r>
      <w:r w:rsidRPr="006854A5">
        <w:t xml:space="preserve">voted to rescind its prior actions in the selection of a new Third District supervisor, including the creation of the list of 13 nominees to be interviewed, and to adopt a new process under which each supervisor would </w:t>
      </w:r>
      <w:r w:rsidRPr="0044424D">
        <w:t>publicly</w:t>
      </w:r>
      <w:r w:rsidRPr="006854A5">
        <w:rPr>
          <w:i/>
          <w:iCs/>
        </w:rPr>
        <w:t xml:space="preserve"> </w:t>
      </w:r>
      <w:r w:rsidRPr="006854A5">
        <w:t xml:space="preserve">submit up to three names and the </w:t>
      </w:r>
      <w:r w:rsidR="00210FC6">
        <w:t>b</w:t>
      </w:r>
      <w:r w:rsidRPr="006854A5">
        <w:t xml:space="preserve">oard would publicly interview each candidate who received at least one vote.  Using that process, the </w:t>
      </w:r>
      <w:r w:rsidR="00210FC6">
        <w:t>b</w:t>
      </w:r>
      <w:r w:rsidRPr="006854A5">
        <w:t xml:space="preserve">oard, at the same meeting, selected six candidates to be interviewed, including Rowe.  After the interviews, the </w:t>
      </w:r>
      <w:r w:rsidR="003C5F66">
        <w:t>b</w:t>
      </w:r>
      <w:r w:rsidRPr="006854A5">
        <w:t>oard selected Rowe, who was then sworn in.</w:t>
      </w:r>
    </w:p>
    <w:p w14:paraId="53487FA5" w14:textId="0ED2E009" w:rsidR="00B700BC" w:rsidRPr="006854A5" w:rsidRDefault="007064CE" w:rsidP="00B700BC">
      <w:pPr>
        <w:tabs>
          <w:tab w:val="left" w:pos="1440"/>
        </w:tabs>
        <w:ind w:firstLine="720"/>
      </w:pPr>
      <w:r>
        <w:lastRenderedPageBreak/>
        <w:t>P</w:t>
      </w:r>
      <w:r w:rsidR="00502F77">
        <w:t>laintiffs</w:t>
      </w:r>
      <w:r>
        <w:t xml:space="preserve"> </w:t>
      </w:r>
      <w:r w:rsidR="00B700BC" w:rsidRPr="006854A5">
        <w:t>Daly and Inland Empire United</w:t>
      </w:r>
      <w:r w:rsidR="00B700BC">
        <w:t xml:space="preserve"> promptly </w:t>
      </w:r>
      <w:r w:rsidR="00B700BC" w:rsidRPr="006854A5">
        <w:t>filed a petition for a writ of mandate</w:t>
      </w:r>
      <w:r w:rsidR="00B700BC">
        <w:t xml:space="preserve">, </w:t>
      </w:r>
      <w:r w:rsidR="00B700BC" w:rsidRPr="006854A5">
        <w:t xml:space="preserve">naming </w:t>
      </w:r>
      <w:r w:rsidR="00F83652">
        <w:t xml:space="preserve">as respondents </w:t>
      </w:r>
      <w:r w:rsidR="00B700BC" w:rsidRPr="006854A5">
        <w:t xml:space="preserve">the </w:t>
      </w:r>
      <w:r w:rsidR="00210FC6">
        <w:t>b</w:t>
      </w:r>
      <w:r w:rsidR="00B700BC" w:rsidRPr="006854A5">
        <w:t>oard</w:t>
      </w:r>
      <w:r w:rsidR="00B700BC">
        <w:t xml:space="preserve"> </w:t>
      </w:r>
      <w:r w:rsidR="00B700BC" w:rsidRPr="006854A5">
        <w:t xml:space="preserve">and </w:t>
      </w:r>
      <w:r w:rsidR="00B700BC">
        <w:t>the four</w:t>
      </w:r>
      <w:r w:rsidR="00B700BC" w:rsidRPr="006854A5">
        <w:t xml:space="preserve"> members</w:t>
      </w:r>
      <w:r w:rsidR="00B700BC">
        <w:t xml:space="preserve"> who had participated in Rowe’s appointment </w:t>
      </w:r>
      <w:r w:rsidR="00B700BC" w:rsidRPr="006854A5">
        <w:t xml:space="preserve">(collectively, the Board), </w:t>
      </w:r>
      <w:r w:rsidR="00F83652">
        <w:t xml:space="preserve">with </w:t>
      </w:r>
      <w:r w:rsidR="00B700BC" w:rsidRPr="006854A5">
        <w:t xml:space="preserve">Rowe as </w:t>
      </w:r>
      <w:r w:rsidR="00F83652">
        <w:t xml:space="preserve">the </w:t>
      </w:r>
      <w:r w:rsidR="00B700BC" w:rsidRPr="006854A5">
        <w:t xml:space="preserve">real party in interest.  </w:t>
      </w:r>
      <w:r w:rsidR="00B700BC">
        <w:t>P</w:t>
      </w:r>
      <w:r w:rsidR="00502F77">
        <w:t>laintiffs</w:t>
      </w:r>
      <w:r w:rsidR="00B700BC">
        <w:t xml:space="preserve"> sought a judicial determination</w:t>
      </w:r>
      <w:r w:rsidR="00B700BC" w:rsidRPr="006854A5">
        <w:t xml:space="preserve"> that the </w:t>
      </w:r>
      <w:r w:rsidR="00B700BC">
        <w:t>initial nomination process</w:t>
      </w:r>
      <w:r w:rsidR="00B700BC" w:rsidRPr="006854A5">
        <w:t xml:space="preserve"> violated </w:t>
      </w:r>
      <w:r w:rsidR="00B700BC">
        <w:t xml:space="preserve">two provisions of the Brown Act:  </w:t>
      </w:r>
      <w:r w:rsidR="00B700BC" w:rsidRPr="006854A5">
        <w:t xml:space="preserve">Government Code section 54952.2, subdivision (b)(1), barring the use of seriatim communications in lieu of a meeting, and </w:t>
      </w:r>
      <w:r>
        <w:t xml:space="preserve">Government Code </w:t>
      </w:r>
      <w:r w:rsidR="00B700BC">
        <w:t xml:space="preserve">section </w:t>
      </w:r>
      <w:r w:rsidR="00B700BC" w:rsidRPr="006854A5">
        <w:t xml:space="preserve">54953, subdivisions (a) and (c), requiring local legislative bodies to meet and vote openly.  </w:t>
      </w:r>
      <w:r w:rsidR="00B700BC">
        <w:t xml:space="preserve">They also sought a determination that the violations </w:t>
      </w:r>
      <w:r w:rsidR="00B700BC" w:rsidRPr="006854A5">
        <w:t xml:space="preserve">had not been cured or corrected by the Board’s actions </w:t>
      </w:r>
      <w:r w:rsidR="00B700BC">
        <w:t xml:space="preserve">at the meeting </w:t>
      </w:r>
      <w:r w:rsidR="00B700BC" w:rsidRPr="006854A5">
        <w:t xml:space="preserve">on December 18, 2018, and that Rowe’s appointment was therefore “null and void under </w:t>
      </w:r>
      <w:r w:rsidR="00B700BC">
        <w:t>[</w:t>
      </w:r>
      <w:r w:rsidR="00B700BC" w:rsidRPr="006854A5">
        <w:t>Government Code</w:t>
      </w:r>
      <w:r w:rsidR="00B700BC">
        <w:t>]</w:t>
      </w:r>
      <w:r w:rsidR="00B700BC" w:rsidRPr="006854A5">
        <w:t xml:space="preserve"> section 54960.1.”  </w:t>
      </w:r>
      <w:r w:rsidR="00B700BC">
        <w:t xml:space="preserve">As a remedy, they </w:t>
      </w:r>
      <w:r w:rsidR="00B700BC" w:rsidRPr="006854A5">
        <w:t xml:space="preserve">asked </w:t>
      </w:r>
      <w:r w:rsidR="00B700BC">
        <w:t xml:space="preserve">the superior court </w:t>
      </w:r>
      <w:r w:rsidR="001D4069">
        <w:t xml:space="preserve">for an </w:t>
      </w:r>
      <w:r w:rsidR="00B700BC" w:rsidRPr="006854A5">
        <w:t xml:space="preserve">order </w:t>
      </w:r>
      <w:r w:rsidR="001D4069">
        <w:t xml:space="preserve">requiring </w:t>
      </w:r>
      <w:r w:rsidR="00B700BC" w:rsidRPr="006854A5">
        <w:t>the Board to rescind the appointment and</w:t>
      </w:r>
      <w:r w:rsidR="00B700BC">
        <w:t xml:space="preserve"> for </w:t>
      </w:r>
      <w:r w:rsidR="001D4069">
        <w:t xml:space="preserve">a declaration </w:t>
      </w:r>
      <w:r w:rsidR="00B700BC">
        <w:t>that</w:t>
      </w:r>
      <w:r w:rsidR="00B700BC" w:rsidRPr="006854A5">
        <w:t xml:space="preserve">, </w:t>
      </w:r>
      <w:r w:rsidR="00B700BC">
        <w:t>no</w:t>
      </w:r>
      <w:r w:rsidR="00B700BC" w:rsidRPr="006854A5">
        <w:t xml:space="preserve"> lawful and timely appointment </w:t>
      </w:r>
      <w:r w:rsidR="00B700BC">
        <w:t xml:space="preserve">having been made </w:t>
      </w:r>
      <w:r w:rsidR="00B700BC" w:rsidRPr="006854A5">
        <w:t xml:space="preserve">by the Board, the appointment of the Third District </w:t>
      </w:r>
      <w:r>
        <w:t>s</w:t>
      </w:r>
      <w:r w:rsidR="00B700BC" w:rsidRPr="006854A5">
        <w:t>upervisor “shall be made by the Governor.”</w:t>
      </w:r>
    </w:p>
    <w:p w14:paraId="1F55C53E" w14:textId="2E6EC8A0" w:rsidR="00B700BC" w:rsidRPr="006854A5" w:rsidRDefault="00B700BC" w:rsidP="00B700BC">
      <w:pPr>
        <w:tabs>
          <w:tab w:val="left" w:pos="1440"/>
        </w:tabs>
        <w:ind w:firstLine="720"/>
      </w:pPr>
      <w:r w:rsidRPr="006854A5">
        <w:t xml:space="preserve">The superior court granted the </w:t>
      </w:r>
      <w:r>
        <w:t>mandate</w:t>
      </w:r>
      <w:r w:rsidRPr="006854A5">
        <w:t xml:space="preserve"> petition.  In its statement of decision, the court concluded the Board’s initial </w:t>
      </w:r>
      <w:r>
        <w:t>e</w:t>
      </w:r>
      <w:r w:rsidR="007064CE">
        <w:t>-</w:t>
      </w:r>
      <w:r>
        <w:t xml:space="preserve">mail nomination process </w:t>
      </w:r>
      <w:r w:rsidRPr="006854A5">
        <w:t xml:space="preserve">violated the Brown Act’s </w:t>
      </w:r>
      <w:r>
        <w:t>“</w:t>
      </w:r>
      <w:r w:rsidRPr="006854A5">
        <w:t xml:space="preserve">prohibition against seriatim meetings and secret ballots.”  The court further found the Board’s </w:t>
      </w:r>
      <w:r>
        <w:t xml:space="preserve">attempted </w:t>
      </w:r>
      <w:r w:rsidRPr="006854A5">
        <w:t>corrective actions at the December 18</w:t>
      </w:r>
      <w:r>
        <w:t xml:space="preserve"> </w:t>
      </w:r>
      <w:r w:rsidRPr="006854A5">
        <w:t>meeting were “pro forma at best and did not constitute a cure.”</w:t>
      </w:r>
      <w:r w:rsidRPr="006854A5">
        <w:rPr>
          <w:b/>
          <w:vertAlign w:val="superscript"/>
        </w:rPr>
        <w:footnoteReference w:id="2"/>
      </w:r>
      <w:r w:rsidRPr="006854A5">
        <w:t xml:space="preserve">  The superior court </w:t>
      </w:r>
      <w:r w:rsidR="00417D31">
        <w:t xml:space="preserve">accordingly </w:t>
      </w:r>
      <w:r w:rsidRPr="006854A5">
        <w:t xml:space="preserve">determined Rowe’s appointment was </w:t>
      </w:r>
      <w:proofErr w:type="gramStart"/>
      <w:r w:rsidRPr="006854A5">
        <w:t>null and void</w:t>
      </w:r>
      <w:proofErr w:type="gramEnd"/>
      <w:r w:rsidRPr="006854A5">
        <w:t xml:space="preserve"> under Government Code section </w:t>
      </w:r>
      <w:r w:rsidRPr="006854A5">
        <w:lastRenderedPageBreak/>
        <w:t>54960.1 and had to be rescinded, with a new appointment to be made by the Governor.</w:t>
      </w:r>
      <w:r w:rsidRPr="006854A5">
        <w:rPr>
          <w:b/>
          <w:vertAlign w:val="superscript"/>
        </w:rPr>
        <w:footnoteReference w:id="3"/>
      </w:r>
      <w:r w:rsidRPr="006854A5">
        <w:t xml:space="preserve">  </w:t>
      </w:r>
    </w:p>
    <w:p w14:paraId="387CAF5E" w14:textId="2D2CAFAE" w:rsidR="00B700BC" w:rsidRPr="006854A5" w:rsidRDefault="00B700BC" w:rsidP="00B700BC">
      <w:pPr>
        <w:tabs>
          <w:tab w:val="left" w:pos="1440"/>
        </w:tabs>
        <w:ind w:firstLine="720"/>
      </w:pPr>
      <w:r>
        <w:t xml:space="preserve">In its subsequent judgment issuing </w:t>
      </w:r>
      <w:r w:rsidRPr="006854A5">
        <w:t>a peremptory writ of mandate</w:t>
      </w:r>
      <w:r>
        <w:t xml:space="preserve">, the trial court ordered </w:t>
      </w:r>
      <w:r w:rsidRPr="006854A5">
        <w:t>the Board to:  “1. Rescind the appointment of Rowe as Third District Supervisor;  [¶]  2.</w:t>
      </w:r>
      <w:r w:rsidR="00CA148D">
        <w:t> </w:t>
      </w:r>
      <w:r w:rsidRPr="006854A5">
        <w:t>Refrain from allowing Rowe to participate as Third District Supervisor in any Board meetings or actions;  [¶]  3. Refrain from registering or otherwise giving effect to any further votes cast by Rowe;  [¶]  4.</w:t>
      </w:r>
      <w:r>
        <w:t> </w:t>
      </w:r>
      <w:r w:rsidRPr="006854A5">
        <w:t xml:space="preserve">Refrain from making any appointment to the position of Third District Supervisor of the San Bernardino Board of Supervisors; and [¶]  5. Immediately seat any person duly appointed to the position of Third District Supervisor by the Governor.”  </w:t>
      </w:r>
    </w:p>
    <w:p w14:paraId="22608CCE" w14:textId="6988BB78" w:rsidR="00B700BC" w:rsidRPr="006854A5" w:rsidRDefault="00B700BC" w:rsidP="00B700BC">
      <w:pPr>
        <w:tabs>
          <w:tab w:val="left" w:pos="1440"/>
        </w:tabs>
        <w:ind w:firstLine="720"/>
      </w:pPr>
      <w:r w:rsidRPr="006854A5">
        <w:t xml:space="preserve">The Board and Rowe </w:t>
      </w:r>
      <w:r w:rsidR="00BC19AC">
        <w:t>appealed</w:t>
      </w:r>
      <w:r w:rsidRPr="006854A5">
        <w:t xml:space="preserve">.  </w:t>
      </w:r>
      <w:r>
        <w:t xml:space="preserve">After </w:t>
      </w:r>
      <w:r w:rsidR="008C356B">
        <w:t xml:space="preserve">obtaining </w:t>
      </w:r>
      <w:r>
        <w:t xml:space="preserve">a </w:t>
      </w:r>
      <w:r w:rsidRPr="006854A5">
        <w:t>temporary stay of the judgment</w:t>
      </w:r>
      <w:r>
        <w:t xml:space="preserve"> from the superior court, t</w:t>
      </w:r>
      <w:r w:rsidRPr="006854A5">
        <w:t xml:space="preserve">he Board and Rowe petitioned the Court of Appeal for a writ of supersedeas and requested an immediate stay.  The Court of Appeal issued a temporary stay pending briefing on the supersedeas petition, </w:t>
      </w:r>
      <w:r>
        <w:t>but then denied the stay for the pendency of the appeal</w:t>
      </w:r>
      <w:r w:rsidRPr="006854A5">
        <w:t xml:space="preserve">.  </w:t>
      </w:r>
      <w:r w:rsidR="001002C0">
        <w:t>T</w:t>
      </w:r>
      <w:r w:rsidRPr="006854A5">
        <w:t xml:space="preserve">he Court of Appeal opined that the trial court’s order was not automatically stayed as a mandatory injunction because “upon a finding that [the Board’s] appointment of real </w:t>
      </w:r>
      <w:r w:rsidRPr="006854A5">
        <w:lastRenderedPageBreak/>
        <w:t xml:space="preserve">party Dawn Rowe was null and void as arising out of a violation of the Brown Act [citation], the seemingly mandatory acts required in the superior court’s injunction and writ of mandate are merely incidental to that finding and the injunction and writ of mandate are prohibitory in nature.  [Citation.]  The same finding of </w:t>
      </w:r>
      <w:proofErr w:type="gramStart"/>
      <w:r w:rsidRPr="006854A5">
        <w:t>a null and void</w:t>
      </w:r>
      <w:proofErr w:type="gramEnd"/>
      <w:r w:rsidRPr="006854A5">
        <w:t xml:space="preserve"> appointment means there was no change in status quo by the superior court’s order.”  The court also denied a discretionary writ of supersedeas, reasoning that the Board and Rowe had neither shown they would be irreparably injured by the injunction nor “facially demonstrated the merits of the issues they present.” </w:t>
      </w:r>
    </w:p>
    <w:p w14:paraId="6D0684A3" w14:textId="2486E35B" w:rsidR="00B700BC" w:rsidRDefault="00127A93" w:rsidP="00B700BC">
      <w:pPr>
        <w:tabs>
          <w:tab w:val="left" w:pos="1440"/>
        </w:tabs>
        <w:ind w:firstLine="720"/>
      </w:pPr>
      <w:r>
        <w:t xml:space="preserve">The Board and Rowe filed a joint petition for review asking whether </w:t>
      </w:r>
      <w:r w:rsidRPr="006854A5">
        <w:t xml:space="preserve">the superior court’s order </w:t>
      </w:r>
      <w:r>
        <w:t xml:space="preserve">should have been </w:t>
      </w:r>
      <w:r w:rsidRPr="006854A5">
        <w:t>automatically stayed as a mandatory injunction</w:t>
      </w:r>
      <w:r>
        <w:t xml:space="preserve">.  </w:t>
      </w:r>
      <w:r w:rsidR="00B700BC" w:rsidRPr="006854A5">
        <w:t xml:space="preserve">We granted the petition for review and stayed </w:t>
      </w:r>
      <w:r w:rsidR="003521F0">
        <w:t xml:space="preserve">the judgment and further </w:t>
      </w:r>
      <w:r w:rsidR="00B700BC" w:rsidRPr="006854A5">
        <w:t xml:space="preserve">proceedings below pending our further order.  </w:t>
      </w:r>
      <w:r w:rsidR="00B700BC">
        <w:t xml:space="preserve">We also asked the parties to brief an additional </w:t>
      </w:r>
      <w:r w:rsidR="00B700BC" w:rsidRPr="006854A5">
        <w:t>question</w:t>
      </w:r>
      <w:r w:rsidR="00B700BC">
        <w:t xml:space="preserve"> bearing on the Board’s entitlement to a discretionary writ of supersedeas (Code Civ. Proc., </w:t>
      </w:r>
      <w:r w:rsidR="00B700BC" w:rsidRPr="00A954BB">
        <w:t>§</w:t>
      </w:r>
      <w:r w:rsidR="00B700BC">
        <w:t> 923)</w:t>
      </w:r>
      <w:r w:rsidR="00D64BAE">
        <w:t xml:space="preserve">; </w:t>
      </w:r>
      <w:r w:rsidR="00900B2A">
        <w:t xml:space="preserve">specifically, we asked </w:t>
      </w:r>
      <w:r w:rsidR="00B700BC" w:rsidRPr="006854A5">
        <w:t xml:space="preserve">whether </w:t>
      </w:r>
      <w:r w:rsidR="007064CE">
        <w:t>p</w:t>
      </w:r>
      <w:r w:rsidR="00502F77">
        <w:t>laintiffs</w:t>
      </w:r>
      <w:r w:rsidR="00B700BC" w:rsidRPr="006854A5">
        <w:t xml:space="preserve"> had properly brought this action as a petition for writ of mandate under the Brown Act’s remedial provision (Gov. Code, §</w:t>
      </w:r>
      <w:r w:rsidR="00B700BC">
        <w:t> </w:t>
      </w:r>
      <w:r w:rsidR="00B700BC" w:rsidRPr="006854A5">
        <w:t xml:space="preserve">54960.1, </w:t>
      </w:r>
      <w:proofErr w:type="spellStart"/>
      <w:r w:rsidR="00B700BC" w:rsidRPr="006854A5">
        <w:t>subd</w:t>
      </w:r>
      <w:proofErr w:type="spellEnd"/>
      <w:r w:rsidR="00B700BC" w:rsidRPr="006854A5">
        <w:t xml:space="preserve">. (a)) or whether </w:t>
      </w:r>
      <w:r w:rsidR="00EB4B71">
        <w:t xml:space="preserve">plaintiffs </w:t>
      </w:r>
      <w:r w:rsidR="00B700BC" w:rsidRPr="006854A5">
        <w:t xml:space="preserve">were </w:t>
      </w:r>
      <w:r w:rsidR="00B700BC">
        <w:t xml:space="preserve">instead </w:t>
      </w:r>
      <w:r w:rsidR="00B700BC" w:rsidRPr="006854A5">
        <w:t>limited</w:t>
      </w:r>
      <w:r w:rsidR="00B700BC">
        <w:t xml:space="preserve"> to challenging</w:t>
      </w:r>
      <w:r w:rsidR="00B700BC" w:rsidRPr="006854A5">
        <w:t xml:space="preserve"> the Board’s appointment</w:t>
      </w:r>
      <w:r w:rsidR="00B700BC">
        <w:t xml:space="preserve"> by means of </w:t>
      </w:r>
      <w:r w:rsidR="00B700BC" w:rsidRPr="006854A5">
        <w:t>a</w:t>
      </w:r>
      <w:r w:rsidR="00B700BC">
        <w:t>n action</w:t>
      </w:r>
      <w:r w:rsidR="00B700BC" w:rsidRPr="006854A5">
        <w:t xml:space="preserve"> in the nature of quo warranto under Code of Civil Procedure</w:t>
      </w:r>
      <w:r w:rsidR="00B700BC">
        <w:t xml:space="preserve"> </w:t>
      </w:r>
      <w:r w:rsidR="00B700BC" w:rsidRPr="006854A5">
        <w:t>section 803.</w:t>
      </w:r>
      <w:r w:rsidR="00B700BC">
        <w:t xml:space="preserve">  We </w:t>
      </w:r>
      <w:r w:rsidR="00EB4B71">
        <w:t xml:space="preserve">now </w:t>
      </w:r>
      <w:r w:rsidR="00B700BC" w:rsidRPr="006854A5">
        <w:t>conclude the order here should have been automatically stayed as a mandatory injunction</w:t>
      </w:r>
      <w:r w:rsidR="00B700BC">
        <w:t xml:space="preserve">; we accordingly do not address whether a discretionary writ of supersedeas should have issued based on the likelihood of the Board’s success on the merits of the quo warranto exclusivity issue.  </w:t>
      </w:r>
    </w:p>
    <w:p w14:paraId="2E1B5E32" w14:textId="77777777" w:rsidR="00B700BC" w:rsidRDefault="00B700BC" w:rsidP="00B700BC">
      <w:pPr>
        <w:pStyle w:val="Heading1"/>
        <w:spacing w:before="0" w:line="400" w:lineRule="exact"/>
      </w:pPr>
      <w:r w:rsidRPr="006854A5">
        <w:lastRenderedPageBreak/>
        <w:t>II.</w:t>
      </w:r>
    </w:p>
    <w:p w14:paraId="6AF97D1A" w14:textId="77777777" w:rsidR="00B700BC" w:rsidRPr="001B075A" w:rsidRDefault="00B700BC" w:rsidP="00B700BC">
      <w:pPr>
        <w:pStyle w:val="Heading2"/>
        <w:spacing w:before="0" w:line="400" w:lineRule="exact"/>
        <w:ind w:left="0" w:firstLine="0"/>
        <w:jc w:val="center"/>
      </w:pPr>
      <w:r>
        <w:t>A.</w:t>
      </w:r>
    </w:p>
    <w:p w14:paraId="00413F97" w14:textId="5C1FDC1E" w:rsidR="00B700BC" w:rsidRDefault="00B700BC" w:rsidP="00B700BC">
      <w:pPr>
        <w:tabs>
          <w:tab w:val="left" w:pos="1440"/>
        </w:tabs>
        <w:ind w:firstLine="720"/>
      </w:pPr>
      <w:r>
        <w:t>The rules governing stays pending appeal</w:t>
      </w:r>
      <w:r w:rsidR="000D5C79">
        <w:t xml:space="preserve"> are </w:t>
      </w:r>
      <w:r w:rsidR="005814FA">
        <w:t xml:space="preserve">found </w:t>
      </w:r>
      <w:r>
        <w:t>in Code of Civil Procedure part 2, title 13, chapter 2</w:t>
      </w:r>
      <w:r w:rsidR="000D5C79">
        <w:t xml:space="preserve">.  The relevant statutes </w:t>
      </w:r>
      <w:r>
        <w:t xml:space="preserve">codify the common law rule under which an appeal ordinarily operates to stay proceedings to execute the trial court’s judgment.  (See, e.g., </w:t>
      </w:r>
      <w:r w:rsidRPr="00042F9E">
        <w:rPr>
          <w:i/>
          <w:iCs/>
        </w:rPr>
        <w:t>Hovey v. McDonald</w:t>
      </w:r>
      <w:r w:rsidRPr="00042F9E">
        <w:t xml:space="preserve"> (1883) 109 U.S. 150, </w:t>
      </w:r>
      <w:r>
        <w:t xml:space="preserve">157, </w:t>
      </w:r>
      <w:r w:rsidRPr="00042F9E">
        <w:t>160–161</w:t>
      </w:r>
      <w:r>
        <w:t xml:space="preserve">.)  </w:t>
      </w:r>
      <w:r w:rsidR="00232E28">
        <w:t xml:space="preserve">The codification of this </w:t>
      </w:r>
      <w:r w:rsidR="00DE29C1">
        <w:t xml:space="preserve">default </w:t>
      </w:r>
      <w:r w:rsidR="00232E28">
        <w:t xml:space="preserve">rule </w:t>
      </w:r>
      <w:r>
        <w:t xml:space="preserve">dates to our earliest civil procedure statute, the 1851 Practice Act.  The </w:t>
      </w:r>
      <w:r w:rsidR="000854AC">
        <w:t>a</w:t>
      </w:r>
      <w:r>
        <w:t xml:space="preserve">ct required undertakings, receiverships, or deposits to stay money judgments for orders involving personal or real property </w:t>
      </w:r>
      <w:r w:rsidR="004A5AB4">
        <w:t xml:space="preserve">or </w:t>
      </w:r>
      <w:r>
        <w:t>execution of instruments.  (</w:t>
      </w:r>
      <w:r w:rsidR="007064CE">
        <w:t xml:space="preserve">Stats. </w:t>
      </w:r>
      <w:r>
        <w:t xml:space="preserve">1851, </w:t>
      </w:r>
      <w:proofErr w:type="spellStart"/>
      <w:r w:rsidR="000D340C">
        <w:t>ch.</w:t>
      </w:r>
      <w:proofErr w:type="spellEnd"/>
      <w:r w:rsidR="000D340C">
        <w:t xml:space="preserve"> 5., </w:t>
      </w:r>
      <w:r w:rsidRPr="00A954BB">
        <w:t>§§</w:t>
      </w:r>
      <w:r>
        <w:t> 349–352</w:t>
      </w:r>
      <w:r w:rsidR="000D340C">
        <w:t xml:space="preserve">, </w:t>
      </w:r>
      <w:r w:rsidR="000D340C" w:rsidRPr="005C50F5">
        <w:t>pp.</w:t>
      </w:r>
      <w:r w:rsidR="000D340C">
        <w:t> </w:t>
      </w:r>
      <w:r w:rsidR="005C50F5">
        <w:t>106–107</w:t>
      </w:r>
      <w:r>
        <w:t xml:space="preserve">.)  </w:t>
      </w:r>
      <w:r w:rsidR="00D47E52">
        <w:t>The act</w:t>
      </w:r>
      <w:r>
        <w:t xml:space="preserve"> went on to provide that in </w:t>
      </w:r>
      <w:r w:rsidR="00D47E52">
        <w:t xml:space="preserve">other </w:t>
      </w:r>
      <w:r>
        <w:t>cases (and except for orders directing the sale of perishable property), “</w:t>
      </w:r>
      <w:r w:rsidRPr="00CA5B01">
        <w:t>the perfecting of an appeal</w:t>
      </w:r>
      <w:r>
        <w:t>,</w:t>
      </w:r>
      <w:r w:rsidRPr="00CA5B01">
        <w:t xml:space="preserve"> by giving the undertaking</w:t>
      </w:r>
      <w:r>
        <w:t xml:space="preserve"> . . . , </w:t>
      </w:r>
      <w:r w:rsidRPr="00CA5B01">
        <w:t xml:space="preserve">shall stay proceedings in the </w:t>
      </w:r>
      <w:r w:rsidR="000D340C">
        <w:t>C</w:t>
      </w:r>
      <w:r w:rsidRPr="00CA5B01">
        <w:t>ourt below upon the judgment or order appealed from</w:t>
      </w:r>
      <w:r>
        <w:t xml:space="preserve"> . . . </w:t>
      </w:r>
      <w:r w:rsidRPr="00CA5B01">
        <w:t>.</w:t>
      </w:r>
      <w:r>
        <w:t>”  (</w:t>
      </w:r>
      <w:r>
        <w:rPr>
          <w:i/>
          <w:iCs/>
        </w:rPr>
        <w:t>Id.</w:t>
      </w:r>
      <w:r>
        <w:t xml:space="preserve">, </w:t>
      </w:r>
      <w:r w:rsidRPr="00A954BB">
        <w:t>§</w:t>
      </w:r>
      <w:r>
        <w:t> 356</w:t>
      </w:r>
      <w:r w:rsidR="000D340C">
        <w:t>, p. 108</w:t>
      </w:r>
      <w:r>
        <w:t>.)</w:t>
      </w:r>
    </w:p>
    <w:p w14:paraId="6231421E" w14:textId="06346773" w:rsidR="00B700BC" w:rsidRDefault="00B700BC" w:rsidP="00B700BC">
      <w:pPr>
        <w:tabs>
          <w:tab w:val="left" w:pos="1440"/>
        </w:tabs>
        <w:ind w:firstLine="720"/>
      </w:pPr>
      <w:r>
        <w:t>Today, Code of Civil Procedure section 916 continues to make stay pending appeal the default, subject to</w:t>
      </w:r>
      <w:r w:rsidR="005536A0">
        <w:t xml:space="preserve"> various</w:t>
      </w:r>
      <w:r>
        <w:t xml:space="preserve"> exceptions that are irrelevant here:  “Except as provided in Sections 917.1 to 917.9, inclusive, and in Section 116.810, t</w:t>
      </w:r>
      <w:r w:rsidRPr="007B4ADA">
        <w:t xml:space="preserve">he perfecting of an appeal stays proceedings in the trial court upon the judgment or order appealed from or upon the matters embraced therein or affected thereby, including enforcement of the judgment or order, but the trial court may proceed upon any </w:t>
      </w:r>
      <w:r w:rsidRPr="007B4ADA">
        <w:lastRenderedPageBreak/>
        <w:t>other matter embraced in the action and not affected by the judgment or order.</w:t>
      </w:r>
      <w:r>
        <w:t xml:space="preserve">”  (Code Civ. Proc., § 916, </w:t>
      </w:r>
      <w:proofErr w:type="spellStart"/>
      <w:r>
        <w:t>subd</w:t>
      </w:r>
      <w:proofErr w:type="spellEnd"/>
      <w:r>
        <w:t>. (a).)</w:t>
      </w:r>
      <w:r>
        <w:rPr>
          <w:rStyle w:val="FootnoteReference"/>
        </w:rPr>
        <w:footnoteReference w:id="4"/>
      </w:r>
    </w:p>
    <w:p w14:paraId="16C276EF" w14:textId="77777777" w:rsidR="00B700BC" w:rsidRDefault="00B700BC" w:rsidP="00B700BC">
      <w:pPr>
        <w:tabs>
          <w:tab w:val="left" w:pos="1440"/>
        </w:tabs>
        <w:ind w:firstLine="720"/>
      </w:pPr>
      <w:r>
        <w:t>Where the statutory conditions have been met and a stay on appeal is prescribed, the courts lack discretion to deny it except as other statutes may authorize — for instance, a trial or appellate court on appeal from a writ of mandate may direct the judgment not be stayed “</w:t>
      </w:r>
      <w:r w:rsidRPr="003A27B9">
        <w:t>if it is satisfied upon the showing made by the petitioner that he will suffer irreparable damage in his business or profession if the execution is stayed</w:t>
      </w:r>
      <w:r>
        <w:t>.”  (</w:t>
      </w:r>
      <w:r w:rsidRPr="003A27B9">
        <w:t>Code Civ. Proc., §</w:t>
      </w:r>
      <w:r>
        <w:t> </w:t>
      </w:r>
      <w:r w:rsidRPr="003A27B9">
        <w:t>1110b</w:t>
      </w:r>
      <w:r>
        <w:t>.)</w:t>
      </w:r>
    </w:p>
    <w:p w14:paraId="3D595E41" w14:textId="35623368" w:rsidR="00B700BC" w:rsidRDefault="00B700BC" w:rsidP="00B700BC">
      <w:pPr>
        <w:tabs>
          <w:tab w:val="left" w:pos="1440"/>
        </w:tabs>
        <w:ind w:firstLine="720"/>
      </w:pPr>
      <w:r>
        <w:t xml:space="preserve">Even when the statutes do not call for an automatic stay on appeal, the trial and appellate courts both have the power to issue discretionary stays.  (Code Civ. Proc., </w:t>
      </w:r>
      <w:r w:rsidRPr="00A954BB">
        <w:t>§§</w:t>
      </w:r>
      <w:r>
        <w:t> 918, 923.)  A discretionary writ of supersedeas is appropriate where</w:t>
      </w:r>
      <w:r w:rsidRPr="00E753EA">
        <w:rPr>
          <w:i/>
          <w:iCs/>
        </w:rPr>
        <w:t xml:space="preserve"> </w:t>
      </w:r>
      <w:r>
        <w:t>“</w:t>
      </w:r>
      <w:r w:rsidRPr="00CD325F">
        <w:t xml:space="preserve">difficult questions of law are </w:t>
      </w:r>
      <w:proofErr w:type="gramStart"/>
      <w:r w:rsidRPr="00CD325F">
        <w:t>involved</w:t>
      </w:r>
      <w:proofErr w:type="gramEnd"/>
      <w:r w:rsidRPr="00CD325F">
        <w:t xml:space="preserve"> and the fruits of a reversal would be irrevocably lost unless the status quo is maintained</w:t>
      </w:r>
      <w:r>
        <w:t>.”  (</w:t>
      </w:r>
      <w:r w:rsidRPr="00182A0E">
        <w:rPr>
          <w:i/>
          <w:iCs/>
        </w:rPr>
        <w:t>People ex rel. S</w:t>
      </w:r>
      <w:r w:rsidR="000C41FF">
        <w:rPr>
          <w:i/>
          <w:iCs/>
        </w:rPr>
        <w:t xml:space="preserve">. F. Bay </w:t>
      </w:r>
      <w:proofErr w:type="gramStart"/>
      <w:r w:rsidR="000C41FF">
        <w:rPr>
          <w:i/>
          <w:iCs/>
        </w:rPr>
        <w:t>etc.</w:t>
      </w:r>
      <w:proofErr w:type="gramEnd"/>
      <w:r w:rsidR="000C41FF">
        <w:rPr>
          <w:i/>
          <w:iCs/>
        </w:rPr>
        <w:t xml:space="preserve"> Com. </w:t>
      </w:r>
      <w:r w:rsidRPr="00182A0E">
        <w:rPr>
          <w:i/>
          <w:iCs/>
        </w:rPr>
        <w:t xml:space="preserve"> v. Town of Emeryville</w:t>
      </w:r>
      <w:r w:rsidRPr="00182A0E">
        <w:t> (1968) 69 Cal.2d 533, 537</w:t>
      </w:r>
      <w:r>
        <w:t xml:space="preserve">; see </w:t>
      </w:r>
      <w:proofErr w:type="spellStart"/>
      <w:r w:rsidRPr="009240A8">
        <w:rPr>
          <w:i/>
          <w:iCs/>
        </w:rPr>
        <w:t>Deepwell</w:t>
      </w:r>
      <w:proofErr w:type="spellEnd"/>
      <w:r w:rsidRPr="009240A8">
        <w:rPr>
          <w:i/>
          <w:iCs/>
        </w:rPr>
        <w:t xml:space="preserve"> Homeowners</w:t>
      </w:r>
      <w:r>
        <w:rPr>
          <w:i/>
          <w:iCs/>
        </w:rPr>
        <w:t>’</w:t>
      </w:r>
      <w:r w:rsidRPr="009240A8">
        <w:rPr>
          <w:i/>
          <w:iCs/>
        </w:rPr>
        <w:t xml:space="preserve"> Protective Ass</w:t>
      </w:r>
      <w:r w:rsidR="000C41FF">
        <w:rPr>
          <w:i/>
          <w:iCs/>
        </w:rPr>
        <w:t>n.</w:t>
      </w:r>
      <w:r w:rsidRPr="009240A8">
        <w:rPr>
          <w:i/>
          <w:iCs/>
        </w:rPr>
        <w:t xml:space="preserve"> v. City </w:t>
      </w:r>
      <w:r w:rsidRPr="009240A8">
        <w:rPr>
          <w:i/>
          <w:iCs/>
        </w:rPr>
        <w:lastRenderedPageBreak/>
        <w:t xml:space="preserve">Council </w:t>
      </w:r>
      <w:r w:rsidRPr="009240A8">
        <w:t>(1965) 239 Cal.App.2d 63, 66</w:t>
      </w:r>
      <w:r>
        <w:t xml:space="preserve"> [supersedeas appropriate where the appellant has shown sufficient merit in the appeal and a stay is necessary “ ‘</w:t>
      </w:r>
      <w:r w:rsidRPr="009240A8">
        <w:t>to preserve to an appellant the fruits of a meritorious appeal</w:t>
      </w:r>
      <w:r>
        <w:t>’ ”].)</w:t>
      </w:r>
      <w:r w:rsidRPr="002E46BB">
        <w:t xml:space="preserve">  </w:t>
      </w:r>
    </w:p>
    <w:p w14:paraId="2881BCA1" w14:textId="65CCEB5B" w:rsidR="00B700BC" w:rsidRDefault="00B700BC" w:rsidP="00B700BC">
      <w:pPr>
        <w:tabs>
          <w:tab w:val="left" w:pos="1440"/>
        </w:tabs>
        <w:ind w:firstLine="720"/>
      </w:pPr>
      <w:r w:rsidRPr="00F406C0">
        <w:t xml:space="preserve">No statute in </w:t>
      </w:r>
      <w:r w:rsidR="000D340C">
        <w:t xml:space="preserve">chapter 2 of the Code of Civil Procedure part 2, title 13, </w:t>
      </w:r>
      <w:r w:rsidR="00792055">
        <w:t xml:space="preserve">specifically </w:t>
      </w:r>
      <w:r w:rsidRPr="00F406C0">
        <w:t xml:space="preserve">addresses </w:t>
      </w:r>
      <w:r w:rsidR="00792055">
        <w:t xml:space="preserve">the stay of </w:t>
      </w:r>
      <w:r w:rsidRPr="00F406C0">
        <w:t>injunctive orders</w:t>
      </w:r>
      <w:r w:rsidR="00792055">
        <w:t>, as distinct from other kinds of judgments</w:t>
      </w:r>
      <w:r>
        <w:t>.</w:t>
      </w:r>
      <w:r>
        <w:rPr>
          <w:rStyle w:val="FootnoteReference"/>
        </w:rPr>
        <w:footnoteReference w:id="5"/>
      </w:r>
      <w:r>
        <w:t xml:space="preserve">  From the start, however, courts have understood the default statutory rule governing stays pending appeal to apply to </w:t>
      </w:r>
      <w:r w:rsidR="00AB68D9">
        <w:t xml:space="preserve">some </w:t>
      </w:r>
      <w:r>
        <w:t>injunctive orders</w:t>
      </w:r>
      <w:r w:rsidR="00AB68D9">
        <w:t xml:space="preserve"> but not others</w:t>
      </w:r>
      <w:r>
        <w:t xml:space="preserve">, </w:t>
      </w:r>
      <w:r w:rsidR="00187BE7">
        <w:t xml:space="preserve">embracing a common law distinction </w:t>
      </w:r>
      <w:r>
        <w:t>between prohibitory</w:t>
      </w:r>
      <w:r w:rsidR="00187BE7">
        <w:t>,</w:t>
      </w:r>
      <w:r>
        <w:t xml:space="preserve"> or preventive</w:t>
      </w:r>
      <w:r w:rsidR="00187BE7">
        <w:t>,</w:t>
      </w:r>
      <w:r>
        <w:t xml:space="preserve"> </w:t>
      </w:r>
      <w:proofErr w:type="gramStart"/>
      <w:r>
        <w:t>injunctions</w:t>
      </w:r>
      <w:proofErr w:type="gramEnd"/>
      <w:r>
        <w:t xml:space="preserve"> and those mandating performance of an affirmative act.  (See generally 2 High, A Treatise on the Law of Injunctions (4th ed. 1905) Appeals, § 1698a, pp. 1647–1648 [describing common law rule]; </w:t>
      </w:r>
      <w:r w:rsidRPr="00504CB8">
        <w:rPr>
          <w:i/>
          <w:iCs/>
        </w:rPr>
        <w:t>A.R.</w:t>
      </w:r>
      <w:r w:rsidRPr="007709D7">
        <w:t xml:space="preserve"> </w:t>
      </w:r>
      <w:r w:rsidRPr="00504CB8">
        <w:rPr>
          <w:i/>
          <w:iCs/>
        </w:rPr>
        <w:t>Barnes &amp; Co. v. Chicago Typographical Union No.</w:t>
      </w:r>
      <w:r w:rsidR="00920F47">
        <w:rPr>
          <w:i/>
          <w:iCs/>
        </w:rPr>
        <w:t> </w:t>
      </w:r>
      <w:r w:rsidRPr="00504CB8">
        <w:rPr>
          <w:i/>
          <w:iCs/>
        </w:rPr>
        <w:t>16</w:t>
      </w:r>
      <w:r w:rsidRPr="007709D7">
        <w:t xml:space="preserve"> (1908)</w:t>
      </w:r>
      <w:r>
        <w:t xml:space="preserve"> </w:t>
      </w:r>
      <w:r w:rsidRPr="007709D7">
        <w:t>232 Ill. 402, 405</w:t>
      </w:r>
      <w:r w:rsidRPr="00B315D5">
        <w:t>–</w:t>
      </w:r>
      <w:r>
        <w:t xml:space="preserve">409 </w:t>
      </w:r>
      <w:r w:rsidR="00CE3432">
        <w:t>[83 N.E. 932, 933</w:t>
      </w:r>
      <w:r w:rsidR="008234A6">
        <w:t>–</w:t>
      </w:r>
      <w:r w:rsidR="00CE3432">
        <w:t xml:space="preserve">935] </w:t>
      </w:r>
      <w:r w:rsidRPr="00D9092D">
        <w:t xml:space="preserve">[same]; </w:t>
      </w:r>
      <w:r w:rsidRPr="00D9092D">
        <w:rPr>
          <w:i/>
          <w:iCs/>
        </w:rPr>
        <w:t xml:space="preserve">Sixth Ave. R.R. Co. </w:t>
      </w:r>
      <w:r w:rsidRPr="00F75671">
        <w:rPr>
          <w:i/>
          <w:iCs/>
        </w:rPr>
        <w:t xml:space="preserve">in City of N.Y. </w:t>
      </w:r>
      <w:r w:rsidRPr="00CF16AF">
        <w:rPr>
          <w:i/>
          <w:iCs/>
        </w:rPr>
        <w:t>v. Gilbert El</w:t>
      </w:r>
      <w:r w:rsidRPr="00284C32">
        <w:rPr>
          <w:i/>
          <w:iCs/>
        </w:rPr>
        <w:t xml:space="preserve">. </w:t>
      </w:r>
      <w:r w:rsidRPr="00824AEA">
        <w:rPr>
          <w:i/>
          <w:iCs/>
        </w:rPr>
        <w:t>R.R</w:t>
      </w:r>
      <w:r w:rsidRPr="00894C14">
        <w:rPr>
          <w:i/>
          <w:iCs/>
        </w:rPr>
        <w:t>. Co.</w:t>
      </w:r>
      <w:r w:rsidRPr="00894C14">
        <w:t> (1877) 71 N.Y. 430, 432–43</w:t>
      </w:r>
      <w:r w:rsidRPr="00B857C2">
        <w:t>4 [</w:t>
      </w:r>
      <w:r>
        <w:t>no stay of prohibitory injunction</w:t>
      </w:r>
      <w:r w:rsidRPr="00D9092D">
        <w:t xml:space="preserve">].)  </w:t>
      </w:r>
    </w:p>
    <w:p w14:paraId="142E3E3D" w14:textId="5D864F59" w:rsidR="00B700BC" w:rsidRDefault="00B700BC" w:rsidP="00B700BC">
      <w:pPr>
        <w:tabs>
          <w:tab w:val="left" w:pos="1440"/>
        </w:tabs>
        <w:ind w:firstLine="720"/>
      </w:pPr>
      <w:r>
        <w:t xml:space="preserve">In </w:t>
      </w:r>
      <w:r w:rsidRPr="00E870A2">
        <w:rPr>
          <w:i/>
          <w:iCs/>
        </w:rPr>
        <w:t>Merced Min</w:t>
      </w:r>
      <w:r>
        <w:rPr>
          <w:i/>
          <w:iCs/>
        </w:rPr>
        <w:t>ing</w:t>
      </w:r>
      <w:r w:rsidRPr="00E870A2">
        <w:rPr>
          <w:i/>
          <w:iCs/>
        </w:rPr>
        <w:t xml:space="preserve"> Co. v. Fremont</w:t>
      </w:r>
      <w:r w:rsidRPr="00E870A2">
        <w:t> (1857) 7 Cal. 130</w:t>
      </w:r>
      <w:r>
        <w:t xml:space="preserve"> (</w:t>
      </w:r>
      <w:r>
        <w:rPr>
          <w:i/>
          <w:iCs/>
        </w:rPr>
        <w:t>Merced Mining</w:t>
      </w:r>
      <w:r>
        <w:t xml:space="preserve">), for instance, this court </w:t>
      </w:r>
      <w:r w:rsidR="00B75B5E">
        <w:t xml:space="preserve">acknowledged </w:t>
      </w:r>
      <w:r>
        <w:t xml:space="preserve">that the language of the </w:t>
      </w:r>
      <w:r w:rsidR="000C41FF">
        <w:t xml:space="preserve">1851 </w:t>
      </w:r>
      <w:r>
        <w:t xml:space="preserve">Practice Act’s section 356 </w:t>
      </w:r>
      <w:r w:rsidR="00044DAD">
        <w:t xml:space="preserve">prescribing automatic stay pending appeal </w:t>
      </w:r>
      <w:r>
        <w:t xml:space="preserve">was </w:t>
      </w:r>
      <w:r w:rsidR="00044DAD">
        <w:t xml:space="preserve">facially </w:t>
      </w:r>
      <w:r>
        <w:t>broad enough to include “</w:t>
      </w:r>
      <w:r w:rsidRPr="00E870A2">
        <w:t>the appeal from an order granting an injunction</w:t>
      </w:r>
      <w:r w:rsidR="00B75B5E">
        <w:t>.</w:t>
      </w:r>
      <w:r>
        <w:t>”</w:t>
      </w:r>
      <w:r w:rsidR="00B75B5E">
        <w:t xml:space="preserve">  But </w:t>
      </w:r>
      <w:r w:rsidR="00B75B5E">
        <w:lastRenderedPageBreak/>
        <w:t>this court concluded that</w:t>
      </w:r>
      <w:r w:rsidR="00BD671B">
        <w:t xml:space="preserve"> </w:t>
      </w:r>
      <w:r w:rsidR="00B75B5E">
        <w:t xml:space="preserve">the language was best understood </w:t>
      </w:r>
      <w:r w:rsidR="00BD671B">
        <w:t xml:space="preserve">in context </w:t>
      </w:r>
      <w:r w:rsidR="00B75B5E">
        <w:t xml:space="preserve">to reach </w:t>
      </w:r>
      <w:r>
        <w:t>orders requiring the defendant “</w:t>
      </w:r>
      <w:r w:rsidRPr="00E870A2">
        <w:t xml:space="preserve">to do some </w:t>
      </w:r>
      <w:r w:rsidRPr="004216FF">
        <w:rPr>
          <w:i/>
          <w:iCs/>
        </w:rPr>
        <w:t>affirmative</w:t>
      </w:r>
      <w:r w:rsidRPr="00E870A2">
        <w:t xml:space="preserve"> act, not to refrain from doing a thing.</w:t>
      </w:r>
      <w:r>
        <w:t>”</w:t>
      </w:r>
      <w:r w:rsidRPr="00E870A2">
        <w:t xml:space="preserve"> </w:t>
      </w:r>
      <w:r>
        <w:t xml:space="preserve"> (</w:t>
      </w:r>
      <w:r>
        <w:rPr>
          <w:i/>
          <w:iCs/>
        </w:rPr>
        <w:t>Merced Mining</w:t>
      </w:r>
      <w:r>
        <w:t xml:space="preserve">, at p. 132.)  </w:t>
      </w:r>
      <w:r w:rsidR="00B75B5E">
        <w:t xml:space="preserve">We explained that an affirmative act, </w:t>
      </w:r>
      <w:r>
        <w:t>“if completed, would change the condition of the parties, and render a reversal . . . partially ineffectual.”  (</w:t>
      </w:r>
      <w:r>
        <w:rPr>
          <w:i/>
          <w:iCs/>
        </w:rPr>
        <w:t>Ibid</w:t>
      </w:r>
      <w:r>
        <w:t xml:space="preserve">.)  </w:t>
      </w:r>
      <w:r w:rsidR="00B75B5E">
        <w:t>By contrast, w</w:t>
      </w:r>
      <w:r>
        <w:t>hen an order instead merely restrains the defendant, an automatic stay on appeal does not serve the same purpose; the defendant “is not injured in contemplation of law” when the defendant is required to abide by the restraint pending appeal.  (</w:t>
      </w:r>
      <w:r>
        <w:rPr>
          <w:i/>
          <w:iCs/>
        </w:rPr>
        <w:t>Ibid.</w:t>
      </w:r>
      <w:r>
        <w:t xml:space="preserve">)  </w:t>
      </w:r>
      <w:r w:rsidR="007530B0">
        <w:t xml:space="preserve">We thus </w:t>
      </w:r>
      <w:r w:rsidR="009A78E5">
        <w:t>described</w:t>
      </w:r>
      <w:r w:rsidR="007530B0">
        <w:t xml:space="preserve"> the </w:t>
      </w:r>
      <w:r w:rsidR="009A78E5">
        <w:t xml:space="preserve">governing </w:t>
      </w:r>
      <w:r w:rsidR="007530B0">
        <w:t>rule as follows</w:t>
      </w:r>
      <w:r>
        <w:t>:  “</w:t>
      </w:r>
      <w:r w:rsidRPr="00E870A2">
        <w:t xml:space="preserve">A stay of proceedings, from its nature, only operates upon orders or judgments commanding some act to be </w:t>
      </w:r>
      <w:proofErr w:type="gramStart"/>
      <w:r w:rsidRPr="00E870A2">
        <w:t>done, and</w:t>
      </w:r>
      <w:proofErr w:type="gramEnd"/>
      <w:r w:rsidRPr="00E870A2">
        <w:t xml:space="preserve"> does not reach a case of injunction.</w:t>
      </w:r>
      <w:r>
        <w:t>”  (</w:t>
      </w:r>
      <w:r w:rsidRPr="00980ADD">
        <w:rPr>
          <w:i/>
          <w:iCs/>
        </w:rPr>
        <w:t>Ibid</w:t>
      </w:r>
      <w:r>
        <w:t>.)</w:t>
      </w:r>
      <w:r>
        <w:rPr>
          <w:rStyle w:val="FootnoteReference"/>
        </w:rPr>
        <w:footnoteReference w:id="6"/>
      </w:r>
    </w:p>
    <w:p w14:paraId="4D166427" w14:textId="049EE978" w:rsidR="00B700BC" w:rsidRDefault="00B700BC" w:rsidP="00B700BC">
      <w:pPr>
        <w:tabs>
          <w:tab w:val="left" w:pos="1440"/>
        </w:tabs>
        <w:ind w:firstLine="720"/>
      </w:pPr>
      <w:r>
        <w:t xml:space="preserve">We reiterated the </w:t>
      </w:r>
      <w:r w:rsidR="00DB13BC">
        <w:t xml:space="preserve">same rule </w:t>
      </w:r>
      <w:r>
        <w:t>some decades later, following the adoption of the Code of Civil Procedure.  (</w:t>
      </w:r>
      <w:r w:rsidRPr="001F0E2D">
        <w:rPr>
          <w:i/>
          <w:iCs/>
        </w:rPr>
        <w:t>Dewey v. Superior Court</w:t>
      </w:r>
      <w:r w:rsidRPr="001F0E2D">
        <w:t> (1889) 81 Cal. 64</w:t>
      </w:r>
      <w:r>
        <w:t>.)  We explained:  “</w:t>
      </w:r>
      <w:r w:rsidRPr="001F0E2D">
        <w:t xml:space="preserve">An appeal perfected as this was, under section 949 of the Code of Civil Procedure, stayed all proceedings upon every part of that judgment </w:t>
      </w:r>
      <w:r>
        <w:t>‘</w:t>
      </w:r>
      <w:r w:rsidRPr="001F0E2D">
        <w:t>commanding some act to be done.</w:t>
      </w:r>
      <w:r>
        <w:t>’</w:t>
      </w:r>
      <w:r w:rsidRPr="001F0E2D">
        <w:t xml:space="preserve"> </w:t>
      </w:r>
      <w:r>
        <w:t xml:space="preserve"> </w:t>
      </w:r>
      <w:r w:rsidRPr="001F0E2D">
        <w:t>(</w:t>
      </w:r>
      <w:r w:rsidRPr="001F0E2D">
        <w:rPr>
          <w:i/>
          <w:iCs/>
        </w:rPr>
        <w:t>Merced Mining</w:t>
      </w:r>
      <w:r w:rsidRPr="00532021">
        <w:t>[,</w:t>
      </w:r>
      <w:r w:rsidR="008C4829">
        <w:t> </w:t>
      </w:r>
      <w:r>
        <w:rPr>
          <w:i/>
          <w:iCs/>
        </w:rPr>
        <w:t>supra</w:t>
      </w:r>
      <w:r w:rsidRPr="00532021">
        <w:t>]</w:t>
      </w:r>
      <w:r>
        <w:t xml:space="preserve">, </w:t>
      </w:r>
      <w:r w:rsidRPr="001F0E2D">
        <w:t>7</w:t>
      </w:r>
      <w:r w:rsidR="008C4829">
        <w:t> </w:t>
      </w:r>
      <w:r w:rsidRPr="001F0E2D">
        <w:t>Cal. 130; </w:t>
      </w:r>
      <w:r w:rsidRPr="001F0E2D">
        <w:rPr>
          <w:i/>
          <w:iCs/>
        </w:rPr>
        <w:t>Bliss v. Superior Court</w:t>
      </w:r>
      <w:r>
        <w:rPr>
          <w:i/>
          <w:iCs/>
        </w:rPr>
        <w:t xml:space="preserve"> </w:t>
      </w:r>
      <w:r w:rsidRPr="00532021">
        <w:t>[(1881)</w:t>
      </w:r>
      <w:r>
        <w:t xml:space="preserve">] </w:t>
      </w:r>
      <w:r w:rsidRPr="001F0E2D">
        <w:t xml:space="preserve">62 Cal. </w:t>
      </w:r>
      <w:r>
        <w:t xml:space="preserve">[543,] </w:t>
      </w:r>
      <w:r w:rsidRPr="001F0E2D">
        <w:t>544.)</w:t>
      </w:r>
      <w:r w:rsidR="008C4829">
        <w:t xml:space="preserve"> </w:t>
      </w:r>
      <w:r>
        <w:t xml:space="preserve"> </w:t>
      </w:r>
      <w:r w:rsidRPr="001F0E2D">
        <w:t xml:space="preserve">A prohibitory injunction remains in full force pending such an appeal, and the court below may enforce obedience thereto; but </w:t>
      </w:r>
      <w:r w:rsidRPr="001F0E2D">
        <w:lastRenderedPageBreak/>
        <w:t>a mandatory injunction is stayed by the operation of such appeal, </w:t>
      </w:r>
      <w:r w:rsidRPr="00AE4749">
        <w:t>the object of the rule in both cases being to preserve the </w:t>
      </w:r>
      <w:r w:rsidRPr="000854AC">
        <w:rPr>
          <w:i/>
          <w:iCs/>
        </w:rPr>
        <w:t>status quo</w:t>
      </w:r>
      <w:r>
        <w:rPr>
          <w:i/>
          <w:iCs/>
        </w:rPr>
        <w:t>.</w:t>
      </w:r>
      <w:r>
        <w:t>”  (</w:t>
      </w:r>
      <w:r>
        <w:rPr>
          <w:i/>
          <w:iCs/>
        </w:rPr>
        <w:t>Dewey</w:t>
      </w:r>
      <w:r>
        <w:t>, at p. 68.)</w:t>
      </w:r>
      <w:r>
        <w:rPr>
          <w:rStyle w:val="FootnoteReference"/>
        </w:rPr>
        <w:footnoteReference w:id="7"/>
      </w:r>
      <w:r>
        <w:t xml:space="preserve">  </w:t>
      </w:r>
    </w:p>
    <w:p w14:paraId="6F0D1CA2" w14:textId="4FBFAC29" w:rsidR="00B700BC" w:rsidRPr="005D68FA" w:rsidRDefault="00B700BC" w:rsidP="00B700BC">
      <w:pPr>
        <w:tabs>
          <w:tab w:val="left" w:pos="1440"/>
        </w:tabs>
        <w:ind w:firstLine="720"/>
      </w:pPr>
      <w:r>
        <w:t xml:space="preserve">As </w:t>
      </w:r>
      <w:r>
        <w:rPr>
          <w:i/>
          <w:iCs/>
        </w:rPr>
        <w:t>Dewey</w:t>
      </w:r>
      <w:r>
        <w:t xml:space="preserve"> told the story, the core rationale underlying the mandatory-prohibitory distinction was based on an abiding concern with preserving the status quo pending appeal.  The idea was that a prohibitory injunction is exempt from stay because such an injunction, by its nature, operates to preserve the status quo; by definition such an injunction prevents the defendant from taking actions that would alter the parties’ respective provisions.  To stay enforcement of such an order pending appeal would not preserve the status quo but instead invite its destruction; a stay would leave the parties free to alter conditions during the appeal, with sometimes irreversible consequences.  As we put it in </w:t>
      </w:r>
      <w:proofErr w:type="spellStart"/>
      <w:r w:rsidRPr="00D9177D">
        <w:rPr>
          <w:i/>
          <w:iCs/>
        </w:rPr>
        <w:t>Heinlen</w:t>
      </w:r>
      <w:proofErr w:type="spellEnd"/>
      <w:r w:rsidRPr="00D9177D">
        <w:rPr>
          <w:i/>
          <w:iCs/>
        </w:rPr>
        <w:t xml:space="preserve"> v. Cross</w:t>
      </w:r>
      <w:r w:rsidRPr="00D9177D">
        <w:t xml:space="preserve"> (1883) 63 Cal. 44, </w:t>
      </w:r>
      <w:r>
        <w:t>if our law had no exception for purely preventive injunctions, the appealing party could renew or continue any destructive conduct during the period of appeal, even if that would cause irreparable damage, while the victorious party below “ ‘</w:t>
      </w:r>
      <w:r w:rsidRPr="00D9177D">
        <w:t>must stand by, and without possibility of redress, see the subject-matter of the litigation destroyed, so that if he succeeds in affirming the judgment it will be a barren victory.</w:t>
      </w:r>
      <w:r>
        <w:t>’ ”  (</w:t>
      </w:r>
      <w:r>
        <w:rPr>
          <w:i/>
          <w:iCs/>
        </w:rPr>
        <w:t>Id.</w:t>
      </w:r>
      <w:r>
        <w:t xml:space="preserve"> at p. 46, quoting </w:t>
      </w:r>
      <w:r w:rsidRPr="00B315D5">
        <w:rPr>
          <w:i/>
          <w:iCs/>
        </w:rPr>
        <w:t>Sixth Ave. R.</w:t>
      </w:r>
      <w:r>
        <w:rPr>
          <w:i/>
          <w:iCs/>
        </w:rPr>
        <w:t>R.</w:t>
      </w:r>
      <w:r w:rsidRPr="00B315D5">
        <w:rPr>
          <w:i/>
          <w:iCs/>
        </w:rPr>
        <w:t xml:space="preserve"> Co. </w:t>
      </w:r>
      <w:r>
        <w:rPr>
          <w:i/>
          <w:iCs/>
        </w:rPr>
        <w:t xml:space="preserve">in City of N.Y. </w:t>
      </w:r>
      <w:r w:rsidRPr="00B315D5">
        <w:rPr>
          <w:i/>
          <w:iCs/>
        </w:rPr>
        <w:t>v. Gilbert El</w:t>
      </w:r>
      <w:r>
        <w:rPr>
          <w:i/>
          <w:iCs/>
        </w:rPr>
        <w:t>.</w:t>
      </w:r>
      <w:r w:rsidRPr="00B315D5">
        <w:rPr>
          <w:i/>
          <w:iCs/>
        </w:rPr>
        <w:t xml:space="preserve"> R.</w:t>
      </w:r>
      <w:r>
        <w:rPr>
          <w:i/>
          <w:iCs/>
        </w:rPr>
        <w:t>R.</w:t>
      </w:r>
      <w:r w:rsidRPr="00B315D5">
        <w:rPr>
          <w:i/>
          <w:iCs/>
        </w:rPr>
        <w:t xml:space="preserve"> Co.</w:t>
      </w:r>
      <w:r>
        <w:t xml:space="preserve">, </w:t>
      </w:r>
      <w:r>
        <w:rPr>
          <w:i/>
          <w:iCs/>
        </w:rPr>
        <w:t>supra</w:t>
      </w:r>
      <w:r>
        <w:t xml:space="preserve">, </w:t>
      </w:r>
      <w:r w:rsidRPr="00B315D5">
        <w:t xml:space="preserve">71 N.Y. </w:t>
      </w:r>
      <w:r>
        <w:t>at p. </w:t>
      </w:r>
      <w:r w:rsidRPr="00B315D5">
        <w:t>433</w:t>
      </w:r>
      <w:r>
        <w:t xml:space="preserve">; see </w:t>
      </w:r>
      <w:proofErr w:type="spellStart"/>
      <w:r w:rsidR="000D340C" w:rsidRPr="000D340C">
        <w:rPr>
          <w:i/>
          <w:iCs/>
        </w:rPr>
        <w:t>Heinlen</w:t>
      </w:r>
      <w:proofErr w:type="spellEnd"/>
      <w:r w:rsidR="000D340C">
        <w:t>, at p. 46</w:t>
      </w:r>
      <w:r>
        <w:t xml:space="preserve"> [“ ‘</w:t>
      </w:r>
      <w:r w:rsidRPr="00D9177D">
        <w:t xml:space="preserve">If the respondent here is right in its contention, pending an appeal </w:t>
      </w:r>
      <w:r w:rsidRPr="00D9177D">
        <w:lastRenderedPageBreak/>
        <w:t>from a judgment staying waste, which if committed will destroy the freehold, the appellant in simply staying the plaintiff</w:t>
      </w:r>
      <w:r>
        <w:t>’</w:t>
      </w:r>
      <w:r w:rsidRPr="00D9177D">
        <w:t>s proceedings on the judgment may with impunity do the very act forbidden and destroy the freehold.</w:t>
      </w:r>
      <w:r>
        <w:t xml:space="preserve">’ ”].)  </w:t>
      </w:r>
    </w:p>
    <w:p w14:paraId="65106557" w14:textId="62B54C92" w:rsidR="00B700BC" w:rsidRDefault="00B700BC" w:rsidP="00B700BC">
      <w:pPr>
        <w:tabs>
          <w:tab w:val="left" w:pos="1440"/>
        </w:tabs>
        <w:ind w:firstLine="720"/>
      </w:pPr>
      <w:r>
        <w:t xml:space="preserve">Not so with the injunction that mandates the performance of an affirmative act — the so-called mandatory injunction.  Such an injunction, by definition, commands some change in the parties’ positions.  The cases hold that before such orders are executed and the defendant must detrimentally alter its position, the defendant is entitled to know whether the order is correct.  (See, e.g., </w:t>
      </w:r>
      <w:proofErr w:type="spellStart"/>
      <w:r w:rsidRPr="00A73DEC">
        <w:rPr>
          <w:i/>
          <w:iCs/>
        </w:rPr>
        <w:t>Kettenhofen</w:t>
      </w:r>
      <w:proofErr w:type="spellEnd"/>
      <w:r w:rsidRPr="00A73DEC">
        <w:rPr>
          <w:i/>
          <w:iCs/>
        </w:rPr>
        <w:t xml:space="preserve"> v. Superior Court</w:t>
      </w:r>
      <w:r w:rsidR="004408CA">
        <w:t xml:space="preserve"> (1961)</w:t>
      </w:r>
      <w:r w:rsidR="000C41FF">
        <w:rPr>
          <w:i/>
          <w:iCs/>
        </w:rPr>
        <w:t xml:space="preserve"> </w:t>
      </w:r>
      <w:r w:rsidRPr="00A73DEC">
        <w:t xml:space="preserve">55 Cal.2d </w:t>
      </w:r>
      <w:r w:rsidR="004408CA">
        <w:t xml:space="preserve">189, </w:t>
      </w:r>
      <w:r w:rsidRPr="00A73DEC">
        <w:t>191</w:t>
      </w:r>
      <w:r>
        <w:t xml:space="preserve">; </w:t>
      </w:r>
      <w:r w:rsidRPr="00630299">
        <w:rPr>
          <w:i/>
          <w:iCs/>
        </w:rPr>
        <w:t xml:space="preserve">Byington v. Superior Court </w:t>
      </w:r>
      <w:r w:rsidRPr="00630299">
        <w:t xml:space="preserve">(1939) 14 Cal.2d 68, 70; </w:t>
      </w:r>
      <w:r w:rsidRPr="00630299">
        <w:rPr>
          <w:i/>
          <w:iCs/>
        </w:rPr>
        <w:t xml:space="preserve">United Railroads v. Superior Court </w:t>
      </w:r>
      <w:r w:rsidRPr="00630299">
        <w:t>(1916) 172 Cal. 80, 82</w:t>
      </w:r>
      <w:r>
        <w:t xml:space="preserve">; </w:t>
      </w:r>
      <w:r w:rsidRPr="007874EE">
        <w:rPr>
          <w:i/>
          <w:iCs/>
        </w:rPr>
        <w:t>Clute v. Superior Court </w:t>
      </w:r>
      <w:r w:rsidRPr="00AE4749">
        <w:t>(1908) 155 Cal. 15, 18</w:t>
      </w:r>
      <w:r>
        <w:t xml:space="preserve">; </w:t>
      </w:r>
      <w:r w:rsidRPr="00793DBB">
        <w:rPr>
          <w:i/>
          <w:iCs/>
        </w:rPr>
        <w:t>URS Corp. v. Atkinson/Walsh Joint Venture</w:t>
      </w:r>
      <w:r w:rsidRPr="00793DBB">
        <w:t> (2017) 15 Cal.App.5th 872, 884</w:t>
      </w:r>
      <w:r>
        <w:t xml:space="preserve">; </w:t>
      </w:r>
      <w:r w:rsidRPr="0070011F">
        <w:rPr>
          <w:i/>
          <w:iCs/>
        </w:rPr>
        <w:t>Paramount Pictures Corp. v. Davis</w:t>
      </w:r>
      <w:r w:rsidRPr="0070011F">
        <w:t> (1964) 228 Cal.App.2d 827, 835</w:t>
      </w:r>
      <w:r>
        <w:t xml:space="preserve">.)  </w:t>
      </w:r>
    </w:p>
    <w:p w14:paraId="410CA96D" w14:textId="550EBBEC" w:rsidR="00B700BC" w:rsidRDefault="00B700BC" w:rsidP="00B700BC">
      <w:pPr>
        <w:tabs>
          <w:tab w:val="left" w:pos="1440"/>
        </w:tabs>
        <w:ind w:firstLine="720"/>
      </w:pPr>
      <w:r>
        <w:t xml:space="preserve">Like many distinctions in the law, the distinction between a mandatory and a </w:t>
      </w:r>
      <w:r w:rsidRPr="00A73DEC">
        <w:t>prohibitory injunction</w:t>
      </w:r>
      <w:r>
        <w:t xml:space="preserve"> sometimes proves easier to state than to apply.  (</w:t>
      </w:r>
      <w:r>
        <w:rPr>
          <w:i/>
          <w:iCs/>
        </w:rPr>
        <w:t>URS Corp. v. Atkinson/Walsh Joint Venture</w:t>
      </w:r>
      <w:r>
        <w:t xml:space="preserve">, </w:t>
      </w:r>
      <w:r>
        <w:rPr>
          <w:i/>
          <w:iCs/>
        </w:rPr>
        <w:t>supra</w:t>
      </w:r>
      <w:r>
        <w:t xml:space="preserve">, 15 Cal.App.5th at p. 884, citing </w:t>
      </w:r>
      <w:proofErr w:type="spellStart"/>
      <w:r>
        <w:rPr>
          <w:i/>
          <w:iCs/>
        </w:rPr>
        <w:t>Kettenhofen</w:t>
      </w:r>
      <w:proofErr w:type="spellEnd"/>
      <w:r>
        <w:rPr>
          <w:i/>
          <w:iCs/>
        </w:rPr>
        <w:t xml:space="preserve"> v. Superior Court</w:t>
      </w:r>
      <w:r w:rsidR="004408CA" w:rsidRPr="004408CA">
        <w:t>,</w:t>
      </w:r>
      <w:r w:rsidR="004408CA">
        <w:rPr>
          <w:i/>
          <w:iCs/>
        </w:rPr>
        <w:t xml:space="preserve"> supra</w:t>
      </w:r>
      <w:r w:rsidR="004408CA" w:rsidRPr="004408CA">
        <w:t>,</w:t>
      </w:r>
      <w:r>
        <w:t xml:space="preserve"> 55 Cal.2d </w:t>
      </w:r>
      <w:r w:rsidR="004408CA">
        <w:t>at p. </w:t>
      </w:r>
      <w:r>
        <w:t xml:space="preserve">191; see pt. III., </w:t>
      </w:r>
      <w:r>
        <w:rPr>
          <w:i/>
          <w:iCs/>
        </w:rPr>
        <w:t>post</w:t>
      </w:r>
      <w:r>
        <w:t>.)  But the law contains certain benchmarks that help guide the inquiry.  Perhaps the prototypical mandatory injunction is an order requiring the defendant to remove an improvement it has made to challenged property</w:t>
      </w:r>
      <w:r w:rsidR="00CB0373">
        <w:t>.  F</w:t>
      </w:r>
      <w:r>
        <w:t>or example, “in an action to establish an easement, a preliminary injunction ordering a party to remove an existing fence that blocks the easement is a mandatory injunction,” while “restraining the party from parking or storing vehicles along the easement is a prohibitory injunction.”  (</w:t>
      </w:r>
      <w:r>
        <w:rPr>
          <w:i/>
          <w:iCs/>
        </w:rPr>
        <w:t>URS Corp.</w:t>
      </w:r>
      <w:r>
        <w:t xml:space="preserve">, </w:t>
      </w:r>
      <w:r w:rsidR="000C41FF">
        <w:t>a</w:t>
      </w:r>
      <w:r>
        <w:t xml:space="preserve">t p. 884, citing </w:t>
      </w:r>
      <w:proofErr w:type="spellStart"/>
      <w:r>
        <w:rPr>
          <w:i/>
          <w:iCs/>
        </w:rPr>
        <w:lastRenderedPageBreak/>
        <w:t>Kettenhofen</w:t>
      </w:r>
      <w:proofErr w:type="spellEnd"/>
      <w:r>
        <w:rPr>
          <w:i/>
          <w:iCs/>
        </w:rPr>
        <w:t xml:space="preserve">, </w:t>
      </w:r>
      <w:r w:rsidR="004408CA" w:rsidRPr="004408CA">
        <w:t>at</w:t>
      </w:r>
      <w:r w:rsidR="004408CA">
        <w:rPr>
          <w:i/>
          <w:iCs/>
        </w:rPr>
        <w:t xml:space="preserve"> </w:t>
      </w:r>
      <w:r>
        <w:t>pp. 190–191.)  But mandatory injunctions in property disputes are not limited to tear-down orders.  For instance, in</w:t>
      </w:r>
      <w:r w:rsidRPr="00B60681">
        <w:rPr>
          <w:i/>
          <w:iCs/>
        </w:rPr>
        <w:t xml:space="preserve"> </w:t>
      </w:r>
      <w:r w:rsidRPr="006854A5">
        <w:rPr>
          <w:i/>
          <w:iCs/>
        </w:rPr>
        <w:t xml:space="preserve">Byington v. Superior </w:t>
      </w:r>
      <w:r w:rsidRPr="007C0C63">
        <w:rPr>
          <w:i/>
          <w:iCs/>
        </w:rPr>
        <w:t>Court</w:t>
      </w:r>
      <w:r>
        <w:t xml:space="preserve">, </w:t>
      </w:r>
      <w:r w:rsidRPr="007C0C63">
        <w:rPr>
          <w:i/>
          <w:iCs/>
        </w:rPr>
        <w:t>supra</w:t>
      </w:r>
      <w:r>
        <w:t>,</w:t>
      </w:r>
      <w:r w:rsidRPr="00B60681">
        <w:t xml:space="preserve"> 14 Cal.2d 68, </w:t>
      </w:r>
      <w:r>
        <w:t>we held that an order limiting San Francisco’s storage of Tuolumne River water in Hetch Hetchy Reservoir to the amount of the city’s prescriptive right was mandatory rather than prohibitory.  We explained how the limitation altered the parties’ relative positions:  “T</w:t>
      </w:r>
      <w:r w:rsidRPr="003F63B8">
        <w:t>hroughout the trial of the main action, and up to the present moment,</w:t>
      </w:r>
      <w:r w:rsidRPr="00B60681">
        <w:t xml:space="preserve"> the city has contended that in addition to the prescriptive right recognized in and awarded to it under the decree of the respondent court, it was the owner and possessor of certain appropriative rights in and to the waters of the Tuolumne </w:t>
      </w:r>
      <w:r>
        <w:t>R</w:t>
      </w:r>
      <w:r w:rsidRPr="00B60681">
        <w:t>iver.</w:t>
      </w:r>
      <w:r>
        <w:t>”  (</w:t>
      </w:r>
      <w:r>
        <w:rPr>
          <w:i/>
          <w:iCs/>
        </w:rPr>
        <w:t>Id.</w:t>
      </w:r>
      <w:r>
        <w:t xml:space="preserve"> at p. </w:t>
      </w:r>
      <w:r w:rsidRPr="00B60681">
        <w:t>72</w:t>
      </w:r>
      <w:r>
        <w:t>.)  Insofar as the order required San Francisco to surrender its appropriat</w:t>
      </w:r>
      <w:r w:rsidR="00A56171">
        <w:t>iv</w:t>
      </w:r>
      <w:r>
        <w:t>e rights, the order was mandatory and automatically stayed on appeal.  (</w:t>
      </w:r>
      <w:r>
        <w:rPr>
          <w:i/>
          <w:iCs/>
        </w:rPr>
        <w:t>Ibid.</w:t>
      </w:r>
      <w:r>
        <w:t>)</w:t>
      </w:r>
    </w:p>
    <w:p w14:paraId="1DCC86E1" w14:textId="77777777" w:rsidR="00B700BC" w:rsidRPr="00CC7224" w:rsidRDefault="00B700BC" w:rsidP="00B700BC">
      <w:pPr>
        <w:tabs>
          <w:tab w:val="left" w:pos="1440"/>
        </w:tabs>
        <w:ind w:firstLine="720"/>
      </w:pPr>
      <w:r>
        <w:t xml:space="preserve">A substantial body of case law addresses the mandatory-prohibitory distinction in the context of disputes concerning employment, board membership, and the like.  The cases have characterized orders requiring officers to surrender their positions as mandatory as well.  For example, in </w:t>
      </w:r>
      <w:proofErr w:type="gramStart"/>
      <w:r w:rsidRPr="00DF6D21">
        <w:rPr>
          <w:i/>
          <w:iCs/>
        </w:rPr>
        <w:t>Foster</w:t>
      </w:r>
      <w:proofErr w:type="gramEnd"/>
      <w:r w:rsidRPr="00DF6D21">
        <w:rPr>
          <w:i/>
          <w:iCs/>
        </w:rPr>
        <w:t xml:space="preserve"> v. Superior Court</w:t>
      </w:r>
      <w:r w:rsidRPr="002459DB">
        <w:t>,</w:t>
      </w:r>
      <w:r w:rsidRPr="00DF6D21">
        <w:rPr>
          <w:i/>
          <w:iCs/>
        </w:rPr>
        <w:t xml:space="preserve"> supra</w:t>
      </w:r>
      <w:r w:rsidRPr="00DF6D21">
        <w:t>, 115 Cal. 279</w:t>
      </w:r>
      <w:r>
        <w:t xml:space="preserve"> (</w:t>
      </w:r>
      <w:r>
        <w:rPr>
          <w:i/>
          <w:iCs/>
        </w:rPr>
        <w:t>Foster</w:t>
      </w:r>
      <w:r>
        <w:t>)</w:t>
      </w:r>
      <w:r w:rsidRPr="00DF6D21">
        <w:t>, we held an order that a particular candidate be recognized as a member of a railway company board in place of another competitor who had already been seated was mandatory in that its enforcement “would change the relative positions of the parties from those existing at the time the decree was entered, and might render a reversal of the judgment entirely ineffectual.”  (</w:t>
      </w:r>
      <w:r w:rsidRPr="00DF6D21">
        <w:rPr>
          <w:i/>
          <w:iCs/>
        </w:rPr>
        <w:t>Id</w:t>
      </w:r>
      <w:r w:rsidRPr="00DF6D21">
        <w:t xml:space="preserve">. at p. 284.)  </w:t>
      </w:r>
    </w:p>
    <w:p w14:paraId="4A5F15C4" w14:textId="1BB9249E" w:rsidR="00B700BC" w:rsidRDefault="00B700BC" w:rsidP="00B700BC">
      <w:pPr>
        <w:tabs>
          <w:tab w:val="left" w:pos="1440"/>
        </w:tabs>
        <w:ind w:firstLine="720"/>
      </w:pPr>
      <w:r>
        <w:t xml:space="preserve">We expanded on this analysis in </w:t>
      </w:r>
      <w:r w:rsidRPr="006854A5">
        <w:rPr>
          <w:i/>
          <w:iCs/>
        </w:rPr>
        <w:t>Clute v. Superior Court</w:t>
      </w:r>
      <w:r w:rsidRPr="006854A5">
        <w:rPr>
          <w:iCs/>
        </w:rPr>
        <w:t xml:space="preserve">, </w:t>
      </w:r>
      <w:r w:rsidRPr="006854A5">
        <w:rPr>
          <w:i/>
          <w:iCs/>
        </w:rPr>
        <w:t>supra</w:t>
      </w:r>
      <w:r w:rsidRPr="006854A5">
        <w:t xml:space="preserve">, 155 Cal. 15 </w:t>
      </w:r>
      <w:r w:rsidRPr="006854A5">
        <w:rPr>
          <w:iCs/>
        </w:rPr>
        <w:t>(</w:t>
      </w:r>
      <w:r w:rsidRPr="006854A5">
        <w:rPr>
          <w:i/>
          <w:iCs/>
        </w:rPr>
        <w:t>Clute</w:t>
      </w:r>
      <w:r w:rsidRPr="006854A5">
        <w:rPr>
          <w:iCs/>
        </w:rPr>
        <w:t>)</w:t>
      </w:r>
      <w:r>
        <w:rPr>
          <w:iCs/>
        </w:rPr>
        <w:t xml:space="preserve">, which involved an injunction against a hotel corporation treasurer and manager who had been removed by the board of directors but who refused to vacate the </w:t>
      </w:r>
      <w:r>
        <w:rPr>
          <w:iCs/>
        </w:rPr>
        <w:lastRenderedPageBreak/>
        <w:t xml:space="preserve">position, claiming the removal was invalid.  On its face the injunction merely </w:t>
      </w:r>
      <w:r w:rsidRPr="006854A5">
        <w:t>restrain</w:t>
      </w:r>
      <w:r>
        <w:t>ed</w:t>
      </w:r>
      <w:r w:rsidRPr="006854A5">
        <w:t xml:space="preserve"> </w:t>
      </w:r>
      <w:r>
        <w:t xml:space="preserve">the officer </w:t>
      </w:r>
      <w:r w:rsidRPr="006854A5">
        <w:t>from attempting to direct or control the hotel’s employees</w:t>
      </w:r>
      <w:r>
        <w:t xml:space="preserve">.  We concluded that the injunction was nonetheless </w:t>
      </w:r>
      <w:r w:rsidRPr="006854A5">
        <w:t>mandatory in substance</w:t>
      </w:r>
      <w:r>
        <w:t xml:space="preserve">, </w:t>
      </w:r>
      <w:r w:rsidRPr="006854A5">
        <w:t xml:space="preserve">and therefore </w:t>
      </w:r>
      <w:r>
        <w:t xml:space="preserve">automatically </w:t>
      </w:r>
      <w:r w:rsidRPr="006854A5">
        <w:t>stayed</w:t>
      </w:r>
      <w:r>
        <w:t xml:space="preserve"> on appeal, </w:t>
      </w:r>
      <w:r w:rsidRPr="006854A5">
        <w:t xml:space="preserve">because it required the defendant to </w:t>
      </w:r>
      <w:r>
        <w:t xml:space="preserve">undertake the affirmative act of transferring </w:t>
      </w:r>
      <w:r w:rsidRPr="006854A5">
        <w:t>management</w:t>
      </w:r>
      <w:r>
        <w:t xml:space="preserve"> of the hotel.  We wrote</w:t>
      </w:r>
      <w:r w:rsidRPr="006854A5">
        <w:t>:  “If Clute was in the actual possession of the hotel and the personal property in it, an order punishing him for preventing another person from entering and taking charge of the books, keys, and other property could have no other purpose or effect than to compel him to turn over his possession to such other, or at least to surrender his theretofore exclusive possession.”  (</w:t>
      </w:r>
      <w:r w:rsidRPr="006854A5">
        <w:rPr>
          <w:i/>
        </w:rPr>
        <w:t>Id.</w:t>
      </w:r>
      <w:r w:rsidRPr="006854A5">
        <w:t xml:space="preserve"> at p. 19.) </w:t>
      </w:r>
      <w:r>
        <w:t xml:space="preserve"> And “[</w:t>
      </w:r>
      <w:proofErr w:type="spellStart"/>
      <w:r>
        <w:t>i</w:t>
      </w:r>
      <w:proofErr w:type="spellEnd"/>
      <w:r>
        <w:t>]</w:t>
      </w:r>
      <w:r w:rsidRPr="006F4676">
        <w:t>f the injunction compels him affirmatively to surrender a position which he holds, and which, upon the facts alleged by him, he is entitled to hold, it is mandatory.</w:t>
      </w:r>
      <w:r>
        <w:t xml:space="preserve">”  </w:t>
      </w:r>
      <w:r w:rsidRPr="006854A5">
        <w:t>(</w:t>
      </w:r>
      <w:r w:rsidRPr="00532021">
        <w:rPr>
          <w:i/>
          <w:iCs/>
        </w:rPr>
        <w:t>Id.</w:t>
      </w:r>
      <w:r>
        <w:t xml:space="preserve"> at p. 20.)  </w:t>
      </w:r>
      <w:r>
        <w:rPr>
          <w:iCs/>
        </w:rPr>
        <w:t xml:space="preserve">In making this determination, we explained that the relevant comparison is </w:t>
      </w:r>
      <w:r>
        <w:t>“[t]</w:t>
      </w:r>
      <w:r w:rsidRPr="006F4676">
        <w:t>he</w:t>
      </w:r>
      <w:r>
        <w:t xml:space="preserve"> </w:t>
      </w:r>
      <w:r w:rsidRPr="000A1BF5">
        <w:rPr>
          <w:i/>
          <w:iCs/>
        </w:rPr>
        <w:t>status</w:t>
      </w:r>
      <w:r>
        <w:t xml:space="preserve"> </w:t>
      </w:r>
      <w:r w:rsidRPr="006F4676">
        <w:t>of the parties,</w:t>
      </w:r>
      <w:r>
        <w:t xml:space="preserve"> </w:t>
      </w:r>
      <w:r w:rsidRPr="00B61699">
        <w:t>at the time the injunction was issued</w:t>
      </w:r>
      <w:proofErr w:type="gramStart"/>
      <w:r w:rsidR="00CB0373">
        <w:t>”;</w:t>
      </w:r>
      <w:proofErr w:type="gramEnd"/>
      <w:r w:rsidR="00CB0373">
        <w:t xml:space="preserve"> we observed </w:t>
      </w:r>
      <w:r>
        <w:t>that an order for Clute to turn over control to other claimants “</w:t>
      </w:r>
      <w:r w:rsidRPr="006F4676">
        <w:t>would certainly, if executed, operate to change that</w:t>
      </w:r>
      <w:r>
        <w:t xml:space="preserve"> </w:t>
      </w:r>
      <w:r w:rsidRPr="000A1BF5">
        <w:rPr>
          <w:i/>
          <w:iCs/>
        </w:rPr>
        <w:t>status</w:t>
      </w:r>
      <w:r w:rsidRPr="006F4676">
        <w:rPr>
          <w:i/>
          <w:iCs/>
        </w:rPr>
        <w:t>.</w:t>
      </w:r>
      <w:r>
        <w:t xml:space="preserve">”  </w:t>
      </w:r>
      <w:r w:rsidRPr="006854A5">
        <w:t>(</w:t>
      </w:r>
      <w:r w:rsidRPr="006854A5">
        <w:rPr>
          <w:i/>
        </w:rPr>
        <w:t>Id.</w:t>
      </w:r>
      <w:r w:rsidRPr="006854A5">
        <w:t xml:space="preserve"> at p</w:t>
      </w:r>
      <w:r>
        <w:t>p</w:t>
      </w:r>
      <w:r w:rsidRPr="006854A5">
        <w:t>. 19</w:t>
      </w:r>
      <w:r>
        <w:t>–20.)</w:t>
      </w:r>
    </w:p>
    <w:p w14:paraId="3CD2EA9A" w14:textId="701817D7" w:rsidR="00B700BC" w:rsidRPr="00DA74CF" w:rsidRDefault="00B700BC" w:rsidP="00B700BC">
      <w:pPr>
        <w:tabs>
          <w:tab w:val="left" w:pos="1440"/>
        </w:tabs>
        <w:ind w:firstLine="720"/>
      </w:pPr>
      <w:r>
        <w:t xml:space="preserve">In </w:t>
      </w:r>
      <w:r w:rsidRPr="00E23126">
        <w:rPr>
          <w:i/>
          <w:iCs/>
        </w:rPr>
        <w:t>Feinberg</w:t>
      </w:r>
      <w:r w:rsidRPr="00DA74CF">
        <w:rPr>
          <w:i/>
          <w:iCs/>
        </w:rPr>
        <w:t xml:space="preserve"> v. </w:t>
      </w:r>
      <w:r>
        <w:rPr>
          <w:i/>
          <w:iCs/>
        </w:rPr>
        <w:t xml:space="preserve">One </w:t>
      </w:r>
      <w:r w:rsidRPr="00DA74CF">
        <w:rPr>
          <w:i/>
          <w:iCs/>
        </w:rPr>
        <w:t>Doe</w:t>
      </w:r>
      <w:r>
        <w:rPr>
          <w:i/>
          <w:iCs/>
        </w:rPr>
        <w:t xml:space="preserve"> Co. </w:t>
      </w:r>
      <w:r w:rsidRPr="00DA74CF">
        <w:t>(1939) 14 Cal.2d 24</w:t>
      </w:r>
      <w:r>
        <w:t>, where a clothing manufacturer had been ordered to discontinue employment of an individual who had been expelled from the labor union representing the company’s employees, we explained that although the injunction was purportedly prohibitive in form, it was mandatory in substance:  “</w:t>
      </w:r>
      <w:r w:rsidRPr="00DA74CF">
        <w:t>It is an order compelling affirmative action on the part of the defendants</w:t>
      </w:r>
      <w:r>
        <w:t xml:space="preserve">.  </w:t>
      </w:r>
      <w:r w:rsidRPr="00DA74CF">
        <w:t>Inasmuch as Amelia Greenwood</w:t>
      </w:r>
      <w:r w:rsidR="0015010E">
        <w:t xml:space="preserve"> </w:t>
      </w:r>
      <w:r w:rsidRPr="00AE4749">
        <w:t>at the time of the issuance of the order</w:t>
      </w:r>
      <w:r w:rsidRPr="00DA74CF">
        <w:t xml:space="preserve"> was already in the employ of the defendants,</w:t>
      </w:r>
      <w:r w:rsidR="00B658EB">
        <w:t xml:space="preserve"> </w:t>
      </w:r>
      <w:r w:rsidRPr="00DA74CF">
        <w:t xml:space="preserve">and the very controversy arose out of the </w:t>
      </w:r>
      <w:r w:rsidRPr="00DA74CF">
        <w:lastRenderedPageBreak/>
        <w:t>continuance in employment of said Amelia Greenwood, it is apparent that the result intended to be accomplished by the issuance of said order was the compulsory release of said Amelia Greenwood from employment by the defendants. </w:t>
      </w:r>
      <w:r>
        <w:t xml:space="preserve"> </w:t>
      </w:r>
      <w:r w:rsidRPr="00DA74CF">
        <w:t>In short, the order directed and commanded the defendants to discharge said employee.</w:t>
      </w:r>
      <w:r>
        <w:t>”  (</w:t>
      </w:r>
      <w:r>
        <w:rPr>
          <w:i/>
          <w:iCs/>
        </w:rPr>
        <w:t>Id.</w:t>
      </w:r>
      <w:r>
        <w:t xml:space="preserve"> at p. 27, italics omitted; see also </w:t>
      </w:r>
      <w:r w:rsidRPr="007C48F5">
        <w:rPr>
          <w:i/>
          <w:iCs/>
        </w:rPr>
        <w:t xml:space="preserve">Agricultural Labor </w:t>
      </w:r>
      <w:r>
        <w:rPr>
          <w:i/>
          <w:iCs/>
        </w:rPr>
        <w:t xml:space="preserve">Relations </w:t>
      </w:r>
      <w:r w:rsidRPr="007C48F5">
        <w:rPr>
          <w:i/>
          <w:iCs/>
        </w:rPr>
        <w:t>Bd. v. Superior Court</w:t>
      </w:r>
      <w:r w:rsidRPr="007C48F5">
        <w:t> (1983) 149 Cal.App.3d 709, 71</w:t>
      </w:r>
      <w:r>
        <w:t xml:space="preserve">3 [order that agricultural employer discontinue replacement workers’ employment until all strikers were rehired was mandatory under </w:t>
      </w:r>
      <w:r>
        <w:rPr>
          <w:i/>
          <w:iCs/>
        </w:rPr>
        <w:t xml:space="preserve">Feinberg </w:t>
      </w:r>
      <w:r>
        <w:t>because it required employer “t</w:t>
      </w:r>
      <w:r w:rsidRPr="00286966">
        <w:t>o take affirmative action by terminating present employees</w:t>
      </w:r>
      <w:r>
        <w:t>”].)</w:t>
      </w:r>
    </w:p>
    <w:p w14:paraId="027EED17" w14:textId="094CD908" w:rsidR="00B700BC" w:rsidRPr="00E73B6B" w:rsidRDefault="00B700BC" w:rsidP="00B700BC">
      <w:pPr>
        <w:tabs>
          <w:tab w:val="left" w:pos="1440"/>
        </w:tabs>
        <w:ind w:firstLine="720"/>
      </w:pPr>
      <w:r>
        <w:t>Similarly, in cases involving contractual duties, the Courts of Appeal have deemed injunctions mandatory because they required the defendant to act contrary to her contractual obligations at the time the order was made, thereby altering the status quo.  (</w:t>
      </w:r>
      <w:r w:rsidRPr="00E73B6B">
        <w:rPr>
          <w:i/>
          <w:iCs/>
        </w:rPr>
        <w:t>Paramount Pictures Corp. v. Davis</w:t>
      </w:r>
      <w:r>
        <w:t xml:space="preserve">, </w:t>
      </w:r>
      <w:r w:rsidRPr="00D37330">
        <w:rPr>
          <w:i/>
          <w:iCs/>
        </w:rPr>
        <w:t>supra</w:t>
      </w:r>
      <w:r>
        <w:t xml:space="preserve">, </w:t>
      </w:r>
      <w:r w:rsidRPr="00E73B6B">
        <w:t xml:space="preserve">228 Cal.App.2d </w:t>
      </w:r>
      <w:r>
        <w:t>at p. 838 [order that actress Bette Davis appear for additional filming for Paramount while under contract to Aldrich for another film was a mandatory injunction; rather than “</w:t>
      </w:r>
      <w:r w:rsidRPr="00D168C0">
        <w:t>maintain the status quo as it existed at the time of its issuance</w:t>
      </w:r>
      <w:r>
        <w:t>,” the order “</w:t>
      </w:r>
      <w:r w:rsidRPr="00D168C0">
        <w:t>compels defendant to violate her contract with Aldrich and to surrender a status and rights lawfully held by her at the time the injunction issued</w:t>
      </w:r>
      <w:r>
        <w:t xml:space="preserve">”]; </w:t>
      </w:r>
      <w:r w:rsidRPr="00EF11E3">
        <w:rPr>
          <w:i/>
          <w:iCs/>
        </w:rPr>
        <w:t>Ambrose v. Alioto</w:t>
      </w:r>
      <w:r w:rsidRPr="00EF11E3">
        <w:t> (1944) 62 Cal.App.2d 680, 686</w:t>
      </w:r>
      <w:r>
        <w:t xml:space="preserve"> [where defendant had contract to deliver fish to one cannery, order that she deliver to another was mandatory in that it “</w:t>
      </w:r>
      <w:r w:rsidRPr="00EF11E3">
        <w:t xml:space="preserve">contemplates a change in the relative position or rights of the parties which existed </w:t>
      </w:r>
      <w:r w:rsidRPr="00AE4749">
        <w:t>at the time the decree was entered</w:t>
      </w:r>
      <w:r>
        <w:t>”</w:t>
      </w:r>
      <w:r w:rsidR="00902D7E">
        <w:t xml:space="preserve"> (italics omitted)</w:t>
      </w:r>
      <w:r>
        <w:t xml:space="preserve">]; see also </w:t>
      </w:r>
      <w:r w:rsidRPr="006854A5">
        <w:rPr>
          <w:i/>
          <w:iCs/>
        </w:rPr>
        <w:t>URS Corp. v. Atkinson/Walsh Joint Venture</w:t>
      </w:r>
      <w:r>
        <w:t xml:space="preserve">, </w:t>
      </w:r>
      <w:r w:rsidRPr="003E433A">
        <w:rPr>
          <w:i/>
          <w:iCs/>
        </w:rPr>
        <w:t>supra</w:t>
      </w:r>
      <w:r>
        <w:t xml:space="preserve">, </w:t>
      </w:r>
      <w:r w:rsidRPr="003E433A">
        <w:t>15</w:t>
      </w:r>
      <w:r w:rsidRPr="006854A5">
        <w:t xml:space="preserve"> Cal.App.5th </w:t>
      </w:r>
      <w:r>
        <w:t>at p. </w:t>
      </w:r>
      <w:r w:rsidRPr="006854A5">
        <w:t>884</w:t>
      </w:r>
      <w:r>
        <w:t xml:space="preserve"> [</w:t>
      </w:r>
      <w:r w:rsidRPr="006854A5">
        <w:t xml:space="preserve">order is prohibitory “ ‘if its effect is to leave the parties </w:t>
      </w:r>
      <w:r w:rsidRPr="006854A5">
        <w:lastRenderedPageBreak/>
        <w:t>in the same position as they were prior to the entry of the judgment’ ”</w:t>
      </w:r>
      <w:r>
        <w:t xml:space="preserve">]; </w:t>
      </w:r>
      <w:proofErr w:type="spellStart"/>
      <w:r w:rsidRPr="00134F29">
        <w:rPr>
          <w:i/>
          <w:iCs/>
        </w:rPr>
        <w:t>Dosch</w:t>
      </w:r>
      <w:proofErr w:type="spellEnd"/>
      <w:r w:rsidRPr="00134F29">
        <w:rPr>
          <w:i/>
          <w:iCs/>
        </w:rPr>
        <w:t xml:space="preserve"> v. King</w:t>
      </w:r>
      <w:r w:rsidRPr="00134F29">
        <w:t> (1961) 192 Cal.App.2d 800, 804</w:t>
      </w:r>
      <w:r>
        <w:t xml:space="preserve"> [order is mandatory if it “</w:t>
      </w:r>
      <w:r w:rsidRPr="00134F29">
        <w:t>contemplates a change in the relative rights of the parties at the time injunction is granted</w:t>
      </w:r>
      <w:r>
        <w:t xml:space="preserve">”].)  </w:t>
      </w:r>
    </w:p>
    <w:p w14:paraId="5A5A4859" w14:textId="016DDEF9" w:rsidR="00B700BC" w:rsidRPr="007D1048" w:rsidRDefault="00B700BC" w:rsidP="00B700BC">
      <w:pPr>
        <w:tabs>
          <w:tab w:val="left" w:pos="1440"/>
        </w:tabs>
        <w:ind w:firstLine="720"/>
      </w:pPr>
      <w:r>
        <w:t xml:space="preserve">In each case, the court considered whether the order was mandatory by reference to the position of the parties at the time </w:t>
      </w:r>
      <w:r w:rsidR="00B658EB">
        <w:t xml:space="preserve">the injunction </w:t>
      </w:r>
      <w:r>
        <w:t xml:space="preserve">was </w:t>
      </w:r>
      <w:proofErr w:type="gramStart"/>
      <w:r>
        <w:t>entered, and</w:t>
      </w:r>
      <w:proofErr w:type="gramEnd"/>
      <w:r>
        <w:t xml:space="preserve"> declined to require the defendant to take affirmative steps to remedy an adjudged violation of law until the correctness of the judgment had been considered on appeal.  </w:t>
      </w:r>
      <w:r w:rsidR="00DE4B5D">
        <w:t>In the general run of cases</w:t>
      </w:r>
      <w:r>
        <w:t>, this approach makes sense, given the doctrine’s overarching concern with avoiding injuries “from the premature enforcement of a determination which may later be found to have been wrong.”  (</w:t>
      </w:r>
      <w:r w:rsidRPr="00504CB8">
        <w:rPr>
          <w:i/>
          <w:iCs/>
        </w:rPr>
        <w:t>Scripps</w:t>
      </w:r>
      <w:r>
        <w:rPr>
          <w:i/>
          <w:iCs/>
        </w:rPr>
        <w:noBreakHyphen/>
      </w:r>
      <w:r w:rsidRPr="00504CB8">
        <w:rPr>
          <w:i/>
          <w:iCs/>
        </w:rPr>
        <w:t xml:space="preserve">Howard Radio v. </w:t>
      </w:r>
      <w:r>
        <w:rPr>
          <w:i/>
          <w:iCs/>
        </w:rPr>
        <w:t>Comm’n</w:t>
      </w:r>
      <w:r w:rsidR="00D3767E">
        <w:t>,</w:t>
      </w:r>
      <w:r>
        <w:t xml:space="preserve"> </w:t>
      </w:r>
      <w:r>
        <w:rPr>
          <w:i/>
          <w:iCs/>
        </w:rPr>
        <w:t>supra</w:t>
      </w:r>
      <w:r>
        <w:t xml:space="preserve">, </w:t>
      </w:r>
      <w:r w:rsidRPr="00551F13">
        <w:t xml:space="preserve">316 U.S. </w:t>
      </w:r>
      <w:r>
        <w:t>at p. </w:t>
      </w:r>
      <w:r w:rsidRPr="00551F13">
        <w:t>9</w:t>
      </w:r>
      <w:r>
        <w:t>.)  If the appeal is successful, freezing conditions from the time the injunction issues assures that the defendant will get the full benefit of his or her success and will not be compelled to take remedial steps the law never in fact required; if the appeal is unsuccessful, the plaintiff will typically be no worse off than if no appeal had been taken.</w:t>
      </w:r>
      <w:r>
        <w:rPr>
          <w:rStyle w:val="FootnoteReference"/>
        </w:rPr>
        <w:footnoteReference w:id="8"/>
      </w:r>
      <w:r>
        <w:t xml:space="preserve">  </w:t>
      </w:r>
    </w:p>
    <w:p w14:paraId="549652A1" w14:textId="77777777" w:rsidR="00B700BC" w:rsidRPr="00817148" w:rsidRDefault="00B700BC" w:rsidP="00B700BC">
      <w:pPr>
        <w:tabs>
          <w:tab w:val="left" w:pos="1440"/>
        </w:tabs>
        <w:ind w:firstLine="720"/>
      </w:pPr>
      <w:r>
        <w:t xml:space="preserve">In other cases, however, our cases have suggested a different point for measuring change in the parties’ relative positions.  We addressed this issue in </w:t>
      </w:r>
      <w:r w:rsidRPr="001973C3">
        <w:rPr>
          <w:i/>
          <w:iCs/>
        </w:rPr>
        <w:t>United Railroads v. Superior Court</w:t>
      </w:r>
      <w:r w:rsidRPr="001973C3">
        <w:rPr>
          <w:iCs/>
        </w:rPr>
        <w:t>,</w:t>
      </w:r>
      <w:r w:rsidRPr="001973C3">
        <w:rPr>
          <w:i/>
          <w:iCs/>
        </w:rPr>
        <w:t xml:space="preserve"> supra</w:t>
      </w:r>
      <w:r w:rsidRPr="001973C3">
        <w:t xml:space="preserve">, 172 Cal. </w:t>
      </w:r>
      <w:r>
        <w:t>80</w:t>
      </w:r>
      <w:r w:rsidRPr="001973C3">
        <w:t xml:space="preserve"> (</w:t>
      </w:r>
      <w:r w:rsidRPr="001973C3">
        <w:rPr>
          <w:i/>
          <w:iCs/>
        </w:rPr>
        <w:t>United Railroads</w:t>
      </w:r>
      <w:r w:rsidRPr="001973C3">
        <w:t>)</w:t>
      </w:r>
      <w:r>
        <w:t xml:space="preserve">.  In that case, </w:t>
      </w:r>
      <w:r w:rsidRPr="001973C3">
        <w:t xml:space="preserve">San Francisco had been operating its municipal street railway on facilities owned in part by United Railroads, which </w:t>
      </w:r>
      <w:r w:rsidRPr="001973C3">
        <w:lastRenderedPageBreak/>
        <w:t>claimed</w:t>
      </w:r>
      <w:r>
        <w:t xml:space="preserve"> the city was running more cars than their agreement</w:t>
      </w:r>
      <w:r w:rsidRPr="004235CE">
        <w:t xml:space="preserve"> </w:t>
      </w:r>
      <w:r>
        <w:t>allowed</w:t>
      </w:r>
      <w:r w:rsidRPr="001973C3">
        <w:t>.  (</w:t>
      </w:r>
      <w:r w:rsidRPr="00287C30">
        <w:rPr>
          <w:i/>
          <w:iCs/>
        </w:rPr>
        <w:t>Id</w:t>
      </w:r>
      <w:r>
        <w:t>.</w:t>
      </w:r>
      <w:r w:rsidRPr="001973C3">
        <w:t xml:space="preserve"> at pp. 81–82.)  United Railroads obtained a</w:t>
      </w:r>
      <w:r>
        <w:t xml:space="preserve">n </w:t>
      </w:r>
      <w:r w:rsidRPr="001973C3">
        <w:t xml:space="preserve">injunction </w:t>
      </w:r>
      <w:r w:rsidRPr="00AB5A9F">
        <w:t>pendente lite</w:t>
      </w:r>
      <w:r>
        <w:t xml:space="preserve"> </w:t>
      </w:r>
      <w:r w:rsidRPr="001973C3">
        <w:t>“requiring the defendant to desist and refrain from operating this excess number of cars upon the tracks and around the loops</w:t>
      </w:r>
      <w:r>
        <w:t xml:space="preserve">.”  </w:t>
      </w:r>
      <w:r w:rsidRPr="001973C3">
        <w:t>(</w:t>
      </w:r>
      <w:r w:rsidRPr="001973C3">
        <w:rPr>
          <w:i/>
          <w:iCs/>
        </w:rPr>
        <w:t>Id.</w:t>
      </w:r>
      <w:r w:rsidRPr="001973C3">
        <w:t xml:space="preserve"> at p. 82.)  </w:t>
      </w:r>
      <w:r>
        <w:t>San Francisco appealed, and the question arose whether the injunction was automatically stayed pending the appeal as a mandatory injunction.  (</w:t>
      </w:r>
      <w:r>
        <w:rPr>
          <w:i/>
          <w:iCs/>
        </w:rPr>
        <w:t>Ibid.</w:t>
      </w:r>
      <w:r>
        <w:t>)</w:t>
      </w:r>
    </w:p>
    <w:p w14:paraId="25ECC23B" w14:textId="45A350E0" w:rsidR="00B700BC" w:rsidRDefault="00B700BC" w:rsidP="00B700BC">
      <w:pPr>
        <w:tabs>
          <w:tab w:val="left" w:pos="1440"/>
        </w:tabs>
        <w:ind w:firstLine="720"/>
      </w:pPr>
      <w:r>
        <w:t>We answered no.  On its face, we noted, the injunction “</w:t>
      </w:r>
      <w:r w:rsidRPr="003B3559">
        <w:t>would appear to be an order to defendant to stop doing something, not to compel it to do something else, and no more mandatory in character than an order telling a man to desist from throwing his rubbish in his neighbor</w:t>
      </w:r>
      <w:r>
        <w:t>’</w:t>
      </w:r>
      <w:r w:rsidRPr="003B3559">
        <w:t>s vacant lot.</w:t>
      </w:r>
      <w:r>
        <w:t xml:space="preserve">”  </w:t>
      </w:r>
      <w:r w:rsidRPr="001973C3">
        <w:t>(</w:t>
      </w:r>
      <w:r w:rsidRPr="006355AD">
        <w:rPr>
          <w:i/>
          <w:iCs/>
        </w:rPr>
        <w:t>United Railroads</w:t>
      </w:r>
      <w:r>
        <w:t>,</w:t>
      </w:r>
      <w:r w:rsidRPr="006355AD" w:rsidDel="006355AD">
        <w:rPr>
          <w:i/>
          <w:iCs/>
        </w:rPr>
        <w:t xml:space="preserve"> </w:t>
      </w:r>
      <w:r w:rsidRPr="006355AD">
        <w:rPr>
          <w:i/>
          <w:iCs/>
        </w:rPr>
        <w:t>supra</w:t>
      </w:r>
      <w:r w:rsidRPr="008E4551">
        <w:t>,</w:t>
      </w:r>
      <w:r>
        <w:rPr>
          <w:i/>
          <w:iCs/>
        </w:rPr>
        <w:t xml:space="preserve"> </w:t>
      </w:r>
      <w:r w:rsidRPr="00AE4749">
        <w:t xml:space="preserve">172 Cal. </w:t>
      </w:r>
      <w:r w:rsidRPr="00CE7550">
        <w:t>at</w:t>
      </w:r>
      <w:r w:rsidRPr="001973C3">
        <w:t xml:space="preserve"> p. 84.)</w:t>
      </w:r>
      <w:r>
        <w:t xml:space="preserve">  But </w:t>
      </w:r>
      <w:r w:rsidRPr="001973C3">
        <w:t xml:space="preserve">San Francisco argued </w:t>
      </w:r>
      <w:r>
        <w:t>the injunction was “</w:t>
      </w:r>
      <w:r w:rsidRPr="001973C3">
        <w:t>mandatory in effect</w:t>
      </w:r>
      <w:r>
        <w:t>” (</w:t>
      </w:r>
      <w:r>
        <w:rPr>
          <w:i/>
          <w:iCs/>
        </w:rPr>
        <w:t>ibid.</w:t>
      </w:r>
      <w:r>
        <w:t>) because it compelled the city to give up a position held by right, “</w:t>
      </w:r>
      <w:r w:rsidRPr="00615ECD">
        <w:t>an interest in real property which can be enjoyed only by use, and the possession of which can be manifested only by running the cars over the tracks</w:t>
      </w:r>
      <w:r>
        <w:t>” (</w:t>
      </w:r>
      <w:r w:rsidR="00583F60" w:rsidRPr="00583F60">
        <w:rPr>
          <w:i/>
          <w:iCs/>
        </w:rPr>
        <w:t>i</w:t>
      </w:r>
      <w:r>
        <w:rPr>
          <w:i/>
          <w:iCs/>
        </w:rPr>
        <w:t>d</w:t>
      </w:r>
      <w:r>
        <w:t xml:space="preserve"> at p. 86)</w:t>
      </w:r>
      <w:r w:rsidR="00583F60">
        <w:t>.</w:t>
      </w:r>
      <w:r>
        <w:t xml:space="preserve">  San Francisco urged, that is, that maintaining the status quo during the pendency of the litigation required allowing the city to continue its disputed usage of the tracks.</w:t>
      </w:r>
    </w:p>
    <w:p w14:paraId="0717EA59" w14:textId="77777777" w:rsidR="0056625A" w:rsidRDefault="00B700BC" w:rsidP="00B700BC">
      <w:pPr>
        <w:tabs>
          <w:tab w:val="left" w:pos="1440"/>
        </w:tabs>
        <w:ind w:firstLine="720"/>
      </w:pPr>
      <w:r w:rsidRPr="001973C3">
        <w:t xml:space="preserve">We rejected </w:t>
      </w:r>
      <w:r>
        <w:t xml:space="preserve">San Francisco’s argument </w:t>
      </w:r>
      <w:r w:rsidRPr="001973C3">
        <w:t>as inconsistent with the principle</w:t>
      </w:r>
      <w:r>
        <w:t xml:space="preserve"> that</w:t>
      </w:r>
      <w:r w:rsidRPr="001973C3">
        <w:t xml:space="preserve"> equity may be invoked to prevent repeated trespasses</w:t>
      </w:r>
      <w:r>
        <w:t xml:space="preserve">.  </w:t>
      </w:r>
      <w:r w:rsidRPr="001973C3">
        <w:t>(</w:t>
      </w:r>
      <w:r w:rsidR="000C41FF" w:rsidRPr="000C41FF">
        <w:rPr>
          <w:i/>
          <w:iCs/>
        </w:rPr>
        <w:t>United Railroads</w:t>
      </w:r>
      <w:r w:rsidR="000C41FF">
        <w:t>,</w:t>
      </w:r>
      <w:r w:rsidRPr="001973C3">
        <w:t xml:space="preserve"> </w:t>
      </w:r>
      <w:r w:rsidR="000C41FF" w:rsidRPr="000C41FF">
        <w:rPr>
          <w:i/>
          <w:iCs/>
        </w:rPr>
        <w:t>supra</w:t>
      </w:r>
      <w:r w:rsidR="000C41FF">
        <w:t xml:space="preserve">, 172 Cal. </w:t>
      </w:r>
      <w:r w:rsidRPr="001973C3">
        <w:t xml:space="preserve">at </w:t>
      </w:r>
      <w:r>
        <w:t>p</w:t>
      </w:r>
      <w:r w:rsidRPr="001973C3">
        <w:t>p. </w:t>
      </w:r>
      <w:r>
        <w:t>86–</w:t>
      </w:r>
      <w:r w:rsidRPr="001973C3">
        <w:t>87</w:t>
      </w:r>
      <w:r>
        <w:t>.</w:t>
      </w:r>
      <w:r w:rsidRPr="001973C3">
        <w:t>)</w:t>
      </w:r>
      <w:r>
        <w:t xml:space="preserve">  We went on to add:  “T</w:t>
      </w:r>
      <w:r w:rsidRPr="00B10D0D">
        <w:t xml:space="preserve">here is no magic in the phrase </w:t>
      </w:r>
      <w:r>
        <w:t>‘</w:t>
      </w:r>
      <w:r w:rsidRPr="00B10D0D">
        <w:t>maintaining the</w:t>
      </w:r>
      <w:r w:rsidR="008B7A82">
        <w:t xml:space="preserve"> </w:t>
      </w:r>
      <w:r w:rsidRPr="00B10D0D">
        <w:rPr>
          <w:i/>
          <w:iCs/>
        </w:rPr>
        <w:t>status quo</w:t>
      </w:r>
      <w:r>
        <w:t>’</w:t>
      </w:r>
      <w:r w:rsidRPr="00B10D0D">
        <w:t xml:space="preserve"> which transforms an injunction essentially prohibitive into an injunction essentially mandatory. </w:t>
      </w:r>
      <w:r>
        <w:t xml:space="preserve"> </w:t>
      </w:r>
      <w:r w:rsidRPr="00B10D0D">
        <w:t xml:space="preserve">The phrase is commonly employed in discussing mandatory injunctions compelling the surrender of possession of realty by the actual peaceable occupant at the time the injunction has </w:t>
      </w:r>
      <w:r w:rsidRPr="00B10D0D">
        <w:lastRenderedPageBreak/>
        <w:t xml:space="preserve">been secured. </w:t>
      </w:r>
      <w:r>
        <w:t xml:space="preserve"> </w:t>
      </w:r>
      <w:r w:rsidRPr="00B10D0D">
        <w:t xml:space="preserve">Indeed, the phrase has been defined to mean </w:t>
      </w:r>
      <w:r>
        <w:t>‘</w:t>
      </w:r>
      <w:r w:rsidRPr="00B10D0D">
        <w:t>the last actual peaceable, uncontested status which preceded the pending controversy.</w:t>
      </w:r>
      <w:r>
        <w:t>’</w:t>
      </w:r>
      <w:r w:rsidRPr="00B10D0D">
        <w:t xml:space="preserve"> </w:t>
      </w:r>
      <w:r>
        <w:t xml:space="preserve"> </w:t>
      </w:r>
      <w:r w:rsidRPr="00B10D0D">
        <w:t>There was no such uncontested possession here.</w:t>
      </w:r>
      <w:r>
        <w:t xml:space="preserve">  </w:t>
      </w:r>
      <w:r w:rsidRPr="00E83C63">
        <w:t>It is undisputed that petitioner protested before beginning its action, protested vigorously against the misuse of its property, and only brought its action when its protests were disregarded.</w:t>
      </w:r>
      <w:r>
        <w:t>”  (</w:t>
      </w:r>
      <w:r>
        <w:rPr>
          <w:i/>
          <w:iCs/>
        </w:rPr>
        <w:t>Id.</w:t>
      </w:r>
      <w:r>
        <w:t xml:space="preserve"> at p. 87.)  We observed, finally, that there was no stopping point to San Francisco’s argument:  “</w:t>
      </w:r>
      <w:r w:rsidRPr="006E178A">
        <w:t>If this be a mandatory injunction,</w:t>
      </w:r>
      <w:r>
        <w:t xml:space="preserve"> </w:t>
      </w:r>
      <w:r w:rsidRPr="006E178A">
        <w:t>then must every injunction restraining waste and trespass be equally mandatory.</w:t>
      </w:r>
      <w:r>
        <w:t>”  (</w:t>
      </w:r>
      <w:r w:rsidR="000C41FF" w:rsidRPr="000C41FF">
        <w:rPr>
          <w:i/>
          <w:iCs/>
        </w:rPr>
        <w:t>Id.</w:t>
      </w:r>
      <w:r w:rsidR="000C41FF">
        <w:t xml:space="preserve"> </w:t>
      </w:r>
      <w:r>
        <w:t>at p. 90.)</w:t>
      </w:r>
    </w:p>
    <w:p w14:paraId="06E41FD0" w14:textId="6B04DBC8" w:rsidR="00B700BC" w:rsidRDefault="00B700BC" w:rsidP="00B700BC">
      <w:pPr>
        <w:tabs>
          <w:tab w:val="left" w:pos="1440"/>
        </w:tabs>
        <w:ind w:firstLine="720"/>
      </w:pPr>
      <w:r>
        <w:t>A</w:t>
      </w:r>
      <w:r w:rsidR="0056625A">
        <w:t xml:space="preserve"> concurring justice explained the matter succinctly:  </w:t>
      </w:r>
      <w:r>
        <w:t>“</w:t>
      </w:r>
      <w:r w:rsidRPr="00035B63">
        <w:t>The fact that the defendant had for some time been enjoying its asserted right to so run cars does not change the character of the order.</w:t>
      </w:r>
      <w:r>
        <w:t xml:space="preserve">  </w:t>
      </w:r>
      <w:r w:rsidRPr="00035B63">
        <w:t>If this were not so,</w:t>
      </w:r>
      <w:r w:rsidR="008B7A82">
        <w:t xml:space="preserve"> </w:t>
      </w:r>
      <w:r w:rsidRPr="00035B63">
        <w:t>almost any injunction against the</w:t>
      </w:r>
      <w:r w:rsidR="008B7A82">
        <w:t xml:space="preserve"> </w:t>
      </w:r>
      <w:r w:rsidRPr="00035B63">
        <w:t>doing of repeated acts would be mandatory if the performance of the acts had begun and been carried on for any considerable time prior to the application for the injunction.</w:t>
      </w:r>
      <w:r>
        <w:t>”  (</w:t>
      </w:r>
      <w:r w:rsidR="00861743" w:rsidRPr="00861743">
        <w:rPr>
          <w:i/>
          <w:iCs/>
        </w:rPr>
        <w:t>United Railroads</w:t>
      </w:r>
      <w:r w:rsidR="00861743">
        <w:t xml:space="preserve">, </w:t>
      </w:r>
      <w:r w:rsidR="00861743" w:rsidRPr="00861743">
        <w:rPr>
          <w:i/>
          <w:iCs/>
        </w:rPr>
        <w:t>supra</w:t>
      </w:r>
      <w:r w:rsidR="00861743">
        <w:t xml:space="preserve">, 172 Cal. </w:t>
      </w:r>
      <w:r>
        <w:t xml:space="preserve">at p. 91 (conc. </w:t>
      </w:r>
      <w:proofErr w:type="spellStart"/>
      <w:r>
        <w:t>opn</w:t>
      </w:r>
      <w:proofErr w:type="spellEnd"/>
      <w:r>
        <w:t xml:space="preserve">. of </w:t>
      </w:r>
      <w:proofErr w:type="spellStart"/>
      <w:r>
        <w:t>Sloss</w:t>
      </w:r>
      <w:proofErr w:type="spellEnd"/>
      <w:r>
        <w:t>,</w:t>
      </w:r>
      <w:r w:rsidR="00AD6BE7">
        <w:t> </w:t>
      </w:r>
      <w:r>
        <w:t>J.).)</w:t>
      </w:r>
    </w:p>
    <w:p w14:paraId="78A521E3" w14:textId="5F76639D" w:rsidR="00B700BC" w:rsidRDefault="0056625A" w:rsidP="00B700BC">
      <w:pPr>
        <w:tabs>
          <w:tab w:val="left" w:pos="1440"/>
        </w:tabs>
        <w:ind w:firstLine="720"/>
      </w:pPr>
      <w:r>
        <w:t xml:space="preserve">In this </w:t>
      </w:r>
      <w:r w:rsidR="00B700BC">
        <w:t>discussion</w:t>
      </w:r>
      <w:r>
        <w:t>, our opinion in</w:t>
      </w:r>
      <w:r w:rsidR="00B700BC">
        <w:t xml:space="preserve"> </w:t>
      </w:r>
      <w:r w:rsidR="00B700BC">
        <w:rPr>
          <w:i/>
          <w:iCs/>
        </w:rPr>
        <w:t>United Railroads</w:t>
      </w:r>
      <w:r w:rsidR="00B700BC">
        <w:t xml:space="preserve"> introduced a different baseline for measuring the status quo</w:t>
      </w:r>
      <w:r>
        <w:t>.  W</w:t>
      </w:r>
      <w:r w:rsidR="00B700BC">
        <w:t xml:space="preserve">e explained that the status quo relevant in that case was not that prevailing at the time of the injunction — </w:t>
      </w:r>
      <w:r w:rsidR="00B700BC" w:rsidRPr="00D277F5">
        <w:t>i.e</w:t>
      </w:r>
      <w:r w:rsidR="00B700BC">
        <w:rPr>
          <w:i/>
          <w:iCs/>
        </w:rPr>
        <w:t>.</w:t>
      </w:r>
      <w:r w:rsidR="00B700BC">
        <w:t>, when San Francisco had already begun its disputed use of the tracks and sought to keep going — but an earlier “ ‘</w:t>
      </w:r>
      <w:r w:rsidR="00B700BC" w:rsidRPr="00116B8D">
        <w:t>actual peaceable, uncontested status which preceded the pending controversy</w:t>
      </w:r>
      <w:r w:rsidR="00B700BC">
        <w:t>.’ ”  (</w:t>
      </w:r>
      <w:r w:rsidR="00B700BC" w:rsidRPr="007D1048">
        <w:rPr>
          <w:i/>
          <w:iCs/>
        </w:rPr>
        <w:t>United Railroads</w:t>
      </w:r>
      <w:r w:rsidR="00B700BC" w:rsidRPr="003D3291">
        <w:t>,</w:t>
      </w:r>
      <w:r w:rsidR="00B700BC" w:rsidRPr="007D1048">
        <w:rPr>
          <w:i/>
          <w:iCs/>
        </w:rPr>
        <w:t xml:space="preserve"> supra</w:t>
      </w:r>
      <w:r w:rsidR="00B700BC" w:rsidRPr="003D3291">
        <w:t>,</w:t>
      </w:r>
      <w:r w:rsidR="00B700BC" w:rsidRPr="007D1048">
        <w:rPr>
          <w:i/>
          <w:iCs/>
        </w:rPr>
        <w:t xml:space="preserve"> </w:t>
      </w:r>
      <w:r w:rsidR="00B700BC" w:rsidRPr="00AE4749">
        <w:t>172 Cal.</w:t>
      </w:r>
      <w:r w:rsidR="00B700BC">
        <w:rPr>
          <w:i/>
          <w:iCs/>
        </w:rPr>
        <w:t xml:space="preserve"> </w:t>
      </w:r>
      <w:r w:rsidR="00B700BC">
        <w:t xml:space="preserve">at p. 87.)  </w:t>
      </w:r>
      <w:r>
        <w:t>Courts have since repeated that formulation in other cases</w:t>
      </w:r>
      <w:r w:rsidR="00B700BC">
        <w:t xml:space="preserve">.  (See </w:t>
      </w:r>
      <w:r w:rsidR="00B700BC" w:rsidRPr="000B7325">
        <w:rPr>
          <w:i/>
          <w:iCs/>
        </w:rPr>
        <w:t>People v. Hill</w:t>
      </w:r>
      <w:r w:rsidR="00B700BC" w:rsidRPr="000B7325">
        <w:t> (1977) 66 Cal.App.3d 320</w:t>
      </w:r>
      <w:r w:rsidR="00B700BC">
        <w:t>, 331 [order restraining defendant from using certain allegedly deceptive professional terms in business held to preserve the status quo under</w:t>
      </w:r>
      <w:r w:rsidR="00B700BC">
        <w:rPr>
          <w:i/>
          <w:iCs/>
        </w:rPr>
        <w:t xml:space="preserve"> United Railroads </w:t>
      </w:r>
      <w:r w:rsidR="00B700BC">
        <w:lastRenderedPageBreak/>
        <w:t>formulation:  “</w:t>
      </w:r>
      <w:r w:rsidR="00B700BC" w:rsidRPr="000B7325">
        <w:t>The pleadings clearly indicate a long history of appellan</w:t>
      </w:r>
      <w:r w:rsidR="00B700BC">
        <w:t>t’</w:t>
      </w:r>
      <w:r w:rsidR="00B700BC" w:rsidRPr="000B7325">
        <w:t>s contested use of the words ‘accountant’ and ‘accountancy.’</w:t>
      </w:r>
      <w:r w:rsidR="00B700BC">
        <w:t xml:space="preserve"> </w:t>
      </w:r>
      <w:r w:rsidR="00B700BC" w:rsidRPr="000B7325">
        <w:t xml:space="preserve"> The status quo to be established is that which existed before appellant started using the prohibited words</w:t>
      </w:r>
      <w:r w:rsidR="00B700BC">
        <w:t>”].)</w:t>
      </w:r>
    </w:p>
    <w:p w14:paraId="7211EB90" w14:textId="152BC400" w:rsidR="00B700BC" w:rsidRDefault="00B700BC" w:rsidP="00B700BC">
      <w:pPr>
        <w:tabs>
          <w:tab w:val="left" w:pos="1440"/>
        </w:tabs>
        <w:ind w:firstLine="720"/>
      </w:pPr>
      <w:r>
        <w:rPr>
          <w:i/>
          <w:iCs/>
        </w:rPr>
        <w:t>United Railroads</w:t>
      </w:r>
      <w:r>
        <w:t xml:space="preserve"> </w:t>
      </w:r>
      <w:r w:rsidR="0056625A">
        <w:t xml:space="preserve">thus </w:t>
      </w:r>
      <w:r>
        <w:t>naturally raises the question where the proper baseline should be fixed</w:t>
      </w:r>
      <w:r w:rsidR="00433E08">
        <w:t>.</w:t>
      </w:r>
      <w:r>
        <w:t xml:space="preserve">  Should courts measure the status quo from the time the order is entered, as </w:t>
      </w:r>
      <w:r>
        <w:rPr>
          <w:i/>
          <w:iCs/>
        </w:rPr>
        <w:t>Foster</w:t>
      </w:r>
      <w:r>
        <w:t xml:space="preserve">, </w:t>
      </w:r>
      <w:r>
        <w:rPr>
          <w:i/>
          <w:iCs/>
        </w:rPr>
        <w:t>Clute</w:t>
      </w:r>
      <w:r>
        <w:t xml:space="preserve"> and other cases hold, or instead from the “</w:t>
      </w:r>
      <w:r w:rsidR="000C41FF">
        <w:t> ‘</w:t>
      </w:r>
      <w:r>
        <w:t>last actual peaceable</w:t>
      </w:r>
      <w:r w:rsidR="000C41FF">
        <w:t>, uncontested</w:t>
      </w:r>
      <w:r>
        <w:t xml:space="preserve"> status which preceded the pending controversy</w:t>
      </w:r>
      <w:r w:rsidR="000C41FF">
        <w:t>’ </w:t>
      </w:r>
      <w:r>
        <w:t>” (</w:t>
      </w:r>
      <w:r>
        <w:rPr>
          <w:i/>
          <w:iCs/>
        </w:rPr>
        <w:t>United Railroads</w:t>
      </w:r>
      <w:r>
        <w:t xml:space="preserve">, </w:t>
      </w:r>
      <w:r>
        <w:rPr>
          <w:i/>
          <w:iCs/>
        </w:rPr>
        <w:t>supra</w:t>
      </w:r>
      <w:r>
        <w:t xml:space="preserve">, 172 Cal. at p. 87)?  </w:t>
      </w:r>
    </w:p>
    <w:p w14:paraId="3486D4F2" w14:textId="7BF789A5" w:rsidR="00B700BC" w:rsidRDefault="00433E08" w:rsidP="00B700BC">
      <w:pPr>
        <w:tabs>
          <w:tab w:val="left" w:pos="1440"/>
        </w:tabs>
        <w:ind w:firstLine="720"/>
      </w:pPr>
      <w:r>
        <w:t xml:space="preserve">To answer the question </w:t>
      </w:r>
      <w:r w:rsidR="00B700BC">
        <w:t xml:space="preserve">requires us to consider the particular circumstance addressed in </w:t>
      </w:r>
      <w:r w:rsidR="00B700BC">
        <w:rPr>
          <w:i/>
          <w:iCs/>
        </w:rPr>
        <w:t>United Railroads</w:t>
      </w:r>
      <w:r w:rsidR="00B700BC">
        <w:t xml:space="preserve">.  Our decision in that case recognizes that in some instances, an injunction that is essentially prohibitory in nature may involve some adjustment of the parties’ respective rights to ensure the defendant desists from a pattern of unlawful conduct.  This is bound to be true when the defendant attempts to convert its </w:t>
      </w:r>
      <w:r w:rsidR="001461A5">
        <w:t xml:space="preserve">contested </w:t>
      </w:r>
      <w:r w:rsidR="00B700BC">
        <w:t xml:space="preserve">conduct into something resembling a property right, as San Francisco did when it insisted on continuing to run excess trains on </w:t>
      </w:r>
      <w:r w:rsidR="000854AC">
        <w:t xml:space="preserve">the </w:t>
      </w:r>
      <w:r w:rsidR="00B700BC">
        <w:t xml:space="preserve">plaintiff’s tracks.  The </w:t>
      </w:r>
      <w:r w:rsidR="00672907">
        <w:rPr>
          <w:i/>
          <w:iCs/>
        </w:rPr>
        <w:t xml:space="preserve">United Railroads </w:t>
      </w:r>
      <w:r w:rsidR="00B700BC">
        <w:t>decision makes clear that an injunction preventing the defendant from committing additional violations of the law may not be recharacterized as mandatory merely because it requires the defendant to abandon a course of repeated conduct as to which the defendant asserts a right of some sort.  In such cases, the essentially prohibitory character of the order can be seen more clearly by measuring the status quo from the time before the contested conduct began.</w:t>
      </w:r>
    </w:p>
    <w:p w14:paraId="33A41577" w14:textId="62687999" w:rsidR="00B700BC" w:rsidRPr="00D321A0" w:rsidRDefault="00B700BC" w:rsidP="00B700BC">
      <w:pPr>
        <w:tabs>
          <w:tab w:val="left" w:pos="1440"/>
        </w:tabs>
        <w:ind w:firstLine="720"/>
      </w:pPr>
      <w:r>
        <w:t xml:space="preserve">But </w:t>
      </w:r>
      <w:r>
        <w:rPr>
          <w:i/>
          <w:iCs/>
        </w:rPr>
        <w:t>United Railroads</w:t>
      </w:r>
      <w:r>
        <w:t xml:space="preserve"> did not address an order like the ones issued in </w:t>
      </w:r>
      <w:r>
        <w:rPr>
          <w:i/>
          <w:iCs/>
        </w:rPr>
        <w:t>Clute</w:t>
      </w:r>
      <w:r>
        <w:t xml:space="preserve"> or </w:t>
      </w:r>
      <w:r>
        <w:rPr>
          <w:i/>
          <w:iCs/>
        </w:rPr>
        <w:t>Paramount Pictures</w:t>
      </w:r>
      <w:r>
        <w:t xml:space="preserve">, in which the </w:t>
      </w:r>
      <w:r>
        <w:lastRenderedPageBreak/>
        <w:t xml:space="preserve">injunctive order aims not to prevent injury from future conduct but instead offers a remedy for a past violation.  To the extent a remedial order calls for the performance of an affirmative act — ripping out a </w:t>
      </w:r>
      <w:r w:rsidR="001461A5">
        <w:t xml:space="preserve">building or other improvement </w:t>
      </w:r>
      <w:r>
        <w:t>(</w:t>
      </w:r>
      <w:proofErr w:type="spellStart"/>
      <w:r>
        <w:rPr>
          <w:i/>
          <w:iCs/>
        </w:rPr>
        <w:t>Kettenhofen</w:t>
      </w:r>
      <w:proofErr w:type="spellEnd"/>
      <w:r>
        <w:rPr>
          <w:i/>
          <w:iCs/>
        </w:rPr>
        <w:t xml:space="preserve"> v. Superior Court</w:t>
      </w:r>
      <w:r>
        <w:t xml:space="preserve">, </w:t>
      </w:r>
      <w:r>
        <w:rPr>
          <w:i/>
          <w:iCs/>
        </w:rPr>
        <w:t>supra</w:t>
      </w:r>
      <w:r>
        <w:t>, 55 Cal.2d at pp. 190–191), say, or firing one worker and rehiring another (</w:t>
      </w:r>
      <w:r w:rsidRPr="007C48F5">
        <w:rPr>
          <w:i/>
          <w:iCs/>
        </w:rPr>
        <w:t xml:space="preserve">Agricultural Labor </w:t>
      </w:r>
      <w:r>
        <w:rPr>
          <w:i/>
          <w:iCs/>
        </w:rPr>
        <w:t xml:space="preserve">Relations </w:t>
      </w:r>
      <w:r w:rsidRPr="007C48F5">
        <w:rPr>
          <w:i/>
          <w:iCs/>
        </w:rPr>
        <w:t>Bd. v. Superior Court</w:t>
      </w:r>
      <w:r>
        <w:t xml:space="preserve">, </w:t>
      </w:r>
      <w:r>
        <w:rPr>
          <w:i/>
          <w:iCs/>
        </w:rPr>
        <w:t>supra</w:t>
      </w:r>
      <w:r>
        <w:t xml:space="preserve">, </w:t>
      </w:r>
      <w:r w:rsidRPr="007C48F5">
        <w:t xml:space="preserve">149 Cal.App.3d </w:t>
      </w:r>
      <w:r>
        <w:t>at p. </w:t>
      </w:r>
      <w:r w:rsidRPr="007C48F5">
        <w:t>71</w:t>
      </w:r>
      <w:r>
        <w:t xml:space="preserve">3) — our cases have not understood </w:t>
      </w:r>
      <w:r>
        <w:rPr>
          <w:i/>
          <w:iCs/>
        </w:rPr>
        <w:t>United Railroads</w:t>
      </w:r>
      <w:r>
        <w:t xml:space="preserve"> to mean the order is merely prohibitory, and therefore enforceable while an appeal is pending, because it would return the parties to the “</w:t>
      </w:r>
      <w:r w:rsidR="000C41FF">
        <w:t> ‘</w:t>
      </w:r>
      <w:r>
        <w:t>last actual peaceable, uncontested status</w:t>
      </w:r>
      <w:r w:rsidR="000C41FF">
        <w:t>’ </w:t>
      </w:r>
      <w:r>
        <w:t>” that existed before the property dispute ever arose.  (</w:t>
      </w:r>
      <w:r>
        <w:rPr>
          <w:i/>
          <w:iCs/>
        </w:rPr>
        <w:t>United Railroads</w:t>
      </w:r>
      <w:r>
        <w:t xml:space="preserve">, </w:t>
      </w:r>
      <w:r>
        <w:rPr>
          <w:i/>
          <w:iCs/>
        </w:rPr>
        <w:t>supra</w:t>
      </w:r>
      <w:r>
        <w:t>, 172 Cal. at p. 87.)  Our cases have instead adhered to the rule that such orders are mandatory, and thus automatically stayed while an appellate court determines whether the order is legally correct.</w:t>
      </w:r>
    </w:p>
    <w:p w14:paraId="38D84FFF" w14:textId="77777777" w:rsidR="00B700BC" w:rsidRPr="001973C3" w:rsidRDefault="00B700BC" w:rsidP="00B700BC">
      <w:pPr>
        <w:pStyle w:val="Heading2"/>
        <w:tabs>
          <w:tab w:val="clear" w:pos="1152"/>
        </w:tabs>
        <w:spacing w:before="0" w:line="400" w:lineRule="exact"/>
        <w:ind w:left="0" w:firstLine="0"/>
        <w:jc w:val="center"/>
      </w:pPr>
      <w:r>
        <w:t>B.</w:t>
      </w:r>
    </w:p>
    <w:p w14:paraId="5D81B457" w14:textId="77777777" w:rsidR="00B700BC" w:rsidRDefault="00B700BC" w:rsidP="00B700BC">
      <w:pPr>
        <w:tabs>
          <w:tab w:val="left" w:pos="1440"/>
        </w:tabs>
        <w:ind w:firstLine="720"/>
      </w:pPr>
      <w:r>
        <w:t>With these principles and precedents in mind, we turn to the proper characterization of the order in this case.</w:t>
      </w:r>
    </w:p>
    <w:p w14:paraId="53F04B1D" w14:textId="77777777" w:rsidR="00B700BC" w:rsidRDefault="00B700BC" w:rsidP="00B700BC">
      <w:pPr>
        <w:tabs>
          <w:tab w:val="left" w:pos="1440"/>
        </w:tabs>
        <w:ind w:firstLine="720"/>
      </w:pPr>
      <w:r>
        <w:t>On its face, the superior court’s order that the Board “[r]</w:t>
      </w:r>
      <w:proofErr w:type="spellStart"/>
      <w:r w:rsidRPr="004721CE">
        <w:t>escind</w:t>
      </w:r>
      <w:proofErr w:type="spellEnd"/>
      <w:r w:rsidRPr="004721CE">
        <w:t xml:space="preserve"> the appointment of Rowe as Third District Supervisor</w:t>
      </w:r>
      <w:r>
        <w:t>” and “[</w:t>
      </w:r>
      <w:proofErr w:type="spellStart"/>
      <w:r>
        <w:t>i</w:t>
      </w:r>
      <w:proofErr w:type="spellEnd"/>
      <w:r>
        <w:t>]</w:t>
      </w:r>
      <w:proofErr w:type="spellStart"/>
      <w:r w:rsidRPr="004721CE">
        <w:t>mmediately</w:t>
      </w:r>
      <w:proofErr w:type="spellEnd"/>
      <w:r w:rsidRPr="004721CE">
        <w:t xml:space="preserve"> seat any person duly appointed to the position of Third District Supervisor by the Governor”</w:t>
      </w:r>
      <w:r>
        <w:t xml:space="preserve"> fits the description of a mandatory injunction.  Although it is true that in some cases an order that appears facially mandatory may prove to be prohibitory “in essence and effect” (</w:t>
      </w:r>
      <w:proofErr w:type="spellStart"/>
      <w:r>
        <w:rPr>
          <w:i/>
          <w:iCs/>
        </w:rPr>
        <w:t>Kettenhofen</w:t>
      </w:r>
      <w:proofErr w:type="spellEnd"/>
      <w:r>
        <w:rPr>
          <w:i/>
          <w:iCs/>
        </w:rPr>
        <w:t xml:space="preserve"> v. Superior Court</w:t>
      </w:r>
      <w:r>
        <w:t xml:space="preserve">, </w:t>
      </w:r>
      <w:r>
        <w:rPr>
          <w:i/>
          <w:iCs/>
        </w:rPr>
        <w:t>supra</w:t>
      </w:r>
      <w:r>
        <w:t xml:space="preserve">, 55 Cal.2d at p. 191), this is not such a case.  What the order says on its face is also what it does in practice:  namely, require the Board to perform affirmative acts that, once performed, will change the relative position of the </w:t>
      </w:r>
      <w:r>
        <w:lastRenderedPageBreak/>
        <w:t xml:space="preserve">parties by ousting Rowe from her position so that a replacement can be seated.  </w:t>
      </w:r>
    </w:p>
    <w:p w14:paraId="447E8BC0" w14:textId="5D0DC9C2" w:rsidR="00B700BC" w:rsidRDefault="00B700BC" w:rsidP="00B700BC">
      <w:pPr>
        <w:tabs>
          <w:tab w:val="left" w:pos="1440"/>
        </w:tabs>
        <w:ind w:firstLine="720"/>
      </w:pPr>
      <w:r>
        <w:t>Resisting this conclusion, p</w:t>
      </w:r>
      <w:r w:rsidR="002343D0">
        <w:t>laintiffs</w:t>
      </w:r>
      <w:r>
        <w:t xml:space="preserve"> offer a series of arguments for characterizing the order as merely prohibitory in nature.  They first briefly argue that the facially mandatory aspects of the superior court’s judgment — ousting Rowe and seating her replacement — were merely incidental to parts of the judgment declaring Rowe’s appointment </w:t>
      </w:r>
      <w:proofErr w:type="gramStart"/>
      <w:r>
        <w:t>null and void</w:t>
      </w:r>
      <w:proofErr w:type="gramEnd"/>
      <w:r>
        <w:t xml:space="preserve"> as a violation of the Brown Act, barring her from participating in Board meetings or actions, and restraining the Board from making any other appointment to the position.  P</w:t>
      </w:r>
      <w:r w:rsidR="002343D0">
        <w:t>laintiffs</w:t>
      </w:r>
      <w:r>
        <w:t xml:space="preserve">’ argument draws on our observation in </w:t>
      </w:r>
      <w:r w:rsidRPr="00575ADF">
        <w:rPr>
          <w:i/>
          <w:iCs/>
        </w:rPr>
        <w:t>United Railroads</w:t>
      </w:r>
      <w:r>
        <w:t xml:space="preserve">, </w:t>
      </w:r>
      <w:r>
        <w:rPr>
          <w:i/>
          <w:iCs/>
        </w:rPr>
        <w:t>supra</w:t>
      </w:r>
      <w:r>
        <w:t xml:space="preserve">, </w:t>
      </w:r>
      <w:r w:rsidRPr="00575ADF">
        <w:t xml:space="preserve">172 Cal. </w:t>
      </w:r>
      <w:r>
        <w:t>at page</w:t>
      </w:r>
      <w:r w:rsidRPr="00575ADF">
        <w:t xml:space="preserve"> 88</w:t>
      </w:r>
      <w:r>
        <w:t>, that “</w:t>
      </w:r>
      <w:r w:rsidRPr="00575ADF">
        <w:t xml:space="preserve">the character of a prohibitive injunction </w:t>
      </w:r>
      <w:r>
        <w:t>[is]</w:t>
      </w:r>
      <w:r w:rsidRPr="00575ADF">
        <w:t xml:space="preserve"> not transformed and made mandatory because it incidentally involved the doing of an affirmative act</w:t>
      </w:r>
      <w:r>
        <w:t xml:space="preserve">.”  The observation in </w:t>
      </w:r>
      <w:r>
        <w:rPr>
          <w:i/>
          <w:iCs/>
        </w:rPr>
        <w:t>United Railroads</w:t>
      </w:r>
      <w:r>
        <w:t xml:space="preserve"> </w:t>
      </w:r>
      <w:r w:rsidR="006807C6">
        <w:t>remains</w:t>
      </w:r>
      <w:r>
        <w:t xml:space="preserve"> true, as far as it goes.  For example, an order prohibiting a defendant from using a particular trade name might incidentally require the defendant to remove the name from its signage; the incidental steps required to take the trade name out of circulation does not convert what is essentially a prohibitory injunction into a mandatory one.  (See </w:t>
      </w:r>
      <w:r w:rsidRPr="003D02C9">
        <w:rPr>
          <w:i/>
          <w:iCs/>
        </w:rPr>
        <w:t xml:space="preserve">Jaynes v. </w:t>
      </w:r>
      <w:proofErr w:type="spellStart"/>
      <w:r w:rsidRPr="003D02C9">
        <w:rPr>
          <w:i/>
          <w:iCs/>
        </w:rPr>
        <w:t>Weickman</w:t>
      </w:r>
      <w:proofErr w:type="spellEnd"/>
      <w:r w:rsidRPr="003D02C9">
        <w:t xml:space="preserve"> (1921) 51 </w:t>
      </w:r>
      <w:proofErr w:type="spellStart"/>
      <w:r w:rsidRPr="003D02C9">
        <w:t>Cal.App</w:t>
      </w:r>
      <w:proofErr w:type="spellEnd"/>
      <w:r w:rsidRPr="003D02C9">
        <w:t>. 696,</w:t>
      </w:r>
      <w:r>
        <w:t xml:space="preserve"> 699–700; see also </w:t>
      </w:r>
      <w:r w:rsidRPr="003D02C9">
        <w:rPr>
          <w:i/>
          <w:iCs/>
        </w:rPr>
        <w:t>People v. Mobile Magic Sales, Inc.</w:t>
      </w:r>
      <w:r w:rsidRPr="003D02C9">
        <w:t> (1979) 96 Cal.App.3d 1, 5</w:t>
      </w:r>
      <w:r>
        <w:t xml:space="preserve"> [</w:t>
      </w:r>
      <w:r w:rsidRPr="003D02C9">
        <w:t xml:space="preserve">defendant was ordered to </w:t>
      </w:r>
      <w:r>
        <w:t xml:space="preserve">refrain from </w:t>
      </w:r>
      <w:r w:rsidRPr="003D02C9">
        <w:t>display</w:t>
      </w:r>
      <w:r>
        <w:t>ing</w:t>
      </w:r>
      <w:r w:rsidRPr="003D02C9">
        <w:t xml:space="preserve"> </w:t>
      </w:r>
      <w:proofErr w:type="spellStart"/>
      <w:r w:rsidRPr="003D02C9">
        <w:t>mobilehome</w:t>
      </w:r>
      <w:proofErr w:type="spellEnd"/>
      <w:r w:rsidRPr="003D02C9">
        <w:t xml:space="preserve"> models for sale at a </w:t>
      </w:r>
      <w:proofErr w:type="spellStart"/>
      <w:r w:rsidRPr="003D02C9">
        <w:t>mobilehome</w:t>
      </w:r>
      <w:proofErr w:type="spellEnd"/>
      <w:r w:rsidRPr="003D02C9">
        <w:t xml:space="preserve"> </w:t>
      </w:r>
      <w:r>
        <w:t xml:space="preserve">park; requiring the defendant to </w:t>
      </w:r>
      <w:r w:rsidRPr="003D02C9">
        <w:t xml:space="preserve">remove </w:t>
      </w:r>
      <w:r>
        <w:t xml:space="preserve">the </w:t>
      </w:r>
      <w:proofErr w:type="spellStart"/>
      <w:r>
        <w:t>mobilehomes</w:t>
      </w:r>
      <w:proofErr w:type="spellEnd"/>
      <w:r>
        <w:t xml:space="preserve"> currently on display did not render the injunction mandatory].)  But here, the requirement to remove Rowe from the Third District </w:t>
      </w:r>
      <w:r w:rsidR="00583F60">
        <w:t>s</w:t>
      </w:r>
      <w:r>
        <w:t xml:space="preserve">upervisor position and seat the Governor’s replacement cannot plausibly be described as merely incidental to other aspects of the order; it was not a necessary means to a prohibitory end, but </w:t>
      </w:r>
      <w:r>
        <w:lastRenderedPageBreak/>
        <w:t>the end in itself.</w:t>
      </w:r>
      <w:r>
        <w:rPr>
          <w:rStyle w:val="FootnoteReference"/>
        </w:rPr>
        <w:footnoteReference w:id="9"/>
      </w:r>
      <w:r>
        <w:t xml:space="preserve">  Under the circumstances, any prohibitory elements in the order might better be described as incidental to the mandatory, rather than vice versa.</w:t>
      </w:r>
      <w:r>
        <w:rPr>
          <w:rStyle w:val="FootnoteReference"/>
        </w:rPr>
        <w:footnoteReference w:id="10"/>
      </w:r>
    </w:p>
    <w:p w14:paraId="45C41406" w14:textId="1F7F7AD5" w:rsidR="00B700BC" w:rsidRDefault="00B700BC" w:rsidP="00B700BC">
      <w:pPr>
        <w:tabs>
          <w:tab w:val="left" w:pos="1440"/>
        </w:tabs>
        <w:ind w:firstLine="720"/>
      </w:pPr>
      <w:r>
        <w:t>P</w:t>
      </w:r>
      <w:r w:rsidR="002343D0">
        <w:t>laintiffs</w:t>
      </w:r>
      <w:r>
        <w:t xml:space="preserve">’ second and more central contention is that rescission of Rowe’s appointment merely returns the parties to the positions they occupied before the Board engaged in the challenged appointment process, consistent with the teaching of </w:t>
      </w:r>
      <w:r>
        <w:rPr>
          <w:i/>
          <w:iCs/>
        </w:rPr>
        <w:t>United Railroads.</w:t>
      </w:r>
      <w:r>
        <w:t xml:space="preserve">  Of course, a true return to </w:t>
      </w:r>
      <w:proofErr w:type="spellStart"/>
      <w:r>
        <w:t>precontroversy</w:t>
      </w:r>
      <w:proofErr w:type="spellEnd"/>
      <w:r>
        <w:t xml:space="preserve"> conditions presumably would leave the Board free to make a new appointment rather than being compelled to accept a replacement named by the Governor.  But </w:t>
      </w:r>
      <w:r w:rsidR="006807C6">
        <w:t xml:space="preserve">even setting </w:t>
      </w:r>
      <w:r>
        <w:t>that point aside, we reject p</w:t>
      </w:r>
      <w:r w:rsidR="002343D0">
        <w:t>laintiffs</w:t>
      </w:r>
      <w:r>
        <w:t xml:space="preserve">’ argument as inconsistent with California law concerning stays of injunction pending appeal. </w:t>
      </w:r>
    </w:p>
    <w:p w14:paraId="0E410AC4" w14:textId="3BC824D4" w:rsidR="00B700BC" w:rsidRDefault="00B700BC" w:rsidP="00B700BC">
      <w:pPr>
        <w:tabs>
          <w:tab w:val="left" w:pos="1440"/>
        </w:tabs>
        <w:ind w:firstLine="720"/>
      </w:pPr>
      <w:r>
        <w:t xml:space="preserve">As we have explained, </w:t>
      </w:r>
      <w:r>
        <w:rPr>
          <w:i/>
          <w:iCs/>
        </w:rPr>
        <w:t>United Railroads</w:t>
      </w:r>
      <w:r>
        <w:t xml:space="preserve"> addressed situations in which the injunction being appealed restrains the defendant from repeating its unlawful conduct, while simultaneously requiring some adjustment of the parties’ </w:t>
      </w:r>
      <w:r>
        <w:lastRenderedPageBreak/>
        <w:t xml:space="preserve">respective rights, such as an abridgment of the defendant’s claimed property right in continuing its challenged conduct.  (See pt. II.A., </w:t>
      </w:r>
      <w:r w:rsidRPr="00376DD0">
        <w:rPr>
          <w:i/>
          <w:iCs/>
        </w:rPr>
        <w:t>ante</w:t>
      </w:r>
      <w:r>
        <w:t xml:space="preserve">; </w:t>
      </w:r>
      <w:r w:rsidRPr="00376DD0">
        <w:rPr>
          <w:i/>
          <w:iCs/>
        </w:rPr>
        <w:t>United</w:t>
      </w:r>
      <w:r w:rsidRPr="00384E1D">
        <w:rPr>
          <w:i/>
          <w:iCs/>
        </w:rPr>
        <w:t xml:space="preserve"> Railroads</w:t>
      </w:r>
      <w:r w:rsidRPr="00384E1D">
        <w:t xml:space="preserve">, </w:t>
      </w:r>
      <w:r w:rsidRPr="00384E1D">
        <w:rPr>
          <w:i/>
          <w:iCs/>
        </w:rPr>
        <w:t>supra</w:t>
      </w:r>
      <w:r w:rsidRPr="00384E1D">
        <w:t>, 172 Cal. at p.</w:t>
      </w:r>
      <w:r>
        <w:t> </w:t>
      </w:r>
      <w:r w:rsidRPr="00384E1D">
        <w:t xml:space="preserve">91 (conc. </w:t>
      </w:r>
      <w:proofErr w:type="spellStart"/>
      <w:r w:rsidRPr="00384E1D">
        <w:t>opn</w:t>
      </w:r>
      <w:proofErr w:type="spellEnd"/>
      <w:r w:rsidRPr="00384E1D">
        <w:t xml:space="preserve">. of </w:t>
      </w:r>
      <w:proofErr w:type="spellStart"/>
      <w:r w:rsidRPr="00384E1D">
        <w:t>Sloss</w:t>
      </w:r>
      <w:proofErr w:type="spellEnd"/>
      <w:r w:rsidRPr="00384E1D">
        <w:t>, J.</w:t>
      </w:r>
      <w:r>
        <w:t xml:space="preserve">); accord, </w:t>
      </w:r>
      <w:r w:rsidRPr="009515E3">
        <w:rPr>
          <w:i/>
          <w:iCs/>
        </w:rPr>
        <w:t xml:space="preserve">Jaynes v. </w:t>
      </w:r>
      <w:proofErr w:type="spellStart"/>
      <w:r w:rsidRPr="009515E3">
        <w:rPr>
          <w:i/>
          <w:iCs/>
        </w:rPr>
        <w:t>Weickman</w:t>
      </w:r>
      <w:proofErr w:type="spellEnd"/>
      <w:r>
        <w:t xml:space="preserve">, </w:t>
      </w:r>
      <w:r w:rsidRPr="003E5184">
        <w:rPr>
          <w:i/>
          <w:iCs/>
        </w:rPr>
        <w:t>supra</w:t>
      </w:r>
      <w:r>
        <w:t xml:space="preserve">, </w:t>
      </w:r>
      <w:r w:rsidRPr="009515E3">
        <w:t xml:space="preserve">51 </w:t>
      </w:r>
      <w:proofErr w:type="spellStart"/>
      <w:r w:rsidRPr="009515E3">
        <w:t>Cal.App</w:t>
      </w:r>
      <w:proofErr w:type="spellEnd"/>
      <w:r w:rsidRPr="009515E3">
        <w:t xml:space="preserve">. </w:t>
      </w:r>
      <w:r>
        <w:t>at p. </w:t>
      </w:r>
      <w:r w:rsidRPr="009515E3">
        <w:t>699</w:t>
      </w:r>
      <w:r>
        <w:t xml:space="preserve"> [citing </w:t>
      </w:r>
      <w:r>
        <w:rPr>
          <w:i/>
          <w:iCs/>
        </w:rPr>
        <w:t xml:space="preserve">United Railroads </w:t>
      </w:r>
      <w:r>
        <w:t>for the proposition that “[a]</w:t>
      </w:r>
      <w:r w:rsidRPr="009515E3">
        <w:t>n injunction that restrains the continuance of an act or series of acts may be just as much a preventive or prohibitory injunction as one that restrains the commission of an act</w:t>
      </w:r>
      <w:r>
        <w:t xml:space="preserve">”].)  That is not the situation here.  The order on appeal here required the Board not to refrain from repeating its Brown Act violation, but rather to take affirmative action to undo the violation’s effect, that is, to rescind Rowe’s appointment and to seat another in her place.  </w:t>
      </w:r>
    </w:p>
    <w:p w14:paraId="7046B9D9" w14:textId="4974E5AE" w:rsidR="00B700BC" w:rsidRDefault="00B700BC" w:rsidP="00B700BC">
      <w:pPr>
        <w:tabs>
          <w:tab w:val="left" w:pos="1440"/>
        </w:tabs>
        <w:ind w:firstLine="720"/>
      </w:pPr>
      <w:r>
        <w:t xml:space="preserve">Like other injunctions our courts have deemed mandatory, the order that the Board replace Rowe with a gubernatorial appointment goes beyond restraint to demand affirmative acts, changing the status quo at the time the injunction was issued.  In </w:t>
      </w:r>
      <w:r w:rsidRPr="00652DD2">
        <w:rPr>
          <w:i/>
          <w:iCs/>
        </w:rPr>
        <w:t>Foster</w:t>
      </w:r>
      <w:r w:rsidRPr="00D277F5">
        <w:t>,</w:t>
      </w:r>
      <w:r w:rsidRPr="00652DD2">
        <w:rPr>
          <w:i/>
          <w:iCs/>
        </w:rPr>
        <w:t xml:space="preserve"> supra</w:t>
      </w:r>
      <w:r w:rsidRPr="00652DD2">
        <w:t>, 115 Cal.</w:t>
      </w:r>
      <w:r>
        <w:t xml:space="preserve"> at page 281, for example, the trial court found one candidate, Smith, to have been elected to a corporate board and ordered the board president not to interfere with his exercise of the office.  We held that the order, “[a]</w:t>
      </w:r>
      <w:proofErr w:type="spellStart"/>
      <w:r w:rsidRPr="005B475B">
        <w:t>lthough</w:t>
      </w:r>
      <w:proofErr w:type="spellEnd"/>
      <w:r w:rsidRPr="005B475B">
        <w:t xml:space="preserve"> preventive in form, </w:t>
      </w:r>
      <w:r w:rsidR="002E2E27">
        <w:t>. . .</w:t>
      </w:r>
      <w:r w:rsidRPr="005B475B">
        <w:t xml:space="preserve"> was</w:t>
      </w:r>
      <w:r>
        <w:t>,</w:t>
      </w:r>
      <w:r w:rsidRPr="005B475B">
        <w:t xml:space="preserve"> in effect</w:t>
      </w:r>
      <w:r>
        <w:t>,</w:t>
      </w:r>
      <w:r w:rsidRPr="005B475B">
        <w:t xml:space="preserve"> mandatory, as it required </w:t>
      </w:r>
      <w:r>
        <w:t>[the president]</w:t>
      </w:r>
      <w:r w:rsidRPr="005B475B">
        <w:t xml:space="preserve"> and the other directors to recognize Smith as one of their number, and to refuse to recognize </w:t>
      </w:r>
      <w:r>
        <w:t>[a competing candidate],” thereby “</w:t>
      </w:r>
      <w:proofErr w:type="spellStart"/>
      <w:r w:rsidRPr="004A595B">
        <w:t>chang</w:t>
      </w:r>
      <w:proofErr w:type="spellEnd"/>
      <w:r>
        <w:t>[</w:t>
      </w:r>
      <w:proofErr w:type="spellStart"/>
      <w:r>
        <w:t>ing</w:t>
      </w:r>
      <w:proofErr w:type="spellEnd"/>
      <w:r>
        <w:t>]</w:t>
      </w:r>
      <w:r w:rsidRPr="004A595B">
        <w:t xml:space="preserve"> the relative positions of the parties from those existing at the time the decree was entered</w:t>
      </w:r>
      <w:r>
        <w:t>.”  (</w:t>
      </w:r>
      <w:r>
        <w:rPr>
          <w:i/>
          <w:iCs/>
        </w:rPr>
        <w:t>Id.</w:t>
      </w:r>
      <w:r>
        <w:t xml:space="preserve"> at p. 284.)  The order in </w:t>
      </w:r>
      <w:r>
        <w:rPr>
          <w:i/>
          <w:iCs/>
        </w:rPr>
        <w:t>Foster</w:t>
      </w:r>
      <w:r>
        <w:t>, like the one in this case,</w:t>
      </w:r>
      <w:r w:rsidRPr="00FC13E3">
        <w:t xml:space="preserve"> required the defendants to refuse their </w:t>
      </w:r>
      <w:r>
        <w:t>approved</w:t>
      </w:r>
      <w:r w:rsidRPr="00FC13E3">
        <w:t xml:space="preserve"> candidate and instead accept a </w:t>
      </w:r>
      <w:r>
        <w:t xml:space="preserve">different individual (in this case, </w:t>
      </w:r>
      <w:r w:rsidRPr="00FC13E3">
        <w:t xml:space="preserve">the Governor’s appointee).  </w:t>
      </w:r>
      <w:r>
        <w:t xml:space="preserve">The order was found to be mandatory because it </w:t>
      </w:r>
      <w:r w:rsidRPr="00FC13E3">
        <w:t xml:space="preserve">did not </w:t>
      </w:r>
      <w:r>
        <w:t xml:space="preserve">restrain the defendants from </w:t>
      </w:r>
      <w:r>
        <w:lastRenderedPageBreak/>
        <w:t>repeating their v</w:t>
      </w:r>
      <w:r w:rsidRPr="00FC13E3">
        <w:t xml:space="preserve">iolation but instead </w:t>
      </w:r>
      <w:r>
        <w:t>mandated that they</w:t>
      </w:r>
      <w:r w:rsidRPr="00FC13E3">
        <w:t xml:space="preserve"> take affirmative action</w:t>
      </w:r>
      <w:r>
        <w:t> </w:t>
      </w:r>
      <w:r w:rsidRPr="00FC13E3">
        <w:t>— seat</w:t>
      </w:r>
      <w:r>
        <w:t>ing</w:t>
      </w:r>
      <w:r w:rsidRPr="00FC13E3">
        <w:t xml:space="preserve"> a different candidate</w:t>
      </w:r>
      <w:r>
        <w:t> </w:t>
      </w:r>
      <w:r w:rsidRPr="00FC13E3">
        <w:t xml:space="preserve">— to undo a </w:t>
      </w:r>
      <w:r>
        <w:t xml:space="preserve">past </w:t>
      </w:r>
      <w:r w:rsidRPr="00FC13E3">
        <w:t>act</w:t>
      </w:r>
      <w:r>
        <w:t xml:space="preserve"> found to be unlawful.  (See also </w:t>
      </w:r>
      <w:r w:rsidRPr="00882CC6">
        <w:rPr>
          <w:i/>
          <w:iCs/>
        </w:rPr>
        <w:t>Ambrose v. Alioto</w:t>
      </w:r>
      <w:r>
        <w:t xml:space="preserve">, </w:t>
      </w:r>
      <w:r w:rsidRPr="00882CC6">
        <w:rPr>
          <w:i/>
          <w:iCs/>
        </w:rPr>
        <w:t>supra</w:t>
      </w:r>
      <w:r>
        <w:t xml:space="preserve">, </w:t>
      </w:r>
      <w:r w:rsidRPr="00882CC6">
        <w:t xml:space="preserve">62 Cal.App.2d </w:t>
      </w:r>
      <w:r>
        <w:t>at p. 686 [order that catch be delivered to one cannery rather than another “</w:t>
      </w:r>
      <w:r w:rsidRPr="006E685E">
        <w:t>compels the performance of a substantive act</w:t>
      </w:r>
      <w:r>
        <w:t>”].)</w:t>
      </w:r>
      <w:r>
        <w:rPr>
          <w:i/>
          <w:iCs/>
        </w:rPr>
        <w:t xml:space="preserve"> </w:t>
      </w:r>
    </w:p>
    <w:p w14:paraId="64549FF5" w14:textId="4E7E6055" w:rsidR="00B700BC" w:rsidRDefault="00B700BC" w:rsidP="00B700BC">
      <w:pPr>
        <w:tabs>
          <w:tab w:val="left" w:pos="1440"/>
        </w:tabs>
        <w:ind w:firstLine="720"/>
      </w:pPr>
      <w:r>
        <w:t xml:space="preserve">The </w:t>
      </w:r>
      <w:r>
        <w:rPr>
          <w:i/>
          <w:iCs/>
        </w:rPr>
        <w:t xml:space="preserve">United Railroads </w:t>
      </w:r>
      <w:r>
        <w:t xml:space="preserve">defendant proposed using the preservation of the </w:t>
      </w:r>
      <w:proofErr w:type="spellStart"/>
      <w:r>
        <w:t>precontroversy</w:t>
      </w:r>
      <w:proofErr w:type="spellEnd"/>
      <w:r>
        <w:t xml:space="preserve"> status quo as a basis to “</w:t>
      </w:r>
      <w:r w:rsidRPr="004D1E57">
        <w:t>transform</w:t>
      </w:r>
      <w:r>
        <w:t>[]</w:t>
      </w:r>
      <w:r w:rsidRPr="004D1E57">
        <w:t xml:space="preserve"> an injunction essentially prohibitive into an injunction essentially mandatory</w:t>
      </w:r>
      <w:r>
        <w:t xml:space="preserve">,” a proposal we there rejected. </w:t>
      </w:r>
      <w:r w:rsidRPr="004D1E57">
        <w:t xml:space="preserve"> (</w:t>
      </w:r>
      <w:r w:rsidRPr="004D1E57">
        <w:rPr>
          <w:i/>
          <w:iCs/>
        </w:rPr>
        <w:t>United Railroads</w:t>
      </w:r>
      <w:r w:rsidRPr="004D1E57">
        <w:t xml:space="preserve">, </w:t>
      </w:r>
      <w:r w:rsidRPr="004D1E57">
        <w:rPr>
          <w:i/>
          <w:iCs/>
        </w:rPr>
        <w:t>supra</w:t>
      </w:r>
      <w:r w:rsidRPr="004D1E57">
        <w:t>, 172 Cal. at p.</w:t>
      </w:r>
      <w:r>
        <w:t> 87</w:t>
      </w:r>
      <w:r w:rsidRPr="004D1E57">
        <w:t>.)</w:t>
      </w:r>
      <w:r>
        <w:t xml:space="preserve">  Here, p</w:t>
      </w:r>
      <w:r w:rsidR="002343D0">
        <w:t>laintiffs</w:t>
      </w:r>
      <w:r>
        <w:t xml:space="preserve"> invoke </w:t>
      </w:r>
      <w:r>
        <w:rPr>
          <w:i/>
          <w:iCs/>
        </w:rPr>
        <w:t>United Railroads</w:t>
      </w:r>
      <w:r>
        <w:t xml:space="preserve"> with precisely the opposite aim.  I</w:t>
      </w:r>
      <w:r w:rsidRPr="00D750D9">
        <w:t xml:space="preserve">f </w:t>
      </w:r>
      <w:r w:rsidRPr="00583F60">
        <w:rPr>
          <w:i/>
          <w:iCs/>
        </w:rPr>
        <w:t>United Railroads</w:t>
      </w:r>
      <w:r w:rsidRPr="00D750D9">
        <w:t xml:space="preserve"> were understood </w:t>
      </w:r>
      <w:r>
        <w:t>as p</w:t>
      </w:r>
      <w:r w:rsidR="002343D0">
        <w:t>laintiffs</w:t>
      </w:r>
      <w:r>
        <w:t xml:space="preserve"> suggest</w:t>
      </w:r>
      <w:r w:rsidRPr="00D750D9">
        <w:t xml:space="preserve">, then the decision would all but negate the basic rule to which California courts, applying statutory law, have adhered since 1857:  that the defendant’s perfection of an appeal results in the stay of a mandatory injunction against the defendant.   </w:t>
      </w:r>
    </w:p>
    <w:p w14:paraId="1D896A06" w14:textId="77777777" w:rsidR="00B700BC" w:rsidRPr="005D0ED4" w:rsidRDefault="00B700BC" w:rsidP="00B700BC">
      <w:pPr>
        <w:tabs>
          <w:tab w:val="left" w:pos="1440"/>
        </w:tabs>
        <w:ind w:firstLine="720"/>
      </w:pPr>
      <w:r>
        <w:t xml:space="preserve">A brief review of the mandatory injunction cases will suffice to demonstrate the point.  In </w:t>
      </w:r>
      <w:r w:rsidRPr="006854A5">
        <w:rPr>
          <w:i/>
          <w:iCs/>
        </w:rPr>
        <w:t xml:space="preserve">Byington v. Superior </w:t>
      </w:r>
      <w:r w:rsidRPr="007C0C63">
        <w:rPr>
          <w:i/>
          <w:iCs/>
        </w:rPr>
        <w:t>Court</w:t>
      </w:r>
      <w:r>
        <w:t xml:space="preserve">, </w:t>
      </w:r>
      <w:r w:rsidRPr="007C0C63">
        <w:rPr>
          <w:i/>
          <w:iCs/>
        </w:rPr>
        <w:t>supra</w:t>
      </w:r>
      <w:r>
        <w:t>,</w:t>
      </w:r>
      <w:r w:rsidRPr="00B60681">
        <w:t xml:space="preserve"> 14 Cal.2d 68,</w:t>
      </w:r>
      <w:r>
        <w:t xml:space="preserve"> for example, where San Francisco had been ordered not to take Tuolumne River water above the amount of its prescriptive right, and had violated that order by taking additional water to fill an enlarged Hetch Hetchy Reservoir, we held the order a mandatory injunction because it required the city to surrender a property right (an appropriative water right) it allegedly held at the time the order was made.  (</w:t>
      </w:r>
      <w:r>
        <w:rPr>
          <w:i/>
          <w:iCs/>
        </w:rPr>
        <w:t>Id.</w:t>
      </w:r>
      <w:r>
        <w:t xml:space="preserve"> at pp. 69–70, 72–73.)  If we had instead concluded that the status quo </w:t>
      </w:r>
      <w:proofErr w:type="gramStart"/>
      <w:r>
        <w:t>were</w:t>
      </w:r>
      <w:proofErr w:type="gramEnd"/>
      <w:r>
        <w:t xml:space="preserve"> properly measured by reference to conditions preceding the controversial acts that gave rise to the litigation, then we should instead have deemed the order prohibitory, as it merely returned the parties to their positions before San Francisco </w:t>
      </w:r>
      <w:r>
        <w:lastRenderedPageBreak/>
        <w:t>began storing the extra water, and allowed it to take effect pending the decision on appeal.</w:t>
      </w:r>
      <w:r>
        <w:rPr>
          <w:rStyle w:val="FootnoteReference"/>
        </w:rPr>
        <w:footnoteReference w:id="11"/>
      </w:r>
    </w:p>
    <w:p w14:paraId="3BB530DC" w14:textId="34233791" w:rsidR="00B700BC" w:rsidRDefault="00B700BC" w:rsidP="00B700BC">
      <w:pPr>
        <w:tabs>
          <w:tab w:val="left" w:pos="1440"/>
        </w:tabs>
        <w:ind w:firstLine="720"/>
      </w:pPr>
      <w:r>
        <w:lastRenderedPageBreak/>
        <w:t xml:space="preserve">Similarly, in </w:t>
      </w:r>
      <w:r w:rsidRPr="00E75891">
        <w:rPr>
          <w:i/>
          <w:iCs/>
        </w:rPr>
        <w:t>Paramount Pictures Corp. v. Davis</w:t>
      </w:r>
      <w:r w:rsidRPr="00E75891">
        <w:t xml:space="preserve">, </w:t>
      </w:r>
      <w:r w:rsidRPr="00E75891">
        <w:rPr>
          <w:i/>
          <w:iCs/>
        </w:rPr>
        <w:t>supra</w:t>
      </w:r>
      <w:r w:rsidRPr="00E75891">
        <w:t>, 228 Cal.App.2d</w:t>
      </w:r>
      <w:r>
        <w:t xml:space="preserve"> 827, the appellate court held a preliminary injunction ordering Bette Davis to return to the Paramount studios and perform an additional day’s filming on one movie (</w:t>
      </w:r>
      <w:r w:rsidRPr="00583F60">
        <w:t>Where Love Has Gone</w:t>
      </w:r>
      <w:r>
        <w:t>) — at a time when Davis was already engaged in filming another movie (</w:t>
      </w:r>
      <w:r w:rsidRPr="00583F60">
        <w:t>Hush, Hush Sweet Charlotte</w:t>
      </w:r>
      <w:r>
        <w:t>) for another company — was mandatory rather than prohibitory because it commanded Davis to take affirmative action.  (</w:t>
      </w:r>
      <w:r>
        <w:rPr>
          <w:i/>
          <w:iCs/>
        </w:rPr>
        <w:t>Id.</w:t>
      </w:r>
      <w:r>
        <w:t xml:space="preserve"> at</w:t>
      </w:r>
      <w:r w:rsidRPr="00E75891">
        <w:t xml:space="preserve"> p.</w:t>
      </w:r>
      <w:r>
        <w:t> </w:t>
      </w:r>
      <w:r w:rsidRPr="00E75891">
        <w:t>838</w:t>
      </w:r>
      <w:r>
        <w:t xml:space="preserve">.)  Had the court decided to answer this question based solely on whether an additional day’s worth of </w:t>
      </w:r>
      <w:r w:rsidRPr="00583F60">
        <w:t xml:space="preserve">Where Love Has Gone </w:t>
      </w:r>
      <w:r>
        <w:t>filming would return the parties to the state of affairs that existed be</w:t>
      </w:r>
      <w:r w:rsidR="00A56171">
        <w:t>fore</w:t>
      </w:r>
      <w:r>
        <w:t xml:space="preserve"> Davis signed her conflicting contract with the other movie studio, the court surely would have reached a different result.</w:t>
      </w:r>
    </w:p>
    <w:p w14:paraId="3120491B" w14:textId="379F1DE4" w:rsidR="00B700BC" w:rsidRDefault="00B700BC" w:rsidP="00B700BC">
      <w:pPr>
        <w:tabs>
          <w:tab w:val="left" w:pos="1440"/>
        </w:tabs>
        <w:ind w:firstLine="720"/>
      </w:pPr>
      <w:r>
        <w:t>Or to take one final example, consider an order directing an employer to fire replacement workers and rehire strikers.  (</w:t>
      </w:r>
      <w:r w:rsidRPr="002902F1">
        <w:rPr>
          <w:i/>
          <w:iCs/>
        </w:rPr>
        <w:t xml:space="preserve">Agricultural Labor </w:t>
      </w:r>
      <w:r>
        <w:rPr>
          <w:i/>
          <w:iCs/>
        </w:rPr>
        <w:t xml:space="preserve">Relations </w:t>
      </w:r>
      <w:r w:rsidRPr="002902F1">
        <w:rPr>
          <w:i/>
          <w:iCs/>
        </w:rPr>
        <w:t>Bd. v. Superior Court</w:t>
      </w:r>
      <w:r>
        <w:t xml:space="preserve">, </w:t>
      </w:r>
      <w:r w:rsidRPr="00EF64B2">
        <w:rPr>
          <w:i/>
          <w:iCs/>
        </w:rPr>
        <w:t>supra</w:t>
      </w:r>
      <w:r>
        <w:t xml:space="preserve">, </w:t>
      </w:r>
      <w:r w:rsidRPr="00545658">
        <w:t>149</w:t>
      </w:r>
      <w:r w:rsidRPr="002902F1">
        <w:t xml:space="preserve"> Cal.App.3d </w:t>
      </w:r>
      <w:r>
        <w:t>at p. </w:t>
      </w:r>
      <w:r w:rsidRPr="002902F1">
        <w:t>713</w:t>
      </w:r>
      <w:r>
        <w:t xml:space="preserve">.)  The Court of Appeal labeled the order mandatory, and therefore automatically stayed on appeal, because it commanded the employer to take affirmative steps to remedy an alleged legal violation.  Again, if the question were instead </w:t>
      </w:r>
      <w:r w:rsidR="001B1299">
        <w:t>m</w:t>
      </w:r>
      <w:r>
        <w:t xml:space="preserve">erely whether the order restored the status quo preceding the challenged acts, the answer would have been different; the injunction would have been considered prohibitory, and the employer would have been required to take affirmative steps to remedy an alleged violation before </w:t>
      </w:r>
      <w:r w:rsidR="00A56171">
        <w:t>the appellate</w:t>
      </w:r>
      <w:r>
        <w:t xml:space="preserve"> court had determined whether there was a violation to remedy.  </w:t>
      </w:r>
    </w:p>
    <w:p w14:paraId="3EA15AD7" w14:textId="6742DA35" w:rsidR="00B700BC" w:rsidRPr="002E6DBC" w:rsidRDefault="00B700BC" w:rsidP="00B700BC">
      <w:pPr>
        <w:tabs>
          <w:tab w:val="left" w:pos="1440"/>
        </w:tabs>
        <w:ind w:firstLine="720"/>
      </w:pPr>
      <w:r>
        <w:t xml:space="preserve">California law has long taken a different approach to such matters, under which the usual default rule of stay pending appeal extends to mandatory orders requiring the defendant to </w:t>
      </w:r>
      <w:r>
        <w:lastRenderedPageBreak/>
        <w:t xml:space="preserve">undertake an affirmative act.  Our decision in </w:t>
      </w:r>
      <w:r>
        <w:rPr>
          <w:i/>
          <w:iCs/>
        </w:rPr>
        <w:t>United Railroads</w:t>
      </w:r>
      <w:r>
        <w:t xml:space="preserve"> was not meant to, and did not, upend th</w:t>
      </w:r>
      <w:r w:rsidR="00CC32FD">
        <w:t>is</w:t>
      </w:r>
      <w:r>
        <w:t xml:space="preserve"> settled law.  In the cases cited above, the injunction </w:t>
      </w:r>
      <w:r w:rsidRPr="00AE4749">
        <w:t>was</w:t>
      </w:r>
      <w:r>
        <w:t xml:space="preserve"> essentially mandatory in that it commanded the performance of affirmative acts to remedy a violation while the legal basis for that remedy was still subject to appellate review.  So too here.</w:t>
      </w:r>
    </w:p>
    <w:p w14:paraId="4F26AF44" w14:textId="25E1DDBD" w:rsidR="00B700BC" w:rsidRPr="006854A5" w:rsidRDefault="00B700BC" w:rsidP="00B700BC">
      <w:pPr>
        <w:tabs>
          <w:tab w:val="left" w:pos="1440"/>
        </w:tabs>
        <w:ind w:firstLine="720"/>
      </w:pPr>
      <w:r>
        <w:t>P</w:t>
      </w:r>
      <w:r w:rsidR="002343D0">
        <w:t>laintiffs</w:t>
      </w:r>
      <w:r>
        <w:t xml:space="preserve"> next argue that because Rowe’s appointment was declared void by the superior court, she never lawfully held the seat, and the order that her appointment be rescinded made no change to the status quo.  We rejected a similar argument in </w:t>
      </w:r>
      <w:r>
        <w:rPr>
          <w:i/>
          <w:iCs/>
        </w:rPr>
        <w:t>Clute</w:t>
      </w:r>
      <w:r>
        <w:t xml:space="preserve">.  </w:t>
      </w:r>
      <w:r w:rsidRPr="006854A5">
        <w:t xml:space="preserve">The corporation </w:t>
      </w:r>
      <w:r>
        <w:t>that owned the hotel</w:t>
      </w:r>
      <w:r w:rsidRPr="006854A5">
        <w:t xml:space="preserve"> argued</w:t>
      </w:r>
      <w:r>
        <w:t xml:space="preserve"> it</w:t>
      </w:r>
      <w:r w:rsidRPr="006854A5">
        <w:t xml:space="preserve"> </w:t>
      </w:r>
      <w:r>
        <w:t>“</w:t>
      </w:r>
      <w:r w:rsidRPr="00587227">
        <w:t>was at all times entitled to the possession and in the actual possession of the hotel and its contents, and a surrender of the custody by one employee to another authorized to receive it leaves the</w:t>
      </w:r>
      <w:r>
        <w:t xml:space="preserve"> </w:t>
      </w:r>
      <w:r w:rsidRPr="00587227">
        <w:rPr>
          <w:i/>
          <w:iCs/>
        </w:rPr>
        <w:t>status</w:t>
      </w:r>
      <w:r>
        <w:rPr>
          <w:i/>
          <w:iCs/>
        </w:rPr>
        <w:t xml:space="preserve"> </w:t>
      </w:r>
      <w:r w:rsidRPr="00587227">
        <w:t>of the property, so far as possession is concerned, unaltered</w:t>
      </w:r>
      <w:r w:rsidRPr="006854A5">
        <w:t>.</w:t>
      </w:r>
      <w:r>
        <w:t xml:space="preserve">” </w:t>
      </w:r>
      <w:r w:rsidR="0015010E">
        <w:t xml:space="preserve"> </w:t>
      </w:r>
      <w:r>
        <w:t>(</w:t>
      </w:r>
      <w:r w:rsidRPr="006854A5">
        <w:rPr>
          <w:i/>
        </w:rPr>
        <w:t>Clute</w:t>
      </w:r>
      <w:r w:rsidRPr="006854A5">
        <w:t xml:space="preserve">, </w:t>
      </w:r>
      <w:r w:rsidRPr="006854A5">
        <w:rPr>
          <w:i/>
        </w:rPr>
        <w:t>supra</w:t>
      </w:r>
      <w:r w:rsidRPr="006854A5">
        <w:t>, 155 Cal. at p. 19</w:t>
      </w:r>
      <w:r>
        <w:t>.)</w:t>
      </w:r>
      <w:r w:rsidRPr="006854A5">
        <w:t xml:space="preserve">  </w:t>
      </w:r>
      <w:r>
        <w:t xml:space="preserve">But </w:t>
      </w:r>
      <w:r w:rsidRPr="006854A5">
        <w:t xml:space="preserve">that argument, we </w:t>
      </w:r>
      <w:r>
        <w:t>explained,</w:t>
      </w:r>
      <w:r w:rsidRPr="006854A5">
        <w:t xml:space="preserve"> “fails to take into account the very point that was in dispute in the court below,” that is, the propriety of Clute’s ouster as manager</w:t>
      </w:r>
      <w:r>
        <w:t>.</w:t>
      </w:r>
      <w:r w:rsidRPr="006854A5">
        <w:t xml:space="preserve"> </w:t>
      </w:r>
      <w:r>
        <w:t xml:space="preserve"> (</w:t>
      </w:r>
      <w:r>
        <w:rPr>
          <w:i/>
          <w:iCs/>
        </w:rPr>
        <w:t>Ibid.</w:t>
      </w:r>
      <w:r>
        <w:t>)  P</w:t>
      </w:r>
      <w:r w:rsidR="006B39CD">
        <w:t>laintiffs</w:t>
      </w:r>
      <w:r>
        <w:t xml:space="preserve">’ argument similarly </w:t>
      </w:r>
      <w:r w:rsidRPr="006854A5">
        <w:t>ignore</w:t>
      </w:r>
      <w:r>
        <w:t>s</w:t>
      </w:r>
      <w:r w:rsidRPr="006854A5">
        <w:t xml:space="preserve"> th</w:t>
      </w:r>
      <w:r>
        <w:t>at the</w:t>
      </w:r>
      <w:r w:rsidRPr="006854A5">
        <w:t xml:space="preserve"> central point</w:t>
      </w:r>
      <w:r>
        <w:t>s</w:t>
      </w:r>
      <w:r w:rsidRPr="006854A5">
        <w:t xml:space="preserve"> </w:t>
      </w:r>
      <w:r>
        <w:t>in dispute in the superior court and on appeal concern the validity of Rowe’s appointment and the superior court’s power to nullify it in this action</w:t>
      </w:r>
      <w:r w:rsidRPr="006854A5">
        <w:t xml:space="preserve">.  </w:t>
      </w:r>
      <w:r>
        <w:t>T</w:t>
      </w:r>
      <w:r w:rsidRPr="006854A5">
        <w:t xml:space="preserve">he goal </w:t>
      </w:r>
      <w:r>
        <w:t>of</w:t>
      </w:r>
      <w:r w:rsidRPr="006854A5">
        <w:t xml:space="preserve"> a stay is to preserve the status quo </w:t>
      </w:r>
      <w:r>
        <w:t>while a court determines the merits of the appeal; issuance of the stay cannot depend on the assumption that the appeal will fail</w:t>
      </w:r>
      <w:r w:rsidRPr="006854A5">
        <w:t>.</w:t>
      </w:r>
    </w:p>
    <w:p w14:paraId="1A1E9048" w14:textId="64B565C7" w:rsidR="00B700BC" w:rsidRDefault="00B700BC" w:rsidP="00B700BC">
      <w:pPr>
        <w:tabs>
          <w:tab w:val="left" w:pos="1440"/>
        </w:tabs>
        <w:ind w:firstLine="720"/>
      </w:pPr>
      <w:r>
        <w:t>Finally, p</w:t>
      </w:r>
      <w:r w:rsidR="009078EF">
        <w:t>laintiffs</w:t>
      </w:r>
      <w:r>
        <w:t xml:space="preserve"> worry that automatically staying orders that require the defendant to unwind the effects of a Brown Act violation, like the order at issue in this case, will “undermine the Brown Act’s force by permitting violating agencies to enjoy the fruits of their violations during the pendency of any appeal.”  The worry is misplaced.  For one thing, our holding here states </w:t>
      </w:r>
      <w:r>
        <w:lastRenderedPageBreak/>
        <w:t>no general rule as to the stay of orders remedying violations of the Brown Act; we here have considered only one order prescribing one particular set of remedies for an alleged violation involving a challenge to the legitimacy of a public official’s claim to office.  That order, as we have seen, centrally included commands for affirmative acts, going well beyond preventing the Board from “enjoy[</w:t>
      </w:r>
      <w:proofErr w:type="spellStart"/>
      <w:r>
        <w:t>ing</w:t>
      </w:r>
      <w:proofErr w:type="spellEnd"/>
      <w:r>
        <w:t>] the fruits” of the violation.  But even as to orders removing a public officer because of a Brown Act violation, p</w:t>
      </w:r>
      <w:r w:rsidR="009078EF">
        <w:t>laintiffs</w:t>
      </w:r>
      <w:r>
        <w:t xml:space="preserve">’ concerns are overstated.  Code of Civil Procedure section 803, which implements the common law writ of quo warranto in California, authorizes the Attorney General or a relator acting with that officer’s consent to seek the ouster of a person unlawfully holding office.  In general, this procedure is the exclusive means to try the title of a person occupying a public office (see </w:t>
      </w:r>
      <w:r w:rsidRPr="003A6A60">
        <w:rPr>
          <w:i/>
        </w:rPr>
        <w:t xml:space="preserve">Stout v. Democratic County Central Com. </w:t>
      </w:r>
      <w:r w:rsidRPr="003A6A60">
        <w:t>(1952) 40 Cal.2d 91, 93</w:t>
      </w:r>
      <w:r>
        <w:t xml:space="preserve">; </w:t>
      </w:r>
      <w:proofErr w:type="spellStart"/>
      <w:r w:rsidRPr="00877328">
        <w:rPr>
          <w:i/>
          <w:iCs/>
        </w:rPr>
        <w:t>Nicolopulos</w:t>
      </w:r>
      <w:proofErr w:type="spellEnd"/>
      <w:r w:rsidRPr="00877328">
        <w:rPr>
          <w:i/>
          <w:iCs/>
        </w:rPr>
        <w:t xml:space="preserve"> v. City of Lawndale</w:t>
      </w:r>
      <w:r w:rsidRPr="00877328">
        <w:t> (2001) 91 Cal.App.4th 1221, 1225</w:t>
      </w:r>
      <w:r>
        <w:t>).  And when judgment is rendered in favor of the challengers, the judgment is not subject to automatic stay on appeal.</w:t>
      </w:r>
      <w:r w:rsidRPr="00087299">
        <w:t xml:space="preserve"> </w:t>
      </w:r>
      <w:r>
        <w:t xml:space="preserve"> (Code Civ. Proc., § 917.8, </w:t>
      </w:r>
      <w:proofErr w:type="spellStart"/>
      <w:r>
        <w:t>subd</w:t>
      </w:r>
      <w:proofErr w:type="spellEnd"/>
      <w:r>
        <w:t>. (a).)</w:t>
      </w:r>
    </w:p>
    <w:p w14:paraId="2191E610" w14:textId="7C8CC1FF" w:rsidR="00B700BC" w:rsidRDefault="00B700BC" w:rsidP="00B700BC">
      <w:pPr>
        <w:tabs>
          <w:tab w:val="left" w:pos="1440"/>
        </w:tabs>
        <w:ind w:firstLine="720"/>
      </w:pPr>
      <w:r>
        <w:t xml:space="preserve">The parties vigorously dispute whether quo warranto was the exclusive remedy available here.  But even if it was not the </w:t>
      </w:r>
      <w:r w:rsidRPr="00384D1D">
        <w:t>exclusive</w:t>
      </w:r>
      <w:r>
        <w:t xml:space="preserve"> remedy, it was </w:t>
      </w:r>
      <w:r w:rsidR="00BB4462">
        <w:t xml:space="preserve">at least </w:t>
      </w:r>
      <w:r>
        <w:t xml:space="preserve">an </w:t>
      </w:r>
      <w:r w:rsidRPr="00384D1D">
        <w:t>available</w:t>
      </w:r>
      <w:r>
        <w:t xml:space="preserve"> remedy.  (See </w:t>
      </w:r>
      <w:r w:rsidRPr="00E44E55">
        <w:rPr>
          <w:i/>
          <w:iCs/>
        </w:rPr>
        <w:t>Hills for Everyone v. Local Agency Formation Com.</w:t>
      </w:r>
      <w:r w:rsidRPr="00E44E55">
        <w:t> (1980) 105 Cal.App.3d 461, 470</w:t>
      </w:r>
      <w:r>
        <w:t xml:space="preserve"> [“</w:t>
      </w:r>
      <w:r w:rsidRPr="00E44E55">
        <w:t>The availability of other statutory remedies ordinarily does not foreclose a proceeding in the nature of quo warranto by the Attorney General.</w:t>
      </w:r>
      <w:r>
        <w:t xml:space="preserve">”]; cf. 97 </w:t>
      </w:r>
      <w:proofErr w:type="spellStart"/>
      <w:r>
        <w:t>Ops.Cal.Atty.Gen</w:t>
      </w:r>
      <w:proofErr w:type="spellEnd"/>
      <w:r>
        <w:t xml:space="preserve">. 12 </w:t>
      </w:r>
      <w:r w:rsidR="00972284">
        <w:t xml:space="preserve">(2014) </w:t>
      </w:r>
      <w:r w:rsidR="000D5B3F">
        <w:t>[2014 WL 121841</w:t>
      </w:r>
      <w:r w:rsidR="00AB5A9F">
        <w:t>0</w:t>
      </w:r>
      <w:r w:rsidR="000D5B3F">
        <w:t xml:space="preserve">, p.*6] </w:t>
      </w:r>
      <w:r w:rsidRPr="006A0072">
        <w:t xml:space="preserve">[where quo warranto action </w:t>
      </w:r>
      <w:r>
        <w:t xml:space="preserve">was </w:t>
      </w:r>
      <w:r w:rsidRPr="006A0072">
        <w:t xml:space="preserve">authorized by Attorney General on other grounds, Brown Act claim may also be resolved in the </w:t>
      </w:r>
      <w:r w:rsidRPr="006A0072">
        <w:lastRenderedPageBreak/>
        <w:t>action]</w:t>
      </w:r>
      <w:r>
        <w:t>.)</w:t>
      </w:r>
      <w:r>
        <w:rPr>
          <w:rStyle w:val="FootnoteReference"/>
        </w:rPr>
        <w:footnoteReference w:id="12"/>
      </w:r>
      <w:r>
        <w:t xml:space="preserve">  Had p</w:t>
      </w:r>
      <w:r w:rsidR="009078EF">
        <w:t>laintiffs</w:t>
      </w:r>
      <w:r>
        <w:t xml:space="preserve"> proceeded by quo warranto and prevailed on the merits, they would have obtained an immediately enforceable judgment that Rowe “</w:t>
      </w:r>
      <w:r w:rsidRPr="0058239A">
        <w:t>be excluded from the office</w:t>
      </w:r>
      <w:r>
        <w:t>.”  (</w:t>
      </w:r>
      <w:r w:rsidRPr="0058239A">
        <w:t>Code Civ. Proc., §</w:t>
      </w:r>
      <w:r>
        <w:t> </w:t>
      </w:r>
      <w:r w:rsidRPr="0058239A">
        <w:t>809</w:t>
      </w:r>
      <w:r>
        <w:t xml:space="preserve">.)  They did not proceed by quo warranto, however, and so enforcement of the superior court’s order must await review of the judgment on appeal.  </w:t>
      </w:r>
    </w:p>
    <w:p w14:paraId="7533A75C" w14:textId="77777777" w:rsidR="00B700BC" w:rsidRDefault="00B700BC" w:rsidP="00B700BC">
      <w:pPr>
        <w:pStyle w:val="Heading1"/>
        <w:spacing w:before="0" w:line="400" w:lineRule="exact"/>
      </w:pPr>
      <w:r>
        <w:t>III.</w:t>
      </w:r>
    </w:p>
    <w:p w14:paraId="59A8736D" w14:textId="490DDF69" w:rsidR="00B700BC" w:rsidRDefault="00B700BC" w:rsidP="00B700BC">
      <w:pPr>
        <w:tabs>
          <w:tab w:val="left" w:pos="1440"/>
        </w:tabs>
        <w:ind w:firstLine="720"/>
      </w:pPr>
      <w:r>
        <w:t xml:space="preserve">We have concluded that under the settled law of California, the order in this case was automatically stayed as a mandatory injunction.  Neither party has asked us to eliminate or revise the automatic stay rule governing injunctions — or the automatic stay rule more generally, for that matter.  And given the rule’s long tenure in our jurisprudence and its statutory roots (first in </w:t>
      </w:r>
      <w:r w:rsidR="001B1299">
        <w:t>§ </w:t>
      </w:r>
      <w:r w:rsidRPr="000D2FF4">
        <w:t>356 of the 1851 Practice Act</w:t>
      </w:r>
      <w:r>
        <w:t xml:space="preserve">, then in </w:t>
      </w:r>
      <w:r w:rsidRPr="000D2FF4">
        <w:t>Code Civ</w:t>
      </w:r>
      <w:r w:rsidR="001B1299">
        <w:t xml:space="preserve">. </w:t>
      </w:r>
      <w:r w:rsidRPr="000D2FF4">
        <w:t>Proc</w:t>
      </w:r>
      <w:r w:rsidR="001B1299">
        <w:t>., former</w:t>
      </w:r>
      <w:r w:rsidRPr="000D2FF4">
        <w:t xml:space="preserve"> </w:t>
      </w:r>
      <w:r w:rsidR="001B1299">
        <w:t>§ </w:t>
      </w:r>
      <w:r w:rsidRPr="000D2FF4">
        <w:t>949</w:t>
      </w:r>
      <w:r>
        <w:t>, and currently in Code Civ</w:t>
      </w:r>
      <w:r w:rsidR="001B1299">
        <w:t>.</w:t>
      </w:r>
      <w:r>
        <w:t xml:space="preserve"> Proc</w:t>
      </w:r>
      <w:r w:rsidR="001B1299">
        <w:t>., § </w:t>
      </w:r>
      <w:r w:rsidRPr="000D2FF4">
        <w:t>916</w:t>
      </w:r>
      <w:r>
        <w:t xml:space="preserve">), the scope of our authority to do so absent statutory amendment is uncertain.  (Cf. </w:t>
      </w:r>
      <w:r w:rsidRPr="002902F1">
        <w:rPr>
          <w:i/>
          <w:iCs/>
        </w:rPr>
        <w:t xml:space="preserve">Agricultural Labor </w:t>
      </w:r>
      <w:r>
        <w:rPr>
          <w:i/>
          <w:iCs/>
        </w:rPr>
        <w:t xml:space="preserve">Relations </w:t>
      </w:r>
      <w:r w:rsidRPr="002902F1">
        <w:rPr>
          <w:i/>
          <w:iCs/>
        </w:rPr>
        <w:t>Bd. v. Superior Court</w:t>
      </w:r>
      <w:r>
        <w:t xml:space="preserve">, </w:t>
      </w:r>
      <w:r w:rsidRPr="00EF64B2">
        <w:rPr>
          <w:i/>
          <w:iCs/>
        </w:rPr>
        <w:t>supra</w:t>
      </w:r>
      <w:r>
        <w:t xml:space="preserve">, </w:t>
      </w:r>
      <w:r w:rsidRPr="00545658">
        <w:t>149</w:t>
      </w:r>
      <w:r w:rsidRPr="002902F1">
        <w:t xml:space="preserve"> Cal.App.3d </w:t>
      </w:r>
      <w:r>
        <w:t>at pp. </w:t>
      </w:r>
      <w:r w:rsidRPr="00385BE7">
        <w:t>716</w:t>
      </w:r>
      <w:r>
        <w:t xml:space="preserve">–717 [Code </w:t>
      </w:r>
      <w:r w:rsidR="005C6198">
        <w:t>Civ. Proc., § </w:t>
      </w:r>
      <w:r>
        <w:t xml:space="preserve">916 applies to a mandatory injunction notwithstanding absence of reference to it in statute authorizing the injunction; Legislature was presumably aware of California’s long-standing automatic stay rule when enacting statute providing for </w:t>
      </w:r>
      <w:r>
        <w:lastRenderedPageBreak/>
        <w:t>injunctive relief].)  We nevertheless pause briefly here to reflect on this area of our procedural law, which we have not addressed in many years, and to suggest an area that may be ripe for reexamination.</w:t>
      </w:r>
    </w:p>
    <w:p w14:paraId="2E60F1F1" w14:textId="0399DFC0" w:rsidR="00B700BC" w:rsidRDefault="00B700BC" w:rsidP="00B700BC">
      <w:pPr>
        <w:tabs>
          <w:tab w:val="left" w:pos="1440"/>
        </w:tabs>
        <w:ind w:firstLine="720"/>
      </w:pPr>
      <w:r>
        <w:t>As noted earlier, our cases have long recognized that the mandatory-prohibitory distinction can prove challenging to apply.  It is not always easy to distinguish a restraint from a command, or vice versa.  There are no magic words that will distinguish the one from the other; the cases recognize that “ ‘</w:t>
      </w:r>
      <w:r w:rsidRPr="00A73DEC">
        <w:t>an order entirely negative or prohibitory in form may prove upon analysis to be mandatory and affirmative in essence and effect.</w:t>
      </w:r>
      <w:r>
        <w:t>’ ”</w:t>
      </w:r>
      <w:r w:rsidRPr="00E632E7">
        <w:rPr>
          <w:i/>
          <w:iCs/>
        </w:rPr>
        <w:t xml:space="preserve"> </w:t>
      </w:r>
      <w:r>
        <w:rPr>
          <w:i/>
          <w:iCs/>
        </w:rPr>
        <w:t xml:space="preserve"> </w:t>
      </w:r>
      <w:r>
        <w:t>(</w:t>
      </w:r>
      <w:r w:rsidRPr="004107A9">
        <w:rPr>
          <w:i/>
          <w:iCs/>
        </w:rPr>
        <w:t xml:space="preserve">URS Corp. v. Atkinson/Walsh Joint </w:t>
      </w:r>
      <w:r w:rsidRPr="009A7F62">
        <w:rPr>
          <w:i/>
          <w:iCs/>
        </w:rPr>
        <w:t>Venture</w:t>
      </w:r>
      <w:r>
        <w:t xml:space="preserve">, </w:t>
      </w:r>
      <w:r w:rsidRPr="009A7F62">
        <w:rPr>
          <w:i/>
          <w:iCs/>
        </w:rPr>
        <w:t>supra</w:t>
      </w:r>
      <w:r>
        <w:t xml:space="preserve">, </w:t>
      </w:r>
      <w:r w:rsidRPr="008D052B">
        <w:t>15</w:t>
      </w:r>
      <w:r w:rsidRPr="004107A9">
        <w:rPr>
          <w:i/>
          <w:iCs/>
        </w:rPr>
        <w:t xml:space="preserve"> </w:t>
      </w:r>
      <w:r w:rsidRPr="008D052B">
        <w:t xml:space="preserve">Cal.App.5th </w:t>
      </w:r>
      <w:r>
        <w:t>at p. </w:t>
      </w:r>
      <w:r w:rsidRPr="008D052B">
        <w:t>884</w:t>
      </w:r>
      <w:r w:rsidRPr="00817148">
        <w:t>, quo</w:t>
      </w:r>
      <w:r w:rsidRPr="002918E5">
        <w:t xml:space="preserve">ting </w:t>
      </w:r>
      <w:proofErr w:type="spellStart"/>
      <w:r>
        <w:rPr>
          <w:i/>
          <w:iCs/>
        </w:rPr>
        <w:t>Kettenhofen</w:t>
      </w:r>
      <w:proofErr w:type="spellEnd"/>
      <w:r>
        <w:rPr>
          <w:i/>
          <w:iCs/>
        </w:rPr>
        <w:t xml:space="preserve"> v. Superior Court</w:t>
      </w:r>
      <w:r w:rsidR="00972284" w:rsidRPr="00972284">
        <w:t>,</w:t>
      </w:r>
      <w:r w:rsidR="00972284">
        <w:rPr>
          <w:i/>
          <w:iCs/>
        </w:rPr>
        <w:t xml:space="preserve"> supra</w:t>
      </w:r>
      <w:r w:rsidR="00972284" w:rsidRPr="00972284">
        <w:t>,</w:t>
      </w:r>
      <w:r w:rsidR="00972284">
        <w:rPr>
          <w:i/>
          <w:iCs/>
        </w:rPr>
        <w:t xml:space="preserve"> </w:t>
      </w:r>
      <w:r>
        <w:t xml:space="preserve">55 Cal.2d </w:t>
      </w:r>
      <w:r w:rsidR="00972284">
        <w:t>at p. </w:t>
      </w:r>
      <w:r>
        <w:t>191</w:t>
      </w:r>
      <w:r w:rsidRPr="00817148">
        <w:t>.</w:t>
      </w:r>
      <w:r>
        <w:t xml:space="preserve">)  And in some cases, the injunction will plausibly be characterized as involving </w:t>
      </w:r>
      <w:r w:rsidRPr="00817148">
        <w:t>both</w:t>
      </w:r>
      <w:r>
        <w:t xml:space="preserve"> restraint </w:t>
      </w:r>
      <w:r w:rsidRPr="00817148">
        <w:t>and</w:t>
      </w:r>
      <w:r>
        <w:t xml:space="preserve"> command.  The same order may, for example, be characterized as simply prohibiting the defendant from repeating conduct the trial court has found unlawful, or as mandating that the defendant act affirmatively to surrender a right or a position occupied under a claim of right.  </w:t>
      </w:r>
      <w:r w:rsidRPr="00E55BC4">
        <w:t>(</w:t>
      </w:r>
      <w:r>
        <w:t>S</w:t>
      </w:r>
      <w:r w:rsidRPr="00E55BC4">
        <w:t>ee fn</w:t>
      </w:r>
      <w:r>
        <w:t>. 10</w:t>
      </w:r>
      <w:r w:rsidRPr="00E55BC4">
        <w:t xml:space="preserve">, </w:t>
      </w:r>
      <w:r w:rsidRPr="00E55BC4">
        <w:rPr>
          <w:i/>
          <w:iCs/>
        </w:rPr>
        <w:t>ante</w:t>
      </w:r>
      <w:r>
        <w:t>.</w:t>
      </w:r>
      <w:r w:rsidRPr="00E55BC4">
        <w:t>)</w:t>
      </w:r>
      <w:r>
        <w:t xml:space="preserve">  </w:t>
      </w:r>
    </w:p>
    <w:p w14:paraId="582E801E" w14:textId="1AA83DB0" w:rsidR="00B700BC" w:rsidRPr="00DC74BB" w:rsidRDefault="00B700BC" w:rsidP="00B700BC">
      <w:pPr>
        <w:tabs>
          <w:tab w:val="left" w:pos="1440"/>
        </w:tabs>
        <w:ind w:firstLine="720"/>
      </w:pPr>
      <w:r>
        <w:t xml:space="preserve">But problems of characterization aside, the mandatory/prohibitory distinction also appears </w:t>
      </w:r>
      <w:r w:rsidRPr="008F0FDF">
        <w:t>imperfectly aligned with the equitable considerations relevant</w:t>
      </w:r>
      <w:r>
        <w:t xml:space="preserve"> to the question of staying an order pending appeal.  (See </w:t>
      </w:r>
      <w:r w:rsidRPr="00182A0E">
        <w:rPr>
          <w:i/>
          <w:iCs/>
        </w:rPr>
        <w:t xml:space="preserve">People ex rel. </w:t>
      </w:r>
      <w:r w:rsidR="00972284">
        <w:rPr>
          <w:i/>
          <w:iCs/>
        </w:rPr>
        <w:t xml:space="preserve">S. F. Bay </w:t>
      </w:r>
      <w:proofErr w:type="gramStart"/>
      <w:r w:rsidR="00972284">
        <w:rPr>
          <w:i/>
          <w:iCs/>
        </w:rPr>
        <w:t>etc.</w:t>
      </w:r>
      <w:proofErr w:type="gramEnd"/>
      <w:r w:rsidR="00972284">
        <w:rPr>
          <w:i/>
          <w:iCs/>
        </w:rPr>
        <w:t xml:space="preserve"> Com. </w:t>
      </w:r>
      <w:r w:rsidRPr="00182A0E">
        <w:rPr>
          <w:i/>
          <w:iCs/>
        </w:rPr>
        <w:t>v. Town of Emeryville</w:t>
      </w:r>
      <w:r>
        <w:t xml:space="preserve">, </w:t>
      </w:r>
      <w:r w:rsidRPr="00866A6B">
        <w:rPr>
          <w:i/>
          <w:iCs/>
        </w:rPr>
        <w:t>supra</w:t>
      </w:r>
      <w:r>
        <w:t xml:space="preserve">, </w:t>
      </w:r>
      <w:r w:rsidRPr="00866A6B">
        <w:t>69</w:t>
      </w:r>
      <w:r w:rsidRPr="00182A0E">
        <w:t xml:space="preserve"> Cal.2d </w:t>
      </w:r>
      <w:r>
        <w:t>at p. </w:t>
      </w:r>
      <w:r w:rsidRPr="00182A0E">
        <w:t>537</w:t>
      </w:r>
      <w:r>
        <w:t xml:space="preserve"> [courts seek to do “justice” in issuing stays pending appeal, considering “</w:t>
      </w:r>
      <w:r w:rsidRPr="000C53CD">
        <w:t>the relative hardships on the parties</w:t>
      </w:r>
      <w:r>
        <w:t>” and “</w:t>
      </w:r>
      <w:r w:rsidRPr="000C53CD">
        <w:t>the likelihood that substantial questions will be raised on appeal</w:t>
      </w:r>
      <w:r>
        <w:t xml:space="preserve">”].)  </w:t>
      </w:r>
      <w:r w:rsidR="00BB4462">
        <w:t>T</w:t>
      </w:r>
      <w:r>
        <w:t xml:space="preserve">here is reason to doubt a strict application of the rule automatically staying mandatory injunctions will produce the most just result in all cases.  Because an appeal can take a </w:t>
      </w:r>
      <w:r>
        <w:lastRenderedPageBreak/>
        <w:t xml:space="preserve">substantial time to resolve, and because during that time the plaintiff may, in some cases, be significantly injured by the maintenance of the status quo, an automatic stay will </w:t>
      </w:r>
      <w:r w:rsidR="00BB4462">
        <w:t xml:space="preserve">not always be fair </w:t>
      </w:r>
      <w:r>
        <w:t>to prevailing plaintiffs with strong cases that are likely to be upheld on appeal.</w:t>
      </w:r>
      <w:r>
        <w:rPr>
          <w:rStyle w:val="FootnoteReference"/>
        </w:rPr>
        <w:footnoteReference w:id="13"/>
      </w:r>
      <w:r>
        <w:t xml:space="preserve">  A more flexible approach that permitted the trial and appellate courts to weigh the likelihood of each party’s success on appeal and the extent of irreparable injury each will suffer from the stay decision would allow courts to make more sensitive, case-specific judgments about whether the equities favor the stay of an injunctive order pending appeal.</w:t>
      </w:r>
    </w:p>
    <w:p w14:paraId="0AF5E960" w14:textId="5EAB92E9" w:rsidR="00B700BC" w:rsidRPr="00A155EF" w:rsidRDefault="00B700BC" w:rsidP="00B700BC">
      <w:pPr>
        <w:tabs>
          <w:tab w:val="left" w:pos="1440"/>
        </w:tabs>
        <w:ind w:firstLine="720"/>
      </w:pPr>
      <w:r>
        <w:t>Many jurisdictions provide courts with equitable discretion of this nature.  Federal courts employ a four</w:t>
      </w:r>
      <w:r>
        <w:noBreakHyphen/>
        <w:t xml:space="preserve">part analysis that considers the </w:t>
      </w:r>
      <w:r w:rsidRPr="00D017E9">
        <w:t>likel</w:t>
      </w:r>
      <w:r>
        <w:t>ihood of success</w:t>
      </w:r>
      <w:r w:rsidRPr="00D017E9">
        <w:t xml:space="preserve"> on the merits</w:t>
      </w:r>
      <w:r>
        <w:t xml:space="preserve"> as well as the types and extent of injuries, private and public, that may result from either course (stay or no stay).  (</w:t>
      </w:r>
      <w:r w:rsidRPr="00D017E9">
        <w:rPr>
          <w:i/>
          <w:iCs/>
        </w:rPr>
        <w:t xml:space="preserve">Hilton v. </w:t>
      </w:r>
      <w:proofErr w:type="spellStart"/>
      <w:r w:rsidRPr="00D017E9">
        <w:rPr>
          <w:i/>
          <w:iCs/>
        </w:rPr>
        <w:t>Braunskill</w:t>
      </w:r>
      <w:proofErr w:type="spellEnd"/>
      <w:r>
        <w:t xml:space="preserve"> (1987) </w:t>
      </w:r>
      <w:r w:rsidRPr="00937F81">
        <w:t>481</w:t>
      </w:r>
      <w:r w:rsidRPr="00D017E9">
        <w:t xml:space="preserve"> U.S. </w:t>
      </w:r>
      <w:r>
        <w:t xml:space="preserve">770, </w:t>
      </w:r>
      <w:r w:rsidRPr="00D017E9">
        <w:t>776</w:t>
      </w:r>
      <w:r>
        <w:t>.)</w:t>
      </w:r>
      <w:r>
        <w:rPr>
          <w:rStyle w:val="FootnoteReference"/>
        </w:rPr>
        <w:footnoteReference w:id="14"/>
      </w:r>
      <w:r>
        <w:t xml:space="preserve">  New York law </w:t>
      </w:r>
      <w:r>
        <w:lastRenderedPageBreak/>
        <w:t>establishes a set of presumptions favoring stays on appeal but allows courts the discretion to refuse or limit them in individual cases.  (</w:t>
      </w:r>
      <w:r w:rsidRPr="00D67733">
        <w:t>N.Y. C.P.L.R.</w:t>
      </w:r>
      <w:r>
        <w:t xml:space="preserve"> § </w:t>
      </w:r>
      <w:r w:rsidRPr="00D67733">
        <w:t>5519</w:t>
      </w:r>
      <w:r>
        <w:t>.)</w:t>
      </w:r>
      <w:r>
        <w:rPr>
          <w:rStyle w:val="FootnoteReference"/>
        </w:rPr>
        <w:footnoteReference w:id="15"/>
      </w:r>
      <w:r>
        <w:t xml:space="preserve">  Oregon law employs a test for discretionary trial court stays similar to the federal test (</w:t>
      </w:r>
      <w:r w:rsidRPr="00A86770">
        <w:t>Or. Rev. Stat. Ann.</w:t>
      </w:r>
      <w:r>
        <w:t xml:space="preserve"> § 19.350(3)) and allows the appellate courts to vacate or modify stays issued by the trial courts as well as to issue their own stays.  (</w:t>
      </w:r>
      <w:r>
        <w:rPr>
          <w:i/>
          <w:iCs/>
        </w:rPr>
        <w:t>Id.</w:t>
      </w:r>
      <w:r>
        <w:t>, § 19.360(4).)  New Jersey case law holds that in order to obtain a stay pending appeal of a trial court’s order, the moving party “</w:t>
      </w:r>
      <w:r w:rsidRPr="00785E00">
        <w:t>must demonstrate that (1) relief is needed to prevent irreparable harm; (2) the applicant</w:t>
      </w:r>
      <w:r>
        <w:t>’</w:t>
      </w:r>
      <w:r w:rsidRPr="00785E00">
        <w:t xml:space="preserve">s claim rests on settled law and has a reasonable probability of succeeding on the merits; and (3) balancing the </w:t>
      </w:r>
      <w:r>
        <w:t>‘</w:t>
      </w:r>
      <w:r w:rsidRPr="00785E00">
        <w:t>relative hardships to the parties reveals that greater harm would occur if a</w:t>
      </w:r>
      <w:r w:rsidR="0015010E">
        <w:t xml:space="preserve"> </w:t>
      </w:r>
      <w:r w:rsidRPr="00785E00">
        <w:t>stay</w:t>
      </w:r>
      <w:r w:rsidR="0015010E">
        <w:t xml:space="preserve"> </w:t>
      </w:r>
      <w:r w:rsidRPr="00785E00">
        <w:t>is not granted than if it were.</w:t>
      </w:r>
      <w:r>
        <w:t>’ </w:t>
      </w:r>
      <w:r w:rsidRPr="00785E00">
        <w:t>”</w:t>
      </w:r>
      <w:r>
        <w:t xml:space="preserve">  (</w:t>
      </w:r>
      <w:r w:rsidRPr="00785E00">
        <w:rPr>
          <w:i/>
          <w:iCs/>
        </w:rPr>
        <w:t>Garden State Equality v. Dow</w:t>
      </w:r>
      <w:r w:rsidRPr="00785E00">
        <w:t> (2013) 216 N.J. 314, 320</w:t>
      </w:r>
      <w:r>
        <w:t>.)  In Washington, similarly, “[w]</w:t>
      </w:r>
      <w:proofErr w:type="spellStart"/>
      <w:r w:rsidRPr="00A155EF">
        <w:t>hether</w:t>
      </w:r>
      <w:proofErr w:type="spellEnd"/>
      <w:r w:rsidRPr="00A155EF">
        <w:t xml:space="preserve"> a stay pending appeal should be granted depends on (1)</w:t>
      </w:r>
      <w:r>
        <w:t> </w:t>
      </w:r>
      <w:r w:rsidRPr="00A155EF">
        <w:t>whether the issue presented by the</w:t>
      </w:r>
      <w:r>
        <w:t xml:space="preserve"> </w:t>
      </w:r>
      <w:r w:rsidRPr="00A155EF">
        <w:t>appeal</w:t>
      </w:r>
      <w:r>
        <w:t xml:space="preserve"> </w:t>
      </w:r>
      <w:r w:rsidRPr="00A155EF">
        <w:t>is debatable, and (2)</w:t>
      </w:r>
      <w:r>
        <w:t> </w:t>
      </w:r>
      <w:r w:rsidRPr="00A155EF">
        <w:t>whether a</w:t>
      </w:r>
      <w:r>
        <w:t xml:space="preserve"> </w:t>
      </w:r>
      <w:r w:rsidRPr="00A155EF">
        <w:t>stay</w:t>
      </w:r>
      <w:r>
        <w:t xml:space="preserve"> </w:t>
      </w:r>
      <w:r w:rsidRPr="00A155EF">
        <w:t xml:space="preserve">is necessary to preserve for the movant the </w:t>
      </w:r>
      <w:r w:rsidRPr="00A155EF">
        <w:lastRenderedPageBreak/>
        <w:t>fruits of a successful appeal, considering the equities of the situation.</w:t>
      </w:r>
      <w:r>
        <w:t>”  (</w:t>
      </w:r>
      <w:r w:rsidRPr="00A155EF">
        <w:rPr>
          <w:i/>
          <w:iCs/>
        </w:rPr>
        <w:t>Purser v. Rahm</w:t>
      </w:r>
      <w:r w:rsidRPr="00A155EF">
        <w:t> (1985) 104 Wash.2d 159, 177</w:t>
      </w:r>
      <w:r>
        <w:t>.)</w:t>
      </w:r>
    </w:p>
    <w:p w14:paraId="1706BFA0" w14:textId="2E50E116" w:rsidR="00B700BC" w:rsidRDefault="00B700BC" w:rsidP="00B700BC">
      <w:pPr>
        <w:tabs>
          <w:tab w:val="left" w:pos="1440"/>
        </w:tabs>
        <w:ind w:firstLine="720"/>
      </w:pPr>
      <w:r>
        <w:t xml:space="preserve">In contrast, California statutes provide both trial and appellate courts general discretion (subject to certain statutory limits) to stay orders, including injunctions (Code Civ. Proc., </w:t>
      </w:r>
      <w:r w:rsidRPr="00A954BB">
        <w:t>§§</w:t>
      </w:r>
      <w:r>
        <w:t> 918, 923), but do not appear to authorize the general exercise of equitable discretion to countermand or modify the stay of an injunction imposed automatically under Code of Civil Procedure section 916.</w:t>
      </w:r>
      <w:r>
        <w:rPr>
          <w:rStyle w:val="FootnoteReference"/>
        </w:rPr>
        <w:footnoteReference w:id="16"/>
      </w:r>
      <w:r>
        <w:t xml:space="preserve">  (An exception, noted earlier, is Code of Civil Procedure section 1110b, which authorizes a court to leave a writ of mandate unstayed when the stay would cause the plaintiff “</w:t>
      </w:r>
      <w:r w:rsidRPr="003C3969">
        <w:t>irreparable damage in his business or profession</w:t>
      </w:r>
      <w:r>
        <w:t>.”)  In cases where the trial court’s order has not automatically been stayed, California appellate courts engage in a balancing of the equities in deciding whether to issue a writ of supersedeas pursuant to Code of Civil Procedure section 923.  (</w:t>
      </w:r>
      <w:r w:rsidRPr="00182A0E">
        <w:rPr>
          <w:i/>
          <w:iCs/>
        </w:rPr>
        <w:t>People ex rel. S</w:t>
      </w:r>
      <w:r w:rsidR="00972284">
        <w:rPr>
          <w:i/>
          <w:iCs/>
        </w:rPr>
        <w:t xml:space="preserve">. F. Bay </w:t>
      </w:r>
      <w:proofErr w:type="gramStart"/>
      <w:r w:rsidR="00972284">
        <w:rPr>
          <w:i/>
          <w:iCs/>
        </w:rPr>
        <w:t>etc.</w:t>
      </w:r>
      <w:proofErr w:type="gramEnd"/>
      <w:r w:rsidR="00972284">
        <w:rPr>
          <w:i/>
          <w:iCs/>
        </w:rPr>
        <w:t xml:space="preserve"> Com. v</w:t>
      </w:r>
      <w:r w:rsidRPr="00182A0E">
        <w:rPr>
          <w:i/>
          <w:iCs/>
        </w:rPr>
        <w:t>. Town of Emeryville</w:t>
      </w:r>
      <w:r w:rsidRPr="00AD29E2">
        <w:t xml:space="preserve">, </w:t>
      </w:r>
      <w:r w:rsidRPr="00AD29E2">
        <w:rPr>
          <w:i/>
          <w:iCs/>
        </w:rPr>
        <w:t>supra</w:t>
      </w:r>
      <w:r w:rsidRPr="00AD29E2">
        <w:t>, 69</w:t>
      </w:r>
      <w:r w:rsidRPr="00182A0E">
        <w:t xml:space="preserve"> Cal.2d </w:t>
      </w:r>
      <w:r w:rsidRPr="00AD29E2">
        <w:t>at p.</w:t>
      </w:r>
      <w:r>
        <w:t> </w:t>
      </w:r>
      <w:r w:rsidRPr="00182A0E">
        <w:t>537</w:t>
      </w:r>
      <w:r>
        <w:t xml:space="preserve">; </w:t>
      </w:r>
      <w:r w:rsidRPr="00B43C76">
        <w:t>E</w:t>
      </w:r>
      <w:r>
        <w:t>isenberg</w:t>
      </w:r>
      <w:r w:rsidR="00972284">
        <w:t xml:space="preserve"> et al.</w:t>
      </w:r>
      <w:r>
        <w:t>, Cal. Practice Guide:  Civil Appeals and Writs (</w:t>
      </w:r>
      <w:r w:rsidR="00972284">
        <w:t>The Rutter Group 2020</w:t>
      </w:r>
      <w:r w:rsidR="001B1299">
        <w:t xml:space="preserve">) </w:t>
      </w:r>
      <w:r w:rsidR="00972284">
        <w:t>¶¶</w:t>
      </w:r>
      <w:r w:rsidR="00523890">
        <w:t> </w:t>
      </w:r>
      <w:r w:rsidR="00972284">
        <w:t>7:279 to 7:281, pp. 7-79 to</w:t>
      </w:r>
      <w:r w:rsidR="007030CE">
        <w:t xml:space="preserve"> </w:t>
      </w:r>
      <w:r w:rsidR="00972284">
        <w:t>7-80.</w:t>
      </w:r>
      <w:r>
        <w:t xml:space="preserve">)  </w:t>
      </w:r>
      <w:r w:rsidR="00CE5369">
        <w:t>Given the</w:t>
      </w:r>
      <w:r>
        <w:t xml:space="preserve"> essentially equitable nature of the stay pending </w:t>
      </w:r>
      <w:r>
        <w:lastRenderedPageBreak/>
        <w:t>appeal</w:t>
      </w:r>
      <w:r w:rsidR="00CE5369">
        <w:t xml:space="preserve">, </w:t>
      </w:r>
      <w:r>
        <w:t xml:space="preserve">it would </w:t>
      </w:r>
      <w:r w:rsidR="00EF2743">
        <w:t xml:space="preserve">seem to </w:t>
      </w:r>
      <w:r>
        <w:t>make sense for both trial and appellate courts to have the same authority</w:t>
      </w:r>
      <w:r w:rsidR="00D3767E">
        <w:t xml:space="preserve"> </w:t>
      </w:r>
      <w:r>
        <w:t>to order</w:t>
      </w:r>
      <w:r w:rsidR="004523C0">
        <w:t>, when justice demands it,</w:t>
      </w:r>
      <w:r>
        <w:t xml:space="preserve"> that a mandatory injunction take effect notwithstanding the filing of an appeal from the injunctive order.  This issue is beyond the scope of the questions presented and briefed in this case for our review, so we do not answer it here.  But the Legislature may always, if it chooses, reexamine California’s statutory law governing stays pending appeal and decide whether the law would be better served by an approach that permits courts to take account of a wider array of equitable considerations than does present law.</w:t>
      </w:r>
    </w:p>
    <w:p w14:paraId="78F215FE" w14:textId="77777777" w:rsidR="00B700BC" w:rsidRPr="00010DE4" w:rsidRDefault="00B700BC" w:rsidP="00B700BC">
      <w:pPr>
        <w:pStyle w:val="Heading1"/>
        <w:spacing w:before="0" w:line="400" w:lineRule="exact"/>
      </w:pPr>
      <w:r w:rsidRPr="00EB412E">
        <w:t>I</w:t>
      </w:r>
      <w:r>
        <w:t>V</w:t>
      </w:r>
      <w:r w:rsidRPr="00EB412E">
        <w:t>.</w:t>
      </w:r>
    </w:p>
    <w:p w14:paraId="7A42AC4D" w14:textId="3425EA66" w:rsidR="00B700BC" w:rsidRPr="00EB412E" w:rsidRDefault="00B700BC" w:rsidP="00526E3F">
      <w:pPr>
        <w:tabs>
          <w:tab w:val="left" w:pos="1440"/>
        </w:tabs>
        <w:ind w:firstLine="720"/>
      </w:pPr>
      <w:r w:rsidRPr="00EB412E">
        <w:t xml:space="preserve">The superior court’s order requiring the Board to rescind its appointment of Rowe as a supervisor and to instead seat an appointee named by the Governor was subject to an automatic stay of enforcement pending the Board and Rowe’s appeal on the merits.  (Code Civ. Proc., § 916, </w:t>
      </w:r>
      <w:proofErr w:type="spellStart"/>
      <w:r w:rsidRPr="00EB412E">
        <w:t>subd</w:t>
      </w:r>
      <w:proofErr w:type="spellEnd"/>
      <w:r w:rsidRPr="00EB412E">
        <w:t xml:space="preserve">. (a).)  The Board and Rowe were entitled to a writ of supersedeas effectuating such a stay.  </w:t>
      </w:r>
      <w:r>
        <w:t>W</w:t>
      </w:r>
      <w:r w:rsidRPr="00EB412E">
        <w:t>e therefore</w:t>
      </w:r>
      <w:r>
        <w:t xml:space="preserve"> </w:t>
      </w:r>
      <w:r w:rsidRPr="00EB412E">
        <w:t>reverse the Court of Appeal’s order denying the writ and remand for further proceedings consistent with our opinion.</w:t>
      </w:r>
      <w:r>
        <w:t xml:space="preserve">  The stay of proceedings previously issued by this court is dissolved.</w:t>
      </w:r>
    </w:p>
    <w:p w14:paraId="6AD91010" w14:textId="59E27F66" w:rsidR="00B700BC" w:rsidRDefault="00B700BC" w:rsidP="00B700BC">
      <w:pPr>
        <w:tabs>
          <w:tab w:val="left" w:pos="1440"/>
        </w:tabs>
        <w:ind w:firstLine="720"/>
        <w:rPr>
          <w:b/>
          <w:bCs/>
        </w:rPr>
      </w:pPr>
      <w:r w:rsidRPr="00EB412E">
        <w:tab/>
      </w:r>
      <w:r w:rsidRPr="00EB412E">
        <w:tab/>
      </w:r>
      <w:r w:rsidRPr="00EB412E">
        <w:tab/>
      </w:r>
      <w:r w:rsidRPr="00EB412E">
        <w:tab/>
      </w:r>
      <w:r w:rsidRPr="00EB412E">
        <w:tab/>
      </w:r>
      <w:r>
        <w:tab/>
      </w:r>
      <w:r>
        <w:tab/>
        <w:t xml:space="preserve">   </w:t>
      </w:r>
      <w:r w:rsidRPr="00EB412E">
        <w:rPr>
          <w:b/>
          <w:bCs/>
        </w:rPr>
        <w:t>KRUGER, J.</w:t>
      </w:r>
    </w:p>
    <w:p w14:paraId="244A2D07" w14:textId="77777777" w:rsidR="00B700BC" w:rsidRPr="00EB412E" w:rsidRDefault="00B700BC" w:rsidP="00B700BC">
      <w:pPr>
        <w:tabs>
          <w:tab w:val="left" w:pos="1440"/>
        </w:tabs>
        <w:ind w:firstLine="720"/>
        <w:rPr>
          <w:b/>
          <w:bCs/>
        </w:rPr>
      </w:pPr>
    </w:p>
    <w:p w14:paraId="4CAE18B8" w14:textId="58D33853" w:rsidR="00B700BC" w:rsidRDefault="00B700BC" w:rsidP="00B700BC">
      <w:pPr>
        <w:tabs>
          <w:tab w:val="left" w:pos="1440"/>
        </w:tabs>
        <w:rPr>
          <w:b/>
          <w:bCs/>
        </w:rPr>
      </w:pPr>
      <w:r w:rsidRPr="00DA7ADF">
        <w:rPr>
          <w:b/>
          <w:bCs/>
        </w:rPr>
        <w:t>We Concur:</w:t>
      </w:r>
    </w:p>
    <w:p w14:paraId="4133A0B2" w14:textId="77777777" w:rsidR="00BC0BD3" w:rsidRDefault="00BC0BD3" w:rsidP="00BC0BD3">
      <w:pPr>
        <w:tabs>
          <w:tab w:val="left" w:pos="1440"/>
        </w:tabs>
        <w:spacing w:after="0" w:line="240" w:lineRule="auto"/>
        <w:rPr>
          <w:b/>
          <w:bCs/>
        </w:rPr>
      </w:pPr>
      <w:r>
        <w:rPr>
          <w:b/>
          <w:bCs/>
        </w:rPr>
        <w:t>CANTIL-SAKAUYE, C. J.</w:t>
      </w:r>
    </w:p>
    <w:p w14:paraId="74A8B64F" w14:textId="77777777" w:rsidR="00BC0BD3" w:rsidRDefault="00BC0BD3" w:rsidP="00BC0BD3">
      <w:pPr>
        <w:tabs>
          <w:tab w:val="left" w:pos="1440"/>
        </w:tabs>
        <w:spacing w:after="0" w:line="240" w:lineRule="auto"/>
        <w:rPr>
          <w:b/>
          <w:bCs/>
        </w:rPr>
      </w:pPr>
      <w:r>
        <w:rPr>
          <w:b/>
          <w:bCs/>
        </w:rPr>
        <w:t>CORRIGAN, J.</w:t>
      </w:r>
    </w:p>
    <w:p w14:paraId="0766F940" w14:textId="77777777" w:rsidR="00BC0BD3" w:rsidRDefault="00BC0BD3" w:rsidP="00BC0BD3">
      <w:pPr>
        <w:tabs>
          <w:tab w:val="left" w:pos="1440"/>
        </w:tabs>
        <w:spacing w:after="0" w:line="240" w:lineRule="auto"/>
        <w:rPr>
          <w:b/>
          <w:bCs/>
        </w:rPr>
      </w:pPr>
      <w:r>
        <w:rPr>
          <w:b/>
          <w:bCs/>
        </w:rPr>
        <w:t>LIU, J.</w:t>
      </w:r>
    </w:p>
    <w:p w14:paraId="1474CC2B" w14:textId="77777777" w:rsidR="00BC0BD3" w:rsidRDefault="00BC0BD3" w:rsidP="00BC0BD3">
      <w:pPr>
        <w:tabs>
          <w:tab w:val="left" w:pos="1440"/>
        </w:tabs>
        <w:spacing w:after="0" w:line="240" w:lineRule="auto"/>
        <w:rPr>
          <w:b/>
          <w:bCs/>
        </w:rPr>
      </w:pPr>
      <w:r>
        <w:rPr>
          <w:b/>
          <w:bCs/>
        </w:rPr>
        <w:t>CUÉLLAR, J.</w:t>
      </w:r>
    </w:p>
    <w:p w14:paraId="5FC93EC6" w14:textId="77777777" w:rsidR="00BC0BD3" w:rsidRDefault="00BC0BD3" w:rsidP="00BC0BD3">
      <w:pPr>
        <w:tabs>
          <w:tab w:val="left" w:pos="1440"/>
        </w:tabs>
        <w:spacing w:after="0" w:line="240" w:lineRule="auto"/>
        <w:rPr>
          <w:b/>
          <w:bCs/>
        </w:rPr>
      </w:pPr>
      <w:r>
        <w:rPr>
          <w:b/>
          <w:bCs/>
        </w:rPr>
        <w:t>GROBAN, J.</w:t>
      </w:r>
    </w:p>
    <w:p w14:paraId="210B0AB5" w14:textId="77777777" w:rsidR="00A23A04" w:rsidRDefault="00BC0BD3" w:rsidP="00BC0BD3">
      <w:pPr>
        <w:tabs>
          <w:tab w:val="left" w:pos="1440"/>
        </w:tabs>
        <w:spacing w:after="0" w:line="240" w:lineRule="auto"/>
        <w:rPr>
          <w:b/>
          <w:bCs/>
        </w:rPr>
        <w:sectPr w:rsidR="00A23A04" w:rsidSect="00B700BC">
          <w:footerReference w:type="first" r:id="rId9"/>
          <w:pgSz w:w="12240" w:h="15840"/>
          <w:pgMar w:top="1800" w:right="2160" w:bottom="1440" w:left="2160" w:header="720" w:footer="720" w:gutter="0"/>
          <w:pgNumType w:start="1"/>
          <w:cols w:space="720"/>
          <w:titlePg/>
          <w:docGrid w:linePitch="367"/>
        </w:sectPr>
      </w:pPr>
      <w:r>
        <w:rPr>
          <w:b/>
          <w:bCs/>
        </w:rPr>
        <w:t>JENKINS, J.</w:t>
      </w:r>
    </w:p>
    <w:p w14:paraId="3C235E53" w14:textId="77777777" w:rsidR="00DB176B" w:rsidRPr="00DB176B" w:rsidRDefault="00DB176B" w:rsidP="00DB176B">
      <w:pPr>
        <w:spacing w:after="0" w:line="240" w:lineRule="auto"/>
        <w:jc w:val="left"/>
        <w:rPr>
          <w:i/>
          <w:sz w:val="24"/>
          <w:szCs w:val="24"/>
        </w:rPr>
      </w:pPr>
      <w:r w:rsidRPr="00DB176B">
        <w:rPr>
          <w:i/>
          <w:sz w:val="24"/>
          <w:szCs w:val="24"/>
        </w:rPr>
        <w:lastRenderedPageBreak/>
        <w:t>See next page for addresses and telephone numbers for counsel who argued in Supreme Court.</w:t>
      </w:r>
    </w:p>
    <w:p w14:paraId="33E662BB" w14:textId="77777777" w:rsidR="00DB176B" w:rsidRPr="00DB176B" w:rsidRDefault="00DB176B" w:rsidP="00DB176B">
      <w:pPr>
        <w:spacing w:after="0" w:line="240" w:lineRule="auto"/>
        <w:jc w:val="left"/>
        <w:rPr>
          <w:i/>
          <w:sz w:val="24"/>
          <w:szCs w:val="24"/>
        </w:rPr>
      </w:pPr>
    </w:p>
    <w:p w14:paraId="28666BD6" w14:textId="77777777" w:rsidR="00DB176B" w:rsidRPr="00DB176B" w:rsidRDefault="00DB176B" w:rsidP="00DB176B">
      <w:pPr>
        <w:spacing w:after="0" w:line="240" w:lineRule="auto"/>
        <w:jc w:val="left"/>
        <w:rPr>
          <w:bCs/>
          <w:sz w:val="24"/>
          <w:szCs w:val="24"/>
        </w:rPr>
      </w:pPr>
      <w:r w:rsidRPr="00DB176B">
        <w:rPr>
          <w:b/>
          <w:sz w:val="24"/>
          <w:szCs w:val="24"/>
        </w:rPr>
        <w:t xml:space="preserve">Name of Opinion </w:t>
      </w:r>
      <w:r w:rsidRPr="00DB176B">
        <w:rPr>
          <w:bCs/>
          <w:sz w:val="24"/>
          <w:szCs w:val="24"/>
        </w:rPr>
        <w:t xml:space="preserve"> Daly v. San Bernardino County Board of Supervisors </w:t>
      </w:r>
    </w:p>
    <w:p w14:paraId="7C43CAA7" w14:textId="77777777" w:rsidR="00DB176B" w:rsidRPr="00DB176B" w:rsidRDefault="00DB176B" w:rsidP="00DB176B">
      <w:pPr>
        <w:spacing w:after="0" w:line="240" w:lineRule="auto"/>
        <w:jc w:val="left"/>
        <w:rPr>
          <w:b/>
          <w:sz w:val="24"/>
          <w:szCs w:val="24"/>
        </w:rPr>
      </w:pPr>
      <w:r w:rsidRPr="00DB176B">
        <w:rPr>
          <w:b/>
          <w:sz w:val="24"/>
          <w:szCs w:val="24"/>
        </w:rPr>
        <w:t xml:space="preserve">__________________________________________________________ </w:t>
      </w:r>
    </w:p>
    <w:p w14:paraId="4FC267AC" w14:textId="77777777" w:rsidR="00DB176B" w:rsidRPr="00DB176B" w:rsidRDefault="00DB176B" w:rsidP="00DB176B">
      <w:pPr>
        <w:spacing w:after="0" w:line="240" w:lineRule="auto"/>
        <w:jc w:val="left"/>
        <w:rPr>
          <w:b/>
          <w:sz w:val="24"/>
          <w:szCs w:val="24"/>
        </w:rPr>
      </w:pPr>
    </w:p>
    <w:p w14:paraId="701006D3" w14:textId="77777777" w:rsidR="00DB176B" w:rsidRPr="00DB176B" w:rsidRDefault="00DB176B" w:rsidP="00DB176B">
      <w:pPr>
        <w:spacing w:after="0" w:line="240" w:lineRule="auto"/>
        <w:jc w:val="left"/>
        <w:rPr>
          <w:sz w:val="24"/>
          <w:szCs w:val="24"/>
        </w:rPr>
      </w:pPr>
      <w:r w:rsidRPr="00DB176B">
        <w:rPr>
          <w:b/>
          <w:bCs/>
          <w:sz w:val="24"/>
          <w:szCs w:val="24"/>
          <w:u w:val="single"/>
        </w:rPr>
        <w:t>Procedural Posture</w:t>
      </w:r>
      <w:r w:rsidRPr="00DB176B">
        <w:rPr>
          <w:b/>
          <w:bCs/>
          <w:sz w:val="24"/>
          <w:szCs w:val="24"/>
        </w:rPr>
        <w:t xml:space="preserve"> </w:t>
      </w:r>
      <w:r w:rsidRPr="00DB176B">
        <w:rPr>
          <w:sz w:val="24"/>
          <w:szCs w:val="24"/>
        </w:rPr>
        <w:t>(see XX below)</w:t>
      </w:r>
    </w:p>
    <w:p w14:paraId="31E2C896" w14:textId="77777777" w:rsidR="00DB176B" w:rsidRPr="00DB176B" w:rsidRDefault="00DB176B" w:rsidP="00DB176B">
      <w:pPr>
        <w:spacing w:after="0" w:line="240" w:lineRule="auto"/>
        <w:jc w:val="left"/>
        <w:rPr>
          <w:sz w:val="24"/>
          <w:szCs w:val="24"/>
        </w:rPr>
      </w:pPr>
      <w:r w:rsidRPr="00DB176B">
        <w:rPr>
          <w:b/>
          <w:bCs/>
          <w:sz w:val="24"/>
          <w:szCs w:val="24"/>
        </w:rPr>
        <w:t>Original Appeal</w:t>
      </w:r>
      <w:r w:rsidRPr="00DB176B">
        <w:rPr>
          <w:sz w:val="24"/>
          <w:szCs w:val="24"/>
        </w:rPr>
        <w:t xml:space="preserve"> </w:t>
      </w:r>
    </w:p>
    <w:p w14:paraId="6435E6C0" w14:textId="77777777" w:rsidR="00DB176B" w:rsidRPr="00DB176B" w:rsidRDefault="00DB176B" w:rsidP="00DB176B">
      <w:pPr>
        <w:spacing w:after="0" w:line="240" w:lineRule="auto"/>
        <w:jc w:val="left"/>
        <w:rPr>
          <w:b/>
          <w:bCs/>
          <w:sz w:val="24"/>
          <w:szCs w:val="24"/>
        </w:rPr>
      </w:pPr>
      <w:r w:rsidRPr="00DB176B">
        <w:rPr>
          <w:b/>
          <w:bCs/>
          <w:sz w:val="24"/>
          <w:szCs w:val="24"/>
        </w:rPr>
        <w:t>Original Proceeding</w:t>
      </w:r>
    </w:p>
    <w:p w14:paraId="02E23FCD" w14:textId="77777777" w:rsidR="00DB176B" w:rsidRPr="00DB176B" w:rsidRDefault="00DB176B" w:rsidP="00DB176B">
      <w:pPr>
        <w:spacing w:after="0" w:line="240" w:lineRule="auto"/>
        <w:jc w:val="left"/>
        <w:rPr>
          <w:sz w:val="24"/>
          <w:szCs w:val="24"/>
        </w:rPr>
      </w:pPr>
      <w:r w:rsidRPr="00DB176B">
        <w:rPr>
          <w:b/>
          <w:bCs/>
          <w:sz w:val="24"/>
          <w:szCs w:val="24"/>
        </w:rPr>
        <w:t>Review Granted</w:t>
      </w:r>
      <w:r w:rsidRPr="00DB176B">
        <w:rPr>
          <w:sz w:val="24"/>
          <w:szCs w:val="24"/>
        </w:rPr>
        <w:t xml:space="preserve"> </w:t>
      </w:r>
      <w:r w:rsidRPr="00DB176B">
        <w:rPr>
          <w:b/>
          <w:bCs/>
          <w:sz w:val="24"/>
          <w:szCs w:val="24"/>
        </w:rPr>
        <w:t xml:space="preserve">(published) </w:t>
      </w:r>
    </w:p>
    <w:p w14:paraId="3CB64C1A" w14:textId="77777777" w:rsidR="00DB176B" w:rsidRPr="00DB176B" w:rsidRDefault="00DB176B" w:rsidP="00DB176B">
      <w:pPr>
        <w:spacing w:after="0" w:line="240" w:lineRule="auto"/>
        <w:jc w:val="left"/>
        <w:rPr>
          <w:sz w:val="24"/>
          <w:szCs w:val="24"/>
        </w:rPr>
      </w:pPr>
      <w:r w:rsidRPr="00DB176B">
        <w:rPr>
          <w:b/>
          <w:bCs/>
          <w:sz w:val="24"/>
          <w:szCs w:val="24"/>
        </w:rPr>
        <w:t xml:space="preserve">Review Granted (unpublished) </w:t>
      </w:r>
      <w:r w:rsidRPr="00DB176B">
        <w:rPr>
          <w:sz w:val="24"/>
          <w:szCs w:val="24"/>
        </w:rPr>
        <w:t>XX NP order filed 1/8/20 – 4th Dist., Div. 2</w:t>
      </w:r>
    </w:p>
    <w:p w14:paraId="389256DE" w14:textId="77777777" w:rsidR="00DB176B" w:rsidRPr="00DB176B" w:rsidRDefault="00DB176B" w:rsidP="00DB176B">
      <w:pPr>
        <w:spacing w:after="0" w:line="240" w:lineRule="auto"/>
        <w:jc w:val="left"/>
        <w:rPr>
          <w:b/>
          <w:bCs/>
          <w:sz w:val="24"/>
          <w:szCs w:val="24"/>
        </w:rPr>
      </w:pPr>
      <w:r w:rsidRPr="00DB176B">
        <w:rPr>
          <w:b/>
          <w:bCs/>
          <w:sz w:val="24"/>
          <w:szCs w:val="24"/>
        </w:rPr>
        <w:t>Rehearing Granted</w:t>
      </w:r>
    </w:p>
    <w:p w14:paraId="611B4FD3" w14:textId="77777777" w:rsidR="00DB176B" w:rsidRPr="00DB176B" w:rsidRDefault="00DB176B" w:rsidP="00DB176B">
      <w:pPr>
        <w:spacing w:after="0" w:line="240" w:lineRule="auto"/>
        <w:jc w:val="left"/>
        <w:rPr>
          <w:b/>
          <w:sz w:val="24"/>
          <w:szCs w:val="24"/>
        </w:rPr>
      </w:pPr>
    </w:p>
    <w:p w14:paraId="6FD22EEF" w14:textId="77777777" w:rsidR="00DB176B" w:rsidRPr="00DB176B" w:rsidRDefault="00DB176B" w:rsidP="00DB176B">
      <w:pPr>
        <w:spacing w:after="0" w:line="240" w:lineRule="auto"/>
        <w:jc w:val="left"/>
        <w:rPr>
          <w:b/>
          <w:sz w:val="24"/>
          <w:szCs w:val="24"/>
        </w:rPr>
      </w:pPr>
      <w:r w:rsidRPr="00DB176B">
        <w:rPr>
          <w:b/>
          <w:sz w:val="24"/>
          <w:szCs w:val="24"/>
        </w:rPr>
        <w:t xml:space="preserve">__________________________________________________________ </w:t>
      </w:r>
    </w:p>
    <w:p w14:paraId="6D5F8C7E" w14:textId="77777777" w:rsidR="00DB176B" w:rsidRPr="00DB176B" w:rsidRDefault="00DB176B" w:rsidP="00DB176B">
      <w:pPr>
        <w:spacing w:after="0" w:line="240" w:lineRule="auto"/>
        <w:jc w:val="left"/>
        <w:rPr>
          <w:b/>
          <w:sz w:val="24"/>
          <w:szCs w:val="24"/>
        </w:rPr>
      </w:pPr>
    </w:p>
    <w:p w14:paraId="059DBFC7" w14:textId="77777777" w:rsidR="00DB176B" w:rsidRPr="00DB176B" w:rsidRDefault="00DB176B" w:rsidP="00DB176B">
      <w:pPr>
        <w:spacing w:after="0" w:line="240" w:lineRule="auto"/>
        <w:jc w:val="left"/>
        <w:rPr>
          <w:bCs/>
          <w:sz w:val="24"/>
          <w:szCs w:val="24"/>
        </w:rPr>
      </w:pPr>
      <w:r w:rsidRPr="00DB176B">
        <w:rPr>
          <w:b/>
          <w:sz w:val="24"/>
          <w:szCs w:val="24"/>
        </w:rPr>
        <w:t>Opinion No.</w:t>
      </w:r>
      <w:r w:rsidRPr="00DB176B">
        <w:rPr>
          <w:sz w:val="24"/>
          <w:szCs w:val="24"/>
        </w:rPr>
        <w:t xml:space="preserve"> S260209</w:t>
      </w:r>
    </w:p>
    <w:p w14:paraId="0FD2EE77" w14:textId="77777777" w:rsidR="00DB176B" w:rsidRPr="00DB176B" w:rsidRDefault="00DB176B" w:rsidP="00DB176B">
      <w:pPr>
        <w:spacing w:after="0" w:line="240" w:lineRule="auto"/>
        <w:jc w:val="left"/>
        <w:rPr>
          <w:bCs/>
          <w:sz w:val="24"/>
          <w:szCs w:val="24"/>
        </w:rPr>
      </w:pPr>
      <w:r w:rsidRPr="00DB176B">
        <w:rPr>
          <w:b/>
          <w:sz w:val="24"/>
          <w:szCs w:val="24"/>
        </w:rPr>
        <w:t>Date Filed:</w:t>
      </w:r>
      <w:r w:rsidRPr="00DB176B">
        <w:rPr>
          <w:sz w:val="24"/>
          <w:szCs w:val="24"/>
        </w:rPr>
        <w:t xml:space="preserve"> August 9, 2021</w:t>
      </w:r>
    </w:p>
    <w:p w14:paraId="2A131569" w14:textId="77777777" w:rsidR="00DB176B" w:rsidRPr="00DB176B" w:rsidRDefault="00DB176B" w:rsidP="00DB176B">
      <w:pPr>
        <w:spacing w:after="0" w:line="240" w:lineRule="auto"/>
        <w:jc w:val="left"/>
        <w:rPr>
          <w:b/>
          <w:sz w:val="24"/>
          <w:szCs w:val="24"/>
        </w:rPr>
      </w:pPr>
      <w:r w:rsidRPr="00DB176B">
        <w:rPr>
          <w:b/>
          <w:sz w:val="24"/>
          <w:szCs w:val="24"/>
        </w:rPr>
        <w:t xml:space="preserve">__________________________________________________________ </w:t>
      </w:r>
    </w:p>
    <w:p w14:paraId="3929303E" w14:textId="77777777" w:rsidR="00DB176B" w:rsidRPr="00DB176B" w:rsidRDefault="00DB176B" w:rsidP="00DB176B">
      <w:pPr>
        <w:spacing w:after="0" w:line="240" w:lineRule="auto"/>
        <w:jc w:val="left"/>
        <w:rPr>
          <w:b/>
          <w:sz w:val="24"/>
          <w:szCs w:val="24"/>
        </w:rPr>
      </w:pPr>
    </w:p>
    <w:p w14:paraId="7C2C7EDB" w14:textId="77777777" w:rsidR="00DB176B" w:rsidRPr="00DB176B" w:rsidRDefault="00DB176B" w:rsidP="00DB176B">
      <w:pPr>
        <w:spacing w:after="0" w:line="240" w:lineRule="auto"/>
        <w:jc w:val="left"/>
        <w:rPr>
          <w:bCs/>
          <w:sz w:val="24"/>
          <w:szCs w:val="24"/>
        </w:rPr>
      </w:pPr>
      <w:r w:rsidRPr="00DB176B">
        <w:rPr>
          <w:b/>
          <w:sz w:val="24"/>
          <w:szCs w:val="24"/>
        </w:rPr>
        <w:t xml:space="preserve">Court:  </w:t>
      </w:r>
      <w:r w:rsidRPr="00DB176B">
        <w:rPr>
          <w:bCs/>
          <w:sz w:val="24"/>
          <w:szCs w:val="24"/>
        </w:rPr>
        <w:t>Superior</w:t>
      </w:r>
      <w:r w:rsidRPr="00DB176B">
        <w:rPr>
          <w:b/>
          <w:sz w:val="24"/>
          <w:szCs w:val="24"/>
        </w:rPr>
        <w:t xml:space="preserve"> </w:t>
      </w:r>
    </w:p>
    <w:p w14:paraId="520B8A93" w14:textId="77777777" w:rsidR="00DB176B" w:rsidRPr="00DB176B" w:rsidRDefault="00DB176B" w:rsidP="00DB176B">
      <w:pPr>
        <w:spacing w:after="0" w:line="240" w:lineRule="auto"/>
        <w:jc w:val="left"/>
        <w:rPr>
          <w:bCs/>
          <w:sz w:val="24"/>
          <w:szCs w:val="24"/>
        </w:rPr>
      </w:pPr>
      <w:r w:rsidRPr="00DB176B">
        <w:rPr>
          <w:b/>
          <w:sz w:val="24"/>
          <w:szCs w:val="24"/>
        </w:rPr>
        <w:t xml:space="preserve">County: </w:t>
      </w:r>
      <w:r w:rsidRPr="00DB176B">
        <w:rPr>
          <w:bCs/>
          <w:sz w:val="24"/>
          <w:szCs w:val="24"/>
        </w:rPr>
        <w:t>San Bernardino</w:t>
      </w:r>
      <w:r w:rsidRPr="00DB176B">
        <w:rPr>
          <w:b/>
          <w:sz w:val="24"/>
          <w:szCs w:val="24"/>
        </w:rPr>
        <w:t xml:space="preserve"> </w:t>
      </w:r>
    </w:p>
    <w:p w14:paraId="1FCFFC5A" w14:textId="77777777" w:rsidR="00DB176B" w:rsidRPr="00DB176B" w:rsidRDefault="00DB176B" w:rsidP="00DB176B">
      <w:pPr>
        <w:spacing w:after="0" w:line="240" w:lineRule="auto"/>
        <w:ind w:left="720" w:hanging="720"/>
        <w:jc w:val="left"/>
        <w:rPr>
          <w:bCs/>
          <w:sz w:val="24"/>
          <w:szCs w:val="24"/>
        </w:rPr>
      </w:pPr>
      <w:r w:rsidRPr="00DB176B">
        <w:rPr>
          <w:b/>
          <w:sz w:val="24"/>
          <w:szCs w:val="24"/>
        </w:rPr>
        <w:t xml:space="preserve">Judge: </w:t>
      </w:r>
      <w:r w:rsidRPr="00DB176B">
        <w:rPr>
          <w:bCs/>
          <w:sz w:val="24"/>
          <w:szCs w:val="24"/>
        </w:rPr>
        <w:t xml:space="preserve">Janet M. </w:t>
      </w:r>
      <w:proofErr w:type="spellStart"/>
      <w:r w:rsidRPr="00DB176B">
        <w:rPr>
          <w:bCs/>
          <w:sz w:val="24"/>
          <w:szCs w:val="24"/>
        </w:rPr>
        <w:t>Frangie</w:t>
      </w:r>
      <w:proofErr w:type="spellEnd"/>
      <w:r w:rsidRPr="00DB176B">
        <w:rPr>
          <w:b/>
          <w:sz w:val="24"/>
          <w:szCs w:val="24"/>
        </w:rPr>
        <w:t xml:space="preserve"> </w:t>
      </w:r>
    </w:p>
    <w:p w14:paraId="0910BF19" w14:textId="77777777" w:rsidR="00DB176B" w:rsidRPr="00DB176B" w:rsidRDefault="00DB176B" w:rsidP="00DB176B">
      <w:pPr>
        <w:spacing w:after="0" w:line="240" w:lineRule="auto"/>
        <w:jc w:val="left"/>
        <w:rPr>
          <w:b/>
          <w:sz w:val="24"/>
          <w:szCs w:val="24"/>
        </w:rPr>
      </w:pPr>
    </w:p>
    <w:p w14:paraId="627FD09C" w14:textId="77777777" w:rsidR="00DB176B" w:rsidRPr="00DB176B" w:rsidRDefault="00DB176B" w:rsidP="00DB176B">
      <w:pPr>
        <w:spacing w:after="0" w:line="240" w:lineRule="auto"/>
        <w:jc w:val="left"/>
        <w:rPr>
          <w:b/>
          <w:sz w:val="24"/>
          <w:szCs w:val="24"/>
        </w:rPr>
      </w:pPr>
      <w:r w:rsidRPr="00DB176B">
        <w:rPr>
          <w:b/>
          <w:sz w:val="24"/>
          <w:szCs w:val="24"/>
        </w:rPr>
        <w:t xml:space="preserve">__________________________________________________________  </w:t>
      </w:r>
    </w:p>
    <w:p w14:paraId="5C72E928" w14:textId="77777777" w:rsidR="00DB176B" w:rsidRPr="00DB176B" w:rsidRDefault="00DB176B" w:rsidP="00DB176B">
      <w:pPr>
        <w:spacing w:after="0" w:line="240" w:lineRule="auto"/>
        <w:jc w:val="left"/>
        <w:rPr>
          <w:b/>
          <w:sz w:val="24"/>
          <w:szCs w:val="24"/>
        </w:rPr>
      </w:pPr>
    </w:p>
    <w:p w14:paraId="3F67805E" w14:textId="77777777" w:rsidR="00DB176B" w:rsidRPr="00DB176B" w:rsidRDefault="00DB176B" w:rsidP="00DB176B">
      <w:pPr>
        <w:spacing w:after="0" w:line="240" w:lineRule="auto"/>
        <w:jc w:val="left"/>
        <w:rPr>
          <w:b/>
          <w:sz w:val="24"/>
          <w:szCs w:val="24"/>
        </w:rPr>
      </w:pPr>
      <w:r w:rsidRPr="00DB176B">
        <w:rPr>
          <w:b/>
          <w:sz w:val="24"/>
          <w:szCs w:val="24"/>
        </w:rPr>
        <w:t>Counsel:</w:t>
      </w:r>
    </w:p>
    <w:p w14:paraId="00B47204" w14:textId="77777777" w:rsidR="00DB176B" w:rsidRPr="00DB176B" w:rsidRDefault="00DB176B" w:rsidP="00DB176B">
      <w:pPr>
        <w:spacing w:after="0" w:line="240" w:lineRule="auto"/>
        <w:jc w:val="left"/>
        <w:rPr>
          <w:b/>
          <w:sz w:val="24"/>
          <w:szCs w:val="24"/>
        </w:rPr>
      </w:pPr>
    </w:p>
    <w:p w14:paraId="2586AB18" w14:textId="77777777" w:rsidR="00DB176B" w:rsidRPr="00DB176B" w:rsidRDefault="00DB176B" w:rsidP="00DB176B">
      <w:pPr>
        <w:spacing w:after="0" w:line="240" w:lineRule="auto"/>
        <w:jc w:val="left"/>
        <w:rPr>
          <w:sz w:val="24"/>
          <w:szCs w:val="24"/>
          <w:bdr w:val="none" w:sz="0" w:space="0" w:color="auto" w:frame="1"/>
        </w:rPr>
      </w:pPr>
      <w:r w:rsidRPr="00DB176B">
        <w:rPr>
          <w:sz w:val="24"/>
          <w:szCs w:val="24"/>
          <w:bdr w:val="none" w:sz="0" w:space="0" w:color="auto" w:frame="1"/>
        </w:rPr>
        <w:t xml:space="preserve">Meyers, Nave, </w:t>
      </w:r>
      <w:proofErr w:type="spellStart"/>
      <w:r w:rsidRPr="00DB176B">
        <w:rPr>
          <w:sz w:val="24"/>
          <w:szCs w:val="24"/>
          <w:bdr w:val="none" w:sz="0" w:space="0" w:color="auto" w:frame="1"/>
        </w:rPr>
        <w:t>Riback</w:t>
      </w:r>
      <w:proofErr w:type="spellEnd"/>
      <w:r w:rsidRPr="00DB176B">
        <w:rPr>
          <w:sz w:val="24"/>
          <w:szCs w:val="24"/>
          <w:bdr w:val="none" w:sz="0" w:space="0" w:color="auto" w:frame="1"/>
        </w:rPr>
        <w:t>, Silver &amp; Wilson, Deborah J. Fox, T. Steven Burke, Jr., Matthew B. Nazareth; Michelle D. Blakemore, County Counsel, and Penny Alexander-Kelley, Chief Assistant County Counsel, for Defendants and Appellants and for Real Party in Interest and Appellant.</w:t>
      </w:r>
    </w:p>
    <w:p w14:paraId="3A5E6E91" w14:textId="77777777" w:rsidR="00DB176B" w:rsidRPr="00DB176B" w:rsidRDefault="00DB176B" w:rsidP="00DB176B">
      <w:pPr>
        <w:spacing w:after="0" w:line="240" w:lineRule="auto"/>
        <w:jc w:val="left"/>
        <w:rPr>
          <w:sz w:val="24"/>
          <w:szCs w:val="24"/>
          <w:bdr w:val="none" w:sz="0" w:space="0" w:color="auto" w:frame="1"/>
        </w:rPr>
      </w:pPr>
    </w:p>
    <w:p w14:paraId="53C49484" w14:textId="77777777" w:rsidR="00DB176B" w:rsidRPr="00DB176B" w:rsidRDefault="00DB176B" w:rsidP="00DB176B">
      <w:pPr>
        <w:spacing w:after="0" w:line="240" w:lineRule="auto"/>
        <w:jc w:val="left"/>
        <w:rPr>
          <w:sz w:val="24"/>
          <w:szCs w:val="24"/>
          <w:bdr w:val="none" w:sz="0" w:space="0" w:color="auto" w:frame="1"/>
        </w:rPr>
      </w:pPr>
      <w:r w:rsidRPr="00DB176B">
        <w:rPr>
          <w:sz w:val="24"/>
          <w:szCs w:val="24"/>
          <w:bdr w:val="none" w:sz="0" w:space="0" w:color="auto" w:frame="1"/>
        </w:rPr>
        <w:t xml:space="preserve">McDermott Will &amp; Emery, William P. Donovan, Jr., and Jason D. Strabo for Real Party in Interest and Appellant.  </w:t>
      </w:r>
    </w:p>
    <w:p w14:paraId="37827A66" w14:textId="77777777" w:rsidR="00DB176B" w:rsidRPr="00DB176B" w:rsidRDefault="00DB176B" w:rsidP="00DB176B">
      <w:pPr>
        <w:spacing w:after="0" w:line="240" w:lineRule="auto"/>
        <w:jc w:val="left"/>
        <w:rPr>
          <w:sz w:val="24"/>
          <w:szCs w:val="24"/>
          <w:bdr w:val="none" w:sz="0" w:space="0" w:color="auto" w:frame="1"/>
        </w:rPr>
      </w:pPr>
    </w:p>
    <w:p w14:paraId="239E6ADB" w14:textId="77777777" w:rsidR="00DB176B" w:rsidRPr="00DB176B" w:rsidRDefault="00DB176B" w:rsidP="00DB176B">
      <w:pPr>
        <w:spacing w:after="0" w:line="240" w:lineRule="auto"/>
        <w:jc w:val="left"/>
        <w:rPr>
          <w:sz w:val="24"/>
          <w:szCs w:val="24"/>
          <w:bdr w:val="none" w:sz="0" w:space="0" w:color="auto" w:frame="1"/>
        </w:rPr>
      </w:pPr>
      <w:r w:rsidRPr="00DB176B">
        <w:rPr>
          <w:sz w:val="24"/>
          <w:szCs w:val="24"/>
          <w:bdr w:val="none" w:sz="0" w:space="0" w:color="auto" w:frame="1"/>
        </w:rPr>
        <w:t xml:space="preserve">Jarvis, Fay &amp; Gibson, Alexandra </w:t>
      </w:r>
      <w:proofErr w:type="gramStart"/>
      <w:r w:rsidRPr="00DB176B">
        <w:rPr>
          <w:sz w:val="24"/>
          <w:szCs w:val="24"/>
          <w:bdr w:val="none" w:sz="0" w:space="0" w:color="auto" w:frame="1"/>
        </w:rPr>
        <w:t>Barnhill</w:t>
      </w:r>
      <w:proofErr w:type="gramEnd"/>
      <w:r w:rsidRPr="00DB176B">
        <w:rPr>
          <w:sz w:val="24"/>
          <w:szCs w:val="24"/>
          <w:bdr w:val="none" w:sz="0" w:space="0" w:color="auto" w:frame="1"/>
        </w:rPr>
        <w:t xml:space="preserve"> and Gabriel McWhirter for League of California Cities as Amicus Curiae on behalf of Defendants and Appellants and for Real Party in Interest and Appellant.</w:t>
      </w:r>
    </w:p>
    <w:p w14:paraId="0F761832" w14:textId="77777777" w:rsidR="00DB176B" w:rsidRPr="00DB176B" w:rsidRDefault="00DB176B" w:rsidP="00DB176B">
      <w:pPr>
        <w:spacing w:after="0" w:line="240" w:lineRule="auto"/>
        <w:jc w:val="left"/>
        <w:rPr>
          <w:sz w:val="24"/>
          <w:szCs w:val="24"/>
          <w:bdr w:val="none" w:sz="0" w:space="0" w:color="auto" w:frame="1"/>
        </w:rPr>
      </w:pPr>
    </w:p>
    <w:p w14:paraId="408AF853" w14:textId="77777777" w:rsidR="00DB176B" w:rsidRPr="00DB176B" w:rsidRDefault="00DB176B" w:rsidP="00DB176B">
      <w:pPr>
        <w:spacing w:after="0" w:line="240" w:lineRule="auto"/>
        <w:jc w:val="left"/>
        <w:rPr>
          <w:sz w:val="24"/>
          <w:szCs w:val="24"/>
          <w:bdr w:val="none" w:sz="0" w:space="0" w:color="auto" w:frame="1"/>
        </w:rPr>
      </w:pPr>
      <w:r w:rsidRPr="00DB176B">
        <w:rPr>
          <w:sz w:val="24"/>
          <w:szCs w:val="24"/>
          <w:bdr w:val="none" w:sz="0" w:space="0" w:color="auto" w:frame="1"/>
        </w:rPr>
        <w:lastRenderedPageBreak/>
        <w:t xml:space="preserve">James R. Williams, County Counsel (Santa Clara), Karun Tilak and Stephanie L. </w:t>
      </w:r>
      <w:proofErr w:type="spellStart"/>
      <w:r w:rsidRPr="00DB176B">
        <w:rPr>
          <w:sz w:val="24"/>
          <w:szCs w:val="24"/>
          <w:bdr w:val="none" w:sz="0" w:space="0" w:color="auto" w:frame="1"/>
        </w:rPr>
        <w:t>Safdi</w:t>
      </w:r>
      <w:proofErr w:type="spellEnd"/>
      <w:r w:rsidRPr="00DB176B">
        <w:rPr>
          <w:sz w:val="24"/>
          <w:szCs w:val="24"/>
          <w:bdr w:val="none" w:sz="0" w:space="0" w:color="auto" w:frame="1"/>
        </w:rPr>
        <w:t>, Deputy County Counsel, for California State Association of Counties as Amicus Curiae on behalf of Defendants and Appellants and for Real Party in Interest and Appellant.</w:t>
      </w:r>
    </w:p>
    <w:p w14:paraId="2E6570E7" w14:textId="77777777" w:rsidR="00DB176B" w:rsidRPr="00DB176B" w:rsidRDefault="00DB176B" w:rsidP="00DB176B">
      <w:pPr>
        <w:spacing w:after="0" w:line="240" w:lineRule="auto"/>
        <w:jc w:val="left"/>
        <w:rPr>
          <w:sz w:val="24"/>
          <w:szCs w:val="24"/>
          <w:bdr w:val="none" w:sz="0" w:space="0" w:color="auto" w:frame="1"/>
        </w:rPr>
      </w:pPr>
    </w:p>
    <w:p w14:paraId="04A92537" w14:textId="77777777" w:rsidR="00DB176B" w:rsidRPr="00DB176B" w:rsidRDefault="00DB176B" w:rsidP="00DB176B">
      <w:pPr>
        <w:spacing w:after="0" w:line="240" w:lineRule="auto"/>
        <w:jc w:val="left"/>
        <w:rPr>
          <w:sz w:val="24"/>
          <w:szCs w:val="24"/>
          <w:bdr w:val="none" w:sz="0" w:space="0" w:color="auto" w:frame="1"/>
        </w:rPr>
      </w:pPr>
      <w:proofErr w:type="spellStart"/>
      <w:r w:rsidRPr="00DB176B">
        <w:rPr>
          <w:sz w:val="24"/>
          <w:szCs w:val="24"/>
          <w:bdr w:val="none" w:sz="0" w:space="0" w:color="auto" w:frame="1"/>
        </w:rPr>
        <w:t>Altshuler</w:t>
      </w:r>
      <w:proofErr w:type="spellEnd"/>
      <w:r w:rsidRPr="00DB176B">
        <w:rPr>
          <w:sz w:val="24"/>
          <w:szCs w:val="24"/>
          <w:bdr w:val="none" w:sz="0" w:space="0" w:color="auto" w:frame="1"/>
        </w:rPr>
        <w:t xml:space="preserve"> </w:t>
      </w:r>
      <w:proofErr w:type="spellStart"/>
      <w:r w:rsidRPr="00DB176B">
        <w:rPr>
          <w:sz w:val="24"/>
          <w:szCs w:val="24"/>
          <w:bdr w:val="none" w:sz="0" w:space="0" w:color="auto" w:frame="1"/>
        </w:rPr>
        <w:t>Berzon</w:t>
      </w:r>
      <w:proofErr w:type="spellEnd"/>
      <w:r w:rsidRPr="00DB176B">
        <w:rPr>
          <w:sz w:val="24"/>
          <w:szCs w:val="24"/>
          <w:bdr w:val="none" w:sz="0" w:space="0" w:color="auto" w:frame="1"/>
        </w:rPr>
        <w:t xml:space="preserve">, Stacey Leyton, Hunter B. Thomson; </w:t>
      </w:r>
      <w:proofErr w:type="spellStart"/>
      <w:r w:rsidRPr="00DB176B">
        <w:rPr>
          <w:sz w:val="24"/>
          <w:szCs w:val="24"/>
          <w:bdr w:val="none" w:sz="0" w:space="0" w:color="auto" w:frame="1"/>
        </w:rPr>
        <w:t>Rothner</w:t>
      </w:r>
      <w:proofErr w:type="spellEnd"/>
      <w:r w:rsidRPr="00DB176B">
        <w:rPr>
          <w:sz w:val="24"/>
          <w:szCs w:val="24"/>
          <w:bdr w:val="none" w:sz="0" w:space="0" w:color="auto" w:frame="1"/>
        </w:rPr>
        <w:t xml:space="preserve">, </w:t>
      </w:r>
      <w:proofErr w:type="spellStart"/>
      <w:r w:rsidRPr="00DB176B">
        <w:rPr>
          <w:sz w:val="24"/>
          <w:szCs w:val="24"/>
          <w:bdr w:val="none" w:sz="0" w:space="0" w:color="auto" w:frame="1"/>
        </w:rPr>
        <w:t>Segall</w:t>
      </w:r>
      <w:proofErr w:type="spellEnd"/>
      <w:r w:rsidRPr="00DB176B">
        <w:rPr>
          <w:sz w:val="24"/>
          <w:szCs w:val="24"/>
          <w:bdr w:val="none" w:sz="0" w:space="0" w:color="auto" w:frame="1"/>
        </w:rPr>
        <w:t xml:space="preserve"> &amp; Greenstone, Glenn </w:t>
      </w:r>
      <w:proofErr w:type="spellStart"/>
      <w:r w:rsidRPr="00DB176B">
        <w:rPr>
          <w:sz w:val="24"/>
          <w:szCs w:val="24"/>
          <w:bdr w:val="none" w:sz="0" w:space="0" w:color="auto" w:frame="1"/>
        </w:rPr>
        <w:t>Rothner</w:t>
      </w:r>
      <w:proofErr w:type="spellEnd"/>
      <w:r w:rsidRPr="00DB176B">
        <w:rPr>
          <w:sz w:val="24"/>
          <w:szCs w:val="24"/>
          <w:bdr w:val="none" w:sz="0" w:space="0" w:color="auto" w:frame="1"/>
        </w:rPr>
        <w:t xml:space="preserve"> and </w:t>
      </w:r>
      <w:proofErr w:type="spellStart"/>
      <w:r w:rsidRPr="00DB176B">
        <w:rPr>
          <w:sz w:val="24"/>
          <w:szCs w:val="24"/>
          <w:bdr w:val="none" w:sz="0" w:space="0" w:color="auto" w:frame="1"/>
        </w:rPr>
        <w:t>Juhyung</w:t>
      </w:r>
      <w:proofErr w:type="spellEnd"/>
      <w:r w:rsidRPr="00DB176B">
        <w:rPr>
          <w:sz w:val="24"/>
          <w:szCs w:val="24"/>
          <w:bdr w:val="none" w:sz="0" w:space="0" w:color="auto" w:frame="1"/>
        </w:rPr>
        <w:t xml:space="preserve"> Harold Lee for Plaintiffs and Respondents.</w:t>
      </w:r>
    </w:p>
    <w:p w14:paraId="6805538B" w14:textId="77777777" w:rsidR="00DB176B" w:rsidRPr="00DB176B" w:rsidRDefault="00DB176B" w:rsidP="00DB176B">
      <w:pPr>
        <w:spacing w:after="0" w:line="240" w:lineRule="auto"/>
        <w:jc w:val="left"/>
        <w:rPr>
          <w:sz w:val="24"/>
          <w:szCs w:val="24"/>
          <w:bdr w:val="none" w:sz="0" w:space="0" w:color="auto" w:frame="1"/>
        </w:rPr>
      </w:pPr>
    </w:p>
    <w:p w14:paraId="2F62EDEA" w14:textId="77777777" w:rsidR="00DB176B" w:rsidRPr="00DB176B" w:rsidRDefault="00DB176B" w:rsidP="00DB176B">
      <w:pPr>
        <w:spacing w:after="0" w:line="240" w:lineRule="auto"/>
        <w:jc w:val="left"/>
        <w:rPr>
          <w:sz w:val="24"/>
          <w:szCs w:val="24"/>
          <w:bdr w:val="none" w:sz="0" w:space="0" w:color="auto" w:frame="1"/>
        </w:rPr>
      </w:pPr>
      <w:r w:rsidRPr="00DB176B">
        <w:rPr>
          <w:sz w:val="24"/>
          <w:szCs w:val="24"/>
          <w:bdr w:val="none" w:sz="0" w:space="0" w:color="auto" w:frame="1"/>
        </w:rPr>
        <w:t>David Snyder, Glen Smith; Davis Wright Tremaine and Thomas R. Burke for First Amendment Coalition as Amicus Curiae on behalf of Plaintiffs and Respondents.</w:t>
      </w:r>
    </w:p>
    <w:p w14:paraId="014DEB80" w14:textId="77777777" w:rsidR="00DB176B" w:rsidRPr="00DB176B" w:rsidRDefault="00DB176B" w:rsidP="00DB176B">
      <w:pPr>
        <w:spacing w:after="0" w:line="240" w:lineRule="auto"/>
        <w:jc w:val="left"/>
        <w:rPr>
          <w:sz w:val="24"/>
          <w:szCs w:val="24"/>
          <w:bdr w:val="none" w:sz="0" w:space="0" w:color="auto" w:frame="1"/>
        </w:rPr>
      </w:pPr>
    </w:p>
    <w:p w14:paraId="25503789" w14:textId="77777777" w:rsidR="00DB176B" w:rsidRPr="00DB176B" w:rsidRDefault="00DB176B" w:rsidP="00DB176B">
      <w:pPr>
        <w:spacing w:after="0" w:line="240" w:lineRule="auto"/>
        <w:jc w:val="left"/>
        <w:rPr>
          <w:b/>
          <w:sz w:val="24"/>
          <w:szCs w:val="24"/>
        </w:rPr>
      </w:pPr>
    </w:p>
    <w:p w14:paraId="116F58CB" w14:textId="77777777" w:rsidR="00DB176B" w:rsidRPr="00DB176B" w:rsidRDefault="00DB176B" w:rsidP="00DB176B">
      <w:pPr>
        <w:spacing w:after="0" w:line="240" w:lineRule="auto"/>
        <w:jc w:val="left"/>
        <w:rPr>
          <w:b/>
          <w:sz w:val="24"/>
          <w:szCs w:val="24"/>
        </w:rPr>
      </w:pPr>
      <w:r w:rsidRPr="00DB176B">
        <w:rPr>
          <w:color w:val="212121"/>
          <w:sz w:val="24"/>
          <w:szCs w:val="24"/>
          <w:shd w:val="clear" w:color="auto" w:fill="FFFFFF"/>
        </w:rPr>
        <w:br w:type="page"/>
      </w:r>
      <w:r w:rsidRPr="00DB176B">
        <w:rPr>
          <w:b/>
          <w:sz w:val="24"/>
          <w:szCs w:val="24"/>
        </w:rPr>
        <w:lastRenderedPageBreak/>
        <w:t>Counsel who argued in Supreme Court (not intended for publication with opinion):</w:t>
      </w:r>
    </w:p>
    <w:p w14:paraId="77AE1070" w14:textId="77777777" w:rsidR="00DB176B" w:rsidRPr="00DB176B" w:rsidRDefault="00DB176B" w:rsidP="00DB176B">
      <w:pPr>
        <w:spacing w:after="0" w:line="240" w:lineRule="auto"/>
        <w:jc w:val="left"/>
        <w:rPr>
          <w:b/>
          <w:sz w:val="24"/>
          <w:szCs w:val="24"/>
        </w:rPr>
      </w:pPr>
    </w:p>
    <w:p w14:paraId="6BB99315" w14:textId="77777777" w:rsidR="00DB176B" w:rsidRPr="00DB176B" w:rsidRDefault="00DB176B" w:rsidP="00DB176B">
      <w:pPr>
        <w:spacing w:after="0" w:line="240" w:lineRule="auto"/>
        <w:jc w:val="left"/>
        <w:rPr>
          <w:sz w:val="24"/>
          <w:szCs w:val="24"/>
        </w:rPr>
      </w:pPr>
      <w:r w:rsidRPr="00DB176B">
        <w:rPr>
          <w:sz w:val="24"/>
          <w:szCs w:val="24"/>
        </w:rPr>
        <w:t>Deborah J. Fox</w:t>
      </w:r>
    </w:p>
    <w:p w14:paraId="494C6E8F" w14:textId="77777777" w:rsidR="00DB176B" w:rsidRPr="00DB176B" w:rsidRDefault="00DB176B" w:rsidP="00DB176B">
      <w:pPr>
        <w:spacing w:after="0" w:line="240" w:lineRule="auto"/>
        <w:jc w:val="left"/>
        <w:rPr>
          <w:sz w:val="24"/>
          <w:szCs w:val="24"/>
        </w:rPr>
      </w:pPr>
      <w:r w:rsidRPr="00DB176B">
        <w:rPr>
          <w:sz w:val="24"/>
          <w:szCs w:val="24"/>
          <w:bdr w:val="none" w:sz="0" w:space="0" w:color="auto" w:frame="1"/>
        </w:rPr>
        <w:t xml:space="preserve">Meyers, Nave, </w:t>
      </w:r>
      <w:proofErr w:type="spellStart"/>
      <w:r w:rsidRPr="00DB176B">
        <w:rPr>
          <w:sz w:val="24"/>
          <w:szCs w:val="24"/>
          <w:bdr w:val="none" w:sz="0" w:space="0" w:color="auto" w:frame="1"/>
        </w:rPr>
        <w:t>Riback</w:t>
      </w:r>
      <w:proofErr w:type="spellEnd"/>
      <w:r w:rsidRPr="00DB176B">
        <w:rPr>
          <w:sz w:val="24"/>
          <w:szCs w:val="24"/>
          <w:bdr w:val="none" w:sz="0" w:space="0" w:color="auto" w:frame="1"/>
        </w:rPr>
        <w:t>, Silver &amp; Wilson</w:t>
      </w:r>
    </w:p>
    <w:p w14:paraId="143A4D60" w14:textId="77777777" w:rsidR="00DB176B" w:rsidRPr="00DB176B" w:rsidRDefault="00DB176B" w:rsidP="00DB176B">
      <w:pPr>
        <w:spacing w:after="0" w:line="240" w:lineRule="auto"/>
        <w:jc w:val="left"/>
        <w:rPr>
          <w:sz w:val="24"/>
          <w:szCs w:val="24"/>
        </w:rPr>
      </w:pPr>
      <w:r w:rsidRPr="00DB176B">
        <w:rPr>
          <w:sz w:val="24"/>
          <w:szCs w:val="24"/>
        </w:rPr>
        <w:t>707 Wilshire Boulevard, 24th Floor</w:t>
      </w:r>
    </w:p>
    <w:p w14:paraId="1BB72528" w14:textId="77777777" w:rsidR="00DB176B" w:rsidRPr="00DB176B" w:rsidRDefault="00DB176B" w:rsidP="00DB176B">
      <w:pPr>
        <w:spacing w:after="0" w:line="240" w:lineRule="auto"/>
        <w:jc w:val="left"/>
        <w:rPr>
          <w:sz w:val="24"/>
          <w:szCs w:val="24"/>
        </w:rPr>
      </w:pPr>
      <w:r w:rsidRPr="00DB176B">
        <w:rPr>
          <w:sz w:val="24"/>
          <w:szCs w:val="24"/>
        </w:rPr>
        <w:t>Los Angeles, CA 90017</w:t>
      </w:r>
    </w:p>
    <w:p w14:paraId="5C193BBB" w14:textId="77777777" w:rsidR="00DB176B" w:rsidRPr="00DB176B" w:rsidRDefault="00DB176B" w:rsidP="00DB176B">
      <w:pPr>
        <w:spacing w:after="0" w:line="240" w:lineRule="auto"/>
        <w:jc w:val="left"/>
        <w:rPr>
          <w:sz w:val="24"/>
          <w:szCs w:val="24"/>
        </w:rPr>
      </w:pPr>
      <w:r w:rsidRPr="00DB176B">
        <w:rPr>
          <w:sz w:val="24"/>
          <w:szCs w:val="24"/>
        </w:rPr>
        <w:t>(213) 626-2906</w:t>
      </w:r>
    </w:p>
    <w:p w14:paraId="4F156AB8" w14:textId="77777777" w:rsidR="00DB176B" w:rsidRPr="00DB176B" w:rsidRDefault="00DB176B" w:rsidP="00DB176B">
      <w:pPr>
        <w:spacing w:after="0" w:line="240" w:lineRule="auto"/>
        <w:jc w:val="left"/>
        <w:rPr>
          <w:sz w:val="24"/>
          <w:szCs w:val="24"/>
        </w:rPr>
      </w:pPr>
    </w:p>
    <w:p w14:paraId="03AC035E" w14:textId="77777777" w:rsidR="00DB176B" w:rsidRPr="00DB176B" w:rsidRDefault="00DB176B" w:rsidP="00DB176B">
      <w:pPr>
        <w:spacing w:after="0" w:line="240" w:lineRule="auto"/>
        <w:jc w:val="left"/>
        <w:rPr>
          <w:sz w:val="24"/>
          <w:szCs w:val="24"/>
        </w:rPr>
      </w:pPr>
      <w:r w:rsidRPr="00DB176B">
        <w:rPr>
          <w:sz w:val="24"/>
          <w:szCs w:val="24"/>
        </w:rPr>
        <w:t xml:space="preserve">Glenn </w:t>
      </w:r>
      <w:proofErr w:type="spellStart"/>
      <w:r w:rsidRPr="00DB176B">
        <w:rPr>
          <w:sz w:val="24"/>
          <w:szCs w:val="24"/>
        </w:rPr>
        <w:t>Rothner</w:t>
      </w:r>
      <w:proofErr w:type="spellEnd"/>
    </w:p>
    <w:p w14:paraId="7909DD8D" w14:textId="77777777" w:rsidR="00DB176B" w:rsidRPr="00DB176B" w:rsidRDefault="00DB176B" w:rsidP="00DB176B">
      <w:pPr>
        <w:spacing w:after="0" w:line="240" w:lineRule="auto"/>
        <w:jc w:val="left"/>
        <w:rPr>
          <w:sz w:val="24"/>
          <w:szCs w:val="24"/>
        </w:rPr>
      </w:pPr>
      <w:proofErr w:type="spellStart"/>
      <w:r w:rsidRPr="00DB176B">
        <w:rPr>
          <w:sz w:val="24"/>
          <w:szCs w:val="24"/>
        </w:rPr>
        <w:t>Rothner</w:t>
      </w:r>
      <w:proofErr w:type="spellEnd"/>
      <w:r w:rsidRPr="00DB176B">
        <w:rPr>
          <w:sz w:val="24"/>
          <w:szCs w:val="24"/>
        </w:rPr>
        <w:t xml:space="preserve">, </w:t>
      </w:r>
      <w:proofErr w:type="spellStart"/>
      <w:r w:rsidRPr="00DB176B">
        <w:rPr>
          <w:sz w:val="24"/>
          <w:szCs w:val="24"/>
        </w:rPr>
        <w:t>Segall</w:t>
      </w:r>
      <w:proofErr w:type="spellEnd"/>
      <w:r w:rsidRPr="00DB176B">
        <w:rPr>
          <w:sz w:val="24"/>
          <w:szCs w:val="24"/>
        </w:rPr>
        <w:t xml:space="preserve"> &amp; Greenstone</w:t>
      </w:r>
    </w:p>
    <w:p w14:paraId="0A85511A" w14:textId="77777777" w:rsidR="00DB176B" w:rsidRPr="00DB176B" w:rsidRDefault="00DB176B" w:rsidP="00DB176B">
      <w:pPr>
        <w:spacing w:after="0" w:line="240" w:lineRule="auto"/>
        <w:jc w:val="left"/>
        <w:rPr>
          <w:sz w:val="24"/>
          <w:szCs w:val="24"/>
        </w:rPr>
      </w:pPr>
      <w:r w:rsidRPr="00DB176B">
        <w:rPr>
          <w:sz w:val="24"/>
          <w:szCs w:val="24"/>
        </w:rPr>
        <w:t>510 South Marengo Avenue</w:t>
      </w:r>
    </w:p>
    <w:p w14:paraId="3785150F" w14:textId="77777777" w:rsidR="00DB176B" w:rsidRPr="00DB176B" w:rsidRDefault="00DB176B" w:rsidP="00DB176B">
      <w:pPr>
        <w:spacing w:after="0" w:line="240" w:lineRule="auto"/>
        <w:jc w:val="left"/>
        <w:rPr>
          <w:sz w:val="24"/>
          <w:szCs w:val="24"/>
        </w:rPr>
      </w:pPr>
      <w:r w:rsidRPr="00DB176B">
        <w:rPr>
          <w:sz w:val="24"/>
          <w:szCs w:val="24"/>
        </w:rPr>
        <w:t>Pasadena, CA 91101</w:t>
      </w:r>
    </w:p>
    <w:p w14:paraId="0785A649" w14:textId="77777777" w:rsidR="00DB176B" w:rsidRPr="00DB176B" w:rsidRDefault="00DB176B" w:rsidP="00DB176B">
      <w:pPr>
        <w:spacing w:after="0" w:line="240" w:lineRule="auto"/>
        <w:jc w:val="left"/>
        <w:rPr>
          <w:sz w:val="24"/>
          <w:szCs w:val="24"/>
        </w:rPr>
      </w:pPr>
      <w:r w:rsidRPr="00DB176B">
        <w:rPr>
          <w:sz w:val="24"/>
          <w:szCs w:val="24"/>
        </w:rPr>
        <w:t>(626) 796-7555</w:t>
      </w:r>
    </w:p>
    <w:p w14:paraId="2D48FD16" w14:textId="77777777" w:rsidR="00DB176B" w:rsidRPr="00DB176B" w:rsidRDefault="00DB176B" w:rsidP="00DB176B">
      <w:pPr>
        <w:spacing w:after="0" w:line="240" w:lineRule="auto"/>
        <w:jc w:val="left"/>
        <w:rPr>
          <w:sz w:val="24"/>
          <w:szCs w:val="24"/>
        </w:rPr>
      </w:pPr>
    </w:p>
    <w:p w14:paraId="6422022B" w14:textId="77777777" w:rsidR="00DB176B" w:rsidRPr="00DB176B" w:rsidRDefault="00DB176B" w:rsidP="00DB176B">
      <w:pPr>
        <w:spacing w:after="0" w:line="240" w:lineRule="auto"/>
        <w:jc w:val="left"/>
        <w:rPr>
          <w:sz w:val="24"/>
          <w:szCs w:val="24"/>
        </w:rPr>
      </w:pPr>
    </w:p>
    <w:p w14:paraId="07BA08E9" w14:textId="77777777" w:rsidR="00DB176B" w:rsidRPr="00DB176B" w:rsidRDefault="00DB176B" w:rsidP="00DB176B">
      <w:pPr>
        <w:spacing w:after="0" w:line="240" w:lineRule="auto"/>
        <w:jc w:val="left"/>
        <w:rPr>
          <w:sz w:val="24"/>
          <w:szCs w:val="24"/>
        </w:rPr>
      </w:pPr>
      <w:r w:rsidRPr="00DB176B">
        <w:rPr>
          <w:sz w:val="24"/>
          <w:szCs w:val="24"/>
        </w:rPr>
        <w:t xml:space="preserve"> </w:t>
      </w:r>
    </w:p>
    <w:p w14:paraId="467A11C3" w14:textId="143DC714" w:rsidR="00BC0BD3" w:rsidRPr="00DA7ADF" w:rsidRDefault="00BC0BD3" w:rsidP="00BC0BD3">
      <w:pPr>
        <w:tabs>
          <w:tab w:val="left" w:pos="1440"/>
        </w:tabs>
        <w:spacing w:after="0" w:line="240" w:lineRule="auto"/>
        <w:rPr>
          <w:b/>
          <w:bCs/>
        </w:rPr>
      </w:pPr>
    </w:p>
    <w:sectPr w:rsidR="00BC0BD3" w:rsidRPr="00DA7ADF" w:rsidSect="00EC2BB8">
      <w:headerReference w:type="even" r:id="rId10"/>
      <w:headerReference w:type="default" r:id="rId11"/>
      <w:footerReference w:type="even" r:id="rId12"/>
      <w:footerReference w:type="default" r:id="rId13"/>
      <w:headerReference w:type="first" r:id="rId14"/>
      <w:footerReference w:type="first" r:id="rId15"/>
      <w:pgSz w:w="12240" w:h="15840"/>
      <w:pgMar w:top="1800" w:right="2160" w:bottom="1440" w:left="2160" w:header="720" w:footer="720" w:gutter="0"/>
      <w:cols w:space="72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98B06" w14:textId="77777777" w:rsidR="00345BF1" w:rsidRDefault="00345BF1">
      <w:r>
        <w:separator/>
      </w:r>
    </w:p>
  </w:endnote>
  <w:endnote w:type="continuationSeparator" w:id="0">
    <w:p w14:paraId="3F1845D1" w14:textId="77777777" w:rsidR="00345BF1" w:rsidRDefault="00345BF1">
      <w:r>
        <w:continuationSeparator/>
      </w:r>
    </w:p>
  </w:endnote>
  <w:endnote w:type="continuationNotice" w:id="1">
    <w:p w14:paraId="7ACA6386" w14:textId="77777777" w:rsidR="00345BF1" w:rsidRDefault="00345B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1DF5D" w14:textId="77777777" w:rsidR="001702E7" w:rsidRDefault="00303B2D">
    <w:pPr>
      <w:pStyle w:val="Footer"/>
    </w:pPr>
    <w:r>
      <w:fldChar w:fldCharType="begin"/>
    </w:r>
    <w:r>
      <w:instrText>PAGE</w:instrText>
    </w:r>
    <w:r>
      <w:fldChar w:fldCharType="separate"/>
    </w:r>
    <w:r>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93605" w14:textId="77777777" w:rsidR="0077608C" w:rsidRDefault="0077608C">
    <w:pPr>
      <w:pStyle w:val="Footer"/>
    </w:pPr>
    <w: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F70C2" w14:textId="77777777" w:rsidR="002255B8" w:rsidRDefault="0013133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506B6" w14:textId="77777777" w:rsidR="002255B8" w:rsidRDefault="0013133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AE2CD" w14:textId="77777777" w:rsidR="002255B8" w:rsidRDefault="001313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1683A" w14:textId="77777777" w:rsidR="00345BF1" w:rsidRDefault="00345BF1">
      <w:r>
        <w:separator/>
      </w:r>
    </w:p>
  </w:footnote>
  <w:footnote w:type="continuationSeparator" w:id="0">
    <w:p w14:paraId="63C9A379" w14:textId="77777777" w:rsidR="00345BF1" w:rsidRDefault="00345BF1">
      <w:pPr>
        <w:rPr>
          <w:sz w:val="22"/>
        </w:rPr>
      </w:pPr>
      <w:r>
        <w:continuationSeparator/>
      </w:r>
    </w:p>
  </w:footnote>
  <w:footnote w:type="continuationNotice" w:id="1">
    <w:p w14:paraId="634DC2A8" w14:textId="77777777" w:rsidR="00345BF1" w:rsidRDefault="00345BF1">
      <w:pPr>
        <w:jc w:val="right"/>
        <w:rPr>
          <w:i/>
          <w:sz w:val="20"/>
        </w:rPr>
      </w:pPr>
    </w:p>
  </w:footnote>
  <w:footnote w:id="2">
    <w:p w14:paraId="4DF72701" w14:textId="77777777" w:rsidR="00B700BC" w:rsidRDefault="00B700BC" w:rsidP="00B700BC">
      <w:pPr>
        <w:pStyle w:val="FootnoteText"/>
      </w:pPr>
      <w:r>
        <w:rPr>
          <w:rStyle w:val="FootnoteReference"/>
        </w:rPr>
        <w:footnoteRef/>
      </w:r>
      <w:r>
        <w:t xml:space="preserve"> </w:t>
      </w:r>
      <w:r>
        <w:tab/>
        <w:t>The merits of the superior court’s decision on these points is not before us, and we express no opinion regarding them.</w:t>
      </w:r>
    </w:p>
  </w:footnote>
  <w:footnote w:id="3">
    <w:p w14:paraId="1DA03B3D" w14:textId="1B73DEB3" w:rsidR="00B700BC" w:rsidRDefault="00B700BC" w:rsidP="00B700BC">
      <w:pPr>
        <w:pStyle w:val="FootnoteText"/>
      </w:pPr>
      <w:r>
        <w:rPr>
          <w:rStyle w:val="FootnoteReference"/>
        </w:rPr>
        <w:footnoteRef/>
      </w:r>
      <w:r>
        <w:t xml:space="preserve"> </w:t>
      </w:r>
      <w:r>
        <w:tab/>
      </w:r>
      <w:r w:rsidRPr="00142574">
        <w:t>Government Code section 54960.1</w:t>
      </w:r>
      <w:r>
        <w:t>, subdivision (a), provides:  “</w:t>
      </w:r>
      <w:r w:rsidRPr="003A58DC">
        <w:t>The district attorney or any interested person may commence an action by mandamus or injunction for the purpose of obtaining a judicial determination that an action taken by a legislative body of a local agency in violation of</w:t>
      </w:r>
      <w:r w:rsidR="00E92C39">
        <w:t xml:space="preserve"> </w:t>
      </w:r>
      <w:r w:rsidRPr="003A58DC">
        <w:t>Section</w:t>
      </w:r>
      <w:r>
        <w:t xml:space="preserve"> </w:t>
      </w:r>
      <w:r w:rsidRPr="003A58DC">
        <w:t>54953,</w:t>
      </w:r>
      <w:r w:rsidR="00E92C39">
        <w:t xml:space="preserve"> </w:t>
      </w:r>
      <w:r w:rsidRPr="003A58DC">
        <w:t>54954.2,</w:t>
      </w:r>
      <w:r w:rsidR="00E92C39">
        <w:t xml:space="preserve"> </w:t>
      </w:r>
      <w:r w:rsidRPr="003A58DC">
        <w:t>54954.5,</w:t>
      </w:r>
      <w:r w:rsidR="00E92C39">
        <w:t xml:space="preserve"> </w:t>
      </w:r>
      <w:r w:rsidRPr="003A58DC">
        <w:t>54954.6,</w:t>
      </w:r>
      <w:r w:rsidR="00E92C39">
        <w:t xml:space="preserve"> </w:t>
      </w:r>
      <w:r w:rsidRPr="003A58DC">
        <w:t>54956</w:t>
      </w:r>
      <w:r>
        <w:t xml:space="preserve">, or 54956.5 </w:t>
      </w:r>
      <w:r w:rsidRPr="003A58DC">
        <w:t xml:space="preserve">is </w:t>
      </w:r>
      <w:r w:rsidRPr="003A58DC">
        <w:t>null and void under this section.</w:t>
      </w:r>
      <w:r w:rsidR="00E92C39">
        <w:t xml:space="preserve"> </w:t>
      </w:r>
      <w:r>
        <w:t xml:space="preserve"> </w:t>
      </w:r>
      <w:r w:rsidRPr="003A58DC">
        <w:t>Nothing in this chapter shall be construed to prevent a legislative body from curing or correcting an action challenged pursuant to this section.</w:t>
      </w:r>
      <w:r>
        <w:t>”</w:t>
      </w:r>
    </w:p>
  </w:footnote>
  <w:footnote w:id="4">
    <w:p w14:paraId="270D5FE3" w14:textId="697AFADF" w:rsidR="00B700BC" w:rsidRPr="00F406C0" w:rsidRDefault="00B700BC" w:rsidP="00B700BC">
      <w:pPr>
        <w:pStyle w:val="FootnoteText"/>
      </w:pPr>
      <w:r>
        <w:rPr>
          <w:rStyle w:val="FootnoteReference"/>
        </w:rPr>
        <w:footnoteRef/>
      </w:r>
      <w:r>
        <w:t xml:space="preserve"> </w:t>
      </w:r>
      <w:r>
        <w:tab/>
        <w:t xml:space="preserve">The exceptions described in the first clause cross-reference provisions setting out the scope and manner of stays for certain types of judgments and orders.  Code of Civil Procedure section 116.810 relates to small claims court judgments and orders, while </w:t>
      </w:r>
      <w:r w:rsidR="000D340C">
        <w:t xml:space="preserve">Code of Civil Procedure </w:t>
      </w:r>
      <w:r>
        <w:t xml:space="preserve">sections 917.1 to 917.9 address various judgments and orders rendered in the superior courts.  Section 917.1, for example, requires the appellant to deposit a monetary undertaking for a money judgment to be stayed on appeal.  Code of Civil Procedure sections 917.2, 917.3 and 917.4 specify the types of undertakings and deposits required to stay judgments and orders directing delivery or sale of personal property, execution of an instrument and delivery or sale of realty, respectively.  </w:t>
      </w:r>
    </w:p>
    <w:p w14:paraId="4724614E" w14:textId="77777777" w:rsidR="00B700BC" w:rsidRDefault="00B700BC" w:rsidP="00B700BC">
      <w:pPr>
        <w:pStyle w:val="FootnoteText"/>
      </w:pPr>
    </w:p>
  </w:footnote>
  <w:footnote w:id="5">
    <w:p w14:paraId="59B5BF02" w14:textId="4FEB9E28" w:rsidR="00B700BC" w:rsidRDefault="00B700BC" w:rsidP="00B700BC">
      <w:pPr>
        <w:pStyle w:val="FootnoteText"/>
      </w:pPr>
      <w:r>
        <w:rPr>
          <w:rStyle w:val="FootnoteReference"/>
        </w:rPr>
        <w:footnoteRef/>
      </w:r>
      <w:r>
        <w:t xml:space="preserve"> </w:t>
      </w:r>
      <w:r>
        <w:tab/>
      </w:r>
      <w:bookmarkStart w:id="3" w:name="_Hlk76719942"/>
      <w:r w:rsidR="00950A4D">
        <w:t>C</w:t>
      </w:r>
      <w:r w:rsidR="00950A4D" w:rsidRPr="00F406C0">
        <w:t xml:space="preserve">ertain </w:t>
      </w:r>
      <w:r w:rsidR="00950A4D">
        <w:t>provisions do prescribe special rules for specific types of injunctions, none of which are at issue here.  (</w:t>
      </w:r>
      <w:r w:rsidRPr="00F406C0">
        <w:t xml:space="preserve">See, e.g., </w:t>
      </w:r>
      <w:r>
        <w:t xml:space="preserve">Code </w:t>
      </w:r>
      <w:r w:rsidR="000C41FF">
        <w:t>of Civil Procedure sections</w:t>
      </w:r>
      <w:r>
        <w:t> </w:t>
      </w:r>
      <w:r w:rsidRPr="00F406C0">
        <w:t xml:space="preserve">917.15 </w:t>
      </w:r>
      <w:r w:rsidR="00950A4D">
        <w:t>[</w:t>
      </w:r>
      <w:r w:rsidRPr="00F406C0">
        <w:t>no default automatic stay for order remedying or preventing release of hazardous substances</w:t>
      </w:r>
      <w:r w:rsidR="00950A4D">
        <w:t>]</w:t>
      </w:r>
      <w:r w:rsidRPr="00F406C0">
        <w:t>, 917.8, subd</w:t>
      </w:r>
      <w:r w:rsidR="000D340C">
        <w:t>ivision</w:t>
      </w:r>
      <w:r w:rsidRPr="00F406C0">
        <w:t xml:space="preserve"> (c) </w:t>
      </w:r>
      <w:r w:rsidR="00950A4D">
        <w:t>[</w:t>
      </w:r>
      <w:r w:rsidRPr="00F406C0">
        <w:t>same for order barring use of building or place declared a nuisance</w:t>
      </w:r>
      <w:r w:rsidR="00D864CA">
        <w:t>]</w:t>
      </w:r>
      <w:r w:rsidRPr="00F406C0">
        <w:t>, 917.9, subd</w:t>
      </w:r>
      <w:r w:rsidR="000D340C">
        <w:t>ivision</w:t>
      </w:r>
      <w:r w:rsidRPr="00F406C0">
        <w:t xml:space="preserve"> (a)(2) </w:t>
      </w:r>
      <w:r w:rsidR="00D864CA">
        <w:t>[</w:t>
      </w:r>
      <w:r w:rsidRPr="00F406C0">
        <w:t>undertaking may be demanded where order requires appellant “to perform an act for respondent’s benefit”</w:t>
      </w:r>
      <w:r w:rsidR="00D864CA">
        <w:t>].</w:t>
      </w:r>
      <w:r w:rsidR="008C4829">
        <w:t>)</w:t>
      </w:r>
      <w:bookmarkEnd w:id="3"/>
    </w:p>
  </w:footnote>
  <w:footnote w:id="6">
    <w:p w14:paraId="2C6D891E" w14:textId="54D07B5A" w:rsidR="00B700BC" w:rsidRPr="008C46B7" w:rsidRDefault="00B700BC" w:rsidP="00B700BC">
      <w:pPr>
        <w:pStyle w:val="FootnoteText"/>
      </w:pPr>
      <w:r>
        <w:rPr>
          <w:rStyle w:val="FootnoteReference"/>
        </w:rPr>
        <w:footnoteRef/>
      </w:r>
      <w:r>
        <w:t xml:space="preserve"> </w:t>
      </w:r>
      <w:r>
        <w:tab/>
        <w:t xml:space="preserve">The </w:t>
      </w:r>
      <w:r>
        <w:rPr>
          <w:i/>
          <w:iCs/>
        </w:rPr>
        <w:t xml:space="preserve">Merced Mining </w:t>
      </w:r>
      <w:r>
        <w:t xml:space="preserve">court here used “injunction” in the limited sense of an ordered </w:t>
      </w:r>
      <w:r w:rsidRPr="00980ADD">
        <w:t>restraint</w:t>
      </w:r>
      <w:r>
        <w:t xml:space="preserve">.  That definition is still extant in the statutes.  (See </w:t>
      </w:r>
      <w:r w:rsidRPr="00B63E27">
        <w:t>Code Civ. Proc., §</w:t>
      </w:r>
      <w:r>
        <w:t> </w:t>
      </w:r>
      <w:r w:rsidRPr="00B63E27">
        <w:t>525</w:t>
      </w:r>
      <w:r>
        <w:t xml:space="preserve"> [“</w:t>
      </w:r>
      <w:r w:rsidRPr="00B63E27">
        <w:t>An injunction is a writ or order requiring a person to refrain from a particular act.</w:t>
      </w:r>
      <w:r>
        <w:t>”].)  But in broader legal usage, an injunction is</w:t>
      </w:r>
      <w:r w:rsidR="005C2953">
        <w:t xml:space="preserve"> a court order </w:t>
      </w:r>
      <w:r w:rsidR="005C2953">
        <w:rPr>
          <w:i/>
          <w:iCs/>
        </w:rPr>
        <w:t>either</w:t>
      </w:r>
      <w:r>
        <w:t xml:space="preserve"> “</w:t>
      </w:r>
      <w:r w:rsidRPr="00384D1D">
        <w:t xml:space="preserve">commanding </w:t>
      </w:r>
      <w:r w:rsidRPr="00CB0373">
        <w:rPr>
          <w:i/>
          <w:iCs/>
        </w:rPr>
        <w:t>or</w:t>
      </w:r>
      <w:r w:rsidRPr="005C2953">
        <w:t xml:space="preserve"> </w:t>
      </w:r>
      <w:r w:rsidRPr="00384D1D">
        <w:t>preventing</w:t>
      </w:r>
      <w:r w:rsidRPr="00710B01">
        <w:t xml:space="preserve"> an action</w:t>
      </w:r>
      <w:r>
        <w:t>.”  (</w:t>
      </w:r>
      <w:r w:rsidRPr="00710B01">
        <w:t>Black</w:t>
      </w:r>
      <w:r>
        <w:t>’</w:t>
      </w:r>
      <w:r w:rsidRPr="00710B01">
        <w:t>s Law Dict</w:t>
      </w:r>
      <w:r>
        <w:t>.</w:t>
      </w:r>
      <w:r w:rsidRPr="00710B01">
        <w:t xml:space="preserve"> (11th ed. 2019)</w:t>
      </w:r>
      <w:r>
        <w:t xml:space="preserve"> p. 937, italics added.)  This opinion uses the term in the broader, more familiar sense.</w:t>
      </w:r>
    </w:p>
  </w:footnote>
  <w:footnote w:id="7">
    <w:p w14:paraId="01321221" w14:textId="77777777" w:rsidR="00B700BC" w:rsidRPr="009F25A3" w:rsidRDefault="00B700BC" w:rsidP="00B700BC">
      <w:pPr>
        <w:pStyle w:val="FootnoteText"/>
      </w:pPr>
      <w:r>
        <w:rPr>
          <w:rStyle w:val="FootnoteReference"/>
        </w:rPr>
        <w:footnoteRef/>
      </w:r>
      <w:r>
        <w:t xml:space="preserve"> </w:t>
      </w:r>
      <w:r>
        <w:tab/>
        <w:t xml:space="preserve">Former section 949 of the Code of Civil Procedure, a predecessor to section 916, contained terms similar to those in section 356 of the 1851 Practice Act.  (See </w:t>
      </w:r>
      <w:r w:rsidRPr="009F25A3">
        <w:rPr>
          <w:i/>
          <w:iCs/>
        </w:rPr>
        <w:t xml:space="preserve">Foster v. Superior Court </w:t>
      </w:r>
      <w:r w:rsidRPr="009F25A3">
        <w:t>(1896) 115 Cal. 279, 282</w:t>
      </w:r>
      <w:r>
        <w:t>.)</w:t>
      </w:r>
    </w:p>
    <w:p w14:paraId="78EE2160" w14:textId="77777777" w:rsidR="00B700BC" w:rsidRDefault="00B700BC" w:rsidP="00B700BC">
      <w:pPr>
        <w:pStyle w:val="FootnoteText"/>
      </w:pPr>
    </w:p>
  </w:footnote>
  <w:footnote w:id="8">
    <w:p w14:paraId="62835237" w14:textId="77777777" w:rsidR="00B700BC" w:rsidRPr="00F77ABB" w:rsidRDefault="00B700BC" w:rsidP="00B700BC">
      <w:pPr>
        <w:pStyle w:val="FootnoteText"/>
      </w:pPr>
      <w:r>
        <w:rPr>
          <w:rStyle w:val="FootnoteReference"/>
        </w:rPr>
        <w:footnoteRef/>
      </w:r>
      <w:r>
        <w:t xml:space="preserve"> </w:t>
      </w:r>
      <w:r>
        <w:tab/>
        <w:t xml:space="preserve">Typically, but not always; in some </w:t>
      </w:r>
      <w:r w:rsidRPr="00F77ABB">
        <w:t xml:space="preserve">instances the equities </w:t>
      </w:r>
      <w:r>
        <w:t xml:space="preserve">might </w:t>
      </w:r>
      <w:r w:rsidRPr="00F77ABB">
        <w:t>support immediate enforcement of even a mandatory injunction</w:t>
      </w:r>
      <w:r>
        <w:t xml:space="preserve">, though existing California law prescribes an automatic stay.  More on this in part III., </w:t>
      </w:r>
      <w:r>
        <w:rPr>
          <w:i/>
          <w:iCs/>
        </w:rPr>
        <w:t>post</w:t>
      </w:r>
      <w:r>
        <w:t>.</w:t>
      </w:r>
    </w:p>
  </w:footnote>
  <w:footnote w:id="9">
    <w:p w14:paraId="62F5F466" w14:textId="658C9190" w:rsidR="00B700BC" w:rsidRDefault="00B700BC" w:rsidP="00B700BC">
      <w:pPr>
        <w:pStyle w:val="FootnoteText"/>
      </w:pPr>
      <w:r>
        <w:rPr>
          <w:rStyle w:val="FootnoteReference"/>
        </w:rPr>
        <w:footnoteRef/>
      </w:r>
      <w:r>
        <w:t xml:space="preserve"> </w:t>
      </w:r>
      <w:r>
        <w:tab/>
        <w:t>To the extent p</w:t>
      </w:r>
      <w:r w:rsidR="006B39CD">
        <w:t>laintiffs</w:t>
      </w:r>
      <w:r>
        <w:t xml:space="preserve"> attempt to characterize these mandatory orders as incidental in the sense that they merely implemented the court’s finding that the Board’s appointment of Rowe was </w:t>
      </w:r>
      <w:r>
        <w:t>null and void, the argument proves too much.  In that sense, virtually every remedial order could be characterized as incidental to the underlying legal violation on which it is based.</w:t>
      </w:r>
    </w:p>
  </w:footnote>
  <w:footnote w:id="10">
    <w:p w14:paraId="10ADE6E4" w14:textId="38C508E6" w:rsidR="00B700BC" w:rsidRDefault="00B700BC" w:rsidP="00B700BC">
      <w:pPr>
        <w:pStyle w:val="FootnoteText"/>
      </w:pPr>
      <w:r>
        <w:rPr>
          <w:rStyle w:val="FootnoteReference"/>
        </w:rPr>
        <w:footnoteRef/>
      </w:r>
      <w:r>
        <w:t xml:space="preserve"> </w:t>
      </w:r>
      <w:r>
        <w:tab/>
        <w:t>We note as well that Rowe’s removal is clearly not incidental in any sense to p</w:t>
      </w:r>
      <w:r w:rsidR="002343D0">
        <w:t>laintiffs</w:t>
      </w:r>
      <w:r>
        <w:t xml:space="preserve">, who </w:t>
      </w:r>
      <w:r w:rsidRPr="00EE0ADD">
        <w:t xml:space="preserve">asked the superior court not only to declare the appointment void but to order it rescinded and the Governor’s appointee seated.  </w:t>
      </w:r>
      <w:r>
        <w:t>In this court, moreover, p</w:t>
      </w:r>
      <w:r w:rsidR="006B39CD">
        <w:t>laintiffs</w:t>
      </w:r>
      <w:r>
        <w:t xml:space="preserve"> have made clear that one of their central concerns is whether Rowe would be permitted to continue occupying the seat, and thus claim incumbent status on the ballot in the Third District </w:t>
      </w:r>
      <w:r w:rsidR="00583F60">
        <w:t>s</w:t>
      </w:r>
      <w:r>
        <w:t>upervisor election, despite the alleged defect in the process that led to her appointment.</w:t>
      </w:r>
    </w:p>
  </w:footnote>
  <w:footnote w:id="11">
    <w:p w14:paraId="7A7F79A3" w14:textId="77777777" w:rsidR="00B700BC" w:rsidRPr="00817148" w:rsidRDefault="00B700BC" w:rsidP="00B700BC">
      <w:pPr>
        <w:pStyle w:val="FootnoteText"/>
      </w:pPr>
      <w:r>
        <w:rPr>
          <w:rStyle w:val="FootnoteReference"/>
        </w:rPr>
        <w:footnoteRef/>
      </w:r>
      <w:r>
        <w:t xml:space="preserve"> </w:t>
      </w:r>
      <w:r>
        <w:tab/>
        <w:t xml:space="preserve">We acknowledge that the proper characterization of the injunction at issue in </w:t>
      </w:r>
      <w:r>
        <w:rPr>
          <w:i/>
          <w:iCs/>
        </w:rPr>
        <w:t>Byington</w:t>
      </w:r>
      <w:r>
        <w:t xml:space="preserve"> is not free from ambiguity.  Rather than view the trial court’s order there as requiring the affirmative abandonment of a property right, we might with equal plausibility have characterized it as restraining San Francisco from repeating its allegedly unlawful conduct of storing excess water — much as the city in </w:t>
      </w:r>
      <w:r>
        <w:rPr>
          <w:i/>
          <w:iCs/>
        </w:rPr>
        <w:t xml:space="preserve">United Railroads </w:t>
      </w:r>
      <w:r>
        <w:t xml:space="preserve">had been ordered to stop running excess trains on the plaintiff’s tracks.  That we did not characterize the injunction that way may have had something to do with the fact that the city had prevailed on the merits in an intervening decision on appeal.  (See </w:t>
      </w:r>
      <w:r w:rsidRPr="00222866">
        <w:rPr>
          <w:i/>
          <w:iCs/>
        </w:rPr>
        <w:t xml:space="preserve">Byington v. Superior </w:t>
      </w:r>
      <w:r w:rsidRPr="00762A53">
        <w:rPr>
          <w:i/>
          <w:iCs/>
        </w:rPr>
        <w:t>Court</w:t>
      </w:r>
      <w:r>
        <w:t xml:space="preserve">, </w:t>
      </w:r>
      <w:r w:rsidRPr="00FC13E3">
        <w:rPr>
          <w:i/>
          <w:iCs/>
        </w:rPr>
        <w:t>supra</w:t>
      </w:r>
      <w:r>
        <w:t xml:space="preserve">, </w:t>
      </w:r>
      <w:r w:rsidRPr="00A50950">
        <w:t>14</w:t>
      </w:r>
      <w:r w:rsidRPr="00222866">
        <w:t xml:space="preserve"> Cal.2d </w:t>
      </w:r>
      <w:r>
        <w:t>at pp. </w:t>
      </w:r>
      <w:r w:rsidRPr="00222866">
        <w:t>72–73</w:t>
      </w:r>
      <w:r>
        <w:t xml:space="preserve">; see </w:t>
      </w:r>
      <w:r w:rsidRPr="008E1EF6">
        <w:rPr>
          <w:i/>
          <w:iCs/>
        </w:rPr>
        <w:t>Meridian, Ltd., v. San Francisco</w:t>
      </w:r>
      <w:r w:rsidRPr="008E1EF6">
        <w:t> (1939) 13 Cal.2d 424, 459–460</w:t>
      </w:r>
      <w:r>
        <w:t xml:space="preserve"> [modifying the trial court’s order].)  </w:t>
      </w:r>
    </w:p>
    <w:p w14:paraId="076A66FE" w14:textId="77777777" w:rsidR="00B700BC" w:rsidRDefault="00B700BC" w:rsidP="00B700BC">
      <w:pPr>
        <w:pStyle w:val="FootnoteText"/>
      </w:pPr>
      <w:r>
        <w:tab/>
      </w:r>
      <w:r>
        <w:rPr>
          <w:i/>
          <w:iCs/>
        </w:rPr>
        <w:t>Byington</w:t>
      </w:r>
      <w:r>
        <w:t xml:space="preserve"> is not the sole example of this type of ambiguity.  In </w:t>
      </w:r>
      <w:r>
        <w:rPr>
          <w:i/>
          <w:iCs/>
        </w:rPr>
        <w:t>Clute</w:t>
      </w:r>
      <w:r>
        <w:t>, for example, we might plausibly have characterized the injunction as merely restraining the defendant from continuing to act unlawfully as manager and treasurer of the hotel, rather than as ousting the defendant from a possessory interest in the hotel and its associated personal property.  (</w:t>
      </w:r>
      <w:r>
        <w:rPr>
          <w:i/>
          <w:iCs/>
        </w:rPr>
        <w:t>Clute</w:t>
      </w:r>
      <w:r>
        <w:t xml:space="preserve">, </w:t>
      </w:r>
      <w:r>
        <w:rPr>
          <w:i/>
          <w:iCs/>
        </w:rPr>
        <w:t>supra</w:t>
      </w:r>
      <w:r>
        <w:t>, 155 Cal. at pp. 17, 19–20.)</w:t>
      </w:r>
    </w:p>
    <w:p w14:paraId="17FDCCA8" w14:textId="3CF3C4AC" w:rsidR="00B700BC" w:rsidRDefault="00B700BC" w:rsidP="00B700BC">
      <w:pPr>
        <w:pStyle w:val="FootnoteText"/>
      </w:pPr>
      <w:r>
        <w:tab/>
        <w:t>We mention these ambiguities not to suggest that either of these decisions w</w:t>
      </w:r>
      <w:r w:rsidR="00A56171">
        <w:t>as</w:t>
      </w:r>
      <w:r>
        <w:t xml:space="preserve"> wrongly decided, but only to illustrate the difficulties of application inherent in our traditional mandatory/prohibitory distinction, difficulties that contribute to our belief this area of the law may be ripe for reconsideration or legislative reform.  (See pt. III., </w:t>
      </w:r>
      <w:r>
        <w:rPr>
          <w:i/>
          <w:iCs/>
        </w:rPr>
        <w:t>post.</w:t>
      </w:r>
      <w:r>
        <w:t>)</w:t>
      </w:r>
    </w:p>
    <w:p w14:paraId="7EA10D36" w14:textId="77777777" w:rsidR="00B700BC" w:rsidRPr="00F707B3" w:rsidRDefault="00B700BC" w:rsidP="00B700BC">
      <w:pPr>
        <w:pStyle w:val="FootnoteText"/>
        <w:ind w:firstLine="720"/>
      </w:pPr>
      <w:r>
        <w:t xml:space="preserve">The point remains, however, that the outcome in </w:t>
      </w:r>
      <w:r>
        <w:rPr>
          <w:i/>
          <w:iCs/>
        </w:rPr>
        <w:t>Byington</w:t>
      </w:r>
      <w:r>
        <w:t xml:space="preserve"> would certainly have been different had we understood the question before us solely in terms of whether the injunction returned the parties to the last actual, peaceable status preceding the controversy, as opposed to asking more broadly whether the injunction effectively preserved the status quo pending appeal.</w:t>
      </w:r>
    </w:p>
  </w:footnote>
  <w:footnote w:id="12">
    <w:p w14:paraId="0384DC10" w14:textId="4245C6DA" w:rsidR="00B700BC" w:rsidRDefault="00B700BC" w:rsidP="00B700BC">
      <w:pPr>
        <w:pStyle w:val="FootnoteText"/>
      </w:pPr>
      <w:r>
        <w:rPr>
          <w:rStyle w:val="FootnoteReference"/>
        </w:rPr>
        <w:footnoteRef/>
      </w:r>
      <w:r>
        <w:t xml:space="preserve"> </w:t>
      </w:r>
      <w:r>
        <w:tab/>
      </w:r>
      <w:r w:rsidRPr="00450755">
        <w:t xml:space="preserve">As stated earlier, we need not decide here whether Government Code section 54960.1, by specifying a mandamus remedy for violations of the Brown Act, creates an exception to the rule of quo warranto exclusivity. </w:t>
      </w:r>
      <w:r>
        <w:t xml:space="preserve"> </w:t>
      </w:r>
      <w:r w:rsidRPr="00FC13E3">
        <w:t>We</w:t>
      </w:r>
      <w:r>
        <w:t xml:space="preserve"> also</w:t>
      </w:r>
      <w:r w:rsidRPr="00FC13E3">
        <w:t xml:space="preserve"> do not address here whether an action under Code of Civil Procedure section 803 based on a Brown Act violation would need to meet any of the procedural prerequisites of a mandate petition brought under Government Code section 54960.1, or whether proceedings under the two statutes might be consolidated or coordinated.</w:t>
      </w:r>
    </w:p>
  </w:footnote>
  <w:footnote w:id="13">
    <w:p w14:paraId="1AFB06A4" w14:textId="72F4418C" w:rsidR="00B700BC" w:rsidRDefault="00B700BC" w:rsidP="00B700BC">
      <w:pPr>
        <w:pStyle w:val="FootnoteText"/>
      </w:pPr>
      <w:r>
        <w:rPr>
          <w:rStyle w:val="FootnoteReference"/>
        </w:rPr>
        <w:footnoteRef/>
      </w:r>
      <w:r>
        <w:t xml:space="preserve"> </w:t>
      </w:r>
      <w:r>
        <w:tab/>
        <w:t xml:space="preserve">See Lee, </w:t>
      </w:r>
      <w:r w:rsidRPr="00B46309">
        <w:rPr>
          <w:i/>
          <w:iCs/>
        </w:rPr>
        <w:t>Preliminary Injunctions and the Status Quo</w:t>
      </w:r>
      <w:r w:rsidRPr="00B46309">
        <w:t xml:space="preserve"> (2001) 58 Wash. &amp; Lee </w:t>
      </w:r>
      <w:r w:rsidRPr="00B46309">
        <w:t>L.Rev. 109, 161</w:t>
      </w:r>
      <w:r>
        <w:t xml:space="preserve"> (noting, in the related area of rules governing issuance of preliminary injunctions, that “</w:t>
      </w:r>
      <w:r w:rsidRPr="00B46309">
        <w:t xml:space="preserve">it may be </w:t>
      </w:r>
      <w:r w:rsidRPr="00B46309">
        <w:t xml:space="preserve">that injunctions preserving the status quo are more likely to minimize irreparable harm, while injunctions upsetting the status quo tend to multiply such harms. </w:t>
      </w:r>
      <w:r>
        <w:t xml:space="preserve"> </w:t>
      </w:r>
      <w:r w:rsidRPr="00B46309">
        <w:t xml:space="preserve">But clearly there are exceptions to this </w:t>
      </w:r>
      <w:r>
        <w:t>‘</w:t>
      </w:r>
      <w:r w:rsidRPr="00B46309">
        <w:t>rule</w:t>
      </w:r>
      <w:r>
        <w:t>’ </w:t>
      </w:r>
      <w:r w:rsidRPr="00B46309">
        <w:t>”</w:t>
      </w:r>
      <w:r>
        <w:t>)</w:t>
      </w:r>
      <w:r w:rsidR="00972284">
        <w:t>.</w:t>
      </w:r>
      <w:r>
        <w:t xml:space="preserve">  Our general observation should not, of course, be taken as a reflection on the equities of the present case.</w:t>
      </w:r>
    </w:p>
  </w:footnote>
  <w:footnote w:id="14">
    <w:p w14:paraId="2B3A773A" w14:textId="08721FC0" w:rsidR="00B700BC" w:rsidRDefault="00B700BC" w:rsidP="00B700BC">
      <w:pPr>
        <w:pStyle w:val="FootnoteText"/>
      </w:pPr>
      <w:r>
        <w:rPr>
          <w:rStyle w:val="FootnoteReference"/>
        </w:rPr>
        <w:footnoteRef/>
      </w:r>
      <w:r>
        <w:t xml:space="preserve"> </w:t>
      </w:r>
      <w:r>
        <w:tab/>
      </w:r>
      <w:r w:rsidRPr="00AA0182">
        <w:t>“Different Rules of Procedure govern the power of district courts and courts of appeals to stay an order pending appeal.  See Fed. Rule Civ. Proc. 62(c); Fed. Rule App. Proc. 8(a).  Under both Rules, however, the factors regulating the issuance of a stay are generally the same:</w:t>
      </w:r>
      <w:r>
        <w:t xml:space="preserve"> </w:t>
      </w:r>
      <w:r w:rsidRPr="00AA0182">
        <w:t xml:space="preserve"> (1) whether the stay applicant has made a strong showing that he is likely to succeed on the merits; (2) whether the applicant will be irreparably injured absent a stay; (3) whether issuance of the stay will substantially injure the other parties interested in the proceeding; and (4) where the public interest lies.”  (</w:t>
      </w:r>
      <w:r w:rsidRPr="00AA0182">
        <w:rPr>
          <w:i/>
          <w:iCs/>
        </w:rPr>
        <w:t xml:space="preserve">Hilton v. </w:t>
      </w:r>
      <w:r w:rsidRPr="00AA0182">
        <w:rPr>
          <w:i/>
          <w:iCs/>
        </w:rPr>
        <w:t>Braunskill</w:t>
      </w:r>
      <w:r>
        <w:t xml:space="preserve">, </w:t>
      </w:r>
      <w:r w:rsidRPr="00102FDC">
        <w:rPr>
          <w:i/>
          <w:iCs/>
        </w:rPr>
        <w:t>supra</w:t>
      </w:r>
      <w:r>
        <w:t xml:space="preserve">, </w:t>
      </w:r>
      <w:r w:rsidRPr="00102FDC">
        <w:t>481</w:t>
      </w:r>
      <w:r w:rsidRPr="00AA0182">
        <w:t xml:space="preserve"> U.S. </w:t>
      </w:r>
      <w:r>
        <w:t>at p. </w:t>
      </w:r>
      <w:r w:rsidRPr="00AA0182">
        <w:t>776.)</w:t>
      </w:r>
    </w:p>
  </w:footnote>
  <w:footnote w:id="15">
    <w:p w14:paraId="7CFCC801" w14:textId="308B7C64" w:rsidR="00B700BC" w:rsidRDefault="00B700BC" w:rsidP="00B700BC">
      <w:pPr>
        <w:pStyle w:val="FootnoteText"/>
      </w:pPr>
      <w:r w:rsidRPr="00B36124">
        <w:rPr>
          <w:rStyle w:val="FootnoteReference"/>
        </w:rPr>
        <w:footnoteRef/>
      </w:r>
      <w:r w:rsidRPr="00B36124">
        <w:rPr>
          <w:position w:val="6"/>
        </w:rPr>
        <w:t xml:space="preserve"> </w:t>
      </w:r>
      <w:r>
        <w:tab/>
        <w:t>New York continues to follow the rule that mandatory injunctions fall within the automatic stay provisions, while p</w:t>
      </w:r>
      <w:r w:rsidRPr="00BC62CE">
        <w:t xml:space="preserve">rohibitory injunctions are </w:t>
      </w:r>
      <w:r>
        <w:t xml:space="preserve">considered </w:t>
      </w:r>
      <w:r w:rsidRPr="00BC62CE">
        <w:t>self</w:t>
      </w:r>
      <w:r>
        <w:noBreakHyphen/>
      </w:r>
      <w:r w:rsidRPr="00BC62CE">
        <w:t>executing</w:t>
      </w:r>
      <w:r>
        <w:t xml:space="preserve">, serve to maintain the status quo, and therefore are not automatically stayed. </w:t>
      </w:r>
      <w:r w:rsidR="003906AB">
        <w:t xml:space="preserve"> </w:t>
      </w:r>
      <w:r>
        <w:t>(</w:t>
      </w:r>
      <w:r w:rsidRPr="00BC62CE">
        <w:rPr>
          <w:i/>
          <w:iCs/>
        </w:rPr>
        <w:t>State</w:t>
      </w:r>
      <w:r>
        <w:rPr>
          <w:i/>
          <w:iCs/>
        </w:rPr>
        <w:t xml:space="preserve"> of New York</w:t>
      </w:r>
      <w:r w:rsidRPr="00BC62CE">
        <w:rPr>
          <w:i/>
          <w:iCs/>
        </w:rPr>
        <w:t xml:space="preserve"> v. Town of Haverstraw</w:t>
      </w:r>
      <w:r w:rsidRPr="00BC62CE">
        <w:t> (</w:t>
      </w:r>
      <w:r w:rsidRPr="00BC62CE">
        <w:t>N.Y.App.Div. 1996) 219 A.D.2d 64, 65</w:t>
      </w:r>
      <w:r>
        <w:t>.)  But unlike California, New York empowers the appellate court to “</w:t>
      </w:r>
      <w:r w:rsidRPr="00404F66">
        <w:t>vacate, limit or modify any stay</w:t>
      </w:r>
      <w:r>
        <w:t xml:space="preserve">” imposed under the statute’s automatic provisions, including stays of </w:t>
      </w:r>
      <w:r w:rsidRPr="002A7BD2">
        <w:t>mandatory</w:t>
      </w:r>
      <w:r>
        <w:t xml:space="preserve"> injunctions.  (</w:t>
      </w:r>
      <w:r w:rsidRPr="00D67733">
        <w:t>N.Y. C.P.L.R.</w:t>
      </w:r>
      <w:r>
        <w:t xml:space="preserve"> § </w:t>
      </w:r>
      <w:r w:rsidRPr="00D67733">
        <w:t>5519</w:t>
      </w:r>
      <w:r>
        <w:t>(c).)</w:t>
      </w:r>
    </w:p>
  </w:footnote>
  <w:footnote w:id="16">
    <w:p w14:paraId="0891C9B3" w14:textId="77777777" w:rsidR="00B700BC" w:rsidRDefault="00B700BC" w:rsidP="00B700BC">
      <w:pPr>
        <w:pStyle w:val="FootnoteText"/>
      </w:pPr>
      <w:r>
        <w:rPr>
          <w:rStyle w:val="FootnoteReference"/>
        </w:rPr>
        <w:footnoteRef/>
      </w:r>
      <w:r>
        <w:t xml:space="preserve"> </w:t>
      </w:r>
      <w:r>
        <w:tab/>
        <w:t>Some courts have suggested the provision of Code of Civil Procedure section 923 authorizing an appellate court to “</w:t>
      </w:r>
      <w:r w:rsidRPr="00465803">
        <w:t>make any order appropriate to preserve</w:t>
      </w:r>
      <w:r>
        <w:t xml:space="preserve"> . . .</w:t>
      </w:r>
      <w:r w:rsidRPr="00465803">
        <w:t xml:space="preserve"> the effectiveness of the judgment subsequently to be entered</w:t>
      </w:r>
      <w:r>
        <w:t xml:space="preserve">” might empower the appellate court to vacate or modify a stay of the trial court’s order in some circumstances.  (See </w:t>
      </w:r>
      <w:r w:rsidRPr="002902F1">
        <w:rPr>
          <w:i/>
          <w:iCs/>
        </w:rPr>
        <w:t xml:space="preserve">Agricultural Labor </w:t>
      </w:r>
      <w:r>
        <w:rPr>
          <w:i/>
          <w:iCs/>
        </w:rPr>
        <w:t xml:space="preserve">Relations </w:t>
      </w:r>
      <w:r w:rsidRPr="002902F1">
        <w:rPr>
          <w:i/>
          <w:iCs/>
        </w:rPr>
        <w:t>Bd. v. Superior Court</w:t>
      </w:r>
      <w:r>
        <w:t xml:space="preserve">, </w:t>
      </w:r>
      <w:r w:rsidRPr="00EF64B2">
        <w:rPr>
          <w:i/>
          <w:iCs/>
        </w:rPr>
        <w:t>supra</w:t>
      </w:r>
      <w:r>
        <w:t xml:space="preserve">, </w:t>
      </w:r>
      <w:r w:rsidRPr="00545658">
        <w:t>149</w:t>
      </w:r>
      <w:r w:rsidRPr="002902F1">
        <w:t xml:space="preserve"> Cal.App.3d </w:t>
      </w:r>
      <w:r>
        <w:t>at p. </w:t>
      </w:r>
      <w:r w:rsidRPr="00385BE7">
        <w:t>71</w:t>
      </w:r>
      <w:r>
        <w:t>9 [suggesting Code Civ. Proc., § 923 might be employed in this manner “</w:t>
      </w:r>
      <w:r w:rsidRPr="00F528FF">
        <w:t>to prevent final ALRB actions from being mooted by events</w:t>
      </w:r>
      <w:r>
        <w:t>”].)  Limited as it is to orders aimed at preserving the effectiveness of the court’s judgment, however, that clause has not been construed as a general warrant for undoing automatic stays of mandatory injunctions on equitable grounds.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5CC29" w14:textId="68583FA1" w:rsidR="0077608C" w:rsidRDefault="0077608C">
    <w:pPr>
      <w:pStyle w:val="Header"/>
    </w:pPr>
    <w:r>
      <w:t>DALY</w:t>
    </w:r>
    <w:r w:rsidR="00D707C5">
      <w:t xml:space="preserve"> </w:t>
    </w:r>
    <w:r>
      <w:t xml:space="preserve">v. </w:t>
    </w:r>
    <w:r w:rsidR="007064CE">
      <w:t xml:space="preserve">SAN BERNARDINO COUNTY </w:t>
    </w:r>
    <w:r>
      <w:t>BOARD OF SUPERVISORS</w:t>
    </w:r>
  </w:p>
  <w:p w14:paraId="117C4830" w14:textId="1BE99D0F" w:rsidR="0077608C" w:rsidRDefault="0077608C">
    <w:pPr>
      <w:pStyle w:val="Header"/>
    </w:pPr>
    <w:r>
      <w:t>Opinion of the Court by Kruger, J.</w:t>
    </w:r>
  </w:p>
  <w:p w14:paraId="6C3AFE2C" w14:textId="77777777" w:rsidR="0077608C" w:rsidRDefault="007760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48B98" w14:textId="77777777" w:rsidR="002255B8" w:rsidRDefault="001313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BF03B" w14:textId="77777777" w:rsidR="002255B8" w:rsidRDefault="0013133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B7AA0" w14:textId="77777777" w:rsidR="002255B8" w:rsidRDefault="0013133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9"/>
  <w:removePersonalInformation/>
  <w:removeDateAndTime/>
  <w:printFractionalCharacterWidth/>
  <w:activeWritingStyle w:appName="MSWord" w:lang="en-US" w:vendorID="64" w:dllVersion="5" w:nlCheck="1" w:checkStyle="1"/>
  <w:activeWritingStyle w:appName="MSWord" w:lang="en-US" w:vendorID="64" w:dllVersion="0" w:nlCheck="1" w:checkStyle="0"/>
  <w:proofState w:spelling="clean" w:grammar="clean"/>
  <w:defaultTabStop w:val="720"/>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B2D"/>
    <w:rsid w:val="00000841"/>
    <w:rsid w:val="00000CA7"/>
    <w:rsid w:val="0000145D"/>
    <w:rsid w:val="0000460A"/>
    <w:rsid w:val="00005CCD"/>
    <w:rsid w:val="000061E2"/>
    <w:rsid w:val="0000694B"/>
    <w:rsid w:val="0001007C"/>
    <w:rsid w:val="0001014D"/>
    <w:rsid w:val="0001050D"/>
    <w:rsid w:val="000105C3"/>
    <w:rsid w:val="00010918"/>
    <w:rsid w:val="000117E8"/>
    <w:rsid w:val="00011829"/>
    <w:rsid w:val="0001204E"/>
    <w:rsid w:val="00012392"/>
    <w:rsid w:val="0001275C"/>
    <w:rsid w:val="0001376F"/>
    <w:rsid w:val="000154F3"/>
    <w:rsid w:val="00017E1E"/>
    <w:rsid w:val="0002063E"/>
    <w:rsid w:val="00020DA5"/>
    <w:rsid w:val="0002137D"/>
    <w:rsid w:val="000216B0"/>
    <w:rsid w:val="00021ABD"/>
    <w:rsid w:val="00021E33"/>
    <w:rsid w:val="00021FEB"/>
    <w:rsid w:val="000221ED"/>
    <w:rsid w:val="00024D1F"/>
    <w:rsid w:val="00026E15"/>
    <w:rsid w:val="00027125"/>
    <w:rsid w:val="000273CD"/>
    <w:rsid w:val="0002747D"/>
    <w:rsid w:val="00030118"/>
    <w:rsid w:val="0003250C"/>
    <w:rsid w:val="000325C0"/>
    <w:rsid w:val="00032D81"/>
    <w:rsid w:val="0003395A"/>
    <w:rsid w:val="00033DA3"/>
    <w:rsid w:val="00035B63"/>
    <w:rsid w:val="00035DE0"/>
    <w:rsid w:val="00036419"/>
    <w:rsid w:val="00036460"/>
    <w:rsid w:val="00037589"/>
    <w:rsid w:val="00037C8E"/>
    <w:rsid w:val="00040548"/>
    <w:rsid w:val="0004105B"/>
    <w:rsid w:val="00041850"/>
    <w:rsid w:val="00042698"/>
    <w:rsid w:val="000427DC"/>
    <w:rsid w:val="00042906"/>
    <w:rsid w:val="000429CD"/>
    <w:rsid w:val="00042F9E"/>
    <w:rsid w:val="00043476"/>
    <w:rsid w:val="00044DAD"/>
    <w:rsid w:val="00044F01"/>
    <w:rsid w:val="0004537A"/>
    <w:rsid w:val="000458E8"/>
    <w:rsid w:val="00046D23"/>
    <w:rsid w:val="00047AA3"/>
    <w:rsid w:val="000505CD"/>
    <w:rsid w:val="00051632"/>
    <w:rsid w:val="00052F86"/>
    <w:rsid w:val="0005358F"/>
    <w:rsid w:val="0005398C"/>
    <w:rsid w:val="00055083"/>
    <w:rsid w:val="00055196"/>
    <w:rsid w:val="000559F9"/>
    <w:rsid w:val="00055DD7"/>
    <w:rsid w:val="0005638D"/>
    <w:rsid w:val="00057050"/>
    <w:rsid w:val="00057AAB"/>
    <w:rsid w:val="00057D4B"/>
    <w:rsid w:val="000606F7"/>
    <w:rsid w:val="000620F7"/>
    <w:rsid w:val="00063254"/>
    <w:rsid w:val="0006434C"/>
    <w:rsid w:val="00065774"/>
    <w:rsid w:val="00066BA4"/>
    <w:rsid w:val="00066D7E"/>
    <w:rsid w:val="000678A2"/>
    <w:rsid w:val="00070598"/>
    <w:rsid w:val="000706D3"/>
    <w:rsid w:val="000708FF"/>
    <w:rsid w:val="00070F55"/>
    <w:rsid w:val="0007287C"/>
    <w:rsid w:val="00073B1F"/>
    <w:rsid w:val="00075664"/>
    <w:rsid w:val="00075778"/>
    <w:rsid w:val="00075934"/>
    <w:rsid w:val="000765A3"/>
    <w:rsid w:val="00077049"/>
    <w:rsid w:val="0007708B"/>
    <w:rsid w:val="0008149A"/>
    <w:rsid w:val="000822E4"/>
    <w:rsid w:val="00082630"/>
    <w:rsid w:val="00082696"/>
    <w:rsid w:val="00083A1F"/>
    <w:rsid w:val="00083C94"/>
    <w:rsid w:val="00084D4D"/>
    <w:rsid w:val="000854AC"/>
    <w:rsid w:val="00086717"/>
    <w:rsid w:val="00091ED6"/>
    <w:rsid w:val="00091F73"/>
    <w:rsid w:val="00092488"/>
    <w:rsid w:val="0009347E"/>
    <w:rsid w:val="00094C63"/>
    <w:rsid w:val="00097C9D"/>
    <w:rsid w:val="000A0354"/>
    <w:rsid w:val="000A0F5B"/>
    <w:rsid w:val="000A1BF5"/>
    <w:rsid w:val="000A2622"/>
    <w:rsid w:val="000A2A76"/>
    <w:rsid w:val="000A319F"/>
    <w:rsid w:val="000A3FCD"/>
    <w:rsid w:val="000A44C9"/>
    <w:rsid w:val="000A5E79"/>
    <w:rsid w:val="000A7226"/>
    <w:rsid w:val="000B111B"/>
    <w:rsid w:val="000B12DD"/>
    <w:rsid w:val="000B1988"/>
    <w:rsid w:val="000B1B33"/>
    <w:rsid w:val="000B3D30"/>
    <w:rsid w:val="000B47DD"/>
    <w:rsid w:val="000B574B"/>
    <w:rsid w:val="000B639A"/>
    <w:rsid w:val="000B7325"/>
    <w:rsid w:val="000C16DE"/>
    <w:rsid w:val="000C2324"/>
    <w:rsid w:val="000C2EAC"/>
    <w:rsid w:val="000C30F8"/>
    <w:rsid w:val="000C4018"/>
    <w:rsid w:val="000C41FF"/>
    <w:rsid w:val="000C576C"/>
    <w:rsid w:val="000C65E7"/>
    <w:rsid w:val="000C6A59"/>
    <w:rsid w:val="000C7601"/>
    <w:rsid w:val="000D0120"/>
    <w:rsid w:val="000D0E98"/>
    <w:rsid w:val="000D0FE6"/>
    <w:rsid w:val="000D1428"/>
    <w:rsid w:val="000D19A7"/>
    <w:rsid w:val="000D26F3"/>
    <w:rsid w:val="000D27EE"/>
    <w:rsid w:val="000D340C"/>
    <w:rsid w:val="000D3CEA"/>
    <w:rsid w:val="000D4004"/>
    <w:rsid w:val="000D50D5"/>
    <w:rsid w:val="000D5B3F"/>
    <w:rsid w:val="000D5C79"/>
    <w:rsid w:val="000D60DC"/>
    <w:rsid w:val="000D7F4F"/>
    <w:rsid w:val="000E0857"/>
    <w:rsid w:val="000E2AA8"/>
    <w:rsid w:val="000E3366"/>
    <w:rsid w:val="000E364F"/>
    <w:rsid w:val="000E45BF"/>
    <w:rsid w:val="000E464D"/>
    <w:rsid w:val="000E56AF"/>
    <w:rsid w:val="000E60BB"/>
    <w:rsid w:val="000E658B"/>
    <w:rsid w:val="000E67EB"/>
    <w:rsid w:val="000F1722"/>
    <w:rsid w:val="000F1E08"/>
    <w:rsid w:val="000F27CF"/>
    <w:rsid w:val="000F3458"/>
    <w:rsid w:val="000F3BBC"/>
    <w:rsid w:val="000F4D82"/>
    <w:rsid w:val="000F5E9C"/>
    <w:rsid w:val="000F6070"/>
    <w:rsid w:val="000F78E0"/>
    <w:rsid w:val="000F7EB5"/>
    <w:rsid w:val="001002C0"/>
    <w:rsid w:val="001015A0"/>
    <w:rsid w:val="00103510"/>
    <w:rsid w:val="001036CD"/>
    <w:rsid w:val="001042F6"/>
    <w:rsid w:val="001050E2"/>
    <w:rsid w:val="00105386"/>
    <w:rsid w:val="0011034B"/>
    <w:rsid w:val="0011056D"/>
    <w:rsid w:val="00111CAD"/>
    <w:rsid w:val="0011222D"/>
    <w:rsid w:val="001122A7"/>
    <w:rsid w:val="0011285D"/>
    <w:rsid w:val="00112F59"/>
    <w:rsid w:val="00113543"/>
    <w:rsid w:val="001140B9"/>
    <w:rsid w:val="00114F99"/>
    <w:rsid w:val="00115138"/>
    <w:rsid w:val="001155D9"/>
    <w:rsid w:val="00115983"/>
    <w:rsid w:val="00115F05"/>
    <w:rsid w:val="0011697C"/>
    <w:rsid w:val="00116B8D"/>
    <w:rsid w:val="00116E63"/>
    <w:rsid w:val="001200DD"/>
    <w:rsid w:val="00120307"/>
    <w:rsid w:val="00120C23"/>
    <w:rsid w:val="00121416"/>
    <w:rsid w:val="00122AE7"/>
    <w:rsid w:val="001234EC"/>
    <w:rsid w:val="001245F5"/>
    <w:rsid w:val="00125D5A"/>
    <w:rsid w:val="0012724F"/>
    <w:rsid w:val="00127A93"/>
    <w:rsid w:val="001302CB"/>
    <w:rsid w:val="00131109"/>
    <w:rsid w:val="001311B1"/>
    <w:rsid w:val="00132BDC"/>
    <w:rsid w:val="00132FB6"/>
    <w:rsid w:val="00133134"/>
    <w:rsid w:val="001333FA"/>
    <w:rsid w:val="001337FD"/>
    <w:rsid w:val="00133AFE"/>
    <w:rsid w:val="00134F29"/>
    <w:rsid w:val="00136DD4"/>
    <w:rsid w:val="00136EDF"/>
    <w:rsid w:val="00137E64"/>
    <w:rsid w:val="00140C6F"/>
    <w:rsid w:val="00140FDE"/>
    <w:rsid w:val="00141430"/>
    <w:rsid w:val="00141A22"/>
    <w:rsid w:val="00141B6E"/>
    <w:rsid w:val="001421A2"/>
    <w:rsid w:val="00142B97"/>
    <w:rsid w:val="0014531A"/>
    <w:rsid w:val="001461A5"/>
    <w:rsid w:val="001466EC"/>
    <w:rsid w:val="0014730F"/>
    <w:rsid w:val="0014791D"/>
    <w:rsid w:val="0015010E"/>
    <w:rsid w:val="00150530"/>
    <w:rsid w:val="001512FD"/>
    <w:rsid w:val="0015162D"/>
    <w:rsid w:val="00152656"/>
    <w:rsid w:val="00152E84"/>
    <w:rsid w:val="00154074"/>
    <w:rsid w:val="001554BB"/>
    <w:rsid w:val="00156244"/>
    <w:rsid w:val="00156443"/>
    <w:rsid w:val="0015651C"/>
    <w:rsid w:val="001567D4"/>
    <w:rsid w:val="00156BD1"/>
    <w:rsid w:val="00156E52"/>
    <w:rsid w:val="00160DE1"/>
    <w:rsid w:val="00160E08"/>
    <w:rsid w:val="00162E85"/>
    <w:rsid w:val="001632BB"/>
    <w:rsid w:val="0016527B"/>
    <w:rsid w:val="001656BB"/>
    <w:rsid w:val="001659F5"/>
    <w:rsid w:val="00165A73"/>
    <w:rsid w:val="001664D9"/>
    <w:rsid w:val="001669B3"/>
    <w:rsid w:val="00166F24"/>
    <w:rsid w:val="001702E7"/>
    <w:rsid w:val="00172675"/>
    <w:rsid w:val="001736D5"/>
    <w:rsid w:val="00173A72"/>
    <w:rsid w:val="00174BAA"/>
    <w:rsid w:val="001756CE"/>
    <w:rsid w:val="00175C4E"/>
    <w:rsid w:val="00177B79"/>
    <w:rsid w:val="00177DA7"/>
    <w:rsid w:val="00180790"/>
    <w:rsid w:val="00180C48"/>
    <w:rsid w:val="00181305"/>
    <w:rsid w:val="001813AD"/>
    <w:rsid w:val="001833E6"/>
    <w:rsid w:val="001847F0"/>
    <w:rsid w:val="00184DA9"/>
    <w:rsid w:val="00185888"/>
    <w:rsid w:val="00186490"/>
    <w:rsid w:val="00187BE7"/>
    <w:rsid w:val="00187D76"/>
    <w:rsid w:val="00192460"/>
    <w:rsid w:val="001938DC"/>
    <w:rsid w:val="00193B49"/>
    <w:rsid w:val="00195454"/>
    <w:rsid w:val="00195B6C"/>
    <w:rsid w:val="0019690C"/>
    <w:rsid w:val="00196EF5"/>
    <w:rsid w:val="00196F73"/>
    <w:rsid w:val="001973C3"/>
    <w:rsid w:val="001A0784"/>
    <w:rsid w:val="001A089C"/>
    <w:rsid w:val="001A0CC7"/>
    <w:rsid w:val="001A0F15"/>
    <w:rsid w:val="001A1757"/>
    <w:rsid w:val="001A1D76"/>
    <w:rsid w:val="001A4033"/>
    <w:rsid w:val="001A6CD1"/>
    <w:rsid w:val="001B075A"/>
    <w:rsid w:val="001B1299"/>
    <w:rsid w:val="001B169B"/>
    <w:rsid w:val="001B1A32"/>
    <w:rsid w:val="001B1D41"/>
    <w:rsid w:val="001B2014"/>
    <w:rsid w:val="001B37E6"/>
    <w:rsid w:val="001B40EE"/>
    <w:rsid w:val="001B5313"/>
    <w:rsid w:val="001B614C"/>
    <w:rsid w:val="001B6FE7"/>
    <w:rsid w:val="001B715B"/>
    <w:rsid w:val="001C0B7B"/>
    <w:rsid w:val="001C1536"/>
    <w:rsid w:val="001C2984"/>
    <w:rsid w:val="001C2E36"/>
    <w:rsid w:val="001C40DD"/>
    <w:rsid w:val="001C4276"/>
    <w:rsid w:val="001C536E"/>
    <w:rsid w:val="001C539A"/>
    <w:rsid w:val="001C5B0F"/>
    <w:rsid w:val="001C6536"/>
    <w:rsid w:val="001C7547"/>
    <w:rsid w:val="001C7CA0"/>
    <w:rsid w:val="001D1B62"/>
    <w:rsid w:val="001D20EB"/>
    <w:rsid w:val="001D231E"/>
    <w:rsid w:val="001D2A6C"/>
    <w:rsid w:val="001D4069"/>
    <w:rsid w:val="001D5262"/>
    <w:rsid w:val="001D5B45"/>
    <w:rsid w:val="001D5B90"/>
    <w:rsid w:val="001D605B"/>
    <w:rsid w:val="001D6439"/>
    <w:rsid w:val="001E3862"/>
    <w:rsid w:val="001E3C14"/>
    <w:rsid w:val="001E5372"/>
    <w:rsid w:val="001E6905"/>
    <w:rsid w:val="001E6A3F"/>
    <w:rsid w:val="001E7206"/>
    <w:rsid w:val="001E73CF"/>
    <w:rsid w:val="001E7794"/>
    <w:rsid w:val="001E7E76"/>
    <w:rsid w:val="001F01A7"/>
    <w:rsid w:val="001F0E2D"/>
    <w:rsid w:val="001F1481"/>
    <w:rsid w:val="001F1AC5"/>
    <w:rsid w:val="001F1B04"/>
    <w:rsid w:val="001F21A3"/>
    <w:rsid w:val="001F25F0"/>
    <w:rsid w:val="001F2F0F"/>
    <w:rsid w:val="001F4259"/>
    <w:rsid w:val="001F4525"/>
    <w:rsid w:val="001F472B"/>
    <w:rsid w:val="001F52BB"/>
    <w:rsid w:val="001F53C0"/>
    <w:rsid w:val="001F65FC"/>
    <w:rsid w:val="001F67D0"/>
    <w:rsid w:val="001F7F19"/>
    <w:rsid w:val="0020092E"/>
    <w:rsid w:val="00201CAD"/>
    <w:rsid w:val="00201E34"/>
    <w:rsid w:val="002032C3"/>
    <w:rsid w:val="002033C8"/>
    <w:rsid w:val="00203C66"/>
    <w:rsid w:val="00203CCF"/>
    <w:rsid w:val="00204891"/>
    <w:rsid w:val="00204A32"/>
    <w:rsid w:val="00204D15"/>
    <w:rsid w:val="00205097"/>
    <w:rsid w:val="00207859"/>
    <w:rsid w:val="00210FC6"/>
    <w:rsid w:val="002110E8"/>
    <w:rsid w:val="00213889"/>
    <w:rsid w:val="00214FE7"/>
    <w:rsid w:val="00217821"/>
    <w:rsid w:val="00217BF3"/>
    <w:rsid w:val="00217E88"/>
    <w:rsid w:val="002209CA"/>
    <w:rsid w:val="00220C9C"/>
    <w:rsid w:val="002234C4"/>
    <w:rsid w:val="0022376B"/>
    <w:rsid w:val="00225737"/>
    <w:rsid w:val="00226803"/>
    <w:rsid w:val="00226E60"/>
    <w:rsid w:val="00227507"/>
    <w:rsid w:val="00227878"/>
    <w:rsid w:val="002323C7"/>
    <w:rsid w:val="002328FA"/>
    <w:rsid w:val="00232E24"/>
    <w:rsid w:val="00232E28"/>
    <w:rsid w:val="002337BD"/>
    <w:rsid w:val="002343D0"/>
    <w:rsid w:val="002350BF"/>
    <w:rsid w:val="00235788"/>
    <w:rsid w:val="00236020"/>
    <w:rsid w:val="002369BB"/>
    <w:rsid w:val="002373A8"/>
    <w:rsid w:val="00237609"/>
    <w:rsid w:val="00237996"/>
    <w:rsid w:val="00237F87"/>
    <w:rsid w:val="00237FE2"/>
    <w:rsid w:val="00240E5C"/>
    <w:rsid w:val="002415D9"/>
    <w:rsid w:val="002429AD"/>
    <w:rsid w:val="002435EE"/>
    <w:rsid w:val="00243F7A"/>
    <w:rsid w:val="002459D2"/>
    <w:rsid w:val="002459DB"/>
    <w:rsid w:val="002463B3"/>
    <w:rsid w:val="00246F25"/>
    <w:rsid w:val="00247276"/>
    <w:rsid w:val="0024761E"/>
    <w:rsid w:val="0024777E"/>
    <w:rsid w:val="00251064"/>
    <w:rsid w:val="00251266"/>
    <w:rsid w:val="00252326"/>
    <w:rsid w:val="00252F15"/>
    <w:rsid w:val="00252F91"/>
    <w:rsid w:val="002541F1"/>
    <w:rsid w:val="00254246"/>
    <w:rsid w:val="00254421"/>
    <w:rsid w:val="00255317"/>
    <w:rsid w:val="00255AAA"/>
    <w:rsid w:val="00255E3B"/>
    <w:rsid w:val="002561DD"/>
    <w:rsid w:val="00256BD7"/>
    <w:rsid w:val="00256C09"/>
    <w:rsid w:val="00256D9B"/>
    <w:rsid w:val="00256FE2"/>
    <w:rsid w:val="00257267"/>
    <w:rsid w:val="002576FE"/>
    <w:rsid w:val="00257720"/>
    <w:rsid w:val="00257C3B"/>
    <w:rsid w:val="0026040C"/>
    <w:rsid w:val="002608B4"/>
    <w:rsid w:val="00260AC4"/>
    <w:rsid w:val="002620F2"/>
    <w:rsid w:val="00263AFE"/>
    <w:rsid w:val="00263DE8"/>
    <w:rsid w:val="002645E0"/>
    <w:rsid w:val="00265829"/>
    <w:rsid w:val="00266D13"/>
    <w:rsid w:val="00266D42"/>
    <w:rsid w:val="00267959"/>
    <w:rsid w:val="00270306"/>
    <w:rsid w:val="00271E2E"/>
    <w:rsid w:val="00271E7A"/>
    <w:rsid w:val="002724E2"/>
    <w:rsid w:val="00272965"/>
    <w:rsid w:val="00274C4D"/>
    <w:rsid w:val="002754D0"/>
    <w:rsid w:val="00275614"/>
    <w:rsid w:val="00276E27"/>
    <w:rsid w:val="00276E75"/>
    <w:rsid w:val="002776F0"/>
    <w:rsid w:val="00277852"/>
    <w:rsid w:val="00277F01"/>
    <w:rsid w:val="00280373"/>
    <w:rsid w:val="0028141D"/>
    <w:rsid w:val="0028254F"/>
    <w:rsid w:val="002826A4"/>
    <w:rsid w:val="00282717"/>
    <w:rsid w:val="002828E0"/>
    <w:rsid w:val="00282D5A"/>
    <w:rsid w:val="00282DC6"/>
    <w:rsid w:val="0028308B"/>
    <w:rsid w:val="00284482"/>
    <w:rsid w:val="00284FE8"/>
    <w:rsid w:val="002851FC"/>
    <w:rsid w:val="00285FDB"/>
    <w:rsid w:val="00286966"/>
    <w:rsid w:val="00286A34"/>
    <w:rsid w:val="00286EE4"/>
    <w:rsid w:val="002877CF"/>
    <w:rsid w:val="00287C30"/>
    <w:rsid w:val="00287D2D"/>
    <w:rsid w:val="00287F8A"/>
    <w:rsid w:val="002902F1"/>
    <w:rsid w:val="00290931"/>
    <w:rsid w:val="00293FA5"/>
    <w:rsid w:val="002941B0"/>
    <w:rsid w:val="00294D56"/>
    <w:rsid w:val="002963A1"/>
    <w:rsid w:val="00296405"/>
    <w:rsid w:val="002966E4"/>
    <w:rsid w:val="0029712E"/>
    <w:rsid w:val="00297D66"/>
    <w:rsid w:val="002A02FD"/>
    <w:rsid w:val="002A0327"/>
    <w:rsid w:val="002A0774"/>
    <w:rsid w:val="002A0BA9"/>
    <w:rsid w:val="002A2A38"/>
    <w:rsid w:val="002A2DA0"/>
    <w:rsid w:val="002A3679"/>
    <w:rsid w:val="002A3A60"/>
    <w:rsid w:val="002A523B"/>
    <w:rsid w:val="002A5247"/>
    <w:rsid w:val="002A527C"/>
    <w:rsid w:val="002A59F6"/>
    <w:rsid w:val="002A5EF7"/>
    <w:rsid w:val="002A6C89"/>
    <w:rsid w:val="002A6CB9"/>
    <w:rsid w:val="002A7BD2"/>
    <w:rsid w:val="002A7F59"/>
    <w:rsid w:val="002B1190"/>
    <w:rsid w:val="002B2526"/>
    <w:rsid w:val="002B29D4"/>
    <w:rsid w:val="002B518C"/>
    <w:rsid w:val="002B568B"/>
    <w:rsid w:val="002B5B5E"/>
    <w:rsid w:val="002B6673"/>
    <w:rsid w:val="002B6CB8"/>
    <w:rsid w:val="002C07A8"/>
    <w:rsid w:val="002C127C"/>
    <w:rsid w:val="002C13BD"/>
    <w:rsid w:val="002C30D4"/>
    <w:rsid w:val="002C4E83"/>
    <w:rsid w:val="002C4FDC"/>
    <w:rsid w:val="002C5BDA"/>
    <w:rsid w:val="002C67E7"/>
    <w:rsid w:val="002D0280"/>
    <w:rsid w:val="002D0B18"/>
    <w:rsid w:val="002D22A4"/>
    <w:rsid w:val="002D3423"/>
    <w:rsid w:val="002D4007"/>
    <w:rsid w:val="002D4433"/>
    <w:rsid w:val="002D4AC1"/>
    <w:rsid w:val="002D4CC2"/>
    <w:rsid w:val="002D4D76"/>
    <w:rsid w:val="002D5288"/>
    <w:rsid w:val="002D53EB"/>
    <w:rsid w:val="002D6835"/>
    <w:rsid w:val="002D68AE"/>
    <w:rsid w:val="002E18C7"/>
    <w:rsid w:val="002E1E11"/>
    <w:rsid w:val="002E237E"/>
    <w:rsid w:val="002E2E27"/>
    <w:rsid w:val="002E2FC3"/>
    <w:rsid w:val="002E3674"/>
    <w:rsid w:val="002E3A43"/>
    <w:rsid w:val="002E3B4B"/>
    <w:rsid w:val="002E3D5E"/>
    <w:rsid w:val="002E3D9C"/>
    <w:rsid w:val="002E57F1"/>
    <w:rsid w:val="002E6DBC"/>
    <w:rsid w:val="002E727E"/>
    <w:rsid w:val="002F201F"/>
    <w:rsid w:val="002F2B15"/>
    <w:rsid w:val="002F3871"/>
    <w:rsid w:val="002F3A92"/>
    <w:rsid w:val="002F3C18"/>
    <w:rsid w:val="002F4223"/>
    <w:rsid w:val="002F4570"/>
    <w:rsid w:val="002F5F8B"/>
    <w:rsid w:val="003006B1"/>
    <w:rsid w:val="00300E85"/>
    <w:rsid w:val="00301E13"/>
    <w:rsid w:val="00302171"/>
    <w:rsid w:val="00302305"/>
    <w:rsid w:val="00303B2D"/>
    <w:rsid w:val="003045C4"/>
    <w:rsid w:val="0030491F"/>
    <w:rsid w:val="00304B7E"/>
    <w:rsid w:val="003063C1"/>
    <w:rsid w:val="00306C15"/>
    <w:rsid w:val="00307A16"/>
    <w:rsid w:val="0031025F"/>
    <w:rsid w:val="003104A2"/>
    <w:rsid w:val="00310AB7"/>
    <w:rsid w:val="0031122C"/>
    <w:rsid w:val="003119B8"/>
    <w:rsid w:val="00311CCF"/>
    <w:rsid w:val="003125ED"/>
    <w:rsid w:val="00312F03"/>
    <w:rsid w:val="00313928"/>
    <w:rsid w:val="00314073"/>
    <w:rsid w:val="00314BB2"/>
    <w:rsid w:val="003162EC"/>
    <w:rsid w:val="003163F8"/>
    <w:rsid w:val="00316849"/>
    <w:rsid w:val="003172BA"/>
    <w:rsid w:val="00317719"/>
    <w:rsid w:val="00317AAC"/>
    <w:rsid w:val="00317C33"/>
    <w:rsid w:val="003206D6"/>
    <w:rsid w:val="003209F7"/>
    <w:rsid w:val="00320D2F"/>
    <w:rsid w:val="003218AC"/>
    <w:rsid w:val="00321CB2"/>
    <w:rsid w:val="003248FE"/>
    <w:rsid w:val="00326940"/>
    <w:rsid w:val="00330EC1"/>
    <w:rsid w:val="003314EA"/>
    <w:rsid w:val="00333671"/>
    <w:rsid w:val="003337A1"/>
    <w:rsid w:val="00335DEE"/>
    <w:rsid w:val="003365FC"/>
    <w:rsid w:val="0033717B"/>
    <w:rsid w:val="00337782"/>
    <w:rsid w:val="00337D39"/>
    <w:rsid w:val="003414B4"/>
    <w:rsid w:val="00341739"/>
    <w:rsid w:val="003420D5"/>
    <w:rsid w:val="003422E6"/>
    <w:rsid w:val="0034243C"/>
    <w:rsid w:val="00343918"/>
    <w:rsid w:val="00343E12"/>
    <w:rsid w:val="0034441F"/>
    <w:rsid w:val="003450D6"/>
    <w:rsid w:val="003458BC"/>
    <w:rsid w:val="00345AA7"/>
    <w:rsid w:val="00345BF1"/>
    <w:rsid w:val="00350238"/>
    <w:rsid w:val="003505F0"/>
    <w:rsid w:val="0035065D"/>
    <w:rsid w:val="0035187D"/>
    <w:rsid w:val="003521F0"/>
    <w:rsid w:val="003543AC"/>
    <w:rsid w:val="00354614"/>
    <w:rsid w:val="00354A3F"/>
    <w:rsid w:val="00354C0B"/>
    <w:rsid w:val="003553B2"/>
    <w:rsid w:val="003557C0"/>
    <w:rsid w:val="003564DF"/>
    <w:rsid w:val="00356910"/>
    <w:rsid w:val="00356BFE"/>
    <w:rsid w:val="00356D0F"/>
    <w:rsid w:val="003574AC"/>
    <w:rsid w:val="00360EE4"/>
    <w:rsid w:val="00361BF9"/>
    <w:rsid w:val="00361C22"/>
    <w:rsid w:val="00365D6C"/>
    <w:rsid w:val="003669EB"/>
    <w:rsid w:val="0036712D"/>
    <w:rsid w:val="003671B9"/>
    <w:rsid w:val="003678F2"/>
    <w:rsid w:val="0037118A"/>
    <w:rsid w:val="00372DAA"/>
    <w:rsid w:val="003739E6"/>
    <w:rsid w:val="003742AF"/>
    <w:rsid w:val="003744CE"/>
    <w:rsid w:val="00375BC0"/>
    <w:rsid w:val="00375DC6"/>
    <w:rsid w:val="00376223"/>
    <w:rsid w:val="00376D0C"/>
    <w:rsid w:val="00376DD0"/>
    <w:rsid w:val="00380E60"/>
    <w:rsid w:val="00382B38"/>
    <w:rsid w:val="00382D1B"/>
    <w:rsid w:val="0038476D"/>
    <w:rsid w:val="00384D1D"/>
    <w:rsid w:val="00384E1D"/>
    <w:rsid w:val="00386848"/>
    <w:rsid w:val="00387686"/>
    <w:rsid w:val="0039035F"/>
    <w:rsid w:val="003906AB"/>
    <w:rsid w:val="00391D3E"/>
    <w:rsid w:val="00392904"/>
    <w:rsid w:val="00393971"/>
    <w:rsid w:val="00393BAE"/>
    <w:rsid w:val="00394B39"/>
    <w:rsid w:val="00396181"/>
    <w:rsid w:val="0039675F"/>
    <w:rsid w:val="00397A46"/>
    <w:rsid w:val="003A01D5"/>
    <w:rsid w:val="003A02D1"/>
    <w:rsid w:val="003A0B1B"/>
    <w:rsid w:val="003A14EB"/>
    <w:rsid w:val="003A1E8E"/>
    <w:rsid w:val="003A1FAF"/>
    <w:rsid w:val="003A27B9"/>
    <w:rsid w:val="003A3167"/>
    <w:rsid w:val="003A391B"/>
    <w:rsid w:val="003A4DEA"/>
    <w:rsid w:val="003A57E2"/>
    <w:rsid w:val="003A581D"/>
    <w:rsid w:val="003A61D7"/>
    <w:rsid w:val="003A6811"/>
    <w:rsid w:val="003A6A60"/>
    <w:rsid w:val="003A6DCE"/>
    <w:rsid w:val="003A6FEA"/>
    <w:rsid w:val="003A75F8"/>
    <w:rsid w:val="003A7CDD"/>
    <w:rsid w:val="003B07F8"/>
    <w:rsid w:val="003B1420"/>
    <w:rsid w:val="003B22B1"/>
    <w:rsid w:val="003B29FB"/>
    <w:rsid w:val="003B2CB0"/>
    <w:rsid w:val="003B3559"/>
    <w:rsid w:val="003B40B6"/>
    <w:rsid w:val="003B4A45"/>
    <w:rsid w:val="003B503F"/>
    <w:rsid w:val="003B670A"/>
    <w:rsid w:val="003B677B"/>
    <w:rsid w:val="003B6F8A"/>
    <w:rsid w:val="003C05BC"/>
    <w:rsid w:val="003C1068"/>
    <w:rsid w:val="003C1A47"/>
    <w:rsid w:val="003C277F"/>
    <w:rsid w:val="003C2B9B"/>
    <w:rsid w:val="003C2EE7"/>
    <w:rsid w:val="003C37C6"/>
    <w:rsid w:val="003C3FF6"/>
    <w:rsid w:val="003C4CEB"/>
    <w:rsid w:val="003C5B02"/>
    <w:rsid w:val="003C5F66"/>
    <w:rsid w:val="003C5FFD"/>
    <w:rsid w:val="003C6B89"/>
    <w:rsid w:val="003C7894"/>
    <w:rsid w:val="003D02C9"/>
    <w:rsid w:val="003D06BA"/>
    <w:rsid w:val="003D073C"/>
    <w:rsid w:val="003D12C7"/>
    <w:rsid w:val="003D3272"/>
    <w:rsid w:val="003D5A35"/>
    <w:rsid w:val="003D60A9"/>
    <w:rsid w:val="003E0176"/>
    <w:rsid w:val="003E258D"/>
    <w:rsid w:val="003E3EFC"/>
    <w:rsid w:val="003E433A"/>
    <w:rsid w:val="003E43FA"/>
    <w:rsid w:val="003E509B"/>
    <w:rsid w:val="003E5184"/>
    <w:rsid w:val="003E6B22"/>
    <w:rsid w:val="003E6C90"/>
    <w:rsid w:val="003E6D59"/>
    <w:rsid w:val="003F0D27"/>
    <w:rsid w:val="003F1423"/>
    <w:rsid w:val="003F2B5E"/>
    <w:rsid w:val="003F3AA2"/>
    <w:rsid w:val="003F4BA8"/>
    <w:rsid w:val="003F5665"/>
    <w:rsid w:val="003F6413"/>
    <w:rsid w:val="003F7F8D"/>
    <w:rsid w:val="00400974"/>
    <w:rsid w:val="00400F90"/>
    <w:rsid w:val="004015A9"/>
    <w:rsid w:val="00402AE8"/>
    <w:rsid w:val="004030B5"/>
    <w:rsid w:val="0040393F"/>
    <w:rsid w:val="00403E5E"/>
    <w:rsid w:val="004046C3"/>
    <w:rsid w:val="00404DCC"/>
    <w:rsid w:val="00404F66"/>
    <w:rsid w:val="0040510D"/>
    <w:rsid w:val="004055BE"/>
    <w:rsid w:val="004056F4"/>
    <w:rsid w:val="00405AC0"/>
    <w:rsid w:val="00405B21"/>
    <w:rsid w:val="00405F1C"/>
    <w:rsid w:val="004074AE"/>
    <w:rsid w:val="004107A9"/>
    <w:rsid w:val="00412B26"/>
    <w:rsid w:val="00412E0B"/>
    <w:rsid w:val="00414D10"/>
    <w:rsid w:val="004160FD"/>
    <w:rsid w:val="004168BB"/>
    <w:rsid w:val="00417A3F"/>
    <w:rsid w:val="00417D1D"/>
    <w:rsid w:val="00417D31"/>
    <w:rsid w:val="00420E8F"/>
    <w:rsid w:val="004211F2"/>
    <w:rsid w:val="004216FF"/>
    <w:rsid w:val="004217C5"/>
    <w:rsid w:val="004235CE"/>
    <w:rsid w:val="004246DD"/>
    <w:rsid w:val="00424F42"/>
    <w:rsid w:val="004258AF"/>
    <w:rsid w:val="00426151"/>
    <w:rsid w:val="0043292B"/>
    <w:rsid w:val="00433E08"/>
    <w:rsid w:val="00434D11"/>
    <w:rsid w:val="00435F73"/>
    <w:rsid w:val="00435FAF"/>
    <w:rsid w:val="004365DC"/>
    <w:rsid w:val="00436ED6"/>
    <w:rsid w:val="004408CA"/>
    <w:rsid w:val="004418CC"/>
    <w:rsid w:val="00442D40"/>
    <w:rsid w:val="004433A4"/>
    <w:rsid w:val="00443809"/>
    <w:rsid w:val="004440C4"/>
    <w:rsid w:val="0044424D"/>
    <w:rsid w:val="0044511A"/>
    <w:rsid w:val="00445AED"/>
    <w:rsid w:val="00445B21"/>
    <w:rsid w:val="00446103"/>
    <w:rsid w:val="004501C3"/>
    <w:rsid w:val="0045040B"/>
    <w:rsid w:val="00450D72"/>
    <w:rsid w:val="004518E0"/>
    <w:rsid w:val="004523C0"/>
    <w:rsid w:val="00453C19"/>
    <w:rsid w:val="0045406F"/>
    <w:rsid w:val="00454AB2"/>
    <w:rsid w:val="00455621"/>
    <w:rsid w:val="00456119"/>
    <w:rsid w:val="00456917"/>
    <w:rsid w:val="00456FEA"/>
    <w:rsid w:val="004574B3"/>
    <w:rsid w:val="004577FB"/>
    <w:rsid w:val="00457FF6"/>
    <w:rsid w:val="00460579"/>
    <w:rsid w:val="00460918"/>
    <w:rsid w:val="00460B05"/>
    <w:rsid w:val="00460BA3"/>
    <w:rsid w:val="00460BFF"/>
    <w:rsid w:val="00460F1A"/>
    <w:rsid w:val="004620A2"/>
    <w:rsid w:val="0046226B"/>
    <w:rsid w:val="00462A47"/>
    <w:rsid w:val="00463C7D"/>
    <w:rsid w:val="004647ED"/>
    <w:rsid w:val="00464FD6"/>
    <w:rsid w:val="00465AD4"/>
    <w:rsid w:val="00466170"/>
    <w:rsid w:val="00466B1D"/>
    <w:rsid w:val="00467C6B"/>
    <w:rsid w:val="00467E2C"/>
    <w:rsid w:val="00470B5B"/>
    <w:rsid w:val="00470CCA"/>
    <w:rsid w:val="004721CE"/>
    <w:rsid w:val="00473AAD"/>
    <w:rsid w:val="00473F68"/>
    <w:rsid w:val="0047465A"/>
    <w:rsid w:val="0047556D"/>
    <w:rsid w:val="00475D49"/>
    <w:rsid w:val="00477E80"/>
    <w:rsid w:val="00480622"/>
    <w:rsid w:val="00480BE9"/>
    <w:rsid w:val="00481F95"/>
    <w:rsid w:val="0048239A"/>
    <w:rsid w:val="00482D31"/>
    <w:rsid w:val="00483416"/>
    <w:rsid w:val="004839A9"/>
    <w:rsid w:val="00483EFE"/>
    <w:rsid w:val="004841DC"/>
    <w:rsid w:val="00484308"/>
    <w:rsid w:val="004843F3"/>
    <w:rsid w:val="00484650"/>
    <w:rsid w:val="00485DF4"/>
    <w:rsid w:val="00486C67"/>
    <w:rsid w:val="004875EC"/>
    <w:rsid w:val="004902EF"/>
    <w:rsid w:val="0049043F"/>
    <w:rsid w:val="00490E4D"/>
    <w:rsid w:val="00490F88"/>
    <w:rsid w:val="00491143"/>
    <w:rsid w:val="00491CF3"/>
    <w:rsid w:val="00491D6B"/>
    <w:rsid w:val="00493BDB"/>
    <w:rsid w:val="004944DC"/>
    <w:rsid w:val="00494969"/>
    <w:rsid w:val="00495A19"/>
    <w:rsid w:val="00496020"/>
    <w:rsid w:val="004A01A1"/>
    <w:rsid w:val="004A0826"/>
    <w:rsid w:val="004A12CC"/>
    <w:rsid w:val="004A1F85"/>
    <w:rsid w:val="004A2408"/>
    <w:rsid w:val="004A36AA"/>
    <w:rsid w:val="004A39C3"/>
    <w:rsid w:val="004A3CCF"/>
    <w:rsid w:val="004A3EA0"/>
    <w:rsid w:val="004A4170"/>
    <w:rsid w:val="004A571D"/>
    <w:rsid w:val="004A595B"/>
    <w:rsid w:val="004A5AB4"/>
    <w:rsid w:val="004B02C0"/>
    <w:rsid w:val="004B1050"/>
    <w:rsid w:val="004B2660"/>
    <w:rsid w:val="004B2C1A"/>
    <w:rsid w:val="004B31DC"/>
    <w:rsid w:val="004B382F"/>
    <w:rsid w:val="004B4E15"/>
    <w:rsid w:val="004B58AD"/>
    <w:rsid w:val="004B6676"/>
    <w:rsid w:val="004C0587"/>
    <w:rsid w:val="004C08F2"/>
    <w:rsid w:val="004C43CD"/>
    <w:rsid w:val="004C5BE6"/>
    <w:rsid w:val="004C6048"/>
    <w:rsid w:val="004C6DE1"/>
    <w:rsid w:val="004C78E1"/>
    <w:rsid w:val="004D1E57"/>
    <w:rsid w:val="004D2BE9"/>
    <w:rsid w:val="004D2E39"/>
    <w:rsid w:val="004D53E6"/>
    <w:rsid w:val="004D6712"/>
    <w:rsid w:val="004D7D00"/>
    <w:rsid w:val="004E0266"/>
    <w:rsid w:val="004E06DC"/>
    <w:rsid w:val="004E0794"/>
    <w:rsid w:val="004E0F26"/>
    <w:rsid w:val="004E1A0E"/>
    <w:rsid w:val="004E2342"/>
    <w:rsid w:val="004E2A49"/>
    <w:rsid w:val="004E2EDE"/>
    <w:rsid w:val="004E3EAF"/>
    <w:rsid w:val="004E4EE3"/>
    <w:rsid w:val="004E5B6C"/>
    <w:rsid w:val="004E6BAB"/>
    <w:rsid w:val="004E77FC"/>
    <w:rsid w:val="004E7830"/>
    <w:rsid w:val="004F00AA"/>
    <w:rsid w:val="004F0B4C"/>
    <w:rsid w:val="004F1F28"/>
    <w:rsid w:val="004F22CD"/>
    <w:rsid w:val="004F294C"/>
    <w:rsid w:val="004F4AF3"/>
    <w:rsid w:val="004F4FB5"/>
    <w:rsid w:val="004F5BAE"/>
    <w:rsid w:val="004F7200"/>
    <w:rsid w:val="005002AF"/>
    <w:rsid w:val="0050067C"/>
    <w:rsid w:val="00500B35"/>
    <w:rsid w:val="00500B8D"/>
    <w:rsid w:val="00500E23"/>
    <w:rsid w:val="00502F77"/>
    <w:rsid w:val="00505051"/>
    <w:rsid w:val="00505084"/>
    <w:rsid w:val="00505D97"/>
    <w:rsid w:val="005061C1"/>
    <w:rsid w:val="00510EA3"/>
    <w:rsid w:val="00511E54"/>
    <w:rsid w:val="00511F14"/>
    <w:rsid w:val="005126E9"/>
    <w:rsid w:val="00513EA5"/>
    <w:rsid w:val="00514515"/>
    <w:rsid w:val="00515169"/>
    <w:rsid w:val="0051561F"/>
    <w:rsid w:val="00516A43"/>
    <w:rsid w:val="00517404"/>
    <w:rsid w:val="0052057D"/>
    <w:rsid w:val="005205A1"/>
    <w:rsid w:val="00520F82"/>
    <w:rsid w:val="00521BFB"/>
    <w:rsid w:val="00522066"/>
    <w:rsid w:val="005236FC"/>
    <w:rsid w:val="00523890"/>
    <w:rsid w:val="00523923"/>
    <w:rsid w:val="00524166"/>
    <w:rsid w:val="00524625"/>
    <w:rsid w:val="0052553B"/>
    <w:rsid w:val="005267D9"/>
    <w:rsid w:val="00526B8C"/>
    <w:rsid w:val="00526E3F"/>
    <w:rsid w:val="00527302"/>
    <w:rsid w:val="00530647"/>
    <w:rsid w:val="00530D8A"/>
    <w:rsid w:val="00531AD1"/>
    <w:rsid w:val="00531B43"/>
    <w:rsid w:val="00532021"/>
    <w:rsid w:val="005322C6"/>
    <w:rsid w:val="00532F64"/>
    <w:rsid w:val="00533150"/>
    <w:rsid w:val="0053318F"/>
    <w:rsid w:val="005335BD"/>
    <w:rsid w:val="00533C2D"/>
    <w:rsid w:val="0053413E"/>
    <w:rsid w:val="0053798B"/>
    <w:rsid w:val="0054110E"/>
    <w:rsid w:val="005429AA"/>
    <w:rsid w:val="00542FF1"/>
    <w:rsid w:val="005430E4"/>
    <w:rsid w:val="00543998"/>
    <w:rsid w:val="00545658"/>
    <w:rsid w:val="00545DF9"/>
    <w:rsid w:val="00546C06"/>
    <w:rsid w:val="00546C6F"/>
    <w:rsid w:val="00546DE4"/>
    <w:rsid w:val="00550F0A"/>
    <w:rsid w:val="00551F13"/>
    <w:rsid w:val="00552488"/>
    <w:rsid w:val="005536A0"/>
    <w:rsid w:val="00553866"/>
    <w:rsid w:val="00554992"/>
    <w:rsid w:val="005553B2"/>
    <w:rsid w:val="00555570"/>
    <w:rsid w:val="00556064"/>
    <w:rsid w:val="0055612F"/>
    <w:rsid w:val="00556C37"/>
    <w:rsid w:val="00557116"/>
    <w:rsid w:val="00560F0B"/>
    <w:rsid w:val="00562098"/>
    <w:rsid w:val="00562F7B"/>
    <w:rsid w:val="00562FAD"/>
    <w:rsid w:val="00563214"/>
    <w:rsid w:val="00563DF0"/>
    <w:rsid w:val="005649F3"/>
    <w:rsid w:val="005652AD"/>
    <w:rsid w:val="005653EE"/>
    <w:rsid w:val="005656BD"/>
    <w:rsid w:val="00565DCF"/>
    <w:rsid w:val="005661C1"/>
    <w:rsid w:val="0056625A"/>
    <w:rsid w:val="00567DF5"/>
    <w:rsid w:val="0057196B"/>
    <w:rsid w:val="00571C97"/>
    <w:rsid w:val="00571E06"/>
    <w:rsid w:val="0057290D"/>
    <w:rsid w:val="005729F3"/>
    <w:rsid w:val="0057397D"/>
    <w:rsid w:val="00573D61"/>
    <w:rsid w:val="0057467D"/>
    <w:rsid w:val="005747B2"/>
    <w:rsid w:val="00575ADF"/>
    <w:rsid w:val="00577027"/>
    <w:rsid w:val="00577389"/>
    <w:rsid w:val="0057749A"/>
    <w:rsid w:val="0058061E"/>
    <w:rsid w:val="005814FA"/>
    <w:rsid w:val="0058239A"/>
    <w:rsid w:val="005832CD"/>
    <w:rsid w:val="005835D4"/>
    <w:rsid w:val="00583EEE"/>
    <w:rsid w:val="00583F60"/>
    <w:rsid w:val="00584EB2"/>
    <w:rsid w:val="00586EAA"/>
    <w:rsid w:val="00587227"/>
    <w:rsid w:val="005876C9"/>
    <w:rsid w:val="00587B8E"/>
    <w:rsid w:val="00587D19"/>
    <w:rsid w:val="00587E41"/>
    <w:rsid w:val="005903E2"/>
    <w:rsid w:val="00591BB3"/>
    <w:rsid w:val="00593BE8"/>
    <w:rsid w:val="00593D31"/>
    <w:rsid w:val="00595884"/>
    <w:rsid w:val="0059597F"/>
    <w:rsid w:val="00595AEB"/>
    <w:rsid w:val="00595F6B"/>
    <w:rsid w:val="00596136"/>
    <w:rsid w:val="005979E5"/>
    <w:rsid w:val="005A03D2"/>
    <w:rsid w:val="005A09B9"/>
    <w:rsid w:val="005A09BD"/>
    <w:rsid w:val="005A0AFE"/>
    <w:rsid w:val="005A0BBA"/>
    <w:rsid w:val="005A21C4"/>
    <w:rsid w:val="005A3066"/>
    <w:rsid w:val="005A3852"/>
    <w:rsid w:val="005A3D18"/>
    <w:rsid w:val="005A4CF1"/>
    <w:rsid w:val="005A5E4D"/>
    <w:rsid w:val="005A6EC8"/>
    <w:rsid w:val="005B090C"/>
    <w:rsid w:val="005B0A2F"/>
    <w:rsid w:val="005B1C77"/>
    <w:rsid w:val="005B20C6"/>
    <w:rsid w:val="005B2EBA"/>
    <w:rsid w:val="005B3DE2"/>
    <w:rsid w:val="005B475B"/>
    <w:rsid w:val="005B4A11"/>
    <w:rsid w:val="005B5614"/>
    <w:rsid w:val="005B5AAD"/>
    <w:rsid w:val="005B5BC2"/>
    <w:rsid w:val="005B5F10"/>
    <w:rsid w:val="005B6028"/>
    <w:rsid w:val="005B63AA"/>
    <w:rsid w:val="005B6927"/>
    <w:rsid w:val="005B74E1"/>
    <w:rsid w:val="005B7CFA"/>
    <w:rsid w:val="005C0D2E"/>
    <w:rsid w:val="005C0D51"/>
    <w:rsid w:val="005C10F1"/>
    <w:rsid w:val="005C19BA"/>
    <w:rsid w:val="005C1B15"/>
    <w:rsid w:val="005C1F8F"/>
    <w:rsid w:val="005C22F1"/>
    <w:rsid w:val="005C2953"/>
    <w:rsid w:val="005C2FC7"/>
    <w:rsid w:val="005C3C92"/>
    <w:rsid w:val="005C4922"/>
    <w:rsid w:val="005C50F5"/>
    <w:rsid w:val="005C5B25"/>
    <w:rsid w:val="005C6198"/>
    <w:rsid w:val="005C65E8"/>
    <w:rsid w:val="005C72EB"/>
    <w:rsid w:val="005C7426"/>
    <w:rsid w:val="005C7D69"/>
    <w:rsid w:val="005D066E"/>
    <w:rsid w:val="005D0ED4"/>
    <w:rsid w:val="005D241B"/>
    <w:rsid w:val="005D6096"/>
    <w:rsid w:val="005D68FA"/>
    <w:rsid w:val="005D7818"/>
    <w:rsid w:val="005E14C0"/>
    <w:rsid w:val="005E2278"/>
    <w:rsid w:val="005E2528"/>
    <w:rsid w:val="005E299E"/>
    <w:rsid w:val="005E45D6"/>
    <w:rsid w:val="005E4D67"/>
    <w:rsid w:val="005E50F4"/>
    <w:rsid w:val="005E546C"/>
    <w:rsid w:val="005E6FD0"/>
    <w:rsid w:val="005E7EA6"/>
    <w:rsid w:val="005F28C9"/>
    <w:rsid w:val="005F2E2F"/>
    <w:rsid w:val="005F3953"/>
    <w:rsid w:val="005F68C4"/>
    <w:rsid w:val="005F7242"/>
    <w:rsid w:val="005F747B"/>
    <w:rsid w:val="00600763"/>
    <w:rsid w:val="00600A71"/>
    <w:rsid w:val="00602191"/>
    <w:rsid w:val="006030A5"/>
    <w:rsid w:val="00603392"/>
    <w:rsid w:val="00603B0B"/>
    <w:rsid w:val="006060FC"/>
    <w:rsid w:val="006076CE"/>
    <w:rsid w:val="00607B52"/>
    <w:rsid w:val="00607D1B"/>
    <w:rsid w:val="006108DB"/>
    <w:rsid w:val="00613577"/>
    <w:rsid w:val="00613A26"/>
    <w:rsid w:val="0061411B"/>
    <w:rsid w:val="006142F5"/>
    <w:rsid w:val="00614510"/>
    <w:rsid w:val="00615080"/>
    <w:rsid w:val="00615DCC"/>
    <w:rsid w:val="00615EB9"/>
    <w:rsid w:val="00615ECD"/>
    <w:rsid w:val="00616959"/>
    <w:rsid w:val="00616F0D"/>
    <w:rsid w:val="00617993"/>
    <w:rsid w:val="006179E0"/>
    <w:rsid w:val="00617FFA"/>
    <w:rsid w:val="0062321D"/>
    <w:rsid w:val="00624D35"/>
    <w:rsid w:val="0062615C"/>
    <w:rsid w:val="0062638D"/>
    <w:rsid w:val="006263A1"/>
    <w:rsid w:val="00626683"/>
    <w:rsid w:val="006267F3"/>
    <w:rsid w:val="00626C4B"/>
    <w:rsid w:val="00627350"/>
    <w:rsid w:val="0063052C"/>
    <w:rsid w:val="006307EB"/>
    <w:rsid w:val="00630AA9"/>
    <w:rsid w:val="006319C6"/>
    <w:rsid w:val="00634CD8"/>
    <w:rsid w:val="00634DEA"/>
    <w:rsid w:val="0063525E"/>
    <w:rsid w:val="0063560F"/>
    <w:rsid w:val="0063591E"/>
    <w:rsid w:val="00636296"/>
    <w:rsid w:val="00636D2D"/>
    <w:rsid w:val="0063711E"/>
    <w:rsid w:val="00637AD4"/>
    <w:rsid w:val="0064047C"/>
    <w:rsid w:val="00640E06"/>
    <w:rsid w:val="0064152B"/>
    <w:rsid w:val="00642AB4"/>
    <w:rsid w:val="00642CF0"/>
    <w:rsid w:val="00643918"/>
    <w:rsid w:val="006457BA"/>
    <w:rsid w:val="00646E19"/>
    <w:rsid w:val="00651758"/>
    <w:rsid w:val="00651DA5"/>
    <w:rsid w:val="00651DD1"/>
    <w:rsid w:val="00652699"/>
    <w:rsid w:val="00652BE4"/>
    <w:rsid w:val="00652DD2"/>
    <w:rsid w:val="00653563"/>
    <w:rsid w:val="00653746"/>
    <w:rsid w:val="0065594E"/>
    <w:rsid w:val="00656655"/>
    <w:rsid w:val="00656C4F"/>
    <w:rsid w:val="006604FC"/>
    <w:rsid w:val="0066080B"/>
    <w:rsid w:val="00661DD6"/>
    <w:rsid w:val="0066267F"/>
    <w:rsid w:val="00663630"/>
    <w:rsid w:val="00664B53"/>
    <w:rsid w:val="00665022"/>
    <w:rsid w:val="006652D6"/>
    <w:rsid w:val="00666126"/>
    <w:rsid w:val="0066628E"/>
    <w:rsid w:val="00666C04"/>
    <w:rsid w:val="006700BB"/>
    <w:rsid w:val="00671465"/>
    <w:rsid w:val="006717D2"/>
    <w:rsid w:val="00671E0C"/>
    <w:rsid w:val="00672907"/>
    <w:rsid w:val="00672CFA"/>
    <w:rsid w:val="00673148"/>
    <w:rsid w:val="00673599"/>
    <w:rsid w:val="0067359F"/>
    <w:rsid w:val="00673B6C"/>
    <w:rsid w:val="00673EE1"/>
    <w:rsid w:val="00674865"/>
    <w:rsid w:val="00675FB5"/>
    <w:rsid w:val="006761A9"/>
    <w:rsid w:val="00676C43"/>
    <w:rsid w:val="00676F36"/>
    <w:rsid w:val="00677547"/>
    <w:rsid w:val="00677858"/>
    <w:rsid w:val="006807C6"/>
    <w:rsid w:val="006814CA"/>
    <w:rsid w:val="00681E68"/>
    <w:rsid w:val="00682C2B"/>
    <w:rsid w:val="00683609"/>
    <w:rsid w:val="00683739"/>
    <w:rsid w:val="00683B0B"/>
    <w:rsid w:val="00684F3B"/>
    <w:rsid w:val="006853CA"/>
    <w:rsid w:val="006854A5"/>
    <w:rsid w:val="00686F39"/>
    <w:rsid w:val="00687191"/>
    <w:rsid w:val="0069157B"/>
    <w:rsid w:val="00692305"/>
    <w:rsid w:val="00692D69"/>
    <w:rsid w:val="00693081"/>
    <w:rsid w:val="00693F25"/>
    <w:rsid w:val="00696B90"/>
    <w:rsid w:val="006974BA"/>
    <w:rsid w:val="00697557"/>
    <w:rsid w:val="0069773E"/>
    <w:rsid w:val="006A0069"/>
    <w:rsid w:val="006A01EE"/>
    <w:rsid w:val="006A02D8"/>
    <w:rsid w:val="006A055D"/>
    <w:rsid w:val="006A0CA9"/>
    <w:rsid w:val="006A2787"/>
    <w:rsid w:val="006A2DB2"/>
    <w:rsid w:val="006A2F14"/>
    <w:rsid w:val="006A37B6"/>
    <w:rsid w:val="006A3CC4"/>
    <w:rsid w:val="006A4378"/>
    <w:rsid w:val="006A4F07"/>
    <w:rsid w:val="006A5C2F"/>
    <w:rsid w:val="006A5D87"/>
    <w:rsid w:val="006A6157"/>
    <w:rsid w:val="006A70C7"/>
    <w:rsid w:val="006A7A55"/>
    <w:rsid w:val="006B0A15"/>
    <w:rsid w:val="006B1282"/>
    <w:rsid w:val="006B163E"/>
    <w:rsid w:val="006B2217"/>
    <w:rsid w:val="006B23C0"/>
    <w:rsid w:val="006B36D2"/>
    <w:rsid w:val="006B39CD"/>
    <w:rsid w:val="006B41F8"/>
    <w:rsid w:val="006B4456"/>
    <w:rsid w:val="006B4BA7"/>
    <w:rsid w:val="006B5920"/>
    <w:rsid w:val="006B59B0"/>
    <w:rsid w:val="006B6085"/>
    <w:rsid w:val="006B6473"/>
    <w:rsid w:val="006B7256"/>
    <w:rsid w:val="006B7522"/>
    <w:rsid w:val="006B780D"/>
    <w:rsid w:val="006B7937"/>
    <w:rsid w:val="006C05B0"/>
    <w:rsid w:val="006C082A"/>
    <w:rsid w:val="006C3BD7"/>
    <w:rsid w:val="006C41C7"/>
    <w:rsid w:val="006C4A24"/>
    <w:rsid w:val="006C5050"/>
    <w:rsid w:val="006C531A"/>
    <w:rsid w:val="006C5574"/>
    <w:rsid w:val="006C607F"/>
    <w:rsid w:val="006C6BF8"/>
    <w:rsid w:val="006C738C"/>
    <w:rsid w:val="006D0022"/>
    <w:rsid w:val="006D0706"/>
    <w:rsid w:val="006D1E0C"/>
    <w:rsid w:val="006D32E3"/>
    <w:rsid w:val="006D3F26"/>
    <w:rsid w:val="006D44E2"/>
    <w:rsid w:val="006D49E5"/>
    <w:rsid w:val="006D4CCA"/>
    <w:rsid w:val="006D5305"/>
    <w:rsid w:val="006D5A3B"/>
    <w:rsid w:val="006D6465"/>
    <w:rsid w:val="006D768F"/>
    <w:rsid w:val="006D7C8B"/>
    <w:rsid w:val="006E0B94"/>
    <w:rsid w:val="006E178A"/>
    <w:rsid w:val="006E180E"/>
    <w:rsid w:val="006E288A"/>
    <w:rsid w:val="006E3783"/>
    <w:rsid w:val="006E3C72"/>
    <w:rsid w:val="006E42F2"/>
    <w:rsid w:val="006E455B"/>
    <w:rsid w:val="006E56C5"/>
    <w:rsid w:val="006E5703"/>
    <w:rsid w:val="006E5D67"/>
    <w:rsid w:val="006E685E"/>
    <w:rsid w:val="006F0C09"/>
    <w:rsid w:val="006F10B5"/>
    <w:rsid w:val="006F1809"/>
    <w:rsid w:val="006F2D95"/>
    <w:rsid w:val="006F3752"/>
    <w:rsid w:val="006F3898"/>
    <w:rsid w:val="006F3AF5"/>
    <w:rsid w:val="006F3E87"/>
    <w:rsid w:val="006F4477"/>
    <w:rsid w:val="006F4676"/>
    <w:rsid w:val="006F6101"/>
    <w:rsid w:val="006F6461"/>
    <w:rsid w:val="0070011F"/>
    <w:rsid w:val="00700226"/>
    <w:rsid w:val="00701374"/>
    <w:rsid w:val="007021C9"/>
    <w:rsid w:val="007025D6"/>
    <w:rsid w:val="00702A46"/>
    <w:rsid w:val="00702C8C"/>
    <w:rsid w:val="007030CE"/>
    <w:rsid w:val="0070332A"/>
    <w:rsid w:val="007035BC"/>
    <w:rsid w:val="00704596"/>
    <w:rsid w:val="00704696"/>
    <w:rsid w:val="00705601"/>
    <w:rsid w:val="0070590C"/>
    <w:rsid w:val="00705E7D"/>
    <w:rsid w:val="00706192"/>
    <w:rsid w:val="007064CE"/>
    <w:rsid w:val="007068C3"/>
    <w:rsid w:val="00710783"/>
    <w:rsid w:val="00710B01"/>
    <w:rsid w:val="00711F84"/>
    <w:rsid w:val="007124A7"/>
    <w:rsid w:val="00712E8C"/>
    <w:rsid w:val="00713D5D"/>
    <w:rsid w:val="007154CC"/>
    <w:rsid w:val="0071585E"/>
    <w:rsid w:val="00716A8B"/>
    <w:rsid w:val="00716E96"/>
    <w:rsid w:val="00717ED0"/>
    <w:rsid w:val="00720110"/>
    <w:rsid w:val="00720F3F"/>
    <w:rsid w:val="0072201E"/>
    <w:rsid w:val="00722E08"/>
    <w:rsid w:val="00723228"/>
    <w:rsid w:val="00723A4F"/>
    <w:rsid w:val="00724097"/>
    <w:rsid w:val="00724E3B"/>
    <w:rsid w:val="0072527D"/>
    <w:rsid w:val="00726275"/>
    <w:rsid w:val="007279BE"/>
    <w:rsid w:val="00727E0F"/>
    <w:rsid w:val="00727E2D"/>
    <w:rsid w:val="00731083"/>
    <w:rsid w:val="007319C1"/>
    <w:rsid w:val="00733883"/>
    <w:rsid w:val="007349EA"/>
    <w:rsid w:val="00735390"/>
    <w:rsid w:val="00736DB7"/>
    <w:rsid w:val="00737E53"/>
    <w:rsid w:val="007409B3"/>
    <w:rsid w:val="00741521"/>
    <w:rsid w:val="00744F4F"/>
    <w:rsid w:val="00747064"/>
    <w:rsid w:val="00747367"/>
    <w:rsid w:val="00751B75"/>
    <w:rsid w:val="00751CCF"/>
    <w:rsid w:val="00751D1D"/>
    <w:rsid w:val="007530B0"/>
    <w:rsid w:val="00753287"/>
    <w:rsid w:val="00753734"/>
    <w:rsid w:val="00753C6B"/>
    <w:rsid w:val="00754419"/>
    <w:rsid w:val="00755607"/>
    <w:rsid w:val="00755B20"/>
    <w:rsid w:val="00757B86"/>
    <w:rsid w:val="00760331"/>
    <w:rsid w:val="00760CAB"/>
    <w:rsid w:val="0076238C"/>
    <w:rsid w:val="007638D5"/>
    <w:rsid w:val="00763CC9"/>
    <w:rsid w:val="00764466"/>
    <w:rsid w:val="00764D69"/>
    <w:rsid w:val="00765580"/>
    <w:rsid w:val="00765C8B"/>
    <w:rsid w:val="00765FE5"/>
    <w:rsid w:val="00766189"/>
    <w:rsid w:val="00766F21"/>
    <w:rsid w:val="007709D7"/>
    <w:rsid w:val="00772CF2"/>
    <w:rsid w:val="00773728"/>
    <w:rsid w:val="00774499"/>
    <w:rsid w:val="007756DD"/>
    <w:rsid w:val="007757AF"/>
    <w:rsid w:val="0077602A"/>
    <w:rsid w:val="0077608C"/>
    <w:rsid w:val="007760EE"/>
    <w:rsid w:val="00776294"/>
    <w:rsid w:val="0077796B"/>
    <w:rsid w:val="00777A2A"/>
    <w:rsid w:val="0078012D"/>
    <w:rsid w:val="00780E18"/>
    <w:rsid w:val="007828E4"/>
    <w:rsid w:val="0078353F"/>
    <w:rsid w:val="00784CFD"/>
    <w:rsid w:val="00785D21"/>
    <w:rsid w:val="007862DA"/>
    <w:rsid w:val="00786DD8"/>
    <w:rsid w:val="00786F1F"/>
    <w:rsid w:val="007871B9"/>
    <w:rsid w:val="00790130"/>
    <w:rsid w:val="00790395"/>
    <w:rsid w:val="007908E8"/>
    <w:rsid w:val="00792055"/>
    <w:rsid w:val="00792400"/>
    <w:rsid w:val="007926EA"/>
    <w:rsid w:val="007929D9"/>
    <w:rsid w:val="00792D34"/>
    <w:rsid w:val="007931D3"/>
    <w:rsid w:val="00793C70"/>
    <w:rsid w:val="00793D73"/>
    <w:rsid w:val="00793DBB"/>
    <w:rsid w:val="00794D02"/>
    <w:rsid w:val="0079674B"/>
    <w:rsid w:val="0079727C"/>
    <w:rsid w:val="00797A7A"/>
    <w:rsid w:val="00797CA8"/>
    <w:rsid w:val="007A0042"/>
    <w:rsid w:val="007A3185"/>
    <w:rsid w:val="007A3B91"/>
    <w:rsid w:val="007A4FBA"/>
    <w:rsid w:val="007A6259"/>
    <w:rsid w:val="007A6DAF"/>
    <w:rsid w:val="007A7D00"/>
    <w:rsid w:val="007A7D6E"/>
    <w:rsid w:val="007B069E"/>
    <w:rsid w:val="007B0AF6"/>
    <w:rsid w:val="007B0BBC"/>
    <w:rsid w:val="007B18D3"/>
    <w:rsid w:val="007B43D0"/>
    <w:rsid w:val="007B46C4"/>
    <w:rsid w:val="007B4ADA"/>
    <w:rsid w:val="007B6B0A"/>
    <w:rsid w:val="007B6FE9"/>
    <w:rsid w:val="007B7B1E"/>
    <w:rsid w:val="007C0C63"/>
    <w:rsid w:val="007C0C88"/>
    <w:rsid w:val="007C1C09"/>
    <w:rsid w:val="007C21C7"/>
    <w:rsid w:val="007C48F5"/>
    <w:rsid w:val="007C494D"/>
    <w:rsid w:val="007C4F19"/>
    <w:rsid w:val="007C4F6B"/>
    <w:rsid w:val="007C552A"/>
    <w:rsid w:val="007C5F02"/>
    <w:rsid w:val="007C7F90"/>
    <w:rsid w:val="007D26B3"/>
    <w:rsid w:val="007D2957"/>
    <w:rsid w:val="007D2BA1"/>
    <w:rsid w:val="007D3B19"/>
    <w:rsid w:val="007D46D6"/>
    <w:rsid w:val="007D580B"/>
    <w:rsid w:val="007D6309"/>
    <w:rsid w:val="007E29CA"/>
    <w:rsid w:val="007E3183"/>
    <w:rsid w:val="007E3421"/>
    <w:rsid w:val="007E3FB0"/>
    <w:rsid w:val="007E5057"/>
    <w:rsid w:val="007E5407"/>
    <w:rsid w:val="007E62DA"/>
    <w:rsid w:val="007E64CE"/>
    <w:rsid w:val="007E659B"/>
    <w:rsid w:val="007E75DA"/>
    <w:rsid w:val="007F119A"/>
    <w:rsid w:val="007F1B73"/>
    <w:rsid w:val="007F1BC3"/>
    <w:rsid w:val="007F3262"/>
    <w:rsid w:val="007F3AC4"/>
    <w:rsid w:val="007F4FE8"/>
    <w:rsid w:val="007F51BE"/>
    <w:rsid w:val="007F5F70"/>
    <w:rsid w:val="007F6FC2"/>
    <w:rsid w:val="007F750A"/>
    <w:rsid w:val="00800553"/>
    <w:rsid w:val="00800879"/>
    <w:rsid w:val="008020D8"/>
    <w:rsid w:val="008029F5"/>
    <w:rsid w:val="008051D5"/>
    <w:rsid w:val="008053E8"/>
    <w:rsid w:val="008056A3"/>
    <w:rsid w:val="00805AB4"/>
    <w:rsid w:val="00805CBE"/>
    <w:rsid w:val="00805D80"/>
    <w:rsid w:val="00805FBB"/>
    <w:rsid w:val="0080638D"/>
    <w:rsid w:val="008063CB"/>
    <w:rsid w:val="0081096E"/>
    <w:rsid w:val="00811475"/>
    <w:rsid w:val="0081164D"/>
    <w:rsid w:val="00811B4C"/>
    <w:rsid w:val="008128C6"/>
    <w:rsid w:val="00813589"/>
    <w:rsid w:val="008138A3"/>
    <w:rsid w:val="008145C5"/>
    <w:rsid w:val="00814743"/>
    <w:rsid w:val="00814AC8"/>
    <w:rsid w:val="00814E27"/>
    <w:rsid w:val="00815813"/>
    <w:rsid w:val="00815DA0"/>
    <w:rsid w:val="00816509"/>
    <w:rsid w:val="00817B3E"/>
    <w:rsid w:val="00817FEB"/>
    <w:rsid w:val="00820C22"/>
    <w:rsid w:val="008218E9"/>
    <w:rsid w:val="00821E89"/>
    <w:rsid w:val="008231C5"/>
    <w:rsid w:val="008231DF"/>
    <w:rsid w:val="008234A6"/>
    <w:rsid w:val="008236CD"/>
    <w:rsid w:val="00825CCF"/>
    <w:rsid w:val="008267F8"/>
    <w:rsid w:val="00827E8F"/>
    <w:rsid w:val="008327E3"/>
    <w:rsid w:val="00832E5F"/>
    <w:rsid w:val="0083369A"/>
    <w:rsid w:val="00837592"/>
    <w:rsid w:val="00837F87"/>
    <w:rsid w:val="008422B1"/>
    <w:rsid w:val="00842465"/>
    <w:rsid w:val="008430A0"/>
    <w:rsid w:val="00844A5A"/>
    <w:rsid w:val="008463B8"/>
    <w:rsid w:val="008475B4"/>
    <w:rsid w:val="00847F84"/>
    <w:rsid w:val="0085056A"/>
    <w:rsid w:val="0085082E"/>
    <w:rsid w:val="0085115A"/>
    <w:rsid w:val="00851B90"/>
    <w:rsid w:val="00852F9D"/>
    <w:rsid w:val="00853F11"/>
    <w:rsid w:val="00854636"/>
    <w:rsid w:val="00855BFC"/>
    <w:rsid w:val="00855F00"/>
    <w:rsid w:val="00857661"/>
    <w:rsid w:val="00861743"/>
    <w:rsid w:val="00861BA5"/>
    <w:rsid w:val="00862114"/>
    <w:rsid w:val="0086241C"/>
    <w:rsid w:val="0086271B"/>
    <w:rsid w:val="00862C43"/>
    <w:rsid w:val="00863EDE"/>
    <w:rsid w:val="00864A4D"/>
    <w:rsid w:val="0086639C"/>
    <w:rsid w:val="0087002A"/>
    <w:rsid w:val="00870B0C"/>
    <w:rsid w:val="00870D88"/>
    <w:rsid w:val="00871642"/>
    <w:rsid w:val="00872A3C"/>
    <w:rsid w:val="00872BC9"/>
    <w:rsid w:val="00873100"/>
    <w:rsid w:val="008734BD"/>
    <w:rsid w:val="00874ABC"/>
    <w:rsid w:val="00874CA9"/>
    <w:rsid w:val="0087643D"/>
    <w:rsid w:val="00877328"/>
    <w:rsid w:val="008775FF"/>
    <w:rsid w:val="0087762E"/>
    <w:rsid w:val="008804B1"/>
    <w:rsid w:val="00880D0A"/>
    <w:rsid w:val="0088220D"/>
    <w:rsid w:val="00882777"/>
    <w:rsid w:val="00882B5C"/>
    <w:rsid w:val="00882CC6"/>
    <w:rsid w:val="008854AA"/>
    <w:rsid w:val="0088597C"/>
    <w:rsid w:val="008860D8"/>
    <w:rsid w:val="00886A2F"/>
    <w:rsid w:val="00886ACB"/>
    <w:rsid w:val="00887333"/>
    <w:rsid w:val="008873AE"/>
    <w:rsid w:val="00891872"/>
    <w:rsid w:val="00891D3B"/>
    <w:rsid w:val="00891FDE"/>
    <w:rsid w:val="00891FEC"/>
    <w:rsid w:val="008923C2"/>
    <w:rsid w:val="00893066"/>
    <w:rsid w:val="008934E7"/>
    <w:rsid w:val="00893EF2"/>
    <w:rsid w:val="00893F1C"/>
    <w:rsid w:val="00895765"/>
    <w:rsid w:val="00895ACB"/>
    <w:rsid w:val="00895E1D"/>
    <w:rsid w:val="00896294"/>
    <w:rsid w:val="00896B6F"/>
    <w:rsid w:val="0089703E"/>
    <w:rsid w:val="0089760D"/>
    <w:rsid w:val="00897FC5"/>
    <w:rsid w:val="008A2F66"/>
    <w:rsid w:val="008A34B3"/>
    <w:rsid w:val="008A5EA9"/>
    <w:rsid w:val="008A6923"/>
    <w:rsid w:val="008A7E13"/>
    <w:rsid w:val="008B0481"/>
    <w:rsid w:val="008B19C8"/>
    <w:rsid w:val="008B2DC9"/>
    <w:rsid w:val="008B3804"/>
    <w:rsid w:val="008B391B"/>
    <w:rsid w:val="008B3A26"/>
    <w:rsid w:val="008B721F"/>
    <w:rsid w:val="008B78DE"/>
    <w:rsid w:val="008B7A82"/>
    <w:rsid w:val="008B7C08"/>
    <w:rsid w:val="008C204F"/>
    <w:rsid w:val="008C2328"/>
    <w:rsid w:val="008C2FFA"/>
    <w:rsid w:val="008C356B"/>
    <w:rsid w:val="008C42BE"/>
    <w:rsid w:val="008C46B7"/>
    <w:rsid w:val="008C4829"/>
    <w:rsid w:val="008D04EE"/>
    <w:rsid w:val="008D052B"/>
    <w:rsid w:val="008D1293"/>
    <w:rsid w:val="008D3995"/>
    <w:rsid w:val="008D3CC7"/>
    <w:rsid w:val="008D53E8"/>
    <w:rsid w:val="008D59F5"/>
    <w:rsid w:val="008D6B4E"/>
    <w:rsid w:val="008D7D99"/>
    <w:rsid w:val="008E0385"/>
    <w:rsid w:val="008E0937"/>
    <w:rsid w:val="008E09C0"/>
    <w:rsid w:val="008E14FA"/>
    <w:rsid w:val="008E1A2D"/>
    <w:rsid w:val="008E38A3"/>
    <w:rsid w:val="008E38FA"/>
    <w:rsid w:val="008E3AC9"/>
    <w:rsid w:val="008E3E8E"/>
    <w:rsid w:val="008E4B9A"/>
    <w:rsid w:val="008E4DFB"/>
    <w:rsid w:val="008E4E4D"/>
    <w:rsid w:val="008E5303"/>
    <w:rsid w:val="008E6189"/>
    <w:rsid w:val="008F00FE"/>
    <w:rsid w:val="008F13A5"/>
    <w:rsid w:val="008F1773"/>
    <w:rsid w:val="008F1BFA"/>
    <w:rsid w:val="008F2470"/>
    <w:rsid w:val="008F264E"/>
    <w:rsid w:val="008F2E38"/>
    <w:rsid w:val="008F40A3"/>
    <w:rsid w:val="008F4D94"/>
    <w:rsid w:val="008F5632"/>
    <w:rsid w:val="008F6154"/>
    <w:rsid w:val="008F63A2"/>
    <w:rsid w:val="008F6E2F"/>
    <w:rsid w:val="00900B2A"/>
    <w:rsid w:val="00901B12"/>
    <w:rsid w:val="009024F0"/>
    <w:rsid w:val="00902D7E"/>
    <w:rsid w:val="009030CB"/>
    <w:rsid w:val="00903F5C"/>
    <w:rsid w:val="00906ABD"/>
    <w:rsid w:val="009077B3"/>
    <w:rsid w:val="009078EF"/>
    <w:rsid w:val="00910524"/>
    <w:rsid w:val="00912FBC"/>
    <w:rsid w:val="00913FC5"/>
    <w:rsid w:val="0091711B"/>
    <w:rsid w:val="00917A3E"/>
    <w:rsid w:val="0092064E"/>
    <w:rsid w:val="009208D8"/>
    <w:rsid w:val="00920F47"/>
    <w:rsid w:val="00922EA5"/>
    <w:rsid w:val="0092353F"/>
    <w:rsid w:val="00924E9B"/>
    <w:rsid w:val="00927554"/>
    <w:rsid w:val="00927819"/>
    <w:rsid w:val="00927C05"/>
    <w:rsid w:val="00932F54"/>
    <w:rsid w:val="009334E8"/>
    <w:rsid w:val="009338C0"/>
    <w:rsid w:val="0093484D"/>
    <w:rsid w:val="00935753"/>
    <w:rsid w:val="00935CC8"/>
    <w:rsid w:val="00936223"/>
    <w:rsid w:val="0093708A"/>
    <w:rsid w:val="0093783E"/>
    <w:rsid w:val="00937C04"/>
    <w:rsid w:val="00937F81"/>
    <w:rsid w:val="009407B9"/>
    <w:rsid w:val="009418EA"/>
    <w:rsid w:val="009421D7"/>
    <w:rsid w:val="00942BFD"/>
    <w:rsid w:val="00943D08"/>
    <w:rsid w:val="009448DB"/>
    <w:rsid w:val="00945997"/>
    <w:rsid w:val="00946230"/>
    <w:rsid w:val="00946282"/>
    <w:rsid w:val="00946822"/>
    <w:rsid w:val="00947471"/>
    <w:rsid w:val="009475FF"/>
    <w:rsid w:val="0095051C"/>
    <w:rsid w:val="0095065D"/>
    <w:rsid w:val="009509E6"/>
    <w:rsid w:val="00950A4D"/>
    <w:rsid w:val="00950ED2"/>
    <w:rsid w:val="009515E3"/>
    <w:rsid w:val="009517CA"/>
    <w:rsid w:val="00953349"/>
    <w:rsid w:val="00953C3E"/>
    <w:rsid w:val="00953CE8"/>
    <w:rsid w:val="009544B4"/>
    <w:rsid w:val="00954DD7"/>
    <w:rsid w:val="00955325"/>
    <w:rsid w:val="00955388"/>
    <w:rsid w:val="0095577E"/>
    <w:rsid w:val="009561DF"/>
    <w:rsid w:val="00956392"/>
    <w:rsid w:val="009563BC"/>
    <w:rsid w:val="009565F7"/>
    <w:rsid w:val="00956F29"/>
    <w:rsid w:val="0095749D"/>
    <w:rsid w:val="00957AF0"/>
    <w:rsid w:val="00960585"/>
    <w:rsid w:val="0096088F"/>
    <w:rsid w:val="009609E5"/>
    <w:rsid w:val="00960E19"/>
    <w:rsid w:val="00961B8C"/>
    <w:rsid w:val="009642A1"/>
    <w:rsid w:val="00965F12"/>
    <w:rsid w:val="009661EA"/>
    <w:rsid w:val="009672D4"/>
    <w:rsid w:val="0096740E"/>
    <w:rsid w:val="00970CE5"/>
    <w:rsid w:val="00970F6C"/>
    <w:rsid w:val="00971988"/>
    <w:rsid w:val="00972284"/>
    <w:rsid w:val="00974A02"/>
    <w:rsid w:val="00974C32"/>
    <w:rsid w:val="00974D73"/>
    <w:rsid w:val="00975157"/>
    <w:rsid w:val="00975797"/>
    <w:rsid w:val="00977377"/>
    <w:rsid w:val="009807E3"/>
    <w:rsid w:val="00980ADD"/>
    <w:rsid w:val="0098135F"/>
    <w:rsid w:val="00982AEB"/>
    <w:rsid w:val="00985CEA"/>
    <w:rsid w:val="00986490"/>
    <w:rsid w:val="00986A59"/>
    <w:rsid w:val="009875C5"/>
    <w:rsid w:val="00987C27"/>
    <w:rsid w:val="009902F7"/>
    <w:rsid w:val="00990EC6"/>
    <w:rsid w:val="0099236B"/>
    <w:rsid w:val="009926CF"/>
    <w:rsid w:val="00992D08"/>
    <w:rsid w:val="00992DA9"/>
    <w:rsid w:val="00993A67"/>
    <w:rsid w:val="00993BA4"/>
    <w:rsid w:val="00995318"/>
    <w:rsid w:val="009958C0"/>
    <w:rsid w:val="009967D7"/>
    <w:rsid w:val="0099681B"/>
    <w:rsid w:val="00996F03"/>
    <w:rsid w:val="00997759"/>
    <w:rsid w:val="00997DD4"/>
    <w:rsid w:val="009A0AE7"/>
    <w:rsid w:val="009A0F23"/>
    <w:rsid w:val="009A216B"/>
    <w:rsid w:val="009A39D0"/>
    <w:rsid w:val="009A3FDC"/>
    <w:rsid w:val="009A4406"/>
    <w:rsid w:val="009A5702"/>
    <w:rsid w:val="009A5E3F"/>
    <w:rsid w:val="009A656E"/>
    <w:rsid w:val="009A78E5"/>
    <w:rsid w:val="009A7F62"/>
    <w:rsid w:val="009B082A"/>
    <w:rsid w:val="009B169F"/>
    <w:rsid w:val="009B202F"/>
    <w:rsid w:val="009B365D"/>
    <w:rsid w:val="009B3CAB"/>
    <w:rsid w:val="009B48F1"/>
    <w:rsid w:val="009B53E9"/>
    <w:rsid w:val="009B5637"/>
    <w:rsid w:val="009B5F60"/>
    <w:rsid w:val="009B6241"/>
    <w:rsid w:val="009B7141"/>
    <w:rsid w:val="009C138A"/>
    <w:rsid w:val="009C1C2B"/>
    <w:rsid w:val="009C2ACF"/>
    <w:rsid w:val="009C2AE7"/>
    <w:rsid w:val="009C3CFA"/>
    <w:rsid w:val="009C536B"/>
    <w:rsid w:val="009C551B"/>
    <w:rsid w:val="009C5DDC"/>
    <w:rsid w:val="009C684A"/>
    <w:rsid w:val="009C70A9"/>
    <w:rsid w:val="009C7AF0"/>
    <w:rsid w:val="009C7F5B"/>
    <w:rsid w:val="009D2000"/>
    <w:rsid w:val="009D2139"/>
    <w:rsid w:val="009D2F84"/>
    <w:rsid w:val="009D3D80"/>
    <w:rsid w:val="009D55B0"/>
    <w:rsid w:val="009D5B8D"/>
    <w:rsid w:val="009D5E18"/>
    <w:rsid w:val="009D6735"/>
    <w:rsid w:val="009D6FBE"/>
    <w:rsid w:val="009D72AF"/>
    <w:rsid w:val="009D7555"/>
    <w:rsid w:val="009D7DB3"/>
    <w:rsid w:val="009E0A55"/>
    <w:rsid w:val="009E1A1D"/>
    <w:rsid w:val="009E41F2"/>
    <w:rsid w:val="009E4D6F"/>
    <w:rsid w:val="009E582C"/>
    <w:rsid w:val="009E68BB"/>
    <w:rsid w:val="009E6B36"/>
    <w:rsid w:val="009E6B6A"/>
    <w:rsid w:val="009F2504"/>
    <w:rsid w:val="009F25A3"/>
    <w:rsid w:val="009F3BB7"/>
    <w:rsid w:val="009F49D2"/>
    <w:rsid w:val="009F4F15"/>
    <w:rsid w:val="009F55F8"/>
    <w:rsid w:val="009F5DAD"/>
    <w:rsid w:val="009F73F5"/>
    <w:rsid w:val="00A004E8"/>
    <w:rsid w:val="00A005FC"/>
    <w:rsid w:val="00A00991"/>
    <w:rsid w:val="00A012E2"/>
    <w:rsid w:val="00A01FCC"/>
    <w:rsid w:val="00A03046"/>
    <w:rsid w:val="00A0353B"/>
    <w:rsid w:val="00A03DBA"/>
    <w:rsid w:val="00A04334"/>
    <w:rsid w:val="00A04620"/>
    <w:rsid w:val="00A048AC"/>
    <w:rsid w:val="00A049F8"/>
    <w:rsid w:val="00A05A32"/>
    <w:rsid w:val="00A067CE"/>
    <w:rsid w:val="00A06E0F"/>
    <w:rsid w:val="00A076C6"/>
    <w:rsid w:val="00A07A67"/>
    <w:rsid w:val="00A10C12"/>
    <w:rsid w:val="00A11134"/>
    <w:rsid w:val="00A11EA6"/>
    <w:rsid w:val="00A133FF"/>
    <w:rsid w:val="00A1643F"/>
    <w:rsid w:val="00A16FBE"/>
    <w:rsid w:val="00A178D7"/>
    <w:rsid w:val="00A2039A"/>
    <w:rsid w:val="00A20494"/>
    <w:rsid w:val="00A20C51"/>
    <w:rsid w:val="00A20EEB"/>
    <w:rsid w:val="00A225EE"/>
    <w:rsid w:val="00A22FB6"/>
    <w:rsid w:val="00A23A04"/>
    <w:rsid w:val="00A24BE3"/>
    <w:rsid w:val="00A251C8"/>
    <w:rsid w:val="00A25428"/>
    <w:rsid w:val="00A26C4F"/>
    <w:rsid w:val="00A305EC"/>
    <w:rsid w:val="00A30D2E"/>
    <w:rsid w:val="00A31D62"/>
    <w:rsid w:val="00A3297D"/>
    <w:rsid w:val="00A33A46"/>
    <w:rsid w:val="00A34E61"/>
    <w:rsid w:val="00A34F22"/>
    <w:rsid w:val="00A370B0"/>
    <w:rsid w:val="00A37170"/>
    <w:rsid w:val="00A37891"/>
    <w:rsid w:val="00A37D32"/>
    <w:rsid w:val="00A4015D"/>
    <w:rsid w:val="00A404CA"/>
    <w:rsid w:val="00A4135C"/>
    <w:rsid w:val="00A41DEA"/>
    <w:rsid w:val="00A423F0"/>
    <w:rsid w:val="00A4291F"/>
    <w:rsid w:val="00A441BC"/>
    <w:rsid w:val="00A46B11"/>
    <w:rsid w:val="00A508F7"/>
    <w:rsid w:val="00A50EB3"/>
    <w:rsid w:val="00A50FB1"/>
    <w:rsid w:val="00A51504"/>
    <w:rsid w:val="00A53FA9"/>
    <w:rsid w:val="00A54A8A"/>
    <w:rsid w:val="00A56171"/>
    <w:rsid w:val="00A605D2"/>
    <w:rsid w:val="00A61CE2"/>
    <w:rsid w:val="00A6294F"/>
    <w:rsid w:val="00A63671"/>
    <w:rsid w:val="00A64643"/>
    <w:rsid w:val="00A64EB7"/>
    <w:rsid w:val="00A65E75"/>
    <w:rsid w:val="00A65FD4"/>
    <w:rsid w:val="00A66007"/>
    <w:rsid w:val="00A66245"/>
    <w:rsid w:val="00A66BEE"/>
    <w:rsid w:val="00A7025B"/>
    <w:rsid w:val="00A70363"/>
    <w:rsid w:val="00A728A5"/>
    <w:rsid w:val="00A7313E"/>
    <w:rsid w:val="00A73DEC"/>
    <w:rsid w:val="00A74001"/>
    <w:rsid w:val="00A752ED"/>
    <w:rsid w:val="00A80679"/>
    <w:rsid w:val="00A812A7"/>
    <w:rsid w:val="00A81CF3"/>
    <w:rsid w:val="00A83389"/>
    <w:rsid w:val="00A859CD"/>
    <w:rsid w:val="00A85FDA"/>
    <w:rsid w:val="00A86770"/>
    <w:rsid w:val="00A8680A"/>
    <w:rsid w:val="00A8692D"/>
    <w:rsid w:val="00A86B59"/>
    <w:rsid w:val="00A86F3D"/>
    <w:rsid w:val="00A87087"/>
    <w:rsid w:val="00A87C52"/>
    <w:rsid w:val="00A90B55"/>
    <w:rsid w:val="00A91805"/>
    <w:rsid w:val="00A928DF"/>
    <w:rsid w:val="00A92A8E"/>
    <w:rsid w:val="00A92C16"/>
    <w:rsid w:val="00A92C4F"/>
    <w:rsid w:val="00A94A63"/>
    <w:rsid w:val="00A94BC7"/>
    <w:rsid w:val="00A95DDE"/>
    <w:rsid w:val="00A975A4"/>
    <w:rsid w:val="00A978D5"/>
    <w:rsid w:val="00AA0002"/>
    <w:rsid w:val="00AA3903"/>
    <w:rsid w:val="00AA478C"/>
    <w:rsid w:val="00AA4A62"/>
    <w:rsid w:val="00AA54BD"/>
    <w:rsid w:val="00AA6AA7"/>
    <w:rsid w:val="00AA6B19"/>
    <w:rsid w:val="00AA6EB3"/>
    <w:rsid w:val="00AA7A92"/>
    <w:rsid w:val="00AA7AA8"/>
    <w:rsid w:val="00AB0520"/>
    <w:rsid w:val="00AB079A"/>
    <w:rsid w:val="00AB1222"/>
    <w:rsid w:val="00AB13A6"/>
    <w:rsid w:val="00AB1B57"/>
    <w:rsid w:val="00AB2160"/>
    <w:rsid w:val="00AB2566"/>
    <w:rsid w:val="00AB36D4"/>
    <w:rsid w:val="00AB3DC2"/>
    <w:rsid w:val="00AB4E2B"/>
    <w:rsid w:val="00AB4F10"/>
    <w:rsid w:val="00AB5A9F"/>
    <w:rsid w:val="00AB600C"/>
    <w:rsid w:val="00AB68D9"/>
    <w:rsid w:val="00AB73B6"/>
    <w:rsid w:val="00AB7A29"/>
    <w:rsid w:val="00AB7C45"/>
    <w:rsid w:val="00AB7EB9"/>
    <w:rsid w:val="00AC10CC"/>
    <w:rsid w:val="00AC19B2"/>
    <w:rsid w:val="00AC27B9"/>
    <w:rsid w:val="00AC30DB"/>
    <w:rsid w:val="00AC6445"/>
    <w:rsid w:val="00AC6826"/>
    <w:rsid w:val="00AC7076"/>
    <w:rsid w:val="00AC72BE"/>
    <w:rsid w:val="00AD0463"/>
    <w:rsid w:val="00AD1166"/>
    <w:rsid w:val="00AD1B3C"/>
    <w:rsid w:val="00AD2025"/>
    <w:rsid w:val="00AD20B2"/>
    <w:rsid w:val="00AD2168"/>
    <w:rsid w:val="00AD251A"/>
    <w:rsid w:val="00AD2B86"/>
    <w:rsid w:val="00AD31A9"/>
    <w:rsid w:val="00AD442A"/>
    <w:rsid w:val="00AD5F53"/>
    <w:rsid w:val="00AD6756"/>
    <w:rsid w:val="00AD68F5"/>
    <w:rsid w:val="00AD6BE7"/>
    <w:rsid w:val="00AD6C10"/>
    <w:rsid w:val="00AD6D3F"/>
    <w:rsid w:val="00AD727A"/>
    <w:rsid w:val="00AD75F4"/>
    <w:rsid w:val="00AE04A5"/>
    <w:rsid w:val="00AE053D"/>
    <w:rsid w:val="00AE0749"/>
    <w:rsid w:val="00AE0959"/>
    <w:rsid w:val="00AE1385"/>
    <w:rsid w:val="00AE191E"/>
    <w:rsid w:val="00AE2C2B"/>
    <w:rsid w:val="00AE50BA"/>
    <w:rsid w:val="00AE58FB"/>
    <w:rsid w:val="00AE5B9B"/>
    <w:rsid w:val="00AE675E"/>
    <w:rsid w:val="00AE6B66"/>
    <w:rsid w:val="00AE74A3"/>
    <w:rsid w:val="00AF1544"/>
    <w:rsid w:val="00AF26D7"/>
    <w:rsid w:val="00AF2D60"/>
    <w:rsid w:val="00AF31E2"/>
    <w:rsid w:val="00AF3464"/>
    <w:rsid w:val="00AF44BA"/>
    <w:rsid w:val="00AF4EB0"/>
    <w:rsid w:val="00AF5757"/>
    <w:rsid w:val="00AF641B"/>
    <w:rsid w:val="00AF683E"/>
    <w:rsid w:val="00AF6F0F"/>
    <w:rsid w:val="00B022C7"/>
    <w:rsid w:val="00B04601"/>
    <w:rsid w:val="00B04E9F"/>
    <w:rsid w:val="00B056A9"/>
    <w:rsid w:val="00B06B01"/>
    <w:rsid w:val="00B06FFB"/>
    <w:rsid w:val="00B07E64"/>
    <w:rsid w:val="00B10492"/>
    <w:rsid w:val="00B10D0D"/>
    <w:rsid w:val="00B12657"/>
    <w:rsid w:val="00B12830"/>
    <w:rsid w:val="00B129DB"/>
    <w:rsid w:val="00B13BAD"/>
    <w:rsid w:val="00B170E3"/>
    <w:rsid w:val="00B171AF"/>
    <w:rsid w:val="00B17D1B"/>
    <w:rsid w:val="00B20A83"/>
    <w:rsid w:val="00B214C0"/>
    <w:rsid w:val="00B22927"/>
    <w:rsid w:val="00B24AF5"/>
    <w:rsid w:val="00B25A5E"/>
    <w:rsid w:val="00B263F1"/>
    <w:rsid w:val="00B315D5"/>
    <w:rsid w:val="00B31C98"/>
    <w:rsid w:val="00B336EC"/>
    <w:rsid w:val="00B33A63"/>
    <w:rsid w:val="00B341A5"/>
    <w:rsid w:val="00B344A9"/>
    <w:rsid w:val="00B36124"/>
    <w:rsid w:val="00B361E5"/>
    <w:rsid w:val="00B368B7"/>
    <w:rsid w:val="00B36E8B"/>
    <w:rsid w:val="00B416B2"/>
    <w:rsid w:val="00B41871"/>
    <w:rsid w:val="00B419BA"/>
    <w:rsid w:val="00B42B8C"/>
    <w:rsid w:val="00B42CE6"/>
    <w:rsid w:val="00B433BB"/>
    <w:rsid w:val="00B44878"/>
    <w:rsid w:val="00B44CCD"/>
    <w:rsid w:val="00B45AC1"/>
    <w:rsid w:val="00B46267"/>
    <w:rsid w:val="00B46BB1"/>
    <w:rsid w:val="00B47C3E"/>
    <w:rsid w:val="00B500F2"/>
    <w:rsid w:val="00B502EE"/>
    <w:rsid w:val="00B51D8F"/>
    <w:rsid w:val="00B52CB6"/>
    <w:rsid w:val="00B52D3E"/>
    <w:rsid w:val="00B53528"/>
    <w:rsid w:val="00B537C8"/>
    <w:rsid w:val="00B538F7"/>
    <w:rsid w:val="00B56D02"/>
    <w:rsid w:val="00B60232"/>
    <w:rsid w:val="00B60681"/>
    <w:rsid w:val="00B6071A"/>
    <w:rsid w:val="00B60E2A"/>
    <w:rsid w:val="00B61224"/>
    <w:rsid w:val="00B61699"/>
    <w:rsid w:val="00B6311D"/>
    <w:rsid w:val="00B6348C"/>
    <w:rsid w:val="00B63A36"/>
    <w:rsid w:val="00B63E27"/>
    <w:rsid w:val="00B6422E"/>
    <w:rsid w:val="00B64D60"/>
    <w:rsid w:val="00B6500D"/>
    <w:rsid w:val="00B65265"/>
    <w:rsid w:val="00B658EB"/>
    <w:rsid w:val="00B66228"/>
    <w:rsid w:val="00B66541"/>
    <w:rsid w:val="00B666B5"/>
    <w:rsid w:val="00B66D32"/>
    <w:rsid w:val="00B676A8"/>
    <w:rsid w:val="00B700BC"/>
    <w:rsid w:val="00B701DA"/>
    <w:rsid w:val="00B708C1"/>
    <w:rsid w:val="00B70D85"/>
    <w:rsid w:val="00B7133C"/>
    <w:rsid w:val="00B71B65"/>
    <w:rsid w:val="00B71B86"/>
    <w:rsid w:val="00B71FEE"/>
    <w:rsid w:val="00B7344D"/>
    <w:rsid w:val="00B736F4"/>
    <w:rsid w:val="00B743BB"/>
    <w:rsid w:val="00B74976"/>
    <w:rsid w:val="00B75B5E"/>
    <w:rsid w:val="00B76D49"/>
    <w:rsid w:val="00B76F9B"/>
    <w:rsid w:val="00B77543"/>
    <w:rsid w:val="00B775D3"/>
    <w:rsid w:val="00B80594"/>
    <w:rsid w:val="00B826B8"/>
    <w:rsid w:val="00B82FE6"/>
    <w:rsid w:val="00B84016"/>
    <w:rsid w:val="00B841AF"/>
    <w:rsid w:val="00B850C4"/>
    <w:rsid w:val="00B85BB6"/>
    <w:rsid w:val="00B900E4"/>
    <w:rsid w:val="00B90D4B"/>
    <w:rsid w:val="00B93ED8"/>
    <w:rsid w:val="00B93F75"/>
    <w:rsid w:val="00B9424D"/>
    <w:rsid w:val="00B9518B"/>
    <w:rsid w:val="00B9566D"/>
    <w:rsid w:val="00B95A33"/>
    <w:rsid w:val="00B95AC2"/>
    <w:rsid w:val="00B96CD6"/>
    <w:rsid w:val="00B97EA7"/>
    <w:rsid w:val="00BA18BF"/>
    <w:rsid w:val="00BA1CC2"/>
    <w:rsid w:val="00BA2F15"/>
    <w:rsid w:val="00BA304A"/>
    <w:rsid w:val="00BA379F"/>
    <w:rsid w:val="00BA3820"/>
    <w:rsid w:val="00BA4F7B"/>
    <w:rsid w:val="00BA5003"/>
    <w:rsid w:val="00BA6AAC"/>
    <w:rsid w:val="00BB0843"/>
    <w:rsid w:val="00BB0DD5"/>
    <w:rsid w:val="00BB1766"/>
    <w:rsid w:val="00BB1A58"/>
    <w:rsid w:val="00BB1EE6"/>
    <w:rsid w:val="00BB4462"/>
    <w:rsid w:val="00BB48FC"/>
    <w:rsid w:val="00BB4B13"/>
    <w:rsid w:val="00BB57B5"/>
    <w:rsid w:val="00BB6AEA"/>
    <w:rsid w:val="00BB71FF"/>
    <w:rsid w:val="00BB7C30"/>
    <w:rsid w:val="00BC0BD3"/>
    <w:rsid w:val="00BC19AC"/>
    <w:rsid w:val="00BC2F7C"/>
    <w:rsid w:val="00BC4EBA"/>
    <w:rsid w:val="00BC62CE"/>
    <w:rsid w:val="00BC66E2"/>
    <w:rsid w:val="00BC6883"/>
    <w:rsid w:val="00BC6D45"/>
    <w:rsid w:val="00BC703A"/>
    <w:rsid w:val="00BC75C2"/>
    <w:rsid w:val="00BC76A1"/>
    <w:rsid w:val="00BC7E7B"/>
    <w:rsid w:val="00BD055A"/>
    <w:rsid w:val="00BD20B6"/>
    <w:rsid w:val="00BD22E5"/>
    <w:rsid w:val="00BD25EB"/>
    <w:rsid w:val="00BD28A0"/>
    <w:rsid w:val="00BD325C"/>
    <w:rsid w:val="00BD3928"/>
    <w:rsid w:val="00BD5433"/>
    <w:rsid w:val="00BD5A46"/>
    <w:rsid w:val="00BD5E69"/>
    <w:rsid w:val="00BD6507"/>
    <w:rsid w:val="00BD6667"/>
    <w:rsid w:val="00BD671B"/>
    <w:rsid w:val="00BD6E9B"/>
    <w:rsid w:val="00BD72B4"/>
    <w:rsid w:val="00BD7364"/>
    <w:rsid w:val="00BD7917"/>
    <w:rsid w:val="00BE053C"/>
    <w:rsid w:val="00BE09EC"/>
    <w:rsid w:val="00BE130B"/>
    <w:rsid w:val="00BE1990"/>
    <w:rsid w:val="00BE2A29"/>
    <w:rsid w:val="00BE2FFB"/>
    <w:rsid w:val="00BE3CD5"/>
    <w:rsid w:val="00BE3E0C"/>
    <w:rsid w:val="00BE4BC9"/>
    <w:rsid w:val="00BE4E47"/>
    <w:rsid w:val="00BE5CA5"/>
    <w:rsid w:val="00BE68BA"/>
    <w:rsid w:val="00BF017B"/>
    <w:rsid w:val="00BF10F4"/>
    <w:rsid w:val="00BF2CBB"/>
    <w:rsid w:val="00BF3593"/>
    <w:rsid w:val="00BF4D31"/>
    <w:rsid w:val="00BF515C"/>
    <w:rsid w:val="00BF5D49"/>
    <w:rsid w:val="00BF5ED6"/>
    <w:rsid w:val="00BF5EF3"/>
    <w:rsid w:val="00C00075"/>
    <w:rsid w:val="00C01153"/>
    <w:rsid w:val="00C013B3"/>
    <w:rsid w:val="00C017B2"/>
    <w:rsid w:val="00C017FD"/>
    <w:rsid w:val="00C0187B"/>
    <w:rsid w:val="00C0198D"/>
    <w:rsid w:val="00C02943"/>
    <w:rsid w:val="00C02FE7"/>
    <w:rsid w:val="00C03700"/>
    <w:rsid w:val="00C03D6B"/>
    <w:rsid w:val="00C05150"/>
    <w:rsid w:val="00C07125"/>
    <w:rsid w:val="00C07D7D"/>
    <w:rsid w:val="00C10789"/>
    <w:rsid w:val="00C10798"/>
    <w:rsid w:val="00C11120"/>
    <w:rsid w:val="00C11BE7"/>
    <w:rsid w:val="00C11D60"/>
    <w:rsid w:val="00C13827"/>
    <w:rsid w:val="00C13EBA"/>
    <w:rsid w:val="00C14521"/>
    <w:rsid w:val="00C15469"/>
    <w:rsid w:val="00C16097"/>
    <w:rsid w:val="00C163CF"/>
    <w:rsid w:val="00C1652C"/>
    <w:rsid w:val="00C202E1"/>
    <w:rsid w:val="00C207B3"/>
    <w:rsid w:val="00C21EF8"/>
    <w:rsid w:val="00C2226C"/>
    <w:rsid w:val="00C22F15"/>
    <w:rsid w:val="00C24817"/>
    <w:rsid w:val="00C24C68"/>
    <w:rsid w:val="00C25184"/>
    <w:rsid w:val="00C2691D"/>
    <w:rsid w:val="00C27037"/>
    <w:rsid w:val="00C308F8"/>
    <w:rsid w:val="00C31B33"/>
    <w:rsid w:val="00C325BC"/>
    <w:rsid w:val="00C3285A"/>
    <w:rsid w:val="00C33F36"/>
    <w:rsid w:val="00C33FEA"/>
    <w:rsid w:val="00C3445E"/>
    <w:rsid w:val="00C34695"/>
    <w:rsid w:val="00C35811"/>
    <w:rsid w:val="00C35E5B"/>
    <w:rsid w:val="00C35F01"/>
    <w:rsid w:val="00C362FE"/>
    <w:rsid w:val="00C3709E"/>
    <w:rsid w:val="00C377CC"/>
    <w:rsid w:val="00C37A9D"/>
    <w:rsid w:val="00C40058"/>
    <w:rsid w:val="00C40E26"/>
    <w:rsid w:val="00C414BE"/>
    <w:rsid w:val="00C431AC"/>
    <w:rsid w:val="00C43C77"/>
    <w:rsid w:val="00C441AD"/>
    <w:rsid w:val="00C44638"/>
    <w:rsid w:val="00C44C2E"/>
    <w:rsid w:val="00C451EB"/>
    <w:rsid w:val="00C455E1"/>
    <w:rsid w:val="00C45AD3"/>
    <w:rsid w:val="00C46BE6"/>
    <w:rsid w:val="00C479E9"/>
    <w:rsid w:val="00C506C9"/>
    <w:rsid w:val="00C510C6"/>
    <w:rsid w:val="00C5130B"/>
    <w:rsid w:val="00C52525"/>
    <w:rsid w:val="00C52618"/>
    <w:rsid w:val="00C53025"/>
    <w:rsid w:val="00C53490"/>
    <w:rsid w:val="00C53C21"/>
    <w:rsid w:val="00C53EB4"/>
    <w:rsid w:val="00C548F1"/>
    <w:rsid w:val="00C55C18"/>
    <w:rsid w:val="00C56D12"/>
    <w:rsid w:val="00C57115"/>
    <w:rsid w:val="00C62157"/>
    <w:rsid w:val="00C62311"/>
    <w:rsid w:val="00C6488B"/>
    <w:rsid w:val="00C64A4B"/>
    <w:rsid w:val="00C6673F"/>
    <w:rsid w:val="00C66D71"/>
    <w:rsid w:val="00C67136"/>
    <w:rsid w:val="00C672BB"/>
    <w:rsid w:val="00C74497"/>
    <w:rsid w:val="00C745F8"/>
    <w:rsid w:val="00C7477B"/>
    <w:rsid w:val="00C7504F"/>
    <w:rsid w:val="00C7517F"/>
    <w:rsid w:val="00C753CF"/>
    <w:rsid w:val="00C75994"/>
    <w:rsid w:val="00C77DB3"/>
    <w:rsid w:val="00C80FC9"/>
    <w:rsid w:val="00C814CC"/>
    <w:rsid w:val="00C823A1"/>
    <w:rsid w:val="00C8440C"/>
    <w:rsid w:val="00C84FA8"/>
    <w:rsid w:val="00C857E1"/>
    <w:rsid w:val="00C85B52"/>
    <w:rsid w:val="00C868C5"/>
    <w:rsid w:val="00C86ACB"/>
    <w:rsid w:val="00C875C5"/>
    <w:rsid w:val="00C87C59"/>
    <w:rsid w:val="00C91A5A"/>
    <w:rsid w:val="00C92153"/>
    <w:rsid w:val="00C9281E"/>
    <w:rsid w:val="00C92E4F"/>
    <w:rsid w:val="00C930E7"/>
    <w:rsid w:val="00C930ED"/>
    <w:rsid w:val="00C94D07"/>
    <w:rsid w:val="00C9511F"/>
    <w:rsid w:val="00C9523C"/>
    <w:rsid w:val="00C955D8"/>
    <w:rsid w:val="00C96308"/>
    <w:rsid w:val="00C9699B"/>
    <w:rsid w:val="00C9741E"/>
    <w:rsid w:val="00CA04C3"/>
    <w:rsid w:val="00CA148D"/>
    <w:rsid w:val="00CA261E"/>
    <w:rsid w:val="00CA3CD2"/>
    <w:rsid w:val="00CA413C"/>
    <w:rsid w:val="00CA46F1"/>
    <w:rsid w:val="00CA5547"/>
    <w:rsid w:val="00CA5B01"/>
    <w:rsid w:val="00CA622B"/>
    <w:rsid w:val="00CA65A6"/>
    <w:rsid w:val="00CA6DA2"/>
    <w:rsid w:val="00CB0373"/>
    <w:rsid w:val="00CB114F"/>
    <w:rsid w:val="00CB1299"/>
    <w:rsid w:val="00CB1B29"/>
    <w:rsid w:val="00CB1CBE"/>
    <w:rsid w:val="00CB2B60"/>
    <w:rsid w:val="00CB3F28"/>
    <w:rsid w:val="00CB4634"/>
    <w:rsid w:val="00CB6310"/>
    <w:rsid w:val="00CB65C5"/>
    <w:rsid w:val="00CB68E3"/>
    <w:rsid w:val="00CB6AE7"/>
    <w:rsid w:val="00CB6BD8"/>
    <w:rsid w:val="00CB71E1"/>
    <w:rsid w:val="00CC00DC"/>
    <w:rsid w:val="00CC012E"/>
    <w:rsid w:val="00CC24EA"/>
    <w:rsid w:val="00CC32FD"/>
    <w:rsid w:val="00CC3AAB"/>
    <w:rsid w:val="00CC51C2"/>
    <w:rsid w:val="00CC5B6C"/>
    <w:rsid w:val="00CD04B9"/>
    <w:rsid w:val="00CD16DE"/>
    <w:rsid w:val="00CD28C7"/>
    <w:rsid w:val="00CD600D"/>
    <w:rsid w:val="00CD60C9"/>
    <w:rsid w:val="00CD640F"/>
    <w:rsid w:val="00CD6659"/>
    <w:rsid w:val="00CD6CB7"/>
    <w:rsid w:val="00CD6FAF"/>
    <w:rsid w:val="00CD717B"/>
    <w:rsid w:val="00CD7320"/>
    <w:rsid w:val="00CD7611"/>
    <w:rsid w:val="00CD7664"/>
    <w:rsid w:val="00CD7E92"/>
    <w:rsid w:val="00CE0ACE"/>
    <w:rsid w:val="00CE3432"/>
    <w:rsid w:val="00CE4DD3"/>
    <w:rsid w:val="00CE5228"/>
    <w:rsid w:val="00CE5369"/>
    <w:rsid w:val="00CE553B"/>
    <w:rsid w:val="00CE6A2E"/>
    <w:rsid w:val="00CE6E7A"/>
    <w:rsid w:val="00CE782D"/>
    <w:rsid w:val="00CE7DC1"/>
    <w:rsid w:val="00CE7FBB"/>
    <w:rsid w:val="00CF00BA"/>
    <w:rsid w:val="00CF01D4"/>
    <w:rsid w:val="00CF02A3"/>
    <w:rsid w:val="00CF0700"/>
    <w:rsid w:val="00CF3899"/>
    <w:rsid w:val="00CF3E95"/>
    <w:rsid w:val="00CF41E2"/>
    <w:rsid w:val="00D007EF"/>
    <w:rsid w:val="00D00879"/>
    <w:rsid w:val="00D017E9"/>
    <w:rsid w:val="00D01D94"/>
    <w:rsid w:val="00D01EF7"/>
    <w:rsid w:val="00D03C93"/>
    <w:rsid w:val="00D062B9"/>
    <w:rsid w:val="00D06352"/>
    <w:rsid w:val="00D06391"/>
    <w:rsid w:val="00D075E1"/>
    <w:rsid w:val="00D10A93"/>
    <w:rsid w:val="00D10A9D"/>
    <w:rsid w:val="00D10DD2"/>
    <w:rsid w:val="00D12652"/>
    <w:rsid w:val="00D12912"/>
    <w:rsid w:val="00D12AAA"/>
    <w:rsid w:val="00D12C57"/>
    <w:rsid w:val="00D13A58"/>
    <w:rsid w:val="00D140B4"/>
    <w:rsid w:val="00D142DF"/>
    <w:rsid w:val="00D1518E"/>
    <w:rsid w:val="00D1528A"/>
    <w:rsid w:val="00D154EE"/>
    <w:rsid w:val="00D16885"/>
    <w:rsid w:val="00D168C0"/>
    <w:rsid w:val="00D2017D"/>
    <w:rsid w:val="00D20C47"/>
    <w:rsid w:val="00D2153C"/>
    <w:rsid w:val="00D21CE9"/>
    <w:rsid w:val="00D24CD2"/>
    <w:rsid w:val="00D25834"/>
    <w:rsid w:val="00D2707E"/>
    <w:rsid w:val="00D30008"/>
    <w:rsid w:val="00D309CA"/>
    <w:rsid w:val="00D31F30"/>
    <w:rsid w:val="00D321A0"/>
    <w:rsid w:val="00D32806"/>
    <w:rsid w:val="00D32A89"/>
    <w:rsid w:val="00D34978"/>
    <w:rsid w:val="00D354B3"/>
    <w:rsid w:val="00D368FA"/>
    <w:rsid w:val="00D37330"/>
    <w:rsid w:val="00D3767E"/>
    <w:rsid w:val="00D407E6"/>
    <w:rsid w:val="00D40A6C"/>
    <w:rsid w:val="00D40F3A"/>
    <w:rsid w:val="00D4117C"/>
    <w:rsid w:val="00D41310"/>
    <w:rsid w:val="00D429DC"/>
    <w:rsid w:val="00D44A44"/>
    <w:rsid w:val="00D4533E"/>
    <w:rsid w:val="00D4556B"/>
    <w:rsid w:val="00D45D73"/>
    <w:rsid w:val="00D46A49"/>
    <w:rsid w:val="00D47A07"/>
    <w:rsid w:val="00D47E52"/>
    <w:rsid w:val="00D51C08"/>
    <w:rsid w:val="00D52D0E"/>
    <w:rsid w:val="00D534D3"/>
    <w:rsid w:val="00D53A94"/>
    <w:rsid w:val="00D53ABE"/>
    <w:rsid w:val="00D54E89"/>
    <w:rsid w:val="00D55C8C"/>
    <w:rsid w:val="00D55E09"/>
    <w:rsid w:val="00D56523"/>
    <w:rsid w:val="00D56CE0"/>
    <w:rsid w:val="00D60143"/>
    <w:rsid w:val="00D60840"/>
    <w:rsid w:val="00D60CF0"/>
    <w:rsid w:val="00D624A2"/>
    <w:rsid w:val="00D624A4"/>
    <w:rsid w:val="00D626C3"/>
    <w:rsid w:val="00D62AD3"/>
    <w:rsid w:val="00D64BAE"/>
    <w:rsid w:val="00D64F1B"/>
    <w:rsid w:val="00D651F4"/>
    <w:rsid w:val="00D657F5"/>
    <w:rsid w:val="00D664A3"/>
    <w:rsid w:val="00D66500"/>
    <w:rsid w:val="00D67733"/>
    <w:rsid w:val="00D701F3"/>
    <w:rsid w:val="00D707C5"/>
    <w:rsid w:val="00D71615"/>
    <w:rsid w:val="00D739C7"/>
    <w:rsid w:val="00D73AAA"/>
    <w:rsid w:val="00D74A47"/>
    <w:rsid w:val="00D74BF6"/>
    <w:rsid w:val="00D75410"/>
    <w:rsid w:val="00D754A7"/>
    <w:rsid w:val="00D754B1"/>
    <w:rsid w:val="00D754BE"/>
    <w:rsid w:val="00D75501"/>
    <w:rsid w:val="00D767BD"/>
    <w:rsid w:val="00D76F19"/>
    <w:rsid w:val="00D77E06"/>
    <w:rsid w:val="00D80C00"/>
    <w:rsid w:val="00D80EBC"/>
    <w:rsid w:val="00D81B90"/>
    <w:rsid w:val="00D823E7"/>
    <w:rsid w:val="00D82963"/>
    <w:rsid w:val="00D830CE"/>
    <w:rsid w:val="00D83E3C"/>
    <w:rsid w:val="00D843D3"/>
    <w:rsid w:val="00D84CD5"/>
    <w:rsid w:val="00D864CA"/>
    <w:rsid w:val="00D86563"/>
    <w:rsid w:val="00D87BB3"/>
    <w:rsid w:val="00D90564"/>
    <w:rsid w:val="00D9101E"/>
    <w:rsid w:val="00D9173E"/>
    <w:rsid w:val="00D9177D"/>
    <w:rsid w:val="00D91D0F"/>
    <w:rsid w:val="00D9232E"/>
    <w:rsid w:val="00D92B24"/>
    <w:rsid w:val="00D92FC3"/>
    <w:rsid w:val="00D92FD9"/>
    <w:rsid w:val="00D94990"/>
    <w:rsid w:val="00D94ABC"/>
    <w:rsid w:val="00D95DCB"/>
    <w:rsid w:val="00D96D90"/>
    <w:rsid w:val="00D96FCF"/>
    <w:rsid w:val="00DA07BF"/>
    <w:rsid w:val="00DA1A56"/>
    <w:rsid w:val="00DA1A64"/>
    <w:rsid w:val="00DA1CB2"/>
    <w:rsid w:val="00DA1FC8"/>
    <w:rsid w:val="00DA20FB"/>
    <w:rsid w:val="00DA275E"/>
    <w:rsid w:val="00DA2854"/>
    <w:rsid w:val="00DA3510"/>
    <w:rsid w:val="00DA352B"/>
    <w:rsid w:val="00DA5DC8"/>
    <w:rsid w:val="00DA6A74"/>
    <w:rsid w:val="00DA6A92"/>
    <w:rsid w:val="00DA74CF"/>
    <w:rsid w:val="00DA7B4F"/>
    <w:rsid w:val="00DA7DCE"/>
    <w:rsid w:val="00DB05A8"/>
    <w:rsid w:val="00DB13BC"/>
    <w:rsid w:val="00DB176B"/>
    <w:rsid w:val="00DB2F22"/>
    <w:rsid w:val="00DB3D0A"/>
    <w:rsid w:val="00DB40A0"/>
    <w:rsid w:val="00DB4DE7"/>
    <w:rsid w:val="00DB534B"/>
    <w:rsid w:val="00DB600C"/>
    <w:rsid w:val="00DB7A5F"/>
    <w:rsid w:val="00DB7DC8"/>
    <w:rsid w:val="00DB7FC0"/>
    <w:rsid w:val="00DC0224"/>
    <w:rsid w:val="00DC0A62"/>
    <w:rsid w:val="00DC13D3"/>
    <w:rsid w:val="00DC1C08"/>
    <w:rsid w:val="00DC20E1"/>
    <w:rsid w:val="00DC2F43"/>
    <w:rsid w:val="00DC39C3"/>
    <w:rsid w:val="00DC4B9E"/>
    <w:rsid w:val="00DC7862"/>
    <w:rsid w:val="00DC7F61"/>
    <w:rsid w:val="00DD0071"/>
    <w:rsid w:val="00DD01BD"/>
    <w:rsid w:val="00DD2B69"/>
    <w:rsid w:val="00DD2B7A"/>
    <w:rsid w:val="00DD40F4"/>
    <w:rsid w:val="00DD5513"/>
    <w:rsid w:val="00DD6CAA"/>
    <w:rsid w:val="00DE07D7"/>
    <w:rsid w:val="00DE0B04"/>
    <w:rsid w:val="00DE0E31"/>
    <w:rsid w:val="00DE29C1"/>
    <w:rsid w:val="00DE2BCA"/>
    <w:rsid w:val="00DE2DFD"/>
    <w:rsid w:val="00DE3650"/>
    <w:rsid w:val="00DE4206"/>
    <w:rsid w:val="00DE4701"/>
    <w:rsid w:val="00DE47EA"/>
    <w:rsid w:val="00DE4B5D"/>
    <w:rsid w:val="00DE7011"/>
    <w:rsid w:val="00DE777C"/>
    <w:rsid w:val="00DF05D8"/>
    <w:rsid w:val="00DF081F"/>
    <w:rsid w:val="00DF0821"/>
    <w:rsid w:val="00DF0EE1"/>
    <w:rsid w:val="00DF1258"/>
    <w:rsid w:val="00DF128E"/>
    <w:rsid w:val="00DF25B6"/>
    <w:rsid w:val="00DF3222"/>
    <w:rsid w:val="00DF3892"/>
    <w:rsid w:val="00DF607E"/>
    <w:rsid w:val="00DF6E7D"/>
    <w:rsid w:val="00DF77C3"/>
    <w:rsid w:val="00DF7844"/>
    <w:rsid w:val="00DF7F58"/>
    <w:rsid w:val="00E015A2"/>
    <w:rsid w:val="00E01CEB"/>
    <w:rsid w:val="00E02A95"/>
    <w:rsid w:val="00E04D58"/>
    <w:rsid w:val="00E053A7"/>
    <w:rsid w:val="00E054AC"/>
    <w:rsid w:val="00E05526"/>
    <w:rsid w:val="00E055EF"/>
    <w:rsid w:val="00E05B32"/>
    <w:rsid w:val="00E0686B"/>
    <w:rsid w:val="00E06AD0"/>
    <w:rsid w:val="00E07605"/>
    <w:rsid w:val="00E1038D"/>
    <w:rsid w:val="00E10BB0"/>
    <w:rsid w:val="00E11669"/>
    <w:rsid w:val="00E135F3"/>
    <w:rsid w:val="00E147A2"/>
    <w:rsid w:val="00E148BB"/>
    <w:rsid w:val="00E1596A"/>
    <w:rsid w:val="00E2061B"/>
    <w:rsid w:val="00E211F3"/>
    <w:rsid w:val="00E2146A"/>
    <w:rsid w:val="00E21717"/>
    <w:rsid w:val="00E21B2C"/>
    <w:rsid w:val="00E223AC"/>
    <w:rsid w:val="00E22440"/>
    <w:rsid w:val="00E2285B"/>
    <w:rsid w:val="00E23126"/>
    <w:rsid w:val="00E244BA"/>
    <w:rsid w:val="00E24ED7"/>
    <w:rsid w:val="00E24F53"/>
    <w:rsid w:val="00E255A9"/>
    <w:rsid w:val="00E25E88"/>
    <w:rsid w:val="00E270D1"/>
    <w:rsid w:val="00E30F1F"/>
    <w:rsid w:val="00E32336"/>
    <w:rsid w:val="00E32D82"/>
    <w:rsid w:val="00E360D1"/>
    <w:rsid w:val="00E40416"/>
    <w:rsid w:val="00E41F63"/>
    <w:rsid w:val="00E42355"/>
    <w:rsid w:val="00E42509"/>
    <w:rsid w:val="00E42DC0"/>
    <w:rsid w:val="00E43EFD"/>
    <w:rsid w:val="00E4439B"/>
    <w:rsid w:val="00E443CB"/>
    <w:rsid w:val="00E44E55"/>
    <w:rsid w:val="00E44EF3"/>
    <w:rsid w:val="00E456FF"/>
    <w:rsid w:val="00E47ADD"/>
    <w:rsid w:val="00E50A21"/>
    <w:rsid w:val="00E50C23"/>
    <w:rsid w:val="00E53E27"/>
    <w:rsid w:val="00E5475F"/>
    <w:rsid w:val="00E55EF3"/>
    <w:rsid w:val="00E56500"/>
    <w:rsid w:val="00E57E7C"/>
    <w:rsid w:val="00E624E1"/>
    <w:rsid w:val="00E632E7"/>
    <w:rsid w:val="00E63F24"/>
    <w:rsid w:val="00E64CBF"/>
    <w:rsid w:val="00E65862"/>
    <w:rsid w:val="00E66AE2"/>
    <w:rsid w:val="00E70392"/>
    <w:rsid w:val="00E70F51"/>
    <w:rsid w:val="00E730BA"/>
    <w:rsid w:val="00E73B6B"/>
    <w:rsid w:val="00E75891"/>
    <w:rsid w:val="00E75CC4"/>
    <w:rsid w:val="00E75F3F"/>
    <w:rsid w:val="00E7623B"/>
    <w:rsid w:val="00E763AC"/>
    <w:rsid w:val="00E767A2"/>
    <w:rsid w:val="00E80A19"/>
    <w:rsid w:val="00E80CAF"/>
    <w:rsid w:val="00E8133A"/>
    <w:rsid w:val="00E81CEE"/>
    <w:rsid w:val="00E82376"/>
    <w:rsid w:val="00E83C63"/>
    <w:rsid w:val="00E842D8"/>
    <w:rsid w:val="00E870A2"/>
    <w:rsid w:val="00E87810"/>
    <w:rsid w:val="00E90674"/>
    <w:rsid w:val="00E918B1"/>
    <w:rsid w:val="00E9219D"/>
    <w:rsid w:val="00E92C39"/>
    <w:rsid w:val="00E9308A"/>
    <w:rsid w:val="00E930CA"/>
    <w:rsid w:val="00E931B9"/>
    <w:rsid w:val="00E93317"/>
    <w:rsid w:val="00E93428"/>
    <w:rsid w:val="00E9489D"/>
    <w:rsid w:val="00E95EF2"/>
    <w:rsid w:val="00E96981"/>
    <w:rsid w:val="00E96DAC"/>
    <w:rsid w:val="00E97EB8"/>
    <w:rsid w:val="00EA130A"/>
    <w:rsid w:val="00EA1DE4"/>
    <w:rsid w:val="00EA20FE"/>
    <w:rsid w:val="00EA223F"/>
    <w:rsid w:val="00EA3274"/>
    <w:rsid w:val="00EA42A9"/>
    <w:rsid w:val="00EA47A9"/>
    <w:rsid w:val="00EA49A9"/>
    <w:rsid w:val="00EA5666"/>
    <w:rsid w:val="00EA57FC"/>
    <w:rsid w:val="00EA5F3E"/>
    <w:rsid w:val="00EA68ED"/>
    <w:rsid w:val="00EA7816"/>
    <w:rsid w:val="00EB052A"/>
    <w:rsid w:val="00EB1C48"/>
    <w:rsid w:val="00EB3938"/>
    <w:rsid w:val="00EB40BF"/>
    <w:rsid w:val="00EB46EA"/>
    <w:rsid w:val="00EB4B71"/>
    <w:rsid w:val="00EB6046"/>
    <w:rsid w:val="00EB703E"/>
    <w:rsid w:val="00EB736F"/>
    <w:rsid w:val="00EC11F1"/>
    <w:rsid w:val="00EC31DD"/>
    <w:rsid w:val="00EC320F"/>
    <w:rsid w:val="00EC3409"/>
    <w:rsid w:val="00EC3C9D"/>
    <w:rsid w:val="00EC4687"/>
    <w:rsid w:val="00EC4920"/>
    <w:rsid w:val="00EC4E8D"/>
    <w:rsid w:val="00EC597B"/>
    <w:rsid w:val="00EC6063"/>
    <w:rsid w:val="00EC7220"/>
    <w:rsid w:val="00EC7906"/>
    <w:rsid w:val="00ED0ADB"/>
    <w:rsid w:val="00ED1584"/>
    <w:rsid w:val="00ED3156"/>
    <w:rsid w:val="00ED4936"/>
    <w:rsid w:val="00ED70FD"/>
    <w:rsid w:val="00EE0F95"/>
    <w:rsid w:val="00EE1955"/>
    <w:rsid w:val="00EE1C95"/>
    <w:rsid w:val="00EE2493"/>
    <w:rsid w:val="00EE2C81"/>
    <w:rsid w:val="00EE3496"/>
    <w:rsid w:val="00EE3529"/>
    <w:rsid w:val="00EE4310"/>
    <w:rsid w:val="00EE55A5"/>
    <w:rsid w:val="00EE598D"/>
    <w:rsid w:val="00EE5C5E"/>
    <w:rsid w:val="00EE7789"/>
    <w:rsid w:val="00EF11E3"/>
    <w:rsid w:val="00EF1610"/>
    <w:rsid w:val="00EF1F09"/>
    <w:rsid w:val="00EF20F4"/>
    <w:rsid w:val="00EF2124"/>
    <w:rsid w:val="00EF2743"/>
    <w:rsid w:val="00EF2C56"/>
    <w:rsid w:val="00EF3C2B"/>
    <w:rsid w:val="00EF4096"/>
    <w:rsid w:val="00EF453E"/>
    <w:rsid w:val="00EF4A59"/>
    <w:rsid w:val="00EF53B5"/>
    <w:rsid w:val="00EF61EF"/>
    <w:rsid w:val="00EF6414"/>
    <w:rsid w:val="00EF64B2"/>
    <w:rsid w:val="00EF6744"/>
    <w:rsid w:val="00EF67B4"/>
    <w:rsid w:val="00EF70C1"/>
    <w:rsid w:val="00EF737B"/>
    <w:rsid w:val="00F00E48"/>
    <w:rsid w:val="00F035BC"/>
    <w:rsid w:val="00F03818"/>
    <w:rsid w:val="00F04D25"/>
    <w:rsid w:val="00F05318"/>
    <w:rsid w:val="00F06727"/>
    <w:rsid w:val="00F07DA5"/>
    <w:rsid w:val="00F1363C"/>
    <w:rsid w:val="00F13FEB"/>
    <w:rsid w:val="00F13FF9"/>
    <w:rsid w:val="00F1480E"/>
    <w:rsid w:val="00F14AEC"/>
    <w:rsid w:val="00F1546D"/>
    <w:rsid w:val="00F1698D"/>
    <w:rsid w:val="00F20CF2"/>
    <w:rsid w:val="00F22181"/>
    <w:rsid w:val="00F240F2"/>
    <w:rsid w:val="00F24B33"/>
    <w:rsid w:val="00F25F5D"/>
    <w:rsid w:val="00F260C1"/>
    <w:rsid w:val="00F2661E"/>
    <w:rsid w:val="00F26BBF"/>
    <w:rsid w:val="00F26D3A"/>
    <w:rsid w:val="00F30DAF"/>
    <w:rsid w:val="00F314A2"/>
    <w:rsid w:val="00F317B1"/>
    <w:rsid w:val="00F32E3E"/>
    <w:rsid w:val="00F33324"/>
    <w:rsid w:val="00F3355E"/>
    <w:rsid w:val="00F343C5"/>
    <w:rsid w:val="00F3490A"/>
    <w:rsid w:val="00F3555D"/>
    <w:rsid w:val="00F363BD"/>
    <w:rsid w:val="00F36816"/>
    <w:rsid w:val="00F406C0"/>
    <w:rsid w:val="00F42568"/>
    <w:rsid w:val="00F42849"/>
    <w:rsid w:val="00F4303B"/>
    <w:rsid w:val="00F43578"/>
    <w:rsid w:val="00F4423B"/>
    <w:rsid w:val="00F450CD"/>
    <w:rsid w:val="00F458AE"/>
    <w:rsid w:val="00F46111"/>
    <w:rsid w:val="00F47515"/>
    <w:rsid w:val="00F505F1"/>
    <w:rsid w:val="00F510A6"/>
    <w:rsid w:val="00F517E0"/>
    <w:rsid w:val="00F53D2A"/>
    <w:rsid w:val="00F5421A"/>
    <w:rsid w:val="00F54A87"/>
    <w:rsid w:val="00F55DBB"/>
    <w:rsid w:val="00F56806"/>
    <w:rsid w:val="00F56879"/>
    <w:rsid w:val="00F572EE"/>
    <w:rsid w:val="00F5739A"/>
    <w:rsid w:val="00F608E9"/>
    <w:rsid w:val="00F61A80"/>
    <w:rsid w:val="00F62AFF"/>
    <w:rsid w:val="00F64EEB"/>
    <w:rsid w:val="00F663F5"/>
    <w:rsid w:val="00F66A10"/>
    <w:rsid w:val="00F67C24"/>
    <w:rsid w:val="00F71A18"/>
    <w:rsid w:val="00F71A88"/>
    <w:rsid w:val="00F728F2"/>
    <w:rsid w:val="00F73D3E"/>
    <w:rsid w:val="00F7409E"/>
    <w:rsid w:val="00F74472"/>
    <w:rsid w:val="00F747B8"/>
    <w:rsid w:val="00F75913"/>
    <w:rsid w:val="00F7622B"/>
    <w:rsid w:val="00F77545"/>
    <w:rsid w:val="00F7775B"/>
    <w:rsid w:val="00F80C69"/>
    <w:rsid w:val="00F81A2F"/>
    <w:rsid w:val="00F82549"/>
    <w:rsid w:val="00F82FD0"/>
    <w:rsid w:val="00F82FD8"/>
    <w:rsid w:val="00F835DE"/>
    <w:rsid w:val="00F83652"/>
    <w:rsid w:val="00F8553D"/>
    <w:rsid w:val="00F8575F"/>
    <w:rsid w:val="00F85FEA"/>
    <w:rsid w:val="00F878ED"/>
    <w:rsid w:val="00F87902"/>
    <w:rsid w:val="00F87BF7"/>
    <w:rsid w:val="00F9107C"/>
    <w:rsid w:val="00F91A27"/>
    <w:rsid w:val="00F9250D"/>
    <w:rsid w:val="00F92637"/>
    <w:rsid w:val="00F9270C"/>
    <w:rsid w:val="00F93946"/>
    <w:rsid w:val="00F93B99"/>
    <w:rsid w:val="00F93BFF"/>
    <w:rsid w:val="00F9500B"/>
    <w:rsid w:val="00F963AF"/>
    <w:rsid w:val="00F96A22"/>
    <w:rsid w:val="00F96B38"/>
    <w:rsid w:val="00F97898"/>
    <w:rsid w:val="00FA015E"/>
    <w:rsid w:val="00FA01DA"/>
    <w:rsid w:val="00FA01EF"/>
    <w:rsid w:val="00FA4E0D"/>
    <w:rsid w:val="00FA6823"/>
    <w:rsid w:val="00FA6A54"/>
    <w:rsid w:val="00FA6B6F"/>
    <w:rsid w:val="00FB0ACB"/>
    <w:rsid w:val="00FB0C51"/>
    <w:rsid w:val="00FB0CFB"/>
    <w:rsid w:val="00FB2F53"/>
    <w:rsid w:val="00FB4220"/>
    <w:rsid w:val="00FB4B09"/>
    <w:rsid w:val="00FB5E03"/>
    <w:rsid w:val="00FB6AD9"/>
    <w:rsid w:val="00FB70F8"/>
    <w:rsid w:val="00FC2414"/>
    <w:rsid w:val="00FC35DE"/>
    <w:rsid w:val="00FC3C0C"/>
    <w:rsid w:val="00FC3FA3"/>
    <w:rsid w:val="00FC42A3"/>
    <w:rsid w:val="00FC5117"/>
    <w:rsid w:val="00FC56F8"/>
    <w:rsid w:val="00FC58A9"/>
    <w:rsid w:val="00FC5AB2"/>
    <w:rsid w:val="00FC5AD6"/>
    <w:rsid w:val="00FC7502"/>
    <w:rsid w:val="00FC7C07"/>
    <w:rsid w:val="00FC7F75"/>
    <w:rsid w:val="00FD02E3"/>
    <w:rsid w:val="00FD055B"/>
    <w:rsid w:val="00FD2246"/>
    <w:rsid w:val="00FD28CD"/>
    <w:rsid w:val="00FD2BBB"/>
    <w:rsid w:val="00FD3928"/>
    <w:rsid w:val="00FD49CF"/>
    <w:rsid w:val="00FD5CD6"/>
    <w:rsid w:val="00FD6391"/>
    <w:rsid w:val="00FD67B1"/>
    <w:rsid w:val="00FD6CCD"/>
    <w:rsid w:val="00FD7345"/>
    <w:rsid w:val="00FE0012"/>
    <w:rsid w:val="00FE0AB4"/>
    <w:rsid w:val="00FE1FF9"/>
    <w:rsid w:val="00FE2A2D"/>
    <w:rsid w:val="00FE2D06"/>
    <w:rsid w:val="00FE3634"/>
    <w:rsid w:val="00FE4F1F"/>
    <w:rsid w:val="00FE565F"/>
    <w:rsid w:val="00FE6B5F"/>
    <w:rsid w:val="00FE7665"/>
    <w:rsid w:val="00FE7833"/>
    <w:rsid w:val="00FE799D"/>
    <w:rsid w:val="00FF01EA"/>
    <w:rsid w:val="00FF045D"/>
    <w:rsid w:val="00FF0DA9"/>
    <w:rsid w:val="00FF1658"/>
    <w:rsid w:val="00FF1B07"/>
    <w:rsid w:val="00FF1DA0"/>
    <w:rsid w:val="00FF1F70"/>
    <w:rsid w:val="00FF2991"/>
    <w:rsid w:val="00FF339F"/>
    <w:rsid w:val="00FF37F2"/>
    <w:rsid w:val="00FF519E"/>
    <w:rsid w:val="00FF6762"/>
    <w:rsid w:val="00FF6A7E"/>
    <w:rsid w:val="00FF7A7F"/>
    <w:rsid w:val="00FF7CD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57B3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08C"/>
    <w:pPr>
      <w:spacing w:after="100" w:line="400" w:lineRule="exact"/>
      <w:jc w:val="both"/>
    </w:pPr>
    <w:rPr>
      <w:rFonts w:ascii="Century Schoolbook" w:hAnsi="Century Schoolbook"/>
      <w:sz w:val="27"/>
    </w:rPr>
  </w:style>
  <w:style w:type="paragraph" w:styleId="Heading1">
    <w:name w:val="heading 1"/>
    <w:basedOn w:val="Normal"/>
    <w:next w:val="Normal"/>
    <w:qFormat/>
    <w:rsid w:val="0077608C"/>
    <w:pPr>
      <w:keepNext/>
      <w:spacing w:before="140" w:line="240" w:lineRule="atLeast"/>
      <w:jc w:val="center"/>
      <w:outlineLvl w:val="0"/>
    </w:pPr>
    <w:rPr>
      <w:b/>
      <w:smallCaps/>
    </w:rPr>
  </w:style>
  <w:style w:type="paragraph" w:styleId="Heading2">
    <w:name w:val="heading 2"/>
    <w:basedOn w:val="Normal"/>
    <w:next w:val="Normal"/>
    <w:qFormat/>
    <w:rsid w:val="0077608C"/>
    <w:pPr>
      <w:keepNext/>
      <w:tabs>
        <w:tab w:val="left" w:pos="1152"/>
      </w:tabs>
      <w:spacing w:before="140" w:line="240" w:lineRule="atLeast"/>
      <w:ind w:left="1152" w:hanging="432"/>
      <w:jc w:val="left"/>
      <w:outlineLvl w:val="1"/>
    </w:pPr>
    <w:rPr>
      <w:b/>
    </w:rPr>
  </w:style>
  <w:style w:type="paragraph" w:styleId="Heading3">
    <w:name w:val="heading 3"/>
    <w:basedOn w:val="Normal"/>
    <w:next w:val="NormalIndent"/>
    <w:qFormat/>
    <w:rsid w:val="0077608C"/>
    <w:pPr>
      <w:keepNext/>
      <w:tabs>
        <w:tab w:val="left" w:pos="1584"/>
      </w:tabs>
      <w:spacing w:before="140" w:line="240" w:lineRule="atLeast"/>
      <w:ind w:left="1584" w:hanging="432"/>
      <w:jc w:val="left"/>
      <w:outlineLvl w:val="2"/>
    </w:pPr>
    <w:rPr>
      <w:i/>
    </w:rPr>
  </w:style>
  <w:style w:type="paragraph" w:styleId="Heading4">
    <w:name w:val="heading 4"/>
    <w:basedOn w:val="Normal"/>
    <w:qFormat/>
    <w:rsid w:val="0077608C"/>
    <w:pPr>
      <w:keepNext/>
      <w:tabs>
        <w:tab w:val="left" w:pos="2016"/>
      </w:tabs>
      <w:spacing w:before="140" w:line="240" w:lineRule="atLeast"/>
      <w:ind w:left="2016" w:hanging="432"/>
      <w:jc w:val="left"/>
      <w:outlineLvl w:val="3"/>
    </w:pPr>
    <w:rPr>
      <w:i/>
    </w:rPr>
  </w:style>
  <w:style w:type="paragraph" w:styleId="Heading5">
    <w:name w:val="heading 5"/>
    <w:basedOn w:val="Normal"/>
    <w:qFormat/>
    <w:rsid w:val="0077608C"/>
    <w:pPr>
      <w:keepNext/>
      <w:tabs>
        <w:tab w:val="left" w:pos="2448"/>
      </w:tabs>
      <w:spacing w:before="140" w:line="240" w:lineRule="atLeast"/>
      <w:ind w:left="2448" w:hanging="432"/>
      <w:jc w:val="left"/>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rsid w:val="0077608C"/>
    <w:pPr>
      <w:ind w:left="720"/>
    </w:pPr>
  </w:style>
  <w:style w:type="paragraph" w:styleId="Footer">
    <w:name w:val="footer"/>
    <w:basedOn w:val="Normal"/>
    <w:qFormat/>
    <w:rsid w:val="0077608C"/>
    <w:pPr>
      <w:tabs>
        <w:tab w:val="center" w:pos="3960"/>
        <w:tab w:val="right" w:pos="10080"/>
      </w:tabs>
      <w:spacing w:after="0" w:line="240" w:lineRule="auto"/>
      <w:jc w:val="center"/>
    </w:pPr>
    <w:rPr>
      <w:sz w:val="22"/>
    </w:rPr>
  </w:style>
  <w:style w:type="paragraph" w:styleId="Header">
    <w:name w:val="header"/>
    <w:basedOn w:val="Normal"/>
    <w:qFormat/>
    <w:rsid w:val="0077608C"/>
    <w:pPr>
      <w:tabs>
        <w:tab w:val="center" w:pos="3960"/>
        <w:tab w:val="right" w:pos="10080"/>
      </w:tabs>
      <w:spacing w:after="80" w:line="240" w:lineRule="auto"/>
      <w:jc w:val="center"/>
    </w:pPr>
    <w:rPr>
      <w:sz w:val="22"/>
    </w:rPr>
  </w:style>
  <w:style w:type="character" w:styleId="FootnoteReference">
    <w:name w:val="footnote reference"/>
    <w:basedOn w:val="DefaultParagraphFont"/>
    <w:rsid w:val="0077608C"/>
    <w:rPr>
      <w:rFonts w:ascii="Century Schoolbook" w:hAnsi="Century Schoolbook"/>
      <w:b/>
      <w:i w:val="0"/>
      <w:position w:val="4"/>
      <w:sz w:val="27"/>
      <w:vertAlign w:val="superscript"/>
    </w:rPr>
  </w:style>
  <w:style w:type="paragraph" w:styleId="FootnoteText">
    <w:name w:val="footnote text"/>
    <w:basedOn w:val="Normal"/>
    <w:link w:val="FootnoteTextChar"/>
    <w:rsid w:val="0077608C"/>
    <w:pPr>
      <w:spacing w:line="300" w:lineRule="exact"/>
    </w:pPr>
  </w:style>
  <w:style w:type="paragraph" w:customStyle="1" w:styleId="Title1">
    <w:name w:val="Title1"/>
    <w:basedOn w:val="Normal"/>
    <w:rsid w:val="0077608C"/>
    <w:pPr>
      <w:tabs>
        <w:tab w:val="left" w:pos="5760"/>
        <w:tab w:val="left" w:pos="6480"/>
      </w:tabs>
      <w:spacing w:line="240" w:lineRule="atLeast"/>
    </w:pPr>
  </w:style>
  <w:style w:type="paragraph" w:customStyle="1" w:styleId="Recommend">
    <w:name w:val="Recommend"/>
    <w:basedOn w:val="Normal"/>
    <w:rsid w:val="0077608C"/>
  </w:style>
  <w:style w:type="paragraph" w:customStyle="1" w:styleId="Summary">
    <w:name w:val="Summary"/>
    <w:basedOn w:val="Normal"/>
    <w:rsid w:val="0077608C"/>
    <w:pPr>
      <w:ind w:left="2160" w:hanging="2160"/>
    </w:pPr>
  </w:style>
  <w:style w:type="paragraph" w:customStyle="1" w:styleId="Text">
    <w:name w:val="Text"/>
    <w:basedOn w:val="Normal"/>
    <w:rsid w:val="0077608C"/>
    <w:pPr>
      <w:tabs>
        <w:tab w:val="left" w:pos="720"/>
        <w:tab w:val="left" w:pos="1440"/>
        <w:tab w:val="left" w:pos="2160"/>
        <w:tab w:val="center" w:pos="4320"/>
      </w:tabs>
      <w:spacing w:line="480" w:lineRule="atLeast"/>
      <w:ind w:firstLine="540"/>
    </w:pPr>
  </w:style>
  <w:style w:type="paragraph" w:styleId="Date">
    <w:name w:val="Date"/>
    <w:basedOn w:val="Normal"/>
    <w:semiHidden/>
    <w:rsid w:val="0077608C"/>
    <w:pPr>
      <w:jc w:val="right"/>
    </w:pPr>
  </w:style>
  <w:style w:type="character" w:styleId="PageNumber">
    <w:name w:val="page number"/>
    <w:basedOn w:val="DefaultParagraphFont"/>
    <w:semiHidden/>
    <w:rsid w:val="0077608C"/>
  </w:style>
  <w:style w:type="paragraph" w:customStyle="1" w:styleId="subject">
    <w:name w:val="subject"/>
    <w:basedOn w:val="Normal"/>
    <w:rsid w:val="0077608C"/>
    <w:pPr>
      <w:tabs>
        <w:tab w:val="left" w:pos="1008"/>
      </w:tabs>
      <w:ind w:left="990" w:hanging="990"/>
    </w:pPr>
    <w:rPr>
      <w:b/>
    </w:rPr>
  </w:style>
  <w:style w:type="paragraph" w:customStyle="1" w:styleId="Titles">
    <w:name w:val="Titles"/>
    <w:basedOn w:val="Normal"/>
    <w:rsid w:val="0077608C"/>
    <w:pPr>
      <w:tabs>
        <w:tab w:val="left" w:pos="2160"/>
      </w:tabs>
      <w:ind w:left="2160" w:hanging="2160"/>
    </w:pPr>
    <w:rPr>
      <w:b/>
    </w:rPr>
  </w:style>
  <w:style w:type="paragraph" w:styleId="TOAHeading">
    <w:name w:val="toa heading"/>
    <w:basedOn w:val="Normal"/>
    <w:next w:val="Normal"/>
    <w:semiHidden/>
    <w:rsid w:val="0077608C"/>
    <w:pPr>
      <w:spacing w:before="120"/>
    </w:pPr>
    <w:rPr>
      <w:b/>
    </w:rPr>
  </w:style>
  <w:style w:type="paragraph" w:styleId="TOC1">
    <w:name w:val="toc 1"/>
    <w:basedOn w:val="Normal"/>
    <w:next w:val="Normal"/>
    <w:autoRedefine/>
    <w:semiHidden/>
    <w:rsid w:val="0077608C"/>
  </w:style>
  <w:style w:type="paragraph" w:styleId="TOC2">
    <w:name w:val="toc 2"/>
    <w:basedOn w:val="Normal"/>
    <w:next w:val="Normal"/>
    <w:autoRedefine/>
    <w:semiHidden/>
    <w:rsid w:val="0077608C"/>
    <w:pPr>
      <w:ind w:left="259"/>
    </w:pPr>
  </w:style>
  <w:style w:type="paragraph" w:styleId="TOC3">
    <w:name w:val="toc 3"/>
    <w:basedOn w:val="Normal"/>
    <w:next w:val="Normal"/>
    <w:autoRedefine/>
    <w:semiHidden/>
    <w:rsid w:val="0077608C"/>
    <w:pPr>
      <w:ind w:left="520"/>
    </w:pPr>
  </w:style>
  <w:style w:type="paragraph" w:styleId="TOC4">
    <w:name w:val="toc 4"/>
    <w:basedOn w:val="Normal"/>
    <w:next w:val="Normal"/>
    <w:autoRedefine/>
    <w:semiHidden/>
    <w:rsid w:val="0077608C"/>
    <w:pPr>
      <w:ind w:left="780"/>
    </w:pPr>
  </w:style>
  <w:style w:type="paragraph" w:styleId="TOC5">
    <w:name w:val="toc 5"/>
    <w:basedOn w:val="Normal"/>
    <w:next w:val="Normal"/>
    <w:autoRedefine/>
    <w:semiHidden/>
    <w:rsid w:val="0077608C"/>
    <w:pPr>
      <w:ind w:left="1040"/>
    </w:pPr>
  </w:style>
  <w:style w:type="paragraph" w:styleId="TOC6">
    <w:name w:val="toc 6"/>
    <w:basedOn w:val="Normal"/>
    <w:next w:val="Normal"/>
    <w:autoRedefine/>
    <w:semiHidden/>
    <w:rsid w:val="0077608C"/>
    <w:pPr>
      <w:ind w:left="1300"/>
    </w:pPr>
  </w:style>
  <w:style w:type="paragraph" w:styleId="TOC7">
    <w:name w:val="toc 7"/>
    <w:basedOn w:val="Normal"/>
    <w:next w:val="Normal"/>
    <w:autoRedefine/>
    <w:semiHidden/>
    <w:rsid w:val="0077608C"/>
    <w:pPr>
      <w:ind w:left="1560"/>
    </w:pPr>
  </w:style>
  <w:style w:type="paragraph" w:styleId="TOC8">
    <w:name w:val="toc 8"/>
    <w:basedOn w:val="Normal"/>
    <w:next w:val="Normal"/>
    <w:autoRedefine/>
    <w:semiHidden/>
    <w:rsid w:val="0077608C"/>
    <w:pPr>
      <w:ind w:left="1820"/>
    </w:pPr>
  </w:style>
  <w:style w:type="paragraph" w:styleId="TOC9">
    <w:name w:val="toc 9"/>
    <w:basedOn w:val="Normal"/>
    <w:next w:val="Normal"/>
    <w:autoRedefine/>
    <w:semiHidden/>
    <w:rsid w:val="0077608C"/>
    <w:pPr>
      <w:ind w:left="2080"/>
    </w:pPr>
  </w:style>
  <w:style w:type="paragraph" w:customStyle="1" w:styleId="Contents">
    <w:name w:val="Contents"/>
    <w:basedOn w:val="Normal"/>
    <w:rsid w:val="0077608C"/>
    <w:pPr>
      <w:jc w:val="center"/>
    </w:pPr>
    <w:rPr>
      <w:b/>
      <w:spacing w:val="100"/>
    </w:rPr>
  </w:style>
  <w:style w:type="character" w:styleId="Hyperlink">
    <w:name w:val="Hyperlink"/>
    <w:basedOn w:val="DefaultParagraphFont"/>
    <w:uiPriority w:val="99"/>
    <w:unhideWhenUsed/>
    <w:rsid w:val="007B4ADA"/>
    <w:rPr>
      <w:color w:val="0000FF" w:themeColor="hyperlink"/>
      <w:u w:val="single"/>
    </w:rPr>
  </w:style>
  <w:style w:type="character" w:styleId="UnresolvedMention">
    <w:name w:val="Unresolved Mention"/>
    <w:basedOn w:val="DefaultParagraphFont"/>
    <w:uiPriority w:val="99"/>
    <w:semiHidden/>
    <w:unhideWhenUsed/>
    <w:rsid w:val="007B4ADA"/>
    <w:rPr>
      <w:color w:val="605E5C"/>
      <w:shd w:val="clear" w:color="auto" w:fill="E1DFDD"/>
    </w:rPr>
  </w:style>
  <w:style w:type="paragraph" w:styleId="BalloonText">
    <w:name w:val="Balloon Text"/>
    <w:basedOn w:val="Normal"/>
    <w:link w:val="BalloonTextChar"/>
    <w:uiPriority w:val="99"/>
    <w:semiHidden/>
    <w:unhideWhenUsed/>
    <w:rsid w:val="00AD20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2025"/>
    <w:rPr>
      <w:rFonts w:ascii="Segoe UI" w:hAnsi="Segoe UI" w:cs="Segoe UI"/>
      <w:sz w:val="18"/>
      <w:szCs w:val="18"/>
    </w:rPr>
  </w:style>
  <w:style w:type="character" w:styleId="CommentReference">
    <w:name w:val="annotation reference"/>
    <w:basedOn w:val="DefaultParagraphFont"/>
    <w:uiPriority w:val="99"/>
    <w:semiHidden/>
    <w:unhideWhenUsed/>
    <w:rsid w:val="001E7206"/>
    <w:rPr>
      <w:sz w:val="16"/>
      <w:szCs w:val="16"/>
    </w:rPr>
  </w:style>
  <w:style w:type="paragraph" w:styleId="CommentText">
    <w:name w:val="annotation text"/>
    <w:basedOn w:val="Normal"/>
    <w:link w:val="CommentTextChar"/>
    <w:uiPriority w:val="99"/>
    <w:unhideWhenUsed/>
    <w:rsid w:val="001E7206"/>
    <w:rPr>
      <w:sz w:val="20"/>
    </w:rPr>
  </w:style>
  <w:style w:type="character" w:customStyle="1" w:styleId="CommentTextChar">
    <w:name w:val="Comment Text Char"/>
    <w:basedOn w:val="DefaultParagraphFont"/>
    <w:link w:val="CommentText"/>
    <w:uiPriority w:val="99"/>
    <w:rsid w:val="001E7206"/>
  </w:style>
  <w:style w:type="paragraph" w:styleId="CommentSubject">
    <w:name w:val="annotation subject"/>
    <w:basedOn w:val="CommentText"/>
    <w:next w:val="CommentText"/>
    <w:link w:val="CommentSubjectChar"/>
    <w:uiPriority w:val="99"/>
    <w:semiHidden/>
    <w:unhideWhenUsed/>
    <w:rsid w:val="001E7206"/>
    <w:rPr>
      <w:b/>
      <w:bCs/>
    </w:rPr>
  </w:style>
  <w:style w:type="character" w:customStyle="1" w:styleId="CommentSubjectChar">
    <w:name w:val="Comment Subject Char"/>
    <w:basedOn w:val="CommentTextChar"/>
    <w:link w:val="CommentSubject"/>
    <w:uiPriority w:val="99"/>
    <w:semiHidden/>
    <w:rsid w:val="001E7206"/>
    <w:rPr>
      <w:b/>
      <w:bCs/>
    </w:rPr>
  </w:style>
  <w:style w:type="paragraph" w:styleId="BodyText">
    <w:name w:val="Body Text"/>
    <w:basedOn w:val="Normal"/>
    <w:link w:val="BodyTextChar"/>
    <w:qFormat/>
    <w:rsid w:val="0077608C"/>
  </w:style>
  <w:style w:type="character" w:customStyle="1" w:styleId="BodyTextChar">
    <w:name w:val="Body Text Char"/>
    <w:basedOn w:val="DefaultParagraphFont"/>
    <w:link w:val="BodyText"/>
    <w:rsid w:val="0077608C"/>
    <w:rPr>
      <w:rFonts w:ascii="Century Schoolbook" w:hAnsi="Century Schoolbook"/>
      <w:sz w:val="27"/>
    </w:rPr>
  </w:style>
  <w:style w:type="character" w:customStyle="1" w:styleId="FootnoteTextChar">
    <w:name w:val="Footnote Text Char"/>
    <w:basedOn w:val="DefaultParagraphFont"/>
    <w:link w:val="FootnoteText"/>
    <w:rsid w:val="00B700BC"/>
    <w:rPr>
      <w:rFonts w:ascii="Century Schoolbook" w:hAnsi="Century Schoolbook"/>
      <w:sz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8241">
      <w:bodyDiv w:val="1"/>
      <w:marLeft w:val="0"/>
      <w:marRight w:val="0"/>
      <w:marTop w:val="0"/>
      <w:marBottom w:val="0"/>
      <w:divBdr>
        <w:top w:val="none" w:sz="0" w:space="0" w:color="auto"/>
        <w:left w:val="none" w:sz="0" w:space="0" w:color="auto"/>
        <w:bottom w:val="none" w:sz="0" w:space="0" w:color="auto"/>
        <w:right w:val="none" w:sz="0" w:space="0" w:color="auto"/>
      </w:divBdr>
      <w:divsChild>
        <w:div w:id="1273440392">
          <w:marLeft w:val="0"/>
          <w:marRight w:val="0"/>
          <w:marTop w:val="0"/>
          <w:marBottom w:val="0"/>
          <w:divBdr>
            <w:top w:val="none" w:sz="0" w:space="0" w:color="auto"/>
            <w:left w:val="none" w:sz="0" w:space="0" w:color="auto"/>
            <w:bottom w:val="none" w:sz="0" w:space="0" w:color="auto"/>
            <w:right w:val="none" w:sz="0" w:space="0" w:color="auto"/>
          </w:divBdr>
        </w:div>
      </w:divsChild>
    </w:div>
    <w:div w:id="17003354">
      <w:bodyDiv w:val="1"/>
      <w:marLeft w:val="0"/>
      <w:marRight w:val="0"/>
      <w:marTop w:val="0"/>
      <w:marBottom w:val="0"/>
      <w:divBdr>
        <w:top w:val="none" w:sz="0" w:space="0" w:color="auto"/>
        <w:left w:val="none" w:sz="0" w:space="0" w:color="auto"/>
        <w:bottom w:val="none" w:sz="0" w:space="0" w:color="auto"/>
        <w:right w:val="none" w:sz="0" w:space="0" w:color="auto"/>
      </w:divBdr>
      <w:divsChild>
        <w:div w:id="1303542189">
          <w:marLeft w:val="0"/>
          <w:marRight w:val="0"/>
          <w:marTop w:val="0"/>
          <w:marBottom w:val="0"/>
          <w:divBdr>
            <w:top w:val="none" w:sz="0" w:space="0" w:color="auto"/>
            <w:left w:val="none" w:sz="0" w:space="0" w:color="auto"/>
            <w:bottom w:val="none" w:sz="0" w:space="0" w:color="auto"/>
            <w:right w:val="none" w:sz="0" w:space="0" w:color="auto"/>
          </w:divBdr>
        </w:div>
      </w:divsChild>
    </w:div>
    <w:div w:id="19551513">
      <w:bodyDiv w:val="1"/>
      <w:marLeft w:val="0"/>
      <w:marRight w:val="0"/>
      <w:marTop w:val="0"/>
      <w:marBottom w:val="0"/>
      <w:divBdr>
        <w:top w:val="none" w:sz="0" w:space="0" w:color="auto"/>
        <w:left w:val="none" w:sz="0" w:space="0" w:color="auto"/>
        <w:bottom w:val="none" w:sz="0" w:space="0" w:color="auto"/>
        <w:right w:val="none" w:sz="0" w:space="0" w:color="auto"/>
      </w:divBdr>
      <w:divsChild>
        <w:div w:id="286474515">
          <w:marLeft w:val="0"/>
          <w:marRight w:val="0"/>
          <w:marTop w:val="0"/>
          <w:marBottom w:val="0"/>
          <w:divBdr>
            <w:top w:val="none" w:sz="0" w:space="0" w:color="auto"/>
            <w:left w:val="none" w:sz="0" w:space="0" w:color="auto"/>
            <w:bottom w:val="none" w:sz="0" w:space="0" w:color="auto"/>
            <w:right w:val="none" w:sz="0" w:space="0" w:color="auto"/>
          </w:divBdr>
        </w:div>
      </w:divsChild>
    </w:div>
    <w:div w:id="23412350">
      <w:bodyDiv w:val="1"/>
      <w:marLeft w:val="0"/>
      <w:marRight w:val="0"/>
      <w:marTop w:val="0"/>
      <w:marBottom w:val="0"/>
      <w:divBdr>
        <w:top w:val="none" w:sz="0" w:space="0" w:color="auto"/>
        <w:left w:val="none" w:sz="0" w:space="0" w:color="auto"/>
        <w:bottom w:val="none" w:sz="0" w:space="0" w:color="auto"/>
        <w:right w:val="none" w:sz="0" w:space="0" w:color="auto"/>
      </w:divBdr>
      <w:divsChild>
        <w:div w:id="1243836597">
          <w:marLeft w:val="0"/>
          <w:marRight w:val="0"/>
          <w:marTop w:val="0"/>
          <w:marBottom w:val="0"/>
          <w:divBdr>
            <w:top w:val="none" w:sz="0" w:space="0" w:color="auto"/>
            <w:left w:val="none" w:sz="0" w:space="0" w:color="auto"/>
            <w:bottom w:val="none" w:sz="0" w:space="0" w:color="auto"/>
            <w:right w:val="none" w:sz="0" w:space="0" w:color="auto"/>
          </w:divBdr>
        </w:div>
      </w:divsChild>
    </w:div>
    <w:div w:id="54856558">
      <w:bodyDiv w:val="1"/>
      <w:marLeft w:val="0"/>
      <w:marRight w:val="0"/>
      <w:marTop w:val="0"/>
      <w:marBottom w:val="0"/>
      <w:divBdr>
        <w:top w:val="none" w:sz="0" w:space="0" w:color="auto"/>
        <w:left w:val="none" w:sz="0" w:space="0" w:color="auto"/>
        <w:bottom w:val="none" w:sz="0" w:space="0" w:color="auto"/>
        <w:right w:val="none" w:sz="0" w:space="0" w:color="auto"/>
      </w:divBdr>
      <w:divsChild>
        <w:div w:id="786463172">
          <w:marLeft w:val="0"/>
          <w:marRight w:val="0"/>
          <w:marTop w:val="0"/>
          <w:marBottom w:val="0"/>
          <w:divBdr>
            <w:top w:val="none" w:sz="0" w:space="0" w:color="auto"/>
            <w:left w:val="none" w:sz="0" w:space="0" w:color="auto"/>
            <w:bottom w:val="none" w:sz="0" w:space="0" w:color="auto"/>
            <w:right w:val="none" w:sz="0" w:space="0" w:color="auto"/>
          </w:divBdr>
        </w:div>
      </w:divsChild>
    </w:div>
    <w:div w:id="74326624">
      <w:bodyDiv w:val="1"/>
      <w:marLeft w:val="0"/>
      <w:marRight w:val="0"/>
      <w:marTop w:val="0"/>
      <w:marBottom w:val="0"/>
      <w:divBdr>
        <w:top w:val="none" w:sz="0" w:space="0" w:color="auto"/>
        <w:left w:val="none" w:sz="0" w:space="0" w:color="auto"/>
        <w:bottom w:val="none" w:sz="0" w:space="0" w:color="auto"/>
        <w:right w:val="none" w:sz="0" w:space="0" w:color="auto"/>
      </w:divBdr>
      <w:divsChild>
        <w:div w:id="1534882384">
          <w:marLeft w:val="0"/>
          <w:marRight w:val="0"/>
          <w:marTop w:val="0"/>
          <w:marBottom w:val="0"/>
          <w:divBdr>
            <w:top w:val="none" w:sz="0" w:space="0" w:color="auto"/>
            <w:left w:val="none" w:sz="0" w:space="0" w:color="auto"/>
            <w:bottom w:val="none" w:sz="0" w:space="0" w:color="auto"/>
            <w:right w:val="none" w:sz="0" w:space="0" w:color="auto"/>
          </w:divBdr>
        </w:div>
      </w:divsChild>
    </w:div>
    <w:div w:id="96565096">
      <w:bodyDiv w:val="1"/>
      <w:marLeft w:val="0"/>
      <w:marRight w:val="0"/>
      <w:marTop w:val="0"/>
      <w:marBottom w:val="0"/>
      <w:divBdr>
        <w:top w:val="none" w:sz="0" w:space="0" w:color="auto"/>
        <w:left w:val="none" w:sz="0" w:space="0" w:color="auto"/>
        <w:bottom w:val="none" w:sz="0" w:space="0" w:color="auto"/>
        <w:right w:val="none" w:sz="0" w:space="0" w:color="auto"/>
      </w:divBdr>
      <w:divsChild>
        <w:div w:id="542518672">
          <w:marLeft w:val="0"/>
          <w:marRight w:val="0"/>
          <w:marTop w:val="0"/>
          <w:marBottom w:val="0"/>
          <w:divBdr>
            <w:top w:val="none" w:sz="0" w:space="0" w:color="auto"/>
            <w:left w:val="none" w:sz="0" w:space="0" w:color="auto"/>
            <w:bottom w:val="none" w:sz="0" w:space="0" w:color="auto"/>
            <w:right w:val="none" w:sz="0" w:space="0" w:color="auto"/>
          </w:divBdr>
        </w:div>
      </w:divsChild>
    </w:div>
    <w:div w:id="105541799">
      <w:bodyDiv w:val="1"/>
      <w:marLeft w:val="0"/>
      <w:marRight w:val="0"/>
      <w:marTop w:val="0"/>
      <w:marBottom w:val="0"/>
      <w:divBdr>
        <w:top w:val="none" w:sz="0" w:space="0" w:color="auto"/>
        <w:left w:val="none" w:sz="0" w:space="0" w:color="auto"/>
        <w:bottom w:val="none" w:sz="0" w:space="0" w:color="auto"/>
        <w:right w:val="none" w:sz="0" w:space="0" w:color="auto"/>
      </w:divBdr>
      <w:divsChild>
        <w:div w:id="879784524">
          <w:marLeft w:val="0"/>
          <w:marRight w:val="0"/>
          <w:marTop w:val="0"/>
          <w:marBottom w:val="0"/>
          <w:divBdr>
            <w:top w:val="none" w:sz="0" w:space="0" w:color="auto"/>
            <w:left w:val="none" w:sz="0" w:space="0" w:color="auto"/>
            <w:bottom w:val="none" w:sz="0" w:space="0" w:color="auto"/>
            <w:right w:val="none" w:sz="0" w:space="0" w:color="auto"/>
          </w:divBdr>
        </w:div>
      </w:divsChild>
    </w:div>
    <w:div w:id="106047800">
      <w:bodyDiv w:val="1"/>
      <w:marLeft w:val="0"/>
      <w:marRight w:val="0"/>
      <w:marTop w:val="0"/>
      <w:marBottom w:val="0"/>
      <w:divBdr>
        <w:top w:val="none" w:sz="0" w:space="0" w:color="auto"/>
        <w:left w:val="none" w:sz="0" w:space="0" w:color="auto"/>
        <w:bottom w:val="none" w:sz="0" w:space="0" w:color="auto"/>
        <w:right w:val="none" w:sz="0" w:space="0" w:color="auto"/>
      </w:divBdr>
      <w:divsChild>
        <w:div w:id="438960742">
          <w:marLeft w:val="0"/>
          <w:marRight w:val="0"/>
          <w:marTop w:val="0"/>
          <w:marBottom w:val="0"/>
          <w:divBdr>
            <w:top w:val="none" w:sz="0" w:space="0" w:color="auto"/>
            <w:left w:val="none" w:sz="0" w:space="0" w:color="auto"/>
            <w:bottom w:val="none" w:sz="0" w:space="0" w:color="auto"/>
            <w:right w:val="none" w:sz="0" w:space="0" w:color="auto"/>
          </w:divBdr>
        </w:div>
      </w:divsChild>
    </w:div>
    <w:div w:id="118839179">
      <w:bodyDiv w:val="1"/>
      <w:marLeft w:val="0"/>
      <w:marRight w:val="0"/>
      <w:marTop w:val="0"/>
      <w:marBottom w:val="0"/>
      <w:divBdr>
        <w:top w:val="none" w:sz="0" w:space="0" w:color="auto"/>
        <w:left w:val="none" w:sz="0" w:space="0" w:color="auto"/>
        <w:bottom w:val="none" w:sz="0" w:space="0" w:color="auto"/>
        <w:right w:val="none" w:sz="0" w:space="0" w:color="auto"/>
      </w:divBdr>
      <w:divsChild>
        <w:div w:id="2144424165">
          <w:marLeft w:val="0"/>
          <w:marRight w:val="0"/>
          <w:marTop w:val="0"/>
          <w:marBottom w:val="0"/>
          <w:divBdr>
            <w:top w:val="none" w:sz="0" w:space="0" w:color="auto"/>
            <w:left w:val="none" w:sz="0" w:space="0" w:color="auto"/>
            <w:bottom w:val="none" w:sz="0" w:space="0" w:color="auto"/>
            <w:right w:val="none" w:sz="0" w:space="0" w:color="auto"/>
          </w:divBdr>
        </w:div>
      </w:divsChild>
    </w:div>
    <w:div w:id="120268365">
      <w:bodyDiv w:val="1"/>
      <w:marLeft w:val="0"/>
      <w:marRight w:val="0"/>
      <w:marTop w:val="0"/>
      <w:marBottom w:val="0"/>
      <w:divBdr>
        <w:top w:val="none" w:sz="0" w:space="0" w:color="auto"/>
        <w:left w:val="none" w:sz="0" w:space="0" w:color="auto"/>
        <w:bottom w:val="none" w:sz="0" w:space="0" w:color="auto"/>
        <w:right w:val="none" w:sz="0" w:space="0" w:color="auto"/>
      </w:divBdr>
      <w:divsChild>
        <w:div w:id="213851622">
          <w:marLeft w:val="0"/>
          <w:marRight w:val="0"/>
          <w:marTop w:val="0"/>
          <w:marBottom w:val="0"/>
          <w:divBdr>
            <w:top w:val="none" w:sz="0" w:space="0" w:color="auto"/>
            <w:left w:val="none" w:sz="0" w:space="0" w:color="auto"/>
            <w:bottom w:val="none" w:sz="0" w:space="0" w:color="auto"/>
            <w:right w:val="none" w:sz="0" w:space="0" w:color="auto"/>
          </w:divBdr>
        </w:div>
      </w:divsChild>
    </w:div>
    <w:div w:id="145173489">
      <w:bodyDiv w:val="1"/>
      <w:marLeft w:val="0"/>
      <w:marRight w:val="0"/>
      <w:marTop w:val="0"/>
      <w:marBottom w:val="0"/>
      <w:divBdr>
        <w:top w:val="none" w:sz="0" w:space="0" w:color="auto"/>
        <w:left w:val="none" w:sz="0" w:space="0" w:color="auto"/>
        <w:bottom w:val="none" w:sz="0" w:space="0" w:color="auto"/>
        <w:right w:val="none" w:sz="0" w:space="0" w:color="auto"/>
      </w:divBdr>
      <w:divsChild>
        <w:div w:id="917134583">
          <w:marLeft w:val="0"/>
          <w:marRight w:val="0"/>
          <w:marTop w:val="0"/>
          <w:marBottom w:val="0"/>
          <w:divBdr>
            <w:top w:val="none" w:sz="0" w:space="0" w:color="auto"/>
            <w:left w:val="none" w:sz="0" w:space="0" w:color="auto"/>
            <w:bottom w:val="none" w:sz="0" w:space="0" w:color="auto"/>
            <w:right w:val="none" w:sz="0" w:space="0" w:color="auto"/>
          </w:divBdr>
        </w:div>
      </w:divsChild>
    </w:div>
    <w:div w:id="184251213">
      <w:bodyDiv w:val="1"/>
      <w:marLeft w:val="0"/>
      <w:marRight w:val="0"/>
      <w:marTop w:val="0"/>
      <w:marBottom w:val="0"/>
      <w:divBdr>
        <w:top w:val="none" w:sz="0" w:space="0" w:color="auto"/>
        <w:left w:val="none" w:sz="0" w:space="0" w:color="auto"/>
        <w:bottom w:val="none" w:sz="0" w:space="0" w:color="auto"/>
        <w:right w:val="none" w:sz="0" w:space="0" w:color="auto"/>
      </w:divBdr>
      <w:divsChild>
        <w:div w:id="958071455">
          <w:marLeft w:val="0"/>
          <w:marRight w:val="0"/>
          <w:marTop w:val="0"/>
          <w:marBottom w:val="0"/>
          <w:divBdr>
            <w:top w:val="none" w:sz="0" w:space="0" w:color="auto"/>
            <w:left w:val="none" w:sz="0" w:space="0" w:color="auto"/>
            <w:bottom w:val="none" w:sz="0" w:space="0" w:color="auto"/>
            <w:right w:val="none" w:sz="0" w:space="0" w:color="auto"/>
          </w:divBdr>
        </w:div>
      </w:divsChild>
    </w:div>
    <w:div w:id="215707199">
      <w:bodyDiv w:val="1"/>
      <w:marLeft w:val="0"/>
      <w:marRight w:val="0"/>
      <w:marTop w:val="0"/>
      <w:marBottom w:val="0"/>
      <w:divBdr>
        <w:top w:val="none" w:sz="0" w:space="0" w:color="auto"/>
        <w:left w:val="none" w:sz="0" w:space="0" w:color="auto"/>
        <w:bottom w:val="none" w:sz="0" w:space="0" w:color="auto"/>
        <w:right w:val="none" w:sz="0" w:space="0" w:color="auto"/>
      </w:divBdr>
      <w:divsChild>
        <w:div w:id="1671903970">
          <w:marLeft w:val="0"/>
          <w:marRight w:val="0"/>
          <w:marTop w:val="0"/>
          <w:marBottom w:val="0"/>
          <w:divBdr>
            <w:top w:val="none" w:sz="0" w:space="0" w:color="auto"/>
            <w:left w:val="none" w:sz="0" w:space="0" w:color="auto"/>
            <w:bottom w:val="none" w:sz="0" w:space="0" w:color="auto"/>
            <w:right w:val="none" w:sz="0" w:space="0" w:color="auto"/>
          </w:divBdr>
        </w:div>
      </w:divsChild>
    </w:div>
    <w:div w:id="223030487">
      <w:bodyDiv w:val="1"/>
      <w:marLeft w:val="0"/>
      <w:marRight w:val="0"/>
      <w:marTop w:val="0"/>
      <w:marBottom w:val="0"/>
      <w:divBdr>
        <w:top w:val="none" w:sz="0" w:space="0" w:color="auto"/>
        <w:left w:val="none" w:sz="0" w:space="0" w:color="auto"/>
        <w:bottom w:val="none" w:sz="0" w:space="0" w:color="auto"/>
        <w:right w:val="none" w:sz="0" w:space="0" w:color="auto"/>
      </w:divBdr>
      <w:divsChild>
        <w:div w:id="400956168">
          <w:marLeft w:val="0"/>
          <w:marRight w:val="0"/>
          <w:marTop w:val="0"/>
          <w:marBottom w:val="0"/>
          <w:divBdr>
            <w:top w:val="none" w:sz="0" w:space="0" w:color="auto"/>
            <w:left w:val="none" w:sz="0" w:space="0" w:color="auto"/>
            <w:bottom w:val="none" w:sz="0" w:space="0" w:color="auto"/>
            <w:right w:val="none" w:sz="0" w:space="0" w:color="auto"/>
          </w:divBdr>
        </w:div>
      </w:divsChild>
    </w:div>
    <w:div w:id="235826996">
      <w:bodyDiv w:val="1"/>
      <w:marLeft w:val="0"/>
      <w:marRight w:val="0"/>
      <w:marTop w:val="0"/>
      <w:marBottom w:val="0"/>
      <w:divBdr>
        <w:top w:val="none" w:sz="0" w:space="0" w:color="auto"/>
        <w:left w:val="none" w:sz="0" w:space="0" w:color="auto"/>
        <w:bottom w:val="none" w:sz="0" w:space="0" w:color="auto"/>
        <w:right w:val="none" w:sz="0" w:space="0" w:color="auto"/>
      </w:divBdr>
      <w:divsChild>
        <w:div w:id="1261528792">
          <w:marLeft w:val="0"/>
          <w:marRight w:val="0"/>
          <w:marTop w:val="0"/>
          <w:marBottom w:val="0"/>
          <w:divBdr>
            <w:top w:val="none" w:sz="0" w:space="0" w:color="auto"/>
            <w:left w:val="none" w:sz="0" w:space="0" w:color="auto"/>
            <w:bottom w:val="none" w:sz="0" w:space="0" w:color="auto"/>
            <w:right w:val="none" w:sz="0" w:space="0" w:color="auto"/>
          </w:divBdr>
        </w:div>
      </w:divsChild>
    </w:div>
    <w:div w:id="261383487">
      <w:bodyDiv w:val="1"/>
      <w:marLeft w:val="0"/>
      <w:marRight w:val="0"/>
      <w:marTop w:val="0"/>
      <w:marBottom w:val="0"/>
      <w:divBdr>
        <w:top w:val="none" w:sz="0" w:space="0" w:color="auto"/>
        <w:left w:val="none" w:sz="0" w:space="0" w:color="auto"/>
        <w:bottom w:val="none" w:sz="0" w:space="0" w:color="auto"/>
        <w:right w:val="none" w:sz="0" w:space="0" w:color="auto"/>
      </w:divBdr>
      <w:divsChild>
        <w:div w:id="829061686">
          <w:marLeft w:val="0"/>
          <w:marRight w:val="0"/>
          <w:marTop w:val="0"/>
          <w:marBottom w:val="0"/>
          <w:divBdr>
            <w:top w:val="none" w:sz="0" w:space="0" w:color="auto"/>
            <w:left w:val="none" w:sz="0" w:space="0" w:color="auto"/>
            <w:bottom w:val="none" w:sz="0" w:space="0" w:color="auto"/>
            <w:right w:val="none" w:sz="0" w:space="0" w:color="auto"/>
          </w:divBdr>
        </w:div>
      </w:divsChild>
    </w:div>
    <w:div w:id="267393228">
      <w:bodyDiv w:val="1"/>
      <w:marLeft w:val="0"/>
      <w:marRight w:val="0"/>
      <w:marTop w:val="0"/>
      <w:marBottom w:val="0"/>
      <w:divBdr>
        <w:top w:val="none" w:sz="0" w:space="0" w:color="auto"/>
        <w:left w:val="none" w:sz="0" w:space="0" w:color="auto"/>
        <w:bottom w:val="none" w:sz="0" w:space="0" w:color="auto"/>
        <w:right w:val="none" w:sz="0" w:space="0" w:color="auto"/>
      </w:divBdr>
      <w:divsChild>
        <w:div w:id="1690329752">
          <w:marLeft w:val="0"/>
          <w:marRight w:val="0"/>
          <w:marTop w:val="0"/>
          <w:marBottom w:val="0"/>
          <w:divBdr>
            <w:top w:val="none" w:sz="0" w:space="0" w:color="auto"/>
            <w:left w:val="none" w:sz="0" w:space="0" w:color="auto"/>
            <w:bottom w:val="none" w:sz="0" w:space="0" w:color="auto"/>
            <w:right w:val="none" w:sz="0" w:space="0" w:color="auto"/>
          </w:divBdr>
        </w:div>
      </w:divsChild>
    </w:div>
    <w:div w:id="295374904">
      <w:bodyDiv w:val="1"/>
      <w:marLeft w:val="0"/>
      <w:marRight w:val="0"/>
      <w:marTop w:val="0"/>
      <w:marBottom w:val="0"/>
      <w:divBdr>
        <w:top w:val="none" w:sz="0" w:space="0" w:color="auto"/>
        <w:left w:val="none" w:sz="0" w:space="0" w:color="auto"/>
        <w:bottom w:val="none" w:sz="0" w:space="0" w:color="auto"/>
        <w:right w:val="none" w:sz="0" w:space="0" w:color="auto"/>
      </w:divBdr>
      <w:divsChild>
        <w:div w:id="1824395936">
          <w:marLeft w:val="0"/>
          <w:marRight w:val="0"/>
          <w:marTop w:val="0"/>
          <w:marBottom w:val="0"/>
          <w:divBdr>
            <w:top w:val="none" w:sz="0" w:space="0" w:color="auto"/>
            <w:left w:val="none" w:sz="0" w:space="0" w:color="auto"/>
            <w:bottom w:val="none" w:sz="0" w:space="0" w:color="auto"/>
            <w:right w:val="none" w:sz="0" w:space="0" w:color="auto"/>
          </w:divBdr>
        </w:div>
      </w:divsChild>
    </w:div>
    <w:div w:id="309402442">
      <w:bodyDiv w:val="1"/>
      <w:marLeft w:val="0"/>
      <w:marRight w:val="0"/>
      <w:marTop w:val="0"/>
      <w:marBottom w:val="0"/>
      <w:divBdr>
        <w:top w:val="none" w:sz="0" w:space="0" w:color="auto"/>
        <w:left w:val="none" w:sz="0" w:space="0" w:color="auto"/>
        <w:bottom w:val="none" w:sz="0" w:space="0" w:color="auto"/>
        <w:right w:val="none" w:sz="0" w:space="0" w:color="auto"/>
      </w:divBdr>
      <w:divsChild>
        <w:div w:id="404842737">
          <w:marLeft w:val="0"/>
          <w:marRight w:val="0"/>
          <w:marTop w:val="0"/>
          <w:marBottom w:val="0"/>
          <w:divBdr>
            <w:top w:val="none" w:sz="0" w:space="0" w:color="auto"/>
            <w:left w:val="none" w:sz="0" w:space="0" w:color="auto"/>
            <w:bottom w:val="none" w:sz="0" w:space="0" w:color="auto"/>
            <w:right w:val="none" w:sz="0" w:space="0" w:color="auto"/>
          </w:divBdr>
        </w:div>
      </w:divsChild>
    </w:div>
    <w:div w:id="333994787">
      <w:bodyDiv w:val="1"/>
      <w:marLeft w:val="0"/>
      <w:marRight w:val="0"/>
      <w:marTop w:val="0"/>
      <w:marBottom w:val="0"/>
      <w:divBdr>
        <w:top w:val="none" w:sz="0" w:space="0" w:color="auto"/>
        <w:left w:val="none" w:sz="0" w:space="0" w:color="auto"/>
        <w:bottom w:val="none" w:sz="0" w:space="0" w:color="auto"/>
        <w:right w:val="none" w:sz="0" w:space="0" w:color="auto"/>
      </w:divBdr>
      <w:divsChild>
        <w:div w:id="449201651">
          <w:marLeft w:val="0"/>
          <w:marRight w:val="0"/>
          <w:marTop w:val="0"/>
          <w:marBottom w:val="0"/>
          <w:divBdr>
            <w:top w:val="none" w:sz="0" w:space="0" w:color="auto"/>
            <w:left w:val="none" w:sz="0" w:space="0" w:color="auto"/>
            <w:bottom w:val="none" w:sz="0" w:space="0" w:color="auto"/>
            <w:right w:val="none" w:sz="0" w:space="0" w:color="auto"/>
          </w:divBdr>
        </w:div>
      </w:divsChild>
    </w:div>
    <w:div w:id="360791456">
      <w:bodyDiv w:val="1"/>
      <w:marLeft w:val="0"/>
      <w:marRight w:val="0"/>
      <w:marTop w:val="0"/>
      <w:marBottom w:val="0"/>
      <w:divBdr>
        <w:top w:val="none" w:sz="0" w:space="0" w:color="auto"/>
        <w:left w:val="none" w:sz="0" w:space="0" w:color="auto"/>
        <w:bottom w:val="none" w:sz="0" w:space="0" w:color="auto"/>
        <w:right w:val="none" w:sz="0" w:space="0" w:color="auto"/>
      </w:divBdr>
      <w:divsChild>
        <w:div w:id="2051151864">
          <w:marLeft w:val="0"/>
          <w:marRight w:val="0"/>
          <w:marTop w:val="0"/>
          <w:marBottom w:val="0"/>
          <w:divBdr>
            <w:top w:val="none" w:sz="0" w:space="0" w:color="auto"/>
            <w:left w:val="none" w:sz="0" w:space="0" w:color="auto"/>
            <w:bottom w:val="none" w:sz="0" w:space="0" w:color="auto"/>
            <w:right w:val="none" w:sz="0" w:space="0" w:color="auto"/>
          </w:divBdr>
        </w:div>
      </w:divsChild>
    </w:div>
    <w:div w:id="391579542">
      <w:bodyDiv w:val="1"/>
      <w:marLeft w:val="0"/>
      <w:marRight w:val="0"/>
      <w:marTop w:val="0"/>
      <w:marBottom w:val="0"/>
      <w:divBdr>
        <w:top w:val="none" w:sz="0" w:space="0" w:color="auto"/>
        <w:left w:val="none" w:sz="0" w:space="0" w:color="auto"/>
        <w:bottom w:val="none" w:sz="0" w:space="0" w:color="auto"/>
        <w:right w:val="none" w:sz="0" w:space="0" w:color="auto"/>
      </w:divBdr>
      <w:divsChild>
        <w:div w:id="1821388333">
          <w:marLeft w:val="0"/>
          <w:marRight w:val="0"/>
          <w:marTop w:val="0"/>
          <w:marBottom w:val="0"/>
          <w:divBdr>
            <w:top w:val="none" w:sz="0" w:space="0" w:color="auto"/>
            <w:left w:val="none" w:sz="0" w:space="0" w:color="auto"/>
            <w:bottom w:val="none" w:sz="0" w:space="0" w:color="auto"/>
            <w:right w:val="none" w:sz="0" w:space="0" w:color="auto"/>
          </w:divBdr>
        </w:div>
      </w:divsChild>
    </w:div>
    <w:div w:id="411854542">
      <w:bodyDiv w:val="1"/>
      <w:marLeft w:val="0"/>
      <w:marRight w:val="0"/>
      <w:marTop w:val="0"/>
      <w:marBottom w:val="0"/>
      <w:divBdr>
        <w:top w:val="none" w:sz="0" w:space="0" w:color="auto"/>
        <w:left w:val="none" w:sz="0" w:space="0" w:color="auto"/>
        <w:bottom w:val="none" w:sz="0" w:space="0" w:color="auto"/>
        <w:right w:val="none" w:sz="0" w:space="0" w:color="auto"/>
      </w:divBdr>
      <w:divsChild>
        <w:div w:id="1282149130">
          <w:marLeft w:val="0"/>
          <w:marRight w:val="0"/>
          <w:marTop w:val="0"/>
          <w:marBottom w:val="0"/>
          <w:divBdr>
            <w:top w:val="none" w:sz="0" w:space="0" w:color="auto"/>
            <w:left w:val="none" w:sz="0" w:space="0" w:color="auto"/>
            <w:bottom w:val="none" w:sz="0" w:space="0" w:color="auto"/>
            <w:right w:val="none" w:sz="0" w:space="0" w:color="auto"/>
          </w:divBdr>
        </w:div>
      </w:divsChild>
    </w:div>
    <w:div w:id="415170597">
      <w:bodyDiv w:val="1"/>
      <w:marLeft w:val="0"/>
      <w:marRight w:val="0"/>
      <w:marTop w:val="0"/>
      <w:marBottom w:val="0"/>
      <w:divBdr>
        <w:top w:val="none" w:sz="0" w:space="0" w:color="auto"/>
        <w:left w:val="none" w:sz="0" w:space="0" w:color="auto"/>
        <w:bottom w:val="none" w:sz="0" w:space="0" w:color="auto"/>
        <w:right w:val="none" w:sz="0" w:space="0" w:color="auto"/>
      </w:divBdr>
      <w:divsChild>
        <w:div w:id="1745714859">
          <w:marLeft w:val="0"/>
          <w:marRight w:val="0"/>
          <w:marTop w:val="0"/>
          <w:marBottom w:val="0"/>
          <w:divBdr>
            <w:top w:val="none" w:sz="0" w:space="0" w:color="auto"/>
            <w:left w:val="none" w:sz="0" w:space="0" w:color="auto"/>
            <w:bottom w:val="none" w:sz="0" w:space="0" w:color="auto"/>
            <w:right w:val="none" w:sz="0" w:space="0" w:color="auto"/>
          </w:divBdr>
        </w:div>
      </w:divsChild>
    </w:div>
    <w:div w:id="432013729">
      <w:bodyDiv w:val="1"/>
      <w:marLeft w:val="0"/>
      <w:marRight w:val="0"/>
      <w:marTop w:val="0"/>
      <w:marBottom w:val="0"/>
      <w:divBdr>
        <w:top w:val="none" w:sz="0" w:space="0" w:color="auto"/>
        <w:left w:val="none" w:sz="0" w:space="0" w:color="auto"/>
        <w:bottom w:val="none" w:sz="0" w:space="0" w:color="auto"/>
        <w:right w:val="none" w:sz="0" w:space="0" w:color="auto"/>
      </w:divBdr>
      <w:divsChild>
        <w:div w:id="1086194202">
          <w:marLeft w:val="0"/>
          <w:marRight w:val="0"/>
          <w:marTop w:val="0"/>
          <w:marBottom w:val="0"/>
          <w:divBdr>
            <w:top w:val="none" w:sz="0" w:space="0" w:color="auto"/>
            <w:left w:val="none" w:sz="0" w:space="0" w:color="auto"/>
            <w:bottom w:val="none" w:sz="0" w:space="0" w:color="auto"/>
            <w:right w:val="none" w:sz="0" w:space="0" w:color="auto"/>
          </w:divBdr>
        </w:div>
      </w:divsChild>
    </w:div>
    <w:div w:id="455371333">
      <w:bodyDiv w:val="1"/>
      <w:marLeft w:val="0"/>
      <w:marRight w:val="0"/>
      <w:marTop w:val="0"/>
      <w:marBottom w:val="0"/>
      <w:divBdr>
        <w:top w:val="none" w:sz="0" w:space="0" w:color="auto"/>
        <w:left w:val="none" w:sz="0" w:space="0" w:color="auto"/>
        <w:bottom w:val="none" w:sz="0" w:space="0" w:color="auto"/>
        <w:right w:val="none" w:sz="0" w:space="0" w:color="auto"/>
      </w:divBdr>
      <w:divsChild>
        <w:div w:id="1415279832">
          <w:marLeft w:val="0"/>
          <w:marRight w:val="0"/>
          <w:marTop w:val="0"/>
          <w:marBottom w:val="0"/>
          <w:divBdr>
            <w:top w:val="none" w:sz="0" w:space="0" w:color="auto"/>
            <w:left w:val="none" w:sz="0" w:space="0" w:color="auto"/>
            <w:bottom w:val="none" w:sz="0" w:space="0" w:color="auto"/>
            <w:right w:val="none" w:sz="0" w:space="0" w:color="auto"/>
          </w:divBdr>
        </w:div>
      </w:divsChild>
    </w:div>
    <w:div w:id="480929042">
      <w:bodyDiv w:val="1"/>
      <w:marLeft w:val="0"/>
      <w:marRight w:val="0"/>
      <w:marTop w:val="0"/>
      <w:marBottom w:val="0"/>
      <w:divBdr>
        <w:top w:val="none" w:sz="0" w:space="0" w:color="auto"/>
        <w:left w:val="none" w:sz="0" w:space="0" w:color="auto"/>
        <w:bottom w:val="none" w:sz="0" w:space="0" w:color="auto"/>
        <w:right w:val="none" w:sz="0" w:space="0" w:color="auto"/>
      </w:divBdr>
      <w:divsChild>
        <w:div w:id="1223563580">
          <w:marLeft w:val="0"/>
          <w:marRight w:val="0"/>
          <w:marTop w:val="0"/>
          <w:marBottom w:val="0"/>
          <w:divBdr>
            <w:top w:val="none" w:sz="0" w:space="0" w:color="auto"/>
            <w:left w:val="none" w:sz="0" w:space="0" w:color="auto"/>
            <w:bottom w:val="none" w:sz="0" w:space="0" w:color="auto"/>
            <w:right w:val="none" w:sz="0" w:space="0" w:color="auto"/>
          </w:divBdr>
        </w:div>
      </w:divsChild>
    </w:div>
    <w:div w:id="487552522">
      <w:bodyDiv w:val="1"/>
      <w:marLeft w:val="0"/>
      <w:marRight w:val="0"/>
      <w:marTop w:val="0"/>
      <w:marBottom w:val="0"/>
      <w:divBdr>
        <w:top w:val="none" w:sz="0" w:space="0" w:color="auto"/>
        <w:left w:val="none" w:sz="0" w:space="0" w:color="auto"/>
        <w:bottom w:val="none" w:sz="0" w:space="0" w:color="auto"/>
        <w:right w:val="none" w:sz="0" w:space="0" w:color="auto"/>
      </w:divBdr>
      <w:divsChild>
        <w:div w:id="1801150902">
          <w:marLeft w:val="0"/>
          <w:marRight w:val="0"/>
          <w:marTop w:val="0"/>
          <w:marBottom w:val="0"/>
          <w:divBdr>
            <w:top w:val="none" w:sz="0" w:space="0" w:color="auto"/>
            <w:left w:val="none" w:sz="0" w:space="0" w:color="auto"/>
            <w:bottom w:val="none" w:sz="0" w:space="0" w:color="auto"/>
            <w:right w:val="none" w:sz="0" w:space="0" w:color="auto"/>
          </w:divBdr>
        </w:div>
      </w:divsChild>
    </w:div>
    <w:div w:id="493641325">
      <w:bodyDiv w:val="1"/>
      <w:marLeft w:val="0"/>
      <w:marRight w:val="0"/>
      <w:marTop w:val="0"/>
      <w:marBottom w:val="0"/>
      <w:divBdr>
        <w:top w:val="none" w:sz="0" w:space="0" w:color="auto"/>
        <w:left w:val="none" w:sz="0" w:space="0" w:color="auto"/>
        <w:bottom w:val="none" w:sz="0" w:space="0" w:color="auto"/>
        <w:right w:val="none" w:sz="0" w:space="0" w:color="auto"/>
      </w:divBdr>
      <w:divsChild>
        <w:div w:id="125584860">
          <w:marLeft w:val="0"/>
          <w:marRight w:val="0"/>
          <w:marTop w:val="0"/>
          <w:marBottom w:val="0"/>
          <w:divBdr>
            <w:top w:val="none" w:sz="0" w:space="0" w:color="auto"/>
            <w:left w:val="none" w:sz="0" w:space="0" w:color="auto"/>
            <w:bottom w:val="none" w:sz="0" w:space="0" w:color="auto"/>
            <w:right w:val="none" w:sz="0" w:space="0" w:color="auto"/>
          </w:divBdr>
        </w:div>
      </w:divsChild>
    </w:div>
    <w:div w:id="541285464">
      <w:bodyDiv w:val="1"/>
      <w:marLeft w:val="0"/>
      <w:marRight w:val="0"/>
      <w:marTop w:val="0"/>
      <w:marBottom w:val="0"/>
      <w:divBdr>
        <w:top w:val="none" w:sz="0" w:space="0" w:color="auto"/>
        <w:left w:val="none" w:sz="0" w:space="0" w:color="auto"/>
        <w:bottom w:val="none" w:sz="0" w:space="0" w:color="auto"/>
        <w:right w:val="none" w:sz="0" w:space="0" w:color="auto"/>
      </w:divBdr>
      <w:divsChild>
        <w:div w:id="56245680">
          <w:marLeft w:val="0"/>
          <w:marRight w:val="0"/>
          <w:marTop w:val="0"/>
          <w:marBottom w:val="0"/>
          <w:divBdr>
            <w:top w:val="none" w:sz="0" w:space="0" w:color="auto"/>
            <w:left w:val="none" w:sz="0" w:space="0" w:color="auto"/>
            <w:bottom w:val="none" w:sz="0" w:space="0" w:color="auto"/>
            <w:right w:val="none" w:sz="0" w:space="0" w:color="auto"/>
          </w:divBdr>
        </w:div>
      </w:divsChild>
    </w:div>
    <w:div w:id="554973378">
      <w:bodyDiv w:val="1"/>
      <w:marLeft w:val="0"/>
      <w:marRight w:val="0"/>
      <w:marTop w:val="0"/>
      <w:marBottom w:val="0"/>
      <w:divBdr>
        <w:top w:val="none" w:sz="0" w:space="0" w:color="auto"/>
        <w:left w:val="none" w:sz="0" w:space="0" w:color="auto"/>
        <w:bottom w:val="none" w:sz="0" w:space="0" w:color="auto"/>
        <w:right w:val="none" w:sz="0" w:space="0" w:color="auto"/>
      </w:divBdr>
      <w:divsChild>
        <w:div w:id="1001853807">
          <w:marLeft w:val="0"/>
          <w:marRight w:val="0"/>
          <w:marTop w:val="0"/>
          <w:marBottom w:val="0"/>
          <w:divBdr>
            <w:top w:val="none" w:sz="0" w:space="0" w:color="auto"/>
            <w:left w:val="none" w:sz="0" w:space="0" w:color="auto"/>
            <w:bottom w:val="none" w:sz="0" w:space="0" w:color="auto"/>
            <w:right w:val="none" w:sz="0" w:space="0" w:color="auto"/>
          </w:divBdr>
        </w:div>
      </w:divsChild>
    </w:div>
    <w:div w:id="577861403">
      <w:bodyDiv w:val="1"/>
      <w:marLeft w:val="0"/>
      <w:marRight w:val="0"/>
      <w:marTop w:val="0"/>
      <w:marBottom w:val="0"/>
      <w:divBdr>
        <w:top w:val="none" w:sz="0" w:space="0" w:color="auto"/>
        <w:left w:val="none" w:sz="0" w:space="0" w:color="auto"/>
        <w:bottom w:val="none" w:sz="0" w:space="0" w:color="auto"/>
        <w:right w:val="none" w:sz="0" w:space="0" w:color="auto"/>
      </w:divBdr>
      <w:divsChild>
        <w:div w:id="1876454942">
          <w:marLeft w:val="0"/>
          <w:marRight w:val="0"/>
          <w:marTop w:val="0"/>
          <w:marBottom w:val="0"/>
          <w:divBdr>
            <w:top w:val="none" w:sz="0" w:space="0" w:color="auto"/>
            <w:left w:val="none" w:sz="0" w:space="0" w:color="auto"/>
            <w:bottom w:val="none" w:sz="0" w:space="0" w:color="auto"/>
            <w:right w:val="none" w:sz="0" w:space="0" w:color="auto"/>
          </w:divBdr>
        </w:div>
      </w:divsChild>
    </w:div>
    <w:div w:id="586882600">
      <w:bodyDiv w:val="1"/>
      <w:marLeft w:val="0"/>
      <w:marRight w:val="0"/>
      <w:marTop w:val="0"/>
      <w:marBottom w:val="0"/>
      <w:divBdr>
        <w:top w:val="none" w:sz="0" w:space="0" w:color="auto"/>
        <w:left w:val="none" w:sz="0" w:space="0" w:color="auto"/>
        <w:bottom w:val="none" w:sz="0" w:space="0" w:color="auto"/>
        <w:right w:val="none" w:sz="0" w:space="0" w:color="auto"/>
      </w:divBdr>
      <w:divsChild>
        <w:div w:id="1404990419">
          <w:marLeft w:val="0"/>
          <w:marRight w:val="0"/>
          <w:marTop w:val="0"/>
          <w:marBottom w:val="0"/>
          <w:divBdr>
            <w:top w:val="none" w:sz="0" w:space="0" w:color="auto"/>
            <w:left w:val="none" w:sz="0" w:space="0" w:color="auto"/>
            <w:bottom w:val="none" w:sz="0" w:space="0" w:color="auto"/>
            <w:right w:val="none" w:sz="0" w:space="0" w:color="auto"/>
          </w:divBdr>
        </w:div>
      </w:divsChild>
    </w:div>
    <w:div w:id="596133767">
      <w:bodyDiv w:val="1"/>
      <w:marLeft w:val="0"/>
      <w:marRight w:val="0"/>
      <w:marTop w:val="0"/>
      <w:marBottom w:val="0"/>
      <w:divBdr>
        <w:top w:val="none" w:sz="0" w:space="0" w:color="auto"/>
        <w:left w:val="none" w:sz="0" w:space="0" w:color="auto"/>
        <w:bottom w:val="none" w:sz="0" w:space="0" w:color="auto"/>
        <w:right w:val="none" w:sz="0" w:space="0" w:color="auto"/>
      </w:divBdr>
      <w:divsChild>
        <w:div w:id="157962770">
          <w:marLeft w:val="0"/>
          <w:marRight w:val="0"/>
          <w:marTop w:val="0"/>
          <w:marBottom w:val="0"/>
          <w:divBdr>
            <w:top w:val="none" w:sz="0" w:space="0" w:color="auto"/>
            <w:left w:val="none" w:sz="0" w:space="0" w:color="auto"/>
            <w:bottom w:val="none" w:sz="0" w:space="0" w:color="auto"/>
            <w:right w:val="none" w:sz="0" w:space="0" w:color="auto"/>
          </w:divBdr>
        </w:div>
      </w:divsChild>
    </w:div>
    <w:div w:id="634943841">
      <w:bodyDiv w:val="1"/>
      <w:marLeft w:val="0"/>
      <w:marRight w:val="0"/>
      <w:marTop w:val="0"/>
      <w:marBottom w:val="0"/>
      <w:divBdr>
        <w:top w:val="none" w:sz="0" w:space="0" w:color="auto"/>
        <w:left w:val="none" w:sz="0" w:space="0" w:color="auto"/>
        <w:bottom w:val="none" w:sz="0" w:space="0" w:color="auto"/>
        <w:right w:val="none" w:sz="0" w:space="0" w:color="auto"/>
      </w:divBdr>
      <w:divsChild>
        <w:div w:id="75052267">
          <w:marLeft w:val="0"/>
          <w:marRight w:val="0"/>
          <w:marTop w:val="0"/>
          <w:marBottom w:val="0"/>
          <w:divBdr>
            <w:top w:val="none" w:sz="0" w:space="0" w:color="auto"/>
            <w:left w:val="none" w:sz="0" w:space="0" w:color="auto"/>
            <w:bottom w:val="none" w:sz="0" w:space="0" w:color="auto"/>
            <w:right w:val="none" w:sz="0" w:space="0" w:color="auto"/>
          </w:divBdr>
        </w:div>
      </w:divsChild>
    </w:div>
    <w:div w:id="660620399">
      <w:bodyDiv w:val="1"/>
      <w:marLeft w:val="0"/>
      <w:marRight w:val="0"/>
      <w:marTop w:val="0"/>
      <w:marBottom w:val="0"/>
      <w:divBdr>
        <w:top w:val="none" w:sz="0" w:space="0" w:color="auto"/>
        <w:left w:val="none" w:sz="0" w:space="0" w:color="auto"/>
        <w:bottom w:val="none" w:sz="0" w:space="0" w:color="auto"/>
        <w:right w:val="none" w:sz="0" w:space="0" w:color="auto"/>
      </w:divBdr>
      <w:divsChild>
        <w:div w:id="1407873203">
          <w:marLeft w:val="0"/>
          <w:marRight w:val="0"/>
          <w:marTop w:val="0"/>
          <w:marBottom w:val="0"/>
          <w:divBdr>
            <w:top w:val="none" w:sz="0" w:space="0" w:color="auto"/>
            <w:left w:val="none" w:sz="0" w:space="0" w:color="auto"/>
            <w:bottom w:val="none" w:sz="0" w:space="0" w:color="auto"/>
            <w:right w:val="none" w:sz="0" w:space="0" w:color="auto"/>
          </w:divBdr>
        </w:div>
      </w:divsChild>
    </w:div>
    <w:div w:id="685519614">
      <w:bodyDiv w:val="1"/>
      <w:marLeft w:val="0"/>
      <w:marRight w:val="0"/>
      <w:marTop w:val="0"/>
      <w:marBottom w:val="0"/>
      <w:divBdr>
        <w:top w:val="none" w:sz="0" w:space="0" w:color="auto"/>
        <w:left w:val="none" w:sz="0" w:space="0" w:color="auto"/>
        <w:bottom w:val="none" w:sz="0" w:space="0" w:color="auto"/>
        <w:right w:val="none" w:sz="0" w:space="0" w:color="auto"/>
      </w:divBdr>
      <w:divsChild>
        <w:div w:id="1121025014">
          <w:marLeft w:val="0"/>
          <w:marRight w:val="0"/>
          <w:marTop w:val="0"/>
          <w:marBottom w:val="0"/>
          <w:divBdr>
            <w:top w:val="none" w:sz="0" w:space="0" w:color="auto"/>
            <w:left w:val="none" w:sz="0" w:space="0" w:color="auto"/>
            <w:bottom w:val="none" w:sz="0" w:space="0" w:color="auto"/>
            <w:right w:val="none" w:sz="0" w:space="0" w:color="auto"/>
          </w:divBdr>
        </w:div>
      </w:divsChild>
    </w:div>
    <w:div w:id="703671992">
      <w:bodyDiv w:val="1"/>
      <w:marLeft w:val="0"/>
      <w:marRight w:val="0"/>
      <w:marTop w:val="0"/>
      <w:marBottom w:val="0"/>
      <w:divBdr>
        <w:top w:val="none" w:sz="0" w:space="0" w:color="auto"/>
        <w:left w:val="none" w:sz="0" w:space="0" w:color="auto"/>
        <w:bottom w:val="none" w:sz="0" w:space="0" w:color="auto"/>
        <w:right w:val="none" w:sz="0" w:space="0" w:color="auto"/>
      </w:divBdr>
      <w:divsChild>
        <w:div w:id="1354263087">
          <w:marLeft w:val="0"/>
          <w:marRight w:val="0"/>
          <w:marTop w:val="0"/>
          <w:marBottom w:val="0"/>
          <w:divBdr>
            <w:top w:val="none" w:sz="0" w:space="0" w:color="auto"/>
            <w:left w:val="none" w:sz="0" w:space="0" w:color="auto"/>
            <w:bottom w:val="none" w:sz="0" w:space="0" w:color="auto"/>
            <w:right w:val="none" w:sz="0" w:space="0" w:color="auto"/>
          </w:divBdr>
        </w:div>
      </w:divsChild>
    </w:div>
    <w:div w:id="793058902">
      <w:bodyDiv w:val="1"/>
      <w:marLeft w:val="0"/>
      <w:marRight w:val="0"/>
      <w:marTop w:val="0"/>
      <w:marBottom w:val="0"/>
      <w:divBdr>
        <w:top w:val="none" w:sz="0" w:space="0" w:color="auto"/>
        <w:left w:val="none" w:sz="0" w:space="0" w:color="auto"/>
        <w:bottom w:val="none" w:sz="0" w:space="0" w:color="auto"/>
        <w:right w:val="none" w:sz="0" w:space="0" w:color="auto"/>
      </w:divBdr>
      <w:divsChild>
        <w:div w:id="1217929873">
          <w:marLeft w:val="0"/>
          <w:marRight w:val="0"/>
          <w:marTop w:val="0"/>
          <w:marBottom w:val="0"/>
          <w:divBdr>
            <w:top w:val="none" w:sz="0" w:space="0" w:color="auto"/>
            <w:left w:val="none" w:sz="0" w:space="0" w:color="auto"/>
            <w:bottom w:val="none" w:sz="0" w:space="0" w:color="auto"/>
            <w:right w:val="none" w:sz="0" w:space="0" w:color="auto"/>
          </w:divBdr>
        </w:div>
      </w:divsChild>
    </w:div>
    <w:div w:id="883903811">
      <w:bodyDiv w:val="1"/>
      <w:marLeft w:val="0"/>
      <w:marRight w:val="0"/>
      <w:marTop w:val="0"/>
      <w:marBottom w:val="0"/>
      <w:divBdr>
        <w:top w:val="none" w:sz="0" w:space="0" w:color="auto"/>
        <w:left w:val="none" w:sz="0" w:space="0" w:color="auto"/>
        <w:bottom w:val="none" w:sz="0" w:space="0" w:color="auto"/>
        <w:right w:val="none" w:sz="0" w:space="0" w:color="auto"/>
      </w:divBdr>
      <w:divsChild>
        <w:div w:id="820073753">
          <w:marLeft w:val="0"/>
          <w:marRight w:val="0"/>
          <w:marTop w:val="0"/>
          <w:marBottom w:val="0"/>
          <w:divBdr>
            <w:top w:val="none" w:sz="0" w:space="0" w:color="auto"/>
            <w:left w:val="none" w:sz="0" w:space="0" w:color="auto"/>
            <w:bottom w:val="none" w:sz="0" w:space="0" w:color="auto"/>
            <w:right w:val="none" w:sz="0" w:space="0" w:color="auto"/>
          </w:divBdr>
        </w:div>
      </w:divsChild>
    </w:div>
    <w:div w:id="906841262">
      <w:bodyDiv w:val="1"/>
      <w:marLeft w:val="0"/>
      <w:marRight w:val="0"/>
      <w:marTop w:val="0"/>
      <w:marBottom w:val="0"/>
      <w:divBdr>
        <w:top w:val="none" w:sz="0" w:space="0" w:color="auto"/>
        <w:left w:val="none" w:sz="0" w:space="0" w:color="auto"/>
        <w:bottom w:val="none" w:sz="0" w:space="0" w:color="auto"/>
        <w:right w:val="none" w:sz="0" w:space="0" w:color="auto"/>
      </w:divBdr>
      <w:divsChild>
        <w:div w:id="876940117">
          <w:marLeft w:val="0"/>
          <w:marRight w:val="0"/>
          <w:marTop w:val="0"/>
          <w:marBottom w:val="0"/>
          <w:divBdr>
            <w:top w:val="none" w:sz="0" w:space="0" w:color="auto"/>
            <w:left w:val="none" w:sz="0" w:space="0" w:color="auto"/>
            <w:bottom w:val="none" w:sz="0" w:space="0" w:color="auto"/>
            <w:right w:val="none" w:sz="0" w:space="0" w:color="auto"/>
          </w:divBdr>
        </w:div>
      </w:divsChild>
    </w:div>
    <w:div w:id="911892729">
      <w:bodyDiv w:val="1"/>
      <w:marLeft w:val="0"/>
      <w:marRight w:val="0"/>
      <w:marTop w:val="0"/>
      <w:marBottom w:val="0"/>
      <w:divBdr>
        <w:top w:val="none" w:sz="0" w:space="0" w:color="auto"/>
        <w:left w:val="none" w:sz="0" w:space="0" w:color="auto"/>
        <w:bottom w:val="none" w:sz="0" w:space="0" w:color="auto"/>
        <w:right w:val="none" w:sz="0" w:space="0" w:color="auto"/>
      </w:divBdr>
      <w:divsChild>
        <w:div w:id="712777171">
          <w:marLeft w:val="0"/>
          <w:marRight w:val="0"/>
          <w:marTop w:val="0"/>
          <w:marBottom w:val="0"/>
          <w:divBdr>
            <w:top w:val="none" w:sz="0" w:space="0" w:color="auto"/>
            <w:left w:val="none" w:sz="0" w:space="0" w:color="auto"/>
            <w:bottom w:val="none" w:sz="0" w:space="0" w:color="auto"/>
            <w:right w:val="none" w:sz="0" w:space="0" w:color="auto"/>
          </w:divBdr>
        </w:div>
      </w:divsChild>
    </w:div>
    <w:div w:id="917860929">
      <w:bodyDiv w:val="1"/>
      <w:marLeft w:val="0"/>
      <w:marRight w:val="0"/>
      <w:marTop w:val="0"/>
      <w:marBottom w:val="0"/>
      <w:divBdr>
        <w:top w:val="none" w:sz="0" w:space="0" w:color="auto"/>
        <w:left w:val="none" w:sz="0" w:space="0" w:color="auto"/>
        <w:bottom w:val="none" w:sz="0" w:space="0" w:color="auto"/>
        <w:right w:val="none" w:sz="0" w:space="0" w:color="auto"/>
      </w:divBdr>
      <w:divsChild>
        <w:div w:id="1783573341">
          <w:marLeft w:val="0"/>
          <w:marRight w:val="0"/>
          <w:marTop w:val="0"/>
          <w:marBottom w:val="0"/>
          <w:divBdr>
            <w:top w:val="none" w:sz="0" w:space="0" w:color="auto"/>
            <w:left w:val="none" w:sz="0" w:space="0" w:color="auto"/>
            <w:bottom w:val="none" w:sz="0" w:space="0" w:color="auto"/>
            <w:right w:val="none" w:sz="0" w:space="0" w:color="auto"/>
          </w:divBdr>
        </w:div>
      </w:divsChild>
    </w:div>
    <w:div w:id="921908965">
      <w:bodyDiv w:val="1"/>
      <w:marLeft w:val="0"/>
      <w:marRight w:val="0"/>
      <w:marTop w:val="0"/>
      <w:marBottom w:val="0"/>
      <w:divBdr>
        <w:top w:val="none" w:sz="0" w:space="0" w:color="auto"/>
        <w:left w:val="none" w:sz="0" w:space="0" w:color="auto"/>
        <w:bottom w:val="none" w:sz="0" w:space="0" w:color="auto"/>
        <w:right w:val="none" w:sz="0" w:space="0" w:color="auto"/>
      </w:divBdr>
      <w:divsChild>
        <w:div w:id="1975716209">
          <w:marLeft w:val="0"/>
          <w:marRight w:val="0"/>
          <w:marTop w:val="0"/>
          <w:marBottom w:val="0"/>
          <w:divBdr>
            <w:top w:val="none" w:sz="0" w:space="0" w:color="auto"/>
            <w:left w:val="none" w:sz="0" w:space="0" w:color="auto"/>
            <w:bottom w:val="none" w:sz="0" w:space="0" w:color="auto"/>
            <w:right w:val="none" w:sz="0" w:space="0" w:color="auto"/>
          </w:divBdr>
        </w:div>
      </w:divsChild>
    </w:div>
    <w:div w:id="935526404">
      <w:bodyDiv w:val="1"/>
      <w:marLeft w:val="0"/>
      <w:marRight w:val="0"/>
      <w:marTop w:val="0"/>
      <w:marBottom w:val="0"/>
      <w:divBdr>
        <w:top w:val="none" w:sz="0" w:space="0" w:color="auto"/>
        <w:left w:val="none" w:sz="0" w:space="0" w:color="auto"/>
        <w:bottom w:val="none" w:sz="0" w:space="0" w:color="auto"/>
        <w:right w:val="none" w:sz="0" w:space="0" w:color="auto"/>
      </w:divBdr>
      <w:divsChild>
        <w:div w:id="746346910">
          <w:marLeft w:val="0"/>
          <w:marRight w:val="0"/>
          <w:marTop w:val="0"/>
          <w:marBottom w:val="0"/>
          <w:divBdr>
            <w:top w:val="none" w:sz="0" w:space="0" w:color="auto"/>
            <w:left w:val="none" w:sz="0" w:space="0" w:color="auto"/>
            <w:bottom w:val="none" w:sz="0" w:space="0" w:color="auto"/>
            <w:right w:val="none" w:sz="0" w:space="0" w:color="auto"/>
          </w:divBdr>
        </w:div>
      </w:divsChild>
    </w:div>
    <w:div w:id="936134726">
      <w:bodyDiv w:val="1"/>
      <w:marLeft w:val="0"/>
      <w:marRight w:val="0"/>
      <w:marTop w:val="0"/>
      <w:marBottom w:val="0"/>
      <w:divBdr>
        <w:top w:val="none" w:sz="0" w:space="0" w:color="auto"/>
        <w:left w:val="none" w:sz="0" w:space="0" w:color="auto"/>
        <w:bottom w:val="none" w:sz="0" w:space="0" w:color="auto"/>
        <w:right w:val="none" w:sz="0" w:space="0" w:color="auto"/>
      </w:divBdr>
      <w:divsChild>
        <w:div w:id="1869559833">
          <w:marLeft w:val="0"/>
          <w:marRight w:val="0"/>
          <w:marTop w:val="0"/>
          <w:marBottom w:val="0"/>
          <w:divBdr>
            <w:top w:val="none" w:sz="0" w:space="0" w:color="auto"/>
            <w:left w:val="none" w:sz="0" w:space="0" w:color="auto"/>
            <w:bottom w:val="none" w:sz="0" w:space="0" w:color="auto"/>
            <w:right w:val="none" w:sz="0" w:space="0" w:color="auto"/>
          </w:divBdr>
        </w:div>
      </w:divsChild>
    </w:div>
    <w:div w:id="954869147">
      <w:bodyDiv w:val="1"/>
      <w:marLeft w:val="0"/>
      <w:marRight w:val="0"/>
      <w:marTop w:val="0"/>
      <w:marBottom w:val="0"/>
      <w:divBdr>
        <w:top w:val="none" w:sz="0" w:space="0" w:color="auto"/>
        <w:left w:val="none" w:sz="0" w:space="0" w:color="auto"/>
        <w:bottom w:val="none" w:sz="0" w:space="0" w:color="auto"/>
        <w:right w:val="none" w:sz="0" w:space="0" w:color="auto"/>
      </w:divBdr>
      <w:divsChild>
        <w:div w:id="884484701">
          <w:marLeft w:val="0"/>
          <w:marRight w:val="0"/>
          <w:marTop w:val="0"/>
          <w:marBottom w:val="0"/>
          <w:divBdr>
            <w:top w:val="none" w:sz="0" w:space="0" w:color="auto"/>
            <w:left w:val="none" w:sz="0" w:space="0" w:color="auto"/>
            <w:bottom w:val="none" w:sz="0" w:space="0" w:color="auto"/>
            <w:right w:val="none" w:sz="0" w:space="0" w:color="auto"/>
          </w:divBdr>
        </w:div>
      </w:divsChild>
    </w:div>
    <w:div w:id="1006977413">
      <w:bodyDiv w:val="1"/>
      <w:marLeft w:val="0"/>
      <w:marRight w:val="0"/>
      <w:marTop w:val="0"/>
      <w:marBottom w:val="0"/>
      <w:divBdr>
        <w:top w:val="none" w:sz="0" w:space="0" w:color="auto"/>
        <w:left w:val="none" w:sz="0" w:space="0" w:color="auto"/>
        <w:bottom w:val="none" w:sz="0" w:space="0" w:color="auto"/>
        <w:right w:val="none" w:sz="0" w:space="0" w:color="auto"/>
      </w:divBdr>
      <w:divsChild>
        <w:div w:id="156922342">
          <w:marLeft w:val="0"/>
          <w:marRight w:val="0"/>
          <w:marTop w:val="0"/>
          <w:marBottom w:val="0"/>
          <w:divBdr>
            <w:top w:val="none" w:sz="0" w:space="0" w:color="auto"/>
            <w:left w:val="none" w:sz="0" w:space="0" w:color="auto"/>
            <w:bottom w:val="none" w:sz="0" w:space="0" w:color="auto"/>
            <w:right w:val="none" w:sz="0" w:space="0" w:color="auto"/>
          </w:divBdr>
        </w:div>
      </w:divsChild>
    </w:div>
    <w:div w:id="1059282655">
      <w:bodyDiv w:val="1"/>
      <w:marLeft w:val="0"/>
      <w:marRight w:val="0"/>
      <w:marTop w:val="0"/>
      <w:marBottom w:val="0"/>
      <w:divBdr>
        <w:top w:val="none" w:sz="0" w:space="0" w:color="auto"/>
        <w:left w:val="none" w:sz="0" w:space="0" w:color="auto"/>
        <w:bottom w:val="none" w:sz="0" w:space="0" w:color="auto"/>
        <w:right w:val="none" w:sz="0" w:space="0" w:color="auto"/>
      </w:divBdr>
      <w:divsChild>
        <w:div w:id="2095466743">
          <w:marLeft w:val="0"/>
          <w:marRight w:val="0"/>
          <w:marTop w:val="0"/>
          <w:marBottom w:val="0"/>
          <w:divBdr>
            <w:top w:val="none" w:sz="0" w:space="0" w:color="auto"/>
            <w:left w:val="none" w:sz="0" w:space="0" w:color="auto"/>
            <w:bottom w:val="none" w:sz="0" w:space="0" w:color="auto"/>
            <w:right w:val="none" w:sz="0" w:space="0" w:color="auto"/>
          </w:divBdr>
        </w:div>
      </w:divsChild>
    </w:div>
    <w:div w:id="1109545725">
      <w:bodyDiv w:val="1"/>
      <w:marLeft w:val="0"/>
      <w:marRight w:val="0"/>
      <w:marTop w:val="0"/>
      <w:marBottom w:val="0"/>
      <w:divBdr>
        <w:top w:val="none" w:sz="0" w:space="0" w:color="auto"/>
        <w:left w:val="none" w:sz="0" w:space="0" w:color="auto"/>
        <w:bottom w:val="none" w:sz="0" w:space="0" w:color="auto"/>
        <w:right w:val="none" w:sz="0" w:space="0" w:color="auto"/>
      </w:divBdr>
      <w:divsChild>
        <w:div w:id="742918500">
          <w:marLeft w:val="0"/>
          <w:marRight w:val="0"/>
          <w:marTop w:val="0"/>
          <w:marBottom w:val="0"/>
          <w:divBdr>
            <w:top w:val="none" w:sz="0" w:space="0" w:color="auto"/>
            <w:left w:val="none" w:sz="0" w:space="0" w:color="auto"/>
            <w:bottom w:val="none" w:sz="0" w:space="0" w:color="auto"/>
            <w:right w:val="none" w:sz="0" w:space="0" w:color="auto"/>
          </w:divBdr>
        </w:div>
      </w:divsChild>
    </w:div>
    <w:div w:id="1116368808">
      <w:bodyDiv w:val="1"/>
      <w:marLeft w:val="0"/>
      <w:marRight w:val="0"/>
      <w:marTop w:val="0"/>
      <w:marBottom w:val="0"/>
      <w:divBdr>
        <w:top w:val="none" w:sz="0" w:space="0" w:color="auto"/>
        <w:left w:val="none" w:sz="0" w:space="0" w:color="auto"/>
        <w:bottom w:val="none" w:sz="0" w:space="0" w:color="auto"/>
        <w:right w:val="none" w:sz="0" w:space="0" w:color="auto"/>
      </w:divBdr>
      <w:divsChild>
        <w:div w:id="1454519288">
          <w:marLeft w:val="0"/>
          <w:marRight w:val="0"/>
          <w:marTop w:val="0"/>
          <w:marBottom w:val="0"/>
          <w:divBdr>
            <w:top w:val="none" w:sz="0" w:space="0" w:color="auto"/>
            <w:left w:val="none" w:sz="0" w:space="0" w:color="auto"/>
            <w:bottom w:val="none" w:sz="0" w:space="0" w:color="auto"/>
            <w:right w:val="none" w:sz="0" w:space="0" w:color="auto"/>
          </w:divBdr>
        </w:div>
      </w:divsChild>
    </w:div>
    <w:div w:id="1131553362">
      <w:bodyDiv w:val="1"/>
      <w:marLeft w:val="0"/>
      <w:marRight w:val="0"/>
      <w:marTop w:val="0"/>
      <w:marBottom w:val="0"/>
      <w:divBdr>
        <w:top w:val="none" w:sz="0" w:space="0" w:color="auto"/>
        <w:left w:val="none" w:sz="0" w:space="0" w:color="auto"/>
        <w:bottom w:val="none" w:sz="0" w:space="0" w:color="auto"/>
        <w:right w:val="none" w:sz="0" w:space="0" w:color="auto"/>
      </w:divBdr>
      <w:divsChild>
        <w:div w:id="1886136371">
          <w:marLeft w:val="0"/>
          <w:marRight w:val="0"/>
          <w:marTop w:val="0"/>
          <w:marBottom w:val="0"/>
          <w:divBdr>
            <w:top w:val="none" w:sz="0" w:space="0" w:color="auto"/>
            <w:left w:val="none" w:sz="0" w:space="0" w:color="auto"/>
            <w:bottom w:val="none" w:sz="0" w:space="0" w:color="auto"/>
            <w:right w:val="none" w:sz="0" w:space="0" w:color="auto"/>
          </w:divBdr>
        </w:div>
      </w:divsChild>
    </w:div>
    <w:div w:id="1142961095">
      <w:bodyDiv w:val="1"/>
      <w:marLeft w:val="0"/>
      <w:marRight w:val="0"/>
      <w:marTop w:val="0"/>
      <w:marBottom w:val="0"/>
      <w:divBdr>
        <w:top w:val="none" w:sz="0" w:space="0" w:color="auto"/>
        <w:left w:val="none" w:sz="0" w:space="0" w:color="auto"/>
        <w:bottom w:val="none" w:sz="0" w:space="0" w:color="auto"/>
        <w:right w:val="none" w:sz="0" w:space="0" w:color="auto"/>
      </w:divBdr>
      <w:divsChild>
        <w:div w:id="1909269001">
          <w:marLeft w:val="0"/>
          <w:marRight w:val="0"/>
          <w:marTop w:val="0"/>
          <w:marBottom w:val="0"/>
          <w:divBdr>
            <w:top w:val="none" w:sz="0" w:space="0" w:color="auto"/>
            <w:left w:val="none" w:sz="0" w:space="0" w:color="auto"/>
            <w:bottom w:val="none" w:sz="0" w:space="0" w:color="auto"/>
            <w:right w:val="none" w:sz="0" w:space="0" w:color="auto"/>
          </w:divBdr>
        </w:div>
      </w:divsChild>
    </w:div>
    <w:div w:id="1147668563">
      <w:bodyDiv w:val="1"/>
      <w:marLeft w:val="0"/>
      <w:marRight w:val="0"/>
      <w:marTop w:val="0"/>
      <w:marBottom w:val="0"/>
      <w:divBdr>
        <w:top w:val="none" w:sz="0" w:space="0" w:color="auto"/>
        <w:left w:val="none" w:sz="0" w:space="0" w:color="auto"/>
        <w:bottom w:val="none" w:sz="0" w:space="0" w:color="auto"/>
        <w:right w:val="none" w:sz="0" w:space="0" w:color="auto"/>
      </w:divBdr>
      <w:divsChild>
        <w:div w:id="194082549">
          <w:marLeft w:val="0"/>
          <w:marRight w:val="0"/>
          <w:marTop w:val="0"/>
          <w:marBottom w:val="0"/>
          <w:divBdr>
            <w:top w:val="none" w:sz="0" w:space="0" w:color="auto"/>
            <w:left w:val="none" w:sz="0" w:space="0" w:color="auto"/>
            <w:bottom w:val="none" w:sz="0" w:space="0" w:color="auto"/>
            <w:right w:val="none" w:sz="0" w:space="0" w:color="auto"/>
          </w:divBdr>
        </w:div>
      </w:divsChild>
    </w:div>
    <w:div w:id="1153374746">
      <w:bodyDiv w:val="1"/>
      <w:marLeft w:val="0"/>
      <w:marRight w:val="0"/>
      <w:marTop w:val="0"/>
      <w:marBottom w:val="0"/>
      <w:divBdr>
        <w:top w:val="none" w:sz="0" w:space="0" w:color="auto"/>
        <w:left w:val="none" w:sz="0" w:space="0" w:color="auto"/>
        <w:bottom w:val="none" w:sz="0" w:space="0" w:color="auto"/>
        <w:right w:val="none" w:sz="0" w:space="0" w:color="auto"/>
      </w:divBdr>
      <w:divsChild>
        <w:div w:id="1168517108">
          <w:marLeft w:val="0"/>
          <w:marRight w:val="0"/>
          <w:marTop w:val="0"/>
          <w:marBottom w:val="0"/>
          <w:divBdr>
            <w:top w:val="none" w:sz="0" w:space="0" w:color="auto"/>
            <w:left w:val="none" w:sz="0" w:space="0" w:color="auto"/>
            <w:bottom w:val="none" w:sz="0" w:space="0" w:color="auto"/>
            <w:right w:val="none" w:sz="0" w:space="0" w:color="auto"/>
          </w:divBdr>
        </w:div>
      </w:divsChild>
    </w:div>
    <w:div w:id="1168709368">
      <w:bodyDiv w:val="1"/>
      <w:marLeft w:val="0"/>
      <w:marRight w:val="0"/>
      <w:marTop w:val="0"/>
      <w:marBottom w:val="0"/>
      <w:divBdr>
        <w:top w:val="none" w:sz="0" w:space="0" w:color="auto"/>
        <w:left w:val="none" w:sz="0" w:space="0" w:color="auto"/>
        <w:bottom w:val="none" w:sz="0" w:space="0" w:color="auto"/>
        <w:right w:val="none" w:sz="0" w:space="0" w:color="auto"/>
      </w:divBdr>
      <w:divsChild>
        <w:div w:id="1612857163">
          <w:marLeft w:val="0"/>
          <w:marRight w:val="0"/>
          <w:marTop w:val="0"/>
          <w:marBottom w:val="0"/>
          <w:divBdr>
            <w:top w:val="none" w:sz="0" w:space="0" w:color="auto"/>
            <w:left w:val="none" w:sz="0" w:space="0" w:color="auto"/>
            <w:bottom w:val="none" w:sz="0" w:space="0" w:color="auto"/>
            <w:right w:val="none" w:sz="0" w:space="0" w:color="auto"/>
          </w:divBdr>
        </w:div>
      </w:divsChild>
    </w:div>
    <w:div w:id="1172453030">
      <w:bodyDiv w:val="1"/>
      <w:marLeft w:val="0"/>
      <w:marRight w:val="0"/>
      <w:marTop w:val="0"/>
      <w:marBottom w:val="0"/>
      <w:divBdr>
        <w:top w:val="none" w:sz="0" w:space="0" w:color="auto"/>
        <w:left w:val="none" w:sz="0" w:space="0" w:color="auto"/>
        <w:bottom w:val="none" w:sz="0" w:space="0" w:color="auto"/>
        <w:right w:val="none" w:sz="0" w:space="0" w:color="auto"/>
      </w:divBdr>
      <w:divsChild>
        <w:div w:id="1248617587">
          <w:marLeft w:val="0"/>
          <w:marRight w:val="0"/>
          <w:marTop w:val="0"/>
          <w:marBottom w:val="0"/>
          <w:divBdr>
            <w:top w:val="none" w:sz="0" w:space="0" w:color="auto"/>
            <w:left w:val="none" w:sz="0" w:space="0" w:color="auto"/>
            <w:bottom w:val="none" w:sz="0" w:space="0" w:color="auto"/>
            <w:right w:val="none" w:sz="0" w:space="0" w:color="auto"/>
          </w:divBdr>
        </w:div>
      </w:divsChild>
    </w:div>
    <w:div w:id="1178228492">
      <w:bodyDiv w:val="1"/>
      <w:marLeft w:val="0"/>
      <w:marRight w:val="0"/>
      <w:marTop w:val="0"/>
      <w:marBottom w:val="0"/>
      <w:divBdr>
        <w:top w:val="none" w:sz="0" w:space="0" w:color="auto"/>
        <w:left w:val="none" w:sz="0" w:space="0" w:color="auto"/>
        <w:bottom w:val="none" w:sz="0" w:space="0" w:color="auto"/>
        <w:right w:val="none" w:sz="0" w:space="0" w:color="auto"/>
      </w:divBdr>
      <w:divsChild>
        <w:div w:id="971209245">
          <w:marLeft w:val="0"/>
          <w:marRight w:val="0"/>
          <w:marTop w:val="0"/>
          <w:marBottom w:val="0"/>
          <w:divBdr>
            <w:top w:val="none" w:sz="0" w:space="0" w:color="auto"/>
            <w:left w:val="none" w:sz="0" w:space="0" w:color="auto"/>
            <w:bottom w:val="none" w:sz="0" w:space="0" w:color="auto"/>
            <w:right w:val="none" w:sz="0" w:space="0" w:color="auto"/>
          </w:divBdr>
        </w:div>
      </w:divsChild>
    </w:div>
    <w:div w:id="1184128446">
      <w:bodyDiv w:val="1"/>
      <w:marLeft w:val="0"/>
      <w:marRight w:val="0"/>
      <w:marTop w:val="0"/>
      <w:marBottom w:val="0"/>
      <w:divBdr>
        <w:top w:val="none" w:sz="0" w:space="0" w:color="auto"/>
        <w:left w:val="none" w:sz="0" w:space="0" w:color="auto"/>
        <w:bottom w:val="none" w:sz="0" w:space="0" w:color="auto"/>
        <w:right w:val="none" w:sz="0" w:space="0" w:color="auto"/>
      </w:divBdr>
      <w:divsChild>
        <w:div w:id="197740330">
          <w:marLeft w:val="0"/>
          <w:marRight w:val="0"/>
          <w:marTop w:val="0"/>
          <w:marBottom w:val="0"/>
          <w:divBdr>
            <w:top w:val="none" w:sz="0" w:space="0" w:color="auto"/>
            <w:left w:val="none" w:sz="0" w:space="0" w:color="auto"/>
            <w:bottom w:val="none" w:sz="0" w:space="0" w:color="auto"/>
            <w:right w:val="none" w:sz="0" w:space="0" w:color="auto"/>
          </w:divBdr>
        </w:div>
      </w:divsChild>
    </w:div>
    <w:div w:id="1212037550">
      <w:bodyDiv w:val="1"/>
      <w:marLeft w:val="0"/>
      <w:marRight w:val="0"/>
      <w:marTop w:val="0"/>
      <w:marBottom w:val="0"/>
      <w:divBdr>
        <w:top w:val="none" w:sz="0" w:space="0" w:color="auto"/>
        <w:left w:val="none" w:sz="0" w:space="0" w:color="auto"/>
        <w:bottom w:val="none" w:sz="0" w:space="0" w:color="auto"/>
        <w:right w:val="none" w:sz="0" w:space="0" w:color="auto"/>
      </w:divBdr>
      <w:divsChild>
        <w:div w:id="1381127960">
          <w:marLeft w:val="0"/>
          <w:marRight w:val="0"/>
          <w:marTop w:val="0"/>
          <w:marBottom w:val="0"/>
          <w:divBdr>
            <w:top w:val="none" w:sz="0" w:space="0" w:color="auto"/>
            <w:left w:val="none" w:sz="0" w:space="0" w:color="auto"/>
            <w:bottom w:val="none" w:sz="0" w:space="0" w:color="auto"/>
            <w:right w:val="none" w:sz="0" w:space="0" w:color="auto"/>
          </w:divBdr>
        </w:div>
      </w:divsChild>
    </w:div>
    <w:div w:id="1216890737">
      <w:bodyDiv w:val="1"/>
      <w:marLeft w:val="0"/>
      <w:marRight w:val="0"/>
      <w:marTop w:val="0"/>
      <w:marBottom w:val="0"/>
      <w:divBdr>
        <w:top w:val="none" w:sz="0" w:space="0" w:color="auto"/>
        <w:left w:val="none" w:sz="0" w:space="0" w:color="auto"/>
        <w:bottom w:val="none" w:sz="0" w:space="0" w:color="auto"/>
        <w:right w:val="none" w:sz="0" w:space="0" w:color="auto"/>
      </w:divBdr>
      <w:divsChild>
        <w:div w:id="960723441">
          <w:marLeft w:val="0"/>
          <w:marRight w:val="0"/>
          <w:marTop w:val="0"/>
          <w:marBottom w:val="0"/>
          <w:divBdr>
            <w:top w:val="none" w:sz="0" w:space="0" w:color="auto"/>
            <w:left w:val="none" w:sz="0" w:space="0" w:color="auto"/>
            <w:bottom w:val="none" w:sz="0" w:space="0" w:color="auto"/>
            <w:right w:val="none" w:sz="0" w:space="0" w:color="auto"/>
          </w:divBdr>
        </w:div>
      </w:divsChild>
    </w:div>
    <w:div w:id="1225795063">
      <w:bodyDiv w:val="1"/>
      <w:marLeft w:val="0"/>
      <w:marRight w:val="0"/>
      <w:marTop w:val="0"/>
      <w:marBottom w:val="0"/>
      <w:divBdr>
        <w:top w:val="none" w:sz="0" w:space="0" w:color="auto"/>
        <w:left w:val="none" w:sz="0" w:space="0" w:color="auto"/>
        <w:bottom w:val="none" w:sz="0" w:space="0" w:color="auto"/>
        <w:right w:val="none" w:sz="0" w:space="0" w:color="auto"/>
      </w:divBdr>
      <w:divsChild>
        <w:div w:id="1324510201">
          <w:marLeft w:val="0"/>
          <w:marRight w:val="0"/>
          <w:marTop w:val="0"/>
          <w:marBottom w:val="0"/>
          <w:divBdr>
            <w:top w:val="none" w:sz="0" w:space="0" w:color="auto"/>
            <w:left w:val="none" w:sz="0" w:space="0" w:color="auto"/>
            <w:bottom w:val="none" w:sz="0" w:space="0" w:color="auto"/>
            <w:right w:val="none" w:sz="0" w:space="0" w:color="auto"/>
          </w:divBdr>
        </w:div>
      </w:divsChild>
    </w:div>
    <w:div w:id="1245189430">
      <w:bodyDiv w:val="1"/>
      <w:marLeft w:val="0"/>
      <w:marRight w:val="0"/>
      <w:marTop w:val="0"/>
      <w:marBottom w:val="0"/>
      <w:divBdr>
        <w:top w:val="none" w:sz="0" w:space="0" w:color="auto"/>
        <w:left w:val="none" w:sz="0" w:space="0" w:color="auto"/>
        <w:bottom w:val="none" w:sz="0" w:space="0" w:color="auto"/>
        <w:right w:val="none" w:sz="0" w:space="0" w:color="auto"/>
      </w:divBdr>
      <w:divsChild>
        <w:div w:id="746536169">
          <w:marLeft w:val="0"/>
          <w:marRight w:val="0"/>
          <w:marTop w:val="0"/>
          <w:marBottom w:val="0"/>
          <w:divBdr>
            <w:top w:val="none" w:sz="0" w:space="0" w:color="auto"/>
            <w:left w:val="none" w:sz="0" w:space="0" w:color="auto"/>
            <w:bottom w:val="none" w:sz="0" w:space="0" w:color="auto"/>
            <w:right w:val="none" w:sz="0" w:space="0" w:color="auto"/>
          </w:divBdr>
        </w:div>
      </w:divsChild>
    </w:div>
    <w:div w:id="1270891642">
      <w:bodyDiv w:val="1"/>
      <w:marLeft w:val="0"/>
      <w:marRight w:val="0"/>
      <w:marTop w:val="0"/>
      <w:marBottom w:val="0"/>
      <w:divBdr>
        <w:top w:val="none" w:sz="0" w:space="0" w:color="auto"/>
        <w:left w:val="none" w:sz="0" w:space="0" w:color="auto"/>
        <w:bottom w:val="none" w:sz="0" w:space="0" w:color="auto"/>
        <w:right w:val="none" w:sz="0" w:space="0" w:color="auto"/>
      </w:divBdr>
      <w:divsChild>
        <w:div w:id="1289554670">
          <w:marLeft w:val="0"/>
          <w:marRight w:val="0"/>
          <w:marTop w:val="0"/>
          <w:marBottom w:val="0"/>
          <w:divBdr>
            <w:top w:val="none" w:sz="0" w:space="0" w:color="auto"/>
            <w:left w:val="none" w:sz="0" w:space="0" w:color="auto"/>
            <w:bottom w:val="none" w:sz="0" w:space="0" w:color="auto"/>
            <w:right w:val="none" w:sz="0" w:space="0" w:color="auto"/>
          </w:divBdr>
        </w:div>
      </w:divsChild>
    </w:div>
    <w:div w:id="1290815470">
      <w:bodyDiv w:val="1"/>
      <w:marLeft w:val="0"/>
      <w:marRight w:val="0"/>
      <w:marTop w:val="0"/>
      <w:marBottom w:val="0"/>
      <w:divBdr>
        <w:top w:val="none" w:sz="0" w:space="0" w:color="auto"/>
        <w:left w:val="none" w:sz="0" w:space="0" w:color="auto"/>
        <w:bottom w:val="none" w:sz="0" w:space="0" w:color="auto"/>
        <w:right w:val="none" w:sz="0" w:space="0" w:color="auto"/>
      </w:divBdr>
      <w:divsChild>
        <w:div w:id="2089767663">
          <w:marLeft w:val="0"/>
          <w:marRight w:val="0"/>
          <w:marTop w:val="0"/>
          <w:marBottom w:val="0"/>
          <w:divBdr>
            <w:top w:val="none" w:sz="0" w:space="0" w:color="auto"/>
            <w:left w:val="none" w:sz="0" w:space="0" w:color="auto"/>
            <w:bottom w:val="none" w:sz="0" w:space="0" w:color="auto"/>
            <w:right w:val="none" w:sz="0" w:space="0" w:color="auto"/>
          </w:divBdr>
        </w:div>
      </w:divsChild>
    </w:div>
    <w:div w:id="1307659208">
      <w:bodyDiv w:val="1"/>
      <w:marLeft w:val="0"/>
      <w:marRight w:val="0"/>
      <w:marTop w:val="0"/>
      <w:marBottom w:val="0"/>
      <w:divBdr>
        <w:top w:val="none" w:sz="0" w:space="0" w:color="auto"/>
        <w:left w:val="none" w:sz="0" w:space="0" w:color="auto"/>
        <w:bottom w:val="none" w:sz="0" w:space="0" w:color="auto"/>
        <w:right w:val="none" w:sz="0" w:space="0" w:color="auto"/>
      </w:divBdr>
      <w:divsChild>
        <w:div w:id="421804131">
          <w:marLeft w:val="0"/>
          <w:marRight w:val="0"/>
          <w:marTop w:val="0"/>
          <w:marBottom w:val="0"/>
          <w:divBdr>
            <w:top w:val="none" w:sz="0" w:space="0" w:color="auto"/>
            <w:left w:val="none" w:sz="0" w:space="0" w:color="auto"/>
            <w:bottom w:val="none" w:sz="0" w:space="0" w:color="auto"/>
            <w:right w:val="none" w:sz="0" w:space="0" w:color="auto"/>
          </w:divBdr>
        </w:div>
      </w:divsChild>
    </w:div>
    <w:div w:id="1310090997">
      <w:bodyDiv w:val="1"/>
      <w:marLeft w:val="0"/>
      <w:marRight w:val="0"/>
      <w:marTop w:val="0"/>
      <w:marBottom w:val="0"/>
      <w:divBdr>
        <w:top w:val="none" w:sz="0" w:space="0" w:color="auto"/>
        <w:left w:val="none" w:sz="0" w:space="0" w:color="auto"/>
        <w:bottom w:val="none" w:sz="0" w:space="0" w:color="auto"/>
        <w:right w:val="none" w:sz="0" w:space="0" w:color="auto"/>
      </w:divBdr>
      <w:divsChild>
        <w:div w:id="104468299">
          <w:marLeft w:val="0"/>
          <w:marRight w:val="0"/>
          <w:marTop w:val="0"/>
          <w:marBottom w:val="0"/>
          <w:divBdr>
            <w:top w:val="none" w:sz="0" w:space="0" w:color="auto"/>
            <w:left w:val="none" w:sz="0" w:space="0" w:color="auto"/>
            <w:bottom w:val="none" w:sz="0" w:space="0" w:color="auto"/>
            <w:right w:val="none" w:sz="0" w:space="0" w:color="auto"/>
          </w:divBdr>
        </w:div>
      </w:divsChild>
    </w:div>
    <w:div w:id="1339385098">
      <w:bodyDiv w:val="1"/>
      <w:marLeft w:val="0"/>
      <w:marRight w:val="0"/>
      <w:marTop w:val="0"/>
      <w:marBottom w:val="0"/>
      <w:divBdr>
        <w:top w:val="none" w:sz="0" w:space="0" w:color="auto"/>
        <w:left w:val="none" w:sz="0" w:space="0" w:color="auto"/>
        <w:bottom w:val="none" w:sz="0" w:space="0" w:color="auto"/>
        <w:right w:val="none" w:sz="0" w:space="0" w:color="auto"/>
      </w:divBdr>
      <w:divsChild>
        <w:div w:id="1854294487">
          <w:marLeft w:val="0"/>
          <w:marRight w:val="0"/>
          <w:marTop w:val="0"/>
          <w:marBottom w:val="0"/>
          <w:divBdr>
            <w:top w:val="none" w:sz="0" w:space="0" w:color="auto"/>
            <w:left w:val="none" w:sz="0" w:space="0" w:color="auto"/>
            <w:bottom w:val="none" w:sz="0" w:space="0" w:color="auto"/>
            <w:right w:val="none" w:sz="0" w:space="0" w:color="auto"/>
          </w:divBdr>
        </w:div>
      </w:divsChild>
    </w:div>
    <w:div w:id="1372417201">
      <w:bodyDiv w:val="1"/>
      <w:marLeft w:val="0"/>
      <w:marRight w:val="0"/>
      <w:marTop w:val="0"/>
      <w:marBottom w:val="0"/>
      <w:divBdr>
        <w:top w:val="none" w:sz="0" w:space="0" w:color="auto"/>
        <w:left w:val="none" w:sz="0" w:space="0" w:color="auto"/>
        <w:bottom w:val="none" w:sz="0" w:space="0" w:color="auto"/>
        <w:right w:val="none" w:sz="0" w:space="0" w:color="auto"/>
      </w:divBdr>
      <w:divsChild>
        <w:div w:id="266079298">
          <w:marLeft w:val="0"/>
          <w:marRight w:val="0"/>
          <w:marTop w:val="0"/>
          <w:marBottom w:val="0"/>
          <w:divBdr>
            <w:top w:val="none" w:sz="0" w:space="0" w:color="auto"/>
            <w:left w:val="none" w:sz="0" w:space="0" w:color="auto"/>
            <w:bottom w:val="none" w:sz="0" w:space="0" w:color="auto"/>
            <w:right w:val="none" w:sz="0" w:space="0" w:color="auto"/>
          </w:divBdr>
        </w:div>
      </w:divsChild>
    </w:div>
    <w:div w:id="1398087626">
      <w:bodyDiv w:val="1"/>
      <w:marLeft w:val="0"/>
      <w:marRight w:val="0"/>
      <w:marTop w:val="0"/>
      <w:marBottom w:val="0"/>
      <w:divBdr>
        <w:top w:val="none" w:sz="0" w:space="0" w:color="auto"/>
        <w:left w:val="none" w:sz="0" w:space="0" w:color="auto"/>
        <w:bottom w:val="none" w:sz="0" w:space="0" w:color="auto"/>
        <w:right w:val="none" w:sz="0" w:space="0" w:color="auto"/>
      </w:divBdr>
      <w:divsChild>
        <w:div w:id="1063022188">
          <w:marLeft w:val="0"/>
          <w:marRight w:val="0"/>
          <w:marTop w:val="0"/>
          <w:marBottom w:val="0"/>
          <w:divBdr>
            <w:top w:val="none" w:sz="0" w:space="0" w:color="auto"/>
            <w:left w:val="none" w:sz="0" w:space="0" w:color="auto"/>
            <w:bottom w:val="none" w:sz="0" w:space="0" w:color="auto"/>
            <w:right w:val="none" w:sz="0" w:space="0" w:color="auto"/>
          </w:divBdr>
        </w:div>
      </w:divsChild>
    </w:div>
    <w:div w:id="1399398060">
      <w:bodyDiv w:val="1"/>
      <w:marLeft w:val="0"/>
      <w:marRight w:val="0"/>
      <w:marTop w:val="0"/>
      <w:marBottom w:val="0"/>
      <w:divBdr>
        <w:top w:val="none" w:sz="0" w:space="0" w:color="auto"/>
        <w:left w:val="none" w:sz="0" w:space="0" w:color="auto"/>
        <w:bottom w:val="none" w:sz="0" w:space="0" w:color="auto"/>
        <w:right w:val="none" w:sz="0" w:space="0" w:color="auto"/>
      </w:divBdr>
      <w:divsChild>
        <w:div w:id="1678461929">
          <w:marLeft w:val="0"/>
          <w:marRight w:val="0"/>
          <w:marTop w:val="0"/>
          <w:marBottom w:val="0"/>
          <w:divBdr>
            <w:top w:val="none" w:sz="0" w:space="0" w:color="auto"/>
            <w:left w:val="none" w:sz="0" w:space="0" w:color="auto"/>
            <w:bottom w:val="none" w:sz="0" w:space="0" w:color="auto"/>
            <w:right w:val="none" w:sz="0" w:space="0" w:color="auto"/>
          </w:divBdr>
        </w:div>
      </w:divsChild>
    </w:div>
    <w:div w:id="1408382756">
      <w:bodyDiv w:val="1"/>
      <w:marLeft w:val="0"/>
      <w:marRight w:val="0"/>
      <w:marTop w:val="0"/>
      <w:marBottom w:val="0"/>
      <w:divBdr>
        <w:top w:val="none" w:sz="0" w:space="0" w:color="auto"/>
        <w:left w:val="none" w:sz="0" w:space="0" w:color="auto"/>
        <w:bottom w:val="none" w:sz="0" w:space="0" w:color="auto"/>
        <w:right w:val="none" w:sz="0" w:space="0" w:color="auto"/>
      </w:divBdr>
      <w:divsChild>
        <w:div w:id="811941594">
          <w:marLeft w:val="0"/>
          <w:marRight w:val="0"/>
          <w:marTop w:val="0"/>
          <w:marBottom w:val="0"/>
          <w:divBdr>
            <w:top w:val="none" w:sz="0" w:space="0" w:color="auto"/>
            <w:left w:val="none" w:sz="0" w:space="0" w:color="auto"/>
            <w:bottom w:val="none" w:sz="0" w:space="0" w:color="auto"/>
            <w:right w:val="none" w:sz="0" w:space="0" w:color="auto"/>
          </w:divBdr>
        </w:div>
      </w:divsChild>
    </w:div>
    <w:div w:id="1413156820">
      <w:bodyDiv w:val="1"/>
      <w:marLeft w:val="0"/>
      <w:marRight w:val="0"/>
      <w:marTop w:val="0"/>
      <w:marBottom w:val="0"/>
      <w:divBdr>
        <w:top w:val="none" w:sz="0" w:space="0" w:color="auto"/>
        <w:left w:val="none" w:sz="0" w:space="0" w:color="auto"/>
        <w:bottom w:val="none" w:sz="0" w:space="0" w:color="auto"/>
        <w:right w:val="none" w:sz="0" w:space="0" w:color="auto"/>
      </w:divBdr>
      <w:divsChild>
        <w:div w:id="1736006084">
          <w:marLeft w:val="0"/>
          <w:marRight w:val="0"/>
          <w:marTop w:val="0"/>
          <w:marBottom w:val="0"/>
          <w:divBdr>
            <w:top w:val="none" w:sz="0" w:space="0" w:color="auto"/>
            <w:left w:val="none" w:sz="0" w:space="0" w:color="auto"/>
            <w:bottom w:val="none" w:sz="0" w:space="0" w:color="auto"/>
            <w:right w:val="none" w:sz="0" w:space="0" w:color="auto"/>
          </w:divBdr>
        </w:div>
      </w:divsChild>
    </w:div>
    <w:div w:id="1449617157">
      <w:bodyDiv w:val="1"/>
      <w:marLeft w:val="0"/>
      <w:marRight w:val="0"/>
      <w:marTop w:val="0"/>
      <w:marBottom w:val="0"/>
      <w:divBdr>
        <w:top w:val="none" w:sz="0" w:space="0" w:color="auto"/>
        <w:left w:val="none" w:sz="0" w:space="0" w:color="auto"/>
        <w:bottom w:val="none" w:sz="0" w:space="0" w:color="auto"/>
        <w:right w:val="none" w:sz="0" w:space="0" w:color="auto"/>
      </w:divBdr>
      <w:divsChild>
        <w:div w:id="1312951996">
          <w:marLeft w:val="0"/>
          <w:marRight w:val="0"/>
          <w:marTop w:val="0"/>
          <w:marBottom w:val="0"/>
          <w:divBdr>
            <w:top w:val="none" w:sz="0" w:space="0" w:color="auto"/>
            <w:left w:val="none" w:sz="0" w:space="0" w:color="auto"/>
            <w:bottom w:val="none" w:sz="0" w:space="0" w:color="auto"/>
            <w:right w:val="none" w:sz="0" w:space="0" w:color="auto"/>
          </w:divBdr>
        </w:div>
      </w:divsChild>
    </w:div>
    <w:div w:id="1491366465">
      <w:bodyDiv w:val="1"/>
      <w:marLeft w:val="0"/>
      <w:marRight w:val="0"/>
      <w:marTop w:val="0"/>
      <w:marBottom w:val="0"/>
      <w:divBdr>
        <w:top w:val="none" w:sz="0" w:space="0" w:color="auto"/>
        <w:left w:val="none" w:sz="0" w:space="0" w:color="auto"/>
        <w:bottom w:val="none" w:sz="0" w:space="0" w:color="auto"/>
        <w:right w:val="none" w:sz="0" w:space="0" w:color="auto"/>
      </w:divBdr>
      <w:divsChild>
        <w:div w:id="98184728">
          <w:marLeft w:val="0"/>
          <w:marRight w:val="0"/>
          <w:marTop w:val="0"/>
          <w:marBottom w:val="0"/>
          <w:divBdr>
            <w:top w:val="none" w:sz="0" w:space="0" w:color="auto"/>
            <w:left w:val="none" w:sz="0" w:space="0" w:color="auto"/>
            <w:bottom w:val="none" w:sz="0" w:space="0" w:color="auto"/>
            <w:right w:val="none" w:sz="0" w:space="0" w:color="auto"/>
          </w:divBdr>
        </w:div>
      </w:divsChild>
    </w:div>
    <w:div w:id="1500854361">
      <w:bodyDiv w:val="1"/>
      <w:marLeft w:val="0"/>
      <w:marRight w:val="0"/>
      <w:marTop w:val="0"/>
      <w:marBottom w:val="0"/>
      <w:divBdr>
        <w:top w:val="none" w:sz="0" w:space="0" w:color="auto"/>
        <w:left w:val="none" w:sz="0" w:space="0" w:color="auto"/>
        <w:bottom w:val="none" w:sz="0" w:space="0" w:color="auto"/>
        <w:right w:val="none" w:sz="0" w:space="0" w:color="auto"/>
      </w:divBdr>
      <w:divsChild>
        <w:div w:id="17392436">
          <w:marLeft w:val="0"/>
          <w:marRight w:val="0"/>
          <w:marTop w:val="0"/>
          <w:marBottom w:val="0"/>
          <w:divBdr>
            <w:top w:val="none" w:sz="0" w:space="0" w:color="auto"/>
            <w:left w:val="none" w:sz="0" w:space="0" w:color="auto"/>
            <w:bottom w:val="none" w:sz="0" w:space="0" w:color="auto"/>
            <w:right w:val="none" w:sz="0" w:space="0" w:color="auto"/>
          </w:divBdr>
        </w:div>
      </w:divsChild>
    </w:div>
    <w:div w:id="1509253234">
      <w:bodyDiv w:val="1"/>
      <w:marLeft w:val="0"/>
      <w:marRight w:val="0"/>
      <w:marTop w:val="0"/>
      <w:marBottom w:val="0"/>
      <w:divBdr>
        <w:top w:val="none" w:sz="0" w:space="0" w:color="auto"/>
        <w:left w:val="none" w:sz="0" w:space="0" w:color="auto"/>
        <w:bottom w:val="none" w:sz="0" w:space="0" w:color="auto"/>
        <w:right w:val="none" w:sz="0" w:space="0" w:color="auto"/>
      </w:divBdr>
      <w:divsChild>
        <w:div w:id="1284920118">
          <w:marLeft w:val="0"/>
          <w:marRight w:val="0"/>
          <w:marTop w:val="0"/>
          <w:marBottom w:val="0"/>
          <w:divBdr>
            <w:top w:val="none" w:sz="0" w:space="0" w:color="auto"/>
            <w:left w:val="none" w:sz="0" w:space="0" w:color="auto"/>
            <w:bottom w:val="none" w:sz="0" w:space="0" w:color="auto"/>
            <w:right w:val="none" w:sz="0" w:space="0" w:color="auto"/>
          </w:divBdr>
        </w:div>
      </w:divsChild>
    </w:div>
    <w:div w:id="1528330495">
      <w:bodyDiv w:val="1"/>
      <w:marLeft w:val="0"/>
      <w:marRight w:val="0"/>
      <w:marTop w:val="0"/>
      <w:marBottom w:val="0"/>
      <w:divBdr>
        <w:top w:val="none" w:sz="0" w:space="0" w:color="auto"/>
        <w:left w:val="none" w:sz="0" w:space="0" w:color="auto"/>
        <w:bottom w:val="none" w:sz="0" w:space="0" w:color="auto"/>
        <w:right w:val="none" w:sz="0" w:space="0" w:color="auto"/>
      </w:divBdr>
      <w:divsChild>
        <w:div w:id="2102527396">
          <w:marLeft w:val="0"/>
          <w:marRight w:val="0"/>
          <w:marTop w:val="0"/>
          <w:marBottom w:val="0"/>
          <w:divBdr>
            <w:top w:val="none" w:sz="0" w:space="0" w:color="auto"/>
            <w:left w:val="none" w:sz="0" w:space="0" w:color="auto"/>
            <w:bottom w:val="none" w:sz="0" w:space="0" w:color="auto"/>
            <w:right w:val="none" w:sz="0" w:space="0" w:color="auto"/>
          </w:divBdr>
        </w:div>
      </w:divsChild>
    </w:div>
    <w:div w:id="1542327947">
      <w:bodyDiv w:val="1"/>
      <w:marLeft w:val="0"/>
      <w:marRight w:val="0"/>
      <w:marTop w:val="0"/>
      <w:marBottom w:val="0"/>
      <w:divBdr>
        <w:top w:val="none" w:sz="0" w:space="0" w:color="auto"/>
        <w:left w:val="none" w:sz="0" w:space="0" w:color="auto"/>
        <w:bottom w:val="none" w:sz="0" w:space="0" w:color="auto"/>
        <w:right w:val="none" w:sz="0" w:space="0" w:color="auto"/>
      </w:divBdr>
      <w:divsChild>
        <w:div w:id="1014266200">
          <w:marLeft w:val="0"/>
          <w:marRight w:val="0"/>
          <w:marTop w:val="0"/>
          <w:marBottom w:val="0"/>
          <w:divBdr>
            <w:top w:val="none" w:sz="0" w:space="0" w:color="auto"/>
            <w:left w:val="none" w:sz="0" w:space="0" w:color="auto"/>
            <w:bottom w:val="none" w:sz="0" w:space="0" w:color="auto"/>
            <w:right w:val="none" w:sz="0" w:space="0" w:color="auto"/>
          </w:divBdr>
        </w:div>
      </w:divsChild>
    </w:div>
    <w:div w:id="1581597713">
      <w:bodyDiv w:val="1"/>
      <w:marLeft w:val="0"/>
      <w:marRight w:val="0"/>
      <w:marTop w:val="0"/>
      <w:marBottom w:val="0"/>
      <w:divBdr>
        <w:top w:val="none" w:sz="0" w:space="0" w:color="auto"/>
        <w:left w:val="none" w:sz="0" w:space="0" w:color="auto"/>
        <w:bottom w:val="none" w:sz="0" w:space="0" w:color="auto"/>
        <w:right w:val="none" w:sz="0" w:space="0" w:color="auto"/>
      </w:divBdr>
      <w:divsChild>
        <w:div w:id="1671829191">
          <w:marLeft w:val="0"/>
          <w:marRight w:val="0"/>
          <w:marTop w:val="0"/>
          <w:marBottom w:val="0"/>
          <w:divBdr>
            <w:top w:val="none" w:sz="0" w:space="0" w:color="auto"/>
            <w:left w:val="none" w:sz="0" w:space="0" w:color="auto"/>
            <w:bottom w:val="none" w:sz="0" w:space="0" w:color="auto"/>
            <w:right w:val="none" w:sz="0" w:space="0" w:color="auto"/>
          </w:divBdr>
        </w:div>
      </w:divsChild>
    </w:div>
    <w:div w:id="1582569108">
      <w:bodyDiv w:val="1"/>
      <w:marLeft w:val="0"/>
      <w:marRight w:val="0"/>
      <w:marTop w:val="0"/>
      <w:marBottom w:val="0"/>
      <w:divBdr>
        <w:top w:val="none" w:sz="0" w:space="0" w:color="auto"/>
        <w:left w:val="none" w:sz="0" w:space="0" w:color="auto"/>
        <w:bottom w:val="none" w:sz="0" w:space="0" w:color="auto"/>
        <w:right w:val="none" w:sz="0" w:space="0" w:color="auto"/>
      </w:divBdr>
      <w:divsChild>
        <w:div w:id="1832135789">
          <w:marLeft w:val="0"/>
          <w:marRight w:val="0"/>
          <w:marTop w:val="0"/>
          <w:marBottom w:val="0"/>
          <w:divBdr>
            <w:top w:val="none" w:sz="0" w:space="0" w:color="auto"/>
            <w:left w:val="none" w:sz="0" w:space="0" w:color="auto"/>
            <w:bottom w:val="none" w:sz="0" w:space="0" w:color="auto"/>
            <w:right w:val="none" w:sz="0" w:space="0" w:color="auto"/>
          </w:divBdr>
        </w:div>
      </w:divsChild>
    </w:div>
    <w:div w:id="1589582228">
      <w:bodyDiv w:val="1"/>
      <w:marLeft w:val="0"/>
      <w:marRight w:val="0"/>
      <w:marTop w:val="0"/>
      <w:marBottom w:val="0"/>
      <w:divBdr>
        <w:top w:val="none" w:sz="0" w:space="0" w:color="auto"/>
        <w:left w:val="none" w:sz="0" w:space="0" w:color="auto"/>
        <w:bottom w:val="none" w:sz="0" w:space="0" w:color="auto"/>
        <w:right w:val="none" w:sz="0" w:space="0" w:color="auto"/>
      </w:divBdr>
      <w:divsChild>
        <w:div w:id="878711658">
          <w:marLeft w:val="0"/>
          <w:marRight w:val="0"/>
          <w:marTop w:val="0"/>
          <w:marBottom w:val="0"/>
          <w:divBdr>
            <w:top w:val="none" w:sz="0" w:space="0" w:color="auto"/>
            <w:left w:val="none" w:sz="0" w:space="0" w:color="auto"/>
            <w:bottom w:val="none" w:sz="0" w:space="0" w:color="auto"/>
            <w:right w:val="none" w:sz="0" w:space="0" w:color="auto"/>
          </w:divBdr>
        </w:div>
      </w:divsChild>
    </w:div>
    <w:div w:id="1590844110">
      <w:bodyDiv w:val="1"/>
      <w:marLeft w:val="0"/>
      <w:marRight w:val="0"/>
      <w:marTop w:val="0"/>
      <w:marBottom w:val="0"/>
      <w:divBdr>
        <w:top w:val="none" w:sz="0" w:space="0" w:color="auto"/>
        <w:left w:val="none" w:sz="0" w:space="0" w:color="auto"/>
        <w:bottom w:val="none" w:sz="0" w:space="0" w:color="auto"/>
        <w:right w:val="none" w:sz="0" w:space="0" w:color="auto"/>
      </w:divBdr>
      <w:divsChild>
        <w:div w:id="877815350">
          <w:marLeft w:val="0"/>
          <w:marRight w:val="0"/>
          <w:marTop w:val="0"/>
          <w:marBottom w:val="0"/>
          <w:divBdr>
            <w:top w:val="none" w:sz="0" w:space="0" w:color="auto"/>
            <w:left w:val="none" w:sz="0" w:space="0" w:color="auto"/>
            <w:bottom w:val="none" w:sz="0" w:space="0" w:color="auto"/>
            <w:right w:val="none" w:sz="0" w:space="0" w:color="auto"/>
          </w:divBdr>
        </w:div>
      </w:divsChild>
    </w:div>
    <w:div w:id="1598365106">
      <w:bodyDiv w:val="1"/>
      <w:marLeft w:val="0"/>
      <w:marRight w:val="0"/>
      <w:marTop w:val="0"/>
      <w:marBottom w:val="0"/>
      <w:divBdr>
        <w:top w:val="none" w:sz="0" w:space="0" w:color="auto"/>
        <w:left w:val="none" w:sz="0" w:space="0" w:color="auto"/>
        <w:bottom w:val="none" w:sz="0" w:space="0" w:color="auto"/>
        <w:right w:val="none" w:sz="0" w:space="0" w:color="auto"/>
      </w:divBdr>
      <w:divsChild>
        <w:div w:id="2005739108">
          <w:marLeft w:val="0"/>
          <w:marRight w:val="0"/>
          <w:marTop w:val="0"/>
          <w:marBottom w:val="0"/>
          <w:divBdr>
            <w:top w:val="none" w:sz="0" w:space="0" w:color="auto"/>
            <w:left w:val="none" w:sz="0" w:space="0" w:color="auto"/>
            <w:bottom w:val="none" w:sz="0" w:space="0" w:color="auto"/>
            <w:right w:val="none" w:sz="0" w:space="0" w:color="auto"/>
          </w:divBdr>
        </w:div>
      </w:divsChild>
    </w:div>
    <w:div w:id="1602371377">
      <w:bodyDiv w:val="1"/>
      <w:marLeft w:val="0"/>
      <w:marRight w:val="0"/>
      <w:marTop w:val="0"/>
      <w:marBottom w:val="0"/>
      <w:divBdr>
        <w:top w:val="none" w:sz="0" w:space="0" w:color="auto"/>
        <w:left w:val="none" w:sz="0" w:space="0" w:color="auto"/>
        <w:bottom w:val="none" w:sz="0" w:space="0" w:color="auto"/>
        <w:right w:val="none" w:sz="0" w:space="0" w:color="auto"/>
      </w:divBdr>
      <w:divsChild>
        <w:div w:id="444422826">
          <w:marLeft w:val="0"/>
          <w:marRight w:val="0"/>
          <w:marTop w:val="0"/>
          <w:marBottom w:val="0"/>
          <w:divBdr>
            <w:top w:val="none" w:sz="0" w:space="0" w:color="auto"/>
            <w:left w:val="none" w:sz="0" w:space="0" w:color="auto"/>
            <w:bottom w:val="none" w:sz="0" w:space="0" w:color="auto"/>
            <w:right w:val="none" w:sz="0" w:space="0" w:color="auto"/>
          </w:divBdr>
        </w:div>
      </w:divsChild>
    </w:div>
    <w:div w:id="1606494035">
      <w:bodyDiv w:val="1"/>
      <w:marLeft w:val="0"/>
      <w:marRight w:val="0"/>
      <w:marTop w:val="0"/>
      <w:marBottom w:val="0"/>
      <w:divBdr>
        <w:top w:val="none" w:sz="0" w:space="0" w:color="auto"/>
        <w:left w:val="none" w:sz="0" w:space="0" w:color="auto"/>
        <w:bottom w:val="none" w:sz="0" w:space="0" w:color="auto"/>
        <w:right w:val="none" w:sz="0" w:space="0" w:color="auto"/>
      </w:divBdr>
      <w:divsChild>
        <w:div w:id="933784022">
          <w:marLeft w:val="0"/>
          <w:marRight w:val="0"/>
          <w:marTop w:val="0"/>
          <w:marBottom w:val="0"/>
          <w:divBdr>
            <w:top w:val="none" w:sz="0" w:space="0" w:color="auto"/>
            <w:left w:val="none" w:sz="0" w:space="0" w:color="auto"/>
            <w:bottom w:val="none" w:sz="0" w:space="0" w:color="auto"/>
            <w:right w:val="none" w:sz="0" w:space="0" w:color="auto"/>
          </w:divBdr>
        </w:div>
      </w:divsChild>
    </w:div>
    <w:div w:id="1612201144">
      <w:bodyDiv w:val="1"/>
      <w:marLeft w:val="0"/>
      <w:marRight w:val="0"/>
      <w:marTop w:val="0"/>
      <w:marBottom w:val="0"/>
      <w:divBdr>
        <w:top w:val="none" w:sz="0" w:space="0" w:color="auto"/>
        <w:left w:val="none" w:sz="0" w:space="0" w:color="auto"/>
        <w:bottom w:val="none" w:sz="0" w:space="0" w:color="auto"/>
        <w:right w:val="none" w:sz="0" w:space="0" w:color="auto"/>
      </w:divBdr>
      <w:divsChild>
        <w:div w:id="1929383239">
          <w:marLeft w:val="0"/>
          <w:marRight w:val="0"/>
          <w:marTop w:val="0"/>
          <w:marBottom w:val="0"/>
          <w:divBdr>
            <w:top w:val="none" w:sz="0" w:space="0" w:color="auto"/>
            <w:left w:val="none" w:sz="0" w:space="0" w:color="auto"/>
            <w:bottom w:val="none" w:sz="0" w:space="0" w:color="auto"/>
            <w:right w:val="none" w:sz="0" w:space="0" w:color="auto"/>
          </w:divBdr>
        </w:div>
      </w:divsChild>
    </w:div>
    <w:div w:id="1618684831">
      <w:bodyDiv w:val="1"/>
      <w:marLeft w:val="0"/>
      <w:marRight w:val="0"/>
      <w:marTop w:val="0"/>
      <w:marBottom w:val="0"/>
      <w:divBdr>
        <w:top w:val="none" w:sz="0" w:space="0" w:color="auto"/>
        <w:left w:val="none" w:sz="0" w:space="0" w:color="auto"/>
        <w:bottom w:val="none" w:sz="0" w:space="0" w:color="auto"/>
        <w:right w:val="none" w:sz="0" w:space="0" w:color="auto"/>
      </w:divBdr>
      <w:divsChild>
        <w:div w:id="1255170124">
          <w:marLeft w:val="0"/>
          <w:marRight w:val="0"/>
          <w:marTop w:val="0"/>
          <w:marBottom w:val="0"/>
          <w:divBdr>
            <w:top w:val="none" w:sz="0" w:space="0" w:color="auto"/>
            <w:left w:val="none" w:sz="0" w:space="0" w:color="auto"/>
            <w:bottom w:val="none" w:sz="0" w:space="0" w:color="auto"/>
            <w:right w:val="none" w:sz="0" w:space="0" w:color="auto"/>
          </w:divBdr>
        </w:div>
      </w:divsChild>
    </w:div>
    <w:div w:id="1667703211">
      <w:bodyDiv w:val="1"/>
      <w:marLeft w:val="0"/>
      <w:marRight w:val="0"/>
      <w:marTop w:val="0"/>
      <w:marBottom w:val="0"/>
      <w:divBdr>
        <w:top w:val="none" w:sz="0" w:space="0" w:color="auto"/>
        <w:left w:val="none" w:sz="0" w:space="0" w:color="auto"/>
        <w:bottom w:val="none" w:sz="0" w:space="0" w:color="auto"/>
        <w:right w:val="none" w:sz="0" w:space="0" w:color="auto"/>
      </w:divBdr>
      <w:divsChild>
        <w:div w:id="1667398370">
          <w:marLeft w:val="0"/>
          <w:marRight w:val="0"/>
          <w:marTop w:val="0"/>
          <w:marBottom w:val="0"/>
          <w:divBdr>
            <w:top w:val="none" w:sz="0" w:space="0" w:color="auto"/>
            <w:left w:val="none" w:sz="0" w:space="0" w:color="auto"/>
            <w:bottom w:val="none" w:sz="0" w:space="0" w:color="auto"/>
            <w:right w:val="none" w:sz="0" w:space="0" w:color="auto"/>
          </w:divBdr>
        </w:div>
      </w:divsChild>
    </w:div>
    <w:div w:id="1674255658">
      <w:bodyDiv w:val="1"/>
      <w:marLeft w:val="0"/>
      <w:marRight w:val="0"/>
      <w:marTop w:val="0"/>
      <w:marBottom w:val="0"/>
      <w:divBdr>
        <w:top w:val="none" w:sz="0" w:space="0" w:color="auto"/>
        <w:left w:val="none" w:sz="0" w:space="0" w:color="auto"/>
        <w:bottom w:val="none" w:sz="0" w:space="0" w:color="auto"/>
        <w:right w:val="none" w:sz="0" w:space="0" w:color="auto"/>
      </w:divBdr>
      <w:divsChild>
        <w:div w:id="1287853664">
          <w:marLeft w:val="0"/>
          <w:marRight w:val="0"/>
          <w:marTop w:val="0"/>
          <w:marBottom w:val="0"/>
          <w:divBdr>
            <w:top w:val="none" w:sz="0" w:space="0" w:color="auto"/>
            <w:left w:val="none" w:sz="0" w:space="0" w:color="auto"/>
            <w:bottom w:val="none" w:sz="0" w:space="0" w:color="auto"/>
            <w:right w:val="none" w:sz="0" w:space="0" w:color="auto"/>
          </w:divBdr>
        </w:div>
      </w:divsChild>
    </w:div>
    <w:div w:id="1689985586">
      <w:bodyDiv w:val="1"/>
      <w:marLeft w:val="0"/>
      <w:marRight w:val="0"/>
      <w:marTop w:val="0"/>
      <w:marBottom w:val="0"/>
      <w:divBdr>
        <w:top w:val="none" w:sz="0" w:space="0" w:color="auto"/>
        <w:left w:val="none" w:sz="0" w:space="0" w:color="auto"/>
        <w:bottom w:val="none" w:sz="0" w:space="0" w:color="auto"/>
        <w:right w:val="none" w:sz="0" w:space="0" w:color="auto"/>
      </w:divBdr>
      <w:divsChild>
        <w:div w:id="1937056593">
          <w:marLeft w:val="0"/>
          <w:marRight w:val="0"/>
          <w:marTop w:val="0"/>
          <w:marBottom w:val="0"/>
          <w:divBdr>
            <w:top w:val="none" w:sz="0" w:space="0" w:color="auto"/>
            <w:left w:val="none" w:sz="0" w:space="0" w:color="auto"/>
            <w:bottom w:val="none" w:sz="0" w:space="0" w:color="auto"/>
            <w:right w:val="none" w:sz="0" w:space="0" w:color="auto"/>
          </w:divBdr>
        </w:div>
      </w:divsChild>
    </w:div>
    <w:div w:id="1702314801">
      <w:bodyDiv w:val="1"/>
      <w:marLeft w:val="0"/>
      <w:marRight w:val="0"/>
      <w:marTop w:val="0"/>
      <w:marBottom w:val="0"/>
      <w:divBdr>
        <w:top w:val="none" w:sz="0" w:space="0" w:color="auto"/>
        <w:left w:val="none" w:sz="0" w:space="0" w:color="auto"/>
        <w:bottom w:val="none" w:sz="0" w:space="0" w:color="auto"/>
        <w:right w:val="none" w:sz="0" w:space="0" w:color="auto"/>
      </w:divBdr>
      <w:divsChild>
        <w:div w:id="773479596">
          <w:marLeft w:val="0"/>
          <w:marRight w:val="0"/>
          <w:marTop w:val="0"/>
          <w:marBottom w:val="0"/>
          <w:divBdr>
            <w:top w:val="none" w:sz="0" w:space="0" w:color="auto"/>
            <w:left w:val="none" w:sz="0" w:space="0" w:color="auto"/>
            <w:bottom w:val="none" w:sz="0" w:space="0" w:color="auto"/>
            <w:right w:val="none" w:sz="0" w:space="0" w:color="auto"/>
          </w:divBdr>
        </w:div>
      </w:divsChild>
    </w:div>
    <w:div w:id="1705329318">
      <w:bodyDiv w:val="1"/>
      <w:marLeft w:val="0"/>
      <w:marRight w:val="0"/>
      <w:marTop w:val="0"/>
      <w:marBottom w:val="0"/>
      <w:divBdr>
        <w:top w:val="none" w:sz="0" w:space="0" w:color="auto"/>
        <w:left w:val="none" w:sz="0" w:space="0" w:color="auto"/>
        <w:bottom w:val="none" w:sz="0" w:space="0" w:color="auto"/>
        <w:right w:val="none" w:sz="0" w:space="0" w:color="auto"/>
      </w:divBdr>
      <w:divsChild>
        <w:div w:id="492838186">
          <w:marLeft w:val="0"/>
          <w:marRight w:val="0"/>
          <w:marTop w:val="0"/>
          <w:marBottom w:val="0"/>
          <w:divBdr>
            <w:top w:val="none" w:sz="0" w:space="0" w:color="auto"/>
            <w:left w:val="none" w:sz="0" w:space="0" w:color="auto"/>
            <w:bottom w:val="none" w:sz="0" w:space="0" w:color="auto"/>
            <w:right w:val="none" w:sz="0" w:space="0" w:color="auto"/>
          </w:divBdr>
        </w:div>
      </w:divsChild>
    </w:div>
    <w:div w:id="1720782892">
      <w:bodyDiv w:val="1"/>
      <w:marLeft w:val="0"/>
      <w:marRight w:val="0"/>
      <w:marTop w:val="0"/>
      <w:marBottom w:val="0"/>
      <w:divBdr>
        <w:top w:val="none" w:sz="0" w:space="0" w:color="auto"/>
        <w:left w:val="none" w:sz="0" w:space="0" w:color="auto"/>
        <w:bottom w:val="none" w:sz="0" w:space="0" w:color="auto"/>
        <w:right w:val="none" w:sz="0" w:space="0" w:color="auto"/>
      </w:divBdr>
      <w:divsChild>
        <w:div w:id="733625624">
          <w:marLeft w:val="0"/>
          <w:marRight w:val="0"/>
          <w:marTop w:val="0"/>
          <w:marBottom w:val="0"/>
          <w:divBdr>
            <w:top w:val="none" w:sz="0" w:space="0" w:color="auto"/>
            <w:left w:val="none" w:sz="0" w:space="0" w:color="auto"/>
            <w:bottom w:val="none" w:sz="0" w:space="0" w:color="auto"/>
            <w:right w:val="none" w:sz="0" w:space="0" w:color="auto"/>
          </w:divBdr>
        </w:div>
      </w:divsChild>
    </w:div>
    <w:div w:id="1727757778">
      <w:bodyDiv w:val="1"/>
      <w:marLeft w:val="0"/>
      <w:marRight w:val="0"/>
      <w:marTop w:val="0"/>
      <w:marBottom w:val="0"/>
      <w:divBdr>
        <w:top w:val="none" w:sz="0" w:space="0" w:color="auto"/>
        <w:left w:val="none" w:sz="0" w:space="0" w:color="auto"/>
        <w:bottom w:val="none" w:sz="0" w:space="0" w:color="auto"/>
        <w:right w:val="none" w:sz="0" w:space="0" w:color="auto"/>
      </w:divBdr>
      <w:divsChild>
        <w:div w:id="1715303088">
          <w:marLeft w:val="0"/>
          <w:marRight w:val="0"/>
          <w:marTop w:val="0"/>
          <w:marBottom w:val="0"/>
          <w:divBdr>
            <w:top w:val="none" w:sz="0" w:space="0" w:color="auto"/>
            <w:left w:val="none" w:sz="0" w:space="0" w:color="auto"/>
            <w:bottom w:val="none" w:sz="0" w:space="0" w:color="auto"/>
            <w:right w:val="none" w:sz="0" w:space="0" w:color="auto"/>
          </w:divBdr>
        </w:div>
      </w:divsChild>
    </w:div>
    <w:div w:id="1757093965">
      <w:bodyDiv w:val="1"/>
      <w:marLeft w:val="0"/>
      <w:marRight w:val="0"/>
      <w:marTop w:val="0"/>
      <w:marBottom w:val="0"/>
      <w:divBdr>
        <w:top w:val="none" w:sz="0" w:space="0" w:color="auto"/>
        <w:left w:val="none" w:sz="0" w:space="0" w:color="auto"/>
        <w:bottom w:val="none" w:sz="0" w:space="0" w:color="auto"/>
        <w:right w:val="none" w:sz="0" w:space="0" w:color="auto"/>
      </w:divBdr>
      <w:divsChild>
        <w:div w:id="1051929469">
          <w:marLeft w:val="0"/>
          <w:marRight w:val="0"/>
          <w:marTop w:val="0"/>
          <w:marBottom w:val="0"/>
          <w:divBdr>
            <w:top w:val="none" w:sz="0" w:space="0" w:color="auto"/>
            <w:left w:val="none" w:sz="0" w:space="0" w:color="auto"/>
            <w:bottom w:val="none" w:sz="0" w:space="0" w:color="auto"/>
            <w:right w:val="none" w:sz="0" w:space="0" w:color="auto"/>
          </w:divBdr>
        </w:div>
      </w:divsChild>
    </w:div>
    <w:div w:id="1775594273">
      <w:bodyDiv w:val="1"/>
      <w:marLeft w:val="0"/>
      <w:marRight w:val="0"/>
      <w:marTop w:val="0"/>
      <w:marBottom w:val="0"/>
      <w:divBdr>
        <w:top w:val="none" w:sz="0" w:space="0" w:color="auto"/>
        <w:left w:val="none" w:sz="0" w:space="0" w:color="auto"/>
        <w:bottom w:val="none" w:sz="0" w:space="0" w:color="auto"/>
        <w:right w:val="none" w:sz="0" w:space="0" w:color="auto"/>
      </w:divBdr>
      <w:divsChild>
        <w:div w:id="1994528175">
          <w:marLeft w:val="0"/>
          <w:marRight w:val="0"/>
          <w:marTop w:val="0"/>
          <w:marBottom w:val="0"/>
          <w:divBdr>
            <w:top w:val="none" w:sz="0" w:space="0" w:color="auto"/>
            <w:left w:val="none" w:sz="0" w:space="0" w:color="auto"/>
            <w:bottom w:val="none" w:sz="0" w:space="0" w:color="auto"/>
            <w:right w:val="none" w:sz="0" w:space="0" w:color="auto"/>
          </w:divBdr>
        </w:div>
      </w:divsChild>
    </w:div>
    <w:div w:id="1781682987">
      <w:bodyDiv w:val="1"/>
      <w:marLeft w:val="0"/>
      <w:marRight w:val="0"/>
      <w:marTop w:val="0"/>
      <w:marBottom w:val="0"/>
      <w:divBdr>
        <w:top w:val="none" w:sz="0" w:space="0" w:color="auto"/>
        <w:left w:val="none" w:sz="0" w:space="0" w:color="auto"/>
        <w:bottom w:val="none" w:sz="0" w:space="0" w:color="auto"/>
        <w:right w:val="none" w:sz="0" w:space="0" w:color="auto"/>
      </w:divBdr>
      <w:divsChild>
        <w:div w:id="811142474">
          <w:marLeft w:val="0"/>
          <w:marRight w:val="0"/>
          <w:marTop w:val="0"/>
          <w:marBottom w:val="0"/>
          <w:divBdr>
            <w:top w:val="none" w:sz="0" w:space="0" w:color="auto"/>
            <w:left w:val="none" w:sz="0" w:space="0" w:color="auto"/>
            <w:bottom w:val="none" w:sz="0" w:space="0" w:color="auto"/>
            <w:right w:val="none" w:sz="0" w:space="0" w:color="auto"/>
          </w:divBdr>
        </w:div>
      </w:divsChild>
    </w:div>
    <w:div w:id="1796630960">
      <w:bodyDiv w:val="1"/>
      <w:marLeft w:val="0"/>
      <w:marRight w:val="0"/>
      <w:marTop w:val="0"/>
      <w:marBottom w:val="0"/>
      <w:divBdr>
        <w:top w:val="none" w:sz="0" w:space="0" w:color="auto"/>
        <w:left w:val="none" w:sz="0" w:space="0" w:color="auto"/>
        <w:bottom w:val="none" w:sz="0" w:space="0" w:color="auto"/>
        <w:right w:val="none" w:sz="0" w:space="0" w:color="auto"/>
      </w:divBdr>
      <w:divsChild>
        <w:div w:id="1991903672">
          <w:marLeft w:val="0"/>
          <w:marRight w:val="0"/>
          <w:marTop w:val="0"/>
          <w:marBottom w:val="0"/>
          <w:divBdr>
            <w:top w:val="none" w:sz="0" w:space="0" w:color="auto"/>
            <w:left w:val="none" w:sz="0" w:space="0" w:color="auto"/>
            <w:bottom w:val="none" w:sz="0" w:space="0" w:color="auto"/>
            <w:right w:val="none" w:sz="0" w:space="0" w:color="auto"/>
          </w:divBdr>
        </w:div>
      </w:divsChild>
    </w:div>
    <w:div w:id="1801916255">
      <w:bodyDiv w:val="1"/>
      <w:marLeft w:val="0"/>
      <w:marRight w:val="0"/>
      <w:marTop w:val="0"/>
      <w:marBottom w:val="0"/>
      <w:divBdr>
        <w:top w:val="none" w:sz="0" w:space="0" w:color="auto"/>
        <w:left w:val="none" w:sz="0" w:space="0" w:color="auto"/>
        <w:bottom w:val="none" w:sz="0" w:space="0" w:color="auto"/>
        <w:right w:val="none" w:sz="0" w:space="0" w:color="auto"/>
      </w:divBdr>
      <w:divsChild>
        <w:div w:id="1911117653">
          <w:marLeft w:val="0"/>
          <w:marRight w:val="0"/>
          <w:marTop w:val="0"/>
          <w:marBottom w:val="0"/>
          <w:divBdr>
            <w:top w:val="none" w:sz="0" w:space="0" w:color="auto"/>
            <w:left w:val="none" w:sz="0" w:space="0" w:color="auto"/>
            <w:bottom w:val="none" w:sz="0" w:space="0" w:color="auto"/>
            <w:right w:val="none" w:sz="0" w:space="0" w:color="auto"/>
          </w:divBdr>
        </w:div>
      </w:divsChild>
    </w:div>
    <w:div w:id="1802571475">
      <w:bodyDiv w:val="1"/>
      <w:marLeft w:val="0"/>
      <w:marRight w:val="0"/>
      <w:marTop w:val="0"/>
      <w:marBottom w:val="0"/>
      <w:divBdr>
        <w:top w:val="none" w:sz="0" w:space="0" w:color="auto"/>
        <w:left w:val="none" w:sz="0" w:space="0" w:color="auto"/>
        <w:bottom w:val="none" w:sz="0" w:space="0" w:color="auto"/>
        <w:right w:val="none" w:sz="0" w:space="0" w:color="auto"/>
      </w:divBdr>
      <w:divsChild>
        <w:div w:id="1909265846">
          <w:marLeft w:val="0"/>
          <w:marRight w:val="0"/>
          <w:marTop w:val="0"/>
          <w:marBottom w:val="0"/>
          <w:divBdr>
            <w:top w:val="none" w:sz="0" w:space="0" w:color="auto"/>
            <w:left w:val="none" w:sz="0" w:space="0" w:color="auto"/>
            <w:bottom w:val="none" w:sz="0" w:space="0" w:color="auto"/>
            <w:right w:val="none" w:sz="0" w:space="0" w:color="auto"/>
          </w:divBdr>
        </w:div>
      </w:divsChild>
    </w:div>
    <w:div w:id="1812940350">
      <w:bodyDiv w:val="1"/>
      <w:marLeft w:val="0"/>
      <w:marRight w:val="0"/>
      <w:marTop w:val="0"/>
      <w:marBottom w:val="0"/>
      <w:divBdr>
        <w:top w:val="none" w:sz="0" w:space="0" w:color="auto"/>
        <w:left w:val="none" w:sz="0" w:space="0" w:color="auto"/>
        <w:bottom w:val="none" w:sz="0" w:space="0" w:color="auto"/>
        <w:right w:val="none" w:sz="0" w:space="0" w:color="auto"/>
      </w:divBdr>
      <w:divsChild>
        <w:div w:id="87581405">
          <w:marLeft w:val="0"/>
          <w:marRight w:val="0"/>
          <w:marTop w:val="0"/>
          <w:marBottom w:val="0"/>
          <w:divBdr>
            <w:top w:val="none" w:sz="0" w:space="0" w:color="auto"/>
            <w:left w:val="none" w:sz="0" w:space="0" w:color="auto"/>
            <w:bottom w:val="none" w:sz="0" w:space="0" w:color="auto"/>
            <w:right w:val="none" w:sz="0" w:space="0" w:color="auto"/>
          </w:divBdr>
        </w:div>
      </w:divsChild>
    </w:div>
    <w:div w:id="1812945493">
      <w:bodyDiv w:val="1"/>
      <w:marLeft w:val="0"/>
      <w:marRight w:val="0"/>
      <w:marTop w:val="0"/>
      <w:marBottom w:val="0"/>
      <w:divBdr>
        <w:top w:val="none" w:sz="0" w:space="0" w:color="auto"/>
        <w:left w:val="none" w:sz="0" w:space="0" w:color="auto"/>
        <w:bottom w:val="none" w:sz="0" w:space="0" w:color="auto"/>
        <w:right w:val="none" w:sz="0" w:space="0" w:color="auto"/>
      </w:divBdr>
      <w:divsChild>
        <w:div w:id="1834489346">
          <w:marLeft w:val="0"/>
          <w:marRight w:val="0"/>
          <w:marTop w:val="0"/>
          <w:marBottom w:val="0"/>
          <w:divBdr>
            <w:top w:val="none" w:sz="0" w:space="0" w:color="auto"/>
            <w:left w:val="none" w:sz="0" w:space="0" w:color="auto"/>
            <w:bottom w:val="none" w:sz="0" w:space="0" w:color="auto"/>
            <w:right w:val="none" w:sz="0" w:space="0" w:color="auto"/>
          </w:divBdr>
        </w:div>
      </w:divsChild>
    </w:div>
    <w:div w:id="1876233023">
      <w:bodyDiv w:val="1"/>
      <w:marLeft w:val="0"/>
      <w:marRight w:val="0"/>
      <w:marTop w:val="0"/>
      <w:marBottom w:val="0"/>
      <w:divBdr>
        <w:top w:val="none" w:sz="0" w:space="0" w:color="auto"/>
        <w:left w:val="none" w:sz="0" w:space="0" w:color="auto"/>
        <w:bottom w:val="none" w:sz="0" w:space="0" w:color="auto"/>
        <w:right w:val="none" w:sz="0" w:space="0" w:color="auto"/>
      </w:divBdr>
      <w:divsChild>
        <w:div w:id="915238222">
          <w:marLeft w:val="0"/>
          <w:marRight w:val="0"/>
          <w:marTop w:val="0"/>
          <w:marBottom w:val="0"/>
          <w:divBdr>
            <w:top w:val="none" w:sz="0" w:space="0" w:color="auto"/>
            <w:left w:val="none" w:sz="0" w:space="0" w:color="auto"/>
            <w:bottom w:val="none" w:sz="0" w:space="0" w:color="auto"/>
            <w:right w:val="none" w:sz="0" w:space="0" w:color="auto"/>
          </w:divBdr>
        </w:div>
      </w:divsChild>
    </w:div>
    <w:div w:id="1878352736">
      <w:bodyDiv w:val="1"/>
      <w:marLeft w:val="0"/>
      <w:marRight w:val="0"/>
      <w:marTop w:val="0"/>
      <w:marBottom w:val="0"/>
      <w:divBdr>
        <w:top w:val="none" w:sz="0" w:space="0" w:color="auto"/>
        <w:left w:val="none" w:sz="0" w:space="0" w:color="auto"/>
        <w:bottom w:val="none" w:sz="0" w:space="0" w:color="auto"/>
        <w:right w:val="none" w:sz="0" w:space="0" w:color="auto"/>
      </w:divBdr>
      <w:divsChild>
        <w:div w:id="191112911">
          <w:marLeft w:val="0"/>
          <w:marRight w:val="0"/>
          <w:marTop w:val="0"/>
          <w:marBottom w:val="0"/>
          <w:divBdr>
            <w:top w:val="none" w:sz="0" w:space="0" w:color="auto"/>
            <w:left w:val="none" w:sz="0" w:space="0" w:color="auto"/>
            <w:bottom w:val="none" w:sz="0" w:space="0" w:color="auto"/>
            <w:right w:val="none" w:sz="0" w:space="0" w:color="auto"/>
          </w:divBdr>
        </w:div>
      </w:divsChild>
    </w:div>
    <w:div w:id="1895120903">
      <w:bodyDiv w:val="1"/>
      <w:marLeft w:val="0"/>
      <w:marRight w:val="0"/>
      <w:marTop w:val="0"/>
      <w:marBottom w:val="0"/>
      <w:divBdr>
        <w:top w:val="none" w:sz="0" w:space="0" w:color="auto"/>
        <w:left w:val="none" w:sz="0" w:space="0" w:color="auto"/>
        <w:bottom w:val="none" w:sz="0" w:space="0" w:color="auto"/>
        <w:right w:val="none" w:sz="0" w:space="0" w:color="auto"/>
      </w:divBdr>
      <w:divsChild>
        <w:div w:id="794834787">
          <w:marLeft w:val="0"/>
          <w:marRight w:val="0"/>
          <w:marTop w:val="0"/>
          <w:marBottom w:val="0"/>
          <w:divBdr>
            <w:top w:val="none" w:sz="0" w:space="0" w:color="auto"/>
            <w:left w:val="none" w:sz="0" w:space="0" w:color="auto"/>
            <w:bottom w:val="none" w:sz="0" w:space="0" w:color="auto"/>
            <w:right w:val="none" w:sz="0" w:space="0" w:color="auto"/>
          </w:divBdr>
        </w:div>
      </w:divsChild>
    </w:div>
    <w:div w:id="1898274983">
      <w:bodyDiv w:val="1"/>
      <w:marLeft w:val="0"/>
      <w:marRight w:val="0"/>
      <w:marTop w:val="0"/>
      <w:marBottom w:val="0"/>
      <w:divBdr>
        <w:top w:val="none" w:sz="0" w:space="0" w:color="auto"/>
        <w:left w:val="none" w:sz="0" w:space="0" w:color="auto"/>
        <w:bottom w:val="none" w:sz="0" w:space="0" w:color="auto"/>
        <w:right w:val="none" w:sz="0" w:space="0" w:color="auto"/>
      </w:divBdr>
      <w:divsChild>
        <w:div w:id="59526429">
          <w:marLeft w:val="0"/>
          <w:marRight w:val="0"/>
          <w:marTop w:val="0"/>
          <w:marBottom w:val="0"/>
          <w:divBdr>
            <w:top w:val="none" w:sz="0" w:space="0" w:color="auto"/>
            <w:left w:val="none" w:sz="0" w:space="0" w:color="auto"/>
            <w:bottom w:val="none" w:sz="0" w:space="0" w:color="auto"/>
            <w:right w:val="none" w:sz="0" w:space="0" w:color="auto"/>
          </w:divBdr>
        </w:div>
      </w:divsChild>
    </w:div>
    <w:div w:id="1929850991">
      <w:bodyDiv w:val="1"/>
      <w:marLeft w:val="0"/>
      <w:marRight w:val="0"/>
      <w:marTop w:val="0"/>
      <w:marBottom w:val="0"/>
      <w:divBdr>
        <w:top w:val="none" w:sz="0" w:space="0" w:color="auto"/>
        <w:left w:val="none" w:sz="0" w:space="0" w:color="auto"/>
        <w:bottom w:val="none" w:sz="0" w:space="0" w:color="auto"/>
        <w:right w:val="none" w:sz="0" w:space="0" w:color="auto"/>
      </w:divBdr>
      <w:divsChild>
        <w:div w:id="643509811">
          <w:marLeft w:val="0"/>
          <w:marRight w:val="0"/>
          <w:marTop w:val="0"/>
          <w:marBottom w:val="0"/>
          <w:divBdr>
            <w:top w:val="none" w:sz="0" w:space="0" w:color="auto"/>
            <w:left w:val="none" w:sz="0" w:space="0" w:color="auto"/>
            <w:bottom w:val="none" w:sz="0" w:space="0" w:color="auto"/>
            <w:right w:val="none" w:sz="0" w:space="0" w:color="auto"/>
          </w:divBdr>
        </w:div>
      </w:divsChild>
    </w:div>
    <w:div w:id="1999796494">
      <w:bodyDiv w:val="1"/>
      <w:marLeft w:val="0"/>
      <w:marRight w:val="0"/>
      <w:marTop w:val="0"/>
      <w:marBottom w:val="0"/>
      <w:divBdr>
        <w:top w:val="none" w:sz="0" w:space="0" w:color="auto"/>
        <w:left w:val="none" w:sz="0" w:space="0" w:color="auto"/>
        <w:bottom w:val="none" w:sz="0" w:space="0" w:color="auto"/>
        <w:right w:val="none" w:sz="0" w:space="0" w:color="auto"/>
      </w:divBdr>
      <w:divsChild>
        <w:div w:id="1509324144">
          <w:marLeft w:val="0"/>
          <w:marRight w:val="0"/>
          <w:marTop w:val="0"/>
          <w:marBottom w:val="0"/>
          <w:divBdr>
            <w:top w:val="none" w:sz="0" w:space="0" w:color="auto"/>
            <w:left w:val="none" w:sz="0" w:space="0" w:color="auto"/>
            <w:bottom w:val="none" w:sz="0" w:space="0" w:color="auto"/>
            <w:right w:val="none" w:sz="0" w:space="0" w:color="auto"/>
          </w:divBdr>
        </w:div>
      </w:divsChild>
    </w:div>
    <w:div w:id="2001539118">
      <w:bodyDiv w:val="1"/>
      <w:marLeft w:val="0"/>
      <w:marRight w:val="0"/>
      <w:marTop w:val="0"/>
      <w:marBottom w:val="0"/>
      <w:divBdr>
        <w:top w:val="none" w:sz="0" w:space="0" w:color="auto"/>
        <w:left w:val="none" w:sz="0" w:space="0" w:color="auto"/>
        <w:bottom w:val="none" w:sz="0" w:space="0" w:color="auto"/>
        <w:right w:val="none" w:sz="0" w:space="0" w:color="auto"/>
      </w:divBdr>
      <w:divsChild>
        <w:div w:id="173764615">
          <w:marLeft w:val="0"/>
          <w:marRight w:val="0"/>
          <w:marTop w:val="0"/>
          <w:marBottom w:val="0"/>
          <w:divBdr>
            <w:top w:val="none" w:sz="0" w:space="0" w:color="auto"/>
            <w:left w:val="none" w:sz="0" w:space="0" w:color="auto"/>
            <w:bottom w:val="none" w:sz="0" w:space="0" w:color="auto"/>
            <w:right w:val="none" w:sz="0" w:space="0" w:color="auto"/>
          </w:divBdr>
        </w:div>
      </w:divsChild>
    </w:div>
    <w:div w:id="2005401768">
      <w:bodyDiv w:val="1"/>
      <w:marLeft w:val="0"/>
      <w:marRight w:val="0"/>
      <w:marTop w:val="0"/>
      <w:marBottom w:val="0"/>
      <w:divBdr>
        <w:top w:val="none" w:sz="0" w:space="0" w:color="auto"/>
        <w:left w:val="none" w:sz="0" w:space="0" w:color="auto"/>
        <w:bottom w:val="none" w:sz="0" w:space="0" w:color="auto"/>
        <w:right w:val="none" w:sz="0" w:space="0" w:color="auto"/>
      </w:divBdr>
      <w:divsChild>
        <w:div w:id="1596402591">
          <w:marLeft w:val="0"/>
          <w:marRight w:val="0"/>
          <w:marTop w:val="0"/>
          <w:marBottom w:val="0"/>
          <w:divBdr>
            <w:top w:val="none" w:sz="0" w:space="0" w:color="auto"/>
            <w:left w:val="none" w:sz="0" w:space="0" w:color="auto"/>
            <w:bottom w:val="none" w:sz="0" w:space="0" w:color="auto"/>
            <w:right w:val="none" w:sz="0" w:space="0" w:color="auto"/>
          </w:divBdr>
        </w:div>
      </w:divsChild>
    </w:div>
    <w:div w:id="2029670409">
      <w:bodyDiv w:val="1"/>
      <w:marLeft w:val="0"/>
      <w:marRight w:val="0"/>
      <w:marTop w:val="0"/>
      <w:marBottom w:val="0"/>
      <w:divBdr>
        <w:top w:val="none" w:sz="0" w:space="0" w:color="auto"/>
        <w:left w:val="none" w:sz="0" w:space="0" w:color="auto"/>
        <w:bottom w:val="none" w:sz="0" w:space="0" w:color="auto"/>
        <w:right w:val="none" w:sz="0" w:space="0" w:color="auto"/>
      </w:divBdr>
      <w:divsChild>
        <w:div w:id="2114934159">
          <w:marLeft w:val="0"/>
          <w:marRight w:val="0"/>
          <w:marTop w:val="0"/>
          <w:marBottom w:val="0"/>
          <w:divBdr>
            <w:top w:val="none" w:sz="0" w:space="0" w:color="auto"/>
            <w:left w:val="none" w:sz="0" w:space="0" w:color="auto"/>
            <w:bottom w:val="none" w:sz="0" w:space="0" w:color="auto"/>
            <w:right w:val="none" w:sz="0" w:space="0" w:color="auto"/>
          </w:divBdr>
        </w:div>
      </w:divsChild>
    </w:div>
    <w:div w:id="2038004448">
      <w:bodyDiv w:val="1"/>
      <w:marLeft w:val="0"/>
      <w:marRight w:val="0"/>
      <w:marTop w:val="0"/>
      <w:marBottom w:val="0"/>
      <w:divBdr>
        <w:top w:val="none" w:sz="0" w:space="0" w:color="auto"/>
        <w:left w:val="none" w:sz="0" w:space="0" w:color="auto"/>
        <w:bottom w:val="none" w:sz="0" w:space="0" w:color="auto"/>
        <w:right w:val="none" w:sz="0" w:space="0" w:color="auto"/>
      </w:divBdr>
      <w:divsChild>
        <w:div w:id="950473692">
          <w:marLeft w:val="0"/>
          <w:marRight w:val="0"/>
          <w:marTop w:val="0"/>
          <w:marBottom w:val="0"/>
          <w:divBdr>
            <w:top w:val="none" w:sz="0" w:space="0" w:color="auto"/>
            <w:left w:val="none" w:sz="0" w:space="0" w:color="auto"/>
            <w:bottom w:val="none" w:sz="0" w:space="0" w:color="auto"/>
            <w:right w:val="none" w:sz="0" w:space="0" w:color="auto"/>
          </w:divBdr>
        </w:div>
      </w:divsChild>
    </w:div>
    <w:div w:id="2044360802">
      <w:bodyDiv w:val="1"/>
      <w:marLeft w:val="0"/>
      <w:marRight w:val="0"/>
      <w:marTop w:val="0"/>
      <w:marBottom w:val="0"/>
      <w:divBdr>
        <w:top w:val="none" w:sz="0" w:space="0" w:color="auto"/>
        <w:left w:val="none" w:sz="0" w:space="0" w:color="auto"/>
        <w:bottom w:val="none" w:sz="0" w:space="0" w:color="auto"/>
        <w:right w:val="none" w:sz="0" w:space="0" w:color="auto"/>
      </w:divBdr>
      <w:divsChild>
        <w:div w:id="565069695">
          <w:marLeft w:val="0"/>
          <w:marRight w:val="0"/>
          <w:marTop w:val="0"/>
          <w:marBottom w:val="0"/>
          <w:divBdr>
            <w:top w:val="none" w:sz="0" w:space="0" w:color="auto"/>
            <w:left w:val="none" w:sz="0" w:space="0" w:color="auto"/>
            <w:bottom w:val="none" w:sz="0" w:space="0" w:color="auto"/>
            <w:right w:val="none" w:sz="0" w:space="0" w:color="auto"/>
          </w:divBdr>
        </w:div>
      </w:divsChild>
    </w:div>
    <w:div w:id="2060205517">
      <w:bodyDiv w:val="1"/>
      <w:marLeft w:val="0"/>
      <w:marRight w:val="0"/>
      <w:marTop w:val="0"/>
      <w:marBottom w:val="0"/>
      <w:divBdr>
        <w:top w:val="none" w:sz="0" w:space="0" w:color="auto"/>
        <w:left w:val="none" w:sz="0" w:space="0" w:color="auto"/>
        <w:bottom w:val="none" w:sz="0" w:space="0" w:color="auto"/>
        <w:right w:val="none" w:sz="0" w:space="0" w:color="auto"/>
      </w:divBdr>
      <w:divsChild>
        <w:div w:id="1083723935">
          <w:marLeft w:val="0"/>
          <w:marRight w:val="0"/>
          <w:marTop w:val="0"/>
          <w:marBottom w:val="0"/>
          <w:divBdr>
            <w:top w:val="none" w:sz="0" w:space="0" w:color="auto"/>
            <w:left w:val="none" w:sz="0" w:space="0" w:color="auto"/>
            <w:bottom w:val="none" w:sz="0" w:space="0" w:color="auto"/>
            <w:right w:val="none" w:sz="0" w:space="0" w:color="auto"/>
          </w:divBdr>
        </w:div>
      </w:divsChild>
    </w:div>
    <w:div w:id="2060475314">
      <w:bodyDiv w:val="1"/>
      <w:marLeft w:val="0"/>
      <w:marRight w:val="0"/>
      <w:marTop w:val="0"/>
      <w:marBottom w:val="0"/>
      <w:divBdr>
        <w:top w:val="none" w:sz="0" w:space="0" w:color="auto"/>
        <w:left w:val="none" w:sz="0" w:space="0" w:color="auto"/>
        <w:bottom w:val="none" w:sz="0" w:space="0" w:color="auto"/>
        <w:right w:val="none" w:sz="0" w:space="0" w:color="auto"/>
      </w:divBdr>
      <w:divsChild>
        <w:div w:id="671764649">
          <w:marLeft w:val="0"/>
          <w:marRight w:val="0"/>
          <w:marTop w:val="0"/>
          <w:marBottom w:val="0"/>
          <w:divBdr>
            <w:top w:val="none" w:sz="0" w:space="0" w:color="auto"/>
            <w:left w:val="none" w:sz="0" w:space="0" w:color="auto"/>
            <w:bottom w:val="none" w:sz="0" w:space="0" w:color="auto"/>
            <w:right w:val="none" w:sz="0" w:space="0" w:color="auto"/>
          </w:divBdr>
        </w:div>
      </w:divsChild>
    </w:div>
    <w:div w:id="2080592076">
      <w:bodyDiv w:val="1"/>
      <w:marLeft w:val="0"/>
      <w:marRight w:val="0"/>
      <w:marTop w:val="0"/>
      <w:marBottom w:val="0"/>
      <w:divBdr>
        <w:top w:val="none" w:sz="0" w:space="0" w:color="auto"/>
        <w:left w:val="none" w:sz="0" w:space="0" w:color="auto"/>
        <w:bottom w:val="none" w:sz="0" w:space="0" w:color="auto"/>
        <w:right w:val="none" w:sz="0" w:space="0" w:color="auto"/>
      </w:divBdr>
      <w:divsChild>
        <w:div w:id="1324775212">
          <w:marLeft w:val="0"/>
          <w:marRight w:val="0"/>
          <w:marTop w:val="0"/>
          <w:marBottom w:val="0"/>
          <w:divBdr>
            <w:top w:val="none" w:sz="0" w:space="0" w:color="auto"/>
            <w:left w:val="none" w:sz="0" w:space="0" w:color="auto"/>
            <w:bottom w:val="none" w:sz="0" w:space="0" w:color="auto"/>
            <w:right w:val="none" w:sz="0" w:space="0" w:color="auto"/>
          </w:divBdr>
        </w:div>
      </w:divsChild>
    </w:div>
    <w:div w:id="2086998793">
      <w:bodyDiv w:val="1"/>
      <w:marLeft w:val="0"/>
      <w:marRight w:val="0"/>
      <w:marTop w:val="0"/>
      <w:marBottom w:val="0"/>
      <w:divBdr>
        <w:top w:val="none" w:sz="0" w:space="0" w:color="auto"/>
        <w:left w:val="none" w:sz="0" w:space="0" w:color="auto"/>
        <w:bottom w:val="none" w:sz="0" w:space="0" w:color="auto"/>
        <w:right w:val="none" w:sz="0" w:space="0" w:color="auto"/>
      </w:divBdr>
      <w:divsChild>
        <w:div w:id="1078477028">
          <w:marLeft w:val="0"/>
          <w:marRight w:val="0"/>
          <w:marTop w:val="0"/>
          <w:marBottom w:val="0"/>
          <w:divBdr>
            <w:top w:val="none" w:sz="0" w:space="0" w:color="auto"/>
            <w:left w:val="none" w:sz="0" w:space="0" w:color="auto"/>
            <w:bottom w:val="none" w:sz="0" w:space="0" w:color="auto"/>
            <w:right w:val="none" w:sz="0" w:space="0" w:color="auto"/>
          </w:divBdr>
        </w:div>
      </w:divsChild>
    </w:div>
    <w:div w:id="2111391053">
      <w:bodyDiv w:val="1"/>
      <w:marLeft w:val="0"/>
      <w:marRight w:val="0"/>
      <w:marTop w:val="0"/>
      <w:marBottom w:val="0"/>
      <w:divBdr>
        <w:top w:val="none" w:sz="0" w:space="0" w:color="auto"/>
        <w:left w:val="none" w:sz="0" w:space="0" w:color="auto"/>
        <w:bottom w:val="none" w:sz="0" w:space="0" w:color="auto"/>
        <w:right w:val="none" w:sz="0" w:space="0" w:color="auto"/>
      </w:divBdr>
      <w:divsChild>
        <w:div w:id="2094928730">
          <w:marLeft w:val="0"/>
          <w:marRight w:val="0"/>
          <w:marTop w:val="0"/>
          <w:marBottom w:val="0"/>
          <w:divBdr>
            <w:top w:val="none" w:sz="0" w:space="0" w:color="auto"/>
            <w:left w:val="none" w:sz="0" w:space="0" w:color="auto"/>
            <w:bottom w:val="none" w:sz="0" w:space="0" w:color="auto"/>
            <w:right w:val="none" w:sz="0" w:space="0" w:color="auto"/>
          </w:divBdr>
        </w:div>
      </w:divsChild>
    </w:div>
    <w:div w:id="2114476643">
      <w:bodyDiv w:val="1"/>
      <w:marLeft w:val="0"/>
      <w:marRight w:val="0"/>
      <w:marTop w:val="0"/>
      <w:marBottom w:val="0"/>
      <w:divBdr>
        <w:top w:val="none" w:sz="0" w:space="0" w:color="auto"/>
        <w:left w:val="none" w:sz="0" w:space="0" w:color="auto"/>
        <w:bottom w:val="none" w:sz="0" w:space="0" w:color="auto"/>
        <w:right w:val="none" w:sz="0" w:space="0" w:color="auto"/>
      </w:divBdr>
      <w:divsChild>
        <w:div w:id="1344629487">
          <w:marLeft w:val="0"/>
          <w:marRight w:val="0"/>
          <w:marTop w:val="0"/>
          <w:marBottom w:val="0"/>
          <w:divBdr>
            <w:top w:val="none" w:sz="0" w:space="0" w:color="auto"/>
            <w:left w:val="none" w:sz="0" w:space="0" w:color="auto"/>
            <w:bottom w:val="none" w:sz="0" w:space="0" w:color="auto"/>
            <w:right w:val="none" w:sz="0" w:space="0" w:color="auto"/>
          </w:divBdr>
        </w:div>
      </w:divsChild>
    </w:div>
    <w:div w:id="2128238320">
      <w:bodyDiv w:val="1"/>
      <w:marLeft w:val="0"/>
      <w:marRight w:val="0"/>
      <w:marTop w:val="0"/>
      <w:marBottom w:val="0"/>
      <w:divBdr>
        <w:top w:val="none" w:sz="0" w:space="0" w:color="auto"/>
        <w:left w:val="none" w:sz="0" w:space="0" w:color="auto"/>
        <w:bottom w:val="none" w:sz="0" w:space="0" w:color="auto"/>
        <w:right w:val="none" w:sz="0" w:space="0" w:color="auto"/>
      </w:divBdr>
      <w:divsChild>
        <w:div w:id="2438776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7FF3EC-A108-43C7-94BE-3802B6815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8883</Words>
  <Characters>46537</Characters>
  <Application>Microsoft Office Word</Application>
  <DocSecurity>0</DocSecurity>
  <Lines>387</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2021-08-06T18:02:00Z</dcterms:created>
  <dcterms:modified xsi:type="dcterms:W3CDTF">2021-08-06T18:45:00Z</dcterms:modified>
</cp:coreProperties>
</file>