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386A" w14:textId="6BEB1E14" w:rsidR="008909BB" w:rsidRDefault="009F1AEE" w:rsidP="009F1AEE">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35EDC686" w14:textId="7DE5D3D3" w:rsidR="009F1AEE" w:rsidRDefault="009F1AEE" w:rsidP="009F1AEE">
      <w:pPr>
        <w:tabs>
          <w:tab w:val="left" w:pos="1440"/>
          <w:tab w:val="left" w:pos="4680"/>
          <w:tab w:val="center" w:pos="7200"/>
        </w:tabs>
        <w:spacing w:after="0"/>
        <w:jc w:val="center"/>
      </w:pPr>
    </w:p>
    <w:p w14:paraId="74FC3AFD" w14:textId="2523A418" w:rsidR="009F1AEE" w:rsidRDefault="009F1AEE" w:rsidP="009F1AEE">
      <w:pPr>
        <w:tabs>
          <w:tab w:val="left" w:pos="1440"/>
          <w:tab w:val="left" w:pos="4680"/>
          <w:tab w:val="center" w:pos="7200"/>
        </w:tabs>
        <w:spacing w:after="0"/>
        <w:jc w:val="center"/>
      </w:pPr>
      <w:r>
        <w:t>THE PEOPLE</w:t>
      </w:r>
      <w:r w:rsidR="003F6B61">
        <w:t>,</w:t>
      </w:r>
    </w:p>
    <w:p w14:paraId="0B84F722" w14:textId="635AF061" w:rsidR="009F1AEE" w:rsidRDefault="009F1AEE" w:rsidP="009F1AEE">
      <w:pPr>
        <w:tabs>
          <w:tab w:val="left" w:pos="1440"/>
          <w:tab w:val="left" w:pos="4680"/>
          <w:tab w:val="center" w:pos="7200"/>
        </w:tabs>
        <w:spacing w:after="0"/>
        <w:jc w:val="center"/>
      </w:pPr>
      <w:r>
        <w:t>Plaintiff and Respondent</w:t>
      </w:r>
      <w:r w:rsidR="003F6B61">
        <w:t>,</w:t>
      </w:r>
    </w:p>
    <w:p w14:paraId="40AB516B" w14:textId="6E5C6C78" w:rsidR="009F1AEE" w:rsidRDefault="009F1AEE" w:rsidP="009F1AEE">
      <w:pPr>
        <w:tabs>
          <w:tab w:val="left" w:pos="1440"/>
          <w:tab w:val="left" w:pos="4680"/>
          <w:tab w:val="center" w:pos="7200"/>
        </w:tabs>
        <w:spacing w:after="0"/>
        <w:jc w:val="center"/>
      </w:pPr>
      <w:r>
        <w:t>v.</w:t>
      </w:r>
    </w:p>
    <w:p w14:paraId="6ABA2031" w14:textId="32C493E7" w:rsidR="009F1AEE" w:rsidRDefault="009F1AEE" w:rsidP="009F1AEE">
      <w:pPr>
        <w:tabs>
          <w:tab w:val="left" w:pos="1440"/>
          <w:tab w:val="left" w:pos="4680"/>
          <w:tab w:val="center" w:pos="7200"/>
        </w:tabs>
        <w:spacing w:after="0"/>
        <w:jc w:val="center"/>
      </w:pPr>
      <w:r>
        <w:t>ROBERT LANDEROS VIVAR</w:t>
      </w:r>
      <w:r w:rsidR="003F6B61">
        <w:t>,</w:t>
      </w:r>
    </w:p>
    <w:p w14:paraId="65A502B6" w14:textId="211F1154" w:rsidR="009F1AEE" w:rsidRDefault="009F1AEE" w:rsidP="009F1AEE">
      <w:pPr>
        <w:tabs>
          <w:tab w:val="left" w:pos="1440"/>
          <w:tab w:val="left" w:pos="4680"/>
          <w:tab w:val="center" w:pos="7200"/>
        </w:tabs>
        <w:spacing w:after="0"/>
        <w:jc w:val="center"/>
      </w:pPr>
      <w:r>
        <w:t>Defendant and Appellant.</w:t>
      </w:r>
    </w:p>
    <w:p w14:paraId="1F02D8CC" w14:textId="4B43D08B" w:rsidR="009F1AEE" w:rsidRDefault="009F1AEE" w:rsidP="009F1AEE">
      <w:pPr>
        <w:tabs>
          <w:tab w:val="left" w:pos="1440"/>
          <w:tab w:val="left" w:pos="4680"/>
          <w:tab w:val="center" w:pos="7200"/>
        </w:tabs>
        <w:spacing w:after="0"/>
        <w:jc w:val="center"/>
      </w:pPr>
    </w:p>
    <w:p w14:paraId="03A43473" w14:textId="47AA62D4" w:rsidR="009F1AEE" w:rsidRDefault="009F1AEE" w:rsidP="009F1AEE">
      <w:pPr>
        <w:tabs>
          <w:tab w:val="left" w:pos="1440"/>
          <w:tab w:val="left" w:pos="4680"/>
          <w:tab w:val="center" w:pos="7200"/>
        </w:tabs>
        <w:spacing w:after="0"/>
        <w:jc w:val="center"/>
      </w:pPr>
      <w:r>
        <w:t>S260270</w:t>
      </w:r>
    </w:p>
    <w:p w14:paraId="6E9E4883" w14:textId="4950C033" w:rsidR="009F1AEE" w:rsidRDefault="009F1AEE" w:rsidP="009F1AEE">
      <w:pPr>
        <w:tabs>
          <w:tab w:val="left" w:pos="1440"/>
          <w:tab w:val="left" w:pos="4680"/>
          <w:tab w:val="center" w:pos="7200"/>
        </w:tabs>
        <w:spacing w:after="0"/>
        <w:jc w:val="center"/>
      </w:pPr>
    </w:p>
    <w:p w14:paraId="39EA530C" w14:textId="00D71481" w:rsidR="009F1AEE" w:rsidRDefault="009F1AEE" w:rsidP="009F1AEE">
      <w:pPr>
        <w:tabs>
          <w:tab w:val="left" w:pos="1440"/>
          <w:tab w:val="left" w:pos="4680"/>
          <w:tab w:val="center" w:pos="7200"/>
        </w:tabs>
        <w:spacing w:after="0"/>
        <w:jc w:val="center"/>
      </w:pPr>
      <w:r>
        <w:t>Fourth Appellate District, Division Two</w:t>
      </w:r>
    </w:p>
    <w:p w14:paraId="563A5B79" w14:textId="3F6F5190" w:rsidR="009F1AEE" w:rsidRDefault="009F1AEE" w:rsidP="009F1AEE">
      <w:pPr>
        <w:tabs>
          <w:tab w:val="left" w:pos="1440"/>
          <w:tab w:val="left" w:pos="4680"/>
          <w:tab w:val="center" w:pos="7200"/>
        </w:tabs>
        <w:spacing w:after="0"/>
        <w:jc w:val="center"/>
      </w:pPr>
      <w:r>
        <w:t>E070926</w:t>
      </w:r>
    </w:p>
    <w:p w14:paraId="2C98C679" w14:textId="7C02DC88" w:rsidR="009F1AEE" w:rsidRDefault="009F1AEE" w:rsidP="009F1AEE">
      <w:pPr>
        <w:tabs>
          <w:tab w:val="left" w:pos="1440"/>
          <w:tab w:val="left" w:pos="4680"/>
          <w:tab w:val="center" w:pos="7200"/>
        </w:tabs>
        <w:spacing w:after="0"/>
        <w:jc w:val="center"/>
      </w:pPr>
    </w:p>
    <w:p w14:paraId="14D33FAD" w14:textId="6E65AD15" w:rsidR="009F1AEE" w:rsidRDefault="009F1AEE" w:rsidP="009F1AEE">
      <w:pPr>
        <w:tabs>
          <w:tab w:val="left" w:pos="1440"/>
          <w:tab w:val="left" w:pos="4680"/>
          <w:tab w:val="center" w:pos="7200"/>
        </w:tabs>
        <w:spacing w:after="0"/>
        <w:jc w:val="center"/>
      </w:pPr>
      <w:r>
        <w:t>Riverside County</w:t>
      </w:r>
      <w:r w:rsidR="008D0892">
        <w:t xml:space="preserve"> Superior Court</w:t>
      </w:r>
    </w:p>
    <w:p w14:paraId="2357C3D3" w14:textId="229B5655" w:rsidR="009F1AEE" w:rsidRDefault="003F6B61" w:rsidP="009F1AEE">
      <w:pPr>
        <w:tabs>
          <w:tab w:val="left" w:pos="1440"/>
          <w:tab w:val="left" w:pos="4680"/>
          <w:tab w:val="center" w:pos="7200"/>
        </w:tabs>
        <w:spacing w:after="0"/>
        <w:jc w:val="center"/>
      </w:pPr>
      <w:r>
        <w:t>RIF101988</w:t>
      </w:r>
    </w:p>
    <w:p w14:paraId="60E302BB" w14:textId="7FECAB87" w:rsidR="009F1AEE" w:rsidRDefault="009F1AEE" w:rsidP="009F1AEE">
      <w:pPr>
        <w:pBdr>
          <w:bottom w:val="single" w:sz="4" w:space="1" w:color="auto"/>
        </w:pBdr>
        <w:tabs>
          <w:tab w:val="left" w:pos="1440"/>
          <w:tab w:val="left" w:pos="4680"/>
          <w:tab w:val="center" w:pos="7200"/>
        </w:tabs>
        <w:spacing w:after="0"/>
        <w:jc w:val="center"/>
      </w:pPr>
    </w:p>
    <w:p w14:paraId="357D53F4" w14:textId="240A7F80" w:rsidR="009F1AEE" w:rsidRDefault="009F1AEE" w:rsidP="009F1AEE">
      <w:pPr>
        <w:tabs>
          <w:tab w:val="left" w:pos="1440"/>
          <w:tab w:val="left" w:pos="4680"/>
          <w:tab w:val="center" w:pos="7200"/>
        </w:tabs>
        <w:spacing w:after="0"/>
        <w:jc w:val="center"/>
      </w:pPr>
    </w:p>
    <w:p w14:paraId="41CA0C65" w14:textId="4E446B93" w:rsidR="009F1AEE" w:rsidRDefault="00413F5E" w:rsidP="009F1AEE">
      <w:pPr>
        <w:tabs>
          <w:tab w:val="left" w:pos="1440"/>
          <w:tab w:val="left" w:pos="4680"/>
          <w:tab w:val="center" w:pos="7200"/>
        </w:tabs>
        <w:spacing w:after="0"/>
        <w:jc w:val="center"/>
      </w:pPr>
      <w:r>
        <w:t>May 3</w:t>
      </w:r>
      <w:r w:rsidR="009F1AEE">
        <w:t>, 2021</w:t>
      </w:r>
    </w:p>
    <w:p w14:paraId="0B93A88F" w14:textId="3AB63E55" w:rsidR="009F1AEE" w:rsidRDefault="009F1AEE" w:rsidP="009F1AEE">
      <w:pPr>
        <w:tabs>
          <w:tab w:val="left" w:pos="1440"/>
          <w:tab w:val="left" w:pos="4680"/>
          <w:tab w:val="center" w:pos="7200"/>
        </w:tabs>
        <w:spacing w:after="0"/>
        <w:jc w:val="center"/>
      </w:pPr>
    </w:p>
    <w:p w14:paraId="2F21B3A3" w14:textId="3C6BB9EC" w:rsidR="009F1AEE" w:rsidRDefault="009F1AEE" w:rsidP="00DA6782">
      <w:pPr>
        <w:tabs>
          <w:tab w:val="left" w:pos="1440"/>
          <w:tab w:val="left" w:pos="4680"/>
          <w:tab w:val="center" w:pos="7200"/>
        </w:tabs>
        <w:spacing w:after="0"/>
        <w:jc w:val="left"/>
      </w:pPr>
      <w:r>
        <w:t xml:space="preserve">Justice Cuéllar authored the opinion </w:t>
      </w:r>
      <w:r w:rsidR="003F6B61">
        <w:t xml:space="preserve">of the Court, in which </w:t>
      </w:r>
      <w:r w:rsidR="00413F5E">
        <w:t>Justices Liu, Kruger, Groban, and Jenkins</w:t>
      </w:r>
      <w:r w:rsidR="003F6B61">
        <w:t xml:space="preserve"> concurred.</w:t>
      </w:r>
    </w:p>
    <w:p w14:paraId="55919098" w14:textId="4C65098F" w:rsidR="00413F5E" w:rsidRDefault="00413F5E" w:rsidP="00DA6782">
      <w:pPr>
        <w:tabs>
          <w:tab w:val="left" w:pos="1440"/>
          <w:tab w:val="left" w:pos="4680"/>
          <w:tab w:val="center" w:pos="7200"/>
        </w:tabs>
        <w:spacing w:after="0"/>
        <w:jc w:val="left"/>
      </w:pPr>
    </w:p>
    <w:p w14:paraId="5B2C93D5" w14:textId="67C180C8" w:rsidR="00413F5E" w:rsidRDefault="00413F5E" w:rsidP="00DA6782">
      <w:pPr>
        <w:tabs>
          <w:tab w:val="left" w:pos="1440"/>
          <w:tab w:val="left" w:pos="4680"/>
          <w:tab w:val="center" w:pos="7200"/>
        </w:tabs>
        <w:spacing w:after="0"/>
        <w:jc w:val="left"/>
      </w:pPr>
      <w:r>
        <w:t>Justice Corrigan filed a concurring and dissenting opinion, in which Chief Justice Cantil-Sakauye concurred.</w:t>
      </w:r>
    </w:p>
    <w:p w14:paraId="6E840EFB" w14:textId="77777777" w:rsidR="009F1AEE" w:rsidRPr="009F1AEE" w:rsidRDefault="009F1AEE" w:rsidP="009F1AEE">
      <w:pPr>
        <w:pBdr>
          <w:bottom w:val="single" w:sz="4" w:space="1" w:color="auto"/>
        </w:pBdr>
        <w:tabs>
          <w:tab w:val="left" w:pos="1440"/>
          <w:tab w:val="left" w:pos="4680"/>
          <w:tab w:val="center" w:pos="7200"/>
        </w:tabs>
        <w:spacing w:line="480" w:lineRule="atLeast"/>
        <w:jc w:val="left"/>
      </w:pPr>
      <w:bookmarkStart w:id="1" w:name="Return"/>
      <w:bookmarkEnd w:id="1"/>
    </w:p>
    <w:p w14:paraId="48957C01" w14:textId="77777777" w:rsidR="009F1AEE" w:rsidRDefault="009F1AEE">
      <w:pPr>
        <w:tabs>
          <w:tab w:val="left" w:pos="1440"/>
          <w:tab w:val="left" w:pos="4680"/>
          <w:tab w:val="center" w:pos="7200"/>
        </w:tabs>
        <w:spacing w:line="480" w:lineRule="atLeast"/>
        <w:sectPr w:rsidR="009F1AEE" w:rsidSect="009F1AEE">
          <w:headerReference w:type="default" r:id="rId7"/>
          <w:footerReference w:type="default" r:id="rId8"/>
          <w:footnotePr>
            <w:numRestart w:val="eachSect"/>
          </w:footnotePr>
          <w:pgSz w:w="12240" w:h="15840"/>
          <w:pgMar w:top="1800" w:right="2160" w:bottom="1440" w:left="2160" w:header="720" w:footer="720" w:gutter="0"/>
          <w:cols w:space="720"/>
          <w:titlePg/>
          <w:docGrid w:linePitch="367"/>
        </w:sectPr>
      </w:pPr>
    </w:p>
    <w:p w14:paraId="2AF703EC" w14:textId="05A12A27" w:rsidR="009F1AEE" w:rsidRDefault="009F1AEE" w:rsidP="009F1AEE">
      <w:pPr>
        <w:tabs>
          <w:tab w:val="left" w:pos="1440"/>
          <w:tab w:val="left" w:pos="4680"/>
          <w:tab w:val="center" w:pos="7200"/>
        </w:tabs>
        <w:jc w:val="center"/>
      </w:pPr>
      <w:r>
        <w:lastRenderedPageBreak/>
        <w:t>PEOPLE v. VIVAR</w:t>
      </w:r>
    </w:p>
    <w:p w14:paraId="12DAC6D4" w14:textId="21863060" w:rsidR="009F1AEE" w:rsidRDefault="009F1AEE" w:rsidP="009F1AEE">
      <w:pPr>
        <w:tabs>
          <w:tab w:val="left" w:pos="1440"/>
          <w:tab w:val="left" w:pos="4680"/>
          <w:tab w:val="center" w:pos="7200"/>
        </w:tabs>
        <w:jc w:val="center"/>
      </w:pPr>
      <w:r>
        <w:t>S260270</w:t>
      </w:r>
    </w:p>
    <w:p w14:paraId="33FAA586" w14:textId="31ACC692" w:rsidR="009F1AEE" w:rsidRDefault="009F1AEE" w:rsidP="009F1AEE">
      <w:pPr>
        <w:tabs>
          <w:tab w:val="left" w:pos="1440"/>
          <w:tab w:val="left" w:pos="4680"/>
          <w:tab w:val="center" w:pos="7200"/>
        </w:tabs>
        <w:jc w:val="center"/>
      </w:pPr>
    </w:p>
    <w:p w14:paraId="4C4A8E0E" w14:textId="09882DAE" w:rsidR="009F1AEE" w:rsidRDefault="009F1AEE" w:rsidP="009F1AEE">
      <w:pPr>
        <w:tabs>
          <w:tab w:val="left" w:pos="1440"/>
          <w:tab w:val="left" w:pos="4680"/>
          <w:tab w:val="center" w:pos="7200"/>
        </w:tabs>
        <w:jc w:val="center"/>
      </w:pPr>
      <w:r>
        <w:t>Opinion of the Court by Cuéllar, J.</w:t>
      </w:r>
    </w:p>
    <w:p w14:paraId="484D2767" w14:textId="77777777" w:rsidR="009F1AEE" w:rsidRPr="009F1AEE" w:rsidRDefault="009F1AEE" w:rsidP="009F1AEE">
      <w:pPr>
        <w:tabs>
          <w:tab w:val="left" w:pos="1440"/>
          <w:tab w:val="left" w:pos="4680"/>
          <w:tab w:val="center" w:pos="7200"/>
        </w:tabs>
        <w:jc w:val="center"/>
      </w:pPr>
    </w:p>
    <w:p w14:paraId="17034D89" w14:textId="131A31E6" w:rsidR="009F75FF" w:rsidRPr="009F1AEE" w:rsidRDefault="008A61E2" w:rsidP="009F1AEE">
      <w:pPr>
        <w:tabs>
          <w:tab w:val="left" w:pos="1440"/>
        </w:tabs>
        <w:ind w:firstLine="720"/>
      </w:pPr>
      <w:bookmarkStart w:id="2" w:name="mainstory"/>
      <w:bookmarkEnd w:id="2"/>
      <w:r>
        <w:t>The population of the United States includes m</w:t>
      </w:r>
      <w:r w:rsidRPr="009F1AEE">
        <w:t xml:space="preserve">illions </w:t>
      </w:r>
      <w:r w:rsidR="004C3F4F" w:rsidRPr="009F1AEE">
        <w:t xml:space="preserve">of </w:t>
      </w:r>
      <w:r w:rsidR="00A718FB">
        <w:t>immigrants</w:t>
      </w:r>
      <w:r w:rsidR="004C3F4F" w:rsidRPr="009F1AEE">
        <w:t xml:space="preserve"> </w:t>
      </w:r>
      <w:r>
        <w:t>who arrived</w:t>
      </w:r>
      <w:r w:rsidR="004C3F4F" w:rsidRPr="009F1AEE">
        <w:t xml:space="preserve"> as children, attended schools, and found work here.  (See </w:t>
      </w:r>
      <w:proofErr w:type="spellStart"/>
      <w:r w:rsidR="004C3F4F" w:rsidRPr="009F1AEE">
        <w:rPr>
          <w:i/>
        </w:rPr>
        <w:t>Dep’t</w:t>
      </w:r>
      <w:proofErr w:type="spellEnd"/>
      <w:r w:rsidR="004C3F4F" w:rsidRPr="009F1AEE">
        <w:rPr>
          <w:i/>
        </w:rPr>
        <w:t xml:space="preserve"> of Homeland Security v. Regents of the Univ. of California </w:t>
      </w:r>
      <w:r w:rsidR="004C3F4F" w:rsidRPr="009F1AEE">
        <w:t xml:space="preserve">(2020) </w:t>
      </w:r>
      <w:r w:rsidR="00D5007B">
        <w:t>___ U.S. ___, ___ [</w:t>
      </w:r>
      <w:r w:rsidR="004C3F4F" w:rsidRPr="009F1AEE">
        <w:t xml:space="preserve">140 </w:t>
      </w:r>
      <w:proofErr w:type="spellStart"/>
      <w:r w:rsidR="004C3F4F" w:rsidRPr="009F1AEE">
        <w:t>S.Ct</w:t>
      </w:r>
      <w:proofErr w:type="spellEnd"/>
      <w:r w:rsidR="004C3F4F" w:rsidRPr="009F1AEE">
        <w:t>. 1891, 1932</w:t>
      </w:r>
      <w:r w:rsidR="007A4D88">
        <w:t>]</w:t>
      </w:r>
      <w:r w:rsidR="004C3F4F" w:rsidRPr="009F1AEE">
        <w:t xml:space="preserve"> (conc. &amp; dis. opn. of Kavanaugh, J.)</w:t>
      </w:r>
      <w:r w:rsidR="003226B4" w:rsidRPr="009F1AEE">
        <w:t>.)</w:t>
      </w:r>
      <w:r w:rsidR="004C3F4F" w:rsidRPr="009F1AEE">
        <w:t xml:space="preserve"> </w:t>
      </w:r>
      <w:r w:rsidR="00CB2107" w:rsidRPr="009F1AEE">
        <w:t xml:space="preserve"> </w:t>
      </w:r>
      <w:r w:rsidR="00EE566C">
        <w:t xml:space="preserve">Whether they become citizens or not, </w:t>
      </w:r>
      <w:r>
        <w:t>these immigrants’</w:t>
      </w:r>
      <w:r w:rsidRPr="009F1AEE">
        <w:t xml:space="preserve"> </w:t>
      </w:r>
      <w:r w:rsidR="003571CB" w:rsidRPr="009F1AEE">
        <w:t xml:space="preserve">ties </w:t>
      </w:r>
      <w:r w:rsidR="00042BB0" w:rsidRPr="009F1AEE">
        <w:t xml:space="preserve">to </w:t>
      </w:r>
      <w:r>
        <w:t>our</w:t>
      </w:r>
      <w:r w:rsidRPr="009F1AEE">
        <w:t xml:space="preserve"> </w:t>
      </w:r>
      <w:r w:rsidR="00042BB0" w:rsidRPr="009F1AEE">
        <w:t>country</w:t>
      </w:r>
      <w:r w:rsidR="004C3F4F" w:rsidRPr="009F1AEE">
        <w:t xml:space="preserve"> </w:t>
      </w:r>
      <w:r w:rsidR="00EB1872" w:rsidRPr="009F1AEE">
        <w:t xml:space="preserve">are evident not only </w:t>
      </w:r>
      <w:r w:rsidR="003571CB" w:rsidRPr="009F1AEE">
        <w:t>in</w:t>
      </w:r>
      <w:r w:rsidR="00EB1872" w:rsidRPr="009F1AEE">
        <w:t xml:space="preserve"> </w:t>
      </w:r>
      <w:r w:rsidR="002949DB" w:rsidRPr="009F1AEE">
        <w:t xml:space="preserve">their </w:t>
      </w:r>
      <w:r w:rsidR="00EB1872" w:rsidRPr="009F1AEE">
        <w:t>work and school</w:t>
      </w:r>
      <w:r w:rsidR="003571CB" w:rsidRPr="009F1AEE">
        <w:t>ing</w:t>
      </w:r>
      <w:r w:rsidR="00EB1872" w:rsidRPr="009F1AEE">
        <w:t xml:space="preserve">, but in </w:t>
      </w:r>
      <w:r w:rsidR="003571CB" w:rsidRPr="009F1AEE">
        <w:t xml:space="preserve">how they’ve </w:t>
      </w:r>
      <w:r w:rsidR="008028F4" w:rsidRPr="009F1AEE">
        <w:t xml:space="preserve">formed </w:t>
      </w:r>
      <w:r w:rsidR="008C6304">
        <w:t xml:space="preserve">attachments and </w:t>
      </w:r>
      <w:r w:rsidR="008028F4" w:rsidRPr="009F1AEE">
        <w:t>families of their own</w:t>
      </w:r>
      <w:r w:rsidR="00D236BA">
        <w:t xml:space="preserve">.  </w:t>
      </w:r>
      <w:r w:rsidR="0070312C">
        <w:t>In contrast, what ties they once had</w:t>
      </w:r>
      <w:r w:rsidR="001A5B91" w:rsidRPr="009F1AEE">
        <w:t xml:space="preserve"> to their country of birth</w:t>
      </w:r>
      <w:r w:rsidR="007A4D88">
        <w:t xml:space="preserve"> —</w:t>
      </w:r>
      <w:r w:rsidR="001A5B91" w:rsidRPr="009F1AEE">
        <w:t xml:space="preserve"> </w:t>
      </w:r>
      <w:r w:rsidR="009877F0">
        <w:t>from</w:t>
      </w:r>
      <w:r w:rsidR="00F40882" w:rsidRPr="009F1AEE">
        <w:t xml:space="preserve"> which they may lack even memories </w:t>
      </w:r>
      <w:r w:rsidR="007A4D88">
        <w:t xml:space="preserve">— </w:t>
      </w:r>
      <w:r w:rsidR="0070312C">
        <w:t>often</w:t>
      </w:r>
      <w:r w:rsidR="00F40882" w:rsidRPr="009F1AEE">
        <w:t xml:space="preserve"> </w:t>
      </w:r>
      <w:r w:rsidR="00225D78">
        <w:t>slip away</w:t>
      </w:r>
      <w:r w:rsidR="004C3F4F" w:rsidRPr="009F1AEE">
        <w:t xml:space="preserve">.  </w:t>
      </w:r>
      <w:r w:rsidR="002E5916" w:rsidRPr="009F1AEE">
        <w:t xml:space="preserve">So when </w:t>
      </w:r>
      <w:r w:rsidR="006805FE">
        <w:t>long</w:t>
      </w:r>
      <w:r w:rsidR="00A24040">
        <w:t>-</w:t>
      </w:r>
      <w:r w:rsidR="006805FE">
        <w:t xml:space="preserve">standing </w:t>
      </w:r>
      <w:r w:rsidR="0070312C">
        <w:t>non</w:t>
      </w:r>
      <w:r w:rsidR="006805FE">
        <w:t xml:space="preserve">citizen </w:t>
      </w:r>
      <w:r w:rsidR="00D236BA">
        <w:t xml:space="preserve">residents of this country </w:t>
      </w:r>
      <w:r w:rsidR="002E5916" w:rsidRPr="009F1AEE">
        <w:t xml:space="preserve">are accused of committing a crime, the most devastating consequence may not be a prison sentence, but </w:t>
      </w:r>
      <w:r w:rsidR="00230CB0">
        <w:t xml:space="preserve">their </w:t>
      </w:r>
      <w:r w:rsidR="002E5916" w:rsidRPr="009F1AEE">
        <w:t xml:space="preserve">removal </w:t>
      </w:r>
      <w:r w:rsidR="00A718FB">
        <w:t xml:space="preserve">and exclusion </w:t>
      </w:r>
      <w:r w:rsidR="002E5916" w:rsidRPr="009F1AEE">
        <w:t xml:space="preserve">from the United States. </w:t>
      </w:r>
      <w:r w:rsidR="004E50B2">
        <w:t xml:space="preserve"> </w:t>
      </w:r>
      <w:r w:rsidR="004C3F4F" w:rsidRPr="009F1AEE">
        <w:t xml:space="preserve">(See </w:t>
      </w:r>
      <w:r w:rsidR="004C3F4F" w:rsidRPr="009F1AEE">
        <w:rPr>
          <w:i/>
        </w:rPr>
        <w:t xml:space="preserve">People v. Martinez </w:t>
      </w:r>
      <w:r w:rsidR="004C3F4F" w:rsidRPr="009F1AEE">
        <w:t>(2013) 57 Cal.4th 555, 563 (</w:t>
      </w:r>
      <w:r w:rsidR="004C3F4F" w:rsidRPr="009F1AEE">
        <w:rPr>
          <w:i/>
        </w:rPr>
        <w:t>Martinez</w:t>
      </w:r>
      <w:r w:rsidR="004C3F4F" w:rsidRPr="009F1AEE">
        <w:t xml:space="preserve">).)  </w:t>
      </w:r>
      <w:r w:rsidR="001343D1" w:rsidRPr="009F1AEE">
        <w:t xml:space="preserve">Because </w:t>
      </w:r>
      <w:r w:rsidR="008B261E" w:rsidRPr="009F1AEE">
        <w:t>the prospect of deportation</w:t>
      </w:r>
      <w:r w:rsidR="001343D1" w:rsidRPr="009F1AEE">
        <w:t xml:space="preserve"> “is an integral part,” and often even “the most important part,” of a </w:t>
      </w:r>
      <w:r w:rsidR="00276D42" w:rsidRPr="009F1AEE">
        <w:t xml:space="preserve">noncitizen </w:t>
      </w:r>
      <w:r w:rsidR="001343D1" w:rsidRPr="009F1AEE">
        <w:t xml:space="preserve">defendant’s calculus in </w:t>
      </w:r>
      <w:r w:rsidR="00276D42" w:rsidRPr="009F1AEE">
        <w:t xml:space="preserve">responding </w:t>
      </w:r>
      <w:r w:rsidR="001343D1" w:rsidRPr="009F1AEE">
        <w:t>to certain criminal charges (</w:t>
      </w:r>
      <w:r w:rsidR="001343D1" w:rsidRPr="009F1AEE">
        <w:rPr>
          <w:i/>
        </w:rPr>
        <w:t>Padilla v. Kentucky</w:t>
      </w:r>
      <w:r w:rsidR="001343D1" w:rsidRPr="009F1AEE">
        <w:t xml:space="preserve"> (2010) 559 U.S. 356, 364 (</w:t>
      </w:r>
      <w:r w:rsidR="001343D1" w:rsidRPr="009F1AEE">
        <w:rPr>
          <w:i/>
        </w:rPr>
        <w:t>Padilla</w:t>
      </w:r>
      <w:r w:rsidR="001343D1" w:rsidRPr="009F1AEE">
        <w:t>)</w:t>
      </w:r>
      <w:r w:rsidR="003226B4" w:rsidRPr="009F1AEE">
        <w:t>)</w:t>
      </w:r>
      <w:r w:rsidR="001343D1" w:rsidRPr="009F1AEE">
        <w:t xml:space="preserve">, </w:t>
      </w:r>
      <w:r w:rsidR="003E4378" w:rsidRPr="009F1AEE">
        <w:t xml:space="preserve">both the Legislature and the courts have </w:t>
      </w:r>
      <w:r w:rsidR="00D433E7" w:rsidRPr="009F1AEE">
        <w:t>sought</w:t>
      </w:r>
      <w:r w:rsidR="003E4378" w:rsidRPr="009F1AEE">
        <w:t xml:space="preserve"> to ensure </w:t>
      </w:r>
      <w:r w:rsidR="00276D42" w:rsidRPr="009F1AEE">
        <w:t>these</w:t>
      </w:r>
      <w:r w:rsidR="009E0859" w:rsidRPr="009F1AEE">
        <w:t xml:space="preserve"> </w:t>
      </w:r>
      <w:r w:rsidR="003E4378" w:rsidRPr="009F1AEE">
        <w:t xml:space="preserve">defendants </w:t>
      </w:r>
      <w:r w:rsidR="00D433E7" w:rsidRPr="009F1AEE">
        <w:t xml:space="preserve">receive clear and accurate </w:t>
      </w:r>
      <w:r w:rsidR="003E4378" w:rsidRPr="009F1AEE">
        <w:t>advi</w:t>
      </w:r>
      <w:r w:rsidR="00D433E7" w:rsidRPr="009F1AEE">
        <w:t>ce</w:t>
      </w:r>
      <w:r w:rsidR="003E4378" w:rsidRPr="009F1AEE">
        <w:t xml:space="preserve"> about </w:t>
      </w:r>
      <w:r w:rsidR="00B42713" w:rsidRPr="009F1AEE">
        <w:t xml:space="preserve">the </w:t>
      </w:r>
      <w:r w:rsidR="000E743D" w:rsidRPr="009F1AEE">
        <w:t>impact</w:t>
      </w:r>
      <w:r w:rsidR="00B42713" w:rsidRPr="009F1AEE">
        <w:t xml:space="preserve"> of</w:t>
      </w:r>
      <w:r w:rsidR="00A15DD1" w:rsidRPr="009F1AEE">
        <w:t xml:space="preserve"> </w:t>
      </w:r>
      <w:r w:rsidR="00AA652E" w:rsidRPr="009F1AEE">
        <w:t xml:space="preserve">criminal convictions </w:t>
      </w:r>
      <w:r w:rsidR="00B42713" w:rsidRPr="009F1AEE">
        <w:t>on</w:t>
      </w:r>
      <w:r w:rsidR="00AA652E" w:rsidRPr="009F1AEE">
        <w:t xml:space="preserve"> their </w:t>
      </w:r>
      <w:r w:rsidR="003E4378" w:rsidRPr="009F1AEE">
        <w:t xml:space="preserve">immigration </w:t>
      </w:r>
      <w:r w:rsidR="00AA652E" w:rsidRPr="009F1AEE">
        <w:t>status</w:t>
      </w:r>
      <w:r w:rsidR="001D3CF1" w:rsidRPr="009F1AEE">
        <w:t>,</w:t>
      </w:r>
      <w:r w:rsidR="003E4378" w:rsidRPr="009F1AEE">
        <w:t xml:space="preserve"> </w:t>
      </w:r>
      <w:r w:rsidR="00D41003" w:rsidRPr="009F1AEE">
        <w:t>along with</w:t>
      </w:r>
      <w:r w:rsidR="00346C98" w:rsidRPr="009F1AEE">
        <w:t xml:space="preserve"> effective</w:t>
      </w:r>
      <w:r w:rsidR="0070460C" w:rsidRPr="009F1AEE">
        <w:t xml:space="preserve"> remedies when </w:t>
      </w:r>
      <w:r w:rsidR="00D41003" w:rsidRPr="009F1AEE">
        <w:t>such</w:t>
      </w:r>
      <w:r w:rsidR="00C80696" w:rsidRPr="009F1AEE">
        <w:t xml:space="preserve"> advice is </w:t>
      </w:r>
      <w:r w:rsidR="00EE05E8" w:rsidRPr="009F1AEE">
        <w:t>deficient</w:t>
      </w:r>
      <w:r w:rsidR="00D22669" w:rsidRPr="009F1AEE">
        <w:t>.</w:t>
      </w:r>
      <w:r w:rsidR="003E4378" w:rsidRPr="009F1AEE">
        <w:t xml:space="preserve">  (E.g., Pen. Code</w:t>
      </w:r>
      <w:r w:rsidR="00276D42" w:rsidRPr="009F1AEE">
        <w:t xml:space="preserve">, </w:t>
      </w:r>
      <w:r w:rsidR="009F75FF" w:rsidRPr="009F1AEE">
        <w:t>§</w:t>
      </w:r>
      <w:r w:rsidR="003E4378" w:rsidRPr="009F1AEE">
        <w:t>§</w:t>
      </w:r>
      <w:r w:rsidR="00276D42" w:rsidRPr="009F1AEE">
        <w:t> </w:t>
      </w:r>
      <w:r w:rsidR="009F75FF" w:rsidRPr="009F1AEE">
        <w:t>1016.2 et seq.</w:t>
      </w:r>
      <w:r w:rsidR="008017F5" w:rsidRPr="009F1AEE">
        <w:t>, 1473.7</w:t>
      </w:r>
      <w:r w:rsidR="009F75FF" w:rsidRPr="009F1AEE">
        <w:t xml:space="preserve">; </w:t>
      </w:r>
      <w:r w:rsidR="009F75FF" w:rsidRPr="009F1AEE">
        <w:rPr>
          <w:i/>
        </w:rPr>
        <w:t xml:space="preserve">Lee v. United States </w:t>
      </w:r>
      <w:r w:rsidR="009F75FF" w:rsidRPr="009F1AEE">
        <w:t xml:space="preserve">(2017) </w:t>
      </w:r>
      <w:r w:rsidR="007A4D88">
        <w:t>___ U.S. ___ [</w:t>
      </w:r>
      <w:r w:rsidR="009F75FF" w:rsidRPr="009F1AEE">
        <w:t xml:space="preserve">137 </w:t>
      </w:r>
      <w:proofErr w:type="spellStart"/>
      <w:r w:rsidR="009F75FF" w:rsidRPr="009F1AEE">
        <w:t>S.Ct</w:t>
      </w:r>
      <w:proofErr w:type="spellEnd"/>
      <w:r w:rsidR="009F75FF" w:rsidRPr="009F1AEE">
        <w:t>. 1958</w:t>
      </w:r>
      <w:r w:rsidR="007A4D88">
        <w:t>]</w:t>
      </w:r>
      <w:r w:rsidR="009F75FF" w:rsidRPr="009F1AEE">
        <w:t xml:space="preserve"> (</w:t>
      </w:r>
      <w:r w:rsidR="009F75FF" w:rsidRPr="009F1AEE">
        <w:rPr>
          <w:i/>
        </w:rPr>
        <w:t>Lee</w:t>
      </w:r>
      <w:r w:rsidR="009F75FF" w:rsidRPr="009F1AEE">
        <w:t xml:space="preserve">); </w:t>
      </w:r>
      <w:r w:rsidR="009F75FF" w:rsidRPr="009F1AEE">
        <w:rPr>
          <w:i/>
        </w:rPr>
        <w:t>Padilla</w:t>
      </w:r>
      <w:r w:rsidR="009F75FF" w:rsidRPr="009F1AEE">
        <w:t xml:space="preserve">, </w:t>
      </w:r>
      <w:r w:rsidR="00D236BA">
        <w:t xml:space="preserve">at p. </w:t>
      </w:r>
      <w:r w:rsidR="009F75FF" w:rsidRPr="009F1AEE">
        <w:t>3</w:t>
      </w:r>
      <w:r w:rsidR="00D236BA">
        <w:t>60</w:t>
      </w:r>
      <w:r w:rsidR="009F75FF" w:rsidRPr="009F1AEE">
        <w:t xml:space="preserve">; </w:t>
      </w:r>
      <w:r w:rsidR="009D740C" w:rsidRPr="009F1AEE">
        <w:rPr>
          <w:i/>
        </w:rPr>
        <w:lastRenderedPageBreak/>
        <w:t>M</w:t>
      </w:r>
      <w:r w:rsidR="009F75FF" w:rsidRPr="009F1AEE">
        <w:rPr>
          <w:i/>
        </w:rPr>
        <w:t>artinez</w:t>
      </w:r>
      <w:r w:rsidR="009D740C" w:rsidRPr="009F1AEE">
        <w:t xml:space="preserve">, </w:t>
      </w:r>
      <w:r w:rsidR="00D236BA">
        <w:t>at p. 559</w:t>
      </w:r>
      <w:r w:rsidR="009F75FF" w:rsidRPr="009F1AEE">
        <w:t xml:space="preserve">; </w:t>
      </w:r>
      <w:r w:rsidR="009F75FF" w:rsidRPr="009F1AEE">
        <w:rPr>
          <w:i/>
        </w:rPr>
        <w:t>People v. Superior Court</w:t>
      </w:r>
      <w:r w:rsidR="009F75FF" w:rsidRPr="009F1AEE">
        <w:t xml:space="preserve"> (</w:t>
      </w:r>
      <w:r w:rsidR="009F75FF" w:rsidRPr="009F1AEE">
        <w:rPr>
          <w:i/>
        </w:rPr>
        <w:t>Giron</w:t>
      </w:r>
      <w:r w:rsidR="009F75FF" w:rsidRPr="009F1AEE">
        <w:t xml:space="preserve">) (1974) 11 Cal.3d 793, 798.) </w:t>
      </w:r>
    </w:p>
    <w:p w14:paraId="33F50850" w14:textId="54DA72EF" w:rsidR="00CC2565" w:rsidRPr="009F1AEE" w:rsidRDefault="002C7C1B" w:rsidP="009F1AEE">
      <w:pPr>
        <w:tabs>
          <w:tab w:val="left" w:pos="1440"/>
        </w:tabs>
        <w:ind w:firstLine="720"/>
      </w:pPr>
      <w:r w:rsidRPr="009F1AEE">
        <w:t>How</w:t>
      </w:r>
      <w:r w:rsidR="00836E10" w:rsidRPr="009F1AEE">
        <w:t xml:space="preserve"> these provisions </w:t>
      </w:r>
      <w:r w:rsidR="00B42713" w:rsidRPr="009F1AEE">
        <w:t xml:space="preserve">apply to </w:t>
      </w:r>
      <w:r w:rsidRPr="009F1AEE">
        <w:t xml:space="preserve">people like defendant Robert </w:t>
      </w:r>
      <w:proofErr w:type="spellStart"/>
      <w:r w:rsidRPr="009F1AEE">
        <w:t>Landeros</w:t>
      </w:r>
      <w:proofErr w:type="spellEnd"/>
      <w:r w:rsidRPr="009F1AEE">
        <w:t xml:space="preserve"> </w:t>
      </w:r>
      <w:proofErr w:type="spellStart"/>
      <w:r w:rsidRPr="009F1AEE">
        <w:t>Vivar</w:t>
      </w:r>
      <w:proofErr w:type="spellEnd"/>
      <w:r w:rsidR="00B42713" w:rsidRPr="009F1AEE">
        <w:t xml:space="preserve"> </w:t>
      </w:r>
      <w:r w:rsidR="00230CB0">
        <w:t xml:space="preserve">— </w:t>
      </w:r>
      <w:r w:rsidR="00777254" w:rsidRPr="009F1AEE">
        <w:t>who</w:t>
      </w:r>
      <w:r w:rsidR="000E743D" w:rsidRPr="009F1AEE">
        <w:t xml:space="preserve"> came to the United States at age six </w:t>
      </w:r>
      <w:r w:rsidR="001974CF" w:rsidRPr="009F1AEE">
        <w:t xml:space="preserve">and lacked any meaningful ties to his country of birth </w:t>
      </w:r>
      <w:r w:rsidR="00230CB0">
        <w:t xml:space="preserve">— </w:t>
      </w:r>
      <w:r w:rsidR="001974CF" w:rsidRPr="009F1AEE">
        <w:t xml:space="preserve">is </w:t>
      </w:r>
      <w:r w:rsidR="00295E42" w:rsidRPr="009F1AEE">
        <w:t>the problem we address in this case</w:t>
      </w:r>
      <w:r w:rsidR="00D33C53" w:rsidRPr="009F1AEE">
        <w:t xml:space="preserve">.  </w:t>
      </w:r>
      <w:proofErr w:type="spellStart"/>
      <w:r w:rsidR="00295E42" w:rsidRPr="009F1AEE">
        <w:t>Vivar</w:t>
      </w:r>
      <w:proofErr w:type="spellEnd"/>
      <w:r w:rsidR="00D33C53" w:rsidRPr="009F1AEE">
        <w:t xml:space="preserve"> </w:t>
      </w:r>
      <w:r w:rsidR="00CC2565" w:rsidRPr="009F1AEE">
        <w:t xml:space="preserve">was </w:t>
      </w:r>
      <w:r w:rsidR="0043339F" w:rsidRPr="009F1AEE">
        <w:t xml:space="preserve">arrested </w:t>
      </w:r>
      <w:r w:rsidR="00080A8E" w:rsidRPr="009F1AEE">
        <w:t>in 2002</w:t>
      </w:r>
      <w:r w:rsidR="009E0859" w:rsidRPr="009F1AEE">
        <w:t xml:space="preserve"> for attempting to steal Sudafed from a grocery store</w:t>
      </w:r>
      <w:r w:rsidR="00BB7B68" w:rsidRPr="009F1AEE">
        <w:t>.  Although he</w:t>
      </w:r>
      <w:r w:rsidR="00406E6E" w:rsidRPr="009F1AEE">
        <w:t>’d spent four decades living in this country as a lawful permanent resident, he lacked American citizenship.  What he nonetheless possessed w</w:t>
      </w:r>
      <w:r w:rsidR="00783180">
        <w:t>ere</w:t>
      </w:r>
      <w:r w:rsidR="00406E6E" w:rsidRPr="009F1AEE">
        <w:t xml:space="preserve"> robust ties to the United States.</w:t>
      </w:r>
      <w:r w:rsidR="001E0DAD" w:rsidRPr="009F1AEE">
        <w:t xml:space="preserve">  </w:t>
      </w:r>
      <w:r w:rsidR="008017F5" w:rsidRPr="009F1AEE">
        <w:t>His mother, wife, children, and grandchildren were all citizens.  His son</w:t>
      </w:r>
      <w:r w:rsidR="00080A8E" w:rsidRPr="009F1AEE">
        <w:t>, who was serving in the U</w:t>
      </w:r>
      <w:r w:rsidR="00230CB0">
        <w:t xml:space="preserve">nited </w:t>
      </w:r>
      <w:r w:rsidR="00080A8E" w:rsidRPr="009F1AEE">
        <w:t>S</w:t>
      </w:r>
      <w:r w:rsidR="00230CB0">
        <w:t>tates</w:t>
      </w:r>
      <w:r w:rsidR="00080A8E" w:rsidRPr="009F1AEE">
        <w:t xml:space="preserve"> Air Force,</w:t>
      </w:r>
      <w:r w:rsidR="008017F5" w:rsidRPr="009F1AEE">
        <w:t xml:space="preserve"> was about to </w:t>
      </w:r>
      <w:r w:rsidR="00080A8E" w:rsidRPr="009F1AEE">
        <w:t>be deployed to the Middle East.</w:t>
      </w:r>
    </w:p>
    <w:p w14:paraId="7EC284F7" w14:textId="2051C4E3" w:rsidR="00032801" w:rsidRPr="009F1AEE" w:rsidRDefault="00CC2565" w:rsidP="009F1AEE">
      <w:pPr>
        <w:tabs>
          <w:tab w:val="left" w:pos="1440"/>
        </w:tabs>
        <w:ind w:firstLine="720"/>
      </w:pPr>
      <w:r w:rsidRPr="009F1AEE">
        <w:t xml:space="preserve">Unfortunately, </w:t>
      </w:r>
      <w:r w:rsidR="00EE4376">
        <w:t xml:space="preserve">as the Court of Appeal held and the Attorney General concedes, </w:t>
      </w:r>
      <w:proofErr w:type="spellStart"/>
      <w:r w:rsidR="0043339F" w:rsidRPr="009F1AEE">
        <w:t>Vivar</w:t>
      </w:r>
      <w:proofErr w:type="spellEnd"/>
      <w:r w:rsidR="0043339F" w:rsidRPr="009F1AEE">
        <w:t xml:space="preserve"> was</w:t>
      </w:r>
      <w:r w:rsidR="00794D10" w:rsidRPr="009F1AEE">
        <w:t xml:space="preserve"> never</w:t>
      </w:r>
      <w:r w:rsidR="0043339F" w:rsidRPr="009F1AEE">
        <w:t xml:space="preserve"> properly advised about the immigration consequences of his plea options.  He didn’t know</w:t>
      </w:r>
      <w:r w:rsidR="00EE6AA1" w:rsidRPr="009F1AEE">
        <w:t>,</w:t>
      </w:r>
      <w:r w:rsidR="0043339F" w:rsidRPr="009F1AEE">
        <w:t xml:space="preserve"> for example, that pleading guilty to violating Health </w:t>
      </w:r>
      <w:r w:rsidR="00230CB0">
        <w:t>and</w:t>
      </w:r>
      <w:r w:rsidR="0043339F" w:rsidRPr="009F1AEE">
        <w:t xml:space="preserve"> Safety Code section 11383, </w:t>
      </w:r>
      <w:r w:rsidR="00276D42" w:rsidRPr="009F1AEE">
        <w:t xml:space="preserve">former </w:t>
      </w:r>
      <w:r w:rsidR="0043339F" w:rsidRPr="009F1AEE">
        <w:t>subdivision (c)</w:t>
      </w:r>
      <w:r w:rsidR="00276D42" w:rsidRPr="009F1AEE">
        <w:t>,</w:t>
      </w:r>
      <w:r w:rsidR="0043339F" w:rsidRPr="009F1AEE">
        <w:t xml:space="preserve"> would </w:t>
      </w:r>
      <w:r w:rsidR="00032801" w:rsidRPr="009F1AEE">
        <w:t xml:space="preserve">necessarily subject him to mandatory deportation, while pleading guilty to violating Penal Code section 459 would not.  </w:t>
      </w:r>
      <w:proofErr w:type="spellStart"/>
      <w:r w:rsidR="00032801" w:rsidRPr="009F1AEE">
        <w:t>Vivar</w:t>
      </w:r>
      <w:proofErr w:type="spellEnd"/>
      <w:r w:rsidR="00032801" w:rsidRPr="009F1AEE">
        <w:t xml:space="preserve"> took the former plea offer and rejected the latter.  </w:t>
      </w:r>
      <w:r w:rsidR="001B7753" w:rsidRPr="009F1AEE">
        <w:t>His</w:t>
      </w:r>
      <w:r w:rsidR="006F2D2A" w:rsidRPr="009F1AEE">
        <w:t xml:space="preserve"> mistake </w:t>
      </w:r>
      <w:r w:rsidR="003A0B2F" w:rsidRPr="009F1AEE">
        <w:t>soon became manifest</w:t>
      </w:r>
      <w:r w:rsidR="00B338AC" w:rsidRPr="009F1AEE">
        <w:t xml:space="preserve">:  within days, </w:t>
      </w:r>
      <w:proofErr w:type="spellStart"/>
      <w:r w:rsidR="00B338AC" w:rsidRPr="009F1AEE">
        <w:t>Vivar</w:t>
      </w:r>
      <w:proofErr w:type="spellEnd"/>
      <w:r w:rsidR="00B338AC" w:rsidRPr="009F1AEE">
        <w:t xml:space="preserve"> was subjected </w:t>
      </w:r>
      <w:r w:rsidR="00032801" w:rsidRPr="009F1AEE">
        <w:t>to an immigration hold</w:t>
      </w:r>
      <w:r w:rsidR="00B338AC" w:rsidRPr="009F1AEE">
        <w:t>,</w:t>
      </w:r>
      <w:r w:rsidR="00032801" w:rsidRPr="009F1AEE">
        <w:t xml:space="preserve"> and </w:t>
      </w:r>
      <w:r w:rsidR="00820308" w:rsidRPr="009F1AEE">
        <w:t xml:space="preserve">a few months later </w:t>
      </w:r>
      <w:r w:rsidR="00CD5FA3" w:rsidRPr="009F1AEE">
        <w:t xml:space="preserve">he </w:t>
      </w:r>
      <w:r w:rsidR="00032801" w:rsidRPr="009F1AEE">
        <w:t xml:space="preserve">was deported.  </w:t>
      </w:r>
    </w:p>
    <w:p w14:paraId="73B6F9AF" w14:textId="79CEC4D5" w:rsidR="00574207" w:rsidRPr="009F1AEE" w:rsidRDefault="00032801" w:rsidP="009F1AEE">
      <w:pPr>
        <w:tabs>
          <w:tab w:val="left" w:pos="1440"/>
        </w:tabs>
        <w:ind w:firstLine="720"/>
      </w:pPr>
      <w:r w:rsidRPr="009F1AEE">
        <w:t xml:space="preserve">After </w:t>
      </w:r>
      <w:proofErr w:type="spellStart"/>
      <w:r w:rsidRPr="009F1AEE">
        <w:t>Vivar</w:t>
      </w:r>
      <w:proofErr w:type="spellEnd"/>
      <w:r w:rsidRPr="009F1AEE">
        <w:t xml:space="preserve"> made his way back into the U</w:t>
      </w:r>
      <w:r w:rsidR="00A817AF" w:rsidRPr="009F1AEE">
        <w:t xml:space="preserve">nited </w:t>
      </w:r>
      <w:r w:rsidRPr="009F1AEE">
        <w:t>S</w:t>
      </w:r>
      <w:r w:rsidR="00A817AF" w:rsidRPr="009F1AEE">
        <w:t>tates</w:t>
      </w:r>
      <w:r w:rsidRPr="009F1AEE">
        <w:t xml:space="preserve"> by crossing the border without inspection, he </w:t>
      </w:r>
      <w:r w:rsidR="00574207" w:rsidRPr="009F1AEE">
        <w:t xml:space="preserve">sought expungement of his </w:t>
      </w:r>
      <w:r w:rsidR="00794D10" w:rsidRPr="009F1AEE">
        <w:t xml:space="preserve">drug </w:t>
      </w:r>
      <w:r w:rsidR="00574207" w:rsidRPr="009F1AEE">
        <w:t>conviction</w:t>
      </w:r>
      <w:r w:rsidR="00E73B40" w:rsidRPr="009F1AEE">
        <w:t xml:space="preserve">.  </w:t>
      </w:r>
      <w:r w:rsidR="000E743D" w:rsidRPr="009F1AEE">
        <w:t xml:space="preserve">He succeeded and </w:t>
      </w:r>
      <w:r w:rsidR="00574207" w:rsidRPr="009F1AEE">
        <w:t xml:space="preserve">then tried to secure </w:t>
      </w:r>
      <w:r w:rsidR="00295E42" w:rsidRPr="009F1AEE">
        <w:t>further</w:t>
      </w:r>
      <w:r w:rsidR="00D33C53" w:rsidRPr="009F1AEE">
        <w:t xml:space="preserve"> </w:t>
      </w:r>
      <w:r w:rsidR="00574207" w:rsidRPr="009F1AEE">
        <w:t xml:space="preserve">relief by way of a petition for writ of error </w:t>
      </w:r>
      <w:r w:rsidR="00574207" w:rsidRPr="00D5007B">
        <w:rPr>
          <w:i/>
          <w:iCs/>
        </w:rPr>
        <w:t>coram nobis</w:t>
      </w:r>
      <w:r w:rsidR="00574207" w:rsidRPr="009F1AEE">
        <w:t>.</w:t>
      </w:r>
      <w:r w:rsidR="0006145D" w:rsidRPr="009F1AEE">
        <w:t xml:space="preserve">  Neither had any effect on his immigration status</w:t>
      </w:r>
      <w:r w:rsidR="000E743D" w:rsidRPr="009F1AEE">
        <w:t>, however</w:t>
      </w:r>
      <w:r w:rsidR="0006145D" w:rsidRPr="009F1AEE">
        <w:t xml:space="preserve">.  </w:t>
      </w:r>
      <w:r w:rsidR="00574207" w:rsidRPr="009F1AEE">
        <w:t xml:space="preserve">He was again deported in 2013.  </w:t>
      </w:r>
    </w:p>
    <w:p w14:paraId="369C2FB1" w14:textId="2A7AD9C2" w:rsidR="00AE3041" w:rsidRPr="009F1AEE" w:rsidRDefault="00574207" w:rsidP="009F1AEE">
      <w:pPr>
        <w:tabs>
          <w:tab w:val="left" w:pos="1440"/>
        </w:tabs>
        <w:ind w:firstLine="720"/>
      </w:pPr>
      <w:r w:rsidRPr="009F1AEE">
        <w:lastRenderedPageBreak/>
        <w:t xml:space="preserve">In 2018, </w:t>
      </w:r>
      <w:proofErr w:type="spellStart"/>
      <w:r w:rsidR="00AB0495" w:rsidRPr="009F1AEE">
        <w:t>Vivar</w:t>
      </w:r>
      <w:proofErr w:type="spellEnd"/>
      <w:r w:rsidR="00AB0495" w:rsidRPr="009F1AEE">
        <w:t xml:space="preserve"> filed a motion to vacate his </w:t>
      </w:r>
      <w:r w:rsidR="00275EA5" w:rsidRPr="009F1AEE">
        <w:t xml:space="preserve">2002 </w:t>
      </w:r>
      <w:r w:rsidR="00AB0495" w:rsidRPr="009F1AEE">
        <w:t xml:space="preserve">conviction under </w:t>
      </w:r>
      <w:r w:rsidR="00275EA5" w:rsidRPr="009F1AEE">
        <w:t xml:space="preserve">a </w:t>
      </w:r>
      <w:r w:rsidR="00AB0495" w:rsidRPr="009F1AEE">
        <w:t xml:space="preserve">recently enacted </w:t>
      </w:r>
      <w:r w:rsidR="00275EA5" w:rsidRPr="009F1AEE">
        <w:t>statute offering relief to those who had already served their sentences.  (</w:t>
      </w:r>
      <w:r w:rsidR="00AB0495" w:rsidRPr="009F1AEE">
        <w:t>Pen</w:t>
      </w:r>
      <w:r w:rsidR="00275EA5" w:rsidRPr="009F1AEE">
        <w:t xml:space="preserve">. </w:t>
      </w:r>
      <w:r w:rsidR="00AB0495" w:rsidRPr="009F1AEE">
        <w:t>Code</w:t>
      </w:r>
      <w:r w:rsidR="00275EA5" w:rsidRPr="009F1AEE">
        <w:t xml:space="preserve">, § </w:t>
      </w:r>
      <w:r w:rsidR="00AB0495" w:rsidRPr="009F1AEE">
        <w:t>1473.7</w:t>
      </w:r>
      <w:r w:rsidR="00EE6AA1" w:rsidRPr="009F1AEE">
        <w:t xml:space="preserve"> (section 1473.7)</w:t>
      </w:r>
      <w:r w:rsidR="001B7753" w:rsidRPr="009F1AEE">
        <w:t>.</w:t>
      </w:r>
      <w:r w:rsidR="00275EA5" w:rsidRPr="009F1AEE">
        <w:t>)</w:t>
      </w:r>
      <w:r w:rsidR="001B7753" w:rsidRPr="009F1AEE">
        <w:t xml:space="preserve">  </w:t>
      </w:r>
      <w:r w:rsidR="00275EA5" w:rsidRPr="009F1AEE">
        <w:t>A successful section 1473.7</w:t>
      </w:r>
      <w:r w:rsidR="001B7753" w:rsidRPr="009F1AEE">
        <w:t xml:space="preserve"> </w:t>
      </w:r>
      <w:r w:rsidR="00275EA5" w:rsidRPr="009F1AEE">
        <w:t xml:space="preserve">motion requires a showing, by a preponderance of the evidence, of a </w:t>
      </w:r>
      <w:r w:rsidR="001B7753" w:rsidRPr="009F1AEE">
        <w:rPr>
          <w:i/>
        </w:rPr>
        <w:t>prejudicial</w:t>
      </w:r>
      <w:r w:rsidR="001B7753" w:rsidRPr="009F1AEE">
        <w:t xml:space="preserve"> error that affected the</w:t>
      </w:r>
      <w:r w:rsidR="002D25BC" w:rsidRPr="009F1AEE">
        <w:t xml:space="preserve"> defendant’s</w:t>
      </w:r>
      <w:r w:rsidR="001B7753" w:rsidRPr="009F1AEE">
        <w:t xml:space="preserve"> ability to meaningfully understand the actual or potential immigration consequences of </w:t>
      </w:r>
      <w:r w:rsidR="00B63343">
        <w:t>a</w:t>
      </w:r>
      <w:r w:rsidR="001B7753" w:rsidRPr="009F1AEE">
        <w:t xml:space="preserve"> plea</w:t>
      </w:r>
      <w:r w:rsidR="00AB0495" w:rsidRPr="009F1AEE">
        <w:t>.</w:t>
      </w:r>
      <w:r w:rsidR="001B7753" w:rsidRPr="009F1AEE">
        <w:t xml:space="preserve">  (</w:t>
      </w:r>
      <w:r w:rsidR="00275EA5" w:rsidRPr="009F1AEE">
        <w:rPr>
          <w:i/>
        </w:rPr>
        <w:t>Id</w:t>
      </w:r>
      <w:r w:rsidR="00275EA5" w:rsidRPr="009F1AEE">
        <w:t xml:space="preserve">., </w:t>
      </w:r>
      <w:r w:rsidR="001B7753" w:rsidRPr="009F1AEE">
        <w:t>subd</w:t>
      </w:r>
      <w:r w:rsidR="00275EA5" w:rsidRPr="009F1AEE">
        <w:t>s</w:t>
      </w:r>
      <w:r w:rsidR="001B7753" w:rsidRPr="009F1AEE">
        <w:t>. (a)(1)</w:t>
      </w:r>
      <w:r w:rsidR="00275EA5" w:rsidRPr="009F1AEE">
        <w:t>, (e)(1)</w:t>
      </w:r>
      <w:r w:rsidR="001B7753" w:rsidRPr="009F1AEE">
        <w:t xml:space="preserve">.)  </w:t>
      </w:r>
      <w:r w:rsidR="002D25BC" w:rsidRPr="009F1AEE">
        <w:t xml:space="preserve">The Court of Appeal concluded that </w:t>
      </w:r>
      <w:r w:rsidR="00C23B43" w:rsidRPr="009F1AEE">
        <w:t xml:space="preserve">while </w:t>
      </w:r>
      <w:r w:rsidR="002D25BC" w:rsidRPr="009F1AEE">
        <w:t xml:space="preserve">counsel </w:t>
      </w:r>
      <w:r w:rsidR="00066135" w:rsidRPr="009F1AEE">
        <w:t xml:space="preserve">had </w:t>
      </w:r>
      <w:r w:rsidR="002D25BC" w:rsidRPr="009F1AEE">
        <w:t xml:space="preserve">failed to offer </w:t>
      </w:r>
      <w:proofErr w:type="spellStart"/>
      <w:r w:rsidR="002D25BC" w:rsidRPr="009F1AEE">
        <w:t>Vivar</w:t>
      </w:r>
      <w:proofErr w:type="spellEnd"/>
      <w:r w:rsidR="002D25BC" w:rsidRPr="009F1AEE">
        <w:t xml:space="preserve"> competent advice</w:t>
      </w:r>
      <w:r w:rsidR="00066135" w:rsidRPr="009F1AEE">
        <w:t xml:space="preserve"> </w:t>
      </w:r>
      <w:r w:rsidR="00A718FB">
        <w:t xml:space="preserve">about immigration consequences </w:t>
      </w:r>
      <w:r w:rsidR="00066135" w:rsidRPr="009F1AEE">
        <w:t>in 2002</w:t>
      </w:r>
      <w:r w:rsidR="002D25BC" w:rsidRPr="009F1AEE">
        <w:t xml:space="preserve">, </w:t>
      </w:r>
      <w:proofErr w:type="spellStart"/>
      <w:r w:rsidR="00066135" w:rsidRPr="009F1AEE">
        <w:t>Vivar</w:t>
      </w:r>
      <w:proofErr w:type="spellEnd"/>
      <w:r w:rsidR="00066135" w:rsidRPr="009F1AEE">
        <w:t xml:space="preserve"> failed to demonstrate any prejudice from the error.  (</w:t>
      </w:r>
      <w:r w:rsidR="00066135" w:rsidRPr="009F1AEE">
        <w:rPr>
          <w:i/>
        </w:rPr>
        <w:t xml:space="preserve">People v. </w:t>
      </w:r>
      <w:proofErr w:type="spellStart"/>
      <w:r w:rsidR="00066135" w:rsidRPr="009F1AEE">
        <w:rPr>
          <w:i/>
        </w:rPr>
        <w:t>Vivar</w:t>
      </w:r>
      <w:proofErr w:type="spellEnd"/>
      <w:r w:rsidR="00066135" w:rsidRPr="009F1AEE">
        <w:rPr>
          <w:i/>
        </w:rPr>
        <w:t xml:space="preserve"> </w:t>
      </w:r>
      <w:r w:rsidR="00066135" w:rsidRPr="009F1AEE">
        <w:t>(2019) 43 Cal.App.5th 216, 225</w:t>
      </w:r>
      <w:r w:rsidR="002C70B6">
        <w:t>–</w:t>
      </w:r>
      <w:r w:rsidR="00066135" w:rsidRPr="009F1AEE">
        <w:t>231</w:t>
      </w:r>
      <w:r w:rsidR="009757C5" w:rsidRPr="009F1AEE">
        <w:t xml:space="preserve"> (</w:t>
      </w:r>
      <w:proofErr w:type="spellStart"/>
      <w:r w:rsidR="009757C5" w:rsidRPr="009F1AEE">
        <w:rPr>
          <w:i/>
        </w:rPr>
        <w:t>Vivar</w:t>
      </w:r>
      <w:proofErr w:type="spellEnd"/>
      <w:r w:rsidR="009757C5" w:rsidRPr="009F1AEE">
        <w:t>)</w:t>
      </w:r>
      <w:r w:rsidR="00066135" w:rsidRPr="009F1AEE">
        <w:t xml:space="preserve">.)  Based on an independent review of the record, </w:t>
      </w:r>
      <w:r w:rsidR="00A718FB">
        <w:t>we</w:t>
      </w:r>
      <w:r w:rsidR="00AB0495" w:rsidRPr="009F1AEE">
        <w:t xml:space="preserve"> </w:t>
      </w:r>
      <w:r w:rsidR="00624510" w:rsidRPr="009F1AEE">
        <w:t xml:space="preserve">disagree.  </w:t>
      </w:r>
      <w:proofErr w:type="spellStart"/>
      <w:r w:rsidR="00953C3A" w:rsidRPr="009F1AEE">
        <w:t>Vivar</w:t>
      </w:r>
      <w:proofErr w:type="spellEnd"/>
      <w:r w:rsidR="00953C3A" w:rsidRPr="009F1AEE">
        <w:t xml:space="preserve"> has demonstrated </w:t>
      </w:r>
      <w:r w:rsidR="00AB0495" w:rsidRPr="009F1AEE">
        <w:t>a reasonable probability that</w:t>
      </w:r>
      <w:r w:rsidR="00066135" w:rsidRPr="009F1AEE">
        <w:t xml:space="preserve"> if</w:t>
      </w:r>
      <w:r w:rsidR="00AB0495" w:rsidRPr="009F1AEE">
        <w:t xml:space="preserve"> </w:t>
      </w:r>
      <w:r w:rsidR="00953C3A" w:rsidRPr="009F1AEE">
        <w:t>he</w:t>
      </w:r>
      <w:r w:rsidR="00AB0495" w:rsidRPr="009F1AEE">
        <w:t xml:space="preserve"> </w:t>
      </w:r>
      <w:r w:rsidR="005E6AD6">
        <w:t xml:space="preserve">had </w:t>
      </w:r>
      <w:r w:rsidR="00AB0495" w:rsidRPr="009F1AEE">
        <w:t>been properly advised by counsel</w:t>
      </w:r>
      <w:r w:rsidR="00066135" w:rsidRPr="009F1AEE">
        <w:t xml:space="preserve"> about the immigration consequences of </w:t>
      </w:r>
      <w:r w:rsidR="00794D10" w:rsidRPr="009F1AEE">
        <w:t xml:space="preserve">his </w:t>
      </w:r>
      <w:r w:rsidR="00066135" w:rsidRPr="009F1AEE">
        <w:t>plea</w:t>
      </w:r>
      <w:r w:rsidR="00AB0495" w:rsidRPr="009F1AEE">
        <w:t xml:space="preserve">, he wouldn’t have pleaded guilty to an offense </w:t>
      </w:r>
      <w:r w:rsidR="00474034" w:rsidRPr="009F1AEE">
        <w:t>subjecting</w:t>
      </w:r>
      <w:r w:rsidR="00AB0495" w:rsidRPr="009F1AEE">
        <w:t xml:space="preserve"> him to mandatory deportation.  </w:t>
      </w:r>
      <w:r w:rsidR="00387C29">
        <w:t>We</w:t>
      </w:r>
      <w:r w:rsidR="00AB0495" w:rsidRPr="009F1AEE">
        <w:t xml:space="preserve"> therefore reverse the judgment of the Court of Appeal</w:t>
      </w:r>
      <w:r w:rsidR="00066135" w:rsidRPr="009F1AEE">
        <w:t xml:space="preserve">.  </w:t>
      </w:r>
      <w:r w:rsidR="00B15901" w:rsidRPr="009F1AEE">
        <w:t xml:space="preserve"> </w:t>
      </w:r>
    </w:p>
    <w:p w14:paraId="4FD455C8" w14:textId="77777777" w:rsidR="00AD6019" w:rsidRPr="009F1AEE" w:rsidRDefault="00AD6019" w:rsidP="009F1AEE">
      <w:pPr>
        <w:pStyle w:val="Heading1"/>
      </w:pPr>
      <w:r w:rsidRPr="009F1AEE">
        <w:t>I.</w:t>
      </w:r>
    </w:p>
    <w:p w14:paraId="1FEBC57B" w14:textId="68F721A8" w:rsidR="00CB54F5" w:rsidRPr="009F1AEE" w:rsidRDefault="00EE4C77" w:rsidP="009F1AEE">
      <w:pPr>
        <w:tabs>
          <w:tab w:val="left" w:pos="1440"/>
        </w:tabs>
        <w:ind w:firstLine="720"/>
      </w:pPr>
      <w:r w:rsidRPr="009F1AEE">
        <w:t xml:space="preserve">In 1962, when </w:t>
      </w:r>
      <w:proofErr w:type="spellStart"/>
      <w:r w:rsidR="002D3697" w:rsidRPr="009F1AEE">
        <w:t>Vivar</w:t>
      </w:r>
      <w:proofErr w:type="spellEnd"/>
      <w:r w:rsidR="002D3697" w:rsidRPr="009F1AEE">
        <w:t xml:space="preserve"> </w:t>
      </w:r>
      <w:r w:rsidRPr="009F1AEE">
        <w:t xml:space="preserve">was six years old, he </w:t>
      </w:r>
      <w:r w:rsidR="00CB54F5" w:rsidRPr="009F1AEE">
        <w:t xml:space="preserve">and his family </w:t>
      </w:r>
      <w:r w:rsidR="002D3697" w:rsidRPr="009F1AEE">
        <w:t xml:space="preserve">immigrated </w:t>
      </w:r>
      <w:r w:rsidR="001B0FBD" w:rsidRPr="009F1AEE">
        <w:t>as l</w:t>
      </w:r>
      <w:r w:rsidR="00EC38BC" w:rsidRPr="009F1AEE">
        <w:t>awful</w:t>
      </w:r>
      <w:r w:rsidR="001B0FBD" w:rsidRPr="009F1AEE">
        <w:t xml:space="preserve"> permanent residents </w:t>
      </w:r>
      <w:r w:rsidR="00625AF5" w:rsidRPr="009F1AEE">
        <w:t xml:space="preserve">from Mexico </w:t>
      </w:r>
      <w:r w:rsidR="002D3697" w:rsidRPr="009F1AEE">
        <w:t xml:space="preserve">to the United States.  </w:t>
      </w:r>
      <w:r w:rsidR="00CB54F5" w:rsidRPr="009F1AEE">
        <w:t xml:space="preserve">He </w:t>
      </w:r>
      <w:r w:rsidR="0000736A" w:rsidRPr="009F1AEE">
        <w:t xml:space="preserve">now </w:t>
      </w:r>
      <w:r w:rsidR="00CB54F5" w:rsidRPr="009F1AEE">
        <w:t xml:space="preserve">has two children and six grandchildren.  All are </w:t>
      </w:r>
      <w:r w:rsidR="00230CB0">
        <w:t>American</w:t>
      </w:r>
      <w:r w:rsidR="002209A5" w:rsidRPr="009F1AEE">
        <w:t xml:space="preserve"> </w:t>
      </w:r>
      <w:r w:rsidR="00CB54F5" w:rsidRPr="009F1AEE">
        <w:t xml:space="preserve">citizens and all reside here in California, along with </w:t>
      </w:r>
      <w:proofErr w:type="spellStart"/>
      <w:r w:rsidR="00CB54F5" w:rsidRPr="009F1AEE">
        <w:t>Vivar’s</w:t>
      </w:r>
      <w:proofErr w:type="spellEnd"/>
      <w:r w:rsidR="00CB54F5" w:rsidRPr="009F1AEE">
        <w:t xml:space="preserve"> two siblings.  </w:t>
      </w:r>
    </w:p>
    <w:p w14:paraId="3303C1C5" w14:textId="77777777" w:rsidR="00B951AA" w:rsidRPr="009F1AEE" w:rsidRDefault="00B951AA" w:rsidP="009F1AEE">
      <w:pPr>
        <w:pStyle w:val="Heading1"/>
      </w:pPr>
      <w:r w:rsidRPr="009F1AEE">
        <w:t>A.</w:t>
      </w:r>
    </w:p>
    <w:p w14:paraId="322D8459" w14:textId="5095E825" w:rsidR="00CB54F5" w:rsidRPr="009F1AEE" w:rsidRDefault="00EE4C77" w:rsidP="009F1AEE">
      <w:pPr>
        <w:tabs>
          <w:tab w:val="left" w:pos="1440"/>
        </w:tabs>
        <w:ind w:firstLine="720"/>
      </w:pPr>
      <w:r w:rsidRPr="009F1AEE">
        <w:t xml:space="preserve">Upon arrival, </w:t>
      </w:r>
      <w:proofErr w:type="spellStart"/>
      <w:r w:rsidR="00CB54F5" w:rsidRPr="009F1AEE">
        <w:t>Vivar</w:t>
      </w:r>
      <w:proofErr w:type="spellEnd"/>
      <w:r w:rsidR="00CB54F5" w:rsidRPr="009F1AEE">
        <w:t xml:space="preserve"> quickly adapted to life in the United States.  </w:t>
      </w:r>
      <w:r w:rsidR="001D4AD8">
        <w:t xml:space="preserve">Since early in his youth, his primary language </w:t>
      </w:r>
      <w:r w:rsidR="00DA6782">
        <w:t>has been</w:t>
      </w:r>
      <w:r w:rsidR="001D4AD8">
        <w:t xml:space="preserve"> English.  </w:t>
      </w:r>
      <w:r w:rsidR="00CB54F5" w:rsidRPr="009F1AEE">
        <w:t xml:space="preserve">In high school, </w:t>
      </w:r>
      <w:r w:rsidR="001B0FBD" w:rsidRPr="009F1AEE">
        <w:t xml:space="preserve">he helped establish </w:t>
      </w:r>
      <w:r w:rsidR="00CB54F5" w:rsidRPr="009F1AEE">
        <w:t>a</w:t>
      </w:r>
      <w:r w:rsidR="001B0FBD" w:rsidRPr="009F1AEE">
        <w:t xml:space="preserve"> Reserve Officers’ Training Corps program</w:t>
      </w:r>
      <w:r w:rsidR="00CB54F5" w:rsidRPr="009F1AEE">
        <w:t xml:space="preserve"> and hoped to serve his country in Vietnam like his older brother, Martin, but the war ended a few </w:t>
      </w:r>
      <w:r w:rsidR="00CB54F5" w:rsidRPr="009F1AEE">
        <w:lastRenderedPageBreak/>
        <w:t xml:space="preserve">months after he graduated.  </w:t>
      </w:r>
      <w:proofErr w:type="spellStart"/>
      <w:r w:rsidR="00CB54F5" w:rsidRPr="009F1AEE">
        <w:t>Vivar</w:t>
      </w:r>
      <w:proofErr w:type="spellEnd"/>
      <w:r w:rsidR="00CB54F5" w:rsidRPr="009F1AEE">
        <w:t xml:space="preserve"> </w:t>
      </w:r>
      <w:r w:rsidR="00B63343">
        <w:t xml:space="preserve">instead </w:t>
      </w:r>
      <w:r w:rsidR="00CB54F5" w:rsidRPr="009F1AEE">
        <w:t xml:space="preserve">began working at an airline and was soon promoted to a management position that required him to work a night shift at the airport and a day shift in the office.  Limited to only a few hours of sleep a night, he turned to amphetamines to stay awake.    </w:t>
      </w:r>
    </w:p>
    <w:p w14:paraId="173B25BF" w14:textId="6BD31673" w:rsidR="00987468" w:rsidRPr="009F1AEE" w:rsidRDefault="00987468" w:rsidP="009F1AEE">
      <w:pPr>
        <w:tabs>
          <w:tab w:val="left" w:pos="1440"/>
        </w:tabs>
        <w:ind w:firstLine="720"/>
      </w:pPr>
      <w:proofErr w:type="spellStart"/>
      <w:r w:rsidRPr="009F1AEE">
        <w:t>Vivar</w:t>
      </w:r>
      <w:proofErr w:type="spellEnd"/>
      <w:r w:rsidRPr="009F1AEE">
        <w:t xml:space="preserve"> first entered — and successfully completed — a residential drug treatment </w:t>
      </w:r>
      <w:r w:rsidR="00892206" w:rsidRPr="009F1AEE">
        <w:t>program</w:t>
      </w:r>
      <w:r w:rsidRPr="009F1AEE">
        <w:t xml:space="preserve"> in the late 1990s.  Unfortunately, he relapsed in 2001.  The conviction under review arose from his methamphetamine addiction.  </w:t>
      </w:r>
      <w:r w:rsidR="002C45F4" w:rsidRPr="009F1AEE">
        <w:t xml:space="preserve">In February 2002, he was caught trying to steal 12 boxes of Sudafed from a grocery store in Corona.  </w:t>
      </w:r>
      <w:proofErr w:type="spellStart"/>
      <w:r w:rsidR="002C45F4" w:rsidRPr="009F1AEE">
        <w:t>Vivar</w:t>
      </w:r>
      <w:proofErr w:type="spellEnd"/>
      <w:r w:rsidR="002C45F4" w:rsidRPr="009F1AEE">
        <w:t xml:space="preserve"> told the store’s loss prevention officer — and later, the police — that he planned to </w:t>
      </w:r>
      <w:r w:rsidR="00A02F7C" w:rsidRPr="009F1AEE">
        <w:t>provide</w:t>
      </w:r>
      <w:r w:rsidR="002C45F4" w:rsidRPr="009F1AEE">
        <w:t xml:space="preserve"> the Sudafed to someone who would manufacture methamphetamine and, in turn, share some of the finished product with him.</w:t>
      </w:r>
      <w:r w:rsidRPr="009F1AEE">
        <w:t xml:space="preserve">  </w:t>
      </w:r>
      <w:r w:rsidR="002C45F4" w:rsidRPr="009F1AEE">
        <w:t>The Riverside County District A</w:t>
      </w:r>
      <w:r w:rsidR="00BB711B" w:rsidRPr="009F1AEE">
        <w:t>t</w:t>
      </w:r>
      <w:r w:rsidR="002C45F4" w:rsidRPr="009F1AEE">
        <w:t xml:space="preserve">torney charged </w:t>
      </w:r>
      <w:proofErr w:type="spellStart"/>
      <w:r w:rsidR="0014092E" w:rsidRPr="009F1AEE">
        <w:t>Vivar</w:t>
      </w:r>
      <w:proofErr w:type="spellEnd"/>
      <w:r w:rsidR="002C45F4" w:rsidRPr="009F1AEE">
        <w:t xml:space="preserve"> with </w:t>
      </w:r>
      <w:r w:rsidR="0018083F" w:rsidRPr="009F1AEE">
        <w:t xml:space="preserve">possessing </w:t>
      </w:r>
      <w:r w:rsidR="00B35BA7" w:rsidRPr="009F1AEE">
        <w:t xml:space="preserve">methamphetamine </w:t>
      </w:r>
      <w:r w:rsidR="0018083F" w:rsidRPr="009F1AEE">
        <w:t>precursors with the intent to manufacture</w:t>
      </w:r>
      <w:r w:rsidR="00B35BA7" w:rsidRPr="009F1AEE">
        <w:t xml:space="preserve"> the drug</w:t>
      </w:r>
      <w:r w:rsidR="0018083F" w:rsidRPr="009F1AEE">
        <w:t xml:space="preserve"> </w:t>
      </w:r>
      <w:r w:rsidR="00494502" w:rsidRPr="009F1AEE">
        <w:t xml:space="preserve">(Health &amp; </w:t>
      </w:r>
      <w:proofErr w:type="spellStart"/>
      <w:r w:rsidR="00494502" w:rsidRPr="009F1AEE">
        <w:t>Saf</w:t>
      </w:r>
      <w:proofErr w:type="spellEnd"/>
      <w:r w:rsidR="00494502" w:rsidRPr="009F1AEE">
        <w:t>. Code, §</w:t>
      </w:r>
      <w:r w:rsidR="00B63343">
        <w:t> </w:t>
      </w:r>
      <w:r w:rsidR="00494502" w:rsidRPr="009F1AEE">
        <w:t xml:space="preserve">11383, </w:t>
      </w:r>
      <w:r w:rsidR="00694260" w:rsidRPr="009F1AEE">
        <w:t xml:space="preserve">former </w:t>
      </w:r>
      <w:r w:rsidR="00494502" w:rsidRPr="009F1AEE">
        <w:t>subd. (c)</w:t>
      </w:r>
      <w:r w:rsidR="00694260" w:rsidRPr="009F1AEE">
        <w:t xml:space="preserve">; see </w:t>
      </w:r>
      <w:r w:rsidR="00694260" w:rsidRPr="009F1AEE">
        <w:rPr>
          <w:i/>
        </w:rPr>
        <w:t>id</w:t>
      </w:r>
      <w:r w:rsidR="00694260" w:rsidRPr="009F1AEE">
        <w:t>., § 11383.5, subd. (c)</w:t>
      </w:r>
      <w:r w:rsidR="00494502" w:rsidRPr="009F1AEE">
        <w:t>) a</w:t>
      </w:r>
      <w:r w:rsidR="0014092E" w:rsidRPr="009F1AEE">
        <w:t xml:space="preserve">s well as </w:t>
      </w:r>
      <w:r w:rsidR="00494502" w:rsidRPr="009F1AEE">
        <w:t>petty theft with a prior conviction (Pen. Code, § 666).</w:t>
      </w:r>
      <w:r w:rsidRPr="009F1AEE">
        <w:t xml:space="preserve">    </w:t>
      </w:r>
    </w:p>
    <w:p w14:paraId="5323DAF1" w14:textId="77777777" w:rsidR="00B951AA" w:rsidRPr="009F1AEE" w:rsidRDefault="00B951AA" w:rsidP="009F1AEE">
      <w:pPr>
        <w:pStyle w:val="Heading1"/>
      </w:pPr>
      <w:r w:rsidRPr="009F1AEE">
        <w:t>B.</w:t>
      </w:r>
    </w:p>
    <w:p w14:paraId="21931F20" w14:textId="5693568E" w:rsidR="00645E6E" w:rsidRPr="009F1AEE" w:rsidRDefault="003F18C5" w:rsidP="009F1AEE">
      <w:pPr>
        <w:tabs>
          <w:tab w:val="left" w:pos="1440"/>
        </w:tabs>
        <w:ind w:firstLine="720"/>
      </w:pPr>
      <w:r w:rsidRPr="009F1AEE">
        <w:t xml:space="preserve">The District Attorney offered </w:t>
      </w:r>
      <w:proofErr w:type="spellStart"/>
      <w:r w:rsidRPr="009F1AEE">
        <w:t>Vivar</w:t>
      </w:r>
      <w:proofErr w:type="spellEnd"/>
      <w:r w:rsidRPr="009F1AEE">
        <w:t xml:space="preserve"> </w:t>
      </w:r>
      <w:r w:rsidR="00705892" w:rsidRPr="009F1AEE">
        <w:t>several plea options</w:t>
      </w:r>
      <w:r w:rsidR="00F63AB1" w:rsidRPr="009F1AEE">
        <w:t xml:space="preserve">.  </w:t>
      </w:r>
      <w:r w:rsidR="008A55BC" w:rsidRPr="009F1AEE">
        <w:t>What happened next is in some dispute</w:t>
      </w:r>
      <w:r w:rsidR="001F6502" w:rsidRPr="009F1AEE">
        <w:t xml:space="preserve">.  </w:t>
      </w:r>
      <w:proofErr w:type="spellStart"/>
      <w:r w:rsidR="00230BAF" w:rsidRPr="009F1AEE">
        <w:t>Vivar</w:t>
      </w:r>
      <w:proofErr w:type="spellEnd"/>
      <w:r w:rsidR="00230BAF" w:rsidRPr="009F1AEE">
        <w:t xml:space="preserve"> recalls</w:t>
      </w:r>
      <w:r w:rsidR="008A55BC" w:rsidRPr="009F1AEE">
        <w:t xml:space="preserve"> </w:t>
      </w:r>
      <w:r w:rsidR="00230BAF" w:rsidRPr="009F1AEE">
        <w:t xml:space="preserve">his attorney conveying an offer of an unspecified felony plea with a three-year sentence.  </w:t>
      </w:r>
      <w:r w:rsidR="000C11A6" w:rsidRPr="009F1AEE">
        <w:t>He</w:t>
      </w:r>
      <w:r w:rsidR="00230BAF" w:rsidRPr="009F1AEE">
        <w:t xml:space="preserve"> rejected that offer because of his mistaken belief — never corrected by his appointed attorney — that all felony convictions resulted in deportation and that the opposite was true for misdemeanors.  </w:t>
      </w:r>
      <w:r w:rsidR="00A358D1">
        <w:t>(C</w:t>
      </w:r>
      <w:r w:rsidR="00C971BC" w:rsidRPr="009F1AEE">
        <w:t xml:space="preserve">f. </w:t>
      </w:r>
      <w:r w:rsidR="00C971BC" w:rsidRPr="009F1AEE">
        <w:rPr>
          <w:i/>
        </w:rPr>
        <w:t>U.S. v. Graham</w:t>
      </w:r>
      <w:r w:rsidR="00C971BC" w:rsidRPr="009F1AEE">
        <w:t xml:space="preserve"> (3d Cir. 1999) 169 F.3d 787, 792 [some misdemeanors can qualify as </w:t>
      </w:r>
      <w:r w:rsidR="00895103" w:rsidRPr="009F1AEE">
        <w:t xml:space="preserve">an </w:t>
      </w:r>
      <w:r w:rsidR="00C971BC" w:rsidRPr="009F1AEE">
        <w:t>aggravated felon</w:t>
      </w:r>
      <w:r w:rsidR="00895103" w:rsidRPr="009F1AEE">
        <w:t>y</w:t>
      </w:r>
      <w:r w:rsidR="00C971BC" w:rsidRPr="009F1AEE">
        <w:t xml:space="preserve"> under federal immigration law]</w:t>
      </w:r>
      <w:r w:rsidR="00230BAF" w:rsidRPr="009F1AEE">
        <w:t>.</w:t>
      </w:r>
      <w:r w:rsidR="00A358D1">
        <w:t>)</w:t>
      </w:r>
      <w:r w:rsidR="00230BAF" w:rsidRPr="009F1AEE">
        <w:t xml:space="preserve">  Based on th</w:t>
      </w:r>
      <w:r w:rsidR="001B4438" w:rsidRPr="009F1AEE">
        <w:t xml:space="preserve">is mistake, </w:t>
      </w:r>
      <w:r w:rsidR="00230BAF" w:rsidRPr="009F1AEE">
        <w:t xml:space="preserve">he asked counsel to secure a plea deal that could </w:t>
      </w:r>
      <w:r w:rsidR="008A4235" w:rsidRPr="009F1AEE">
        <w:lastRenderedPageBreak/>
        <w:t xml:space="preserve">eventually </w:t>
      </w:r>
      <w:r w:rsidR="00230BAF" w:rsidRPr="009F1AEE">
        <w:t>be reduced to a misdemeanor</w:t>
      </w:r>
      <w:r w:rsidR="00694260" w:rsidRPr="009F1AEE">
        <w:t xml:space="preserve">.  He also informed her he had a drug problem and wanted treatment, even if not required by the plea offer.    </w:t>
      </w:r>
    </w:p>
    <w:p w14:paraId="241DE4B8" w14:textId="121A39B4" w:rsidR="00661C1D" w:rsidRPr="009F1AEE" w:rsidRDefault="00645E6E" w:rsidP="009F1AEE">
      <w:pPr>
        <w:tabs>
          <w:tab w:val="left" w:pos="1440"/>
        </w:tabs>
        <w:ind w:firstLine="720"/>
      </w:pPr>
      <w:r w:rsidRPr="009F1AEE">
        <w:t xml:space="preserve">Following those discussions, counsel relayed an offer for </w:t>
      </w:r>
      <w:proofErr w:type="spellStart"/>
      <w:r w:rsidR="009757C5" w:rsidRPr="009F1AEE">
        <w:t>Vivar</w:t>
      </w:r>
      <w:proofErr w:type="spellEnd"/>
      <w:r w:rsidRPr="009F1AEE">
        <w:t xml:space="preserve"> to </w:t>
      </w:r>
      <w:r w:rsidR="00A22C42" w:rsidRPr="009F1AEE">
        <w:t>p</w:t>
      </w:r>
      <w:r w:rsidRPr="009F1AEE">
        <w:t xml:space="preserve">lead guilty to burglary (Pen. Code, § 459) with a low-term prison sentence.  With good-conduct credits, he could’ve served just a year in prison and </w:t>
      </w:r>
      <w:r w:rsidR="00931164">
        <w:t>avoided mandatory deportation</w:t>
      </w:r>
      <w:r w:rsidRPr="009F1AEE">
        <w:t xml:space="preserve">.  </w:t>
      </w:r>
      <w:r w:rsidR="001744A9" w:rsidRPr="009F1AEE">
        <w:t xml:space="preserve">(See </w:t>
      </w:r>
      <w:r w:rsidR="00561AA9" w:rsidRPr="009F1AEE">
        <w:t>Pen. Code, §§ 461, former subd. (a</w:t>
      </w:r>
      <w:r w:rsidR="003E4355" w:rsidRPr="009F1AEE">
        <w:t xml:space="preserve">), </w:t>
      </w:r>
      <w:r w:rsidR="00561AA9" w:rsidRPr="009F1AEE">
        <w:t xml:space="preserve">2933, subd. (a).)  According to </w:t>
      </w:r>
      <w:proofErr w:type="spellStart"/>
      <w:r w:rsidR="00A24A2F" w:rsidRPr="009F1AEE">
        <w:t>Vivar</w:t>
      </w:r>
      <w:proofErr w:type="spellEnd"/>
      <w:r w:rsidR="00561AA9" w:rsidRPr="009F1AEE">
        <w:t xml:space="preserve">, though, </w:t>
      </w:r>
      <w:r w:rsidR="00944B89" w:rsidRPr="009F1AEE">
        <w:t xml:space="preserve">counsel never advised </w:t>
      </w:r>
      <w:r w:rsidR="005C122D" w:rsidRPr="009F1AEE">
        <w:t>him</w:t>
      </w:r>
      <w:r w:rsidR="00944B89" w:rsidRPr="009F1AEE">
        <w:t xml:space="preserve"> </w:t>
      </w:r>
      <w:r w:rsidR="00931164">
        <w:t>about the immigration</w:t>
      </w:r>
      <w:r w:rsidR="00B05098">
        <w:t>-relate</w:t>
      </w:r>
      <w:r w:rsidR="007C5861">
        <w:t>d</w:t>
      </w:r>
      <w:r w:rsidR="00B05098">
        <w:t xml:space="preserve"> benefits</w:t>
      </w:r>
      <w:r w:rsidR="00931164">
        <w:t xml:space="preserve"> of </w:t>
      </w:r>
      <w:r w:rsidR="00944B89" w:rsidRPr="009F1AEE">
        <w:t>this plea</w:t>
      </w:r>
      <w:r w:rsidR="00703656" w:rsidRPr="009F1AEE">
        <w:t xml:space="preserve">, nor did she correct his misimpression about the </w:t>
      </w:r>
      <w:r w:rsidR="005F2EA1" w:rsidRPr="009F1AEE">
        <w:t xml:space="preserve">respective </w:t>
      </w:r>
      <w:r w:rsidR="00703656" w:rsidRPr="009F1AEE">
        <w:t>immigration consequences of felonies and misdemeanors</w:t>
      </w:r>
      <w:r w:rsidR="00944B89" w:rsidRPr="009F1AEE">
        <w:t>.</w:t>
      </w:r>
      <w:r w:rsidR="00A22C42" w:rsidRPr="009F1AEE">
        <w:t xml:space="preserve">  </w:t>
      </w:r>
      <w:r w:rsidR="00F424EF" w:rsidRPr="009F1AEE">
        <w:t xml:space="preserve">Unaware the burglary plea offer </w:t>
      </w:r>
      <w:r w:rsidR="00520B9E">
        <w:t>could be deportation</w:t>
      </w:r>
      <w:r w:rsidR="00F424EF" w:rsidRPr="009F1AEE">
        <w:t>-neutral</w:t>
      </w:r>
      <w:r w:rsidR="002341C7" w:rsidRPr="009F1AEE">
        <w:t>, h</w:t>
      </w:r>
      <w:r w:rsidR="00B35BA7" w:rsidRPr="009F1AEE">
        <w:t xml:space="preserve">e </w:t>
      </w:r>
      <w:r w:rsidR="00703656" w:rsidRPr="009F1AEE">
        <w:t xml:space="preserve">rejected </w:t>
      </w:r>
      <w:r w:rsidR="00F424EF" w:rsidRPr="009F1AEE">
        <w:t>it</w:t>
      </w:r>
      <w:r w:rsidR="00171394" w:rsidRPr="009F1AEE">
        <w:t>.  He p</w:t>
      </w:r>
      <w:r w:rsidR="00703656" w:rsidRPr="009F1AEE">
        <w:t xml:space="preserve">leaded </w:t>
      </w:r>
      <w:r w:rsidR="00B35BA7" w:rsidRPr="009F1AEE">
        <w:t xml:space="preserve">guilty </w:t>
      </w:r>
      <w:r w:rsidR="00171394" w:rsidRPr="009F1AEE">
        <w:t xml:space="preserve">instead </w:t>
      </w:r>
      <w:r w:rsidR="00B35BA7" w:rsidRPr="009F1AEE">
        <w:t>to possessi</w:t>
      </w:r>
      <w:r w:rsidR="009757C5" w:rsidRPr="009F1AEE">
        <w:t>ng</w:t>
      </w:r>
      <w:r w:rsidR="00B35BA7" w:rsidRPr="009F1AEE">
        <w:t xml:space="preserve"> methamphetamine precursors with intent to manufacture in exchange for an agreed-on 365-day county jail sentence — with a stipulation that the court would recommend admission to a residential drug treatment facility — and that a low-term, two-year prison sentence would be imposed only if he failed to complete the treatment program.  </w:t>
      </w:r>
      <w:proofErr w:type="spellStart"/>
      <w:r w:rsidR="00B35BA7" w:rsidRPr="009F1AEE">
        <w:t>Vivar</w:t>
      </w:r>
      <w:proofErr w:type="spellEnd"/>
      <w:r w:rsidR="00B35BA7" w:rsidRPr="009F1AEE">
        <w:t xml:space="preserve"> </w:t>
      </w:r>
      <w:r w:rsidR="00C659B9" w:rsidRPr="009F1AEE">
        <w:t xml:space="preserve">mistakenly </w:t>
      </w:r>
      <w:r w:rsidR="00B35BA7" w:rsidRPr="009F1AEE">
        <w:t xml:space="preserve">believed this disposition would allow him both to </w:t>
      </w:r>
      <w:r w:rsidR="005C122D" w:rsidRPr="009F1AEE">
        <w:t xml:space="preserve">get treatment and, once the conviction was reduced to a misdemeanor, </w:t>
      </w:r>
      <w:r w:rsidR="00B35BA7" w:rsidRPr="009F1AEE">
        <w:t>avoid deportation.</w:t>
      </w:r>
      <w:r w:rsidR="00B35BA7" w:rsidRPr="009F1AEE">
        <w:rPr>
          <w:rStyle w:val="FootnoteReference"/>
        </w:rPr>
        <w:footnoteReference w:id="2"/>
      </w:r>
      <w:r w:rsidR="00661C1D" w:rsidRPr="009F1AEE">
        <w:t xml:space="preserve">    </w:t>
      </w:r>
    </w:p>
    <w:p w14:paraId="7FF83EC5" w14:textId="0243CFB1" w:rsidR="009477E5" w:rsidRPr="009F1AEE" w:rsidRDefault="009477E5" w:rsidP="009F1AEE">
      <w:pPr>
        <w:tabs>
          <w:tab w:val="left" w:pos="1440"/>
        </w:tabs>
        <w:ind w:firstLine="720"/>
      </w:pPr>
      <w:r w:rsidRPr="009F1AEE">
        <w:t>Before entering his plea</w:t>
      </w:r>
      <w:r w:rsidR="00034F7C" w:rsidRPr="009F1AEE">
        <w:t xml:space="preserve"> in March 2002</w:t>
      </w:r>
      <w:r w:rsidRPr="009F1AEE">
        <w:t xml:space="preserve">, </w:t>
      </w:r>
      <w:proofErr w:type="spellStart"/>
      <w:r w:rsidRPr="009F1AEE">
        <w:t>Vivar</w:t>
      </w:r>
      <w:proofErr w:type="spellEnd"/>
      <w:r w:rsidRPr="009F1AEE">
        <w:t xml:space="preserve"> executed a form that required him to initial 17</w:t>
      </w:r>
      <w:r w:rsidR="0000736A" w:rsidRPr="009F1AEE">
        <w:t xml:space="preserve"> </w:t>
      </w:r>
      <w:r w:rsidRPr="009F1AEE">
        <w:t xml:space="preserve">separate paragraphs acknowledging that he understood the potential consequences of his plea.  One paragraph stated, “If I am not a citizen of the </w:t>
      </w:r>
      <w:r w:rsidRPr="009F1AEE">
        <w:lastRenderedPageBreak/>
        <w:t xml:space="preserve">United States, I understand that this conviction may have the consequences of deportation, exclusion from admission to the United States, or denial of naturalization pursuant to the laws of the United States.”  Another paragraph provided, “I have had an adequate time to discuss with my attorney (1) my constitutional rights, (2) the consequences of any guilty plea, and (3) any defenses I may have to the charges against me.”    </w:t>
      </w:r>
    </w:p>
    <w:p w14:paraId="718D13C9" w14:textId="08CB878F" w:rsidR="00B951AA" w:rsidRPr="009F1AEE" w:rsidRDefault="00661C1D" w:rsidP="009F1AEE">
      <w:pPr>
        <w:tabs>
          <w:tab w:val="left" w:pos="1440"/>
        </w:tabs>
        <w:ind w:firstLine="720"/>
        <w:rPr>
          <w:szCs w:val="26"/>
        </w:rPr>
      </w:pPr>
      <w:proofErr w:type="spellStart"/>
      <w:r w:rsidRPr="009F1AEE">
        <w:t>Vivar’s</w:t>
      </w:r>
      <w:proofErr w:type="spellEnd"/>
      <w:r w:rsidRPr="009F1AEE">
        <w:t xml:space="preserve"> counsel declined to submit a declaration</w:t>
      </w:r>
      <w:r w:rsidR="009477E5" w:rsidRPr="009F1AEE">
        <w:t xml:space="preserve"> in connection with the hearing on </w:t>
      </w:r>
      <w:r w:rsidR="00CC11AD" w:rsidRPr="009F1AEE">
        <w:t xml:space="preserve">the section 1473.7 </w:t>
      </w:r>
      <w:r w:rsidR="009477E5" w:rsidRPr="009F1AEE">
        <w:t>motion.  H</w:t>
      </w:r>
      <w:r w:rsidRPr="009F1AEE">
        <w:t xml:space="preserve">er recollection was presented to the court </w:t>
      </w:r>
      <w:r w:rsidR="001C71DE" w:rsidRPr="009F1AEE">
        <w:t xml:space="preserve">instead </w:t>
      </w:r>
      <w:r w:rsidRPr="009F1AEE">
        <w:t>through unsworn email correspondence</w:t>
      </w:r>
      <w:r w:rsidR="004B3BD2" w:rsidRPr="009F1AEE">
        <w:t xml:space="preserve"> and her handwritten notes</w:t>
      </w:r>
      <w:r w:rsidRPr="009F1AEE">
        <w:t xml:space="preserve">.  </w:t>
      </w:r>
      <w:r w:rsidR="002A6FA3" w:rsidRPr="009F1AEE">
        <w:t xml:space="preserve">Counsel stated that while she didn’t </w:t>
      </w:r>
      <w:r w:rsidR="00B951AA" w:rsidRPr="009F1AEE">
        <w:t xml:space="preserve">specifically </w:t>
      </w:r>
      <w:r w:rsidR="002A6FA3" w:rsidRPr="009F1AEE">
        <w:t xml:space="preserve">remember </w:t>
      </w:r>
      <w:proofErr w:type="spellStart"/>
      <w:r w:rsidR="00B951AA" w:rsidRPr="009F1AEE">
        <w:t>Vivar’s</w:t>
      </w:r>
      <w:proofErr w:type="spellEnd"/>
      <w:r w:rsidR="00B951AA" w:rsidRPr="009F1AEE">
        <w:t xml:space="preserve"> case, her “standard practice” at the time was </w:t>
      </w:r>
      <w:r w:rsidR="00B951AA" w:rsidRPr="009F1AEE">
        <w:rPr>
          <w:szCs w:val="26"/>
        </w:rPr>
        <w:t>to “advise non-citizen clients of the potential for immigration consequences” of their convictions and that she “routinely followed that practice.”</w:t>
      </w:r>
      <w:r w:rsidR="0007633E" w:rsidRPr="009F1AEE">
        <w:rPr>
          <w:szCs w:val="26"/>
        </w:rPr>
        <w:t xml:space="preserve"> </w:t>
      </w:r>
      <w:r w:rsidR="00B951AA" w:rsidRPr="009F1AEE">
        <w:rPr>
          <w:szCs w:val="26"/>
        </w:rPr>
        <w:t xml:space="preserve"> After reviewing her notes from the plea negotiations, </w:t>
      </w:r>
      <w:r w:rsidR="009757C5" w:rsidRPr="009F1AEE">
        <w:rPr>
          <w:szCs w:val="26"/>
        </w:rPr>
        <w:t>counsel</w:t>
      </w:r>
      <w:r w:rsidR="00B951AA" w:rsidRPr="009F1AEE">
        <w:rPr>
          <w:szCs w:val="26"/>
        </w:rPr>
        <w:t xml:space="preserve"> indicated that she was “confident that Mr. </w:t>
      </w:r>
      <w:proofErr w:type="spellStart"/>
      <w:r w:rsidR="00B951AA" w:rsidRPr="009F1AEE">
        <w:rPr>
          <w:szCs w:val="26"/>
        </w:rPr>
        <w:t>Vivar</w:t>
      </w:r>
      <w:proofErr w:type="spellEnd"/>
      <w:r w:rsidR="00B951AA" w:rsidRPr="009F1AEE">
        <w:rPr>
          <w:szCs w:val="26"/>
        </w:rPr>
        <w:t xml:space="preserve"> was ‘fully advised’ of the consequences of the plea,” which under the circumstances of the case “would have included the standard advisement of </w:t>
      </w:r>
      <w:r w:rsidR="00B951AA" w:rsidRPr="009F1AEE">
        <w:rPr>
          <w:i/>
          <w:szCs w:val="26"/>
        </w:rPr>
        <w:t>possible</w:t>
      </w:r>
      <w:r w:rsidR="00B951AA" w:rsidRPr="009F1AEE">
        <w:rPr>
          <w:szCs w:val="26"/>
        </w:rPr>
        <w:t xml:space="preserve"> deportation.”  She also stated that she “believe[d]” she “specifically cautioned” </w:t>
      </w:r>
      <w:proofErr w:type="spellStart"/>
      <w:r w:rsidR="00B951AA" w:rsidRPr="009F1AEE">
        <w:rPr>
          <w:szCs w:val="26"/>
        </w:rPr>
        <w:t>Vivar</w:t>
      </w:r>
      <w:proofErr w:type="spellEnd"/>
      <w:r w:rsidR="00B951AA" w:rsidRPr="009F1AEE">
        <w:rPr>
          <w:szCs w:val="26"/>
        </w:rPr>
        <w:t xml:space="preserve"> “that, in spite of his experience” in a prior criminal proceeding, residential treatment “would NOT determine whether or not he would be deported on the new offense,” and that if </w:t>
      </w:r>
      <w:proofErr w:type="spellStart"/>
      <w:r w:rsidR="00B951AA" w:rsidRPr="009F1AEE">
        <w:rPr>
          <w:szCs w:val="26"/>
        </w:rPr>
        <w:t>Vivar</w:t>
      </w:r>
      <w:proofErr w:type="spellEnd"/>
      <w:r w:rsidR="00B951AA" w:rsidRPr="009F1AEE">
        <w:rPr>
          <w:szCs w:val="26"/>
        </w:rPr>
        <w:t xml:space="preserve"> had any questions “he should consult an immigration attorney for clarification.”  What she did not advise him was whether his understanding of </w:t>
      </w:r>
      <w:r w:rsidR="00CC11AD" w:rsidRPr="009F1AEE">
        <w:rPr>
          <w:szCs w:val="26"/>
        </w:rPr>
        <w:t xml:space="preserve">felonies, misdemeanors, and </w:t>
      </w:r>
      <w:r w:rsidR="00B951AA" w:rsidRPr="009F1AEE">
        <w:rPr>
          <w:szCs w:val="26"/>
        </w:rPr>
        <w:t>immigration law was correct</w:t>
      </w:r>
      <w:r w:rsidR="0000736A" w:rsidRPr="009F1AEE">
        <w:rPr>
          <w:szCs w:val="26"/>
        </w:rPr>
        <w:t xml:space="preserve">.  Nor did she advise him as to </w:t>
      </w:r>
      <w:r w:rsidR="00B951AA" w:rsidRPr="009F1AEE">
        <w:rPr>
          <w:szCs w:val="26"/>
        </w:rPr>
        <w:t xml:space="preserve">the actual immigration consequences of </w:t>
      </w:r>
      <w:r w:rsidR="00CC11AD" w:rsidRPr="009F1AEE">
        <w:rPr>
          <w:szCs w:val="26"/>
        </w:rPr>
        <w:t>a</w:t>
      </w:r>
      <w:r w:rsidR="00B951AA" w:rsidRPr="009F1AEE">
        <w:rPr>
          <w:szCs w:val="26"/>
        </w:rPr>
        <w:t xml:space="preserve"> plea to </w:t>
      </w:r>
      <w:r w:rsidR="00CC11AD" w:rsidRPr="009F1AEE">
        <w:rPr>
          <w:szCs w:val="26"/>
        </w:rPr>
        <w:t>the drug charge or any other plea</w:t>
      </w:r>
      <w:r w:rsidR="00B951AA" w:rsidRPr="009F1AEE">
        <w:rPr>
          <w:szCs w:val="26"/>
        </w:rPr>
        <w:t xml:space="preserve">.  </w:t>
      </w:r>
    </w:p>
    <w:p w14:paraId="4C3CE88D" w14:textId="77777777" w:rsidR="00B951AA" w:rsidRPr="009F1AEE" w:rsidRDefault="00B951AA" w:rsidP="009F1AEE">
      <w:pPr>
        <w:pStyle w:val="Heading1"/>
      </w:pPr>
      <w:r w:rsidRPr="009F1AEE">
        <w:lastRenderedPageBreak/>
        <w:t>C.</w:t>
      </w:r>
    </w:p>
    <w:p w14:paraId="57B23DAA" w14:textId="5E5A92D0" w:rsidR="004317A0" w:rsidRPr="009F1AEE" w:rsidRDefault="00246E52" w:rsidP="009F1AEE">
      <w:pPr>
        <w:tabs>
          <w:tab w:val="left" w:pos="1440"/>
        </w:tabs>
        <w:ind w:firstLine="720"/>
        <w:rPr>
          <w:szCs w:val="26"/>
        </w:rPr>
      </w:pPr>
      <w:r w:rsidRPr="009F1AEE">
        <w:rPr>
          <w:szCs w:val="26"/>
        </w:rPr>
        <w:t xml:space="preserve">A few days after being sentenced, </w:t>
      </w:r>
      <w:proofErr w:type="spellStart"/>
      <w:r w:rsidR="00064BA5" w:rsidRPr="009F1AEE">
        <w:rPr>
          <w:szCs w:val="26"/>
        </w:rPr>
        <w:t>Vivar</w:t>
      </w:r>
      <w:proofErr w:type="spellEnd"/>
      <w:r w:rsidR="00064BA5" w:rsidRPr="009F1AEE">
        <w:rPr>
          <w:szCs w:val="26"/>
        </w:rPr>
        <w:t xml:space="preserve"> was informed that he couldn’t be admitted to the </w:t>
      </w:r>
      <w:r w:rsidR="00034F7C" w:rsidRPr="009F1AEE">
        <w:rPr>
          <w:szCs w:val="26"/>
        </w:rPr>
        <w:t xml:space="preserve">recommended </w:t>
      </w:r>
      <w:r w:rsidR="00064BA5" w:rsidRPr="009F1AEE">
        <w:rPr>
          <w:szCs w:val="26"/>
        </w:rPr>
        <w:t>drug treatment program “</w:t>
      </w:r>
      <w:r w:rsidR="002D71AE">
        <w:rPr>
          <w:szCs w:val="26"/>
        </w:rPr>
        <w:t> </w:t>
      </w:r>
      <w:r w:rsidR="00230CB0">
        <w:rPr>
          <w:szCs w:val="26"/>
        </w:rPr>
        <w:t>‘</w:t>
      </w:r>
      <w:r w:rsidR="00064BA5" w:rsidRPr="009F1AEE">
        <w:rPr>
          <w:szCs w:val="26"/>
        </w:rPr>
        <w:t xml:space="preserve">due to an </w:t>
      </w:r>
      <w:r w:rsidR="00230CB0">
        <w:rPr>
          <w:szCs w:val="26"/>
        </w:rPr>
        <w:t>“</w:t>
      </w:r>
      <w:r w:rsidR="00064BA5" w:rsidRPr="009F1AEE">
        <w:rPr>
          <w:szCs w:val="26"/>
        </w:rPr>
        <w:t>immigration hold.</w:t>
      </w:r>
      <w:r w:rsidR="00230CB0">
        <w:rPr>
          <w:szCs w:val="26"/>
        </w:rPr>
        <w:t>”</w:t>
      </w:r>
      <w:r w:rsidR="002D71AE">
        <w:rPr>
          <w:szCs w:val="26"/>
        </w:rPr>
        <w:t> </w:t>
      </w:r>
      <w:r w:rsidR="006D691D" w:rsidRPr="009F1AEE">
        <w:rPr>
          <w:szCs w:val="26"/>
        </w:rPr>
        <w:t>’ </w:t>
      </w:r>
      <w:r w:rsidR="00064BA5" w:rsidRPr="009F1AEE">
        <w:rPr>
          <w:szCs w:val="26"/>
        </w:rPr>
        <w:t>”  (</w:t>
      </w:r>
      <w:proofErr w:type="spellStart"/>
      <w:r w:rsidR="009757C5" w:rsidRPr="009F1AEE">
        <w:rPr>
          <w:i/>
          <w:szCs w:val="26"/>
        </w:rPr>
        <w:t>Vivar</w:t>
      </w:r>
      <w:proofErr w:type="spellEnd"/>
      <w:r w:rsidR="009757C5" w:rsidRPr="009F1AEE">
        <w:rPr>
          <w:szCs w:val="26"/>
        </w:rPr>
        <w:t xml:space="preserve">, </w:t>
      </w:r>
      <w:r w:rsidR="009757C5" w:rsidRPr="009F1AEE">
        <w:rPr>
          <w:i/>
          <w:szCs w:val="26"/>
        </w:rPr>
        <w:t>supra</w:t>
      </w:r>
      <w:r w:rsidR="009757C5" w:rsidRPr="009F1AEE">
        <w:rPr>
          <w:szCs w:val="26"/>
        </w:rPr>
        <w:t>,</w:t>
      </w:r>
      <w:r w:rsidR="009757C5" w:rsidRPr="009F1AEE">
        <w:rPr>
          <w:i/>
          <w:szCs w:val="26"/>
        </w:rPr>
        <w:t xml:space="preserve"> </w:t>
      </w:r>
      <w:r w:rsidR="00064BA5" w:rsidRPr="009F1AEE">
        <w:rPr>
          <w:szCs w:val="26"/>
        </w:rPr>
        <w:t>43 Cal.App.</w:t>
      </w:r>
      <w:r w:rsidR="00426078">
        <w:rPr>
          <w:szCs w:val="26"/>
        </w:rPr>
        <w:t>5</w:t>
      </w:r>
      <w:r w:rsidR="00064BA5" w:rsidRPr="009F1AEE">
        <w:rPr>
          <w:szCs w:val="26"/>
        </w:rPr>
        <w:t xml:space="preserve">th at p. 221.)  </w:t>
      </w:r>
      <w:r w:rsidR="0000736A" w:rsidRPr="009F1AEE">
        <w:rPr>
          <w:szCs w:val="26"/>
        </w:rPr>
        <w:t>As he would</w:t>
      </w:r>
      <w:r w:rsidR="00BE0C11">
        <w:rPr>
          <w:szCs w:val="26"/>
        </w:rPr>
        <w:t>’ve</w:t>
      </w:r>
      <w:r w:rsidR="0000736A" w:rsidRPr="009F1AEE">
        <w:rPr>
          <w:szCs w:val="26"/>
        </w:rPr>
        <w:t xml:space="preserve"> known had he been properly advised, his conviction </w:t>
      </w:r>
      <w:r w:rsidR="004E4E01" w:rsidRPr="009F1AEE">
        <w:rPr>
          <w:szCs w:val="26"/>
        </w:rPr>
        <w:t>activated a tripwire in immigration law</w:t>
      </w:r>
      <w:r w:rsidR="005145C4" w:rsidRPr="009F1AEE">
        <w:rPr>
          <w:szCs w:val="26"/>
        </w:rPr>
        <w:t xml:space="preserve"> —</w:t>
      </w:r>
      <w:r w:rsidR="004E4E01" w:rsidRPr="009F1AEE">
        <w:rPr>
          <w:szCs w:val="26"/>
        </w:rPr>
        <w:t xml:space="preserve"> it </w:t>
      </w:r>
      <w:r w:rsidR="0000736A" w:rsidRPr="009F1AEE">
        <w:rPr>
          <w:szCs w:val="26"/>
        </w:rPr>
        <w:t>qualified as a controlled substance offense as well as an aggravated felony.  (See 8 U.S.C. §§</w:t>
      </w:r>
      <w:r w:rsidR="009757C5" w:rsidRPr="009F1AEE">
        <w:rPr>
          <w:szCs w:val="26"/>
        </w:rPr>
        <w:t> </w:t>
      </w:r>
      <w:r w:rsidR="0000736A" w:rsidRPr="009F1AEE">
        <w:rPr>
          <w:szCs w:val="26"/>
        </w:rPr>
        <w:t>1101(a)(43)(B), 1227(a)(2)(A), 1227(a)(2)(B).)</w:t>
      </w:r>
      <w:r w:rsidR="007E67E9" w:rsidRPr="009F1AEE">
        <w:rPr>
          <w:rStyle w:val="FootnoteReference"/>
          <w:szCs w:val="26"/>
        </w:rPr>
        <w:footnoteReference w:id="3"/>
      </w:r>
      <w:r w:rsidR="0000736A" w:rsidRPr="009F1AEE">
        <w:rPr>
          <w:szCs w:val="26"/>
        </w:rPr>
        <w:t xml:space="preserve">  </w:t>
      </w:r>
      <w:proofErr w:type="spellStart"/>
      <w:r w:rsidR="00515554" w:rsidRPr="009F1AEE">
        <w:rPr>
          <w:szCs w:val="26"/>
        </w:rPr>
        <w:t>Vivar</w:t>
      </w:r>
      <w:proofErr w:type="spellEnd"/>
      <w:r w:rsidR="00515554" w:rsidRPr="009F1AEE">
        <w:rPr>
          <w:szCs w:val="26"/>
        </w:rPr>
        <w:t xml:space="preserve"> </w:t>
      </w:r>
      <w:r w:rsidR="009757C5" w:rsidRPr="009F1AEE">
        <w:rPr>
          <w:szCs w:val="26"/>
        </w:rPr>
        <w:t xml:space="preserve">promptly </w:t>
      </w:r>
      <w:r w:rsidR="00515554" w:rsidRPr="009F1AEE">
        <w:rPr>
          <w:szCs w:val="26"/>
        </w:rPr>
        <w:t xml:space="preserve">sent </w:t>
      </w:r>
      <w:r w:rsidR="009757C5" w:rsidRPr="009F1AEE">
        <w:rPr>
          <w:szCs w:val="26"/>
        </w:rPr>
        <w:t xml:space="preserve">a series of </w:t>
      </w:r>
      <w:r w:rsidR="00515554" w:rsidRPr="009F1AEE">
        <w:rPr>
          <w:szCs w:val="26"/>
        </w:rPr>
        <w:t xml:space="preserve">letters </w:t>
      </w:r>
      <w:r w:rsidR="003C14AA" w:rsidRPr="009F1AEE">
        <w:rPr>
          <w:szCs w:val="26"/>
        </w:rPr>
        <w:t xml:space="preserve">to the court </w:t>
      </w:r>
      <w:r w:rsidR="006B199A" w:rsidRPr="009F1AEE">
        <w:rPr>
          <w:szCs w:val="26"/>
        </w:rPr>
        <w:t>expressing confusion about the situation and requesting assistance with admission to the drug treatment program.  (</w:t>
      </w:r>
      <w:proofErr w:type="spellStart"/>
      <w:r w:rsidR="009757C5" w:rsidRPr="009F1AEE">
        <w:rPr>
          <w:i/>
          <w:szCs w:val="26"/>
        </w:rPr>
        <w:t>Vivar</w:t>
      </w:r>
      <w:proofErr w:type="spellEnd"/>
      <w:r w:rsidR="009757C5" w:rsidRPr="009F1AEE">
        <w:rPr>
          <w:szCs w:val="26"/>
        </w:rPr>
        <w:t xml:space="preserve">, at p. 221.)  In those letters, he </w:t>
      </w:r>
      <w:r w:rsidR="004D4658" w:rsidRPr="009F1AEE">
        <w:rPr>
          <w:szCs w:val="26"/>
        </w:rPr>
        <w:t>explained that he had been a legal resident for the past 40 years</w:t>
      </w:r>
      <w:r w:rsidR="006A2823" w:rsidRPr="009F1AEE">
        <w:rPr>
          <w:szCs w:val="26"/>
        </w:rPr>
        <w:t>,</w:t>
      </w:r>
      <w:r w:rsidR="004D4658" w:rsidRPr="009F1AEE">
        <w:rPr>
          <w:szCs w:val="26"/>
        </w:rPr>
        <w:t xml:space="preserve"> that his </w:t>
      </w:r>
      <w:r w:rsidR="006A2823" w:rsidRPr="009F1AEE">
        <w:rPr>
          <w:szCs w:val="26"/>
        </w:rPr>
        <w:t xml:space="preserve">family members </w:t>
      </w:r>
      <w:r w:rsidR="001B156E" w:rsidRPr="009F1AEE">
        <w:rPr>
          <w:szCs w:val="26"/>
        </w:rPr>
        <w:t>were U</w:t>
      </w:r>
      <w:r w:rsidR="00230CB0">
        <w:rPr>
          <w:szCs w:val="26"/>
        </w:rPr>
        <w:t>nited States</w:t>
      </w:r>
      <w:r w:rsidR="001B156E" w:rsidRPr="009F1AEE">
        <w:rPr>
          <w:szCs w:val="26"/>
        </w:rPr>
        <w:t xml:space="preserve"> citizens, and that his son was currently serving in the </w:t>
      </w:r>
      <w:r w:rsidR="009757C5" w:rsidRPr="009F1AEE">
        <w:rPr>
          <w:szCs w:val="26"/>
        </w:rPr>
        <w:t>U</w:t>
      </w:r>
      <w:r w:rsidR="00230CB0">
        <w:rPr>
          <w:szCs w:val="26"/>
        </w:rPr>
        <w:t xml:space="preserve">nited </w:t>
      </w:r>
      <w:r w:rsidR="009757C5" w:rsidRPr="009F1AEE">
        <w:rPr>
          <w:szCs w:val="26"/>
        </w:rPr>
        <w:t>S</w:t>
      </w:r>
      <w:r w:rsidR="00230CB0">
        <w:rPr>
          <w:szCs w:val="26"/>
        </w:rPr>
        <w:t>tates</w:t>
      </w:r>
      <w:r w:rsidR="009757C5" w:rsidRPr="009F1AEE">
        <w:rPr>
          <w:szCs w:val="26"/>
        </w:rPr>
        <w:t xml:space="preserve"> </w:t>
      </w:r>
      <w:r w:rsidR="001B156E" w:rsidRPr="009F1AEE">
        <w:rPr>
          <w:szCs w:val="26"/>
        </w:rPr>
        <w:t xml:space="preserve">Air Force and awaiting deployment to the Middle East.  </w:t>
      </w:r>
      <w:r w:rsidR="009757C5" w:rsidRPr="009F1AEE">
        <w:rPr>
          <w:szCs w:val="26"/>
        </w:rPr>
        <w:t xml:space="preserve">He made plain that </w:t>
      </w:r>
      <w:r w:rsidR="004317A0" w:rsidRPr="009F1AEE">
        <w:rPr>
          <w:szCs w:val="26"/>
        </w:rPr>
        <w:t>“[</w:t>
      </w:r>
      <w:proofErr w:type="spellStart"/>
      <w:r w:rsidR="004317A0" w:rsidRPr="009F1AEE">
        <w:rPr>
          <w:szCs w:val="26"/>
        </w:rPr>
        <w:t>i</w:t>
      </w:r>
      <w:proofErr w:type="spellEnd"/>
      <w:r w:rsidR="004317A0" w:rsidRPr="009F1AEE">
        <w:rPr>
          <w:szCs w:val="26"/>
        </w:rPr>
        <w:t xml:space="preserve">]f I would have been made aware of these facts I would never have plead[ed] Guilty to this Charge.”  </w:t>
      </w:r>
      <w:r w:rsidR="009757C5" w:rsidRPr="009F1AEE">
        <w:rPr>
          <w:szCs w:val="26"/>
        </w:rPr>
        <w:t xml:space="preserve">In the meantime, </w:t>
      </w:r>
      <w:r w:rsidR="000803C5" w:rsidRPr="009F1AEE">
        <w:rPr>
          <w:szCs w:val="26"/>
        </w:rPr>
        <w:t xml:space="preserve">federal immigration authorities notified </w:t>
      </w:r>
      <w:proofErr w:type="spellStart"/>
      <w:r w:rsidR="000803C5" w:rsidRPr="009F1AEE">
        <w:rPr>
          <w:szCs w:val="26"/>
        </w:rPr>
        <w:t>Vivar</w:t>
      </w:r>
      <w:proofErr w:type="spellEnd"/>
      <w:r w:rsidR="000803C5" w:rsidRPr="009F1AEE">
        <w:rPr>
          <w:szCs w:val="26"/>
        </w:rPr>
        <w:t xml:space="preserve"> that he was subject to removal because of his recent criminal conviction and, </w:t>
      </w:r>
      <w:r w:rsidR="009757C5" w:rsidRPr="009F1AEE">
        <w:rPr>
          <w:szCs w:val="26"/>
        </w:rPr>
        <w:t xml:space="preserve">in January 2003, </w:t>
      </w:r>
      <w:r w:rsidR="000803C5" w:rsidRPr="009F1AEE">
        <w:rPr>
          <w:szCs w:val="26"/>
        </w:rPr>
        <w:t>deported him.</w:t>
      </w:r>
      <w:r w:rsidR="001B156E" w:rsidRPr="009F1AEE">
        <w:rPr>
          <w:szCs w:val="26"/>
        </w:rPr>
        <w:t xml:space="preserve">  (</w:t>
      </w:r>
      <w:proofErr w:type="spellStart"/>
      <w:r w:rsidR="009757C5" w:rsidRPr="009F1AEE">
        <w:rPr>
          <w:i/>
          <w:szCs w:val="26"/>
        </w:rPr>
        <w:t>Vivar</w:t>
      </w:r>
      <w:proofErr w:type="spellEnd"/>
      <w:r w:rsidR="009757C5" w:rsidRPr="009F1AEE">
        <w:rPr>
          <w:szCs w:val="26"/>
        </w:rPr>
        <w:t xml:space="preserve">, at </w:t>
      </w:r>
      <w:r w:rsidR="001B156E" w:rsidRPr="009F1AEE">
        <w:rPr>
          <w:szCs w:val="26"/>
        </w:rPr>
        <w:t>p.</w:t>
      </w:r>
      <w:r w:rsidR="009757C5" w:rsidRPr="009F1AEE">
        <w:rPr>
          <w:szCs w:val="26"/>
        </w:rPr>
        <w:t> </w:t>
      </w:r>
      <w:r w:rsidR="001B156E" w:rsidRPr="009F1AEE">
        <w:rPr>
          <w:szCs w:val="26"/>
        </w:rPr>
        <w:t>221.)</w:t>
      </w:r>
      <w:r w:rsidR="004317A0" w:rsidRPr="009F1AEE">
        <w:rPr>
          <w:szCs w:val="26"/>
        </w:rPr>
        <w:t xml:space="preserve">  </w:t>
      </w:r>
    </w:p>
    <w:p w14:paraId="6BF497CB" w14:textId="7C821360" w:rsidR="00501189" w:rsidRPr="009F1AEE" w:rsidRDefault="004317A0" w:rsidP="009F1AEE">
      <w:pPr>
        <w:tabs>
          <w:tab w:val="left" w:pos="1440"/>
        </w:tabs>
        <w:ind w:firstLine="720"/>
        <w:rPr>
          <w:szCs w:val="26"/>
        </w:rPr>
      </w:pPr>
      <w:r w:rsidRPr="009F1AEE">
        <w:rPr>
          <w:szCs w:val="26"/>
        </w:rPr>
        <w:t>Determined to rejoin and support his family</w:t>
      </w:r>
      <w:r w:rsidR="00D26F9E" w:rsidRPr="009F1AEE">
        <w:rPr>
          <w:szCs w:val="26"/>
        </w:rPr>
        <w:t xml:space="preserve"> — and unable to find work in Mexico —</w:t>
      </w:r>
      <w:r w:rsidRPr="009F1AEE">
        <w:rPr>
          <w:szCs w:val="26"/>
        </w:rPr>
        <w:t xml:space="preserve"> </w:t>
      </w:r>
      <w:proofErr w:type="spellStart"/>
      <w:r w:rsidRPr="009F1AEE">
        <w:rPr>
          <w:szCs w:val="26"/>
        </w:rPr>
        <w:t>Vivar</w:t>
      </w:r>
      <w:proofErr w:type="spellEnd"/>
      <w:r w:rsidRPr="009F1AEE">
        <w:rPr>
          <w:szCs w:val="26"/>
        </w:rPr>
        <w:t xml:space="preserve"> reentered the U</w:t>
      </w:r>
      <w:r w:rsidR="00A817AF" w:rsidRPr="009F1AEE">
        <w:rPr>
          <w:szCs w:val="26"/>
        </w:rPr>
        <w:t xml:space="preserve">nited </w:t>
      </w:r>
      <w:r w:rsidRPr="009F1AEE">
        <w:rPr>
          <w:szCs w:val="26"/>
        </w:rPr>
        <w:t>S</w:t>
      </w:r>
      <w:r w:rsidR="00A817AF" w:rsidRPr="009F1AEE">
        <w:rPr>
          <w:szCs w:val="26"/>
        </w:rPr>
        <w:t>tates</w:t>
      </w:r>
      <w:r w:rsidRPr="009F1AEE">
        <w:rPr>
          <w:szCs w:val="26"/>
        </w:rPr>
        <w:t xml:space="preserve">, without inspection, in May 2003.  In 2008, he successfully obtained an order to expunge his conviction under Penal Code </w:t>
      </w:r>
      <w:r w:rsidRPr="009F1AEE">
        <w:rPr>
          <w:szCs w:val="26"/>
        </w:rPr>
        <w:lastRenderedPageBreak/>
        <w:t xml:space="preserve">section 1203.4.  </w:t>
      </w:r>
      <w:r w:rsidR="00890954" w:rsidRPr="009F1AEE">
        <w:rPr>
          <w:szCs w:val="26"/>
        </w:rPr>
        <w:t xml:space="preserve">It took another </w:t>
      </w:r>
      <w:r w:rsidR="008217B2" w:rsidRPr="009F1AEE">
        <w:rPr>
          <w:szCs w:val="26"/>
        </w:rPr>
        <w:t>three years</w:t>
      </w:r>
      <w:r w:rsidR="004E4E01" w:rsidRPr="009F1AEE">
        <w:rPr>
          <w:szCs w:val="26"/>
        </w:rPr>
        <w:t xml:space="preserve"> for him</w:t>
      </w:r>
      <w:r w:rsidR="008217B2" w:rsidRPr="009F1AEE">
        <w:rPr>
          <w:szCs w:val="26"/>
        </w:rPr>
        <w:t xml:space="preserve"> </w:t>
      </w:r>
      <w:r w:rsidR="00890954" w:rsidRPr="009F1AEE">
        <w:rPr>
          <w:szCs w:val="26"/>
        </w:rPr>
        <w:t>to</w:t>
      </w:r>
      <w:r w:rsidR="008217B2" w:rsidRPr="009F1AEE">
        <w:rPr>
          <w:szCs w:val="26"/>
        </w:rPr>
        <w:t xml:space="preserve"> learn</w:t>
      </w:r>
      <w:r w:rsidR="004E4E01" w:rsidRPr="009F1AEE">
        <w:rPr>
          <w:szCs w:val="26"/>
        </w:rPr>
        <w:t>, when he was again detained by immigration authorities,</w:t>
      </w:r>
      <w:r w:rsidR="008217B2" w:rsidRPr="009F1AEE">
        <w:rPr>
          <w:szCs w:val="26"/>
        </w:rPr>
        <w:t xml:space="preserve"> </w:t>
      </w:r>
      <w:r w:rsidR="00890954" w:rsidRPr="009F1AEE">
        <w:rPr>
          <w:szCs w:val="26"/>
        </w:rPr>
        <w:t xml:space="preserve">that </w:t>
      </w:r>
      <w:r w:rsidR="008217B2" w:rsidRPr="009F1AEE">
        <w:rPr>
          <w:szCs w:val="26"/>
        </w:rPr>
        <w:t xml:space="preserve">expungement did not </w:t>
      </w:r>
      <w:r w:rsidR="00034F7C" w:rsidRPr="009F1AEE">
        <w:rPr>
          <w:szCs w:val="26"/>
        </w:rPr>
        <w:t>mitigate</w:t>
      </w:r>
      <w:r w:rsidR="00494282" w:rsidRPr="009F1AEE">
        <w:rPr>
          <w:szCs w:val="26"/>
        </w:rPr>
        <w:t xml:space="preserve"> the immigration consequences of his plea</w:t>
      </w:r>
      <w:r w:rsidR="008217B2" w:rsidRPr="009F1AEE">
        <w:rPr>
          <w:szCs w:val="26"/>
        </w:rPr>
        <w:t xml:space="preserve">.  </w:t>
      </w:r>
      <w:r w:rsidR="00770DB7">
        <w:rPr>
          <w:szCs w:val="26"/>
        </w:rPr>
        <w:t>(S</w:t>
      </w:r>
      <w:r w:rsidR="008217B2" w:rsidRPr="009F1AEE">
        <w:rPr>
          <w:szCs w:val="26"/>
        </w:rPr>
        <w:t xml:space="preserve">ee </w:t>
      </w:r>
      <w:r w:rsidR="008217B2" w:rsidRPr="009F1AEE">
        <w:rPr>
          <w:i/>
          <w:iCs/>
          <w:szCs w:val="26"/>
        </w:rPr>
        <w:t>Martinez</w:t>
      </w:r>
      <w:r w:rsidR="003D2C0E" w:rsidRPr="009F1AEE">
        <w:rPr>
          <w:iCs/>
          <w:szCs w:val="26"/>
        </w:rPr>
        <w:t xml:space="preserve">, </w:t>
      </w:r>
      <w:r w:rsidR="003D2C0E" w:rsidRPr="009F1AEE">
        <w:rPr>
          <w:i/>
          <w:iCs/>
          <w:szCs w:val="26"/>
        </w:rPr>
        <w:t>supra</w:t>
      </w:r>
      <w:r w:rsidR="003D2C0E" w:rsidRPr="009F1AEE">
        <w:rPr>
          <w:iCs/>
          <w:szCs w:val="26"/>
        </w:rPr>
        <w:t>,</w:t>
      </w:r>
      <w:r w:rsidR="008217B2" w:rsidRPr="009F1AEE">
        <w:rPr>
          <w:szCs w:val="26"/>
        </w:rPr>
        <w:t xml:space="preserve"> 57 Cal.4th </w:t>
      </w:r>
      <w:r w:rsidR="003D2C0E" w:rsidRPr="009F1AEE">
        <w:rPr>
          <w:szCs w:val="26"/>
        </w:rPr>
        <w:t xml:space="preserve">at p. </w:t>
      </w:r>
      <w:r w:rsidR="008217B2" w:rsidRPr="009F1AEE">
        <w:rPr>
          <w:szCs w:val="26"/>
        </w:rPr>
        <w:t>560.</w:t>
      </w:r>
      <w:r w:rsidR="00770DB7">
        <w:rPr>
          <w:szCs w:val="26"/>
        </w:rPr>
        <w:t>)</w:t>
      </w:r>
      <w:r w:rsidR="00365609" w:rsidRPr="009F1AEE">
        <w:rPr>
          <w:szCs w:val="26"/>
        </w:rPr>
        <w:t xml:space="preserve">  </w:t>
      </w:r>
      <w:proofErr w:type="spellStart"/>
      <w:r w:rsidR="00365609" w:rsidRPr="009F1AEE">
        <w:rPr>
          <w:szCs w:val="26"/>
        </w:rPr>
        <w:t>Vivar</w:t>
      </w:r>
      <w:proofErr w:type="spellEnd"/>
      <w:r w:rsidR="00365609" w:rsidRPr="009F1AEE">
        <w:rPr>
          <w:szCs w:val="26"/>
        </w:rPr>
        <w:t xml:space="preserve"> </w:t>
      </w:r>
      <w:r w:rsidR="00890954" w:rsidRPr="009F1AEE">
        <w:rPr>
          <w:szCs w:val="26"/>
        </w:rPr>
        <w:t>then</w:t>
      </w:r>
      <w:r w:rsidR="00365609" w:rsidRPr="009F1AEE">
        <w:rPr>
          <w:szCs w:val="26"/>
        </w:rPr>
        <w:t xml:space="preserve"> filed a petition for writ of </w:t>
      </w:r>
      <w:r w:rsidR="00B25B79" w:rsidRPr="009F1AEE">
        <w:rPr>
          <w:szCs w:val="26"/>
        </w:rPr>
        <w:t xml:space="preserve">error </w:t>
      </w:r>
      <w:r w:rsidR="00365609" w:rsidRPr="00D5007B">
        <w:rPr>
          <w:i/>
          <w:iCs/>
          <w:szCs w:val="26"/>
        </w:rPr>
        <w:t>coram nobis</w:t>
      </w:r>
      <w:r w:rsidR="00B25B79" w:rsidRPr="009F1AEE">
        <w:rPr>
          <w:szCs w:val="26"/>
        </w:rPr>
        <w:t>, which was denied</w:t>
      </w:r>
      <w:r w:rsidR="00365609" w:rsidRPr="009F1AEE">
        <w:rPr>
          <w:szCs w:val="26"/>
        </w:rPr>
        <w:t xml:space="preserve">.  </w:t>
      </w:r>
      <w:r w:rsidR="00B25B79" w:rsidRPr="009F1AEE">
        <w:rPr>
          <w:szCs w:val="26"/>
        </w:rPr>
        <w:t>In March 2013, he was again deported</w:t>
      </w:r>
      <w:r w:rsidR="00AD681C" w:rsidRPr="009F1AEE">
        <w:rPr>
          <w:szCs w:val="26"/>
        </w:rPr>
        <w:t xml:space="preserve"> and has been living in Tijuana</w:t>
      </w:r>
      <w:r w:rsidR="005E1707" w:rsidRPr="009F1AEE">
        <w:rPr>
          <w:szCs w:val="26"/>
        </w:rPr>
        <w:t>, Me</w:t>
      </w:r>
      <w:r w:rsidR="0022155C" w:rsidRPr="009F1AEE">
        <w:rPr>
          <w:szCs w:val="26"/>
        </w:rPr>
        <w:t>xico</w:t>
      </w:r>
      <w:r w:rsidR="00AD681C" w:rsidRPr="009F1AEE">
        <w:rPr>
          <w:szCs w:val="26"/>
        </w:rPr>
        <w:t xml:space="preserve"> ever since.  </w:t>
      </w:r>
      <w:r w:rsidR="0069524D" w:rsidRPr="009F1AEE">
        <w:rPr>
          <w:szCs w:val="26"/>
        </w:rPr>
        <w:t xml:space="preserve">There, </w:t>
      </w:r>
      <w:r w:rsidR="004E4E01" w:rsidRPr="009F1AEE">
        <w:rPr>
          <w:szCs w:val="26"/>
        </w:rPr>
        <w:t>he work</w:t>
      </w:r>
      <w:r w:rsidR="002F1B83" w:rsidRPr="009F1AEE">
        <w:rPr>
          <w:szCs w:val="26"/>
        </w:rPr>
        <w:t>s</w:t>
      </w:r>
      <w:r w:rsidR="00527E28" w:rsidRPr="009F1AEE">
        <w:rPr>
          <w:szCs w:val="26"/>
        </w:rPr>
        <w:t xml:space="preserve"> full-time at a call cente</w:t>
      </w:r>
      <w:r w:rsidR="004E4E01" w:rsidRPr="009F1AEE">
        <w:rPr>
          <w:szCs w:val="26"/>
        </w:rPr>
        <w:t>r and</w:t>
      </w:r>
      <w:r w:rsidR="00527E28" w:rsidRPr="009F1AEE">
        <w:rPr>
          <w:szCs w:val="26"/>
        </w:rPr>
        <w:t xml:space="preserve"> </w:t>
      </w:r>
      <w:r w:rsidR="0069524D" w:rsidRPr="009F1AEE">
        <w:rPr>
          <w:szCs w:val="26"/>
        </w:rPr>
        <w:t xml:space="preserve">founded a nonprofit organization to help deported </w:t>
      </w:r>
      <w:r w:rsidR="00567D08" w:rsidRPr="009F1AEE">
        <w:rPr>
          <w:szCs w:val="26"/>
        </w:rPr>
        <w:t>mothers of U</w:t>
      </w:r>
      <w:r w:rsidR="00230CB0">
        <w:rPr>
          <w:szCs w:val="26"/>
        </w:rPr>
        <w:t xml:space="preserve">nited </w:t>
      </w:r>
      <w:r w:rsidR="00567D08" w:rsidRPr="009F1AEE">
        <w:rPr>
          <w:szCs w:val="26"/>
        </w:rPr>
        <w:t>S</w:t>
      </w:r>
      <w:r w:rsidR="00230CB0">
        <w:rPr>
          <w:szCs w:val="26"/>
        </w:rPr>
        <w:t>tates</w:t>
      </w:r>
      <w:r w:rsidR="00567D08" w:rsidRPr="009F1AEE">
        <w:rPr>
          <w:szCs w:val="26"/>
        </w:rPr>
        <w:t xml:space="preserve"> citizen children as well as deported mothers of children lawfully residing in the U</w:t>
      </w:r>
      <w:r w:rsidR="00A817AF" w:rsidRPr="009F1AEE">
        <w:rPr>
          <w:szCs w:val="26"/>
        </w:rPr>
        <w:t xml:space="preserve">nited </w:t>
      </w:r>
      <w:r w:rsidR="00567D08" w:rsidRPr="009F1AEE">
        <w:rPr>
          <w:szCs w:val="26"/>
        </w:rPr>
        <w:t>S</w:t>
      </w:r>
      <w:r w:rsidR="00A817AF" w:rsidRPr="009F1AEE">
        <w:rPr>
          <w:szCs w:val="26"/>
        </w:rPr>
        <w:t>tates</w:t>
      </w:r>
      <w:r w:rsidR="00567D08" w:rsidRPr="009F1AEE">
        <w:rPr>
          <w:szCs w:val="26"/>
        </w:rPr>
        <w:t xml:space="preserve"> under </w:t>
      </w:r>
      <w:r w:rsidR="003C14AA" w:rsidRPr="009F1AEE">
        <w:rPr>
          <w:szCs w:val="26"/>
        </w:rPr>
        <w:t xml:space="preserve">the </w:t>
      </w:r>
      <w:r w:rsidR="00567D08" w:rsidRPr="009F1AEE">
        <w:rPr>
          <w:szCs w:val="26"/>
        </w:rPr>
        <w:t>Deferred Action for Childhood Arrivals</w:t>
      </w:r>
      <w:r w:rsidR="003C14AA" w:rsidRPr="009F1AEE">
        <w:rPr>
          <w:szCs w:val="26"/>
        </w:rPr>
        <w:t xml:space="preserve"> program</w:t>
      </w:r>
      <w:r w:rsidR="00567D08" w:rsidRPr="009F1AEE">
        <w:rPr>
          <w:szCs w:val="26"/>
        </w:rPr>
        <w:t xml:space="preserve">.  He </w:t>
      </w:r>
      <w:r w:rsidR="00527E28" w:rsidRPr="009F1AEE">
        <w:rPr>
          <w:szCs w:val="26"/>
        </w:rPr>
        <w:t xml:space="preserve">has also been volunteering with organizations </w:t>
      </w:r>
      <w:r w:rsidR="00567D08" w:rsidRPr="009F1AEE">
        <w:rPr>
          <w:szCs w:val="26"/>
        </w:rPr>
        <w:t>to support deported U</w:t>
      </w:r>
      <w:r w:rsidR="00230CB0">
        <w:rPr>
          <w:szCs w:val="26"/>
        </w:rPr>
        <w:t xml:space="preserve">nited </w:t>
      </w:r>
      <w:r w:rsidR="00567D08" w:rsidRPr="009F1AEE">
        <w:rPr>
          <w:szCs w:val="26"/>
        </w:rPr>
        <w:t>S</w:t>
      </w:r>
      <w:r w:rsidR="00230CB0">
        <w:rPr>
          <w:szCs w:val="26"/>
        </w:rPr>
        <w:t>tates</w:t>
      </w:r>
      <w:r w:rsidR="00567D08" w:rsidRPr="009F1AEE">
        <w:rPr>
          <w:szCs w:val="26"/>
        </w:rPr>
        <w:t xml:space="preserve"> veterans.  </w:t>
      </w:r>
      <w:r w:rsidR="0023724F" w:rsidRPr="009F1AEE">
        <w:rPr>
          <w:szCs w:val="26"/>
        </w:rPr>
        <w:t xml:space="preserve">If this conviction can be vacated, </w:t>
      </w:r>
      <w:proofErr w:type="spellStart"/>
      <w:r w:rsidR="00567D08" w:rsidRPr="009F1AEE">
        <w:rPr>
          <w:szCs w:val="26"/>
        </w:rPr>
        <w:t>Vivar</w:t>
      </w:r>
      <w:proofErr w:type="spellEnd"/>
      <w:r w:rsidR="003C14AA" w:rsidRPr="009F1AEE">
        <w:rPr>
          <w:szCs w:val="26"/>
        </w:rPr>
        <w:t xml:space="preserve"> —</w:t>
      </w:r>
      <w:r w:rsidR="00567D08" w:rsidRPr="009F1AEE">
        <w:rPr>
          <w:szCs w:val="26"/>
        </w:rPr>
        <w:t xml:space="preserve"> who has remained drug-free since 2002</w:t>
      </w:r>
      <w:r w:rsidR="003C14AA" w:rsidRPr="009F1AEE">
        <w:rPr>
          <w:szCs w:val="26"/>
        </w:rPr>
        <w:t xml:space="preserve"> —</w:t>
      </w:r>
      <w:r w:rsidR="00567D08" w:rsidRPr="009F1AEE">
        <w:rPr>
          <w:szCs w:val="26"/>
        </w:rPr>
        <w:t xml:space="preserve"> </w:t>
      </w:r>
      <w:r w:rsidR="001160DF">
        <w:rPr>
          <w:szCs w:val="26"/>
        </w:rPr>
        <w:t>may</w:t>
      </w:r>
      <w:r w:rsidR="0023724F" w:rsidRPr="009F1AEE">
        <w:rPr>
          <w:szCs w:val="26"/>
        </w:rPr>
        <w:t xml:space="preserve"> be able to seek reentry to the U</w:t>
      </w:r>
      <w:r w:rsidR="00A817AF" w:rsidRPr="009F1AEE">
        <w:rPr>
          <w:szCs w:val="26"/>
        </w:rPr>
        <w:t xml:space="preserve">nited </w:t>
      </w:r>
      <w:r w:rsidR="0023724F" w:rsidRPr="009F1AEE">
        <w:rPr>
          <w:szCs w:val="26"/>
        </w:rPr>
        <w:t>S</w:t>
      </w:r>
      <w:r w:rsidR="00A817AF" w:rsidRPr="009F1AEE">
        <w:rPr>
          <w:szCs w:val="26"/>
        </w:rPr>
        <w:t>tates</w:t>
      </w:r>
      <w:r w:rsidR="0023724F" w:rsidRPr="009F1AEE">
        <w:rPr>
          <w:szCs w:val="26"/>
        </w:rPr>
        <w:t xml:space="preserve"> and be reunited with his family.  </w:t>
      </w:r>
      <w:r w:rsidR="00B25B79" w:rsidRPr="009F1AEE">
        <w:rPr>
          <w:szCs w:val="26"/>
        </w:rPr>
        <w:t xml:space="preserve">  </w:t>
      </w:r>
    </w:p>
    <w:p w14:paraId="21703C50" w14:textId="2EA03F01" w:rsidR="00DE114F" w:rsidRPr="009F1AEE" w:rsidRDefault="00FA3A49" w:rsidP="009F1AEE">
      <w:pPr>
        <w:tabs>
          <w:tab w:val="left" w:pos="1440"/>
        </w:tabs>
        <w:ind w:firstLine="720"/>
        <w:rPr>
          <w:szCs w:val="26"/>
        </w:rPr>
      </w:pPr>
      <w:proofErr w:type="spellStart"/>
      <w:r>
        <w:rPr>
          <w:szCs w:val="26"/>
        </w:rPr>
        <w:t>Vivar</w:t>
      </w:r>
      <w:proofErr w:type="spellEnd"/>
      <w:r>
        <w:rPr>
          <w:szCs w:val="26"/>
        </w:rPr>
        <w:t xml:space="preserve"> filed a motion in</w:t>
      </w:r>
      <w:r w:rsidRPr="009F1AEE">
        <w:rPr>
          <w:szCs w:val="26"/>
        </w:rPr>
        <w:t xml:space="preserve"> </w:t>
      </w:r>
      <w:r w:rsidR="00501189" w:rsidRPr="009F1AEE">
        <w:rPr>
          <w:szCs w:val="26"/>
        </w:rPr>
        <w:t>January 2018</w:t>
      </w:r>
      <w:r>
        <w:rPr>
          <w:szCs w:val="26"/>
        </w:rPr>
        <w:t xml:space="preserve"> </w:t>
      </w:r>
      <w:r w:rsidR="007A0D4C" w:rsidRPr="009F1AEE">
        <w:rPr>
          <w:szCs w:val="26"/>
        </w:rPr>
        <w:t xml:space="preserve">to vacate his conviction under </w:t>
      </w:r>
      <w:r w:rsidR="00ED7975">
        <w:rPr>
          <w:szCs w:val="26"/>
        </w:rPr>
        <w:t xml:space="preserve">Penal Code </w:t>
      </w:r>
      <w:r w:rsidR="00163559" w:rsidRPr="009F1AEE">
        <w:rPr>
          <w:szCs w:val="26"/>
        </w:rPr>
        <w:t>s</w:t>
      </w:r>
      <w:r w:rsidR="007A0D4C" w:rsidRPr="009F1AEE">
        <w:rPr>
          <w:szCs w:val="26"/>
        </w:rPr>
        <w:t xml:space="preserve">ection 1473.7 — the motion under review here.  </w:t>
      </w:r>
      <w:r w:rsidR="00B62A8A" w:rsidRPr="009F1AEE">
        <w:rPr>
          <w:szCs w:val="26"/>
        </w:rPr>
        <w:t xml:space="preserve">He asserted, among other things, that he would never have pleaded guilty to violating Health </w:t>
      </w:r>
      <w:r w:rsidR="00230CB0">
        <w:rPr>
          <w:szCs w:val="26"/>
        </w:rPr>
        <w:t>and</w:t>
      </w:r>
      <w:r w:rsidR="00B62A8A" w:rsidRPr="009F1AEE">
        <w:rPr>
          <w:szCs w:val="26"/>
        </w:rPr>
        <w:t xml:space="preserve"> Safety Code section 11383, </w:t>
      </w:r>
      <w:r w:rsidR="00650A11" w:rsidRPr="009F1AEE">
        <w:rPr>
          <w:szCs w:val="26"/>
        </w:rPr>
        <w:t xml:space="preserve">former </w:t>
      </w:r>
      <w:r w:rsidR="00B62A8A" w:rsidRPr="009F1AEE">
        <w:rPr>
          <w:szCs w:val="26"/>
        </w:rPr>
        <w:t>subdivision (c)</w:t>
      </w:r>
      <w:r w:rsidR="0019756B" w:rsidRPr="009F1AEE">
        <w:rPr>
          <w:szCs w:val="26"/>
        </w:rPr>
        <w:t>,</w:t>
      </w:r>
      <w:r w:rsidR="00B62A8A" w:rsidRPr="009F1AEE">
        <w:rPr>
          <w:szCs w:val="26"/>
        </w:rPr>
        <w:t xml:space="preserve"> if counsel had informed him it would result in his deportation.  </w:t>
      </w:r>
      <w:r w:rsidR="005C40D6" w:rsidRPr="009F1AEE">
        <w:rPr>
          <w:szCs w:val="26"/>
        </w:rPr>
        <w:t xml:space="preserve">The trial court </w:t>
      </w:r>
      <w:r w:rsidR="00A27775" w:rsidRPr="009F1AEE">
        <w:rPr>
          <w:szCs w:val="26"/>
        </w:rPr>
        <w:t xml:space="preserve">denied the motion, </w:t>
      </w:r>
      <w:r w:rsidR="005C40D6" w:rsidRPr="009F1AEE">
        <w:rPr>
          <w:szCs w:val="26"/>
        </w:rPr>
        <w:t>reason</w:t>
      </w:r>
      <w:r w:rsidR="00A27775" w:rsidRPr="009F1AEE">
        <w:rPr>
          <w:szCs w:val="26"/>
        </w:rPr>
        <w:t>ing</w:t>
      </w:r>
      <w:r w:rsidR="005C40D6" w:rsidRPr="009F1AEE">
        <w:rPr>
          <w:szCs w:val="26"/>
        </w:rPr>
        <w:t xml:space="preserve"> </w:t>
      </w:r>
      <w:r w:rsidR="00DE114F" w:rsidRPr="009F1AEE">
        <w:rPr>
          <w:szCs w:val="26"/>
        </w:rPr>
        <w:t xml:space="preserve">(1) </w:t>
      </w:r>
      <w:r w:rsidR="005C40D6" w:rsidRPr="009F1AEE">
        <w:rPr>
          <w:szCs w:val="26"/>
        </w:rPr>
        <w:t xml:space="preserve">that </w:t>
      </w:r>
      <w:r w:rsidR="00DF68AC" w:rsidRPr="009F1AEE">
        <w:rPr>
          <w:szCs w:val="26"/>
        </w:rPr>
        <w:t xml:space="preserve">counsel made </w:t>
      </w:r>
      <w:r w:rsidR="00DE114F" w:rsidRPr="009F1AEE">
        <w:rPr>
          <w:szCs w:val="26"/>
        </w:rPr>
        <w:t xml:space="preserve">no affirmative </w:t>
      </w:r>
      <w:proofErr w:type="spellStart"/>
      <w:r w:rsidR="00DE114F" w:rsidRPr="009F1AEE">
        <w:rPr>
          <w:szCs w:val="26"/>
        </w:rPr>
        <w:t>misadvisement</w:t>
      </w:r>
      <w:proofErr w:type="spellEnd"/>
      <w:r w:rsidR="00DE114F" w:rsidRPr="009F1AEE">
        <w:rPr>
          <w:szCs w:val="26"/>
        </w:rPr>
        <w:t>, and (2) that “</w:t>
      </w:r>
      <w:proofErr w:type="spellStart"/>
      <w:r w:rsidR="00DE114F" w:rsidRPr="009F1AEE">
        <w:rPr>
          <w:szCs w:val="26"/>
        </w:rPr>
        <w:t>nonadvisement</w:t>
      </w:r>
      <w:proofErr w:type="spellEnd"/>
      <w:r w:rsidR="00DE114F" w:rsidRPr="009F1AEE">
        <w:rPr>
          <w:szCs w:val="26"/>
        </w:rPr>
        <w:t>” of immigration consequences didn’t qualify as ineffective assistance under U</w:t>
      </w:r>
      <w:r w:rsidR="00230CB0">
        <w:rPr>
          <w:szCs w:val="26"/>
        </w:rPr>
        <w:t xml:space="preserve">nited </w:t>
      </w:r>
      <w:r w:rsidR="00DE114F" w:rsidRPr="009F1AEE">
        <w:rPr>
          <w:szCs w:val="26"/>
        </w:rPr>
        <w:t>S</w:t>
      </w:r>
      <w:r w:rsidR="00230CB0">
        <w:rPr>
          <w:szCs w:val="26"/>
        </w:rPr>
        <w:t>tates</w:t>
      </w:r>
      <w:r w:rsidR="00DE114F" w:rsidRPr="009F1AEE">
        <w:rPr>
          <w:szCs w:val="26"/>
        </w:rPr>
        <w:t xml:space="preserve"> Supreme Court precedent.  The trial court didn’t consider whether </w:t>
      </w:r>
      <w:proofErr w:type="spellStart"/>
      <w:r w:rsidR="00DE114F" w:rsidRPr="009F1AEE">
        <w:rPr>
          <w:szCs w:val="26"/>
        </w:rPr>
        <w:t>Vivar</w:t>
      </w:r>
      <w:proofErr w:type="spellEnd"/>
      <w:r w:rsidR="00DE114F" w:rsidRPr="009F1AEE">
        <w:rPr>
          <w:szCs w:val="26"/>
        </w:rPr>
        <w:t xml:space="preserve"> suffered prejudice</w:t>
      </w:r>
      <w:r w:rsidR="0019756B" w:rsidRPr="009F1AEE">
        <w:rPr>
          <w:szCs w:val="26"/>
        </w:rPr>
        <w:t xml:space="preserve"> from counsel’s failure to provide adequate advice.</w:t>
      </w:r>
      <w:r w:rsidR="00DE114F" w:rsidRPr="009F1AEE">
        <w:rPr>
          <w:szCs w:val="26"/>
        </w:rPr>
        <w:t xml:space="preserve">  </w:t>
      </w:r>
    </w:p>
    <w:p w14:paraId="69C67C63" w14:textId="2BEC96F4" w:rsidR="00504162" w:rsidRPr="009F1AEE" w:rsidRDefault="00775AC8" w:rsidP="009F1AEE">
      <w:pPr>
        <w:tabs>
          <w:tab w:val="left" w:pos="1440"/>
        </w:tabs>
        <w:ind w:firstLine="720"/>
        <w:rPr>
          <w:szCs w:val="26"/>
        </w:rPr>
      </w:pPr>
      <w:r w:rsidRPr="009F1AEE">
        <w:rPr>
          <w:szCs w:val="26"/>
        </w:rPr>
        <w:t>The Court of Appeal affirmed, but on different grounds.</w:t>
      </w:r>
      <w:r w:rsidR="00D7175C" w:rsidRPr="009F1AEE">
        <w:rPr>
          <w:szCs w:val="26"/>
        </w:rPr>
        <w:t xml:space="preserve">  Contrary to the trial court, the Court of Appeal determined that defense counsel provided ineffective assistance.  (</w:t>
      </w:r>
      <w:proofErr w:type="spellStart"/>
      <w:r w:rsidR="00D7175C" w:rsidRPr="009F1AEE">
        <w:rPr>
          <w:i/>
          <w:szCs w:val="26"/>
        </w:rPr>
        <w:t>Vivar</w:t>
      </w:r>
      <w:proofErr w:type="spellEnd"/>
      <w:r w:rsidR="00D7175C" w:rsidRPr="009F1AEE">
        <w:rPr>
          <w:szCs w:val="26"/>
        </w:rPr>
        <w:t xml:space="preserve">, </w:t>
      </w:r>
      <w:r w:rsidR="00D7175C" w:rsidRPr="009F1AEE">
        <w:rPr>
          <w:i/>
          <w:szCs w:val="26"/>
        </w:rPr>
        <w:t>supra</w:t>
      </w:r>
      <w:r w:rsidR="00D7175C" w:rsidRPr="009F1AEE">
        <w:rPr>
          <w:szCs w:val="26"/>
        </w:rPr>
        <w:t xml:space="preserve">, 43 Cal.App.5th at p. </w:t>
      </w:r>
      <w:r w:rsidR="00285CEC" w:rsidRPr="009F1AEE">
        <w:rPr>
          <w:szCs w:val="26"/>
        </w:rPr>
        <w:t>228.)  A</w:t>
      </w:r>
      <w:r w:rsidR="00D7175C" w:rsidRPr="009F1AEE">
        <w:rPr>
          <w:szCs w:val="26"/>
        </w:rPr>
        <w:t xml:space="preserve">t a minimum, the court reasoned, </w:t>
      </w:r>
      <w:proofErr w:type="spellStart"/>
      <w:r w:rsidR="00D7175C" w:rsidRPr="009F1AEE">
        <w:rPr>
          <w:szCs w:val="26"/>
        </w:rPr>
        <w:lastRenderedPageBreak/>
        <w:t>Vivar</w:t>
      </w:r>
      <w:proofErr w:type="spellEnd"/>
      <w:r w:rsidR="00D7175C" w:rsidRPr="009F1AEE">
        <w:rPr>
          <w:szCs w:val="26"/>
        </w:rPr>
        <w:t xml:space="preserve"> </w:t>
      </w:r>
      <w:r w:rsidR="001519FB" w:rsidRPr="009F1AEE">
        <w:rPr>
          <w:szCs w:val="26"/>
        </w:rPr>
        <w:t xml:space="preserve">had </w:t>
      </w:r>
      <w:r w:rsidR="00D7175C" w:rsidRPr="009F1AEE">
        <w:rPr>
          <w:szCs w:val="26"/>
        </w:rPr>
        <w:t>asked “a specific question about deportation” (</w:t>
      </w:r>
      <w:r w:rsidR="00D7175C" w:rsidRPr="009F1AEE">
        <w:rPr>
          <w:i/>
          <w:szCs w:val="26"/>
        </w:rPr>
        <w:t>i</w:t>
      </w:r>
      <w:r w:rsidR="00285CEC" w:rsidRPr="009F1AEE">
        <w:rPr>
          <w:i/>
          <w:szCs w:val="26"/>
        </w:rPr>
        <w:t>bi</w:t>
      </w:r>
      <w:r w:rsidR="00D7175C" w:rsidRPr="009F1AEE">
        <w:rPr>
          <w:i/>
          <w:szCs w:val="26"/>
        </w:rPr>
        <w:t>d</w:t>
      </w:r>
      <w:r w:rsidR="00D7175C" w:rsidRPr="009F1AEE">
        <w:rPr>
          <w:szCs w:val="26"/>
        </w:rPr>
        <w:t>.),</w:t>
      </w:r>
      <w:r w:rsidR="00285CEC" w:rsidRPr="009F1AEE">
        <w:rPr>
          <w:szCs w:val="26"/>
        </w:rPr>
        <w:t xml:space="preserve"> a question that “required an attorney to research and apprise their client of the immigration consequences of a plea” (</w:t>
      </w:r>
      <w:r w:rsidR="00230CB0">
        <w:rPr>
          <w:i/>
          <w:szCs w:val="26"/>
        </w:rPr>
        <w:t>i</w:t>
      </w:r>
      <w:r w:rsidR="00285CEC" w:rsidRPr="009F1AEE">
        <w:rPr>
          <w:i/>
          <w:szCs w:val="26"/>
        </w:rPr>
        <w:t>d</w:t>
      </w:r>
      <w:r w:rsidR="00285CEC" w:rsidRPr="009F1AEE">
        <w:rPr>
          <w:szCs w:val="26"/>
        </w:rPr>
        <w:t>. at p.</w:t>
      </w:r>
      <w:r w:rsidR="00845A55">
        <w:t> </w:t>
      </w:r>
      <w:r w:rsidR="00285CEC" w:rsidRPr="009F1AEE">
        <w:rPr>
          <w:szCs w:val="26"/>
        </w:rPr>
        <w:t>227)</w:t>
      </w:r>
      <w:r w:rsidR="00230CB0">
        <w:rPr>
          <w:szCs w:val="26"/>
        </w:rPr>
        <w:t>.</w:t>
      </w:r>
      <w:r w:rsidR="00285CEC" w:rsidRPr="009F1AEE">
        <w:rPr>
          <w:szCs w:val="26"/>
        </w:rPr>
        <w:t xml:space="preserve">  </w:t>
      </w:r>
      <w:r w:rsidR="0031454F" w:rsidRPr="009F1AEE">
        <w:rPr>
          <w:szCs w:val="26"/>
        </w:rPr>
        <w:t>To warn merely “</w:t>
      </w:r>
      <w:r w:rsidR="002D71AE">
        <w:rPr>
          <w:szCs w:val="26"/>
        </w:rPr>
        <w:t> </w:t>
      </w:r>
      <w:r w:rsidR="0031454F" w:rsidRPr="009F1AEE">
        <w:rPr>
          <w:szCs w:val="26"/>
        </w:rPr>
        <w:t>‘that his plea might have immigration consequences,’</w:t>
      </w:r>
      <w:r w:rsidR="00C42C1C">
        <w:rPr>
          <w:szCs w:val="26"/>
        </w:rPr>
        <w:t> </w:t>
      </w:r>
      <w:r w:rsidR="0031454F" w:rsidRPr="009F1AEE">
        <w:rPr>
          <w:szCs w:val="26"/>
        </w:rPr>
        <w:t>” in circumstances where the consequences were “certain,” was “constitutionally deficient.”  (</w:t>
      </w:r>
      <w:r w:rsidR="0031454F" w:rsidRPr="009F1AEE">
        <w:rPr>
          <w:i/>
          <w:szCs w:val="26"/>
        </w:rPr>
        <w:t>Id</w:t>
      </w:r>
      <w:r w:rsidR="0031454F" w:rsidRPr="009F1AEE">
        <w:rPr>
          <w:szCs w:val="26"/>
        </w:rPr>
        <w:t>. at p. 228.)</w:t>
      </w:r>
      <w:r w:rsidR="008B3991" w:rsidRPr="009F1AEE">
        <w:rPr>
          <w:szCs w:val="26"/>
        </w:rPr>
        <w:t xml:space="preserve">  What </w:t>
      </w:r>
      <w:r w:rsidR="00A27775" w:rsidRPr="009F1AEE">
        <w:rPr>
          <w:szCs w:val="26"/>
        </w:rPr>
        <w:t>barred relief here</w:t>
      </w:r>
      <w:r w:rsidR="008B3991" w:rsidRPr="009F1AEE">
        <w:rPr>
          <w:szCs w:val="26"/>
        </w:rPr>
        <w:t xml:space="preserve">, in the Court of Appeal’s view, was </w:t>
      </w:r>
      <w:proofErr w:type="spellStart"/>
      <w:r w:rsidR="00A27775" w:rsidRPr="009F1AEE">
        <w:rPr>
          <w:szCs w:val="26"/>
        </w:rPr>
        <w:t>Vivar’s</w:t>
      </w:r>
      <w:proofErr w:type="spellEnd"/>
      <w:r w:rsidR="00A27775" w:rsidRPr="009F1AEE">
        <w:rPr>
          <w:szCs w:val="26"/>
        </w:rPr>
        <w:t xml:space="preserve"> failure to demonstrate </w:t>
      </w:r>
      <w:r w:rsidR="00893471" w:rsidRPr="009F1AEE">
        <w:rPr>
          <w:szCs w:val="26"/>
        </w:rPr>
        <w:t>prejudice</w:t>
      </w:r>
      <w:r w:rsidR="00230CB0">
        <w:rPr>
          <w:szCs w:val="26"/>
        </w:rPr>
        <w:t xml:space="preserve"> — </w:t>
      </w:r>
      <w:r w:rsidR="00FF7DB5" w:rsidRPr="009F1AEE">
        <w:rPr>
          <w:szCs w:val="26"/>
        </w:rPr>
        <w:t xml:space="preserve">in this context, </w:t>
      </w:r>
      <w:r w:rsidR="008B3991" w:rsidRPr="009F1AEE">
        <w:rPr>
          <w:szCs w:val="26"/>
        </w:rPr>
        <w:t xml:space="preserve">a </w:t>
      </w:r>
      <w:r w:rsidR="001E59AB" w:rsidRPr="009F1AEE">
        <w:rPr>
          <w:szCs w:val="26"/>
        </w:rPr>
        <w:t xml:space="preserve">reasonable probability </w:t>
      </w:r>
      <w:r w:rsidR="004E4E01" w:rsidRPr="009F1AEE">
        <w:rPr>
          <w:szCs w:val="26"/>
        </w:rPr>
        <w:t xml:space="preserve">that </w:t>
      </w:r>
      <w:r w:rsidR="00A27775" w:rsidRPr="009F1AEE">
        <w:rPr>
          <w:szCs w:val="26"/>
        </w:rPr>
        <w:t>he</w:t>
      </w:r>
      <w:r w:rsidR="001E59AB" w:rsidRPr="009F1AEE">
        <w:rPr>
          <w:szCs w:val="26"/>
        </w:rPr>
        <w:t xml:space="preserve"> wouldn’t have entered the same plea if he had been properly advised.  (</w:t>
      </w:r>
      <w:r w:rsidR="001E59AB" w:rsidRPr="009F1AEE">
        <w:rPr>
          <w:i/>
          <w:szCs w:val="26"/>
        </w:rPr>
        <w:t>Id</w:t>
      </w:r>
      <w:r w:rsidR="001E59AB" w:rsidRPr="009F1AEE">
        <w:rPr>
          <w:szCs w:val="26"/>
        </w:rPr>
        <w:t xml:space="preserve">. at p. 229.)  </w:t>
      </w:r>
      <w:r w:rsidR="008952D8" w:rsidRPr="009F1AEE">
        <w:rPr>
          <w:szCs w:val="26"/>
        </w:rPr>
        <w:t xml:space="preserve">The court reasoned that </w:t>
      </w:r>
      <w:proofErr w:type="spellStart"/>
      <w:r w:rsidR="004725A7" w:rsidRPr="009F1AEE">
        <w:rPr>
          <w:szCs w:val="26"/>
        </w:rPr>
        <w:t>Vivar’s</w:t>
      </w:r>
      <w:proofErr w:type="spellEnd"/>
      <w:r w:rsidR="004725A7" w:rsidRPr="009F1AEE">
        <w:rPr>
          <w:szCs w:val="26"/>
        </w:rPr>
        <w:t xml:space="preserve"> main priority </w:t>
      </w:r>
      <w:r w:rsidR="00DF68AC" w:rsidRPr="009F1AEE">
        <w:rPr>
          <w:szCs w:val="26"/>
        </w:rPr>
        <w:t>seemed to be</w:t>
      </w:r>
      <w:r w:rsidR="004725A7" w:rsidRPr="009F1AEE">
        <w:rPr>
          <w:szCs w:val="26"/>
        </w:rPr>
        <w:t xml:space="preserve"> drug treatment, not immigration consequences, </w:t>
      </w:r>
      <w:r w:rsidR="00DF68AC" w:rsidRPr="009F1AEE">
        <w:rPr>
          <w:szCs w:val="26"/>
        </w:rPr>
        <w:t xml:space="preserve">and asserted that this was </w:t>
      </w:r>
      <w:r w:rsidR="004725A7" w:rsidRPr="009F1AEE">
        <w:rPr>
          <w:szCs w:val="26"/>
        </w:rPr>
        <w:t xml:space="preserve">corroborated by counsel’s </w:t>
      </w:r>
      <w:r w:rsidR="00163559" w:rsidRPr="009F1AEE">
        <w:rPr>
          <w:szCs w:val="26"/>
        </w:rPr>
        <w:t xml:space="preserve">contemporaneous </w:t>
      </w:r>
      <w:r w:rsidR="004725A7" w:rsidRPr="009F1AEE">
        <w:rPr>
          <w:szCs w:val="26"/>
        </w:rPr>
        <w:t xml:space="preserve">notes, by </w:t>
      </w:r>
      <w:proofErr w:type="spellStart"/>
      <w:r w:rsidR="004725A7" w:rsidRPr="009F1AEE">
        <w:rPr>
          <w:szCs w:val="26"/>
        </w:rPr>
        <w:t>Vivar’s</w:t>
      </w:r>
      <w:proofErr w:type="spellEnd"/>
      <w:r w:rsidR="004725A7" w:rsidRPr="009F1AEE">
        <w:rPr>
          <w:szCs w:val="26"/>
        </w:rPr>
        <w:t xml:space="preserve"> rejection of the </w:t>
      </w:r>
      <w:r w:rsidR="00163559" w:rsidRPr="009F1AEE">
        <w:rPr>
          <w:szCs w:val="26"/>
        </w:rPr>
        <w:t xml:space="preserve">immigration-neutral </w:t>
      </w:r>
      <w:r w:rsidR="004725A7" w:rsidRPr="009F1AEE">
        <w:rPr>
          <w:szCs w:val="26"/>
        </w:rPr>
        <w:t xml:space="preserve">burglary </w:t>
      </w:r>
      <w:r w:rsidR="00163559" w:rsidRPr="009F1AEE">
        <w:rPr>
          <w:szCs w:val="26"/>
        </w:rPr>
        <w:t>plea</w:t>
      </w:r>
      <w:r w:rsidR="004725A7" w:rsidRPr="009F1AEE">
        <w:rPr>
          <w:szCs w:val="26"/>
        </w:rPr>
        <w:t xml:space="preserve">, and by the trial court’s finding that </w:t>
      </w:r>
      <w:proofErr w:type="spellStart"/>
      <w:r w:rsidR="004725A7" w:rsidRPr="009F1AEE">
        <w:rPr>
          <w:szCs w:val="26"/>
        </w:rPr>
        <w:t>Vivar</w:t>
      </w:r>
      <w:proofErr w:type="spellEnd"/>
      <w:r w:rsidR="004725A7" w:rsidRPr="009F1AEE">
        <w:rPr>
          <w:szCs w:val="26"/>
        </w:rPr>
        <w:t xml:space="preserve"> was “ ‘</w:t>
      </w:r>
      <w:r w:rsidR="003320B5" w:rsidRPr="009F1AEE">
        <w:rPr>
          <w:szCs w:val="26"/>
        </w:rPr>
        <w:t xml:space="preserve">was </w:t>
      </w:r>
      <w:r w:rsidR="004725A7" w:rsidRPr="009F1AEE">
        <w:rPr>
          <w:szCs w:val="26"/>
        </w:rPr>
        <w:t>more willing to rely on his experiences than he was on his counsel’s advice.’</w:t>
      </w:r>
      <w:r w:rsidR="00C42C1C">
        <w:rPr>
          <w:szCs w:val="26"/>
        </w:rPr>
        <w:t> </w:t>
      </w:r>
      <w:r w:rsidR="004725A7" w:rsidRPr="009F1AEE">
        <w:rPr>
          <w:szCs w:val="26"/>
        </w:rPr>
        <w:t xml:space="preserve">”  </w:t>
      </w:r>
      <w:r w:rsidR="00230CB0">
        <w:rPr>
          <w:szCs w:val="26"/>
        </w:rPr>
        <w:t>(</w:t>
      </w:r>
      <w:r w:rsidR="00230CB0">
        <w:rPr>
          <w:i/>
          <w:szCs w:val="26"/>
        </w:rPr>
        <w:t>I</w:t>
      </w:r>
      <w:r w:rsidR="004E5B0C" w:rsidRPr="009F1AEE">
        <w:rPr>
          <w:i/>
          <w:szCs w:val="26"/>
        </w:rPr>
        <w:t>d</w:t>
      </w:r>
      <w:r w:rsidR="004725A7" w:rsidRPr="009F1AEE">
        <w:rPr>
          <w:szCs w:val="26"/>
        </w:rPr>
        <w:t>.</w:t>
      </w:r>
      <w:r w:rsidR="00230CB0">
        <w:rPr>
          <w:szCs w:val="26"/>
        </w:rPr>
        <w:t xml:space="preserve"> at p.</w:t>
      </w:r>
      <w:r w:rsidR="00BE0C11">
        <w:rPr>
          <w:szCs w:val="26"/>
        </w:rPr>
        <w:t> </w:t>
      </w:r>
      <w:r w:rsidR="00230CB0">
        <w:rPr>
          <w:szCs w:val="26"/>
        </w:rPr>
        <w:t>230.</w:t>
      </w:r>
      <w:r w:rsidR="004725A7" w:rsidRPr="009F1AEE">
        <w:rPr>
          <w:szCs w:val="26"/>
        </w:rPr>
        <w:t xml:space="preserve">)  Despite the </w:t>
      </w:r>
      <w:r w:rsidR="00DF68AC" w:rsidRPr="009F1AEE">
        <w:rPr>
          <w:szCs w:val="26"/>
        </w:rPr>
        <w:t xml:space="preserve">decades </w:t>
      </w:r>
      <w:proofErr w:type="spellStart"/>
      <w:r w:rsidR="00DF68AC" w:rsidRPr="009F1AEE">
        <w:rPr>
          <w:szCs w:val="26"/>
        </w:rPr>
        <w:t>Vivar</w:t>
      </w:r>
      <w:proofErr w:type="spellEnd"/>
      <w:r w:rsidR="00DF68AC" w:rsidRPr="009F1AEE">
        <w:rPr>
          <w:szCs w:val="26"/>
        </w:rPr>
        <w:t xml:space="preserve"> spent in this country, </w:t>
      </w:r>
      <w:r w:rsidR="00163559" w:rsidRPr="009F1AEE">
        <w:rPr>
          <w:szCs w:val="26"/>
        </w:rPr>
        <w:t xml:space="preserve">his family members’ </w:t>
      </w:r>
      <w:r w:rsidR="00230CB0">
        <w:rPr>
          <w:szCs w:val="26"/>
        </w:rPr>
        <w:t>American</w:t>
      </w:r>
      <w:r w:rsidR="00163559" w:rsidRPr="009F1AEE">
        <w:rPr>
          <w:szCs w:val="26"/>
        </w:rPr>
        <w:t xml:space="preserve"> citizenship</w:t>
      </w:r>
      <w:r w:rsidR="00DF68AC" w:rsidRPr="009F1AEE">
        <w:rPr>
          <w:szCs w:val="26"/>
        </w:rPr>
        <w:t xml:space="preserve">, </w:t>
      </w:r>
      <w:r w:rsidR="00504162" w:rsidRPr="009F1AEE">
        <w:rPr>
          <w:szCs w:val="26"/>
        </w:rPr>
        <w:t>a</w:t>
      </w:r>
      <w:r w:rsidR="00163559" w:rsidRPr="009F1AEE">
        <w:rPr>
          <w:szCs w:val="26"/>
        </w:rPr>
        <w:t xml:space="preserve">nd </w:t>
      </w:r>
      <w:r w:rsidR="00504162" w:rsidRPr="009F1AEE">
        <w:rPr>
          <w:szCs w:val="26"/>
        </w:rPr>
        <w:t xml:space="preserve">his prompt </w:t>
      </w:r>
      <w:r w:rsidR="00DF68AC" w:rsidRPr="009F1AEE">
        <w:rPr>
          <w:szCs w:val="26"/>
        </w:rPr>
        <w:t xml:space="preserve">objection </w:t>
      </w:r>
      <w:r w:rsidR="00504162" w:rsidRPr="009F1AEE">
        <w:rPr>
          <w:szCs w:val="26"/>
        </w:rPr>
        <w:t xml:space="preserve">to the federal immigration hold, </w:t>
      </w:r>
      <w:r w:rsidR="004725A7" w:rsidRPr="009F1AEE">
        <w:rPr>
          <w:szCs w:val="26"/>
        </w:rPr>
        <w:t xml:space="preserve">the Court of Appeal </w:t>
      </w:r>
      <w:r w:rsidR="00DF68AC" w:rsidRPr="009F1AEE">
        <w:rPr>
          <w:szCs w:val="26"/>
        </w:rPr>
        <w:t>insisted th</w:t>
      </w:r>
      <w:r w:rsidR="00504162" w:rsidRPr="009F1AEE">
        <w:rPr>
          <w:szCs w:val="26"/>
        </w:rPr>
        <w:t xml:space="preserve">ere was “no contemporaneous evidence in the record” to corroborate </w:t>
      </w:r>
      <w:proofErr w:type="spellStart"/>
      <w:r w:rsidR="00504162" w:rsidRPr="009F1AEE">
        <w:rPr>
          <w:szCs w:val="26"/>
        </w:rPr>
        <w:t>Vivar’s</w:t>
      </w:r>
      <w:proofErr w:type="spellEnd"/>
      <w:r w:rsidR="00504162" w:rsidRPr="009F1AEE">
        <w:rPr>
          <w:szCs w:val="26"/>
        </w:rPr>
        <w:t xml:space="preserve"> claim that he would’ve preferred an immigration-neutral disposition.  (</w:t>
      </w:r>
      <w:r w:rsidR="00504162" w:rsidRPr="009F1AEE">
        <w:rPr>
          <w:i/>
          <w:szCs w:val="26"/>
        </w:rPr>
        <w:t>I</w:t>
      </w:r>
      <w:r w:rsidR="0068029C">
        <w:rPr>
          <w:i/>
          <w:szCs w:val="26"/>
        </w:rPr>
        <w:t>bi</w:t>
      </w:r>
      <w:r w:rsidR="00504162" w:rsidRPr="009F1AEE">
        <w:rPr>
          <w:i/>
          <w:szCs w:val="26"/>
        </w:rPr>
        <w:t>d</w:t>
      </w:r>
      <w:r w:rsidR="00504162" w:rsidRPr="009F1AEE">
        <w:rPr>
          <w:szCs w:val="26"/>
        </w:rPr>
        <w:t xml:space="preserve">.)  </w:t>
      </w:r>
    </w:p>
    <w:p w14:paraId="7E9ECC0F" w14:textId="3C4BD252" w:rsidR="00BC5872" w:rsidRPr="009F1AEE" w:rsidRDefault="00504162" w:rsidP="009F1AEE">
      <w:pPr>
        <w:tabs>
          <w:tab w:val="left" w:pos="1440"/>
        </w:tabs>
        <w:ind w:firstLine="720"/>
        <w:rPr>
          <w:szCs w:val="26"/>
        </w:rPr>
      </w:pPr>
      <w:r w:rsidRPr="009F1AEE">
        <w:rPr>
          <w:szCs w:val="26"/>
        </w:rPr>
        <w:t xml:space="preserve">We granted </w:t>
      </w:r>
      <w:proofErr w:type="spellStart"/>
      <w:r w:rsidRPr="009F1AEE">
        <w:rPr>
          <w:szCs w:val="26"/>
        </w:rPr>
        <w:t>Vivar’s</w:t>
      </w:r>
      <w:proofErr w:type="spellEnd"/>
      <w:r w:rsidRPr="009F1AEE">
        <w:rPr>
          <w:szCs w:val="26"/>
        </w:rPr>
        <w:t xml:space="preserve"> petition to review </w:t>
      </w:r>
      <w:r w:rsidR="007A5725">
        <w:rPr>
          <w:szCs w:val="26"/>
        </w:rPr>
        <w:t xml:space="preserve">two </w:t>
      </w:r>
      <w:r w:rsidR="000354F0">
        <w:rPr>
          <w:szCs w:val="26"/>
        </w:rPr>
        <w:t>rulings</w:t>
      </w:r>
      <w:r w:rsidR="007A5725">
        <w:rPr>
          <w:szCs w:val="26"/>
        </w:rPr>
        <w:t xml:space="preserve"> made by the Court of Appeal:  first, its</w:t>
      </w:r>
      <w:r w:rsidRPr="009F1AEE">
        <w:rPr>
          <w:szCs w:val="26"/>
        </w:rPr>
        <w:t xml:space="preserve"> </w:t>
      </w:r>
      <w:r w:rsidR="007A5725">
        <w:rPr>
          <w:szCs w:val="26"/>
        </w:rPr>
        <w:t>conclusion</w:t>
      </w:r>
      <w:r w:rsidRPr="009F1AEE">
        <w:rPr>
          <w:szCs w:val="26"/>
        </w:rPr>
        <w:t xml:space="preserve"> that he suffered no prejudice within the meaning of section 1473.7, subdivision (a)(1)</w:t>
      </w:r>
      <w:r w:rsidR="007A5725">
        <w:rPr>
          <w:szCs w:val="26"/>
        </w:rPr>
        <w:t xml:space="preserve">; and second, its conclusion that appellate courts must review deferentially </w:t>
      </w:r>
      <w:r w:rsidR="00C52327">
        <w:rPr>
          <w:szCs w:val="26"/>
        </w:rPr>
        <w:t>factual</w:t>
      </w:r>
      <w:r w:rsidR="007A5725">
        <w:rPr>
          <w:szCs w:val="26"/>
        </w:rPr>
        <w:t xml:space="preserve"> findings </w:t>
      </w:r>
      <w:r w:rsidR="00C52327">
        <w:rPr>
          <w:szCs w:val="26"/>
        </w:rPr>
        <w:t xml:space="preserve">made by the trial court </w:t>
      </w:r>
      <w:r w:rsidR="007A5725">
        <w:rPr>
          <w:szCs w:val="26"/>
        </w:rPr>
        <w:t>concerning prejudice under section 1473.7, even if those findings are based on a cold record consisting solely of documentary evidence</w:t>
      </w:r>
      <w:r w:rsidRPr="009F1AEE">
        <w:rPr>
          <w:szCs w:val="26"/>
        </w:rPr>
        <w:t xml:space="preserve">.  </w:t>
      </w:r>
      <w:r w:rsidR="008D3321" w:rsidRPr="009F1AEE">
        <w:rPr>
          <w:szCs w:val="26"/>
        </w:rPr>
        <w:t xml:space="preserve">Because no </w:t>
      </w:r>
      <w:r w:rsidRPr="009F1AEE">
        <w:rPr>
          <w:szCs w:val="26"/>
        </w:rPr>
        <w:t xml:space="preserve">one sought review to challenge the Court of Appeal’s finding that </w:t>
      </w:r>
      <w:proofErr w:type="spellStart"/>
      <w:r w:rsidRPr="009F1AEE">
        <w:rPr>
          <w:szCs w:val="26"/>
        </w:rPr>
        <w:t>Vivar’s</w:t>
      </w:r>
      <w:proofErr w:type="spellEnd"/>
      <w:r w:rsidRPr="009F1AEE">
        <w:rPr>
          <w:szCs w:val="26"/>
        </w:rPr>
        <w:t xml:space="preserve"> counsel was ineffective, we </w:t>
      </w:r>
      <w:r w:rsidRPr="009F1AEE">
        <w:rPr>
          <w:szCs w:val="26"/>
        </w:rPr>
        <w:lastRenderedPageBreak/>
        <w:t xml:space="preserve">assume for purposes of this proceeding that </w:t>
      </w:r>
      <w:r w:rsidR="00497F77" w:rsidRPr="009F1AEE">
        <w:rPr>
          <w:szCs w:val="26"/>
        </w:rPr>
        <w:t xml:space="preserve">counsel failed to properly advise </w:t>
      </w:r>
      <w:proofErr w:type="spellStart"/>
      <w:r w:rsidRPr="009F1AEE">
        <w:rPr>
          <w:szCs w:val="26"/>
        </w:rPr>
        <w:t>Vivar</w:t>
      </w:r>
      <w:proofErr w:type="spellEnd"/>
      <w:r w:rsidRPr="009F1AEE">
        <w:rPr>
          <w:szCs w:val="26"/>
        </w:rPr>
        <w:t xml:space="preserve"> </w:t>
      </w:r>
      <w:r w:rsidR="00497F77" w:rsidRPr="009F1AEE">
        <w:rPr>
          <w:szCs w:val="26"/>
        </w:rPr>
        <w:t xml:space="preserve">about the immigration consequences of </w:t>
      </w:r>
      <w:r w:rsidR="00163559" w:rsidRPr="009F1AEE">
        <w:rPr>
          <w:szCs w:val="26"/>
        </w:rPr>
        <w:t xml:space="preserve">his plea or </w:t>
      </w:r>
      <w:r w:rsidR="0019756B" w:rsidRPr="009F1AEE">
        <w:rPr>
          <w:szCs w:val="26"/>
        </w:rPr>
        <w:t xml:space="preserve">of </w:t>
      </w:r>
      <w:r w:rsidR="00163559" w:rsidRPr="009F1AEE">
        <w:rPr>
          <w:szCs w:val="26"/>
        </w:rPr>
        <w:t>the plea offers he rejected</w:t>
      </w:r>
      <w:r w:rsidR="00497F77" w:rsidRPr="009F1AEE">
        <w:rPr>
          <w:szCs w:val="26"/>
        </w:rPr>
        <w:t>.</w:t>
      </w:r>
      <w:r w:rsidR="00DF68AC" w:rsidRPr="009F1AEE">
        <w:rPr>
          <w:szCs w:val="26"/>
        </w:rPr>
        <w:t xml:space="preserve">  After we granted review — and after receiving a 30-day extension to file his brief on the merits — the Attorney General </w:t>
      </w:r>
      <w:r w:rsidR="004144E9" w:rsidRPr="009F1AEE">
        <w:rPr>
          <w:szCs w:val="26"/>
        </w:rPr>
        <w:t xml:space="preserve">has undertaken a “fresh look” at the </w:t>
      </w:r>
      <w:r w:rsidR="007A5725">
        <w:rPr>
          <w:szCs w:val="26"/>
        </w:rPr>
        <w:t>Court of Appeal’s analysis</w:t>
      </w:r>
      <w:r w:rsidR="004144E9" w:rsidRPr="009F1AEE">
        <w:rPr>
          <w:szCs w:val="26"/>
        </w:rPr>
        <w:t xml:space="preserve"> and </w:t>
      </w:r>
      <w:r w:rsidR="00DF68AC" w:rsidRPr="009F1AEE">
        <w:rPr>
          <w:szCs w:val="26"/>
        </w:rPr>
        <w:t xml:space="preserve">now concedes that </w:t>
      </w:r>
      <w:r w:rsidR="00C52327">
        <w:rPr>
          <w:szCs w:val="26"/>
        </w:rPr>
        <w:t xml:space="preserve">the Court of Appeal erred in applying a deferential standard of review to the trial court’s prejudice findings.  He further concedes that, under independent review, </w:t>
      </w:r>
      <w:proofErr w:type="spellStart"/>
      <w:r w:rsidR="00DF68AC" w:rsidRPr="009F1AEE">
        <w:rPr>
          <w:szCs w:val="26"/>
        </w:rPr>
        <w:t>Vivar</w:t>
      </w:r>
      <w:proofErr w:type="spellEnd"/>
      <w:r w:rsidR="00DF68AC" w:rsidRPr="009F1AEE">
        <w:rPr>
          <w:szCs w:val="26"/>
        </w:rPr>
        <w:t xml:space="preserve"> has demonstrated prejudice and is entitled to </w:t>
      </w:r>
      <w:r w:rsidR="00D34165" w:rsidRPr="009F1AEE">
        <w:rPr>
          <w:szCs w:val="26"/>
        </w:rPr>
        <w:t xml:space="preserve">relief.  We have retained the case for decision to </w:t>
      </w:r>
      <w:r w:rsidR="00163559" w:rsidRPr="009F1AEE">
        <w:rPr>
          <w:szCs w:val="26"/>
        </w:rPr>
        <w:t xml:space="preserve">resolve a conflict </w:t>
      </w:r>
      <w:r w:rsidR="00C52327">
        <w:rPr>
          <w:szCs w:val="26"/>
        </w:rPr>
        <w:t xml:space="preserve">in the Court of Appeal </w:t>
      </w:r>
      <w:r w:rsidR="00163559" w:rsidRPr="009F1AEE">
        <w:rPr>
          <w:szCs w:val="26"/>
        </w:rPr>
        <w:t xml:space="preserve">concerning </w:t>
      </w:r>
      <w:r w:rsidR="00D34165" w:rsidRPr="009F1AEE">
        <w:rPr>
          <w:szCs w:val="26"/>
        </w:rPr>
        <w:t xml:space="preserve">the standard of review </w:t>
      </w:r>
      <w:r w:rsidR="00163559" w:rsidRPr="009F1AEE">
        <w:rPr>
          <w:szCs w:val="26"/>
        </w:rPr>
        <w:t>governing</w:t>
      </w:r>
      <w:r w:rsidR="00D34165" w:rsidRPr="009F1AEE">
        <w:rPr>
          <w:szCs w:val="26"/>
        </w:rPr>
        <w:t xml:space="preserve"> </w:t>
      </w:r>
      <w:r w:rsidR="00883E96" w:rsidRPr="009F1AEE">
        <w:rPr>
          <w:szCs w:val="26"/>
        </w:rPr>
        <w:t xml:space="preserve">prejudice findings under </w:t>
      </w:r>
      <w:r w:rsidR="00D34165" w:rsidRPr="009F1AEE">
        <w:rPr>
          <w:szCs w:val="26"/>
        </w:rPr>
        <w:t>section 1473.7</w:t>
      </w:r>
      <w:r w:rsidR="00883E96" w:rsidRPr="009F1AEE">
        <w:rPr>
          <w:szCs w:val="26"/>
        </w:rPr>
        <w:t>, subdivision (a)(1)</w:t>
      </w:r>
      <w:r w:rsidR="00D34165" w:rsidRPr="009F1AEE">
        <w:rPr>
          <w:szCs w:val="26"/>
        </w:rPr>
        <w:t xml:space="preserve"> and </w:t>
      </w:r>
      <w:r w:rsidR="00163559" w:rsidRPr="009F1AEE">
        <w:rPr>
          <w:szCs w:val="26"/>
        </w:rPr>
        <w:t xml:space="preserve">to clarify </w:t>
      </w:r>
      <w:r w:rsidR="007A5725">
        <w:rPr>
          <w:szCs w:val="26"/>
        </w:rPr>
        <w:t xml:space="preserve">more generally </w:t>
      </w:r>
      <w:r w:rsidR="00D34165" w:rsidRPr="009F1AEE">
        <w:rPr>
          <w:szCs w:val="26"/>
        </w:rPr>
        <w:t>what demonstrate</w:t>
      </w:r>
      <w:r w:rsidR="008D3321" w:rsidRPr="009F1AEE">
        <w:rPr>
          <w:szCs w:val="26"/>
        </w:rPr>
        <w:t>s</w:t>
      </w:r>
      <w:r w:rsidR="00D34165" w:rsidRPr="009F1AEE">
        <w:rPr>
          <w:szCs w:val="26"/>
        </w:rPr>
        <w:t xml:space="preserve"> prejudice under that provision</w:t>
      </w:r>
      <w:r w:rsidR="00883E96" w:rsidRPr="009F1AEE">
        <w:rPr>
          <w:szCs w:val="26"/>
        </w:rPr>
        <w:t>.</w:t>
      </w:r>
      <w:r w:rsidR="00D34165" w:rsidRPr="009F1AEE">
        <w:rPr>
          <w:szCs w:val="26"/>
        </w:rPr>
        <w:t xml:space="preserve"> </w:t>
      </w:r>
      <w:r w:rsidR="00A27408" w:rsidRPr="009F1AEE">
        <w:rPr>
          <w:szCs w:val="26"/>
        </w:rPr>
        <w:t xml:space="preserve"> </w:t>
      </w:r>
      <w:r w:rsidR="00770DB7">
        <w:rPr>
          <w:szCs w:val="26"/>
        </w:rPr>
        <w:t>(</w:t>
      </w:r>
      <w:r w:rsidR="00A27408" w:rsidRPr="009F1AEE">
        <w:rPr>
          <w:szCs w:val="26"/>
        </w:rPr>
        <w:t xml:space="preserve">See </w:t>
      </w:r>
      <w:r w:rsidR="00A27408" w:rsidRPr="009F1AEE">
        <w:rPr>
          <w:i/>
          <w:szCs w:val="26"/>
        </w:rPr>
        <w:t>People v. Maya</w:t>
      </w:r>
      <w:r w:rsidR="00A27408" w:rsidRPr="009F1AEE">
        <w:rPr>
          <w:szCs w:val="26"/>
        </w:rPr>
        <w:t xml:space="preserve"> (2020) 9 Cal.5th 239, 241</w:t>
      </w:r>
      <w:r w:rsidR="00444273" w:rsidRPr="009F1AEE">
        <w:rPr>
          <w:szCs w:val="26"/>
        </w:rPr>
        <w:t>.</w:t>
      </w:r>
      <w:r w:rsidR="00770DB7">
        <w:rPr>
          <w:szCs w:val="26"/>
        </w:rPr>
        <w:t>)</w:t>
      </w:r>
      <w:r w:rsidR="00444273" w:rsidRPr="009F1AEE">
        <w:rPr>
          <w:szCs w:val="26"/>
        </w:rPr>
        <w:t xml:space="preserve">  </w:t>
      </w:r>
      <w:r w:rsidR="00497F77" w:rsidRPr="009F1AEE">
        <w:rPr>
          <w:szCs w:val="26"/>
        </w:rPr>
        <w:t xml:space="preserve">  </w:t>
      </w:r>
    </w:p>
    <w:p w14:paraId="2D076372" w14:textId="77777777" w:rsidR="00BC5872" w:rsidRPr="009F1AEE" w:rsidRDefault="00BC5872" w:rsidP="009F1AEE">
      <w:pPr>
        <w:pStyle w:val="Heading1"/>
      </w:pPr>
      <w:r w:rsidRPr="009F1AEE">
        <w:t>II.</w:t>
      </w:r>
    </w:p>
    <w:p w14:paraId="38A6C91C" w14:textId="51272010" w:rsidR="00EC3A54" w:rsidRPr="009F1AEE" w:rsidRDefault="008D3321" w:rsidP="009F1AEE">
      <w:pPr>
        <w:tabs>
          <w:tab w:val="left" w:pos="1440"/>
        </w:tabs>
        <w:ind w:firstLine="720"/>
        <w:rPr>
          <w:szCs w:val="26"/>
        </w:rPr>
      </w:pPr>
      <w:r w:rsidRPr="009F1AEE">
        <w:rPr>
          <w:szCs w:val="26"/>
        </w:rPr>
        <w:t xml:space="preserve">It took less than a month for </w:t>
      </w:r>
      <w:proofErr w:type="spellStart"/>
      <w:r w:rsidR="00B72FA3" w:rsidRPr="009F1AEE">
        <w:rPr>
          <w:szCs w:val="26"/>
        </w:rPr>
        <w:t>Vivar</w:t>
      </w:r>
      <w:proofErr w:type="spellEnd"/>
      <w:r w:rsidRPr="009F1AEE">
        <w:rPr>
          <w:szCs w:val="26"/>
        </w:rPr>
        <w:t xml:space="preserve"> to realize the dire </w:t>
      </w:r>
      <w:r w:rsidR="00634380" w:rsidRPr="009F1AEE">
        <w:rPr>
          <w:szCs w:val="26"/>
        </w:rPr>
        <w:t>ramifications</w:t>
      </w:r>
      <w:r w:rsidRPr="009F1AEE">
        <w:rPr>
          <w:szCs w:val="26"/>
        </w:rPr>
        <w:t xml:space="preserve"> of his mistaken embrace of a </w:t>
      </w:r>
      <w:r w:rsidR="00B72FA3" w:rsidRPr="009F1AEE">
        <w:rPr>
          <w:szCs w:val="26"/>
        </w:rPr>
        <w:t xml:space="preserve">felony </w:t>
      </w:r>
      <w:r w:rsidRPr="009F1AEE">
        <w:rPr>
          <w:szCs w:val="26"/>
        </w:rPr>
        <w:t xml:space="preserve">drug possession plea.  </w:t>
      </w:r>
      <w:r w:rsidR="00B72FA3" w:rsidRPr="009F1AEE">
        <w:rPr>
          <w:szCs w:val="26"/>
        </w:rPr>
        <w:t>What ensued in the 18 years that followed underscore</w:t>
      </w:r>
      <w:r w:rsidR="001160DF">
        <w:rPr>
          <w:szCs w:val="26"/>
        </w:rPr>
        <w:t>s</w:t>
      </w:r>
      <w:r w:rsidR="00B72FA3" w:rsidRPr="009F1AEE">
        <w:rPr>
          <w:szCs w:val="26"/>
        </w:rPr>
        <w:t xml:space="preserve"> how much </w:t>
      </w:r>
      <w:proofErr w:type="spellStart"/>
      <w:r w:rsidR="00B72FA3" w:rsidRPr="009F1AEE">
        <w:rPr>
          <w:szCs w:val="26"/>
        </w:rPr>
        <w:t>Vivar</w:t>
      </w:r>
      <w:proofErr w:type="spellEnd"/>
      <w:r w:rsidR="00B72FA3" w:rsidRPr="009F1AEE">
        <w:rPr>
          <w:szCs w:val="26"/>
        </w:rPr>
        <w:t xml:space="preserve"> consistently valued his presence on American soil, and how likely it is that </w:t>
      </w:r>
      <w:r w:rsidR="007434DA" w:rsidRPr="007434DA">
        <w:rPr>
          <w:szCs w:val="26"/>
        </w:rPr>
        <w:t>—</w:t>
      </w:r>
      <w:r w:rsidR="00B72FA3" w:rsidRPr="009F1AEE">
        <w:rPr>
          <w:szCs w:val="26"/>
        </w:rPr>
        <w:t xml:space="preserve"> properly advised  </w:t>
      </w:r>
      <w:r w:rsidR="007434DA" w:rsidRPr="007434DA">
        <w:rPr>
          <w:szCs w:val="26"/>
        </w:rPr>
        <w:t>—</w:t>
      </w:r>
      <w:r w:rsidR="007434DA">
        <w:rPr>
          <w:szCs w:val="26"/>
        </w:rPr>
        <w:t xml:space="preserve"> </w:t>
      </w:r>
      <w:r w:rsidR="00B72FA3" w:rsidRPr="009F1AEE">
        <w:rPr>
          <w:szCs w:val="26"/>
        </w:rPr>
        <w:t>he would have prioritized a resolution of his case allowing him to s</w:t>
      </w:r>
      <w:r w:rsidR="00634380" w:rsidRPr="009F1AEE">
        <w:rPr>
          <w:szCs w:val="26"/>
        </w:rPr>
        <w:t>t</w:t>
      </w:r>
      <w:r w:rsidR="00B72FA3" w:rsidRPr="009F1AEE">
        <w:rPr>
          <w:szCs w:val="26"/>
        </w:rPr>
        <w:t xml:space="preserve">ay in the country.  </w:t>
      </w:r>
      <w:r w:rsidR="00634380" w:rsidRPr="009F1AEE">
        <w:rPr>
          <w:szCs w:val="26"/>
        </w:rPr>
        <w:t>Mere w</w:t>
      </w:r>
      <w:r w:rsidR="0042319E" w:rsidRPr="009F1AEE">
        <w:rPr>
          <w:szCs w:val="26"/>
        </w:rPr>
        <w:t>eeks after entering his plea,</w:t>
      </w:r>
      <w:r w:rsidR="007106A3" w:rsidRPr="009F1AEE">
        <w:rPr>
          <w:szCs w:val="26"/>
        </w:rPr>
        <w:t xml:space="preserve"> when he learned that he was subject to an immigration hold</w:t>
      </w:r>
      <w:r w:rsidR="00634380" w:rsidRPr="009F1AEE">
        <w:rPr>
          <w:szCs w:val="26"/>
        </w:rPr>
        <w:t xml:space="preserve"> </w:t>
      </w:r>
      <w:r w:rsidR="007106A3" w:rsidRPr="009F1AEE">
        <w:rPr>
          <w:szCs w:val="26"/>
        </w:rPr>
        <w:t>and thus ineligible for a residential drug treatment program</w:t>
      </w:r>
      <w:r w:rsidR="001519FB" w:rsidRPr="009F1AEE">
        <w:rPr>
          <w:szCs w:val="26"/>
        </w:rPr>
        <w:t>,</w:t>
      </w:r>
      <w:r w:rsidR="007106A3" w:rsidRPr="009F1AEE">
        <w:rPr>
          <w:szCs w:val="26"/>
        </w:rPr>
        <w:t xml:space="preserve"> </w:t>
      </w:r>
      <w:r w:rsidR="0057310C" w:rsidRPr="009F1AEE">
        <w:rPr>
          <w:szCs w:val="26"/>
        </w:rPr>
        <w:t xml:space="preserve">he sent </w:t>
      </w:r>
      <w:r w:rsidR="00B72FA3" w:rsidRPr="009F1AEE">
        <w:rPr>
          <w:szCs w:val="26"/>
        </w:rPr>
        <w:t xml:space="preserve">the sentencing judge </w:t>
      </w:r>
      <w:r w:rsidR="0057310C" w:rsidRPr="009F1AEE">
        <w:rPr>
          <w:szCs w:val="26"/>
        </w:rPr>
        <w:t xml:space="preserve">a </w:t>
      </w:r>
      <w:r w:rsidR="00F85CE3" w:rsidRPr="009F1AEE">
        <w:rPr>
          <w:szCs w:val="26"/>
        </w:rPr>
        <w:t xml:space="preserve">handwritten </w:t>
      </w:r>
      <w:r w:rsidR="0057310C" w:rsidRPr="009F1AEE">
        <w:rPr>
          <w:szCs w:val="26"/>
        </w:rPr>
        <w:t>letter</w:t>
      </w:r>
      <w:r w:rsidR="00B72FA3" w:rsidRPr="009F1AEE">
        <w:rPr>
          <w:szCs w:val="26"/>
        </w:rPr>
        <w:t xml:space="preserve"> </w:t>
      </w:r>
      <w:r w:rsidR="0057310C" w:rsidRPr="009F1AEE">
        <w:rPr>
          <w:szCs w:val="26"/>
        </w:rPr>
        <w:t xml:space="preserve">“to seek the court’s mercy.”  </w:t>
      </w:r>
      <w:proofErr w:type="spellStart"/>
      <w:r w:rsidR="0057310C" w:rsidRPr="009F1AEE">
        <w:rPr>
          <w:szCs w:val="26"/>
        </w:rPr>
        <w:t>Vivar</w:t>
      </w:r>
      <w:proofErr w:type="spellEnd"/>
      <w:r w:rsidR="0057310C" w:rsidRPr="009F1AEE">
        <w:rPr>
          <w:szCs w:val="26"/>
        </w:rPr>
        <w:t xml:space="preserve"> informed the court that he was “a legal resident and ha[s] been for the past 40 years”;</w:t>
      </w:r>
      <w:r w:rsidR="007106A3" w:rsidRPr="009F1AEE">
        <w:rPr>
          <w:szCs w:val="26"/>
        </w:rPr>
        <w:t xml:space="preserve"> </w:t>
      </w:r>
      <w:r w:rsidR="0057310C" w:rsidRPr="009F1AEE">
        <w:rPr>
          <w:szCs w:val="26"/>
        </w:rPr>
        <w:t xml:space="preserve"> that his mother and wife </w:t>
      </w:r>
      <w:r w:rsidR="00C32344" w:rsidRPr="009F1AEE">
        <w:rPr>
          <w:szCs w:val="26"/>
        </w:rPr>
        <w:t>were</w:t>
      </w:r>
      <w:r w:rsidR="0057310C" w:rsidRPr="009F1AEE">
        <w:rPr>
          <w:szCs w:val="26"/>
        </w:rPr>
        <w:t xml:space="preserve"> </w:t>
      </w:r>
      <w:r w:rsidR="007434DA">
        <w:rPr>
          <w:szCs w:val="26"/>
        </w:rPr>
        <w:t>American</w:t>
      </w:r>
      <w:r w:rsidR="00BE438D" w:rsidRPr="009F1AEE">
        <w:rPr>
          <w:szCs w:val="26"/>
        </w:rPr>
        <w:t xml:space="preserve"> </w:t>
      </w:r>
      <w:r w:rsidR="0057310C" w:rsidRPr="009F1AEE">
        <w:rPr>
          <w:szCs w:val="26"/>
        </w:rPr>
        <w:t>citizens</w:t>
      </w:r>
      <w:r w:rsidR="00BE438D" w:rsidRPr="009F1AEE">
        <w:rPr>
          <w:szCs w:val="26"/>
        </w:rPr>
        <w:t xml:space="preserve">; that his </w:t>
      </w:r>
      <w:r w:rsidR="0057310C" w:rsidRPr="009F1AEE">
        <w:rPr>
          <w:szCs w:val="26"/>
        </w:rPr>
        <w:t>children and grandchildren, all born in Riverside County</w:t>
      </w:r>
      <w:r w:rsidR="00BE438D" w:rsidRPr="009F1AEE">
        <w:rPr>
          <w:szCs w:val="26"/>
        </w:rPr>
        <w:t>, were likewise citizens;</w:t>
      </w:r>
      <w:r w:rsidR="0057310C" w:rsidRPr="009F1AEE">
        <w:rPr>
          <w:szCs w:val="26"/>
        </w:rPr>
        <w:t xml:space="preserve"> and that his oldest child and only son was </w:t>
      </w:r>
      <w:r w:rsidR="00BE438D" w:rsidRPr="009F1AEE">
        <w:rPr>
          <w:szCs w:val="26"/>
        </w:rPr>
        <w:t>in the U</w:t>
      </w:r>
      <w:r w:rsidR="007434DA">
        <w:rPr>
          <w:szCs w:val="26"/>
        </w:rPr>
        <w:t xml:space="preserve">nited </w:t>
      </w:r>
      <w:r w:rsidR="00BE438D" w:rsidRPr="009F1AEE">
        <w:rPr>
          <w:szCs w:val="26"/>
        </w:rPr>
        <w:t>S</w:t>
      </w:r>
      <w:r w:rsidR="007434DA">
        <w:rPr>
          <w:szCs w:val="26"/>
        </w:rPr>
        <w:t>tates</w:t>
      </w:r>
      <w:r w:rsidR="00BE438D" w:rsidRPr="009F1AEE">
        <w:rPr>
          <w:szCs w:val="26"/>
        </w:rPr>
        <w:t xml:space="preserve"> military </w:t>
      </w:r>
      <w:r w:rsidR="00BE438D" w:rsidRPr="009F1AEE">
        <w:rPr>
          <w:szCs w:val="26"/>
        </w:rPr>
        <w:lastRenderedPageBreak/>
        <w:t>aw</w:t>
      </w:r>
      <w:r w:rsidR="0057310C" w:rsidRPr="009F1AEE">
        <w:rPr>
          <w:szCs w:val="26"/>
        </w:rPr>
        <w:t xml:space="preserve">aiting deployment to the Middle East.  </w:t>
      </w:r>
      <w:r w:rsidR="00B910CC" w:rsidRPr="009F1AEE">
        <w:rPr>
          <w:szCs w:val="26"/>
        </w:rPr>
        <w:t xml:space="preserve">He “fully accept[ed]” responsibility for his actions but “would like to change my life for good and become a productive member of society.”  Two months later, after he was </w:t>
      </w:r>
      <w:r w:rsidR="00CB0129" w:rsidRPr="009F1AEE">
        <w:rPr>
          <w:szCs w:val="26"/>
        </w:rPr>
        <w:t xml:space="preserve">transferred to a federal </w:t>
      </w:r>
      <w:r w:rsidR="00BE438D" w:rsidRPr="009F1AEE">
        <w:rPr>
          <w:szCs w:val="26"/>
        </w:rPr>
        <w:t xml:space="preserve">immigration </w:t>
      </w:r>
      <w:r w:rsidR="00CB0129" w:rsidRPr="009F1AEE">
        <w:rPr>
          <w:szCs w:val="26"/>
        </w:rPr>
        <w:t>facility</w:t>
      </w:r>
      <w:r w:rsidR="00B910CC" w:rsidRPr="009F1AEE">
        <w:rPr>
          <w:szCs w:val="26"/>
        </w:rPr>
        <w:t xml:space="preserve">, he reiterated his willingness “to do whatever it takes to once again be an asset to my community and not a liability” and asked the court to reduce his conviction to a misdemeanor.  </w:t>
      </w:r>
      <w:r w:rsidR="007D1685" w:rsidRPr="009F1AEE">
        <w:rPr>
          <w:szCs w:val="26"/>
        </w:rPr>
        <w:t>(See Pen. Code, § 17, subd. (b).)</w:t>
      </w:r>
      <w:r w:rsidR="007F31EB" w:rsidRPr="009F1AEE">
        <w:rPr>
          <w:szCs w:val="26"/>
        </w:rPr>
        <w:t xml:space="preserve">  </w:t>
      </w:r>
      <w:r w:rsidR="00F85CE3" w:rsidRPr="009F1AEE">
        <w:rPr>
          <w:szCs w:val="26"/>
        </w:rPr>
        <w:t xml:space="preserve">  </w:t>
      </w:r>
    </w:p>
    <w:p w14:paraId="6923687D" w14:textId="22BEA042" w:rsidR="005016C1" w:rsidRPr="009F1AEE" w:rsidRDefault="00B72FA3" w:rsidP="009F1AEE">
      <w:pPr>
        <w:tabs>
          <w:tab w:val="left" w:pos="1440"/>
        </w:tabs>
        <w:ind w:firstLine="720"/>
        <w:rPr>
          <w:szCs w:val="26"/>
        </w:rPr>
      </w:pPr>
      <w:r w:rsidRPr="009F1AEE">
        <w:rPr>
          <w:szCs w:val="26"/>
        </w:rPr>
        <w:t>A few months</w:t>
      </w:r>
      <w:r w:rsidR="00235B1B" w:rsidRPr="009F1AEE">
        <w:rPr>
          <w:szCs w:val="26"/>
        </w:rPr>
        <w:t xml:space="preserve"> later, in</w:t>
      </w:r>
      <w:r w:rsidRPr="009F1AEE">
        <w:rPr>
          <w:szCs w:val="26"/>
        </w:rPr>
        <w:t xml:space="preserve"> </w:t>
      </w:r>
      <w:r w:rsidR="00F85CE3" w:rsidRPr="009F1AEE">
        <w:rPr>
          <w:szCs w:val="26"/>
        </w:rPr>
        <w:t xml:space="preserve">October 2002, </w:t>
      </w:r>
      <w:proofErr w:type="spellStart"/>
      <w:r w:rsidR="00FA384A" w:rsidRPr="009F1AEE">
        <w:rPr>
          <w:szCs w:val="26"/>
        </w:rPr>
        <w:t>Vivar</w:t>
      </w:r>
      <w:proofErr w:type="spellEnd"/>
      <w:r w:rsidR="00FA384A" w:rsidRPr="009F1AEE">
        <w:rPr>
          <w:szCs w:val="26"/>
        </w:rPr>
        <w:t xml:space="preserve"> asked that his case “be Re-opened” </w:t>
      </w:r>
      <w:r w:rsidR="007A621C" w:rsidRPr="009F1AEE">
        <w:rPr>
          <w:szCs w:val="26"/>
        </w:rPr>
        <w:t>on due process grounds</w:t>
      </w:r>
      <w:r w:rsidR="00FA384A" w:rsidRPr="009F1AEE">
        <w:rPr>
          <w:szCs w:val="26"/>
        </w:rPr>
        <w:t xml:space="preserve">.  </w:t>
      </w:r>
      <w:r w:rsidR="00F01C5B" w:rsidRPr="009F1AEE">
        <w:rPr>
          <w:szCs w:val="26"/>
        </w:rPr>
        <w:t>The legal advice he received at the time of his plea never conveyed</w:t>
      </w:r>
      <w:r w:rsidR="00235B1B" w:rsidRPr="009F1AEE">
        <w:rPr>
          <w:szCs w:val="26"/>
        </w:rPr>
        <w:t xml:space="preserve">, </w:t>
      </w:r>
      <w:proofErr w:type="spellStart"/>
      <w:r w:rsidR="00235B1B" w:rsidRPr="009F1AEE">
        <w:rPr>
          <w:szCs w:val="26"/>
        </w:rPr>
        <w:t>Vivar</w:t>
      </w:r>
      <w:proofErr w:type="spellEnd"/>
      <w:r w:rsidR="00235B1B" w:rsidRPr="009F1AEE">
        <w:rPr>
          <w:szCs w:val="26"/>
        </w:rPr>
        <w:t xml:space="preserve"> insisted,</w:t>
      </w:r>
      <w:r w:rsidR="00F01C5B" w:rsidRPr="009F1AEE">
        <w:rPr>
          <w:szCs w:val="26"/>
        </w:rPr>
        <w:t xml:space="preserve"> that he was accepting responsibility</w:t>
      </w:r>
      <w:r w:rsidR="00FA384A" w:rsidRPr="009F1AEE">
        <w:rPr>
          <w:szCs w:val="26"/>
        </w:rPr>
        <w:t xml:space="preserve"> </w:t>
      </w:r>
      <w:r w:rsidR="00F01C5B" w:rsidRPr="009F1AEE">
        <w:rPr>
          <w:szCs w:val="26"/>
        </w:rPr>
        <w:t xml:space="preserve">for </w:t>
      </w:r>
      <w:r w:rsidR="005016C1" w:rsidRPr="009F1AEE">
        <w:rPr>
          <w:szCs w:val="26"/>
        </w:rPr>
        <w:t xml:space="preserve">“an Aggravated Felony for Immigration purposes and thus would warrant Immediate Deportation.”  </w:t>
      </w:r>
      <w:r w:rsidR="002D1C96" w:rsidRPr="009F1AEE">
        <w:rPr>
          <w:szCs w:val="26"/>
        </w:rPr>
        <w:t>Had he been so advised, he “would have never plead</w:t>
      </w:r>
      <w:r w:rsidR="001519FB" w:rsidRPr="009F1AEE">
        <w:rPr>
          <w:szCs w:val="26"/>
        </w:rPr>
        <w:t>[ed]</w:t>
      </w:r>
      <w:r w:rsidR="002D1C96" w:rsidRPr="009F1AEE">
        <w:rPr>
          <w:szCs w:val="26"/>
        </w:rPr>
        <w:t xml:space="preserve"> Guilty to this Charge.”  </w:t>
      </w:r>
      <w:r w:rsidR="007A621C" w:rsidRPr="009F1AEE">
        <w:rPr>
          <w:szCs w:val="26"/>
        </w:rPr>
        <w:t>H</w:t>
      </w:r>
      <w:r w:rsidR="005016C1" w:rsidRPr="009F1AEE">
        <w:rPr>
          <w:szCs w:val="26"/>
        </w:rPr>
        <w:t xml:space="preserve">e was deported a few months later.  </w:t>
      </w:r>
    </w:p>
    <w:p w14:paraId="2ACA1156" w14:textId="684EA449" w:rsidR="00AD532A" w:rsidRPr="009F1AEE" w:rsidRDefault="005016C1" w:rsidP="009F1AEE">
      <w:pPr>
        <w:tabs>
          <w:tab w:val="left" w:pos="1440"/>
        </w:tabs>
        <w:ind w:firstLine="720"/>
        <w:rPr>
          <w:szCs w:val="26"/>
        </w:rPr>
      </w:pPr>
      <w:r w:rsidRPr="009F1AEE">
        <w:rPr>
          <w:szCs w:val="26"/>
        </w:rPr>
        <w:t xml:space="preserve">In </w:t>
      </w:r>
      <w:r w:rsidR="002D1C96" w:rsidRPr="009F1AEE">
        <w:rPr>
          <w:szCs w:val="26"/>
        </w:rPr>
        <w:t xml:space="preserve">2008, </w:t>
      </w:r>
      <w:proofErr w:type="spellStart"/>
      <w:r w:rsidR="00F24A39" w:rsidRPr="009F1AEE">
        <w:rPr>
          <w:szCs w:val="26"/>
        </w:rPr>
        <w:t>Vivar</w:t>
      </w:r>
      <w:proofErr w:type="spellEnd"/>
      <w:r w:rsidR="00F24A39" w:rsidRPr="009F1AEE">
        <w:rPr>
          <w:szCs w:val="26"/>
        </w:rPr>
        <w:t xml:space="preserve"> successfully moved to expunge his conviction</w:t>
      </w:r>
      <w:r w:rsidR="0022477C" w:rsidRPr="009F1AEE">
        <w:rPr>
          <w:szCs w:val="26"/>
        </w:rPr>
        <w:t xml:space="preserve"> through another pro se filing</w:t>
      </w:r>
      <w:r w:rsidR="00F24A39" w:rsidRPr="009F1AEE">
        <w:rPr>
          <w:szCs w:val="26"/>
        </w:rPr>
        <w:t xml:space="preserve">.  Only </w:t>
      </w:r>
      <w:r w:rsidR="003425F7" w:rsidRPr="009F1AEE">
        <w:rPr>
          <w:szCs w:val="26"/>
        </w:rPr>
        <w:t>later</w:t>
      </w:r>
      <w:r w:rsidR="00F24A39" w:rsidRPr="009F1AEE">
        <w:rPr>
          <w:szCs w:val="26"/>
        </w:rPr>
        <w:t xml:space="preserve"> did he learn that expungement </w:t>
      </w:r>
      <w:r w:rsidR="0022477C" w:rsidRPr="009F1AEE">
        <w:rPr>
          <w:szCs w:val="26"/>
        </w:rPr>
        <w:t xml:space="preserve">hadn’t erased or even </w:t>
      </w:r>
      <w:r w:rsidR="00F24A39" w:rsidRPr="009F1AEE">
        <w:rPr>
          <w:szCs w:val="26"/>
        </w:rPr>
        <w:t>mitigate</w:t>
      </w:r>
      <w:r w:rsidR="0022477C" w:rsidRPr="009F1AEE">
        <w:rPr>
          <w:szCs w:val="26"/>
        </w:rPr>
        <w:t>d</w:t>
      </w:r>
      <w:r w:rsidR="00F24A39" w:rsidRPr="009F1AEE">
        <w:rPr>
          <w:szCs w:val="26"/>
        </w:rPr>
        <w:t xml:space="preserve"> the immigration consequences of his </w:t>
      </w:r>
      <w:r w:rsidR="00BE438D" w:rsidRPr="009F1AEE">
        <w:rPr>
          <w:szCs w:val="26"/>
        </w:rPr>
        <w:t>plea</w:t>
      </w:r>
      <w:r w:rsidR="00F24A39" w:rsidRPr="009F1AEE">
        <w:rPr>
          <w:szCs w:val="26"/>
        </w:rPr>
        <w:t>.  (</w:t>
      </w:r>
      <w:r w:rsidR="007A621C" w:rsidRPr="009F1AEE">
        <w:rPr>
          <w:szCs w:val="26"/>
        </w:rPr>
        <w:t xml:space="preserve">See </w:t>
      </w:r>
      <w:r w:rsidR="00112388" w:rsidRPr="009F1AEE">
        <w:rPr>
          <w:i/>
          <w:szCs w:val="26"/>
        </w:rPr>
        <w:t>Martinez</w:t>
      </w:r>
      <w:r w:rsidR="00112388" w:rsidRPr="009F1AEE">
        <w:rPr>
          <w:szCs w:val="26"/>
        </w:rPr>
        <w:t xml:space="preserve">, </w:t>
      </w:r>
      <w:r w:rsidR="00112388" w:rsidRPr="009F1AEE">
        <w:rPr>
          <w:i/>
          <w:szCs w:val="26"/>
        </w:rPr>
        <w:t>supra</w:t>
      </w:r>
      <w:r w:rsidR="00112388" w:rsidRPr="009F1AEE">
        <w:rPr>
          <w:szCs w:val="26"/>
        </w:rPr>
        <w:t>, 57 Cal.4th at p. 560</w:t>
      </w:r>
      <w:r w:rsidR="00F24A39" w:rsidRPr="009F1AEE">
        <w:rPr>
          <w:szCs w:val="26"/>
        </w:rPr>
        <w:t xml:space="preserve">.)  In 2012, </w:t>
      </w:r>
      <w:r w:rsidR="005A0488" w:rsidRPr="009F1AEE">
        <w:rPr>
          <w:szCs w:val="26"/>
        </w:rPr>
        <w:t xml:space="preserve">a lawyer </w:t>
      </w:r>
      <w:r w:rsidR="00112388" w:rsidRPr="009F1AEE">
        <w:rPr>
          <w:szCs w:val="26"/>
        </w:rPr>
        <w:t xml:space="preserve">advised </w:t>
      </w:r>
      <w:proofErr w:type="spellStart"/>
      <w:r w:rsidR="00AD532A" w:rsidRPr="009F1AEE">
        <w:rPr>
          <w:szCs w:val="26"/>
        </w:rPr>
        <w:t>Vivar</w:t>
      </w:r>
      <w:proofErr w:type="spellEnd"/>
      <w:r w:rsidR="00AD532A" w:rsidRPr="009F1AEE">
        <w:rPr>
          <w:szCs w:val="26"/>
        </w:rPr>
        <w:t xml:space="preserve"> </w:t>
      </w:r>
      <w:r w:rsidR="00112388" w:rsidRPr="009F1AEE">
        <w:rPr>
          <w:szCs w:val="26"/>
        </w:rPr>
        <w:t xml:space="preserve">he </w:t>
      </w:r>
      <w:r w:rsidR="00AD532A" w:rsidRPr="009F1AEE">
        <w:rPr>
          <w:szCs w:val="26"/>
        </w:rPr>
        <w:t>could obtain relief on g</w:t>
      </w:r>
      <w:r w:rsidR="00B8744A" w:rsidRPr="009F1AEE">
        <w:rPr>
          <w:szCs w:val="26"/>
        </w:rPr>
        <w:t xml:space="preserve">rounds of ineffective assistance of counsel by filing a petition for writ of error </w:t>
      </w:r>
      <w:r w:rsidR="00B8744A" w:rsidRPr="00D5007B">
        <w:rPr>
          <w:i/>
          <w:iCs/>
          <w:szCs w:val="26"/>
        </w:rPr>
        <w:t>coram nobis</w:t>
      </w:r>
      <w:r w:rsidR="00B8744A" w:rsidRPr="009F1AEE">
        <w:rPr>
          <w:szCs w:val="26"/>
        </w:rPr>
        <w:t xml:space="preserve">.  </w:t>
      </w:r>
      <w:proofErr w:type="spellStart"/>
      <w:r w:rsidR="00B8744A" w:rsidRPr="009F1AEE">
        <w:rPr>
          <w:szCs w:val="26"/>
        </w:rPr>
        <w:t>Vivar</w:t>
      </w:r>
      <w:proofErr w:type="spellEnd"/>
      <w:r w:rsidR="00B8744A" w:rsidRPr="009F1AEE">
        <w:rPr>
          <w:szCs w:val="26"/>
        </w:rPr>
        <w:t xml:space="preserve"> hired the lawyer to file such a petition.  Yet this filing, too, </w:t>
      </w:r>
      <w:r w:rsidR="00BE438D" w:rsidRPr="009F1AEE">
        <w:rPr>
          <w:szCs w:val="26"/>
        </w:rPr>
        <w:t>proved</w:t>
      </w:r>
      <w:r w:rsidR="00B8744A" w:rsidRPr="009F1AEE">
        <w:rPr>
          <w:szCs w:val="26"/>
        </w:rPr>
        <w:t xml:space="preserve"> fruitless:  This court had already held, in 2009,</w:t>
      </w:r>
      <w:r w:rsidR="003A7273" w:rsidRPr="009F1AEE">
        <w:rPr>
          <w:szCs w:val="26"/>
        </w:rPr>
        <w:t xml:space="preserve"> that </w:t>
      </w:r>
      <w:r w:rsidR="00DE5213" w:rsidRPr="009F1AEE">
        <w:rPr>
          <w:szCs w:val="26"/>
        </w:rPr>
        <w:t xml:space="preserve">a defendant’s </w:t>
      </w:r>
      <w:r w:rsidR="003A7273" w:rsidRPr="009F1AEE">
        <w:rPr>
          <w:szCs w:val="26"/>
        </w:rPr>
        <w:t>ignorance of a plea’s immigration consequences</w:t>
      </w:r>
      <w:r w:rsidR="00DE5213" w:rsidRPr="009F1AEE">
        <w:rPr>
          <w:szCs w:val="26"/>
        </w:rPr>
        <w:t xml:space="preserve"> — or counsel’s failure to negotiate a different plea —</w:t>
      </w:r>
      <w:r w:rsidR="003A7273" w:rsidRPr="009F1AEE">
        <w:rPr>
          <w:szCs w:val="26"/>
        </w:rPr>
        <w:t xml:space="preserve"> constituted a mistake of law </w:t>
      </w:r>
      <w:r w:rsidR="00DE5213" w:rsidRPr="009F1AEE">
        <w:rPr>
          <w:szCs w:val="26"/>
        </w:rPr>
        <w:t xml:space="preserve">and thus did not </w:t>
      </w:r>
      <w:r w:rsidR="00BE438D" w:rsidRPr="009F1AEE">
        <w:rPr>
          <w:szCs w:val="26"/>
        </w:rPr>
        <w:t xml:space="preserve">qualify as a </w:t>
      </w:r>
      <w:r w:rsidR="00DE5213" w:rsidRPr="009F1AEE">
        <w:rPr>
          <w:szCs w:val="26"/>
        </w:rPr>
        <w:t xml:space="preserve">ground for relief on </w:t>
      </w:r>
      <w:r w:rsidR="00DE5213" w:rsidRPr="00D5007B">
        <w:rPr>
          <w:i/>
          <w:iCs/>
          <w:szCs w:val="26"/>
        </w:rPr>
        <w:t>coram nobis</w:t>
      </w:r>
      <w:r w:rsidR="00DE5213" w:rsidRPr="009F1AEE">
        <w:rPr>
          <w:szCs w:val="26"/>
        </w:rPr>
        <w:t>.  (</w:t>
      </w:r>
      <w:r w:rsidR="00DE5213" w:rsidRPr="009F1AEE">
        <w:rPr>
          <w:i/>
          <w:szCs w:val="26"/>
        </w:rPr>
        <w:t>People v. Kim</w:t>
      </w:r>
      <w:r w:rsidR="00DE5213" w:rsidRPr="009F1AEE">
        <w:rPr>
          <w:szCs w:val="26"/>
        </w:rPr>
        <w:t xml:space="preserve"> (2009) 45 Cal.4th 1078, 1102</w:t>
      </w:r>
      <w:r w:rsidR="002C70B6">
        <w:t>–</w:t>
      </w:r>
      <w:r w:rsidR="00DE5213" w:rsidRPr="009F1AEE">
        <w:rPr>
          <w:szCs w:val="26"/>
        </w:rPr>
        <w:t>1104</w:t>
      </w:r>
      <w:r w:rsidR="007A621C" w:rsidRPr="009F1AEE">
        <w:rPr>
          <w:szCs w:val="26"/>
        </w:rPr>
        <w:t xml:space="preserve"> (</w:t>
      </w:r>
      <w:r w:rsidR="007A621C" w:rsidRPr="009F1AEE">
        <w:rPr>
          <w:i/>
          <w:szCs w:val="26"/>
        </w:rPr>
        <w:t>Kim</w:t>
      </w:r>
      <w:r w:rsidR="007A621C" w:rsidRPr="009F1AEE">
        <w:rPr>
          <w:szCs w:val="26"/>
        </w:rPr>
        <w:t>)</w:t>
      </w:r>
      <w:r w:rsidR="00DE5213" w:rsidRPr="009F1AEE">
        <w:rPr>
          <w:szCs w:val="26"/>
        </w:rPr>
        <w:t xml:space="preserve">.)  </w:t>
      </w:r>
      <w:r w:rsidR="00B94BB3" w:rsidRPr="009F1AEE">
        <w:rPr>
          <w:szCs w:val="26"/>
        </w:rPr>
        <w:t>In a companion case, we also held</w:t>
      </w:r>
      <w:r w:rsidR="00DE5213" w:rsidRPr="009F1AEE">
        <w:rPr>
          <w:szCs w:val="26"/>
        </w:rPr>
        <w:t xml:space="preserve"> that persons </w:t>
      </w:r>
      <w:r w:rsidR="00165812" w:rsidRPr="009F1AEE">
        <w:rPr>
          <w:szCs w:val="26"/>
        </w:rPr>
        <w:t xml:space="preserve">in federal immigration custody after completing their state sentences, as </w:t>
      </w:r>
      <w:r w:rsidR="00165812" w:rsidRPr="009F1AEE">
        <w:rPr>
          <w:szCs w:val="26"/>
        </w:rPr>
        <w:lastRenderedPageBreak/>
        <w:t xml:space="preserve">well as any probation or parole period, </w:t>
      </w:r>
      <w:r w:rsidR="00B94BB3" w:rsidRPr="009F1AEE">
        <w:rPr>
          <w:szCs w:val="26"/>
        </w:rPr>
        <w:t>are no longer in state custody.  (</w:t>
      </w:r>
      <w:r w:rsidR="00B94BB3" w:rsidRPr="009F1AEE">
        <w:rPr>
          <w:i/>
          <w:szCs w:val="26"/>
        </w:rPr>
        <w:t>People v. Villa</w:t>
      </w:r>
      <w:r w:rsidR="00B94BB3" w:rsidRPr="009F1AEE">
        <w:rPr>
          <w:szCs w:val="26"/>
        </w:rPr>
        <w:t xml:space="preserve"> (2009) 45 Cal.4th 1063</w:t>
      </w:r>
      <w:r w:rsidR="009601D6" w:rsidRPr="009F1AEE">
        <w:rPr>
          <w:szCs w:val="26"/>
        </w:rPr>
        <w:t>.</w:t>
      </w:r>
      <w:r w:rsidR="00B94BB3" w:rsidRPr="009F1AEE">
        <w:rPr>
          <w:szCs w:val="26"/>
        </w:rPr>
        <w:t xml:space="preserve">) </w:t>
      </w:r>
      <w:r w:rsidR="0085549D" w:rsidRPr="009F1AEE">
        <w:rPr>
          <w:szCs w:val="26"/>
        </w:rPr>
        <w:t xml:space="preserve"> </w:t>
      </w:r>
      <w:r w:rsidR="00B94BB3" w:rsidRPr="009F1AEE">
        <w:rPr>
          <w:szCs w:val="26"/>
        </w:rPr>
        <w:t xml:space="preserve">So </w:t>
      </w:r>
      <w:r w:rsidR="00C3194B" w:rsidRPr="009F1AEE">
        <w:rPr>
          <w:szCs w:val="26"/>
        </w:rPr>
        <w:t xml:space="preserve">their state convictions are beyond the reach of </w:t>
      </w:r>
      <w:r w:rsidR="00B94BB3" w:rsidRPr="009F1AEE">
        <w:rPr>
          <w:szCs w:val="26"/>
        </w:rPr>
        <w:t>habeas corpus</w:t>
      </w:r>
      <w:r w:rsidR="00165812" w:rsidRPr="009F1AEE">
        <w:rPr>
          <w:szCs w:val="26"/>
        </w:rPr>
        <w:t xml:space="preserve">.    </w:t>
      </w:r>
    </w:p>
    <w:p w14:paraId="109E7EB1" w14:textId="53B249B4" w:rsidR="0065632E" w:rsidRPr="009F1AEE" w:rsidRDefault="00C3194B" w:rsidP="009F1AEE">
      <w:pPr>
        <w:tabs>
          <w:tab w:val="left" w:pos="1440"/>
        </w:tabs>
        <w:ind w:firstLine="720"/>
        <w:rPr>
          <w:rStyle w:val="ssparacontent"/>
        </w:rPr>
      </w:pPr>
      <w:r w:rsidRPr="009F1AEE">
        <w:rPr>
          <w:szCs w:val="26"/>
        </w:rPr>
        <w:t xml:space="preserve">But </w:t>
      </w:r>
      <w:r w:rsidR="00B57A5A" w:rsidRPr="009F1AEE">
        <w:rPr>
          <w:szCs w:val="26"/>
        </w:rPr>
        <w:t xml:space="preserve">they are not beyond the reach of remedies </w:t>
      </w:r>
      <w:r w:rsidR="00634380" w:rsidRPr="009F1AEE">
        <w:rPr>
          <w:szCs w:val="26"/>
        </w:rPr>
        <w:t xml:space="preserve">recently </w:t>
      </w:r>
      <w:r w:rsidR="00B57A5A" w:rsidRPr="009F1AEE">
        <w:rPr>
          <w:szCs w:val="26"/>
        </w:rPr>
        <w:t>enacted by the Legislature.  As</w:t>
      </w:r>
      <w:r w:rsidR="00B94BB3" w:rsidRPr="009F1AEE">
        <w:rPr>
          <w:szCs w:val="26"/>
        </w:rPr>
        <w:t xml:space="preserve"> </w:t>
      </w:r>
      <w:proofErr w:type="spellStart"/>
      <w:r w:rsidR="00AD532A" w:rsidRPr="009F1AEE">
        <w:rPr>
          <w:szCs w:val="26"/>
        </w:rPr>
        <w:t>Vivar</w:t>
      </w:r>
      <w:proofErr w:type="spellEnd"/>
      <w:r w:rsidR="00AD532A" w:rsidRPr="009F1AEE">
        <w:rPr>
          <w:szCs w:val="26"/>
        </w:rPr>
        <w:t xml:space="preserve"> was running out of options</w:t>
      </w:r>
      <w:r w:rsidR="00B94BB3" w:rsidRPr="009F1AEE">
        <w:rPr>
          <w:szCs w:val="26"/>
        </w:rPr>
        <w:t xml:space="preserve">, </w:t>
      </w:r>
      <w:r w:rsidR="00B57A5A" w:rsidRPr="009F1AEE">
        <w:rPr>
          <w:szCs w:val="26"/>
        </w:rPr>
        <w:t xml:space="preserve">lawmakers considered </w:t>
      </w:r>
      <w:r w:rsidR="0085549D" w:rsidRPr="009F1AEE">
        <w:rPr>
          <w:szCs w:val="26"/>
        </w:rPr>
        <w:t xml:space="preserve">the </w:t>
      </w:r>
      <w:r w:rsidR="00AD532A" w:rsidRPr="009F1AEE">
        <w:rPr>
          <w:szCs w:val="26"/>
        </w:rPr>
        <w:t xml:space="preserve">problem faced by </w:t>
      </w:r>
      <w:proofErr w:type="spellStart"/>
      <w:r w:rsidR="00AD532A" w:rsidRPr="009F1AEE">
        <w:rPr>
          <w:szCs w:val="26"/>
        </w:rPr>
        <w:t>Vivar</w:t>
      </w:r>
      <w:proofErr w:type="spellEnd"/>
      <w:r w:rsidR="00AD532A" w:rsidRPr="009F1AEE">
        <w:rPr>
          <w:szCs w:val="26"/>
        </w:rPr>
        <w:t xml:space="preserve"> and so many others who were unaware of the immigration consequences posed by </w:t>
      </w:r>
      <w:r w:rsidR="007A621C" w:rsidRPr="009F1AEE">
        <w:rPr>
          <w:szCs w:val="26"/>
        </w:rPr>
        <w:t xml:space="preserve">a plea entered </w:t>
      </w:r>
      <w:r w:rsidR="00112388" w:rsidRPr="009F1AEE">
        <w:rPr>
          <w:szCs w:val="26"/>
        </w:rPr>
        <w:t>many years</w:t>
      </w:r>
      <w:r w:rsidRPr="009F1AEE">
        <w:rPr>
          <w:szCs w:val="26"/>
        </w:rPr>
        <w:t xml:space="preserve"> earlier</w:t>
      </w:r>
      <w:r w:rsidR="00AD532A" w:rsidRPr="009F1AEE">
        <w:rPr>
          <w:szCs w:val="26"/>
        </w:rPr>
        <w:t xml:space="preserve">.  </w:t>
      </w:r>
      <w:r w:rsidR="005B40AB" w:rsidRPr="009F1AEE">
        <w:rPr>
          <w:szCs w:val="26"/>
        </w:rPr>
        <w:t xml:space="preserve">(See </w:t>
      </w:r>
      <w:r w:rsidR="005B40AB" w:rsidRPr="009F1AEE">
        <w:rPr>
          <w:i/>
          <w:szCs w:val="26"/>
        </w:rPr>
        <w:t>Kim</w:t>
      </w:r>
      <w:r w:rsidR="005B40AB" w:rsidRPr="009F1AEE">
        <w:rPr>
          <w:szCs w:val="26"/>
        </w:rPr>
        <w:t xml:space="preserve">, </w:t>
      </w:r>
      <w:r w:rsidR="005B40AB" w:rsidRPr="009F1AEE">
        <w:rPr>
          <w:i/>
          <w:szCs w:val="26"/>
        </w:rPr>
        <w:t>supra</w:t>
      </w:r>
      <w:r w:rsidR="005B40AB" w:rsidRPr="009F1AEE">
        <w:rPr>
          <w:szCs w:val="26"/>
        </w:rPr>
        <w:t>, 45 Cal.4th at p. 1107 [“the Legislature has been active in providing statutory remedies when the existing remedies . . . have proven ineffective”; “the Legislature remains free to enact further statutory remedies for those in defendant’s position”].)</w:t>
      </w:r>
      <w:r w:rsidR="00071787" w:rsidRPr="009F1AEE">
        <w:rPr>
          <w:szCs w:val="26"/>
        </w:rPr>
        <w:t xml:space="preserve">  </w:t>
      </w:r>
      <w:r w:rsidR="00B57A5A" w:rsidRPr="009F1AEE">
        <w:rPr>
          <w:szCs w:val="26"/>
        </w:rPr>
        <w:t>They</w:t>
      </w:r>
      <w:r w:rsidRPr="009F1AEE">
        <w:rPr>
          <w:szCs w:val="26"/>
        </w:rPr>
        <w:t xml:space="preserve"> did so by enacting</w:t>
      </w:r>
      <w:r w:rsidR="002168DF" w:rsidRPr="009F1AEE">
        <w:rPr>
          <w:szCs w:val="26"/>
        </w:rPr>
        <w:t xml:space="preserve"> section 1473.7</w:t>
      </w:r>
      <w:r w:rsidR="006B0514" w:rsidRPr="009F1AEE">
        <w:rPr>
          <w:szCs w:val="26"/>
        </w:rPr>
        <w:t>, which</w:t>
      </w:r>
      <w:r w:rsidR="002168DF" w:rsidRPr="009F1AEE">
        <w:rPr>
          <w:szCs w:val="26"/>
        </w:rPr>
        <w:t xml:space="preserve"> “create</w:t>
      </w:r>
      <w:r w:rsidR="006B0514" w:rsidRPr="009F1AEE">
        <w:rPr>
          <w:szCs w:val="26"/>
        </w:rPr>
        <w:t>[d]</w:t>
      </w:r>
      <w:r w:rsidR="002168DF" w:rsidRPr="009F1AEE">
        <w:rPr>
          <w:szCs w:val="26"/>
        </w:rPr>
        <w:t xml:space="preserve"> an explicit right for a person no longer imprisoned or restrained</w:t>
      </w:r>
      <w:r w:rsidR="006B0514" w:rsidRPr="009F1AEE">
        <w:rPr>
          <w:szCs w:val="26"/>
        </w:rPr>
        <w:t>.</w:t>
      </w:r>
      <w:r w:rsidR="00F823ED" w:rsidRPr="009F1AEE">
        <w:rPr>
          <w:szCs w:val="26"/>
        </w:rPr>
        <w:t xml:space="preserve">” </w:t>
      </w:r>
      <w:r w:rsidR="002168DF" w:rsidRPr="009F1AEE">
        <w:rPr>
          <w:szCs w:val="26"/>
        </w:rPr>
        <w:t xml:space="preserve"> </w:t>
      </w:r>
      <w:r w:rsidR="00DD6A05" w:rsidRPr="009F1AEE">
        <w:rPr>
          <w:szCs w:val="26"/>
        </w:rPr>
        <w:t>(Legis. Counsel’s Dig., Assem. Bill No. 813 (2015</w:t>
      </w:r>
      <w:r w:rsidR="0095172D" w:rsidRPr="0095172D">
        <w:rPr>
          <w:szCs w:val="26"/>
        </w:rPr>
        <w:t>–</w:t>
      </w:r>
      <w:r w:rsidR="00DD6A05" w:rsidRPr="009F1AEE">
        <w:rPr>
          <w:szCs w:val="26"/>
        </w:rPr>
        <w:t>2016 Reg. Sess.)</w:t>
      </w:r>
      <w:r w:rsidR="006B0514" w:rsidRPr="009F1AEE">
        <w:rPr>
          <w:szCs w:val="26"/>
        </w:rPr>
        <w:t>.</w:t>
      </w:r>
      <w:r w:rsidR="00DD6A05" w:rsidRPr="009F1AEE">
        <w:rPr>
          <w:szCs w:val="26"/>
        </w:rPr>
        <w:t xml:space="preserve">) </w:t>
      </w:r>
      <w:r w:rsidR="0085549D" w:rsidRPr="009F1AEE">
        <w:rPr>
          <w:szCs w:val="26"/>
        </w:rPr>
        <w:t xml:space="preserve"> </w:t>
      </w:r>
      <w:r w:rsidR="006B0514" w:rsidRPr="009F1AEE">
        <w:rPr>
          <w:szCs w:val="26"/>
        </w:rPr>
        <w:t xml:space="preserve">Under this new provision, a court </w:t>
      </w:r>
      <w:r w:rsidR="004D187E" w:rsidRPr="009F1AEE">
        <w:rPr>
          <w:szCs w:val="26"/>
        </w:rPr>
        <w:t xml:space="preserve">“shall” </w:t>
      </w:r>
      <w:r w:rsidR="00501B18" w:rsidRPr="009F1AEE">
        <w:rPr>
          <w:szCs w:val="26"/>
        </w:rPr>
        <w:t xml:space="preserve">vacate a conviction or sentence </w:t>
      </w:r>
      <w:r w:rsidR="004D187E" w:rsidRPr="009F1AEE">
        <w:rPr>
          <w:szCs w:val="26"/>
        </w:rPr>
        <w:t xml:space="preserve">upon a showing, by a preponderance of the evidence, of </w:t>
      </w:r>
      <w:r w:rsidR="00DD6A05" w:rsidRPr="009F1AEE">
        <w:rPr>
          <w:szCs w:val="26"/>
        </w:rPr>
        <w:t>“</w:t>
      </w:r>
      <w:r w:rsidR="00DD6A05" w:rsidRPr="009F1AEE">
        <w:rPr>
          <w:rStyle w:val="ssparacontent"/>
        </w:rPr>
        <w:t>prejudicial error damaging the moving party’s ability to meaningfully understand, defend against, or knowingly accept the actual or potential adverse immigration consequences of a plea of guilty or nolo contendere.”  (§ 1473.7, subd</w:t>
      </w:r>
      <w:r w:rsidR="004D187E" w:rsidRPr="009F1AEE">
        <w:rPr>
          <w:rStyle w:val="ssparacontent"/>
        </w:rPr>
        <w:t>s</w:t>
      </w:r>
      <w:r w:rsidR="00DD6A05" w:rsidRPr="009F1AEE">
        <w:rPr>
          <w:rStyle w:val="ssparacontent"/>
        </w:rPr>
        <w:t xml:space="preserve">. </w:t>
      </w:r>
      <w:r w:rsidR="004D187E" w:rsidRPr="009F1AEE">
        <w:rPr>
          <w:rStyle w:val="ssparacontent"/>
        </w:rPr>
        <w:t>(e)(1)</w:t>
      </w:r>
      <w:r w:rsidR="0095172D">
        <w:rPr>
          <w:rStyle w:val="ssparacontent"/>
        </w:rPr>
        <w:t>, (a)(1)</w:t>
      </w:r>
      <w:r w:rsidR="00DD6A05" w:rsidRPr="009F1AEE">
        <w:rPr>
          <w:rStyle w:val="ssparacontent"/>
        </w:rPr>
        <w:t xml:space="preserve">.)  </w:t>
      </w:r>
      <w:r w:rsidR="00721F24" w:rsidRPr="009F1AEE">
        <w:rPr>
          <w:rStyle w:val="ssparacontent"/>
        </w:rPr>
        <w:t xml:space="preserve">A finding of prejudicial error </w:t>
      </w:r>
      <w:r w:rsidR="0065632E" w:rsidRPr="009F1AEE">
        <w:rPr>
          <w:rStyle w:val="ssparacontent"/>
        </w:rPr>
        <w:t xml:space="preserve">under this provision </w:t>
      </w:r>
      <w:r w:rsidR="00721F24" w:rsidRPr="009F1AEE">
        <w:rPr>
          <w:rStyle w:val="ssparacontent"/>
        </w:rPr>
        <w:t xml:space="preserve">may, but need not, be based on ineffective assistance of counsel.  </w:t>
      </w:r>
      <w:r w:rsidR="002D1C96" w:rsidRPr="009F1AEE">
        <w:rPr>
          <w:rStyle w:val="ssparacontent"/>
        </w:rPr>
        <w:t>(</w:t>
      </w:r>
      <w:r w:rsidR="002D1C96" w:rsidRPr="009F1AEE">
        <w:rPr>
          <w:rStyle w:val="ssparacontent"/>
          <w:i/>
        </w:rPr>
        <w:t>Id</w:t>
      </w:r>
      <w:r w:rsidR="002D1C96" w:rsidRPr="009F1AEE">
        <w:rPr>
          <w:rStyle w:val="ssparacontent"/>
        </w:rPr>
        <w:t>.</w:t>
      </w:r>
      <w:r w:rsidR="009601D6" w:rsidRPr="009F1AEE">
        <w:rPr>
          <w:rStyle w:val="ssparacontent"/>
        </w:rPr>
        <w:t>, subd. (a)(1).</w:t>
      </w:r>
      <w:r w:rsidR="002D1C96" w:rsidRPr="009F1AEE">
        <w:rPr>
          <w:rStyle w:val="ssparacontent"/>
        </w:rPr>
        <w:t>)</w:t>
      </w:r>
      <w:r w:rsidR="00040CCA" w:rsidRPr="009F1AEE">
        <w:rPr>
          <w:rStyle w:val="ssparacontent"/>
        </w:rPr>
        <w:t xml:space="preserve">  If the motion is meritorious, “the court shall allow the moving party to withdraw the plea.”  (</w:t>
      </w:r>
      <w:r w:rsidR="00040CCA" w:rsidRPr="009F1AEE">
        <w:rPr>
          <w:rStyle w:val="ssparacontent"/>
          <w:i/>
        </w:rPr>
        <w:t>Id</w:t>
      </w:r>
      <w:r w:rsidR="00040CCA" w:rsidRPr="009F1AEE">
        <w:rPr>
          <w:rStyle w:val="ssparacontent"/>
        </w:rPr>
        <w:t>., subd. (e)(3).)</w:t>
      </w:r>
      <w:r w:rsidR="0065632E" w:rsidRPr="009F1AEE">
        <w:rPr>
          <w:rStyle w:val="ssparacontent"/>
        </w:rPr>
        <w:t xml:space="preserve">  </w:t>
      </w:r>
    </w:p>
    <w:p w14:paraId="1E897AB5" w14:textId="7D5FB063" w:rsidR="00674850" w:rsidRPr="009F1AEE" w:rsidRDefault="00E60020" w:rsidP="009F1AEE">
      <w:pPr>
        <w:tabs>
          <w:tab w:val="left" w:pos="1440"/>
        </w:tabs>
        <w:ind w:firstLine="720"/>
        <w:rPr>
          <w:rStyle w:val="ssparacontent"/>
        </w:rPr>
      </w:pPr>
      <w:r w:rsidRPr="009F1AEE">
        <w:rPr>
          <w:rStyle w:val="ssparacontent"/>
        </w:rPr>
        <w:t xml:space="preserve">The Court of Appeal </w:t>
      </w:r>
      <w:r w:rsidR="005F6227" w:rsidRPr="009F1AEE">
        <w:rPr>
          <w:rStyle w:val="ssparacontent"/>
        </w:rPr>
        <w:t xml:space="preserve">determined that trial counsel failed to advise </w:t>
      </w:r>
      <w:proofErr w:type="spellStart"/>
      <w:r w:rsidR="005F6227" w:rsidRPr="009F1AEE">
        <w:rPr>
          <w:rStyle w:val="ssparacontent"/>
        </w:rPr>
        <w:t>Vivar</w:t>
      </w:r>
      <w:proofErr w:type="spellEnd"/>
      <w:r w:rsidR="005F6227" w:rsidRPr="009F1AEE">
        <w:rPr>
          <w:rStyle w:val="ssparacontent"/>
        </w:rPr>
        <w:t xml:space="preserve"> of “the certain immigration consequences of his plea</w:t>
      </w:r>
      <w:r w:rsidR="00FA3A49">
        <w:rPr>
          <w:rStyle w:val="ssparacontent"/>
        </w:rPr>
        <w:t>.</w:t>
      </w:r>
      <w:r w:rsidR="00825848" w:rsidRPr="009F1AEE">
        <w:rPr>
          <w:rStyle w:val="ssparacontent"/>
        </w:rPr>
        <w:t>”</w:t>
      </w:r>
      <w:r w:rsidR="005F6227" w:rsidRPr="009F1AEE">
        <w:rPr>
          <w:rStyle w:val="ssparacontent"/>
        </w:rPr>
        <w:t xml:space="preserve"> </w:t>
      </w:r>
      <w:r w:rsidR="00F53BB7">
        <w:rPr>
          <w:rStyle w:val="ssparacontent"/>
        </w:rPr>
        <w:t xml:space="preserve"> </w:t>
      </w:r>
      <w:r w:rsidR="0033661C" w:rsidRPr="009F1AEE">
        <w:rPr>
          <w:rStyle w:val="ssparacontent"/>
        </w:rPr>
        <w:t>(</w:t>
      </w:r>
      <w:proofErr w:type="spellStart"/>
      <w:r w:rsidR="0033661C" w:rsidRPr="009F1AEE">
        <w:rPr>
          <w:rStyle w:val="ssparacontent"/>
          <w:i/>
        </w:rPr>
        <w:t>Vivar</w:t>
      </w:r>
      <w:proofErr w:type="spellEnd"/>
      <w:r w:rsidR="0033661C" w:rsidRPr="009F1AEE">
        <w:rPr>
          <w:rStyle w:val="ssparacontent"/>
        </w:rPr>
        <w:t xml:space="preserve">, </w:t>
      </w:r>
      <w:r w:rsidR="0033661C" w:rsidRPr="009F1AEE">
        <w:rPr>
          <w:rStyle w:val="ssparacontent"/>
          <w:i/>
        </w:rPr>
        <w:t>supra</w:t>
      </w:r>
      <w:r w:rsidR="0033661C" w:rsidRPr="009F1AEE">
        <w:rPr>
          <w:rStyle w:val="ssparacontent"/>
        </w:rPr>
        <w:t xml:space="preserve">, 43 Cal.App.5th at p. 228.)  </w:t>
      </w:r>
      <w:r w:rsidR="00FA3A49">
        <w:rPr>
          <w:rStyle w:val="ssparacontent"/>
        </w:rPr>
        <w:t xml:space="preserve">This </w:t>
      </w:r>
      <w:r w:rsidR="005F6227" w:rsidRPr="009F1AEE">
        <w:rPr>
          <w:rStyle w:val="ssparacontent"/>
        </w:rPr>
        <w:t xml:space="preserve">rendered counsel’s representation “constitutionally deficient.”  </w:t>
      </w:r>
      <w:r w:rsidR="0033661C">
        <w:rPr>
          <w:rStyle w:val="ssparacontent"/>
        </w:rPr>
        <w:t>(</w:t>
      </w:r>
      <w:r w:rsidR="0033661C">
        <w:rPr>
          <w:rStyle w:val="ssparacontent"/>
          <w:i/>
          <w:iCs/>
        </w:rPr>
        <w:t>Ibid</w:t>
      </w:r>
      <w:r w:rsidR="0033661C">
        <w:rPr>
          <w:rStyle w:val="ssparacontent"/>
        </w:rPr>
        <w:t xml:space="preserve">.)  </w:t>
      </w:r>
      <w:r w:rsidR="005F6227" w:rsidRPr="009F1AEE">
        <w:rPr>
          <w:rStyle w:val="ssparacontent"/>
        </w:rPr>
        <w:t xml:space="preserve">Because no party challenged this finding — and the question of </w:t>
      </w:r>
      <w:r w:rsidR="00C81FD5">
        <w:rPr>
          <w:rStyle w:val="ssparacontent"/>
        </w:rPr>
        <w:t xml:space="preserve">counsel’s </w:t>
      </w:r>
      <w:r w:rsidR="005F6227" w:rsidRPr="009F1AEE">
        <w:rPr>
          <w:rStyle w:val="ssparacontent"/>
        </w:rPr>
        <w:t xml:space="preserve">deficient performance falls outside the issues </w:t>
      </w:r>
      <w:r w:rsidR="005F6227" w:rsidRPr="009F1AEE">
        <w:rPr>
          <w:rStyle w:val="ssparacontent"/>
        </w:rPr>
        <w:lastRenderedPageBreak/>
        <w:t xml:space="preserve">presented for review — we accept it as true for purposes of this proceeding.  </w:t>
      </w:r>
      <w:r w:rsidR="005A7D85" w:rsidRPr="009F1AEE">
        <w:rPr>
          <w:rStyle w:val="ssparacontent"/>
        </w:rPr>
        <w:t xml:space="preserve">We </w:t>
      </w:r>
      <w:r w:rsidR="00903F36" w:rsidRPr="009F1AEE">
        <w:rPr>
          <w:rStyle w:val="ssparacontent"/>
        </w:rPr>
        <w:t xml:space="preserve">review </w:t>
      </w:r>
      <w:r w:rsidR="00886FE6" w:rsidRPr="009F1AEE">
        <w:rPr>
          <w:rStyle w:val="ssparacontent"/>
        </w:rPr>
        <w:t>only</w:t>
      </w:r>
      <w:r w:rsidR="00903F36" w:rsidRPr="009F1AEE">
        <w:rPr>
          <w:rStyle w:val="ssparacontent"/>
        </w:rPr>
        <w:t xml:space="preserve"> the Court of Appeal’s finding that </w:t>
      </w:r>
      <w:proofErr w:type="spellStart"/>
      <w:r w:rsidR="00903F36" w:rsidRPr="009F1AEE">
        <w:rPr>
          <w:rStyle w:val="ssparacontent"/>
        </w:rPr>
        <w:t>Vivar</w:t>
      </w:r>
      <w:proofErr w:type="spellEnd"/>
      <w:r w:rsidR="00903F36" w:rsidRPr="009F1AEE">
        <w:rPr>
          <w:rStyle w:val="ssparacontent"/>
        </w:rPr>
        <w:t xml:space="preserve"> suffered no prejudice on account of counsel’s error.  In examining that finding</w:t>
      </w:r>
      <w:r w:rsidR="00674850" w:rsidRPr="009F1AEE">
        <w:rPr>
          <w:rStyle w:val="ssparacontent"/>
        </w:rPr>
        <w:t>, we consider first</w:t>
      </w:r>
      <w:r w:rsidR="007075B2" w:rsidRPr="009F1AEE">
        <w:rPr>
          <w:rStyle w:val="ssparacontent"/>
        </w:rPr>
        <w:t xml:space="preserve"> what is </w:t>
      </w:r>
      <w:r w:rsidR="00674850" w:rsidRPr="009F1AEE">
        <w:rPr>
          <w:rStyle w:val="ssparacontent"/>
        </w:rPr>
        <w:t>the applicable standard of review</w:t>
      </w:r>
      <w:r w:rsidR="007075B2" w:rsidRPr="009F1AEE">
        <w:rPr>
          <w:rStyle w:val="ssparacontent"/>
        </w:rPr>
        <w:t>.</w:t>
      </w:r>
      <w:r w:rsidR="00674850" w:rsidRPr="009F1AEE">
        <w:rPr>
          <w:rStyle w:val="ssparacontent"/>
        </w:rPr>
        <w:t xml:space="preserve">  Then we apply that standard to the record here.  </w:t>
      </w:r>
      <w:r w:rsidR="004D4A20">
        <w:rPr>
          <w:rStyle w:val="ssparacontent"/>
        </w:rPr>
        <w:t>R</w:t>
      </w:r>
      <w:r w:rsidR="005A35E0" w:rsidRPr="009F1AEE">
        <w:rPr>
          <w:rStyle w:val="ssparacontent"/>
        </w:rPr>
        <w:t>eviewing the record independently,</w:t>
      </w:r>
      <w:r w:rsidR="00674850" w:rsidRPr="009F1AEE">
        <w:rPr>
          <w:rStyle w:val="ssparacontent"/>
        </w:rPr>
        <w:t xml:space="preserve"> </w:t>
      </w:r>
      <w:r w:rsidR="004D4A20">
        <w:rPr>
          <w:rStyle w:val="ssparacontent"/>
        </w:rPr>
        <w:t xml:space="preserve">we conclude </w:t>
      </w:r>
      <w:proofErr w:type="spellStart"/>
      <w:r w:rsidR="00674850" w:rsidRPr="009F1AEE">
        <w:rPr>
          <w:rStyle w:val="ssparacontent"/>
        </w:rPr>
        <w:t>Vivar</w:t>
      </w:r>
      <w:proofErr w:type="spellEnd"/>
      <w:r w:rsidR="00674850" w:rsidRPr="009F1AEE">
        <w:rPr>
          <w:rStyle w:val="ssparacontent"/>
        </w:rPr>
        <w:t xml:space="preserve"> was prejudiced within the meaning of section 1473.7</w:t>
      </w:r>
      <w:r w:rsidR="00C60C8B" w:rsidRPr="009F1AEE">
        <w:rPr>
          <w:rStyle w:val="ssparacontent"/>
        </w:rPr>
        <w:t>, subdivision (a)(1)</w:t>
      </w:r>
      <w:r w:rsidR="00674850" w:rsidRPr="009F1AEE">
        <w:rPr>
          <w:rStyle w:val="ssparacontent"/>
        </w:rPr>
        <w:t xml:space="preserve">.  </w:t>
      </w:r>
    </w:p>
    <w:p w14:paraId="64297457" w14:textId="72A5114E" w:rsidR="00674850" w:rsidRPr="009F1AEE" w:rsidRDefault="00674850" w:rsidP="009F1AEE">
      <w:pPr>
        <w:pStyle w:val="Heading1"/>
        <w:rPr>
          <w:rStyle w:val="ssparacontent"/>
          <w:b w:val="0"/>
        </w:rPr>
      </w:pPr>
      <w:r w:rsidRPr="009F1AEE">
        <w:rPr>
          <w:rStyle w:val="ssparacontent"/>
        </w:rPr>
        <w:t>A.</w:t>
      </w:r>
    </w:p>
    <w:p w14:paraId="435A63F3" w14:textId="15ED9C18" w:rsidR="001418C5" w:rsidRPr="009F1AEE" w:rsidRDefault="00B57A5A" w:rsidP="009F1AEE">
      <w:pPr>
        <w:tabs>
          <w:tab w:val="left" w:pos="1440"/>
        </w:tabs>
        <w:ind w:firstLine="720"/>
        <w:rPr>
          <w:rStyle w:val="ssparacontent"/>
        </w:rPr>
      </w:pPr>
      <w:r w:rsidRPr="009F1AEE">
        <w:rPr>
          <w:rStyle w:val="ssparacontent"/>
        </w:rPr>
        <w:t>When a trial court grants or denies a motion to vacate a conviction under section 1473.7, the</w:t>
      </w:r>
      <w:r w:rsidR="00C85EDC" w:rsidRPr="009F1AEE">
        <w:rPr>
          <w:rStyle w:val="ssparacontent"/>
        </w:rPr>
        <w:t xml:space="preserve"> </w:t>
      </w:r>
      <w:r w:rsidRPr="009F1AEE">
        <w:rPr>
          <w:rStyle w:val="ssparacontent"/>
        </w:rPr>
        <w:t>parties can appeal</w:t>
      </w:r>
      <w:r w:rsidR="00C85EDC" w:rsidRPr="009F1AEE">
        <w:rPr>
          <w:rStyle w:val="ssparacontent"/>
        </w:rPr>
        <w:t xml:space="preserve">.  </w:t>
      </w:r>
      <w:r w:rsidR="00FF211F" w:rsidRPr="009F1AEE">
        <w:rPr>
          <w:rStyle w:val="ssparacontent"/>
        </w:rPr>
        <w:t>(§</w:t>
      </w:r>
      <w:r w:rsidR="004D3C19">
        <w:rPr>
          <w:rStyle w:val="ssparacontent"/>
        </w:rPr>
        <w:t> 1</w:t>
      </w:r>
      <w:r w:rsidR="00FF211F" w:rsidRPr="009F1AEE">
        <w:rPr>
          <w:rStyle w:val="ssparacontent"/>
        </w:rPr>
        <w:t>473</w:t>
      </w:r>
      <w:r w:rsidR="00EA2AFA" w:rsidRPr="009F1AEE">
        <w:rPr>
          <w:rStyle w:val="ssparacontent"/>
        </w:rPr>
        <w:t>.7</w:t>
      </w:r>
      <w:r w:rsidR="00FF211F" w:rsidRPr="009F1AEE">
        <w:rPr>
          <w:rStyle w:val="ssparacontent"/>
        </w:rPr>
        <w:t xml:space="preserve">, subd. (f).)  </w:t>
      </w:r>
      <w:r w:rsidR="00825848" w:rsidRPr="009F1AEE">
        <w:rPr>
          <w:rStyle w:val="ssparacontent"/>
        </w:rPr>
        <w:t>B</w:t>
      </w:r>
      <w:r w:rsidRPr="009F1AEE">
        <w:rPr>
          <w:rStyle w:val="ssparacontent"/>
        </w:rPr>
        <w:t>oth parties acknowledge</w:t>
      </w:r>
      <w:r w:rsidR="00825848" w:rsidRPr="009F1AEE">
        <w:rPr>
          <w:rStyle w:val="ssparacontent"/>
        </w:rPr>
        <w:t>, though,</w:t>
      </w:r>
      <w:r w:rsidRPr="009F1AEE">
        <w:rPr>
          <w:rStyle w:val="ssparacontent"/>
        </w:rPr>
        <w:t xml:space="preserve"> that </w:t>
      </w:r>
      <w:r w:rsidR="00C85EDC" w:rsidRPr="009F1AEE">
        <w:rPr>
          <w:rStyle w:val="ssparacontent"/>
        </w:rPr>
        <w:t>the standard for reviewing such orders is “unsettled.”  (</w:t>
      </w:r>
      <w:r w:rsidR="00C85EDC" w:rsidRPr="009F1AEE">
        <w:rPr>
          <w:rStyle w:val="ssparacontent"/>
          <w:i/>
        </w:rPr>
        <w:t xml:space="preserve">People v. Rodriguez </w:t>
      </w:r>
      <w:r w:rsidR="00C85EDC" w:rsidRPr="009F1AEE">
        <w:rPr>
          <w:rStyle w:val="ssparacontent"/>
        </w:rPr>
        <w:t>(2019) 38 Cal.App.5th 971, 977.)</w:t>
      </w:r>
      <w:r w:rsidR="00FE2D30" w:rsidRPr="009F1AEE">
        <w:rPr>
          <w:rStyle w:val="ssparacontent"/>
        </w:rPr>
        <w:t xml:space="preserve">  In the Court of Appeal, the Attorney General analogized section 1473.7 motions to other </w:t>
      </w:r>
      <w:r w:rsidR="00374134" w:rsidRPr="009F1AEE">
        <w:rPr>
          <w:rStyle w:val="ssparacontent"/>
        </w:rPr>
        <w:t xml:space="preserve">statutes authorizing withdrawal of a plea </w:t>
      </w:r>
      <w:r w:rsidR="00774A0E">
        <w:rPr>
          <w:rStyle w:val="ssparacontent"/>
        </w:rPr>
        <w:t>— despite their different wording (see, e.g.,</w:t>
      </w:r>
      <w:r w:rsidR="00774A0E" w:rsidRPr="00774A0E">
        <w:rPr>
          <w:rStyle w:val="ssparacontent"/>
        </w:rPr>
        <w:t xml:space="preserve"> </w:t>
      </w:r>
      <w:r w:rsidR="0095172D">
        <w:rPr>
          <w:rStyle w:val="ssparacontent"/>
        </w:rPr>
        <w:t xml:space="preserve">Pen. Code, </w:t>
      </w:r>
      <w:r w:rsidR="00774A0E">
        <w:rPr>
          <w:rStyle w:val="ssparacontent"/>
        </w:rPr>
        <w:t>§ 1018 [</w:t>
      </w:r>
      <w:r w:rsidR="00774A0E">
        <w:t xml:space="preserve">a trial court “may” permit a defendant to withdraw a plea “for </w:t>
      </w:r>
      <w:r w:rsidR="0095172D">
        <w:t xml:space="preserve">a </w:t>
      </w:r>
      <w:r w:rsidR="00774A0E">
        <w:t>good cause shown”]) —</w:t>
      </w:r>
      <w:r w:rsidR="00774A0E">
        <w:rPr>
          <w:rStyle w:val="ssparacontent"/>
        </w:rPr>
        <w:t xml:space="preserve"> </w:t>
      </w:r>
      <w:r w:rsidR="00374134" w:rsidRPr="009F1AEE">
        <w:rPr>
          <w:rStyle w:val="ssparacontent"/>
        </w:rPr>
        <w:t xml:space="preserve">and argued that </w:t>
      </w:r>
      <w:r w:rsidR="002E5B99" w:rsidRPr="009F1AEE">
        <w:rPr>
          <w:rStyle w:val="ssparacontent"/>
        </w:rPr>
        <w:t xml:space="preserve">denial of the motion </w:t>
      </w:r>
      <w:r w:rsidR="00374134" w:rsidRPr="009F1AEE">
        <w:rPr>
          <w:rStyle w:val="ssparacontent"/>
        </w:rPr>
        <w:t xml:space="preserve">should be reviewed </w:t>
      </w:r>
      <w:r w:rsidRPr="009F1AEE">
        <w:rPr>
          <w:rStyle w:val="ssparacontent"/>
        </w:rPr>
        <w:t xml:space="preserve">deferentially </w:t>
      </w:r>
      <w:r w:rsidR="00374134" w:rsidRPr="009F1AEE">
        <w:rPr>
          <w:rStyle w:val="ssparacontent"/>
        </w:rPr>
        <w:t>for abuse of discretion.  (See</w:t>
      </w:r>
      <w:r w:rsidR="00B142F9" w:rsidRPr="009F1AEE">
        <w:rPr>
          <w:rStyle w:val="ssparacontent"/>
        </w:rPr>
        <w:t>, e.g.,</w:t>
      </w:r>
      <w:r w:rsidR="00374134" w:rsidRPr="009F1AEE">
        <w:rPr>
          <w:rStyle w:val="ssparacontent"/>
        </w:rPr>
        <w:t xml:space="preserve"> </w:t>
      </w:r>
      <w:r w:rsidR="009D2E61" w:rsidRPr="009F1AEE">
        <w:rPr>
          <w:rStyle w:val="ssparacontent"/>
          <w:i/>
        </w:rPr>
        <w:t>Rodriguez</w:t>
      </w:r>
      <w:r w:rsidR="009D2E61" w:rsidRPr="009F1AEE">
        <w:rPr>
          <w:rStyle w:val="ssparacontent"/>
        </w:rPr>
        <w:t>,</w:t>
      </w:r>
      <w:r w:rsidR="005C1FA8" w:rsidRPr="009F1AEE">
        <w:rPr>
          <w:rStyle w:val="ssparacontent"/>
        </w:rPr>
        <w:t xml:space="preserve"> at p. 977</w:t>
      </w:r>
      <w:r w:rsidR="00536D9C" w:rsidRPr="009F1AEE">
        <w:rPr>
          <w:rStyle w:val="ssparacontent"/>
        </w:rPr>
        <w:t xml:space="preserve">.)  </w:t>
      </w:r>
      <w:proofErr w:type="spellStart"/>
      <w:r w:rsidR="00374134" w:rsidRPr="009F1AEE">
        <w:rPr>
          <w:rStyle w:val="ssparacontent"/>
        </w:rPr>
        <w:t>Vivar</w:t>
      </w:r>
      <w:proofErr w:type="spellEnd"/>
      <w:r w:rsidRPr="009F1AEE">
        <w:rPr>
          <w:rStyle w:val="ssparacontent"/>
        </w:rPr>
        <w:t xml:space="preserve"> disagreed, making the case that </w:t>
      </w:r>
      <w:r w:rsidR="00374134" w:rsidRPr="009F1AEE">
        <w:rPr>
          <w:rStyle w:val="ssparacontent"/>
        </w:rPr>
        <w:t xml:space="preserve">his </w:t>
      </w:r>
      <w:r w:rsidR="00640736" w:rsidRPr="009F1AEE">
        <w:rPr>
          <w:rStyle w:val="ssparacontent"/>
        </w:rPr>
        <w:t>prejudice</w:t>
      </w:r>
      <w:r w:rsidRPr="009F1AEE">
        <w:rPr>
          <w:rStyle w:val="ssparacontent"/>
        </w:rPr>
        <w:t xml:space="preserve"> claim</w:t>
      </w:r>
      <w:r w:rsidR="00640736" w:rsidRPr="009F1AEE">
        <w:rPr>
          <w:rStyle w:val="ssparacontent"/>
        </w:rPr>
        <w:t xml:space="preserve"> </w:t>
      </w:r>
      <w:r w:rsidRPr="009F1AEE">
        <w:rPr>
          <w:rStyle w:val="ssparacontent"/>
        </w:rPr>
        <w:t xml:space="preserve">raised </w:t>
      </w:r>
      <w:r w:rsidR="00374134" w:rsidRPr="009F1AEE">
        <w:rPr>
          <w:rStyle w:val="ssparacontent"/>
        </w:rPr>
        <w:t>a mixed question of law and fact that should be reviewed independently.  (See</w:t>
      </w:r>
      <w:r w:rsidR="00B142F9" w:rsidRPr="009F1AEE">
        <w:rPr>
          <w:rStyle w:val="ssparacontent"/>
        </w:rPr>
        <w:t>, e.g.,</w:t>
      </w:r>
      <w:r w:rsidR="00374134" w:rsidRPr="009F1AEE">
        <w:rPr>
          <w:rStyle w:val="ssparacontent"/>
        </w:rPr>
        <w:t xml:space="preserve"> </w:t>
      </w:r>
      <w:r w:rsidR="00B142F9" w:rsidRPr="009F1AEE">
        <w:rPr>
          <w:rStyle w:val="ssparacontent"/>
          <w:i/>
        </w:rPr>
        <w:t>People v. DeJesus</w:t>
      </w:r>
      <w:r w:rsidR="00B142F9" w:rsidRPr="009F1AEE">
        <w:rPr>
          <w:rStyle w:val="ssparacontent"/>
        </w:rPr>
        <w:t xml:space="preserve"> (2019) 37 Cal.App.5th 1124, 113</w:t>
      </w:r>
      <w:r w:rsidR="00FE0873" w:rsidRPr="009F1AEE">
        <w:rPr>
          <w:rStyle w:val="ssparacontent"/>
        </w:rPr>
        <w:t>3</w:t>
      </w:r>
      <w:r w:rsidR="00B142F9" w:rsidRPr="009F1AEE">
        <w:rPr>
          <w:rStyle w:val="ssparacontent"/>
        </w:rPr>
        <w:t xml:space="preserve">.)  </w:t>
      </w:r>
      <w:r w:rsidRPr="009F1AEE">
        <w:rPr>
          <w:rStyle w:val="ssparacontent"/>
        </w:rPr>
        <w:t xml:space="preserve">Unsatisfied with these two possibilities, the </w:t>
      </w:r>
      <w:r w:rsidR="001418C5" w:rsidRPr="009F1AEE">
        <w:rPr>
          <w:rStyle w:val="ssparacontent"/>
        </w:rPr>
        <w:t>Court of Appeal proposed yet another option</w:t>
      </w:r>
      <w:r w:rsidR="00361FFC" w:rsidRPr="009F1AEE">
        <w:rPr>
          <w:rStyle w:val="ssparacontent"/>
        </w:rPr>
        <w:t xml:space="preserve">: </w:t>
      </w:r>
      <w:r w:rsidR="001418C5" w:rsidRPr="009F1AEE">
        <w:rPr>
          <w:rStyle w:val="ssparacontent"/>
        </w:rPr>
        <w:t xml:space="preserve"> a complicated </w:t>
      </w:r>
      <w:r w:rsidR="00E25F2E" w:rsidRPr="009F1AEE">
        <w:rPr>
          <w:rStyle w:val="ssparacontent"/>
        </w:rPr>
        <w:t xml:space="preserve">framework </w:t>
      </w:r>
      <w:r w:rsidR="00215022" w:rsidRPr="009F1AEE">
        <w:rPr>
          <w:rStyle w:val="ssparacontent"/>
        </w:rPr>
        <w:t xml:space="preserve">in which the </w:t>
      </w:r>
      <w:r w:rsidR="00E25F2E" w:rsidRPr="009F1AEE">
        <w:rPr>
          <w:rStyle w:val="ssparacontent"/>
        </w:rPr>
        <w:t xml:space="preserve">standard of review governing </w:t>
      </w:r>
      <w:r w:rsidR="005D3469" w:rsidRPr="009F1AEE">
        <w:rPr>
          <w:rStyle w:val="ssparacontent"/>
        </w:rPr>
        <w:t xml:space="preserve">a </w:t>
      </w:r>
      <w:r w:rsidR="00215022" w:rsidRPr="009F1AEE">
        <w:rPr>
          <w:rStyle w:val="ssparacontent"/>
        </w:rPr>
        <w:t xml:space="preserve">trial court’s section 1473.7 </w:t>
      </w:r>
      <w:r w:rsidR="00E25F2E" w:rsidRPr="009F1AEE">
        <w:rPr>
          <w:rStyle w:val="ssparacontent"/>
        </w:rPr>
        <w:t xml:space="preserve">prejudice </w:t>
      </w:r>
      <w:r w:rsidR="00215022" w:rsidRPr="009F1AEE">
        <w:rPr>
          <w:rStyle w:val="ssparacontent"/>
        </w:rPr>
        <w:t xml:space="preserve">ruling </w:t>
      </w:r>
      <w:r w:rsidR="001418C5" w:rsidRPr="009F1AEE">
        <w:rPr>
          <w:rStyle w:val="ssparacontent"/>
        </w:rPr>
        <w:t xml:space="preserve">would </w:t>
      </w:r>
      <w:r w:rsidR="00215022" w:rsidRPr="009F1AEE">
        <w:rPr>
          <w:rStyle w:val="ssparacontent"/>
        </w:rPr>
        <w:t>var</w:t>
      </w:r>
      <w:r w:rsidR="001418C5" w:rsidRPr="009F1AEE">
        <w:rPr>
          <w:rStyle w:val="ssparacontent"/>
        </w:rPr>
        <w:t>y</w:t>
      </w:r>
      <w:r w:rsidR="00215022" w:rsidRPr="009F1AEE">
        <w:rPr>
          <w:rStyle w:val="ssparacontent"/>
        </w:rPr>
        <w:t xml:space="preserve"> depending on the basis of the claimed error</w:t>
      </w:r>
      <w:r w:rsidR="001418C5" w:rsidRPr="009F1AEE">
        <w:rPr>
          <w:rStyle w:val="ssparacontent"/>
        </w:rPr>
        <w:t xml:space="preserve">.  </w:t>
      </w:r>
      <w:r w:rsidR="005D3469" w:rsidRPr="009F1AEE">
        <w:rPr>
          <w:rStyle w:val="ssparacontent"/>
        </w:rPr>
        <w:t>Under this option</w:t>
      </w:r>
      <w:r w:rsidR="00E25F2E" w:rsidRPr="009F1AEE">
        <w:rPr>
          <w:rStyle w:val="ssparacontent"/>
        </w:rPr>
        <w:t>,</w:t>
      </w:r>
      <w:r w:rsidR="002E5B99" w:rsidRPr="009F1AEE">
        <w:rPr>
          <w:rStyle w:val="ssparacontent"/>
        </w:rPr>
        <w:t xml:space="preserve"> t</w:t>
      </w:r>
      <w:r w:rsidR="001418C5" w:rsidRPr="009F1AEE">
        <w:rPr>
          <w:rStyle w:val="ssparacontent"/>
        </w:rPr>
        <w:t xml:space="preserve">he trial court’s </w:t>
      </w:r>
      <w:r w:rsidR="002E5B99" w:rsidRPr="009F1AEE">
        <w:rPr>
          <w:rStyle w:val="ssparacontent"/>
        </w:rPr>
        <w:t>ruling</w:t>
      </w:r>
      <w:r w:rsidR="001418C5" w:rsidRPr="009F1AEE">
        <w:rPr>
          <w:rStyle w:val="ssparacontent"/>
        </w:rPr>
        <w:t xml:space="preserve"> would be </w:t>
      </w:r>
      <w:r w:rsidR="00215022" w:rsidRPr="009F1AEE">
        <w:rPr>
          <w:rStyle w:val="ssparacontent"/>
        </w:rPr>
        <w:t xml:space="preserve">reviewed independently where the </w:t>
      </w:r>
      <w:r w:rsidR="001418C5" w:rsidRPr="009F1AEE">
        <w:rPr>
          <w:rStyle w:val="ssparacontent"/>
        </w:rPr>
        <w:t>p</w:t>
      </w:r>
      <w:r w:rsidR="00215022" w:rsidRPr="009F1AEE">
        <w:rPr>
          <w:rStyle w:val="ssparacontent"/>
        </w:rPr>
        <w:t xml:space="preserve">rejudicial error consists of constitutionally ineffective assistance of counsel but </w:t>
      </w:r>
      <w:r w:rsidR="001418C5" w:rsidRPr="009F1AEE">
        <w:rPr>
          <w:rStyle w:val="ssparacontent"/>
        </w:rPr>
        <w:t xml:space="preserve">would be </w:t>
      </w:r>
      <w:r w:rsidR="00215022" w:rsidRPr="009F1AEE">
        <w:rPr>
          <w:rStyle w:val="ssparacontent"/>
        </w:rPr>
        <w:t xml:space="preserve">reviewed for abuse </w:t>
      </w:r>
      <w:r w:rsidR="00215022" w:rsidRPr="009F1AEE">
        <w:rPr>
          <w:rStyle w:val="ssparacontent"/>
        </w:rPr>
        <w:lastRenderedPageBreak/>
        <w:t xml:space="preserve">of discretion where the claim rests merely on </w:t>
      </w:r>
      <w:r w:rsidR="001418C5" w:rsidRPr="009F1AEE">
        <w:rPr>
          <w:rStyle w:val="ssparacontent"/>
        </w:rPr>
        <w:t>“</w:t>
      </w:r>
      <w:r w:rsidR="00361FFC" w:rsidRPr="009F1AEE">
        <w:rPr>
          <w:rStyle w:val="ssparacontent"/>
        </w:rPr>
        <w:t> </w:t>
      </w:r>
      <w:r w:rsidR="001418C5" w:rsidRPr="009F1AEE">
        <w:rPr>
          <w:rStyle w:val="ssparacontent"/>
        </w:rPr>
        <w:t>‘</w:t>
      </w:r>
      <w:r w:rsidR="00215022" w:rsidRPr="009F1AEE">
        <w:rPr>
          <w:rStyle w:val="ssparacontent"/>
        </w:rPr>
        <w:t>statutory error.</w:t>
      </w:r>
      <w:r w:rsidR="001418C5" w:rsidRPr="009F1AEE">
        <w:rPr>
          <w:rStyle w:val="ssparacontent"/>
        </w:rPr>
        <w:t>’</w:t>
      </w:r>
      <w:r w:rsidR="003F0957">
        <w:rPr>
          <w:rStyle w:val="ssparacontent"/>
        </w:rPr>
        <w:t> ”</w:t>
      </w:r>
      <w:r w:rsidR="001418C5" w:rsidRPr="009F1AEE">
        <w:rPr>
          <w:rStyle w:val="ssparacontent"/>
        </w:rPr>
        <w:t xml:space="preserve"> </w:t>
      </w:r>
      <w:r w:rsidR="003F0957">
        <w:rPr>
          <w:rStyle w:val="ssparacontent"/>
        </w:rPr>
        <w:t> </w:t>
      </w:r>
      <w:r w:rsidR="001418C5" w:rsidRPr="009F1AEE">
        <w:rPr>
          <w:rStyle w:val="ssparacontent"/>
        </w:rPr>
        <w:t>(</w:t>
      </w:r>
      <w:proofErr w:type="spellStart"/>
      <w:r w:rsidR="001418C5" w:rsidRPr="009F1AEE">
        <w:rPr>
          <w:rStyle w:val="ssparacontent"/>
          <w:i/>
        </w:rPr>
        <w:t>Vivar</w:t>
      </w:r>
      <w:proofErr w:type="spellEnd"/>
      <w:r w:rsidR="001418C5" w:rsidRPr="009F1AEE">
        <w:rPr>
          <w:rStyle w:val="ssparacontent"/>
        </w:rPr>
        <w:t xml:space="preserve">, </w:t>
      </w:r>
      <w:r w:rsidR="001418C5" w:rsidRPr="009F1AEE">
        <w:rPr>
          <w:rStyle w:val="ssparacontent"/>
          <w:i/>
        </w:rPr>
        <w:t>supra</w:t>
      </w:r>
      <w:r w:rsidR="001418C5" w:rsidRPr="009F1AEE">
        <w:rPr>
          <w:rStyle w:val="ssparacontent"/>
        </w:rPr>
        <w:t xml:space="preserve">, 43 Cal.App.5th at p. 224.)  </w:t>
      </w:r>
    </w:p>
    <w:p w14:paraId="5160602B" w14:textId="4B26A767" w:rsidR="007F6D33" w:rsidRPr="00EE4376" w:rsidRDefault="008C6304" w:rsidP="009F1AEE">
      <w:pPr>
        <w:tabs>
          <w:tab w:val="left" w:pos="1440"/>
        </w:tabs>
        <w:ind w:firstLine="720"/>
        <w:rPr>
          <w:rStyle w:val="ssparacontent"/>
        </w:rPr>
      </w:pPr>
      <w:r>
        <w:rPr>
          <w:rStyle w:val="ssparacontent"/>
        </w:rPr>
        <w:t>T</w:t>
      </w:r>
      <w:r w:rsidR="001418C5" w:rsidRPr="009F1AEE">
        <w:rPr>
          <w:rStyle w:val="ssparacontent"/>
        </w:rPr>
        <w:t>he Attorney General</w:t>
      </w:r>
      <w:r w:rsidR="00896BDE">
        <w:rPr>
          <w:rStyle w:val="ssparacontent"/>
        </w:rPr>
        <w:t xml:space="preserve"> </w:t>
      </w:r>
      <w:r w:rsidR="001418C5" w:rsidRPr="009F1AEE">
        <w:rPr>
          <w:rStyle w:val="ssparacontent"/>
        </w:rPr>
        <w:t>reversed course</w:t>
      </w:r>
      <w:r>
        <w:rPr>
          <w:rStyle w:val="ssparacontent"/>
        </w:rPr>
        <w:t xml:space="preserve"> in the proceedings before us</w:t>
      </w:r>
      <w:r w:rsidR="001418C5" w:rsidRPr="009F1AEE">
        <w:rPr>
          <w:rStyle w:val="ssparacontent"/>
        </w:rPr>
        <w:t>.  He no longer advocates the abuse</w:t>
      </w:r>
      <w:r w:rsidR="003F0957">
        <w:rPr>
          <w:rStyle w:val="ssparacontent"/>
        </w:rPr>
        <w:t xml:space="preserve"> </w:t>
      </w:r>
      <w:r w:rsidR="001418C5" w:rsidRPr="009F1AEE">
        <w:rPr>
          <w:rStyle w:val="ssparacontent"/>
        </w:rPr>
        <w:t>of</w:t>
      </w:r>
      <w:r w:rsidR="003F0957">
        <w:rPr>
          <w:rStyle w:val="ssparacontent"/>
        </w:rPr>
        <w:t xml:space="preserve"> </w:t>
      </w:r>
      <w:r w:rsidR="001418C5" w:rsidRPr="009F1AEE">
        <w:rPr>
          <w:rStyle w:val="ssparacontent"/>
        </w:rPr>
        <w:t xml:space="preserve">discretion standard </w:t>
      </w:r>
      <w:bookmarkStart w:id="3" w:name="_Hlk65490541"/>
      <w:r w:rsidR="001418C5" w:rsidRPr="009F1AEE">
        <w:rPr>
          <w:rStyle w:val="ssparacontent"/>
        </w:rPr>
        <w:t>—</w:t>
      </w:r>
      <w:bookmarkEnd w:id="3"/>
      <w:r w:rsidR="001418C5" w:rsidRPr="009F1AEE">
        <w:rPr>
          <w:rStyle w:val="ssparacontent"/>
        </w:rPr>
        <w:t xml:space="preserve"> even in the context of mere statutory error.</w:t>
      </w:r>
      <w:r w:rsidR="000D1EE0" w:rsidRPr="009F1AEE">
        <w:rPr>
          <w:rStyle w:val="ssparacontent"/>
        </w:rPr>
        <w:t xml:space="preserve">  Instead, he urges us to </w:t>
      </w:r>
      <w:r w:rsidR="00231576">
        <w:rPr>
          <w:rStyle w:val="ssparacontent"/>
        </w:rPr>
        <w:t xml:space="preserve">apply the independent standard of </w:t>
      </w:r>
      <w:r w:rsidR="000D1EE0" w:rsidRPr="009F1AEE">
        <w:rPr>
          <w:rStyle w:val="ssparacontent"/>
        </w:rPr>
        <w:t xml:space="preserve">review </w:t>
      </w:r>
      <w:r w:rsidR="00231576">
        <w:rPr>
          <w:rStyle w:val="ssparacontent"/>
        </w:rPr>
        <w:t xml:space="preserve">to </w:t>
      </w:r>
      <w:r w:rsidR="000D1EE0" w:rsidRPr="009F1AEE">
        <w:rPr>
          <w:rStyle w:val="ssparacontent"/>
          <w:i/>
        </w:rPr>
        <w:t>all</w:t>
      </w:r>
      <w:r w:rsidR="000D1EE0" w:rsidRPr="009F1AEE">
        <w:rPr>
          <w:rStyle w:val="ssparacontent"/>
        </w:rPr>
        <w:t xml:space="preserve"> </w:t>
      </w:r>
      <w:r w:rsidR="00A15E57" w:rsidRPr="009F1AEE">
        <w:rPr>
          <w:rStyle w:val="ssparacontent"/>
        </w:rPr>
        <w:t xml:space="preserve">prejudice determinations </w:t>
      </w:r>
      <w:r w:rsidR="002E5B99" w:rsidRPr="009F1AEE">
        <w:rPr>
          <w:rStyle w:val="ssparacontent"/>
        </w:rPr>
        <w:t>under s</w:t>
      </w:r>
      <w:r w:rsidR="000D1EE0" w:rsidRPr="009F1AEE">
        <w:rPr>
          <w:rStyle w:val="ssparacontent"/>
        </w:rPr>
        <w:t>ection 1473.7</w:t>
      </w:r>
      <w:r w:rsidR="002E5B99" w:rsidRPr="009F1AEE">
        <w:rPr>
          <w:rStyle w:val="ssparacontent"/>
        </w:rPr>
        <w:t>, subdivision (a)(1)</w:t>
      </w:r>
      <w:r w:rsidR="00820E17" w:rsidRPr="009F1AEE">
        <w:rPr>
          <w:rStyle w:val="ssparacontent"/>
        </w:rPr>
        <w:t xml:space="preserve">.  </w:t>
      </w:r>
      <w:r w:rsidR="00BB6F06" w:rsidRPr="009F1AEE">
        <w:rPr>
          <w:rStyle w:val="ssparacontent"/>
        </w:rPr>
        <w:t xml:space="preserve">Although we are not “bound” to accept a party’s concession on a question of law </w:t>
      </w:r>
      <w:r w:rsidR="00863E39" w:rsidRPr="009F1AEE">
        <w:rPr>
          <w:rStyle w:val="ssparacontent"/>
        </w:rPr>
        <w:t>(</w:t>
      </w:r>
      <w:proofErr w:type="spellStart"/>
      <w:r w:rsidR="00863E39" w:rsidRPr="009F1AEE">
        <w:rPr>
          <w:rStyle w:val="ssparacontent"/>
          <w:i/>
        </w:rPr>
        <w:t>Desny</w:t>
      </w:r>
      <w:proofErr w:type="spellEnd"/>
      <w:r w:rsidR="00863E39" w:rsidRPr="009F1AEE">
        <w:rPr>
          <w:rStyle w:val="ssparacontent"/>
          <w:i/>
        </w:rPr>
        <w:t xml:space="preserve"> v. Wilder </w:t>
      </w:r>
      <w:r w:rsidR="00052A6F" w:rsidRPr="009F1AEE">
        <w:rPr>
          <w:rStyle w:val="ssparacontent"/>
        </w:rPr>
        <w:t>(19</w:t>
      </w:r>
      <w:r w:rsidR="00161502" w:rsidRPr="009F1AEE">
        <w:rPr>
          <w:rStyle w:val="ssparacontent"/>
        </w:rPr>
        <w:t>56</w:t>
      </w:r>
      <w:r w:rsidR="00800E13" w:rsidRPr="009F1AEE">
        <w:rPr>
          <w:rStyle w:val="ssparacontent"/>
        </w:rPr>
        <w:t>) 46 Cal.2d 715, 729</w:t>
      </w:r>
      <w:r w:rsidR="00161502" w:rsidRPr="009F1AEE">
        <w:rPr>
          <w:rStyle w:val="ssparacontent"/>
        </w:rPr>
        <w:t>), a</w:t>
      </w:r>
      <w:r w:rsidR="00820E17" w:rsidRPr="009F1AEE">
        <w:rPr>
          <w:rStyle w:val="ssparacontent"/>
        </w:rPr>
        <w:t xml:space="preserve">fter careful review </w:t>
      </w:r>
      <w:r w:rsidR="00770DB7">
        <w:rPr>
          <w:rStyle w:val="ssparacontent"/>
        </w:rPr>
        <w:t>we</w:t>
      </w:r>
      <w:r w:rsidR="007F6D33" w:rsidRPr="009F1AEE">
        <w:rPr>
          <w:rStyle w:val="ssparacontent"/>
        </w:rPr>
        <w:t xml:space="preserve"> </w:t>
      </w:r>
      <w:r w:rsidR="00820E17" w:rsidRPr="009F1AEE">
        <w:rPr>
          <w:rStyle w:val="ssparacontent"/>
        </w:rPr>
        <w:t>accept the Attorney General’s concession.</w:t>
      </w:r>
      <w:r w:rsidR="00EE4376">
        <w:rPr>
          <w:rStyle w:val="ssparacontent"/>
        </w:rPr>
        <w:t xml:space="preserve">  (See </w:t>
      </w:r>
      <w:r w:rsidR="00EE4376">
        <w:rPr>
          <w:rStyle w:val="ssparacontent"/>
          <w:i/>
          <w:iCs/>
        </w:rPr>
        <w:t xml:space="preserve">In re McKinney </w:t>
      </w:r>
      <w:r w:rsidR="00EE4376">
        <w:rPr>
          <w:rStyle w:val="ssparacontent"/>
        </w:rPr>
        <w:t>(1968) 70 Cal.2d 8, 14.)</w:t>
      </w:r>
    </w:p>
    <w:p w14:paraId="16575704" w14:textId="2047B382" w:rsidR="0076020D" w:rsidRPr="009F1AEE" w:rsidRDefault="00A15E57" w:rsidP="009F1AEE">
      <w:pPr>
        <w:tabs>
          <w:tab w:val="left" w:pos="1440"/>
        </w:tabs>
        <w:ind w:firstLine="720"/>
        <w:rPr>
          <w:rStyle w:val="ssparacontent"/>
        </w:rPr>
      </w:pPr>
      <w:r w:rsidRPr="009F1AEE">
        <w:rPr>
          <w:rStyle w:val="ssparacontent"/>
        </w:rPr>
        <w:t xml:space="preserve">Our case law </w:t>
      </w:r>
      <w:r w:rsidR="004D3C19">
        <w:rPr>
          <w:rStyle w:val="ssparacontent"/>
        </w:rPr>
        <w:t xml:space="preserve">has </w:t>
      </w:r>
      <w:r w:rsidRPr="009F1AEE">
        <w:rPr>
          <w:rStyle w:val="ssparacontent"/>
        </w:rPr>
        <w:t>applie</w:t>
      </w:r>
      <w:r w:rsidR="004D3C19">
        <w:rPr>
          <w:rStyle w:val="ssparacontent"/>
        </w:rPr>
        <w:t xml:space="preserve">d </w:t>
      </w:r>
      <w:r w:rsidRPr="009F1AEE">
        <w:rPr>
          <w:rStyle w:val="ssparacontent"/>
        </w:rPr>
        <w:t>the independent review standard</w:t>
      </w:r>
      <w:r w:rsidR="00231576">
        <w:rPr>
          <w:rStyle w:val="ssparacontent"/>
        </w:rPr>
        <w:t xml:space="preserve"> </w:t>
      </w:r>
      <w:r w:rsidR="0033661C" w:rsidRPr="0033661C">
        <w:t>—</w:t>
      </w:r>
      <w:r w:rsidR="00231576">
        <w:rPr>
          <w:rStyle w:val="ssparacontent"/>
        </w:rPr>
        <w:t xml:space="preserve"> which accords substantial weight to the trial court’s credibility findings —</w:t>
      </w:r>
      <w:r w:rsidRPr="009F1AEE">
        <w:rPr>
          <w:rStyle w:val="ssparacontent"/>
        </w:rPr>
        <w:t xml:space="preserve"> in analogous circumstances.  Whether counsel’s </w:t>
      </w:r>
      <w:r w:rsidR="00704499" w:rsidRPr="009F1AEE">
        <w:rPr>
          <w:rStyle w:val="ssparacontent"/>
        </w:rPr>
        <w:t xml:space="preserve">advice regarding immigration </w:t>
      </w:r>
      <w:r w:rsidRPr="009F1AEE">
        <w:rPr>
          <w:rStyle w:val="ssparacontent"/>
        </w:rPr>
        <w:t xml:space="preserve">was inadequate and whether such inadequacy prejudiced the defense, while mixed questions, are predominantly questions of law.  </w:t>
      </w:r>
      <w:r w:rsidR="00E74381" w:rsidRPr="009F1AEE">
        <w:rPr>
          <w:rStyle w:val="ssparacontent"/>
        </w:rPr>
        <w:t>(</w:t>
      </w:r>
      <w:r w:rsidR="004D1DA4" w:rsidRPr="009F1AEE">
        <w:rPr>
          <w:rStyle w:val="ssparacontent"/>
        </w:rPr>
        <w:t xml:space="preserve">See </w:t>
      </w:r>
      <w:r w:rsidR="00E74381" w:rsidRPr="009F1AEE">
        <w:rPr>
          <w:rStyle w:val="ssparacontent"/>
          <w:i/>
        </w:rPr>
        <w:t xml:space="preserve">In re </w:t>
      </w:r>
      <w:proofErr w:type="spellStart"/>
      <w:r w:rsidR="00E74381" w:rsidRPr="009F1AEE">
        <w:rPr>
          <w:rStyle w:val="ssparacontent"/>
          <w:i/>
        </w:rPr>
        <w:t>Resendiz</w:t>
      </w:r>
      <w:proofErr w:type="spellEnd"/>
      <w:r w:rsidR="00E74381" w:rsidRPr="009F1AEE">
        <w:rPr>
          <w:rStyle w:val="ssparacontent"/>
        </w:rPr>
        <w:t xml:space="preserve"> (2001) 25 Cal.4th </w:t>
      </w:r>
      <w:r w:rsidR="00AB1A85" w:rsidRPr="009F1AEE">
        <w:rPr>
          <w:rStyle w:val="ssparacontent"/>
        </w:rPr>
        <w:t>2</w:t>
      </w:r>
      <w:r w:rsidR="00E74381" w:rsidRPr="009F1AEE">
        <w:rPr>
          <w:rStyle w:val="ssparacontent"/>
        </w:rPr>
        <w:t>30,</w:t>
      </w:r>
      <w:r w:rsidR="00AB1A85" w:rsidRPr="009F1AEE">
        <w:rPr>
          <w:rStyle w:val="ssparacontent"/>
        </w:rPr>
        <w:t xml:space="preserve"> </w:t>
      </w:r>
      <w:r w:rsidR="00B067FA" w:rsidRPr="009F1AEE">
        <w:rPr>
          <w:rStyle w:val="ssparacontent"/>
        </w:rPr>
        <w:t>248</w:t>
      </w:r>
      <w:r w:rsidR="002C70B6">
        <w:t>–</w:t>
      </w:r>
      <w:r w:rsidR="00AB1A85" w:rsidRPr="009F1AEE">
        <w:rPr>
          <w:rStyle w:val="ssparacontent"/>
        </w:rPr>
        <w:t xml:space="preserve">249 </w:t>
      </w:r>
      <w:r w:rsidR="00F25FE5" w:rsidRPr="009F1AEE">
        <w:rPr>
          <w:rStyle w:val="ssparacontent"/>
        </w:rPr>
        <w:t>(</w:t>
      </w:r>
      <w:proofErr w:type="spellStart"/>
      <w:r w:rsidR="00F25FE5" w:rsidRPr="009F1AEE">
        <w:rPr>
          <w:rStyle w:val="ssparacontent"/>
          <w:i/>
        </w:rPr>
        <w:t>Resendiz</w:t>
      </w:r>
      <w:proofErr w:type="spellEnd"/>
      <w:r w:rsidR="00F25FE5" w:rsidRPr="009F1AEE">
        <w:rPr>
          <w:rStyle w:val="ssparacontent"/>
        </w:rPr>
        <w:t xml:space="preserve">) </w:t>
      </w:r>
      <w:r w:rsidR="00AB1A85" w:rsidRPr="009F1AEE">
        <w:rPr>
          <w:rStyle w:val="ssparacontent"/>
        </w:rPr>
        <w:t>(</w:t>
      </w:r>
      <w:r w:rsidR="003F0957">
        <w:rPr>
          <w:rStyle w:val="ssparacontent"/>
        </w:rPr>
        <w:t>lead</w:t>
      </w:r>
      <w:r w:rsidR="00AB1A85" w:rsidRPr="009F1AEE">
        <w:rPr>
          <w:rStyle w:val="ssparacontent"/>
        </w:rPr>
        <w:t xml:space="preserve"> opn. of Werdegar, J.)</w:t>
      </w:r>
      <w:r w:rsidR="003F0957">
        <w:rPr>
          <w:rStyle w:val="ssparacontent"/>
        </w:rPr>
        <w:t>.)</w:t>
      </w:r>
      <w:r w:rsidR="00A02814" w:rsidRPr="009F1AEE">
        <w:rPr>
          <w:rStyle w:val="FootnoteReference"/>
        </w:rPr>
        <w:footnoteReference w:id="4"/>
      </w:r>
      <w:r w:rsidRPr="009F1AEE">
        <w:rPr>
          <w:rStyle w:val="ssparacontent"/>
        </w:rPr>
        <w:t xml:space="preserve">  </w:t>
      </w:r>
      <w:r w:rsidR="00A02814" w:rsidRPr="009F1AEE">
        <w:rPr>
          <w:rStyle w:val="ssparacontent"/>
        </w:rPr>
        <w:t xml:space="preserve">Accordingly, we review </w:t>
      </w:r>
      <w:r w:rsidR="00704499" w:rsidRPr="009F1AEE">
        <w:rPr>
          <w:rStyle w:val="ssparacontent"/>
        </w:rPr>
        <w:t xml:space="preserve">such rulings </w:t>
      </w:r>
      <w:r w:rsidR="00A02814" w:rsidRPr="009F1AEE">
        <w:rPr>
          <w:rStyle w:val="ssparacontent"/>
        </w:rPr>
        <w:t xml:space="preserve">independently </w:t>
      </w:r>
      <w:r w:rsidR="00B067FA" w:rsidRPr="009F1AEE">
        <w:rPr>
          <w:rStyle w:val="ssparacontent"/>
        </w:rPr>
        <w:t>(</w:t>
      </w:r>
      <w:proofErr w:type="spellStart"/>
      <w:r w:rsidR="003F0957">
        <w:rPr>
          <w:rStyle w:val="ssparacontent"/>
          <w:i/>
          <w:iCs/>
        </w:rPr>
        <w:t>Resendiz</w:t>
      </w:r>
      <w:proofErr w:type="spellEnd"/>
      <w:r w:rsidR="003F0957">
        <w:rPr>
          <w:rStyle w:val="ssparacontent"/>
        </w:rPr>
        <w:t>,</w:t>
      </w:r>
      <w:r w:rsidR="00B067FA" w:rsidRPr="009F1AEE">
        <w:rPr>
          <w:rStyle w:val="ssparacontent"/>
        </w:rPr>
        <w:t xml:space="preserve"> at p. 248</w:t>
      </w:r>
      <w:r w:rsidR="00461544">
        <w:rPr>
          <w:rStyle w:val="ssparacontent"/>
        </w:rPr>
        <w:t xml:space="preserve">), and rightly so, given the profound and substantial consequences </w:t>
      </w:r>
      <w:r w:rsidR="000E0A43">
        <w:rPr>
          <w:rStyle w:val="ssparacontent"/>
        </w:rPr>
        <w:t xml:space="preserve">of a </w:t>
      </w:r>
      <w:r w:rsidR="00461544">
        <w:rPr>
          <w:rStyle w:val="ssparacontent"/>
        </w:rPr>
        <w:t xml:space="preserve">prejudicial </w:t>
      </w:r>
      <w:proofErr w:type="spellStart"/>
      <w:r w:rsidR="00461544">
        <w:rPr>
          <w:rStyle w:val="ssparacontent"/>
        </w:rPr>
        <w:t>misadvisement</w:t>
      </w:r>
      <w:proofErr w:type="spellEnd"/>
      <w:r w:rsidR="00461544">
        <w:rPr>
          <w:rStyle w:val="ssparacontent"/>
        </w:rPr>
        <w:t xml:space="preserve"> </w:t>
      </w:r>
      <w:r w:rsidR="000E0A43">
        <w:rPr>
          <w:rStyle w:val="ssparacontent"/>
        </w:rPr>
        <w:t xml:space="preserve">on </w:t>
      </w:r>
      <w:r w:rsidR="00755205">
        <w:rPr>
          <w:rStyle w:val="ssparacontent"/>
        </w:rPr>
        <w:t>a</w:t>
      </w:r>
      <w:r w:rsidR="000E0A43">
        <w:rPr>
          <w:rStyle w:val="ssparacontent"/>
        </w:rPr>
        <w:t xml:space="preserve"> defendant’s life.</w:t>
      </w:r>
      <w:r w:rsidR="00461544">
        <w:rPr>
          <w:rStyle w:val="ssparacontent"/>
        </w:rPr>
        <w:t xml:space="preserve">  </w:t>
      </w:r>
      <w:r w:rsidR="000E0A43">
        <w:rPr>
          <w:rStyle w:val="ssparacontent"/>
        </w:rPr>
        <w:t>(</w:t>
      </w:r>
      <w:r w:rsidR="002B26A7">
        <w:rPr>
          <w:rStyle w:val="ssparacontent"/>
        </w:rPr>
        <w:t>Cf.</w:t>
      </w:r>
      <w:r w:rsidR="000E0A43">
        <w:rPr>
          <w:rStyle w:val="ssparacontent"/>
        </w:rPr>
        <w:t xml:space="preserve"> </w:t>
      </w:r>
      <w:r w:rsidR="00461544" w:rsidRPr="00845A55">
        <w:rPr>
          <w:i/>
          <w:iCs/>
        </w:rPr>
        <w:t>People v. Ault</w:t>
      </w:r>
      <w:r w:rsidR="000E0A43" w:rsidRPr="00772A0C">
        <w:t xml:space="preserve"> (2004)</w:t>
      </w:r>
      <w:r w:rsidR="00461544" w:rsidRPr="00772A0C">
        <w:t xml:space="preserve"> 33 Cal.4th </w:t>
      </w:r>
      <w:r w:rsidR="00755205" w:rsidRPr="00772A0C">
        <w:t>1250,</w:t>
      </w:r>
      <w:r w:rsidR="00461544" w:rsidRPr="00772A0C">
        <w:t xml:space="preserve"> </w:t>
      </w:r>
      <w:r w:rsidR="00461544" w:rsidRPr="00461544">
        <w:t xml:space="preserve">1265 </w:t>
      </w:r>
      <w:r w:rsidR="00755205">
        <w:t>(</w:t>
      </w:r>
      <w:r w:rsidR="00755205">
        <w:rPr>
          <w:i/>
          <w:iCs/>
        </w:rPr>
        <w:t>Ault</w:t>
      </w:r>
      <w:r w:rsidR="00755205">
        <w:t xml:space="preserve">) </w:t>
      </w:r>
      <w:r w:rsidR="00461544" w:rsidRPr="00461544">
        <w:t xml:space="preserve">[“the proper review standard is influenced in part by the </w:t>
      </w:r>
      <w:r w:rsidR="00461544" w:rsidRPr="00461544">
        <w:rPr>
          <w:i/>
          <w:iCs/>
        </w:rPr>
        <w:t>importance of the legal rights or interests at stake</w:t>
      </w:r>
      <w:r w:rsidR="00461544" w:rsidRPr="00461544">
        <w:t xml:space="preserve">”]; </w:t>
      </w:r>
      <w:r w:rsidR="00461544" w:rsidRPr="00461544">
        <w:rPr>
          <w:i/>
          <w:iCs/>
        </w:rPr>
        <w:t>id</w:t>
      </w:r>
      <w:r w:rsidR="00461544" w:rsidRPr="00461544">
        <w:t xml:space="preserve">. at p. 1266 [“another important consideration in determining the appropriate standard of review </w:t>
      </w:r>
      <w:r w:rsidR="00461544" w:rsidRPr="00461544">
        <w:lastRenderedPageBreak/>
        <w:t xml:space="preserve">is the </w:t>
      </w:r>
      <w:r w:rsidR="00461544" w:rsidRPr="00461544">
        <w:rPr>
          <w:i/>
          <w:iCs/>
        </w:rPr>
        <w:t>consequences of</w:t>
      </w:r>
      <w:r w:rsidR="00461544" w:rsidRPr="00772A0C">
        <w:rPr>
          <w:i/>
        </w:rPr>
        <w:t xml:space="preserve"> an </w:t>
      </w:r>
      <w:r w:rsidR="00461544" w:rsidRPr="00461544">
        <w:rPr>
          <w:i/>
          <w:iCs/>
        </w:rPr>
        <w:t>erroneous determination</w:t>
      </w:r>
      <w:r w:rsidR="00461544" w:rsidRPr="00461544">
        <w:t xml:space="preserve"> in the particular case”]</w:t>
      </w:r>
      <w:r w:rsidR="00B067FA" w:rsidRPr="009F1AEE">
        <w:rPr>
          <w:rStyle w:val="ssparacontent"/>
        </w:rPr>
        <w:t>.)</w:t>
      </w:r>
    </w:p>
    <w:p w14:paraId="6F28DDE2" w14:textId="4028A795" w:rsidR="005F7EB2" w:rsidRDefault="00E25F2E" w:rsidP="009F1AEE">
      <w:pPr>
        <w:tabs>
          <w:tab w:val="left" w:pos="1440"/>
        </w:tabs>
        <w:ind w:firstLine="720"/>
        <w:rPr>
          <w:rStyle w:val="ssleftalign"/>
        </w:rPr>
      </w:pPr>
      <w:r w:rsidRPr="009F1AEE">
        <w:rPr>
          <w:rStyle w:val="ssparacontent"/>
        </w:rPr>
        <w:t xml:space="preserve">Nothing in section 1473.7, subdivision (a)(1) </w:t>
      </w:r>
      <w:r w:rsidR="004134BC" w:rsidRPr="009F1AEE">
        <w:rPr>
          <w:rStyle w:val="ssparacontent"/>
        </w:rPr>
        <w:t xml:space="preserve">or elsewhere </w:t>
      </w:r>
      <w:r w:rsidRPr="009F1AEE">
        <w:rPr>
          <w:rStyle w:val="ssparacontent"/>
        </w:rPr>
        <w:t xml:space="preserve">gives us a reason to deviate from this </w:t>
      </w:r>
      <w:r w:rsidR="004134BC" w:rsidRPr="009F1AEE">
        <w:rPr>
          <w:rStyle w:val="ssparacontent"/>
        </w:rPr>
        <w:t>template</w:t>
      </w:r>
      <w:r w:rsidR="00704499" w:rsidRPr="009F1AEE">
        <w:rPr>
          <w:rStyle w:val="ssparacontent"/>
        </w:rPr>
        <w:t xml:space="preserve">.  </w:t>
      </w:r>
      <w:r w:rsidR="004B2BDF" w:rsidRPr="009F1AEE">
        <w:rPr>
          <w:rStyle w:val="ssparacontent"/>
        </w:rPr>
        <w:t>Indeed, prior to section 1473.7’s amendment in 2018 — which clarified that the “legal invalidity” of a conviction or sentence “may, but need not, include a finding of ineffective assistance of counsel” (§</w:t>
      </w:r>
      <w:r w:rsidR="005D3469" w:rsidRPr="009F1AEE">
        <w:rPr>
          <w:rStyle w:val="ssparacontent"/>
        </w:rPr>
        <w:t> </w:t>
      </w:r>
      <w:r w:rsidR="004B2BDF" w:rsidRPr="009F1AEE">
        <w:rPr>
          <w:rStyle w:val="ssparacontent"/>
        </w:rPr>
        <w:t xml:space="preserve">1473.7, subd. (a)(1); Stats. 2018, ch. 825, § 2) — our courts had “uniformly assumed” that relief was available only to those who </w:t>
      </w:r>
      <w:r w:rsidR="005D3469" w:rsidRPr="009F1AEE">
        <w:rPr>
          <w:rStyle w:val="ssparacontent"/>
        </w:rPr>
        <w:t xml:space="preserve">had </w:t>
      </w:r>
      <w:r w:rsidR="004B2BDF" w:rsidRPr="009F1AEE">
        <w:rPr>
          <w:rStyle w:val="ssparacontent"/>
        </w:rPr>
        <w:t>demonstrated constitutionally ineffective assistance (</w:t>
      </w:r>
      <w:r w:rsidR="004B2BDF" w:rsidRPr="009F1AEE">
        <w:rPr>
          <w:rStyle w:val="ssparacontent"/>
          <w:i/>
        </w:rPr>
        <w:t>People v. Camacho</w:t>
      </w:r>
      <w:r w:rsidR="004B2BDF" w:rsidRPr="009F1AEE">
        <w:rPr>
          <w:rStyle w:val="ssparacontent"/>
        </w:rPr>
        <w:t xml:space="preserve"> (2019) 32 Cal.App.5th 998, 1005</w:t>
      </w:r>
      <w:r w:rsidR="0068408C" w:rsidRPr="009F1AEE">
        <w:rPr>
          <w:rStyle w:val="ssparacontent"/>
        </w:rPr>
        <w:t xml:space="preserve"> (</w:t>
      </w:r>
      <w:r w:rsidR="0068408C" w:rsidRPr="009F1AEE">
        <w:rPr>
          <w:rStyle w:val="ssparacontent"/>
          <w:i/>
        </w:rPr>
        <w:t>Camacho</w:t>
      </w:r>
      <w:r w:rsidR="0068408C" w:rsidRPr="009F1AEE">
        <w:rPr>
          <w:rStyle w:val="ssparacontent"/>
        </w:rPr>
        <w:t>)</w:t>
      </w:r>
      <w:r w:rsidR="004B2BDF" w:rsidRPr="009F1AEE">
        <w:rPr>
          <w:rStyle w:val="ssparacontent"/>
        </w:rPr>
        <w:t>)</w:t>
      </w:r>
      <w:r w:rsidR="003F0957">
        <w:rPr>
          <w:rStyle w:val="ssparacontent"/>
        </w:rPr>
        <w:t>.</w:t>
      </w:r>
      <w:r w:rsidR="004B2BDF" w:rsidRPr="009F1AEE">
        <w:rPr>
          <w:rStyle w:val="ssparacontent"/>
        </w:rPr>
        <w:t xml:space="preserve">  </w:t>
      </w:r>
      <w:r w:rsidR="000C2729" w:rsidRPr="009F1AEE">
        <w:rPr>
          <w:rStyle w:val="ssparacontent"/>
        </w:rPr>
        <w:t xml:space="preserve">And to the extent those courts considered the question, they </w:t>
      </w:r>
      <w:r w:rsidR="007F6371" w:rsidRPr="009F1AEE">
        <w:rPr>
          <w:rStyle w:val="ssparacontent"/>
        </w:rPr>
        <w:t>applied a standard of independent review</w:t>
      </w:r>
      <w:r w:rsidR="002F2742" w:rsidRPr="009F1AEE">
        <w:rPr>
          <w:rStyle w:val="ssparacontent"/>
        </w:rPr>
        <w:t xml:space="preserve"> to such claims</w:t>
      </w:r>
      <w:r w:rsidR="004148A8" w:rsidRPr="009F1AEE">
        <w:rPr>
          <w:rStyle w:val="ssparacontent"/>
        </w:rPr>
        <w:t>.  (See</w:t>
      </w:r>
      <w:r w:rsidR="00521DBE" w:rsidRPr="009F1AEE">
        <w:rPr>
          <w:rStyle w:val="ssparacontent"/>
        </w:rPr>
        <w:t>, e.g.,</w:t>
      </w:r>
      <w:r w:rsidR="004148A8" w:rsidRPr="009F1AEE">
        <w:rPr>
          <w:rStyle w:val="ssparacontent"/>
        </w:rPr>
        <w:t xml:space="preserve"> </w:t>
      </w:r>
      <w:r w:rsidR="002B26A7" w:rsidRPr="009F1AEE">
        <w:rPr>
          <w:rStyle w:val="ssparacontent"/>
          <w:i/>
        </w:rPr>
        <w:t xml:space="preserve">People v. </w:t>
      </w:r>
      <w:proofErr w:type="spellStart"/>
      <w:r w:rsidR="002B26A7" w:rsidRPr="009F1AEE">
        <w:rPr>
          <w:rStyle w:val="ssparacontent"/>
          <w:i/>
        </w:rPr>
        <w:t>Ogunmowo</w:t>
      </w:r>
      <w:proofErr w:type="spellEnd"/>
      <w:r w:rsidR="002B26A7" w:rsidRPr="009F1AEE">
        <w:rPr>
          <w:rStyle w:val="ssparacontent"/>
        </w:rPr>
        <w:t xml:space="preserve"> (2018) 23 Cal.App.5th 67, 75</w:t>
      </w:r>
      <w:r w:rsidR="002B26A7">
        <w:t>–</w:t>
      </w:r>
      <w:r w:rsidR="002B26A7" w:rsidRPr="009F1AEE">
        <w:rPr>
          <w:rStyle w:val="ssparacontent"/>
        </w:rPr>
        <w:t>76 (</w:t>
      </w:r>
      <w:proofErr w:type="spellStart"/>
      <w:r w:rsidR="002B26A7" w:rsidRPr="009F1AEE">
        <w:rPr>
          <w:rStyle w:val="ssparacontent"/>
          <w:i/>
        </w:rPr>
        <w:t>Ogunmowo</w:t>
      </w:r>
      <w:proofErr w:type="spellEnd"/>
      <w:r w:rsidR="002B26A7" w:rsidRPr="009F1AEE">
        <w:rPr>
          <w:rStyle w:val="ssparacontent"/>
        </w:rPr>
        <w:t>)</w:t>
      </w:r>
      <w:r w:rsidR="002B26A7">
        <w:rPr>
          <w:rStyle w:val="ssparacontent"/>
        </w:rPr>
        <w:t xml:space="preserve">; accord, </w:t>
      </w:r>
      <w:r w:rsidR="004148A8" w:rsidRPr="009F1AEE">
        <w:rPr>
          <w:rStyle w:val="ssparacontent"/>
          <w:i/>
        </w:rPr>
        <w:t>People v. Tapia</w:t>
      </w:r>
      <w:r w:rsidR="004148A8" w:rsidRPr="009F1AEE">
        <w:rPr>
          <w:rStyle w:val="ssparacontent"/>
        </w:rPr>
        <w:t xml:space="preserve"> (2018) 26 Cal.App.5th 942, 9</w:t>
      </w:r>
      <w:r w:rsidR="007979CC" w:rsidRPr="009F1AEE">
        <w:rPr>
          <w:rStyle w:val="ssparacontent"/>
        </w:rPr>
        <w:t>50</w:t>
      </w:r>
      <w:r w:rsidR="00EF020C" w:rsidRPr="009F1AEE">
        <w:rPr>
          <w:rStyle w:val="ssparacontent"/>
        </w:rPr>
        <w:t xml:space="preserve"> (</w:t>
      </w:r>
      <w:r w:rsidR="00EF020C" w:rsidRPr="009F1AEE">
        <w:rPr>
          <w:rStyle w:val="ssparacontent"/>
          <w:i/>
        </w:rPr>
        <w:t>Tapia</w:t>
      </w:r>
      <w:r w:rsidR="00EF020C" w:rsidRPr="009F1AEE">
        <w:rPr>
          <w:rStyle w:val="ssparacontent"/>
        </w:rPr>
        <w:t>)</w:t>
      </w:r>
      <w:r w:rsidR="002B26A7">
        <w:rPr>
          <w:rStyle w:val="ssparacontent"/>
        </w:rPr>
        <w:t xml:space="preserve"> [following </w:t>
      </w:r>
      <w:proofErr w:type="spellStart"/>
      <w:r w:rsidR="002B26A7">
        <w:rPr>
          <w:rStyle w:val="ssparacontent"/>
          <w:i/>
          <w:iCs/>
        </w:rPr>
        <w:t>Ogunmowo</w:t>
      </w:r>
      <w:proofErr w:type="spellEnd"/>
      <w:r w:rsidR="002B26A7">
        <w:rPr>
          <w:rStyle w:val="ssparacontent"/>
        </w:rPr>
        <w:t>]</w:t>
      </w:r>
      <w:r w:rsidR="004148A8" w:rsidRPr="009F1AEE">
        <w:rPr>
          <w:rStyle w:val="ssparacontent"/>
        </w:rPr>
        <w:t xml:space="preserve">; </w:t>
      </w:r>
      <w:r w:rsidR="004148A8" w:rsidRPr="009F1AEE">
        <w:rPr>
          <w:rStyle w:val="ssparacontent"/>
          <w:i/>
        </w:rPr>
        <w:t>People v. Olvera</w:t>
      </w:r>
      <w:r w:rsidR="004148A8" w:rsidRPr="009F1AEE">
        <w:rPr>
          <w:rStyle w:val="ssparacontent"/>
        </w:rPr>
        <w:t xml:space="preserve"> (2018) 24 Cal.App.5th 1112, 111</w:t>
      </w:r>
      <w:r w:rsidR="00EF020C" w:rsidRPr="009F1AEE">
        <w:rPr>
          <w:rStyle w:val="ssparacontent"/>
        </w:rPr>
        <w:t>5</w:t>
      </w:r>
      <w:r w:rsidR="002C70B6">
        <w:t>–</w:t>
      </w:r>
      <w:r w:rsidR="00EF020C" w:rsidRPr="009F1AEE">
        <w:rPr>
          <w:rStyle w:val="ssparacontent"/>
        </w:rPr>
        <w:t>1116</w:t>
      </w:r>
      <w:r w:rsidR="002B26A7">
        <w:rPr>
          <w:rStyle w:val="ssparacontent"/>
        </w:rPr>
        <w:t xml:space="preserve"> </w:t>
      </w:r>
      <w:r w:rsidR="00134C6F">
        <w:rPr>
          <w:rStyle w:val="ssparacontent"/>
        </w:rPr>
        <w:t>(</w:t>
      </w:r>
      <w:r w:rsidR="00134C6F">
        <w:rPr>
          <w:rStyle w:val="ssparacontent"/>
          <w:i/>
          <w:iCs/>
        </w:rPr>
        <w:t>Olvera</w:t>
      </w:r>
      <w:r w:rsidR="00134C6F">
        <w:rPr>
          <w:rStyle w:val="ssparacontent"/>
        </w:rPr>
        <w:t>)</w:t>
      </w:r>
      <w:r w:rsidR="00134C6F">
        <w:rPr>
          <w:rStyle w:val="ssparacontent"/>
          <w:i/>
          <w:iCs/>
        </w:rPr>
        <w:t xml:space="preserve"> </w:t>
      </w:r>
      <w:r w:rsidR="002B26A7">
        <w:rPr>
          <w:rStyle w:val="ssparacontent"/>
        </w:rPr>
        <w:t>[same]</w:t>
      </w:r>
      <w:r w:rsidR="00521DBE" w:rsidRPr="009F1AEE">
        <w:rPr>
          <w:rStyle w:val="ssparacontent"/>
        </w:rPr>
        <w:t xml:space="preserve">.)  </w:t>
      </w:r>
      <w:r w:rsidR="005F7EB2">
        <w:rPr>
          <w:rStyle w:val="ssparacontent"/>
        </w:rPr>
        <w:t xml:space="preserve">A </w:t>
      </w:r>
      <w:r w:rsidR="005F7EB2" w:rsidRPr="009F1AEE">
        <w:rPr>
          <w:rStyle w:val="ssparacontent"/>
        </w:rPr>
        <w:t xml:space="preserve">standard of independent review — the same standard governing our review of these claims on habeas corpus — </w:t>
      </w:r>
      <w:r w:rsidR="00C465C1">
        <w:rPr>
          <w:rStyle w:val="ssparacontent"/>
        </w:rPr>
        <w:t>is most consistent with</w:t>
      </w:r>
      <w:r w:rsidR="005F7EB2" w:rsidRPr="009F1AEE">
        <w:rPr>
          <w:rStyle w:val="ssparacontent"/>
        </w:rPr>
        <w:t xml:space="preserve"> section 1473.7’s purpose:  to offer relief to those persons who suffered “prejudicial error” but are “no longer imprisoned or restrained”</w:t>
      </w:r>
      <w:r w:rsidR="00FA2934">
        <w:rPr>
          <w:rStyle w:val="ssparacontent"/>
        </w:rPr>
        <w:t xml:space="preserve"> and for that reason alone are unable to pursue relief on habeas corpus.</w:t>
      </w:r>
      <w:r w:rsidR="005F7EB2" w:rsidRPr="009F1AEE">
        <w:rPr>
          <w:rStyle w:val="ssparacontent"/>
        </w:rPr>
        <w:t xml:space="preserve">  (</w:t>
      </w:r>
      <w:r w:rsidR="005F7EB2" w:rsidRPr="009F1AEE">
        <w:rPr>
          <w:rStyle w:val="ssleftalign"/>
        </w:rPr>
        <w:t>Legis. Counsel’s Dig., Assem. Bill No. 813 (2015</w:t>
      </w:r>
      <w:bookmarkStart w:id="4" w:name="_Hlk70082594"/>
      <w:r w:rsidR="005F7EB2" w:rsidRPr="009F1AEE">
        <w:rPr>
          <w:rStyle w:val="ssleftalign"/>
        </w:rPr>
        <w:t>–</w:t>
      </w:r>
      <w:bookmarkEnd w:id="4"/>
      <w:r w:rsidR="005F7EB2" w:rsidRPr="009F1AEE">
        <w:rPr>
          <w:rStyle w:val="ssleftalign"/>
        </w:rPr>
        <w:t>2016 Reg. Sess.).)</w:t>
      </w:r>
    </w:p>
    <w:p w14:paraId="04BA1E81" w14:textId="72B1DC0A" w:rsidR="00161502" w:rsidRPr="009F1AEE" w:rsidRDefault="005F7EB2" w:rsidP="009F1AEE">
      <w:pPr>
        <w:tabs>
          <w:tab w:val="left" w:pos="1440"/>
        </w:tabs>
        <w:ind w:firstLine="720"/>
        <w:rPr>
          <w:rStyle w:val="ssleftalign"/>
        </w:rPr>
      </w:pPr>
      <w:r>
        <w:rPr>
          <w:rStyle w:val="ssparacontent"/>
        </w:rPr>
        <w:t xml:space="preserve">When the Legislature amended </w:t>
      </w:r>
      <w:r w:rsidR="003F0957">
        <w:rPr>
          <w:rStyle w:val="ssparacontent"/>
        </w:rPr>
        <w:t>section 1473.7</w:t>
      </w:r>
      <w:r>
        <w:rPr>
          <w:rStyle w:val="ssparacontent"/>
        </w:rPr>
        <w:t xml:space="preserve"> in 2018, </w:t>
      </w:r>
      <w:r w:rsidR="00BD00AF">
        <w:rPr>
          <w:rStyle w:val="ssparacontent"/>
        </w:rPr>
        <w:t>nowhere did it “signal an intent to supersede</w:t>
      </w:r>
      <w:r w:rsidR="008E035E">
        <w:rPr>
          <w:rStyle w:val="ssparacontent"/>
        </w:rPr>
        <w:t>”</w:t>
      </w:r>
      <w:r w:rsidR="00BD00AF">
        <w:rPr>
          <w:rStyle w:val="ssparacontent"/>
        </w:rPr>
        <w:t xml:space="preserve"> </w:t>
      </w:r>
      <w:r w:rsidR="008E035E">
        <w:rPr>
          <w:rStyle w:val="ssparacontent"/>
        </w:rPr>
        <w:t>the standard of review the Court of Appeal had already articulated (</w:t>
      </w:r>
      <w:r w:rsidR="00367183" w:rsidRPr="009F1AEE">
        <w:rPr>
          <w:i/>
        </w:rPr>
        <w:t>In re W.B.</w:t>
      </w:r>
      <w:r w:rsidR="00367183" w:rsidRPr="009F1AEE">
        <w:t xml:space="preserve"> (2012) 55 Cal.4th 30, 57</w:t>
      </w:r>
      <w:r w:rsidR="00367183">
        <w:t xml:space="preserve">; </w:t>
      </w:r>
      <w:r w:rsidR="008E035E">
        <w:rPr>
          <w:rStyle w:val="ssparacontent"/>
        </w:rPr>
        <w:t xml:space="preserve">see, </w:t>
      </w:r>
      <w:r w:rsidR="008E035E" w:rsidRPr="009F1AEE">
        <w:t xml:space="preserve">e.g., </w:t>
      </w:r>
      <w:proofErr w:type="spellStart"/>
      <w:r w:rsidR="008E035E" w:rsidRPr="009F1AEE">
        <w:rPr>
          <w:i/>
        </w:rPr>
        <w:t>Ogunmowo</w:t>
      </w:r>
      <w:proofErr w:type="spellEnd"/>
      <w:r w:rsidR="008E035E" w:rsidRPr="009F1AEE">
        <w:t xml:space="preserve">, </w:t>
      </w:r>
      <w:r w:rsidR="008E035E" w:rsidRPr="009F1AEE">
        <w:rPr>
          <w:i/>
        </w:rPr>
        <w:t>supra</w:t>
      </w:r>
      <w:r w:rsidR="008E035E" w:rsidRPr="009F1AEE">
        <w:t>, 23 Cal.App.5th at pp. 75</w:t>
      </w:r>
      <w:r w:rsidR="002C70B6">
        <w:t>–</w:t>
      </w:r>
      <w:r w:rsidR="008E035E" w:rsidRPr="009F1AEE">
        <w:t>76</w:t>
      </w:r>
      <w:r w:rsidR="008E035E">
        <w:t>), nor did it propose that</w:t>
      </w:r>
      <w:r w:rsidR="00BD00AF">
        <w:rPr>
          <w:rStyle w:val="ssparacontent"/>
        </w:rPr>
        <w:t xml:space="preserve"> appellate courts adopt </w:t>
      </w:r>
      <w:r>
        <w:rPr>
          <w:rStyle w:val="ssparacontent"/>
        </w:rPr>
        <w:t>a more deferential standard</w:t>
      </w:r>
      <w:r w:rsidR="00BD00AF">
        <w:rPr>
          <w:rStyle w:val="ssparacontent"/>
        </w:rPr>
        <w:t xml:space="preserve"> of review</w:t>
      </w:r>
      <w:r>
        <w:rPr>
          <w:rStyle w:val="ssparacontent"/>
        </w:rPr>
        <w:t xml:space="preserve">.  To the contrary:  the </w:t>
      </w:r>
      <w:r w:rsidR="00345764">
        <w:rPr>
          <w:rStyle w:val="ssparacontent"/>
        </w:rPr>
        <w:t>Legislature</w:t>
      </w:r>
      <w:r w:rsidR="00886257">
        <w:rPr>
          <w:rStyle w:val="ssparacontent"/>
        </w:rPr>
        <w:t xml:space="preserve"> explicitly stated its intended purpose </w:t>
      </w:r>
      <w:r w:rsidR="00886257">
        <w:rPr>
          <w:rStyle w:val="ssparacontent"/>
        </w:rPr>
        <w:lastRenderedPageBreak/>
        <w:t xml:space="preserve">was </w:t>
      </w:r>
      <w:r w:rsidR="00345764">
        <w:rPr>
          <w:rStyle w:val="ssparacontent"/>
        </w:rPr>
        <w:t xml:space="preserve">to make relief </w:t>
      </w:r>
      <w:r w:rsidR="00345764" w:rsidRPr="003B4873">
        <w:rPr>
          <w:rStyle w:val="ssparacontent"/>
        </w:rPr>
        <w:t>more</w:t>
      </w:r>
      <w:r w:rsidR="00345764">
        <w:rPr>
          <w:rStyle w:val="ssparacontent"/>
        </w:rPr>
        <w:t xml:space="preserve"> </w:t>
      </w:r>
      <w:r w:rsidR="004D3C19">
        <w:rPr>
          <w:rStyle w:val="ssparacontent"/>
        </w:rPr>
        <w:t xml:space="preserve">broadly </w:t>
      </w:r>
      <w:r w:rsidR="00345764">
        <w:rPr>
          <w:rStyle w:val="ssparacontent"/>
        </w:rPr>
        <w:t>available</w:t>
      </w:r>
      <w:r w:rsidR="00886257">
        <w:rPr>
          <w:rStyle w:val="ssparacontent"/>
        </w:rPr>
        <w:t xml:space="preserve"> to deserving defendants</w:t>
      </w:r>
      <w:r w:rsidR="00DC576E">
        <w:rPr>
          <w:rStyle w:val="ssparacontent"/>
        </w:rPr>
        <w:t>, given the critical interests at stake</w:t>
      </w:r>
      <w:r w:rsidR="00345764">
        <w:rPr>
          <w:rStyle w:val="ssparacontent"/>
        </w:rPr>
        <w:t xml:space="preserve">.  </w:t>
      </w:r>
      <w:r w:rsidR="00B72073">
        <w:rPr>
          <w:rStyle w:val="ssparacontent"/>
        </w:rPr>
        <w:t>(See Assem. Com. on Public Safety, Analysis of As</w:t>
      </w:r>
      <w:r w:rsidR="00F625F0">
        <w:rPr>
          <w:rStyle w:val="ssparacontent"/>
        </w:rPr>
        <w:t>s</w:t>
      </w:r>
      <w:r w:rsidR="00B72073">
        <w:rPr>
          <w:rStyle w:val="ssparacontent"/>
        </w:rPr>
        <w:t>em. Bill No. 2867 (2017</w:t>
      </w:r>
      <w:r w:rsidR="00F53BB7" w:rsidRPr="009F1AEE">
        <w:rPr>
          <w:rStyle w:val="ssleftalign"/>
        </w:rPr>
        <w:t>–</w:t>
      </w:r>
      <w:r w:rsidR="00B72073">
        <w:rPr>
          <w:rStyle w:val="ssparacontent"/>
        </w:rPr>
        <w:t xml:space="preserve">2018 Reg. Sess.) as amended Apr. 5, 2018, pp. 2, 4 [this bill helps achieve the original goal of “creating a process for individuals to erase the catastrophic consequences . . . that can attach to even very old </w:t>
      </w:r>
      <w:r w:rsidR="00F53BB7">
        <w:rPr>
          <w:rStyle w:val="ssparacontent"/>
        </w:rPr>
        <w:t xml:space="preserve">criminal </w:t>
      </w:r>
      <w:r w:rsidR="00B72073">
        <w:rPr>
          <w:rStyle w:val="ssparacontent"/>
        </w:rPr>
        <w:t xml:space="preserve">convictions” </w:t>
      </w:r>
      <w:r w:rsidR="009B4791">
        <w:rPr>
          <w:rStyle w:val="ssparacontent"/>
        </w:rPr>
        <w:t xml:space="preserve">by “clearing up </w:t>
      </w:r>
      <w:r w:rsidR="00B72073">
        <w:rPr>
          <w:rStyle w:val="ssparacontent"/>
        </w:rPr>
        <w:t>minor discrepancies that have arisen since implementation</w:t>
      </w:r>
      <w:r w:rsidR="009B4791">
        <w:rPr>
          <w:rStyle w:val="ssparacontent"/>
        </w:rPr>
        <w:t>”].)</w:t>
      </w:r>
      <w:r w:rsidR="00B72073">
        <w:rPr>
          <w:rStyle w:val="ssparacontent"/>
        </w:rPr>
        <w:t xml:space="preserve"> </w:t>
      </w:r>
      <w:r w:rsidR="009B4791">
        <w:rPr>
          <w:rStyle w:val="ssparacontent"/>
        </w:rPr>
        <w:t xml:space="preserve"> </w:t>
      </w:r>
      <w:r w:rsidR="00345764">
        <w:rPr>
          <w:rStyle w:val="ssparacontent"/>
        </w:rPr>
        <w:t xml:space="preserve">The </w:t>
      </w:r>
      <w:r w:rsidR="001C1F1A">
        <w:rPr>
          <w:rStyle w:val="ssparacontent"/>
        </w:rPr>
        <w:t xml:space="preserve">2018 </w:t>
      </w:r>
      <w:r w:rsidR="00345764">
        <w:rPr>
          <w:rStyle w:val="ssparacontent"/>
        </w:rPr>
        <w:t xml:space="preserve">amendment expanded the category of defendants who could obtain relief </w:t>
      </w:r>
      <w:r w:rsidR="00BD00AF">
        <w:rPr>
          <w:rStyle w:val="ssparacontent"/>
        </w:rPr>
        <w:t xml:space="preserve">by eliminating </w:t>
      </w:r>
      <w:r w:rsidR="00345764">
        <w:rPr>
          <w:rStyle w:val="ssparacontent"/>
        </w:rPr>
        <w:t xml:space="preserve">any requirement that the defendant establish ineffective assistance of counsel.  </w:t>
      </w:r>
      <w:r w:rsidR="00B95B2A">
        <w:rPr>
          <w:rStyle w:val="ssparacontent"/>
        </w:rPr>
        <w:t>A</w:t>
      </w:r>
      <w:r w:rsidR="00B95B2A" w:rsidRPr="009F1AEE">
        <w:t xml:space="preserve">n uncodified section of the 2018 amendment </w:t>
      </w:r>
      <w:r w:rsidR="00B95B2A">
        <w:t>declared</w:t>
      </w:r>
      <w:r w:rsidR="00B95B2A" w:rsidRPr="009F1AEE">
        <w:t xml:space="preserve"> that the expanded language in subdivision (a)(1) provided “</w:t>
      </w:r>
      <w:r w:rsidR="00B95B2A" w:rsidRPr="009F1AEE">
        <w:rPr>
          <w:i/>
        </w:rPr>
        <w:t>clarification</w:t>
      </w:r>
      <w:r w:rsidR="00B95B2A" w:rsidRPr="009F1AEE">
        <w:t xml:space="preserve"> to the courts regarding Section 1473.7 of the Penal Code to ensure </w:t>
      </w:r>
      <w:r w:rsidR="00B95B2A" w:rsidRPr="009F1AEE">
        <w:rPr>
          <w:i/>
        </w:rPr>
        <w:t>uniformity</w:t>
      </w:r>
      <w:r w:rsidR="00B95B2A" w:rsidRPr="009F1AEE">
        <w:t xml:space="preserve"> throughout the state and </w:t>
      </w:r>
      <w:r w:rsidR="00B95B2A" w:rsidRPr="009F1AEE">
        <w:rPr>
          <w:i/>
        </w:rPr>
        <w:t>efficiency</w:t>
      </w:r>
      <w:r w:rsidR="00B95B2A" w:rsidRPr="009F1AEE">
        <w:t xml:space="preserve"> in the statute’s implementation.”  (Stats. 2018, ch. 825, § 1, subd. (b), italics added.)</w:t>
      </w:r>
      <w:r w:rsidR="00B95B2A">
        <w:t xml:space="preserve">  </w:t>
      </w:r>
      <w:r w:rsidR="00C15F2D">
        <w:t xml:space="preserve">Moreover, </w:t>
      </w:r>
      <w:r w:rsidR="00C15F2D" w:rsidRPr="009F1AEE">
        <w:t xml:space="preserve">the Legislature instructed courts to interpret section 1473.7 “consistent with the findings and declarations made in section 1016.2 of the Penal Code” (Stats. 2018, ch. 825, § 1, subd. (c)) — which in turn articulated a purpose “to </w:t>
      </w:r>
      <w:r w:rsidR="00C15F2D" w:rsidRPr="009F1AEE">
        <w:rPr>
          <w:i/>
        </w:rPr>
        <w:t>codify</w:t>
      </w:r>
      <w:r w:rsidR="00F53BB7">
        <w:rPr>
          <w:iCs/>
        </w:rPr>
        <w:t xml:space="preserve"> . . .</w:t>
      </w:r>
      <w:r w:rsidR="00C15F2D" w:rsidRPr="009F1AEE">
        <w:t xml:space="preserve"> related California case law and to encourage the growth of such case law in furtherance of justice” (</w:t>
      </w:r>
      <w:r w:rsidR="003F0957">
        <w:t xml:space="preserve">Pen. Code, </w:t>
      </w:r>
      <w:r w:rsidR="00C15F2D" w:rsidRPr="009F1AEE">
        <w:t>§ 1016.2, subd. (h), italics added)</w:t>
      </w:r>
      <w:r w:rsidR="003F0957">
        <w:t>.</w:t>
      </w:r>
      <w:r w:rsidR="00144095">
        <w:t xml:space="preserve">  </w:t>
      </w:r>
      <w:r w:rsidR="009B4791">
        <w:t xml:space="preserve">Under these particular circumstances </w:t>
      </w:r>
      <w:r w:rsidR="001619B2">
        <w:t>—</w:t>
      </w:r>
      <w:r w:rsidR="00F53BB7">
        <w:t xml:space="preserve"> </w:t>
      </w:r>
      <w:r w:rsidR="009B4791">
        <w:t xml:space="preserve">where </w:t>
      </w:r>
      <w:r w:rsidR="000354F0">
        <w:t xml:space="preserve">legislators </w:t>
      </w:r>
      <w:r w:rsidR="009B4791">
        <w:t xml:space="preserve">expressed keen awareness of how </w:t>
      </w:r>
      <w:r w:rsidR="00B53962">
        <w:t>section 1473.7 was being implemented</w:t>
      </w:r>
      <w:r w:rsidR="00D02056">
        <w:t xml:space="preserve"> and viewed the 2018 amendment as a clarification and codification of existing law</w:t>
      </w:r>
      <w:r w:rsidR="00B53962">
        <w:t xml:space="preserve"> </w:t>
      </w:r>
      <w:r w:rsidR="001619B2">
        <w:t>—</w:t>
      </w:r>
      <w:r w:rsidR="00B53962">
        <w:t xml:space="preserve"> we </w:t>
      </w:r>
      <w:r w:rsidR="00D02056">
        <w:t xml:space="preserve">see no reason to disturb </w:t>
      </w:r>
      <w:r w:rsidR="00B53962">
        <w:t xml:space="preserve">the prevailing independent standard of review. </w:t>
      </w:r>
      <w:r w:rsidR="00C15F2D">
        <w:t xml:space="preserve">  </w:t>
      </w:r>
    </w:p>
    <w:p w14:paraId="24B5807A" w14:textId="6D4B5500" w:rsidR="00886257" w:rsidRPr="003B4873" w:rsidRDefault="00974757" w:rsidP="009F1AEE">
      <w:pPr>
        <w:pStyle w:val="FootnoteText"/>
        <w:spacing w:line="400" w:lineRule="exact"/>
        <w:ind w:firstLine="720"/>
        <w:rPr>
          <w:rStyle w:val="sschangeadd"/>
        </w:rPr>
      </w:pPr>
      <w:r>
        <w:t>The</w:t>
      </w:r>
      <w:r w:rsidR="00161502" w:rsidRPr="009F1AEE">
        <w:t xml:space="preserve"> Court of Appeal posited that a different standard should apply when the moving party relies on a mistake of law under section 1473</w:t>
      </w:r>
      <w:r w:rsidR="008E035E">
        <w:t>.7</w:t>
      </w:r>
      <w:r w:rsidR="00161502" w:rsidRPr="009F1AEE">
        <w:t xml:space="preserve">, subdivision (a)(1) that does not rise to the </w:t>
      </w:r>
      <w:r w:rsidR="00161502" w:rsidRPr="009F1AEE">
        <w:lastRenderedPageBreak/>
        <w:t xml:space="preserve">level of ineffective assistance of counsel.  (See </w:t>
      </w:r>
      <w:proofErr w:type="spellStart"/>
      <w:r w:rsidR="00161502" w:rsidRPr="009F1AEE">
        <w:rPr>
          <w:i/>
        </w:rPr>
        <w:t>Vivar</w:t>
      </w:r>
      <w:proofErr w:type="spellEnd"/>
      <w:r w:rsidR="00161502" w:rsidRPr="009F1AEE">
        <w:t xml:space="preserve">, </w:t>
      </w:r>
      <w:r w:rsidR="00161502" w:rsidRPr="009F1AEE">
        <w:rPr>
          <w:i/>
        </w:rPr>
        <w:t>supra</w:t>
      </w:r>
      <w:r w:rsidR="00161502" w:rsidRPr="009F1AEE">
        <w:t xml:space="preserve">, 43 Cal.App.5th at p. 224.)  </w:t>
      </w:r>
      <w:r w:rsidR="008E035E">
        <w:t xml:space="preserve">But that approach would </w:t>
      </w:r>
      <w:r>
        <w:t>cut against</w:t>
      </w:r>
      <w:r w:rsidR="008E035E">
        <w:t xml:space="preserve"> the Legislature’s stated goals of codifying existing law and ensuring uniformity.  </w:t>
      </w:r>
      <w:r w:rsidR="008E035E" w:rsidRPr="009F1AEE">
        <w:t>(Stats. 2018, ch. 825, § 1, subd. (b).)</w:t>
      </w:r>
      <w:r w:rsidR="00886257">
        <w:t xml:space="preserve">  What’s more, it would endow with determinative significance the precise distinction — whether the asserted error constituted ineffective assistance of counsel — that the Legislature sought to erase by amending section 1473.7</w:t>
      </w:r>
      <w:r w:rsidR="00295448">
        <w:t>, subdivision (a)(1)</w:t>
      </w:r>
      <w:r w:rsidR="00886257">
        <w:t xml:space="preserve"> to provide that “[a] </w:t>
      </w:r>
      <w:r w:rsidR="00886257">
        <w:rPr>
          <w:rStyle w:val="sschangeadd"/>
        </w:rPr>
        <w:t>finding of legal invalidity may, but need not, include a finding of ineffective assistance of counsel.”</w:t>
      </w:r>
      <w:r w:rsidR="000367C9">
        <w:rPr>
          <w:rStyle w:val="sschangeadd"/>
        </w:rPr>
        <w:t xml:space="preserve">  </w:t>
      </w:r>
      <w:r w:rsidR="00295448">
        <w:rPr>
          <w:rStyle w:val="sschangeadd"/>
        </w:rPr>
        <w:t>Over</w:t>
      </w:r>
      <w:r w:rsidR="00BB3ECE">
        <w:t xml:space="preserve">burdened trial courts </w:t>
      </w:r>
      <w:r w:rsidR="000367C9" w:rsidRPr="009F1AEE">
        <w:t>might well choose to consider only whether there was “</w:t>
      </w:r>
      <w:r w:rsidR="000367C9" w:rsidRPr="009F1AEE">
        <w:rPr>
          <w:rStyle w:val="ssparacontent"/>
        </w:rPr>
        <w:t>prejudicial error” damaging the moving party’s ability to understand actual or potential immigration consequences without deciding whether such an error actually rose to the level of constitutionally deficient performance.  (§</w:t>
      </w:r>
      <w:r w:rsidR="00E17FA0">
        <w:rPr>
          <w:rStyle w:val="ssparacontent"/>
        </w:rPr>
        <w:t> </w:t>
      </w:r>
      <w:r w:rsidR="000367C9" w:rsidRPr="009F1AEE">
        <w:rPr>
          <w:rStyle w:val="ssparacontent"/>
        </w:rPr>
        <w:t xml:space="preserve">1473.7, subd. (a)(1).)  Or courts may </w:t>
      </w:r>
      <w:r w:rsidR="00295448">
        <w:rPr>
          <w:rStyle w:val="ssparacontent"/>
        </w:rPr>
        <w:t xml:space="preserve">fail to </w:t>
      </w:r>
      <w:r w:rsidR="000367C9" w:rsidRPr="009F1AEE">
        <w:rPr>
          <w:rStyle w:val="ssparacontent"/>
        </w:rPr>
        <w:t>mak</w:t>
      </w:r>
      <w:r w:rsidR="00295448">
        <w:rPr>
          <w:rStyle w:val="ssparacontent"/>
        </w:rPr>
        <w:t>e</w:t>
      </w:r>
      <w:r w:rsidR="000367C9" w:rsidRPr="009F1AEE">
        <w:rPr>
          <w:rStyle w:val="ssparacontent"/>
        </w:rPr>
        <w:t xml:space="preserve"> the latter finding </w:t>
      </w:r>
      <w:r w:rsidR="00295448">
        <w:rPr>
          <w:rStyle w:val="ssparacontent"/>
        </w:rPr>
        <w:t xml:space="preserve">simply </w:t>
      </w:r>
      <w:r w:rsidR="008C6304">
        <w:rPr>
          <w:rStyle w:val="ssparacontent"/>
        </w:rPr>
        <w:t>because of</w:t>
      </w:r>
      <w:r w:rsidR="008C6304" w:rsidRPr="009F1AEE">
        <w:rPr>
          <w:rStyle w:val="ssparacontent"/>
        </w:rPr>
        <w:t xml:space="preserve"> </w:t>
      </w:r>
      <w:r w:rsidR="000367C9" w:rsidRPr="009F1AEE">
        <w:rPr>
          <w:rStyle w:val="ssparacontent"/>
        </w:rPr>
        <w:t>the happenstance that no party provided trial counsel with “timely advance notice of the motion hearing,” which is a prerequisite to “a specific finding of ineffective assistance of counsel.”  (</w:t>
      </w:r>
      <w:r w:rsidR="000367C9" w:rsidRPr="009F1AEE">
        <w:rPr>
          <w:rStyle w:val="ssparacontent"/>
          <w:i/>
        </w:rPr>
        <w:t>Id</w:t>
      </w:r>
      <w:r w:rsidR="000367C9" w:rsidRPr="009F1AEE">
        <w:rPr>
          <w:rStyle w:val="ssparacontent"/>
        </w:rPr>
        <w:t>., subd. (g).)</w:t>
      </w:r>
      <w:r w:rsidR="000367C9">
        <w:rPr>
          <w:rStyle w:val="ssparacontent"/>
        </w:rPr>
        <w:t xml:space="preserve">  </w:t>
      </w:r>
      <w:r w:rsidR="000367C9" w:rsidRPr="009F1AEE">
        <w:t xml:space="preserve">It would make little sense to </w:t>
      </w:r>
      <w:r w:rsidR="000367C9">
        <w:t>make the standard of review hinge on these trivial choices.</w:t>
      </w:r>
      <w:r w:rsidR="000367C9" w:rsidRPr="009F1AEE">
        <w:rPr>
          <w:rStyle w:val="FootnoteReference"/>
        </w:rPr>
        <w:footnoteReference w:id="5"/>
      </w:r>
      <w:r w:rsidR="00886257">
        <w:rPr>
          <w:rStyle w:val="sschangeadd"/>
        </w:rPr>
        <w:t xml:space="preserve">  </w:t>
      </w:r>
      <w:r w:rsidR="001F26A9">
        <w:rPr>
          <w:rStyle w:val="sschangeadd"/>
        </w:rPr>
        <w:t xml:space="preserve">(See </w:t>
      </w:r>
      <w:r w:rsidR="001F26A9">
        <w:rPr>
          <w:rStyle w:val="sschangeadd"/>
          <w:i/>
          <w:iCs/>
        </w:rPr>
        <w:t>People v. Bravo</w:t>
      </w:r>
      <w:r w:rsidR="001F26A9">
        <w:rPr>
          <w:rStyle w:val="sschangeadd"/>
        </w:rPr>
        <w:t xml:space="preserve">, </w:t>
      </w:r>
      <w:r w:rsidR="001F26A9">
        <w:rPr>
          <w:rStyle w:val="sschangeadd"/>
          <w:i/>
          <w:iCs/>
        </w:rPr>
        <w:t>supra</w:t>
      </w:r>
      <w:r w:rsidR="001F26A9">
        <w:rPr>
          <w:rStyle w:val="sschangeadd"/>
        </w:rPr>
        <w:t>, 58 Cal.App.5th at p. 1180 (conc. opn. of Raphael, J.).)</w:t>
      </w:r>
    </w:p>
    <w:p w14:paraId="1BD515B6" w14:textId="3EAA28C7" w:rsidR="00D13312" w:rsidRPr="00772A0C" w:rsidRDefault="000367C9" w:rsidP="00DA6782">
      <w:pPr>
        <w:pStyle w:val="FootnoteText"/>
        <w:spacing w:line="400" w:lineRule="exact"/>
        <w:ind w:firstLine="720"/>
        <w:rPr>
          <w:rStyle w:val="sschangeadd"/>
        </w:rPr>
      </w:pPr>
      <w:r>
        <w:rPr>
          <w:rStyle w:val="sschangeadd"/>
        </w:rPr>
        <w:t xml:space="preserve">Our embrace of the independent standard of review also </w:t>
      </w:r>
      <w:r w:rsidR="00ED0385">
        <w:rPr>
          <w:rStyle w:val="sschangeadd"/>
        </w:rPr>
        <w:t xml:space="preserve">fits with </w:t>
      </w:r>
      <w:r w:rsidR="00C25133">
        <w:rPr>
          <w:rStyle w:val="sschangeadd"/>
        </w:rPr>
        <w:t xml:space="preserve">how </w:t>
      </w:r>
      <w:r w:rsidR="00BC45B6">
        <w:rPr>
          <w:rStyle w:val="sschangeadd"/>
        </w:rPr>
        <w:t>section 1473.7 motions</w:t>
      </w:r>
      <w:r w:rsidR="0050783C">
        <w:rPr>
          <w:rStyle w:val="sschangeadd"/>
        </w:rPr>
        <w:t xml:space="preserve"> generally arise</w:t>
      </w:r>
      <w:r w:rsidR="00BC45B6">
        <w:rPr>
          <w:rStyle w:val="sschangeadd"/>
        </w:rPr>
        <w:t xml:space="preserve">.  </w:t>
      </w:r>
      <w:r w:rsidR="00CE7F2F">
        <w:rPr>
          <w:rStyle w:val="sschangeadd"/>
        </w:rPr>
        <w:t xml:space="preserve">Only </w:t>
      </w:r>
      <w:r w:rsidR="00CE7F2F">
        <w:rPr>
          <w:rStyle w:val="sschangeadd"/>
        </w:rPr>
        <w:lastRenderedPageBreak/>
        <w:t xml:space="preserve">defendants who have already completed their sentences may even seek relief under section 1473.7.  So these motions </w:t>
      </w:r>
      <w:r w:rsidR="00D707FF">
        <w:rPr>
          <w:rStyle w:val="sschangeadd"/>
        </w:rPr>
        <w:t xml:space="preserve">— as the separate opinion acknowledges — </w:t>
      </w:r>
      <w:r w:rsidR="00CE7F2F">
        <w:rPr>
          <w:rStyle w:val="sschangeadd"/>
        </w:rPr>
        <w:t xml:space="preserve">are ordinarily </w:t>
      </w:r>
      <w:r w:rsidR="0050783C">
        <w:rPr>
          <w:rStyle w:val="sschangeadd"/>
        </w:rPr>
        <w:t xml:space="preserve">brought </w:t>
      </w:r>
      <w:r w:rsidR="00BC45B6">
        <w:rPr>
          <w:rStyle w:val="sschangeadd"/>
        </w:rPr>
        <w:t xml:space="preserve">many years after the </w:t>
      </w:r>
      <w:r w:rsidR="000B6E8D">
        <w:rPr>
          <w:rStyle w:val="sschangeadd"/>
        </w:rPr>
        <w:t>p</w:t>
      </w:r>
      <w:r w:rsidR="00BC45B6">
        <w:rPr>
          <w:rStyle w:val="sschangeadd"/>
        </w:rPr>
        <w:t>lea</w:t>
      </w:r>
      <w:r>
        <w:rPr>
          <w:rStyle w:val="sschangeadd"/>
        </w:rPr>
        <w:t>.</w:t>
      </w:r>
      <w:r w:rsidR="00BC45B6">
        <w:rPr>
          <w:rStyle w:val="sschangeadd"/>
        </w:rPr>
        <w:t xml:space="preserve">  </w:t>
      </w:r>
      <w:r w:rsidR="00774A0E">
        <w:rPr>
          <w:rStyle w:val="sschangeadd"/>
        </w:rPr>
        <w:t>(</w:t>
      </w:r>
      <w:r w:rsidR="00E17FA0">
        <w:rPr>
          <w:rStyle w:val="sschangeadd"/>
        </w:rPr>
        <w:t>Compare</w:t>
      </w:r>
      <w:r w:rsidR="00774A0E">
        <w:rPr>
          <w:rStyle w:val="sschangeadd"/>
        </w:rPr>
        <w:t xml:space="preserve"> </w:t>
      </w:r>
      <w:r w:rsidR="000B6E8D">
        <w:rPr>
          <w:rStyle w:val="sschangeadd"/>
        </w:rPr>
        <w:t xml:space="preserve">Pen. Code, </w:t>
      </w:r>
      <w:r w:rsidR="00774A0E">
        <w:rPr>
          <w:rStyle w:val="sschangeadd"/>
        </w:rPr>
        <w:t>§</w:t>
      </w:r>
      <w:r w:rsidR="005F2B66">
        <w:rPr>
          <w:rStyle w:val="sschangeadd"/>
        </w:rPr>
        <w:t> </w:t>
      </w:r>
      <w:r w:rsidR="00774A0E">
        <w:rPr>
          <w:rStyle w:val="sschangeadd"/>
        </w:rPr>
        <w:t xml:space="preserve">1018 [allowing a plea to be withdrawn only “before judgment or within six months . . . if entry of judgment is suspended”].)  </w:t>
      </w:r>
      <w:proofErr w:type="spellStart"/>
      <w:r w:rsidR="00BC45B6">
        <w:rPr>
          <w:rStyle w:val="sschangeadd"/>
        </w:rPr>
        <w:t>Vivar</w:t>
      </w:r>
      <w:proofErr w:type="spellEnd"/>
      <w:r w:rsidR="00BC45B6">
        <w:rPr>
          <w:rStyle w:val="sschangeadd"/>
        </w:rPr>
        <w:t xml:space="preserve">, for example, brought his motion nearly 16 years after entering his plea.  </w:t>
      </w:r>
      <w:r w:rsidR="00D807FC">
        <w:rPr>
          <w:rStyle w:val="sschangeadd"/>
        </w:rPr>
        <w:t>Years later</w:t>
      </w:r>
      <w:r w:rsidR="00BC45B6">
        <w:rPr>
          <w:rStyle w:val="sschangeadd"/>
        </w:rPr>
        <w:t xml:space="preserve">, the </w:t>
      </w:r>
      <w:r w:rsidR="00D807FC">
        <w:rPr>
          <w:rStyle w:val="sschangeadd"/>
        </w:rPr>
        <w:t xml:space="preserve">judge adjudicating the resulting </w:t>
      </w:r>
      <w:r w:rsidR="00BC45B6">
        <w:rPr>
          <w:rStyle w:val="sschangeadd"/>
        </w:rPr>
        <w:t xml:space="preserve">motion may </w:t>
      </w:r>
      <w:r w:rsidR="00D807FC">
        <w:rPr>
          <w:rStyle w:val="sschangeadd"/>
        </w:rPr>
        <w:t>never have participated</w:t>
      </w:r>
      <w:r w:rsidR="00BC45B6">
        <w:rPr>
          <w:rStyle w:val="sschangeadd"/>
        </w:rPr>
        <w:t xml:space="preserve"> in any of the underlying proceedings and</w:t>
      </w:r>
      <w:r w:rsidR="00D807FC">
        <w:rPr>
          <w:rStyle w:val="sschangeadd"/>
        </w:rPr>
        <w:t xml:space="preserve"> must rely</w:t>
      </w:r>
      <w:r w:rsidR="00BC45B6">
        <w:rPr>
          <w:rStyle w:val="sschangeadd"/>
        </w:rPr>
        <w:t xml:space="preserve"> entirely on a cold record.  (Cf. </w:t>
      </w:r>
      <w:proofErr w:type="spellStart"/>
      <w:r w:rsidR="00BC45B6">
        <w:rPr>
          <w:rStyle w:val="sschangeadd"/>
          <w:i/>
          <w:iCs/>
        </w:rPr>
        <w:t>Haraguchi</w:t>
      </w:r>
      <w:proofErr w:type="spellEnd"/>
      <w:r w:rsidR="00BC45B6">
        <w:rPr>
          <w:rStyle w:val="sschangeadd"/>
          <w:i/>
          <w:iCs/>
        </w:rPr>
        <w:t xml:space="preserve"> v. Superior Court</w:t>
      </w:r>
      <w:r w:rsidR="00BC45B6">
        <w:rPr>
          <w:rStyle w:val="sschangeadd"/>
        </w:rPr>
        <w:t xml:space="preserve"> (2008) 43 Cal.4th 706, </w:t>
      </w:r>
      <w:r w:rsidR="00A804DD">
        <w:rPr>
          <w:rStyle w:val="sschangeadd"/>
        </w:rPr>
        <w:t>711, fn. 3</w:t>
      </w:r>
      <w:r w:rsidR="00F53BB7">
        <w:rPr>
          <w:rStyle w:val="sschangeadd"/>
        </w:rPr>
        <w:t xml:space="preserve">; see </w:t>
      </w:r>
      <w:r w:rsidR="00F53BB7">
        <w:rPr>
          <w:rStyle w:val="sschangeadd"/>
          <w:i/>
          <w:iCs/>
        </w:rPr>
        <w:t>id</w:t>
      </w:r>
      <w:r w:rsidR="00F53BB7">
        <w:rPr>
          <w:rStyle w:val="sschangeadd"/>
        </w:rPr>
        <w:t xml:space="preserve">. at p. </w:t>
      </w:r>
      <w:r w:rsidR="00BC45B6">
        <w:rPr>
          <w:rStyle w:val="sschangeadd"/>
        </w:rPr>
        <w:t>713</w:t>
      </w:r>
      <w:r w:rsidR="00B53962">
        <w:rPr>
          <w:rStyle w:val="sschangeadd"/>
        </w:rPr>
        <w:t xml:space="preserve"> [motions to recuse the prosecutor are reviewed for abuse of discretion because trial courts </w:t>
      </w:r>
      <w:r w:rsidR="00D707FF">
        <w:rPr>
          <w:rStyle w:val="sschangeadd"/>
        </w:rPr>
        <w:t>“are in a better position t</w:t>
      </w:r>
      <w:r w:rsidR="00454062">
        <w:rPr>
          <w:rStyle w:val="sschangeadd"/>
        </w:rPr>
        <w:t>han appellate courts to</w:t>
      </w:r>
      <w:r w:rsidR="00D707FF">
        <w:rPr>
          <w:rStyle w:val="sschangeadd"/>
        </w:rPr>
        <w:t xml:space="preserve"> . . . evaluate the consequences of a potential conflict in light of the entirety of a case, a case they </w:t>
      </w:r>
      <w:r w:rsidR="00B53962">
        <w:rPr>
          <w:rStyle w:val="sschangeadd"/>
        </w:rPr>
        <w:t xml:space="preserve">inevitably </w:t>
      </w:r>
      <w:r w:rsidR="00454062">
        <w:rPr>
          <w:rStyle w:val="sschangeadd"/>
        </w:rPr>
        <w:t xml:space="preserve">will </w:t>
      </w:r>
      <w:r w:rsidR="00B53962">
        <w:rPr>
          <w:rStyle w:val="sschangeadd"/>
        </w:rPr>
        <w:t>be more familiar with</w:t>
      </w:r>
      <w:r w:rsidR="00D707FF">
        <w:rPr>
          <w:rStyle w:val="sschangeadd"/>
        </w:rPr>
        <w:t xml:space="preserve"> than the appellate courts</w:t>
      </w:r>
      <w:r w:rsidR="00B53962">
        <w:rPr>
          <w:rStyle w:val="sschangeadd"/>
        </w:rPr>
        <w:t>”]</w:t>
      </w:r>
      <w:r w:rsidR="00BC45B6">
        <w:rPr>
          <w:rStyle w:val="sschangeadd"/>
        </w:rPr>
        <w:t>.)</w:t>
      </w:r>
      <w:r w:rsidR="00736F11">
        <w:rPr>
          <w:rStyle w:val="FootnoteReference"/>
        </w:rPr>
        <w:footnoteReference w:id="6"/>
      </w:r>
      <w:r w:rsidR="00D807FC">
        <w:rPr>
          <w:rStyle w:val="sschangeadd"/>
        </w:rPr>
        <w:t xml:space="preserve">  </w:t>
      </w:r>
      <w:r w:rsidR="004C6F9A">
        <w:rPr>
          <w:rStyle w:val="sschangeadd"/>
        </w:rPr>
        <w:t>Indeed, t</w:t>
      </w:r>
      <w:r w:rsidR="00D807FC">
        <w:rPr>
          <w:rStyle w:val="sschangeadd"/>
        </w:rPr>
        <w:t>hat’s what happened here</w:t>
      </w:r>
      <w:r w:rsidR="004C6F9A">
        <w:rPr>
          <w:rStyle w:val="sschangeadd"/>
        </w:rPr>
        <w:t xml:space="preserve">:  the judge hearing the section 1473.7 motion had no </w:t>
      </w:r>
      <w:r w:rsidR="00680D65">
        <w:rPr>
          <w:rStyle w:val="sschangeadd"/>
        </w:rPr>
        <w:t xml:space="preserve">firsthand </w:t>
      </w:r>
      <w:r w:rsidR="004C6F9A">
        <w:rPr>
          <w:rStyle w:val="sschangeadd"/>
        </w:rPr>
        <w:t xml:space="preserve">familiarity with the circumstances surrounding </w:t>
      </w:r>
      <w:proofErr w:type="spellStart"/>
      <w:r w:rsidR="004C6F9A">
        <w:rPr>
          <w:rStyle w:val="sschangeadd"/>
        </w:rPr>
        <w:t>Vivar’s</w:t>
      </w:r>
      <w:proofErr w:type="spellEnd"/>
      <w:r w:rsidR="004C6F9A">
        <w:rPr>
          <w:rStyle w:val="sschangeadd"/>
        </w:rPr>
        <w:t xml:space="preserve"> plea</w:t>
      </w:r>
      <w:r w:rsidR="00D807FC">
        <w:rPr>
          <w:rStyle w:val="sschangeadd"/>
        </w:rPr>
        <w:t>.</w:t>
      </w:r>
    </w:p>
    <w:p w14:paraId="3056252E" w14:textId="08123462" w:rsidR="00505286" w:rsidRPr="009F1AEE" w:rsidRDefault="00505286" w:rsidP="00DA6782">
      <w:pPr>
        <w:pStyle w:val="FootnoteText"/>
        <w:spacing w:line="400" w:lineRule="exact"/>
        <w:ind w:firstLine="720"/>
        <w:rPr>
          <w:rStyle w:val="ssleftalign"/>
        </w:rPr>
      </w:pPr>
      <w:r>
        <w:rPr>
          <w:rStyle w:val="sschangeadd"/>
        </w:rPr>
        <w:t xml:space="preserve">So our embrace of independent review in this context is a product of </w:t>
      </w:r>
      <w:r w:rsidR="00EE4466">
        <w:rPr>
          <w:rStyle w:val="sschangeadd"/>
        </w:rPr>
        <w:t xml:space="preserve">multiple factors with special relevance </w:t>
      </w:r>
      <w:r w:rsidR="00454062">
        <w:rPr>
          <w:rStyle w:val="sschangeadd"/>
        </w:rPr>
        <w:t>here</w:t>
      </w:r>
      <w:r w:rsidR="000354F0">
        <w:rPr>
          <w:rStyle w:val="sschangeadd"/>
        </w:rPr>
        <w:t>:</w:t>
      </w:r>
      <w:r>
        <w:rPr>
          <w:rStyle w:val="sschangeadd"/>
        </w:rPr>
        <w:t xml:space="preserve"> </w:t>
      </w:r>
      <w:r w:rsidR="00F16963">
        <w:rPr>
          <w:rStyle w:val="sschangeadd"/>
        </w:rPr>
        <w:t xml:space="preserve"> </w:t>
      </w:r>
      <w:r>
        <w:rPr>
          <w:rStyle w:val="sschangeadd"/>
        </w:rPr>
        <w:t xml:space="preserve">the history of section 1473.7, the interests at stake in a section 1473.7 motion, the type of evidence on which </w:t>
      </w:r>
      <w:r w:rsidR="00680D65">
        <w:rPr>
          <w:rStyle w:val="sschangeadd"/>
        </w:rPr>
        <w:t xml:space="preserve">a section 1473.7 </w:t>
      </w:r>
      <w:r>
        <w:rPr>
          <w:rStyle w:val="sschangeadd"/>
        </w:rPr>
        <w:t xml:space="preserve">ruling is likely to be based, and the relative competence of trial courts and appellate courts to assess that evidence.  </w:t>
      </w:r>
      <w:r w:rsidR="00F625F0">
        <w:t xml:space="preserve">(See </w:t>
      </w:r>
      <w:r w:rsidR="00F625F0">
        <w:rPr>
          <w:i/>
          <w:iCs/>
        </w:rPr>
        <w:t>Ault</w:t>
      </w:r>
      <w:r w:rsidR="00F625F0">
        <w:t xml:space="preserve">, </w:t>
      </w:r>
      <w:r w:rsidR="00F625F0">
        <w:rPr>
          <w:i/>
          <w:iCs/>
        </w:rPr>
        <w:t>supra</w:t>
      </w:r>
      <w:r w:rsidR="00F625F0">
        <w:t>, 33 Cal.4th at p</w:t>
      </w:r>
      <w:r w:rsidR="00CF32C3">
        <w:t>p</w:t>
      </w:r>
      <w:r w:rsidR="00F625F0">
        <w:t xml:space="preserve">. </w:t>
      </w:r>
      <w:r w:rsidR="0095546F">
        <w:t>1260</w:t>
      </w:r>
      <w:r w:rsidR="00454062" w:rsidRPr="00454062">
        <w:t>–</w:t>
      </w:r>
      <w:r w:rsidR="0095546F">
        <w:t xml:space="preserve">1261, </w:t>
      </w:r>
      <w:r w:rsidR="00F625F0">
        <w:t>1265</w:t>
      </w:r>
      <w:r w:rsidR="00CF32C3">
        <w:t>–1266</w:t>
      </w:r>
      <w:r w:rsidR="00F625F0">
        <w:t xml:space="preserve">.)  </w:t>
      </w:r>
      <w:r w:rsidR="0095546F">
        <w:t xml:space="preserve">The fact that </w:t>
      </w:r>
      <w:r w:rsidR="0095546F">
        <w:lastRenderedPageBreak/>
        <w:t xml:space="preserve">the motion is reviewed </w:t>
      </w:r>
      <w:r w:rsidR="00755205">
        <w:t>by way of</w:t>
      </w:r>
      <w:r w:rsidR="0095546F">
        <w:t xml:space="preserve"> appeal does not necessarily dictate a particular standard of review.  (See </w:t>
      </w:r>
      <w:r w:rsidR="0095546F" w:rsidRPr="003E23B8">
        <w:rPr>
          <w:i/>
          <w:iCs/>
        </w:rPr>
        <w:t>i</w:t>
      </w:r>
      <w:r w:rsidR="0095546F" w:rsidRPr="0095546F">
        <w:rPr>
          <w:i/>
          <w:iCs/>
        </w:rPr>
        <w:t>d</w:t>
      </w:r>
      <w:r w:rsidR="0095546F">
        <w:t>. at p</w:t>
      </w:r>
      <w:r w:rsidR="00755205">
        <w:t>p. 1266</w:t>
      </w:r>
      <w:r w:rsidR="00454062" w:rsidRPr="00454062">
        <w:t>–</w:t>
      </w:r>
      <w:r w:rsidR="00755205">
        <w:t>1267.)</w:t>
      </w:r>
    </w:p>
    <w:p w14:paraId="78B2CC7C" w14:textId="26A0FDC4" w:rsidR="00F859F8" w:rsidRPr="009F1AEE" w:rsidRDefault="00DE2094" w:rsidP="009F1AEE">
      <w:pPr>
        <w:tabs>
          <w:tab w:val="left" w:pos="1440"/>
        </w:tabs>
        <w:ind w:firstLine="720"/>
      </w:pPr>
      <w:r w:rsidRPr="00B02ADC">
        <w:rPr>
          <w:rStyle w:val="ssleftalign"/>
        </w:rPr>
        <w:t>“[U]</w:t>
      </w:r>
      <w:proofErr w:type="spellStart"/>
      <w:r w:rsidRPr="00B02ADC">
        <w:rPr>
          <w:rStyle w:val="ssleftalign"/>
        </w:rPr>
        <w:t>nder</w:t>
      </w:r>
      <w:proofErr w:type="spellEnd"/>
      <w:r w:rsidRPr="00B02ADC">
        <w:rPr>
          <w:rStyle w:val="ssleftalign"/>
        </w:rPr>
        <w:t xml:space="preserve"> independent review, an appellate court exercises its independent judgment to determine whether the facts satisfy the rule of law.”  (</w:t>
      </w:r>
      <w:r w:rsidR="00C754A4" w:rsidRPr="00B02ADC">
        <w:rPr>
          <w:rStyle w:val="ssleftalign"/>
          <w:i/>
          <w:iCs/>
        </w:rPr>
        <w:t>In re George T.</w:t>
      </w:r>
      <w:r w:rsidR="00C754A4" w:rsidRPr="00B02ADC">
        <w:rPr>
          <w:rStyle w:val="ssleftalign"/>
        </w:rPr>
        <w:t xml:space="preserve"> (2004) 33 Cal.4th 620, 634</w:t>
      </w:r>
      <w:r w:rsidRPr="00B02ADC">
        <w:rPr>
          <w:rStyle w:val="ssleftalign"/>
        </w:rPr>
        <w:t xml:space="preserve">.) </w:t>
      </w:r>
      <w:r w:rsidR="00D807FC">
        <w:rPr>
          <w:rStyle w:val="ssleftalign"/>
        </w:rPr>
        <w:t xml:space="preserve">When courts engage in independent review, they </w:t>
      </w:r>
      <w:r w:rsidR="00744035">
        <w:rPr>
          <w:rStyle w:val="ssleftalign"/>
        </w:rPr>
        <w:t xml:space="preserve">should be mindful that </w:t>
      </w:r>
      <w:r w:rsidR="008D157A">
        <w:rPr>
          <w:rStyle w:val="ssleftalign"/>
        </w:rPr>
        <w:t>“</w:t>
      </w:r>
      <w:r w:rsidR="002D71AE">
        <w:rPr>
          <w:rStyle w:val="ssleftalign"/>
        </w:rPr>
        <w:t> </w:t>
      </w:r>
      <w:r w:rsidR="00E17FA0">
        <w:rPr>
          <w:rStyle w:val="ssleftalign"/>
        </w:rPr>
        <w:t>‘</w:t>
      </w:r>
      <w:r w:rsidR="008D157A">
        <w:rPr>
          <w:rStyle w:val="ssleftalign"/>
        </w:rPr>
        <w:t>[</w:t>
      </w:r>
      <w:proofErr w:type="spellStart"/>
      <w:r w:rsidR="008D157A">
        <w:rPr>
          <w:rStyle w:val="ssleftalign"/>
        </w:rPr>
        <w:t>i</w:t>
      </w:r>
      <w:proofErr w:type="spellEnd"/>
      <w:r w:rsidR="008D157A">
        <w:rPr>
          <w:rStyle w:val="ssleftalign"/>
        </w:rPr>
        <w:t>]</w:t>
      </w:r>
      <w:proofErr w:type="spellStart"/>
      <w:r w:rsidR="008D157A">
        <w:rPr>
          <w:rStyle w:val="ssleftalign"/>
        </w:rPr>
        <w:t>ndependent</w:t>
      </w:r>
      <w:proofErr w:type="spellEnd"/>
      <w:r w:rsidR="008D157A">
        <w:rPr>
          <w:rStyle w:val="ssleftalign"/>
        </w:rPr>
        <w:t xml:space="preserve"> review is </w:t>
      </w:r>
      <w:r w:rsidR="008D157A" w:rsidRPr="00DA6782">
        <w:rPr>
          <w:rStyle w:val="ssleftalign"/>
          <w:i/>
          <w:iCs/>
        </w:rPr>
        <w:t>not</w:t>
      </w:r>
      <w:r w:rsidR="008D157A">
        <w:rPr>
          <w:rStyle w:val="ssleftalign"/>
        </w:rPr>
        <w:t xml:space="preserve"> the e</w:t>
      </w:r>
      <w:r w:rsidR="00AC3A9C">
        <w:rPr>
          <w:rStyle w:val="ssleftalign"/>
        </w:rPr>
        <w:t>q</w:t>
      </w:r>
      <w:r w:rsidR="008D157A">
        <w:rPr>
          <w:rStyle w:val="ssleftalign"/>
        </w:rPr>
        <w:t>uivalent</w:t>
      </w:r>
      <w:r w:rsidR="00744035">
        <w:rPr>
          <w:rStyle w:val="ssleftalign"/>
        </w:rPr>
        <w:t xml:space="preserve"> of de novo review</w:t>
      </w:r>
      <w:r w:rsidR="00E17FA0">
        <w:rPr>
          <w:rStyle w:val="ssleftalign"/>
        </w:rPr>
        <w:t xml:space="preserve"> </w:t>
      </w:r>
      <w:r w:rsidR="00744035">
        <w:rPr>
          <w:rStyle w:val="ssleftalign"/>
        </w:rPr>
        <w:t>.</w:t>
      </w:r>
      <w:r w:rsidR="00E17FA0">
        <w:rPr>
          <w:rStyle w:val="ssleftalign"/>
        </w:rPr>
        <w:t xml:space="preserve"> . . .’</w:t>
      </w:r>
      <w:r w:rsidR="00C42C1C">
        <w:rPr>
          <w:rStyle w:val="ssleftalign"/>
        </w:rPr>
        <w:t> </w:t>
      </w:r>
      <w:r w:rsidR="00744035">
        <w:rPr>
          <w:rStyle w:val="ssleftalign"/>
        </w:rPr>
        <w:t>”  (</w:t>
      </w:r>
      <w:r w:rsidR="00744035">
        <w:rPr>
          <w:rStyle w:val="ssleftalign"/>
          <w:i/>
          <w:iCs/>
        </w:rPr>
        <w:t>People v. Jackson</w:t>
      </w:r>
      <w:r w:rsidR="00744035">
        <w:rPr>
          <w:rStyle w:val="ssleftalign"/>
        </w:rPr>
        <w:t xml:space="preserve"> (2005) 128 Cal.App.4th 1009, 1021</w:t>
      </w:r>
      <w:r w:rsidR="00982647">
        <w:rPr>
          <w:rStyle w:val="ssleftalign"/>
        </w:rPr>
        <w:t xml:space="preserve">.) </w:t>
      </w:r>
      <w:r w:rsidR="00B6799B">
        <w:rPr>
          <w:rStyle w:val="ssleftalign"/>
        </w:rPr>
        <w:t xml:space="preserve"> </w:t>
      </w:r>
      <w:r w:rsidRPr="0002181D">
        <w:rPr>
          <w:rStyle w:val="ssleftalign"/>
        </w:rPr>
        <w:t xml:space="preserve">An appellate court </w:t>
      </w:r>
      <w:r w:rsidR="0011565D" w:rsidRPr="0002181D">
        <w:rPr>
          <w:rStyle w:val="ssleftalign"/>
        </w:rPr>
        <w:t xml:space="preserve">may not </w:t>
      </w:r>
      <w:r w:rsidR="00AA4AF1" w:rsidRPr="0002181D">
        <w:rPr>
          <w:rStyle w:val="ssleftalign"/>
        </w:rPr>
        <w:t>simply</w:t>
      </w:r>
      <w:r w:rsidR="00AA4AF1">
        <w:rPr>
          <w:rStyle w:val="ssleftalign"/>
        </w:rPr>
        <w:t xml:space="preserve"> second-guess factual findings that are based on the trial court’s own observations.  (See </w:t>
      </w:r>
      <w:r w:rsidR="00AA4AF1">
        <w:rPr>
          <w:rStyle w:val="ssleftalign"/>
          <w:i/>
          <w:iCs/>
        </w:rPr>
        <w:t>In re Ernesto H.</w:t>
      </w:r>
      <w:r w:rsidR="00AA4AF1">
        <w:rPr>
          <w:rStyle w:val="ssleftalign"/>
        </w:rPr>
        <w:t xml:space="preserve"> (2004) 125 Cal.App.4th 298, 306</w:t>
      </w:r>
      <w:r w:rsidR="006F34CB" w:rsidRPr="00EC6FED">
        <w:rPr>
          <w:rStyle w:val="ssleftalign"/>
        </w:rPr>
        <w:t xml:space="preserve">; </w:t>
      </w:r>
      <w:r w:rsidR="006F34CB" w:rsidRPr="00B02ADC">
        <w:rPr>
          <w:rStyle w:val="ssleftalign"/>
        </w:rPr>
        <w:t xml:space="preserve">cf. </w:t>
      </w:r>
      <w:r w:rsidR="006F34CB" w:rsidRPr="00B02ADC">
        <w:rPr>
          <w:rStyle w:val="ssleftalign"/>
          <w:i/>
          <w:iCs/>
        </w:rPr>
        <w:t>George T.</w:t>
      </w:r>
      <w:r w:rsidR="006F34CB" w:rsidRPr="00B02ADC">
        <w:rPr>
          <w:rStyle w:val="ssleftalign"/>
        </w:rPr>
        <w:t xml:space="preserve">, </w:t>
      </w:r>
      <w:r w:rsidR="006F34CB" w:rsidRPr="00B02ADC">
        <w:rPr>
          <w:rStyle w:val="ssleftalign"/>
          <w:i/>
          <w:iCs/>
        </w:rPr>
        <w:t>supra</w:t>
      </w:r>
      <w:r w:rsidR="006F34CB" w:rsidRPr="00B02ADC">
        <w:rPr>
          <w:rStyle w:val="ssleftalign"/>
        </w:rPr>
        <w:t>, 33 Cal.4th at p. 634 [under a de novo standard, “</w:t>
      </w:r>
      <w:r w:rsidR="002D71AE">
        <w:rPr>
          <w:rStyle w:val="ssleftalign"/>
        </w:rPr>
        <w:t> </w:t>
      </w:r>
      <w:r w:rsidR="006F34CB" w:rsidRPr="00B02ADC">
        <w:rPr>
          <w:rStyle w:val="ssleftalign"/>
        </w:rPr>
        <w:t>‘a reviewing court makes an original appraisal of all the evidence’</w:t>
      </w:r>
      <w:r w:rsidR="00C42C1C">
        <w:rPr>
          <w:rStyle w:val="ssleftalign"/>
        </w:rPr>
        <w:t> </w:t>
      </w:r>
      <w:r w:rsidR="006F34CB" w:rsidRPr="00B02ADC">
        <w:rPr>
          <w:rStyle w:val="ssleftalign"/>
        </w:rPr>
        <w:t>”]</w:t>
      </w:r>
      <w:r w:rsidR="00AA4AF1" w:rsidRPr="00EC6FED">
        <w:rPr>
          <w:rStyle w:val="ssleftalign"/>
        </w:rPr>
        <w:t>.</w:t>
      </w:r>
      <w:r w:rsidR="00AA4AF1" w:rsidRPr="002947F2">
        <w:rPr>
          <w:rStyle w:val="ssleftalign"/>
        </w:rPr>
        <w:t xml:space="preserve">)  </w:t>
      </w:r>
      <w:r w:rsidR="00A6188D" w:rsidRPr="00B02ADC">
        <w:rPr>
          <w:rStyle w:val="ssleftalign"/>
        </w:rPr>
        <w:t xml:space="preserve">In reviewing the constitutional claim raised in </w:t>
      </w:r>
      <w:proofErr w:type="spellStart"/>
      <w:r w:rsidR="00DA6E0A" w:rsidRPr="002947F2">
        <w:rPr>
          <w:rStyle w:val="ssleftalign"/>
          <w:i/>
          <w:iCs/>
        </w:rPr>
        <w:t>Resendiz</w:t>
      </w:r>
      <w:proofErr w:type="spellEnd"/>
      <w:r w:rsidR="00AA4AF1">
        <w:rPr>
          <w:rStyle w:val="ssleftalign"/>
        </w:rPr>
        <w:t xml:space="preserve">, </w:t>
      </w:r>
      <w:r w:rsidR="00A6188D">
        <w:rPr>
          <w:rStyle w:val="ssleftalign"/>
        </w:rPr>
        <w:t xml:space="preserve">we explained that </w:t>
      </w:r>
      <w:r w:rsidR="00AA4AF1">
        <w:rPr>
          <w:rStyle w:val="ssleftalign"/>
        </w:rPr>
        <w:t>f</w:t>
      </w:r>
      <w:r w:rsidR="00B3751D" w:rsidRPr="009F1AEE">
        <w:rPr>
          <w:rStyle w:val="ssleftalign"/>
        </w:rPr>
        <w:t>actual determinations that are based on “</w:t>
      </w:r>
      <w:r w:rsidR="00161502" w:rsidRPr="009F1AEE">
        <w:rPr>
          <w:rStyle w:val="ssleftalign"/>
        </w:rPr>
        <w:t> </w:t>
      </w:r>
      <w:r w:rsidR="00B3751D" w:rsidRPr="009F1AEE">
        <w:rPr>
          <w:rStyle w:val="ssleftalign"/>
        </w:rPr>
        <w:t>‘the credibility of witnesses the [superior court] heard and observed</w:t>
      </w:r>
      <w:r w:rsidR="00B3751D" w:rsidRPr="00B02ADC">
        <w:rPr>
          <w:rStyle w:val="ssleftalign"/>
        </w:rPr>
        <w:t>’</w:t>
      </w:r>
      <w:r w:rsidR="00A51B1C" w:rsidRPr="00B02ADC">
        <w:rPr>
          <w:rStyle w:val="ssleftalign"/>
        </w:rPr>
        <w:t> ”</w:t>
      </w:r>
      <w:r w:rsidR="00DF41CA" w:rsidRPr="00B02ADC">
        <w:rPr>
          <w:rStyle w:val="ssleftalign"/>
        </w:rPr>
        <w:t xml:space="preserve"> are entitled to </w:t>
      </w:r>
      <w:r w:rsidR="006C2BE3" w:rsidRPr="00B02ADC">
        <w:rPr>
          <w:rStyle w:val="ssleftalign"/>
        </w:rPr>
        <w:t>particular</w:t>
      </w:r>
      <w:r w:rsidR="00DF41CA" w:rsidRPr="00B02ADC">
        <w:rPr>
          <w:rStyle w:val="ssleftalign"/>
        </w:rPr>
        <w:t xml:space="preserve"> deference,</w:t>
      </w:r>
      <w:r w:rsidR="00B3751D" w:rsidRPr="009F1AEE">
        <w:rPr>
          <w:rStyle w:val="ssleftalign"/>
        </w:rPr>
        <w:t xml:space="preserve"> </w:t>
      </w:r>
      <w:r w:rsidRPr="00B02ADC">
        <w:rPr>
          <w:rStyle w:val="ssleftalign"/>
        </w:rPr>
        <w:t xml:space="preserve">even though courts reviewing such claims generally may </w:t>
      </w:r>
      <w:r w:rsidR="00CD1BB3" w:rsidRPr="0002181D">
        <w:rPr>
          <w:rStyle w:val="ssleftalign"/>
        </w:rPr>
        <w:t>“</w:t>
      </w:r>
      <w:r w:rsidR="002D71AE">
        <w:rPr>
          <w:rStyle w:val="ssleftalign"/>
        </w:rPr>
        <w:t> </w:t>
      </w:r>
      <w:r w:rsidR="001D3E06" w:rsidRPr="0002181D">
        <w:rPr>
          <w:rStyle w:val="ssleftalign"/>
        </w:rPr>
        <w:t>‘</w:t>
      </w:r>
      <w:r w:rsidR="00CD1BB3" w:rsidRPr="0002181D">
        <w:rPr>
          <w:rStyle w:val="ssleftalign"/>
        </w:rPr>
        <w:t xml:space="preserve">reach a different conclusion </w:t>
      </w:r>
      <w:r w:rsidRPr="00B02ADC">
        <w:rPr>
          <w:rStyle w:val="ssleftalign"/>
        </w:rPr>
        <w:t xml:space="preserve">[from the trial court] </w:t>
      </w:r>
      <w:r w:rsidR="00CD1BB3" w:rsidRPr="0002181D">
        <w:rPr>
          <w:rStyle w:val="ssleftalign"/>
        </w:rPr>
        <w:t>on an independent examination of the evidence</w:t>
      </w:r>
      <w:r w:rsidR="0063327E" w:rsidRPr="00B02ADC">
        <w:rPr>
          <w:rStyle w:val="ssleftalign"/>
        </w:rPr>
        <w:t> . . . even where the evidence is conflicting</w:t>
      </w:r>
      <w:r w:rsidR="005E201E" w:rsidRPr="0002181D">
        <w:rPr>
          <w:rStyle w:val="ssleftalign"/>
        </w:rPr>
        <w:t>.</w:t>
      </w:r>
      <w:r w:rsidR="001D3E06" w:rsidRPr="0002181D">
        <w:rPr>
          <w:rStyle w:val="ssleftalign"/>
        </w:rPr>
        <w:t>’</w:t>
      </w:r>
      <w:r w:rsidR="00C42C1C">
        <w:rPr>
          <w:rStyle w:val="ssleftalign"/>
        </w:rPr>
        <w:t> </w:t>
      </w:r>
      <w:r w:rsidR="00CD1BB3" w:rsidRPr="0002181D">
        <w:rPr>
          <w:rStyle w:val="ssleftalign"/>
        </w:rPr>
        <w:t>”</w:t>
      </w:r>
      <w:r w:rsidR="005E201E">
        <w:rPr>
          <w:rStyle w:val="ssleftalign"/>
        </w:rPr>
        <w:t xml:space="preserve">  </w:t>
      </w:r>
      <w:r w:rsidR="00B3751D" w:rsidRPr="009F1AEE">
        <w:rPr>
          <w:rStyle w:val="ssleftalign"/>
        </w:rPr>
        <w:t>(</w:t>
      </w:r>
      <w:proofErr w:type="spellStart"/>
      <w:r w:rsidR="00B3751D" w:rsidRPr="009F1AEE">
        <w:rPr>
          <w:rStyle w:val="ssleftalign"/>
          <w:i/>
        </w:rPr>
        <w:t>Resendiz</w:t>
      </w:r>
      <w:proofErr w:type="spellEnd"/>
      <w:r w:rsidR="00B3751D" w:rsidRPr="009F1AEE">
        <w:rPr>
          <w:rStyle w:val="ssleftalign"/>
        </w:rPr>
        <w:t xml:space="preserve">, </w:t>
      </w:r>
      <w:r w:rsidR="00B3751D" w:rsidRPr="009F1AEE">
        <w:rPr>
          <w:rStyle w:val="ssleftalign"/>
          <w:i/>
        </w:rPr>
        <w:t>supra</w:t>
      </w:r>
      <w:r w:rsidR="00B3751D" w:rsidRPr="009F1AEE">
        <w:rPr>
          <w:rStyle w:val="ssleftalign"/>
        </w:rPr>
        <w:t>, 25 Cal.4th at p. 249 (</w:t>
      </w:r>
      <w:r w:rsidR="00A51B1C">
        <w:rPr>
          <w:rStyle w:val="ssleftalign"/>
        </w:rPr>
        <w:t>lead</w:t>
      </w:r>
      <w:r w:rsidR="00B3751D" w:rsidRPr="009F1AEE">
        <w:rPr>
          <w:rStyle w:val="ssleftalign"/>
        </w:rPr>
        <w:t xml:space="preserve"> opn. of Werdegar</w:t>
      </w:r>
      <w:r w:rsidR="000367C9">
        <w:rPr>
          <w:rStyle w:val="ssleftalign"/>
        </w:rPr>
        <w:t>,</w:t>
      </w:r>
      <w:r w:rsidR="00A83D42">
        <w:rPr>
          <w:rStyle w:val="ssleftalign"/>
        </w:rPr>
        <w:t> </w:t>
      </w:r>
      <w:r w:rsidR="00B3751D" w:rsidRPr="009F1AEE">
        <w:rPr>
          <w:rStyle w:val="ssleftalign"/>
        </w:rPr>
        <w:t>J.).)</w:t>
      </w:r>
      <w:r w:rsidR="00A21FE1">
        <w:rPr>
          <w:rStyle w:val="FootnoteReference"/>
        </w:rPr>
        <w:footnoteReference w:id="7"/>
      </w:r>
      <w:r w:rsidR="00B3751D" w:rsidRPr="009F1AEE">
        <w:rPr>
          <w:rStyle w:val="ssleftalign"/>
        </w:rPr>
        <w:t xml:space="preserve">  </w:t>
      </w:r>
      <w:r w:rsidR="00920488">
        <w:rPr>
          <w:rStyle w:val="ssleftalign"/>
        </w:rPr>
        <w:t xml:space="preserve">In section 1473.7 proceedings, appellate courts </w:t>
      </w:r>
      <w:r w:rsidR="001E16E8" w:rsidRPr="00FE0B19">
        <w:rPr>
          <w:rStyle w:val="ssleftalign"/>
        </w:rPr>
        <w:lastRenderedPageBreak/>
        <w:t>should</w:t>
      </w:r>
      <w:r w:rsidR="001E16E8">
        <w:rPr>
          <w:rStyle w:val="ssleftalign"/>
        </w:rPr>
        <w:t xml:space="preserve"> </w:t>
      </w:r>
      <w:r w:rsidR="00920488">
        <w:rPr>
          <w:rStyle w:val="ssleftalign"/>
        </w:rPr>
        <w:t>similarly give particular deferenc</w:t>
      </w:r>
      <w:r w:rsidR="00AB6664">
        <w:rPr>
          <w:rStyle w:val="ssleftalign"/>
        </w:rPr>
        <w:t>e</w:t>
      </w:r>
      <w:r w:rsidR="00920488">
        <w:rPr>
          <w:rStyle w:val="ssleftalign"/>
        </w:rPr>
        <w:t xml:space="preserve"> to factual findings based on the trial court’s personal observations of witnesses.  </w:t>
      </w:r>
      <w:r w:rsidR="0059681E">
        <w:rPr>
          <w:rStyle w:val="ssleftalign"/>
        </w:rPr>
        <w:t xml:space="preserve">(See, e.g., </w:t>
      </w:r>
      <w:r w:rsidR="0059681E" w:rsidRPr="009F1AEE">
        <w:rPr>
          <w:rStyle w:val="ssleftalign"/>
          <w:i/>
        </w:rPr>
        <w:t>Tapia</w:t>
      </w:r>
      <w:r w:rsidR="0059681E" w:rsidRPr="009F1AEE">
        <w:rPr>
          <w:rStyle w:val="ssleftalign"/>
        </w:rPr>
        <w:t xml:space="preserve">, </w:t>
      </w:r>
      <w:r w:rsidR="0059681E" w:rsidRPr="009F1AEE">
        <w:rPr>
          <w:rStyle w:val="ssleftalign"/>
          <w:i/>
        </w:rPr>
        <w:t>supra</w:t>
      </w:r>
      <w:r w:rsidR="0059681E" w:rsidRPr="009F1AEE">
        <w:rPr>
          <w:rStyle w:val="ssleftalign"/>
        </w:rPr>
        <w:t>, 26 Cal.App.5th at pp. 948</w:t>
      </w:r>
      <w:r w:rsidR="0059681E">
        <w:t>–</w:t>
      </w:r>
      <w:r w:rsidR="0059681E" w:rsidRPr="009F1AEE">
        <w:rPr>
          <w:rStyle w:val="ssleftalign"/>
        </w:rPr>
        <w:t>950 [deferring where the trial judge hearing the § 1473.7 motion also presided over the plea hearing]</w:t>
      </w:r>
      <w:r w:rsidR="0045358C">
        <w:rPr>
          <w:rStyle w:val="ssleftalign"/>
        </w:rPr>
        <w:t xml:space="preserve">.)  </w:t>
      </w:r>
      <w:r w:rsidR="00C84C34" w:rsidRPr="00FE0B19">
        <w:rPr>
          <w:rStyle w:val="ssleftalign"/>
        </w:rPr>
        <w:t>W</w:t>
      </w:r>
      <w:r w:rsidR="00B3751D" w:rsidRPr="00FE0B19">
        <w:rPr>
          <w:rStyle w:val="ssleftalign"/>
        </w:rPr>
        <w:t>here</w:t>
      </w:r>
      <w:r w:rsidR="00241616">
        <w:rPr>
          <w:rStyle w:val="ssleftalign"/>
        </w:rPr>
        <w:t>, as here,</w:t>
      </w:r>
      <w:r w:rsidR="00B3751D" w:rsidRPr="00FE0B19">
        <w:rPr>
          <w:rStyle w:val="ssleftalign"/>
        </w:rPr>
        <w:t xml:space="preserve"> the </w:t>
      </w:r>
      <w:r w:rsidR="00A95DF6" w:rsidRPr="00FE0B19">
        <w:rPr>
          <w:rStyle w:val="ssleftalign"/>
        </w:rPr>
        <w:t xml:space="preserve">facts </w:t>
      </w:r>
      <w:r w:rsidR="0033088D" w:rsidRPr="00FE0B19">
        <w:rPr>
          <w:rStyle w:val="ssleftalign"/>
        </w:rPr>
        <w:t>derive</w:t>
      </w:r>
      <w:r w:rsidR="00A95DF6" w:rsidRPr="00FE0B19">
        <w:rPr>
          <w:rStyle w:val="ssleftalign"/>
        </w:rPr>
        <w:t xml:space="preserve"> </w:t>
      </w:r>
      <w:r w:rsidR="006726A9" w:rsidRPr="00FE0B19">
        <w:rPr>
          <w:rStyle w:val="ssleftalign"/>
        </w:rPr>
        <w:t xml:space="preserve">entirely </w:t>
      </w:r>
      <w:r w:rsidR="00A95DF6" w:rsidRPr="00FE0B19">
        <w:rPr>
          <w:rStyle w:val="ssleftalign"/>
        </w:rPr>
        <w:t xml:space="preserve">from </w:t>
      </w:r>
      <w:r w:rsidR="009618D3" w:rsidRPr="00FE0B19">
        <w:rPr>
          <w:rStyle w:val="ssleftalign"/>
        </w:rPr>
        <w:t>written declarations and other documents</w:t>
      </w:r>
      <w:r w:rsidR="007E0F57" w:rsidRPr="00FE0B19">
        <w:rPr>
          <w:rStyle w:val="ssleftalign"/>
        </w:rPr>
        <w:t>,</w:t>
      </w:r>
      <w:r w:rsidR="00C464EF" w:rsidRPr="00FE0B19">
        <w:rPr>
          <w:rStyle w:val="ssleftalign"/>
        </w:rPr>
        <w:t xml:space="preserve"> </w:t>
      </w:r>
      <w:r w:rsidR="00257B01" w:rsidRPr="00FE0B19">
        <w:rPr>
          <w:rStyle w:val="ssleftalign"/>
        </w:rPr>
        <w:t xml:space="preserve">however, </w:t>
      </w:r>
      <w:r w:rsidR="007E0F57" w:rsidRPr="00FE0B19">
        <w:rPr>
          <w:rStyle w:val="ssleftalign"/>
        </w:rPr>
        <w:t xml:space="preserve">there is </w:t>
      </w:r>
      <w:r w:rsidR="00C464EF" w:rsidRPr="00FE0B19">
        <w:rPr>
          <w:rStyle w:val="ssleftalign"/>
        </w:rPr>
        <w:t xml:space="preserve">no </w:t>
      </w:r>
      <w:r w:rsidR="00392949" w:rsidRPr="00FE0B19">
        <w:rPr>
          <w:rStyle w:val="ssleftalign"/>
        </w:rPr>
        <w:t xml:space="preserve">reason </w:t>
      </w:r>
      <w:r w:rsidR="00B84B4F" w:rsidRPr="00FE0B19">
        <w:rPr>
          <w:rStyle w:val="ssleftalign"/>
        </w:rPr>
        <w:t xml:space="preserve">to conclude the trial court has </w:t>
      </w:r>
      <w:r w:rsidR="002F3FBE" w:rsidRPr="00FE0B19">
        <w:rPr>
          <w:rStyle w:val="ssleftalign"/>
        </w:rPr>
        <w:t>the same</w:t>
      </w:r>
      <w:r w:rsidR="00B84B4F" w:rsidRPr="00FE0B19">
        <w:rPr>
          <w:rStyle w:val="ssleftalign"/>
        </w:rPr>
        <w:t xml:space="preserve"> specia</w:t>
      </w:r>
      <w:r w:rsidR="00B84B4F" w:rsidRPr="009F1AEE">
        <w:rPr>
          <w:rStyle w:val="ssleftalign"/>
        </w:rPr>
        <w:t xml:space="preserve">l purchase on </w:t>
      </w:r>
      <w:r w:rsidR="005E09DA" w:rsidRPr="009F1AEE">
        <w:rPr>
          <w:rStyle w:val="ssleftalign"/>
        </w:rPr>
        <w:t>the question at issue</w:t>
      </w:r>
      <w:r w:rsidR="00D31FF9">
        <w:rPr>
          <w:rStyle w:val="ssleftalign"/>
        </w:rPr>
        <w:t xml:space="preserve">; </w:t>
      </w:r>
      <w:r w:rsidR="002F3FBE">
        <w:rPr>
          <w:rStyle w:val="ssleftalign"/>
        </w:rPr>
        <w:t xml:space="preserve">as a practical matter, </w:t>
      </w:r>
      <w:r w:rsidR="00176647" w:rsidRPr="00176647">
        <w:t>“[t]he trial court and this court are in the same position</w:t>
      </w:r>
      <w:r w:rsidR="006C4CBC">
        <w:t xml:space="preserve"> in interpreting written declarations</w:t>
      </w:r>
      <w:r w:rsidR="00176647" w:rsidRPr="00176647">
        <w:t>”</w:t>
      </w:r>
      <w:r w:rsidR="006C4CBC">
        <w:t xml:space="preserve"> </w:t>
      </w:r>
      <w:r w:rsidR="002F3FBE">
        <w:rPr>
          <w:rStyle w:val="ssleftalign"/>
        </w:rPr>
        <w:t>w</w:t>
      </w:r>
      <w:r w:rsidR="00494D51" w:rsidRPr="009F1AEE">
        <w:rPr>
          <w:rStyle w:val="ssleftalign"/>
        </w:rPr>
        <w:t xml:space="preserve">hen </w:t>
      </w:r>
      <w:r w:rsidR="00435E55" w:rsidRPr="009F1AEE">
        <w:rPr>
          <w:rStyle w:val="ssleftalign"/>
        </w:rPr>
        <w:t>reviewing a cold record</w:t>
      </w:r>
      <w:r w:rsidR="00494D51" w:rsidRPr="009F1AEE">
        <w:rPr>
          <w:rStyle w:val="ssleftalign"/>
        </w:rPr>
        <w:t xml:space="preserve"> in a </w:t>
      </w:r>
      <w:r w:rsidR="00736F11">
        <w:rPr>
          <w:rStyle w:val="ssleftalign"/>
        </w:rPr>
        <w:t>section 1473.7 proceeding</w:t>
      </w:r>
      <w:r w:rsidR="006C4CBC">
        <w:rPr>
          <w:rStyle w:val="ssleftalign"/>
        </w:rPr>
        <w:t>.</w:t>
      </w:r>
      <w:r w:rsidR="00435E55" w:rsidRPr="009F1AEE">
        <w:t xml:space="preserve"> </w:t>
      </w:r>
      <w:r w:rsidR="00DF41EE" w:rsidRPr="009F1AEE">
        <w:t xml:space="preserve"> (</w:t>
      </w:r>
      <w:proofErr w:type="spellStart"/>
      <w:r w:rsidR="00FE3357" w:rsidRPr="00845A55">
        <w:rPr>
          <w:i/>
          <w:iCs/>
        </w:rPr>
        <w:t>Ogunmowo</w:t>
      </w:r>
      <w:proofErr w:type="spellEnd"/>
      <w:r w:rsidR="00FE3357" w:rsidRPr="00772A0C">
        <w:t xml:space="preserve">, </w:t>
      </w:r>
      <w:r w:rsidR="00176647" w:rsidRPr="002260F8">
        <w:rPr>
          <w:i/>
          <w:iCs/>
        </w:rPr>
        <w:t>supra</w:t>
      </w:r>
      <w:r w:rsidR="00176647" w:rsidRPr="00772A0C">
        <w:t xml:space="preserve">, 23 Cal.App.5th </w:t>
      </w:r>
      <w:r w:rsidR="00FE3357" w:rsidRPr="00A21FE1">
        <w:t>at</w:t>
      </w:r>
      <w:r w:rsidR="00FE3357" w:rsidRPr="00772A0C">
        <w:t xml:space="preserve"> p. 79</w:t>
      </w:r>
      <w:r w:rsidR="00DF41EE" w:rsidRPr="009F1AEE">
        <w:t>.)</w:t>
      </w:r>
      <w:r w:rsidR="00984EC5">
        <w:rPr>
          <w:rStyle w:val="FootnoteReference"/>
        </w:rPr>
        <w:footnoteReference w:id="8"/>
      </w:r>
      <w:r w:rsidR="00F859F8" w:rsidRPr="009F1AEE">
        <w:t xml:space="preserve">  </w:t>
      </w:r>
      <w:r w:rsidR="00B03B47">
        <w:t xml:space="preserve">Ultimately it is for the appellate court to decide, based on its independent judgment, whether the </w:t>
      </w:r>
      <w:r w:rsidR="00241616">
        <w:t>facts establish prejudice</w:t>
      </w:r>
      <w:r w:rsidR="00B03B47">
        <w:t xml:space="preserve"> </w:t>
      </w:r>
      <w:r w:rsidR="00241616">
        <w:t>under</w:t>
      </w:r>
      <w:r w:rsidR="00B03B47">
        <w:t xml:space="preserve"> section 1473.7.  </w:t>
      </w:r>
    </w:p>
    <w:p w14:paraId="1CD16B6A" w14:textId="4E8EECA2" w:rsidR="00F859F8" w:rsidRPr="009F1AEE" w:rsidRDefault="00F859F8" w:rsidP="009F1AEE">
      <w:pPr>
        <w:pStyle w:val="Heading1"/>
      </w:pPr>
      <w:r w:rsidRPr="009F1AEE">
        <w:lastRenderedPageBreak/>
        <w:t>B.</w:t>
      </w:r>
    </w:p>
    <w:p w14:paraId="17CD6E39" w14:textId="1FB2D386" w:rsidR="00CE3781" w:rsidRPr="009F1AEE" w:rsidRDefault="0072687E" w:rsidP="009F1AEE">
      <w:pPr>
        <w:tabs>
          <w:tab w:val="left" w:pos="1440"/>
        </w:tabs>
        <w:ind w:firstLine="720"/>
        <w:rPr>
          <w:rStyle w:val="ssparacontent"/>
        </w:rPr>
      </w:pPr>
      <w:r>
        <w:t xml:space="preserve">The Legislature </w:t>
      </w:r>
      <w:r w:rsidR="005023B7">
        <w:t>made</w:t>
      </w:r>
      <w:r w:rsidR="0044620D">
        <w:t xml:space="preserve"> relief available </w:t>
      </w:r>
      <w:r w:rsidR="0056694F">
        <w:t>only to certain</w:t>
      </w:r>
      <w:r w:rsidR="0044620D">
        <w:t xml:space="preserve"> </w:t>
      </w:r>
      <w:r w:rsidR="0056694F">
        <w:t xml:space="preserve">immigrants who </w:t>
      </w:r>
      <w:r w:rsidR="00C44B94">
        <w:t xml:space="preserve">accepted pleas without understanding </w:t>
      </w:r>
      <w:r w:rsidR="00960D1F">
        <w:t xml:space="preserve">the immigration-related consequences of such decisions. </w:t>
      </w:r>
      <w:r w:rsidR="0044620D">
        <w:t xml:space="preserve"> </w:t>
      </w:r>
      <w:r w:rsidR="00960D1F">
        <w:t>What someone</w:t>
      </w:r>
      <w:r w:rsidR="0033088D" w:rsidRPr="009F1AEE">
        <w:t xml:space="preserve"> </w:t>
      </w:r>
      <w:r w:rsidR="00967957" w:rsidRPr="009F1AEE">
        <w:t xml:space="preserve">seeking to withdraw a plea under section 1473.7 must show </w:t>
      </w:r>
      <w:r w:rsidR="00F55094">
        <w:t xml:space="preserve">is </w:t>
      </w:r>
      <w:r w:rsidR="00494D51" w:rsidRPr="009F1AEE">
        <w:t>more than merely an</w:t>
      </w:r>
      <w:r w:rsidR="00967957" w:rsidRPr="009F1AEE">
        <w:t xml:space="preserve"> error “</w:t>
      </w:r>
      <w:r w:rsidR="00967957" w:rsidRPr="009F1AEE">
        <w:rPr>
          <w:rStyle w:val="ssparacontent"/>
        </w:rPr>
        <w:t>damaging the moving party’s ability to meaningfully understand, defend against, or knowingly accept the actual or potential adverse immigration consequences” of the plea</w:t>
      </w:r>
      <w:r w:rsidR="00494D51" w:rsidRPr="009F1AEE">
        <w:rPr>
          <w:rStyle w:val="ssparacontent"/>
        </w:rPr>
        <w:t xml:space="preserve">.  </w:t>
      </w:r>
      <w:r w:rsidR="007157BC" w:rsidRPr="009F1AEE">
        <w:rPr>
          <w:rStyle w:val="ssparacontent"/>
        </w:rPr>
        <w:t xml:space="preserve">(§ 1473.7, subd. (a)(1).)  </w:t>
      </w:r>
      <w:r w:rsidR="00494D51" w:rsidRPr="009F1AEE">
        <w:rPr>
          <w:rStyle w:val="ssparacontent"/>
        </w:rPr>
        <w:t>The error must also</w:t>
      </w:r>
      <w:r w:rsidR="00967957" w:rsidRPr="009F1AEE">
        <w:rPr>
          <w:rStyle w:val="ssparacontent"/>
        </w:rPr>
        <w:t xml:space="preserve"> </w:t>
      </w:r>
      <w:r w:rsidR="00494D51" w:rsidRPr="009F1AEE">
        <w:rPr>
          <w:rStyle w:val="ssparacontent"/>
        </w:rPr>
        <w:t>be</w:t>
      </w:r>
      <w:r w:rsidR="00967957" w:rsidRPr="009F1AEE">
        <w:rPr>
          <w:rStyle w:val="ssparacontent"/>
        </w:rPr>
        <w:t xml:space="preserve"> “prejudicial.”  (</w:t>
      </w:r>
      <w:r w:rsidR="007157BC" w:rsidRPr="009F1AEE">
        <w:rPr>
          <w:rStyle w:val="ssparacontent"/>
          <w:i/>
        </w:rPr>
        <w:t>Ibid</w:t>
      </w:r>
      <w:r w:rsidR="002604E1" w:rsidRPr="009F1AEE">
        <w:rPr>
          <w:rStyle w:val="ssparacontent"/>
        </w:rPr>
        <w:t>.</w:t>
      </w:r>
      <w:r w:rsidR="00967957" w:rsidRPr="009F1AEE">
        <w:rPr>
          <w:rStyle w:val="ssparacontent"/>
        </w:rPr>
        <w:t>)</w:t>
      </w:r>
      <w:r w:rsidR="00912DD5" w:rsidRPr="009F1AEE">
        <w:rPr>
          <w:rStyle w:val="ssparacontent"/>
        </w:rPr>
        <w:t xml:space="preserve">  </w:t>
      </w:r>
      <w:r w:rsidR="003D3478">
        <w:rPr>
          <w:rStyle w:val="ssparacontent"/>
        </w:rPr>
        <w:t xml:space="preserve">Although </w:t>
      </w:r>
      <w:r w:rsidR="00F34EF5">
        <w:rPr>
          <w:rStyle w:val="ssparacontent"/>
        </w:rPr>
        <w:t xml:space="preserve">the </w:t>
      </w:r>
      <w:r w:rsidR="002604E1" w:rsidRPr="009F1AEE">
        <w:rPr>
          <w:rStyle w:val="ssparacontent"/>
        </w:rPr>
        <w:t>statute</w:t>
      </w:r>
      <w:r w:rsidR="00485B2A" w:rsidRPr="009F1AEE">
        <w:rPr>
          <w:rStyle w:val="ssparacontent"/>
        </w:rPr>
        <w:t xml:space="preserve"> </w:t>
      </w:r>
      <w:r w:rsidR="00367183">
        <w:rPr>
          <w:rStyle w:val="ssparacontent"/>
        </w:rPr>
        <w:t xml:space="preserve">doesn’t </w:t>
      </w:r>
      <w:r w:rsidR="00200F97" w:rsidRPr="009F1AEE">
        <w:rPr>
          <w:rStyle w:val="ssparacontent"/>
        </w:rPr>
        <w:t xml:space="preserve">itself define what “prejudicial” means, we can glean </w:t>
      </w:r>
      <w:r w:rsidR="00494D51" w:rsidRPr="009F1AEE">
        <w:rPr>
          <w:rStyle w:val="ssparacontent"/>
        </w:rPr>
        <w:t xml:space="preserve">the </w:t>
      </w:r>
      <w:r w:rsidR="00200F97" w:rsidRPr="009F1AEE">
        <w:rPr>
          <w:rStyle w:val="ssparacontent"/>
        </w:rPr>
        <w:t>meaning from its context</w:t>
      </w:r>
      <w:r w:rsidR="00CE3781" w:rsidRPr="009F1AEE">
        <w:rPr>
          <w:rStyle w:val="ssparacontent"/>
        </w:rPr>
        <w:t xml:space="preserve">.  (See </w:t>
      </w:r>
      <w:proofErr w:type="spellStart"/>
      <w:r w:rsidR="002336F6" w:rsidRPr="009F1AEE">
        <w:rPr>
          <w:rStyle w:val="ssparacontent"/>
          <w:i/>
        </w:rPr>
        <w:t>Quintano</w:t>
      </w:r>
      <w:proofErr w:type="spellEnd"/>
      <w:r w:rsidR="002336F6" w:rsidRPr="009F1AEE">
        <w:rPr>
          <w:rStyle w:val="ssparacontent"/>
          <w:i/>
        </w:rPr>
        <w:t xml:space="preserve"> v. Mercury Casualty Co. </w:t>
      </w:r>
      <w:r w:rsidR="002336F6" w:rsidRPr="009F1AEE">
        <w:rPr>
          <w:rStyle w:val="ssparacontent"/>
        </w:rPr>
        <w:t xml:space="preserve">(2000) 11 Cal.4th 1049, 1055.)  </w:t>
      </w:r>
      <w:r w:rsidR="00CE3781" w:rsidRPr="009F1AEE">
        <w:rPr>
          <w:rStyle w:val="ssparacontent"/>
        </w:rPr>
        <w:t xml:space="preserve">  </w:t>
      </w:r>
    </w:p>
    <w:p w14:paraId="67A5738F" w14:textId="030A6A47" w:rsidR="005E44C3" w:rsidRPr="009F1AEE" w:rsidRDefault="00CE3781" w:rsidP="009F1AEE">
      <w:pPr>
        <w:tabs>
          <w:tab w:val="left" w:pos="1440"/>
        </w:tabs>
        <w:ind w:firstLine="720"/>
        <w:rPr>
          <w:rStyle w:val="ssrfcpassagedeactivated"/>
        </w:rPr>
      </w:pPr>
      <w:r w:rsidRPr="009F1AEE">
        <w:rPr>
          <w:rStyle w:val="ssparacontent"/>
        </w:rPr>
        <w:t xml:space="preserve">  </w:t>
      </w:r>
      <w:r w:rsidR="00485B2A" w:rsidRPr="009F1AEE">
        <w:rPr>
          <w:rStyle w:val="ssparacontent"/>
        </w:rPr>
        <w:t xml:space="preserve">In </w:t>
      </w:r>
      <w:r w:rsidR="002336F6" w:rsidRPr="009F1AEE">
        <w:rPr>
          <w:rStyle w:val="ssparacontent"/>
          <w:i/>
        </w:rPr>
        <w:t xml:space="preserve">People v. Superior Court </w:t>
      </w:r>
      <w:r w:rsidR="002336F6" w:rsidRPr="009F1AEE">
        <w:rPr>
          <w:rStyle w:val="ssparacontent"/>
        </w:rPr>
        <w:t>(</w:t>
      </w:r>
      <w:r w:rsidR="00485B2A" w:rsidRPr="009F1AEE">
        <w:rPr>
          <w:rStyle w:val="ssparacontent"/>
          <w:i/>
        </w:rPr>
        <w:t>Zamudio</w:t>
      </w:r>
      <w:r w:rsidR="002336F6" w:rsidRPr="009F1AEE">
        <w:rPr>
          <w:rStyle w:val="ssparacontent"/>
        </w:rPr>
        <w:t>)</w:t>
      </w:r>
      <w:r w:rsidR="00DA5C09">
        <w:rPr>
          <w:rStyle w:val="ssparacontent"/>
        </w:rPr>
        <w:t xml:space="preserve">, </w:t>
      </w:r>
      <w:r w:rsidR="00DA5C09">
        <w:rPr>
          <w:rStyle w:val="ssparacontent"/>
          <w:i/>
          <w:iCs/>
        </w:rPr>
        <w:t>supra</w:t>
      </w:r>
      <w:r w:rsidR="00DA5C09">
        <w:rPr>
          <w:rStyle w:val="ssparacontent"/>
        </w:rPr>
        <w:t xml:space="preserve">, </w:t>
      </w:r>
      <w:r w:rsidR="002336F6" w:rsidRPr="009F1AEE">
        <w:rPr>
          <w:rStyle w:val="ssparacontent"/>
        </w:rPr>
        <w:t xml:space="preserve">23 Cal.4th 183, </w:t>
      </w:r>
      <w:r w:rsidR="00485B2A" w:rsidRPr="009F1AEE">
        <w:rPr>
          <w:rStyle w:val="ssparacontent"/>
        </w:rPr>
        <w:t xml:space="preserve">we considered what constituted prejudice when </w:t>
      </w:r>
      <w:r w:rsidR="0033088D" w:rsidRPr="009F1AEE">
        <w:rPr>
          <w:rStyle w:val="ssparacontent"/>
        </w:rPr>
        <w:t>a</w:t>
      </w:r>
      <w:r w:rsidR="00485B2A" w:rsidRPr="009F1AEE">
        <w:rPr>
          <w:rStyle w:val="ssparacontent"/>
        </w:rPr>
        <w:t xml:space="preserve"> trial court failed to advise a defendant of the </w:t>
      </w:r>
      <w:r w:rsidR="0033088D" w:rsidRPr="009F1AEE">
        <w:rPr>
          <w:rStyle w:val="ssparacontent"/>
        </w:rPr>
        <w:t xml:space="preserve">plea’s </w:t>
      </w:r>
      <w:r w:rsidR="00485B2A" w:rsidRPr="009F1AEE">
        <w:rPr>
          <w:rStyle w:val="ssparacontent"/>
        </w:rPr>
        <w:t>potential immigration consequences</w:t>
      </w:r>
      <w:r w:rsidR="00171933" w:rsidRPr="009F1AEE">
        <w:rPr>
          <w:rStyle w:val="ssparacontent"/>
        </w:rPr>
        <w:t xml:space="preserve"> as required by </w:t>
      </w:r>
      <w:r w:rsidR="00526424" w:rsidRPr="009F1AEE">
        <w:rPr>
          <w:rStyle w:val="ssparacontent"/>
        </w:rPr>
        <w:t xml:space="preserve">Penal Code </w:t>
      </w:r>
      <w:r w:rsidR="00171933" w:rsidRPr="009F1AEE">
        <w:rPr>
          <w:rStyle w:val="ssparacontent"/>
        </w:rPr>
        <w:t>section 1016.5</w:t>
      </w:r>
      <w:r w:rsidR="00485B2A" w:rsidRPr="009F1AEE">
        <w:rPr>
          <w:rStyle w:val="ssparacontent"/>
        </w:rPr>
        <w:t xml:space="preserve">.  </w:t>
      </w:r>
      <w:r w:rsidR="00EC7273" w:rsidRPr="009F1AEE">
        <w:rPr>
          <w:rStyle w:val="ssparacontent"/>
        </w:rPr>
        <w:t>Prejudice in such circumstances depend</w:t>
      </w:r>
      <w:r w:rsidR="0033088D" w:rsidRPr="009F1AEE">
        <w:rPr>
          <w:rStyle w:val="ssparacontent"/>
        </w:rPr>
        <w:t>ed</w:t>
      </w:r>
      <w:r w:rsidR="00EC7273" w:rsidRPr="009F1AEE">
        <w:rPr>
          <w:rStyle w:val="ssparacontent"/>
        </w:rPr>
        <w:t xml:space="preserve"> on “</w:t>
      </w:r>
      <w:r w:rsidR="0033088D" w:rsidRPr="009F1AEE">
        <w:rPr>
          <w:rStyle w:val="ssparacontent"/>
        </w:rPr>
        <w:t> </w:t>
      </w:r>
      <w:r w:rsidR="00EC7273" w:rsidRPr="009F1AEE">
        <w:rPr>
          <w:rStyle w:val="ssparacontent"/>
        </w:rPr>
        <w:t>‘</w:t>
      </w:r>
      <w:r w:rsidR="00EC7273" w:rsidRPr="009F1AEE">
        <w:rPr>
          <w:rStyle w:val="ssrfcpassagedeactivated"/>
        </w:rPr>
        <w:t>whether it is “reasonably probable” the defendant would not have pleaded guilty if properly advised.’</w:t>
      </w:r>
      <w:r w:rsidR="00C42C1C">
        <w:rPr>
          <w:rStyle w:val="ssrfcpassagedeactivated"/>
        </w:rPr>
        <w:t> </w:t>
      </w:r>
      <w:r w:rsidR="00EC7273" w:rsidRPr="009F1AEE">
        <w:rPr>
          <w:rStyle w:val="ssrfcpassagedeactivated"/>
        </w:rPr>
        <w:t>”  (</w:t>
      </w:r>
      <w:r w:rsidR="00664954" w:rsidRPr="009F1AEE">
        <w:rPr>
          <w:rStyle w:val="ssrfcpassagedeactivated"/>
          <w:i/>
        </w:rPr>
        <w:t>Zamudio</w:t>
      </w:r>
      <w:r w:rsidR="00664954" w:rsidRPr="009F1AEE">
        <w:rPr>
          <w:rStyle w:val="ssrfcpassagedeactivated"/>
        </w:rPr>
        <w:t>,</w:t>
      </w:r>
      <w:r w:rsidR="00EC7273" w:rsidRPr="009F1AEE">
        <w:rPr>
          <w:rStyle w:val="ssrfcpassagedeactivated"/>
        </w:rPr>
        <w:t xml:space="preserve"> at p. 210.)</w:t>
      </w:r>
      <w:r w:rsidR="00E115F6" w:rsidRPr="009F1AEE">
        <w:rPr>
          <w:rStyle w:val="ssrfcpassagedeactivated"/>
        </w:rPr>
        <w:t xml:space="preserve">  </w:t>
      </w:r>
      <w:r w:rsidR="00663452" w:rsidRPr="009F1AEE">
        <w:rPr>
          <w:rStyle w:val="ssrfcpassagedeactivated"/>
        </w:rPr>
        <w:t>The focus on “what the defendant would have done, not whether the defendant’s decision would have led to a more favorable result” derived from the fact that a defendant “</w:t>
      </w:r>
      <w:r w:rsidR="002D71AE">
        <w:rPr>
          <w:rStyle w:val="ssrfcpassagedeactivated"/>
        </w:rPr>
        <w:t> </w:t>
      </w:r>
      <w:r w:rsidR="00663452" w:rsidRPr="009F1AEE">
        <w:rPr>
          <w:rStyle w:val="ssrfcpassagedeactivated"/>
        </w:rPr>
        <w:t>‘may view immigration consequences as the only ones that could affect his calculations regarding the advisability of pleading guilty to criminal charges</w:t>
      </w:r>
      <w:r w:rsidR="001B344D" w:rsidRPr="009F1AEE">
        <w:rPr>
          <w:rStyle w:val="ssrfcpassagedeactivated"/>
        </w:rPr>
        <w:t>.’</w:t>
      </w:r>
      <w:r w:rsidR="00C42C1C">
        <w:rPr>
          <w:rStyle w:val="ssrfcpassagedeactivated"/>
        </w:rPr>
        <w:t> </w:t>
      </w:r>
      <w:r w:rsidR="001B344D" w:rsidRPr="009F1AEE">
        <w:rPr>
          <w:rStyle w:val="ssrfcpassagedeactivated"/>
        </w:rPr>
        <w:t>”  (</w:t>
      </w:r>
      <w:r w:rsidR="001B344D" w:rsidRPr="009F1AEE">
        <w:rPr>
          <w:rStyle w:val="ssrfcpassagedeactivated"/>
          <w:i/>
        </w:rPr>
        <w:t>Martinez</w:t>
      </w:r>
      <w:r w:rsidR="00991875" w:rsidRPr="009F1AEE">
        <w:rPr>
          <w:rStyle w:val="ssrfcpassagedeactivated"/>
        </w:rPr>
        <w:t xml:space="preserve">, </w:t>
      </w:r>
      <w:r w:rsidR="00991875" w:rsidRPr="009F1AEE">
        <w:rPr>
          <w:rStyle w:val="ssrfcpassagedeactivated"/>
          <w:i/>
        </w:rPr>
        <w:t>supra</w:t>
      </w:r>
      <w:r w:rsidR="00991875" w:rsidRPr="009F1AEE">
        <w:rPr>
          <w:rStyle w:val="ssrfcpassagedeactivated"/>
        </w:rPr>
        <w:t>,</w:t>
      </w:r>
      <w:r w:rsidR="001B344D" w:rsidRPr="009F1AEE">
        <w:rPr>
          <w:rStyle w:val="ssrfcpassagedeactivated"/>
          <w:i/>
        </w:rPr>
        <w:t xml:space="preserve"> </w:t>
      </w:r>
      <w:r w:rsidR="001B344D" w:rsidRPr="009F1AEE">
        <w:rPr>
          <w:rStyle w:val="ssrfcpassagedeactivated"/>
        </w:rPr>
        <w:t xml:space="preserve">57 Cal.4th </w:t>
      </w:r>
      <w:r w:rsidR="00991875" w:rsidRPr="009F1AEE">
        <w:rPr>
          <w:rStyle w:val="ssrfcpassagedeactivated"/>
        </w:rPr>
        <w:t xml:space="preserve">at pp. </w:t>
      </w:r>
      <w:r w:rsidR="00AE5314" w:rsidRPr="009F1AEE">
        <w:rPr>
          <w:rStyle w:val="ssrfcpassagedeactivated"/>
        </w:rPr>
        <w:t xml:space="preserve">562, </w:t>
      </w:r>
      <w:r w:rsidR="001B344D" w:rsidRPr="009F1AEE">
        <w:rPr>
          <w:rStyle w:val="ssrfcpassagedeactivated"/>
        </w:rPr>
        <w:t>563.)</w:t>
      </w:r>
      <w:r w:rsidR="003B1327" w:rsidRPr="009F1AEE">
        <w:rPr>
          <w:rStyle w:val="ssrfcpassagedeactivated"/>
        </w:rPr>
        <w:t xml:space="preserve">  </w:t>
      </w:r>
      <w:r w:rsidR="00171933" w:rsidRPr="009F1AEE">
        <w:rPr>
          <w:rStyle w:val="ssrfcpassagedeactivated"/>
        </w:rPr>
        <w:t>A</w:t>
      </w:r>
      <w:r w:rsidR="003B1327" w:rsidRPr="009F1AEE">
        <w:rPr>
          <w:rStyle w:val="ssrfcpassagedeactivated"/>
        </w:rPr>
        <w:t xml:space="preserve"> decision to reject </w:t>
      </w:r>
      <w:r w:rsidR="00171933" w:rsidRPr="009F1AEE">
        <w:rPr>
          <w:rStyle w:val="ssrfcpassagedeactivated"/>
        </w:rPr>
        <w:t>a</w:t>
      </w:r>
      <w:r w:rsidR="003B1327" w:rsidRPr="009F1AEE">
        <w:rPr>
          <w:rStyle w:val="ssrfcpassagedeactivated"/>
        </w:rPr>
        <w:t xml:space="preserve"> plea bargain, we explained, “might be based either on the desire to go to trial or on the hope or expectation of negotiating a different bargain without immigration</w:t>
      </w:r>
      <w:r w:rsidR="005E44C3" w:rsidRPr="009F1AEE">
        <w:rPr>
          <w:rStyle w:val="ssrfcpassagedeactivated"/>
        </w:rPr>
        <w:t xml:space="preserve"> consequences.”  (</w:t>
      </w:r>
      <w:r w:rsidR="005E44C3" w:rsidRPr="009F1AEE">
        <w:rPr>
          <w:rStyle w:val="ssrfcpassagedeactivated"/>
          <w:i/>
        </w:rPr>
        <w:t>Id</w:t>
      </w:r>
      <w:r w:rsidR="005E44C3" w:rsidRPr="009F1AEE">
        <w:rPr>
          <w:rStyle w:val="ssrfcpassagedeactivated"/>
        </w:rPr>
        <w:t>.</w:t>
      </w:r>
      <w:r w:rsidR="00171933" w:rsidRPr="009F1AEE">
        <w:rPr>
          <w:rStyle w:val="ssrfcpassagedeactivated"/>
        </w:rPr>
        <w:t xml:space="preserve"> at p. 567.</w:t>
      </w:r>
      <w:r w:rsidR="005E44C3" w:rsidRPr="009F1AEE">
        <w:rPr>
          <w:rStyle w:val="ssrfcpassagedeactivated"/>
        </w:rPr>
        <w:t xml:space="preserve">)  </w:t>
      </w:r>
      <w:r w:rsidR="008D4440" w:rsidRPr="009F1AEE">
        <w:rPr>
          <w:rStyle w:val="ssrfcpassagedeactivated"/>
        </w:rPr>
        <w:t xml:space="preserve">When a court weighs whether a defendant would have taken the latter path, it need not </w:t>
      </w:r>
      <w:r w:rsidR="005E44C3" w:rsidRPr="009F1AEE">
        <w:rPr>
          <w:rStyle w:val="ssrfcpassagedeactivated"/>
        </w:rPr>
        <w:t xml:space="preserve">decide </w:t>
      </w:r>
      <w:r w:rsidR="005E44C3" w:rsidRPr="009F1AEE">
        <w:rPr>
          <w:rStyle w:val="ssrfcpassagedeactivated"/>
        </w:rPr>
        <w:lastRenderedPageBreak/>
        <w:t xml:space="preserve">whether the prosecution would actually “have offered a different bargain” — rather, the court should consider “evidence that would have caused </w:t>
      </w:r>
      <w:r w:rsidR="005E44C3" w:rsidRPr="009F1AEE">
        <w:rPr>
          <w:rStyle w:val="ssrfcpassagedeactivated"/>
          <w:i/>
        </w:rPr>
        <w:t>the defendant</w:t>
      </w:r>
      <w:r w:rsidR="005E44C3" w:rsidRPr="009F1AEE">
        <w:rPr>
          <w:rStyle w:val="ssrfcpassagedeactivated"/>
        </w:rPr>
        <w:t xml:space="preserve"> to expect or hope a different bargain would or could have been negotiated.”  (</w:t>
      </w:r>
      <w:r w:rsidR="005E44C3" w:rsidRPr="009F1AEE">
        <w:rPr>
          <w:rStyle w:val="ssrfcpassagedeactivated"/>
          <w:i/>
        </w:rPr>
        <w:t>Ibid</w:t>
      </w:r>
      <w:r w:rsidR="005E44C3" w:rsidRPr="009F1AEE">
        <w:rPr>
          <w:rStyle w:val="ssrfcpassagedeactivated"/>
        </w:rPr>
        <w:t>.</w:t>
      </w:r>
      <w:r w:rsidR="005772DC" w:rsidRPr="009F1AEE">
        <w:rPr>
          <w:rStyle w:val="ssrfcpassagedeactivated"/>
        </w:rPr>
        <w:t>, italics added.</w:t>
      </w:r>
      <w:r w:rsidR="005E44C3" w:rsidRPr="009F1AEE">
        <w:rPr>
          <w:rStyle w:val="ssrfcpassagedeactivated"/>
        </w:rPr>
        <w:t>)</w:t>
      </w:r>
    </w:p>
    <w:p w14:paraId="06AA4408" w14:textId="1585DFBD" w:rsidR="00872455" w:rsidRPr="009F1AEE" w:rsidRDefault="008D4440" w:rsidP="009F1AEE">
      <w:pPr>
        <w:tabs>
          <w:tab w:val="left" w:pos="1440"/>
        </w:tabs>
        <w:ind w:firstLine="720"/>
        <w:rPr>
          <w:rStyle w:val="ssrfcpassagedeactivated"/>
        </w:rPr>
      </w:pPr>
      <w:r w:rsidRPr="009F1AEE">
        <w:rPr>
          <w:rStyle w:val="ssrfcpassagedeactivated"/>
        </w:rPr>
        <w:t xml:space="preserve">We embraced a similar approach when deciding whether a lawyer’s deficient advisement on immigration consequences amounts to prejudicial ineffective assistance of counsel.  </w:t>
      </w:r>
      <w:r w:rsidR="00043105" w:rsidRPr="009F1AEE">
        <w:rPr>
          <w:rStyle w:val="ssrfcpassagedeactivated"/>
        </w:rPr>
        <w:t>A defendant in those circumstances must demonstrate a reasonable probability that, but for counsel’s incompetence, the defendant “</w:t>
      </w:r>
      <w:r w:rsidR="002D71AE">
        <w:rPr>
          <w:rStyle w:val="ssrfcpassagedeactivated"/>
        </w:rPr>
        <w:t> </w:t>
      </w:r>
      <w:r w:rsidR="00043105" w:rsidRPr="009F1AEE">
        <w:rPr>
          <w:rStyle w:val="ssrfcpassagedeactivated"/>
        </w:rPr>
        <w:t>‘would not have pled guilty.’</w:t>
      </w:r>
      <w:r w:rsidR="00C42C1C">
        <w:rPr>
          <w:rStyle w:val="ssrfcpassagedeactivated"/>
        </w:rPr>
        <w:t> </w:t>
      </w:r>
      <w:r w:rsidR="00043105" w:rsidRPr="009F1AEE">
        <w:rPr>
          <w:rStyle w:val="ssrfcpassagedeactivated"/>
        </w:rPr>
        <w:t>”  (</w:t>
      </w:r>
      <w:r w:rsidR="0001287C" w:rsidRPr="009F1AEE">
        <w:rPr>
          <w:rStyle w:val="ssrfcpassagedeactivated"/>
          <w:i/>
        </w:rPr>
        <w:t>People v. Patterson</w:t>
      </w:r>
      <w:r w:rsidR="0001287C" w:rsidRPr="009F1AEE">
        <w:rPr>
          <w:rStyle w:val="ssrfcpassagedeactivated"/>
        </w:rPr>
        <w:t xml:space="preserve"> (20</w:t>
      </w:r>
      <w:r w:rsidR="00043105" w:rsidRPr="009F1AEE">
        <w:rPr>
          <w:rStyle w:val="ssrfcpassagedeactivated"/>
        </w:rPr>
        <w:t>17) 2 Cal.5th 885</w:t>
      </w:r>
      <w:r w:rsidR="00872455" w:rsidRPr="009F1AEE">
        <w:rPr>
          <w:rStyle w:val="ssrfcpassagedeactivated"/>
        </w:rPr>
        <w:t>, 901</w:t>
      </w:r>
      <w:r w:rsidR="00FB2CA8" w:rsidRPr="009F1AEE">
        <w:rPr>
          <w:rStyle w:val="ssrfcpassagedeactivated"/>
        </w:rPr>
        <w:t xml:space="preserve"> (</w:t>
      </w:r>
      <w:r w:rsidR="00FB2CA8" w:rsidRPr="009F1AEE">
        <w:rPr>
          <w:rStyle w:val="ssrfcpassagedeactivated"/>
          <w:i/>
        </w:rPr>
        <w:t>Patterson</w:t>
      </w:r>
      <w:r w:rsidR="00FB2CA8" w:rsidRPr="009F1AEE">
        <w:rPr>
          <w:rStyle w:val="ssrfcpassagedeactivated"/>
        </w:rPr>
        <w:t>)</w:t>
      </w:r>
      <w:r w:rsidR="00872455" w:rsidRPr="009F1AEE">
        <w:rPr>
          <w:rStyle w:val="ssrfcpassagedeactivated"/>
        </w:rPr>
        <w:t xml:space="preserve">, quoting </w:t>
      </w:r>
      <w:proofErr w:type="spellStart"/>
      <w:r w:rsidR="00872455" w:rsidRPr="009F1AEE">
        <w:rPr>
          <w:rStyle w:val="ssrfcpassagedeactivated"/>
          <w:i/>
        </w:rPr>
        <w:t>Resendiz</w:t>
      </w:r>
      <w:proofErr w:type="spellEnd"/>
      <w:r w:rsidR="00872455" w:rsidRPr="009F1AEE">
        <w:rPr>
          <w:rStyle w:val="ssrfcpassagedeactivated"/>
        </w:rPr>
        <w:t xml:space="preserve">, </w:t>
      </w:r>
      <w:r w:rsidR="00872455" w:rsidRPr="009F1AEE">
        <w:rPr>
          <w:rStyle w:val="ssrfcpassagedeactivated"/>
          <w:i/>
        </w:rPr>
        <w:t>supra</w:t>
      </w:r>
      <w:r w:rsidR="00872455" w:rsidRPr="009F1AEE">
        <w:rPr>
          <w:rStyle w:val="ssrfcpassagedeactivated"/>
        </w:rPr>
        <w:t>, 25 Cal.4th at p. 253</w:t>
      </w:r>
      <w:r w:rsidR="00A51B1C">
        <w:rPr>
          <w:rStyle w:val="ssrfcpassagedeactivated"/>
        </w:rPr>
        <w:t xml:space="preserve"> (lead opn. of Werdegar, J.)</w:t>
      </w:r>
      <w:r w:rsidR="00872455" w:rsidRPr="009F1AEE">
        <w:rPr>
          <w:rStyle w:val="ssrfcpassagedeactivated"/>
        </w:rPr>
        <w:t>.</w:t>
      </w:r>
      <w:r w:rsidR="00043105" w:rsidRPr="009F1AEE">
        <w:rPr>
          <w:rStyle w:val="ssrfcpassagedeactivated"/>
        </w:rPr>
        <w:t>)</w:t>
      </w:r>
      <w:r w:rsidR="00A41B0B" w:rsidRPr="009F1AEE">
        <w:rPr>
          <w:rStyle w:val="ssrfcpassagedeactivated"/>
        </w:rPr>
        <w:t xml:space="preserve">  </w:t>
      </w:r>
      <w:r w:rsidR="00171933" w:rsidRPr="009F1AEE">
        <w:rPr>
          <w:rStyle w:val="ssrfcpassagedeactivated"/>
        </w:rPr>
        <w:t>T</w:t>
      </w:r>
      <w:r w:rsidR="00A41B0B" w:rsidRPr="009F1AEE">
        <w:rPr>
          <w:rStyle w:val="ssrfcpassagedeactivated"/>
        </w:rPr>
        <w:t xml:space="preserve">he </w:t>
      </w:r>
      <w:r w:rsidR="00872455" w:rsidRPr="009F1AEE">
        <w:rPr>
          <w:rStyle w:val="ssrfcpassagedeactivated"/>
        </w:rPr>
        <w:t xml:space="preserve">United States </w:t>
      </w:r>
      <w:r w:rsidR="00A41B0B" w:rsidRPr="009F1AEE">
        <w:rPr>
          <w:rStyle w:val="ssrfcpassagedeactivated"/>
        </w:rPr>
        <w:t>Supreme Court</w:t>
      </w:r>
      <w:r w:rsidR="000413E1" w:rsidRPr="009F1AEE">
        <w:rPr>
          <w:rStyle w:val="ssrfcpassagedeactivated"/>
        </w:rPr>
        <w:t>, too,</w:t>
      </w:r>
      <w:r w:rsidR="00171933" w:rsidRPr="009F1AEE">
        <w:rPr>
          <w:rStyle w:val="ssrfcpassagedeactivated"/>
        </w:rPr>
        <w:t xml:space="preserve"> </w:t>
      </w:r>
      <w:r w:rsidR="000413E1" w:rsidRPr="009F1AEE">
        <w:rPr>
          <w:rStyle w:val="ssrfcpassagedeactivated"/>
        </w:rPr>
        <w:t xml:space="preserve">undertakes a </w:t>
      </w:r>
      <w:r w:rsidR="00171933" w:rsidRPr="009F1AEE">
        <w:rPr>
          <w:rStyle w:val="ssrfcpassagedeactivated"/>
        </w:rPr>
        <w:t xml:space="preserve">similar </w:t>
      </w:r>
      <w:r w:rsidR="000413E1" w:rsidRPr="009F1AEE">
        <w:rPr>
          <w:rStyle w:val="ssrfcpassagedeactivated"/>
        </w:rPr>
        <w:t>analysis</w:t>
      </w:r>
      <w:r w:rsidR="00A41B0B" w:rsidRPr="009F1AEE">
        <w:rPr>
          <w:rStyle w:val="ssrfcpassagedeactivated"/>
        </w:rPr>
        <w:t xml:space="preserve">.  In </w:t>
      </w:r>
      <w:r w:rsidR="00A41B0B" w:rsidRPr="009F1AEE">
        <w:rPr>
          <w:rStyle w:val="ssrfcpassagedeactivated"/>
          <w:i/>
        </w:rPr>
        <w:t>Lee</w:t>
      </w:r>
      <w:r w:rsidR="000413E1" w:rsidRPr="009F1AEE">
        <w:rPr>
          <w:rStyle w:val="ssrfcpassagedeactivated"/>
        </w:rPr>
        <w:t xml:space="preserve">, </w:t>
      </w:r>
      <w:r w:rsidR="000413E1" w:rsidRPr="009F1AEE">
        <w:rPr>
          <w:rStyle w:val="ssrfcpassagedeactivated"/>
          <w:i/>
        </w:rPr>
        <w:t>supra</w:t>
      </w:r>
      <w:r w:rsidR="000413E1" w:rsidRPr="009F1AEE">
        <w:rPr>
          <w:rStyle w:val="ssrfcpassagedeactivated"/>
        </w:rPr>
        <w:t>,</w:t>
      </w:r>
      <w:r w:rsidR="000413E1" w:rsidRPr="009F1AEE">
        <w:rPr>
          <w:rStyle w:val="ssrfcpassagedeactivated"/>
          <w:i/>
        </w:rPr>
        <w:t xml:space="preserve"> </w:t>
      </w:r>
      <w:r w:rsidR="00A51B1C">
        <w:rPr>
          <w:rStyle w:val="ssrfcpassagedeactivated"/>
          <w:iCs/>
        </w:rPr>
        <w:t>___ U.S. at page ___ [</w:t>
      </w:r>
      <w:r w:rsidR="00872455" w:rsidRPr="009F1AEE">
        <w:rPr>
          <w:rStyle w:val="ssrfcpassagedeactivated"/>
        </w:rPr>
        <w:t xml:space="preserve">137 </w:t>
      </w:r>
      <w:proofErr w:type="spellStart"/>
      <w:r w:rsidR="00872455" w:rsidRPr="009F1AEE">
        <w:rPr>
          <w:rStyle w:val="ssrfcpassagedeactivated"/>
        </w:rPr>
        <w:t>S.Ct</w:t>
      </w:r>
      <w:proofErr w:type="spellEnd"/>
      <w:r w:rsidR="00872455" w:rsidRPr="009F1AEE">
        <w:rPr>
          <w:rStyle w:val="ssrfcpassagedeactivated"/>
        </w:rPr>
        <w:t xml:space="preserve">. </w:t>
      </w:r>
      <w:r w:rsidR="000413E1" w:rsidRPr="009F1AEE">
        <w:rPr>
          <w:rStyle w:val="ssrfcpassagedeactivated"/>
        </w:rPr>
        <w:t>at page 1</w:t>
      </w:r>
      <w:r w:rsidR="00872455" w:rsidRPr="009F1AEE">
        <w:rPr>
          <w:rStyle w:val="ssrfcpassagedeactivated"/>
        </w:rPr>
        <w:t>967</w:t>
      </w:r>
      <w:r w:rsidR="00A51B1C">
        <w:rPr>
          <w:rStyle w:val="ssrfcpassagedeactivated"/>
        </w:rPr>
        <w:t>]</w:t>
      </w:r>
      <w:r w:rsidR="00872455" w:rsidRPr="009F1AEE">
        <w:rPr>
          <w:rStyle w:val="ssrfcpassagedeactivated"/>
        </w:rPr>
        <w:t xml:space="preserve">, the prejudice prong of the ineffective assistance inquiry turned on whether the defendant had “adequately demonstrated a reasonable probability that he would have rejected the plea had he known </w:t>
      </w:r>
      <w:r w:rsidR="007F6B14" w:rsidRPr="009F1AEE">
        <w:rPr>
          <w:rStyle w:val="ssrfcpassagedeactivated"/>
        </w:rPr>
        <w:t xml:space="preserve">that </w:t>
      </w:r>
      <w:r w:rsidR="00872455" w:rsidRPr="009F1AEE">
        <w:rPr>
          <w:rStyle w:val="ssrfcpassagedeactivated"/>
        </w:rPr>
        <w:t xml:space="preserve">it would lead to mandatory deportation.”  </w:t>
      </w:r>
    </w:p>
    <w:p w14:paraId="4FF4376C" w14:textId="255056C5" w:rsidR="009B6F13" w:rsidRPr="009F1AEE" w:rsidRDefault="008D4440" w:rsidP="009F1AEE">
      <w:pPr>
        <w:tabs>
          <w:tab w:val="left" w:pos="1440"/>
        </w:tabs>
        <w:ind w:firstLine="720"/>
        <w:rPr>
          <w:rStyle w:val="ssrfcpassagedeactivated"/>
        </w:rPr>
      </w:pPr>
      <w:r w:rsidRPr="009F1AEE">
        <w:rPr>
          <w:rStyle w:val="ssrfcpassagedeactivated"/>
        </w:rPr>
        <w:t>Section</w:t>
      </w:r>
      <w:r w:rsidR="00843809" w:rsidRPr="009F1AEE">
        <w:rPr>
          <w:rStyle w:val="ssrfcpassagedeactivated"/>
        </w:rPr>
        <w:t xml:space="preserve"> 1473.7</w:t>
      </w:r>
      <w:r w:rsidR="000413E1" w:rsidRPr="009F1AEE">
        <w:rPr>
          <w:rStyle w:val="ssrfcpassagedeactivated"/>
        </w:rPr>
        <w:t>, subdivision (a)(1)</w:t>
      </w:r>
      <w:r w:rsidRPr="009F1AEE">
        <w:rPr>
          <w:rStyle w:val="ssrfcpassagedeactivated"/>
        </w:rPr>
        <w:t xml:space="preserve"> fits this</w:t>
      </w:r>
      <w:r w:rsidR="00843809" w:rsidRPr="009F1AEE">
        <w:rPr>
          <w:rStyle w:val="ssrfcpassagedeactivated"/>
        </w:rPr>
        <w:t xml:space="preserve"> </w:t>
      </w:r>
      <w:r w:rsidRPr="009F1AEE">
        <w:rPr>
          <w:rStyle w:val="ssrfcpassagedeactivated"/>
        </w:rPr>
        <w:t xml:space="preserve">definition of </w:t>
      </w:r>
      <w:r w:rsidR="00843809" w:rsidRPr="009F1AEE">
        <w:rPr>
          <w:rStyle w:val="ssrfcpassagedeactivated"/>
        </w:rPr>
        <w:t>“prejudicial error</w:t>
      </w:r>
      <w:r w:rsidR="00EA389F" w:rsidRPr="009F1AEE">
        <w:rPr>
          <w:rStyle w:val="ssrfcpassagedeactivated"/>
        </w:rPr>
        <w:t>,</w:t>
      </w:r>
      <w:r w:rsidR="00843809" w:rsidRPr="009F1AEE">
        <w:rPr>
          <w:rStyle w:val="ssrfcpassagedeactivated"/>
        </w:rPr>
        <w:t xml:space="preserve">” </w:t>
      </w:r>
      <w:r w:rsidRPr="009F1AEE">
        <w:rPr>
          <w:rStyle w:val="ssrfcpassagedeactivated"/>
        </w:rPr>
        <w:t xml:space="preserve">and we discern no reasons lurking in its provisions to </w:t>
      </w:r>
      <w:r w:rsidR="007204A5" w:rsidRPr="009F1AEE">
        <w:rPr>
          <w:rStyle w:val="ssrfcpassagedeactivated"/>
        </w:rPr>
        <w:t>concoct</w:t>
      </w:r>
      <w:r w:rsidRPr="009F1AEE">
        <w:rPr>
          <w:rStyle w:val="ssrfcpassagedeactivated"/>
        </w:rPr>
        <w:t xml:space="preserve"> a different one</w:t>
      </w:r>
      <w:r w:rsidR="00843809" w:rsidRPr="009F1AEE">
        <w:rPr>
          <w:rStyle w:val="ssrfcpassagedeactivated"/>
        </w:rPr>
        <w:t xml:space="preserve">.  </w:t>
      </w:r>
      <w:r w:rsidR="004D6887" w:rsidRPr="009F1AEE">
        <w:rPr>
          <w:rStyle w:val="ssrfcpassagedeactivated"/>
        </w:rPr>
        <w:t xml:space="preserve">(See </w:t>
      </w:r>
      <w:r w:rsidR="00353374" w:rsidRPr="009F1AEE">
        <w:rPr>
          <w:rStyle w:val="ssrfcpassagedeactivated"/>
          <w:i/>
        </w:rPr>
        <w:t>Camacho</w:t>
      </w:r>
      <w:r w:rsidR="0068408C" w:rsidRPr="009F1AEE">
        <w:rPr>
          <w:rStyle w:val="ssrfcpassagedeactivated"/>
        </w:rPr>
        <w:t xml:space="preserve">, </w:t>
      </w:r>
      <w:r w:rsidR="0068408C" w:rsidRPr="009F1AEE">
        <w:rPr>
          <w:rStyle w:val="ssrfcpassagedeactivated"/>
          <w:i/>
        </w:rPr>
        <w:t>supra</w:t>
      </w:r>
      <w:r w:rsidR="0068408C" w:rsidRPr="009F1AEE">
        <w:rPr>
          <w:rStyle w:val="ssrfcpassagedeactivated"/>
        </w:rPr>
        <w:t xml:space="preserve">, </w:t>
      </w:r>
      <w:r w:rsidR="00353374" w:rsidRPr="009F1AEE">
        <w:rPr>
          <w:rStyle w:val="ssrfcpassagedeactivated"/>
        </w:rPr>
        <w:t xml:space="preserve">32 Cal.App.5th </w:t>
      </w:r>
      <w:r w:rsidR="0068408C" w:rsidRPr="009F1AEE">
        <w:rPr>
          <w:rStyle w:val="ssrfcpassagedeactivated"/>
        </w:rPr>
        <w:t xml:space="preserve">at p. </w:t>
      </w:r>
      <w:r w:rsidR="00353374" w:rsidRPr="009F1AEE">
        <w:rPr>
          <w:rStyle w:val="ssrfcpassagedeactivated"/>
        </w:rPr>
        <w:t xml:space="preserve">1010.)  </w:t>
      </w:r>
      <w:r w:rsidR="00843809" w:rsidRPr="009F1AEE">
        <w:rPr>
          <w:rStyle w:val="ssrfcpassagedeactivated"/>
        </w:rPr>
        <w:t>Indeed, the current version of the statute acknowledges that prejudicial error “may</w:t>
      </w:r>
      <w:r w:rsidR="00A2573F" w:rsidRPr="009F1AEE">
        <w:rPr>
          <w:rStyle w:val="ssrfcpassagedeactivated"/>
        </w:rPr>
        <w:t>,</w:t>
      </w:r>
      <w:r w:rsidR="00843809" w:rsidRPr="009F1AEE">
        <w:rPr>
          <w:rStyle w:val="ssrfcpassagedeactivated"/>
        </w:rPr>
        <w:t xml:space="preserve"> but need not, include a finding of ineffective assistance of counsel.”  (§ 1473.7, subd. (a)(1).)  The statutory findings for the 2018 amendment also declared that the statute “shall be interpreted in the interests of justice and consistent with the findings and declarations made in Section 1016.2</w:t>
      </w:r>
      <w:r w:rsidR="00C33CB3" w:rsidRPr="009F1AEE">
        <w:rPr>
          <w:rStyle w:val="ssrfcpassagedeactivated"/>
        </w:rPr>
        <w:t xml:space="preserve">” (Stats. 2018, ch. 825, § 1, subd. (c)), which in turn </w:t>
      </w:r>
      <w:r w:rsidR="00DF5F45" w:rsidRPr="009F1AEE">
        <w:rPr>
          <w:rStyle w:val="ssrfcpassagedeactivated"/>
        </w:rPr>
        <w:t>articulate the Legislature’s intended purpose</w:t>
      </w:r>
      <w:r w:rsidR="007204A5" w:rsidRPr="009F1AEE">
        <w:rPr>
          <w:rStyle w:val="ssrfcpassagedeactivated"/>
        </w:rPr>
        <w:t>:</w:t>
      </w:r>
      <w:r w:rsidR="00DF5F45" w:rsidRPr="009F1AEE">
        <w:rPr>
          <w:rStyle w:val="ssrfcpassagedeactivated"/>
        </w:rPr>
        <w:t xml:space="preserve"> </w:t>
      </w:r>
      <w:r w:rsidR="002604E1" w:rsidRPr="009F1AEE">
        <w:rPr>
          <w:rStyle w:val="ssrfcpassagedeactivated"/>
        </w:rPr>
        <w:t xml:space="preserve"> </w:t>
      </w:r>
      <w:r w:rsidR="00DF5F45" w:rsidRPr="009F1AEE">
        <w:rPr>
          <w:rStyle w:val="ssrfcpassagedeactivated"/>
        </w:rPr>
        <w:t xml:space="preserve">to codify Supreme Court “and related California case </w:t>
      </w:r>
      <w:r w:rsidR="00DF5F45" w:rsidRPr="009F1AEE">
        <w:rPr>
          <w:rStyle w:val="ssrfcpassagedeactivated"/>
        </w:rPr>
        <w:lastRenderedPageBreak/>
        <w:t>law and to encourage the growth of such case law in furtherance of justice” (</w:t>
      </w:r>
      <w:r w:rsidR="00A51B1C">
        <w:rPr>
          <w:rStyle w:val="ssrfcpassagedeactivated"/>
        </w:rPr>
        <w:t xml:space="preserve">Pen. Code, </w:t>
      </w:r>
      <w:r w:rsidR="00DF5F45" w:rsidRPr="009F1AEE">
        <w:rPr>
          <w:rStyle w:val="ssrfcpassagedeactivated"/>
        </w:rPr>
        <w:t>§ 1016.2, subd. (h))</w:t>
      </w:r>
      <w:r w:rsidR="00A51B1C">
        <w:rPr>
          <w:rStyle w:val="ssrfcpassagedeactivated"/>
        </w:rPr>
        <w:t>.</w:t>
      </w:r>
      <w:r w:rsidR="00DF5F45" w:rsidRPr="009F1AEE">
        <w:rPr>
          <w:rStyle w:val="ssrfcpassagedeactivated"/>
        </w:rPr>
        <w:t xml:space="preserve"> </w:t>
      </w:r>
    </w:p>
    <w:p w14:paraId="6591DF67" w14:textId="161D7E77" w:rsidR="00B11C24" w:rsidRPr="009F1AEE" w:rsidRDefault="007204A5" w:rsidP="009F1AEE">
      <w:pPr>
        <w:tabs>
          <w:tab w:val="left" w:pos="1440"/>
        </w:tabs>
        <w:ind w:firstLine="720"/>
        <w:rPr>
          <w:rStyle w:val="ssrfcpassagedeactivated"/>
        </w:rPr>
      </w:pPr>
      <w:r w:rsidRPr="009F1AEE">
        <w:rPr>
          <w:rStyle w:val="ssrfcpassagedeactivated"/>
        </w:rPr>
        <w:t>So</w:t>
      </w:r>
      <w:r w:rsidR="00A51B1C">
        <w:rPr>
          <w:rStyle w:val="ssrfcpassagedeactivated"/>
        </w:rPr>
        <w:t>:</w:t>
      </w:r>
      <w:r w:rsidRPr="009F1AEE">
        <w:rPr>
          <w:rStyle w:val="ssrfcpassagedeactivated"/>
        </w:rPr>
        <w:t xml:space="preserve"> </w:t>
      </w:r>
      <w:r w:rsidR="00A51B1C">
        <w:rPr>
          <w:rStyle w:val="ssrfcpassagedeactivated"/>
        </w:rPr>
        <w:t xml:space="preserve"> </w:t>
      </w:r>
      <w:r w:rsidRPr="009F1AEE">
        <w:rPr>
          <w:rStyle w:val="ssrfcpassagedeactivated"/>
        </w:rPr>
        <w:t xml:space="preserve">showing </w:t>
      </w:r>
      <w:r w:rsidR="009B6F13" w:rsidRPr="009F1AEE">
        <w:rPr>
          <w:rStyle w:val="ssrfcpassagedeactivated"/>
        </w:rPr>
        <w:t xml:space="preserve">prejudicial error </w:t>
      </w:r>
      <w:r w:rsidRPr="009F1AEE">
        <w:rPr>
          <w:rStyle w:val="ssrfcpassagedeactivated"/>
        </w:rPr>
        <w:t>under</w:t>
      </w:r>
      <w:r w:rsidR="009B6F13" w:rsidRPr="009F1AEE">
        <w:rPr>
          <w:rStyle w:val="ssrfcpassagedeactivated"/>
        </w:rPr>
        <w:t xml:space="preserve"> section 1473.7</w:t>
      </w:r>
      <w:r w:rsidR="000413E1" w:rsidRPr="009F1AEE">
        <w:rPr>
          <w:rStyle w:val="ssrfcpassagedeactivated"/>
        </w:rPr>
        <w:t>, subdivision (a)(1)</w:t>
      </w:r>
      <w:r w:rsidR="009B6F13" w:rsidRPr="009F1AEE">
        <w:rPr>
          <w:rStyle w:val="ssrfcpassagedeactivated"/>
        </w:rPr>
        <w:t xml:space="preserve"> </w:t>
      </w:r>
      <w:r w:rsidRPr="009F1AEE">
        <w:rPr>
          <w:rStyle w:val="ssrfcpassagedeactivated"/>
        </w:rPr>
        <w:t xml:space="preserve">means demonstrating </w:t>
      </w:r>
      <w:r w:rsidR="009B6F13" w:rsidRPr="009F1AEE">
        <w:rPr>
          <w:rStyle w:val="ssrfcpassagedeactivated"/>
        </w:rPr>
        <w:t>a reasonable probability that</w:t>
      </w:r>
      <w:r w:rsidR="000413E1" w:rsidRPr="009F1AEE">
        <w:rPr>
          <w:rStyle w:val="ssrfcpassagedeactivated"/>
        </w:rPr>
        <w:t xml:space="preserve"> the defendant would have rejected the plea if the defendant had correctly understood </w:t>
      </w:r>
      <w:r w:rsidR="00997912" w:rsidRPr="009F1AEE">
        <w:rPr>
          <w:rStyle w:val="ssrfcpassagedeactivated"/>
        </w:rPr>
        <w:t>its</w:t>
      </w:r>
      <w:r w:rsidR="000413E1" w:rsidRPr="009F1AEE">
        <w:rPr>
          <w:rStyle w:val="ssrfcpassagedeactivated"/>
        </w:rPr>
        <w:t xml:space="preserve"> actual or potential immigration consequences</w:t>
      </w:r>
      <w:r w:rsidR="009B6F13" w:rsidRPr="009F1AEE">
        <w:rPr>
          <w:rStyle w:val="ssrfcpassagedeactivated"/>
        </w:rPr>
        <w:t>.</w:t>
      </w:r>
      <w:r w:rsidR="00F0668E" w:rsidRPr="009F1AEE">
        <w:rPr>
          <w:rStyle w:val="ssrfcpassagedeactivated"/>
        </w:rPr>
        <w:t xml:space="preserve">  </w:t>
      </w:r>
      <w:r w:rsidRPr="009F1AEE">
        <w:rPr>
          <w:rStyle w:val="ssrfcpassagedeactivated"/>
        </w:rPr>
        <w:t xml:space="preserve">When </w:t>
      </w:r>
      <w:r w:rsidR="00121758" w:rsidRPr="009F1AEE">
        <w:rPr>
          <w:rStyle w:val="ssrfcpassagedeactivated"/>
        </w:rPr>
        <w:t xml:space="preserve">courts </w:t>
      </w:r>
      <w:r w:rsidRPr="009F1AEE">
        <w:rPr>
          <w:rStyle w:val="ssrfcpassagedeactivated"/>
        </w:rPr>
        <w:t>assess whether a petitioner</w:t>
      </w:r>
      <w:r w:rsidR="00A51B1C">
        <w:rPr>
          <w:rStyle w:val="ssrfcpassagedeactivated"/>
        </w:rPr>
        <w:t xml:space="preserve"> has</w:t>
      </w:r>
      <w:r w:rsidRPr="009F1AEE">
        <w:rPr>
          <w:rStyle w:val="ssrfcpassagedeactivated"/>
        </w:rPr>
        <w:t xml:space="preserve"> shown that reasonable probability, they </w:t>
      </w:r>
      <w:r w:rsidR="00121758" w:rsidRPr="009F1AEE">
        <w:rPr>
          <w:rStyle w:val="ssrfcpassagedeactivated"/>
        </w:rPr>
        <w:t xml:space="preserve">consider the totality of the circumstances.  </w:t>
      </w:r>
      <w:r w:rsidR="00923040" w:rsidRPr="009F1AEE">
        <w:rPr>
          <w:rStyle w:val="ssrfcpassagedeactivated"/>
        </w:rPr>
        <w:t>(</w:t>
      </w:r>
      <w:r w:rsidR="00923040" w:rsidRPr="009F1AEE">
        <w:rPr>
          <w:rStyle w:val="ssrfcpassagedeactivated"/>
          <w:i/>
        </w:rPr>
        <w:t>Lee</w:t>
      </w:r>
      <w:r w:rsidR="00923040" w:rsidRPr="009F1AEE">
        <w:rPr>
          <w:rStyle w:val="ssrfcpassagedeactivated"/>
        </w:rPr>
        <w:t xml:space="preserve">, </w:t>
      </w:r>
      <w:r w:rsidR="00923040" w:rsidRPr="009F1AEE">
        <w:rPr>
          <w:rStyle w:val="ssrfcpassagedeactivated"/>
          <w:i/>
        </w:rPr>
        <w:t>supra</w:t>
      </w:r>
      <w:r w:rsidR="00923040" w:rsidRPr="009F1AEE">
        <w:rPr>
          <w:rStyle w:val="ssrfcpassagedeactivated"/>
        </w:rPr>
        <w:t xml:space="preserve">, </w:t>
      </w:r>
      <w:r w:rsidR="00A51B1C">
        <w:rPr>
          <w:rStyle w:val="ssrfcpassagedeactivated"/>
        </w:rPr>
        <w:t>___ U.S. at p. ___ [</w:t>
      </w:r>
      <w:r w:rsidR="00923040" w:rsidRPr="009F1AEE">
        <w:rPr>
          <w:rStyle w:val="ssrfcpassagedeactivated"/>
        </w:rPr>
        <w:t xml:space="preserve">137 </w:t>
      </w:r>
      <w:proofErr w:type="spellStart"/>
      <w:r w:rsidR="00923040" w:rsidRPr="009F1AEE">
        <w:rPr>
          <w:rStyle w:val="ssrfcpassagedeactivated"/>
        </w:rPr>
        <w:t>S.Ct</w:t>
      </w:r>
      <w:proofErr w:type="spellEnd"/>
      <w:r w:rsidR="00923040" w:rsidRPr="009F1AEE">
        <w:rPr>
          <w:rStyle w:val="ssrfcpassagedeactivated"/>
        </w:rPr>
        <w:t>. at p. 1966</w:t>
      </w:r>
      <w:r w:rsidR="00A51B1C">
        <w:rPr>
          <w:rStyle w:val="ssrfcpassagedeactivated"/>
        </w:rPr>
        <w:t>]</w:t>
      </w:r>
      <w:r w:rsidR="00923040" w:rsidRPr="009F1AEE">
        <w:rPr>
          <w:rStyle w:val="ssrfcpassagedeactivated"/>
        </w:rPr>
        <w:t xml:space="preserve">.) </w:t>
      </w:r>
      <w:r w:rsidR="00923040" w:rsidRPr="009F1AEE">
        <w:rPr>
          <w:rStyle w:val="ssrfcpassagedeactivated"/>
          <w:i/>
        </w:rPr>
        <w:t xml:space="preserve"> </w:t>
      </w:r>
      <w:r w:rsidRPr="009F1AEE">
        <w:rPr>
          <w:rStyle w:val="ssrfcpassagedeactivated"/>
        </w:rPr>
        <w:t xml:space="preserve">Factors </w:t>
      </w:r>
      <w:r w:rsidR="00F0668E" w:rsidRPr="009F1AEE">
        <w:rPr>
          <w:rStyle w:val="ssrfcpassagedeactivated"/>
        </w:rPr>
        <w:t xml:space="preserve">particularly relevant to this inquiry include </w:t>
      </w:r>
      <w:r w:rsidR="00121758" w:rsidRPr="009F1AEE">
        <w:rPr>
          <w:rStyle w:val="ssrfcpassagedeactivated"/>
        </w:rPr>
        <w:t xml:space="preserve">the defendant’s ties to the United States, the importance the defendant placed on avoiding deportation, the defendant’s priorities in seeking a plea bargain, </w:t>
      </w:r>
      <w:r w:rsidR="006E0658" w:rsidRPr="009F1AEE">
        <w:rPr>
          <w:rStyle w:val="ssrfcpassagedeactivated"/>
        </w:rPr>
        <w:t xml:space="preserve">and whether the defendant had reason to believe an immigration-neutral </w:t>
      </w:r>
      <w:r w:rsidR="00F048AB" w:rsidRPr="009F1AEE">
        <w:rPr>
          <w:rStyle w:val="ssrfcpassagedeactivated"/>
        </w:rPr>
        <w:t>negotiated disposition</w:t>
      </w:r>
      <w:r w:rsidR="006E0658" w:rsidRPr="009F1AEE">
        <w:rPr>
          <w:rStyle w:val="ssrfcpassagedeactivated"/>
        </w:rPr>
        <w:t xml:space="preserve"> was possible.  (See </w:t>
      </w:r>
      <w:r w:rsidR="00923040" w:rsidRPr="009F1AEE">
        <w:rPr>
          <w:rStyle w:val="ssrfcpassagedeactivated"/>
          <w:i/>
        </w:rPr>
        <w:t>id</w:t>
      </w:r>
      <w:r w:rsidR="00923040" w:rsidRPr="009F1AEE">
        <w:rPr>
          <w:rStyle w:val="ssrfcpassagedeactivated"/>
        </w:rPr>
        <w:t xml:space="preserve">. at </w:t>
      </w:r>
      <w:r w:rsidR="00A51B1C">
        <w:rPr>
          <w:rStyle w:val="ssrfcpassagedeactivated"/>
        </w:rPr>
        <w:t xml:space="preserve">p. ___ [137 </w:t>
      </w:r>
      <w:proofErr w:type="spellStart"/>
      <w:r w:rsidR="00A51B1C">
        <w:rPr>
          <w:rStyle w:val="ssrfcpassagedeactivated"/>
        </w:rPr>
        <w:t>S.Ct</w:t>
      </w:r>
      <w:proofErr w:type="spellEnd"/>
      <w:r w:rsidR="00A51B1C">
        <w:rPr>
          <w:rStyle w:val="ssrfcpassagedeactivated"/>
        </w:rPr>
        <w:t xml:space="preserve">. at </w:t>
      </w:r>
      <w:r w:rsidR="00923040" w:rsidRPr="009F1AEE">
        <w:rPr>
          <w:rStyle w:val="ssrfcpassagedeactivated"/>
        </w:rPr>
        <w:t>pp. 1967</w:t>
      </w:r>
      <w:r w:rsidR="002C70B6">
        <w:t>–</w:t>
      </w:r>
      <w:r w:rsidR="00923040" w:rsidRPr="009F1AEE">
        <w:rPr>
          <w:rStyle w:val="ssrfcpassagedeactivated"/>
        </w:rPr>
        <w:t>1969</w:t>
      </w:r>
      <w:r w:rsidR="00A51B1C">
        <w:rPr>
          <w:rStyle w:val="ssrfcpassagedeactivated"/>
        </w:rPr>
        <w:t>]</w:t>
      </w:r>
      <w:r w:rsidR="006E0658" w:rsidRPr="009F1AEE">
        <w:rPr>
          <w:rStyle w:val="ssrfcpassagedeactivated"/>
        </w:rPr>
        <w:t xml:space="preserve">; </w:t>
      </w:r>
      <w:r w:rsidR="006E0658" w:rsidRPr="009F1AEE">
        <w:rPr>
          <w:rStyle w:val="ssrfcpassagedeactivated"/>
          <w:i/>
        </w:rPr>
        <w:t>Martinez</w:t>
      </w:r>
      <w:r w:rsidR="006E0658" w:rsidRPr="009F1AEE">
        <w:rPr>
          <w:rStyle w:val="ssrfcpassagedeactivated"/>
        </w:rPr>
        <w:t xml:space="preserve">, </w:t>
      </w:r>
      <w:r w:rsidR="006E0658" w:rsidRPr="009F1AEE">
        <w:rPr>
          <w:rStyle w:val="ssrfcpassagedeactivated"/>
          <w:i/>
        </w:rPr>
        <w:t>supra</w:t>
      </w:r>
      <w:r w:rsidR="006E0658" w:rsidRPr="009F1AEE">
        <w:rPr>
          <w:rStyle w:val="ssrfcpassagedeactivated"/>
        </w:rPr>
        <w:t xml:space="preserve">, 57 Cal.4th at p. 568.)  </w:t>
      </w:r>
    </w:p>
    <w:p w14:paraId="6E0CC024" w14:textId="2D33C156" w:rsidR="00A554C6" w:rsidRPr="009F1AEE" w:rsidRDefault="00F048AB" w:rsidP="009F1AEE">
      <w:pPr>
        <w:tabs>
          <w:tab w:val="left" w:pos="1440"/>
        </w:tabs>
        <w:ind w:firstLine="720"/>
        <w:rPr>
          <w:rStyle w:val="ssrfcpassagedeactivated"/>
        </w:rPr>
      </w:pPr>
      <w:r w:rsidRPr="009F1AEE">
        <w:rPr>
          <w:rStyle w:val="ssrfcpassagedeactivated"/>
        </w:rPr>
        <w:t>T</w:t>
      </w:r>
      <w:r w:rsidR="009B6F13" w:rsidRPr="009F1AEE">
        <w:rPr>
          <w:rStyle w:val="ssrfcpassagedeactivated"/>
        </w:rPr>
        <w:t xml:space="preserve">he Court of Appeal </w:t>
      </w:r>
      <w:r w:rsidR="003C4D3E" w:rsidRPr="009F1AEE">
        <w:rPr>
          <w:rStyle w:val="ssrfcpassagedeactivated"/>
        </w:rPr>
        <w:t xml:space="preserve">found it </w:t>
      </w:r>
      <w:r w:rsidR="00A35BE4" w:rsidRPr="009F1AEE">
        <w:rPr>
          <w:rStyle w:val="ssrfcpassagedeactivated"/>
        </w:rPr>
        <w:t xml:space="preserve">“not reasonably probable that </w:t>
      </w:r>
      <w:r w:rsidR="003C4D3E" w:rsidRPr="009F1AEE">
        <w:rPr>
          <w:rStyle w:val="ssrfcpassagedeactivated"/>
        </w:rPr>
        <w:t>[</w:t>
      </w:r>
      <w:proofErr w:type="spellStart"/>
      <w:r w:rsidR="003C4D3E" w:rsidRPr="009F1AEE">
        <w:rPr>
          <w:rStyle w:val="ssrfcpassagedeactivated"/>
        </w:rPr>
        <w:t>Vivar</w:t>
      </w:r>
      <w:proofErr w:type="spellEnd"/>
      <w:r w:rsidR="003C4D3E" w:rsidRPr="009F1AEE">
        <w:rPr>
          <w:rStyle w:val="ssrfcpassagedeactivated"/>
        </w:rPr>
        <w:t>]</w:t>
      </w:r>
      <w:r w:rsidR="00A35BE4" w:rsidRPr="009F1AEE">
        <w:rPr>
          <w:rStyle w:val="ssrfcpassagedeactivated"/>
        </w:rPr>
        <w:t xml:space="preserve"> would have rejected the plea but for his counsel’s failure to properly advise him.”  (</w:t>
      </w:r>
      <w:proofErr w:type="spellStart"/>
      <w:r w:rsidR="00A35BE4" w:rsidRPr="009F1AEE">
        <w:rPr>
          <w:rStyle w:val="ssrfcpassagedeactivated"/>
          <w:i/>
        </w:rPr>
        <w:t>Vivar</w:t>
      </w:r>
      <w:proofErr w:type="spellEnd"/>
      <w:r w:rsidR="00A35BE4" w:rsidRPr="009F1AEE">
        <w:rPr>
          <w:rStyle w:val="ssrfcpassagedeactivated"/>
        </w:rPr>
        <w:t xml:space="preserve">, </w:t>
      </w:r>
      <w:r w:rsidR="00A35BE4" w:rsidRPr="009F1AEE">
        <w:rPr>
          <w:rStyle w:val="ssrfcpassagedeactivated"/>
          <w:i/>
        </w:rPr>
        <w:t>supra</w:t>
      </w:r>
      <w:r w:rsidR="00A35BE4" w:rsidRPr="009F1AEE">
        <w:rPr>
          <w:rStyle w:val="ssrfcpassagedeactivated"/>
        </w:rPr>
        <w:t>, 43 Cal.App.5th at p. 229.)</w:t>
      </w:r>
      <w:r w:rsidR="003C4D3E" w:rsidRPr="009F1AEE">
        <w:rPr>
          <w:rStyle w:val="ssrfcpassagedeactivated"/>
        </w:rPr>
        <w:t xml:space="preserve">  </w:t>
      </w:r>
      <w:r w:rsidR="007204A5" w:rsidRPr="009F1AEE">
        <w:rPr>
          <w:rStyle w:val="ssrfcpassagedeactivated"/>
        </w:rPr>
        <w:t>Two premises supported its conclusion:</w:t>
      </w:r>
      <w:r w:rsidR="003C4D3E" w:rsidRPr="009F1AEE">
        <w:rPr>
          <w:rStyle w:val="ssrfcpassagedeactivated"/>
        </w:rPr>
        <w:t xml:space="preserve">  (1) that “no contemporaneous evidence” corroborated </w:t>
      </w:r>
      <w:proofErr w:type="spellStart"/>
      <w:r w:rsidR="003C4D3E" w:rsidRPr="009F1AEE">
        <w:rPr>
          <w:rStyle w:val="ssrfcpassagedeactivated"/>
        </w:rPr>
        <w:t>Vivar’s</w:t>
      </w:r>
      <w:proofErr w:type="spellEnd"/>
      <w:r w:rsidR="003C4D3E" w:rsidRPr="009F1AEE">
        <w:rPr>
          <w:rStyle w:val="ssrfcpassagedeactivated"/>
        </w:rPr>
        <w:t xml:space="preserve"> claim that he wouldn’t have entered the plea had he known the plea </w:t>
      </w:r>
      <w:r w:rsidR="0018709B" w:rsidRPr="009F1AEE">
        <w:rPr>
          <w:rStyle w:val="ssrfcpassagedeactivated"/>
        </w:rPr>
        <w:t>would lead to his deportation</w:t>
      </w:r>
      <w:r w:rsidR="003C4D3E" w:rsidRPr="009F1AEE">
        <w:rPr>
          <w:rStyle w:val="ssrfcpassagedeactivated"/>
        </w:rPr>
        <w:t xml:space="preserve"> (</w:t>
      </w:r>
      <w:r w:rsidR="003C4D3E" w:rsidRPr="009F1AEE">
        <w:rPr>
          <w:rStyle w:val="ssrfcpassagedeactivated"/>
          <w:i/>
        </w:rPr>
        <w:t>id</w:t>
      </w:r>
      <w:r w:rsidR="003C4D3E" w:rsidRPr="009F1AEE">
        <w:rPr>
          <w:rStyle w:val="ssrfcpassagedeactivated"/>
        </w:rPr>
        <w:t xml:space="preserve">. at p. 230), and (2) that </w:t>
      </w:r>
      <w:proofErr w:type="spellStart"/>
      <w:r w:rsidR="003C4D3E" w:rsidRPr="009F1AEE">
        <w:rPr>
          <w:rStyle w:val="ssrfcpassagedeactivated"/>
        </w:rPr>
        <w:t>Vivar</w:t>
      </w:r>
      <w:proofErr w:type="spellEnd"/>
      <w:r w:rsidR="003C4D3E" w:rsidRPr="009F1AEE">
        <w:rPr>
          <w:rStyle w:val="ssrfcpassagedeactivated"/>
        </w:rPr>
        <w:t xml:space="preserve"> “prioritized drug treatment over potential immigration-neutral pleas.”  (</w:t>
      </w:r>
      <w:r w:rsidR="003C4D3E" w:rsidRPr="009F1AEE">
        <w:rPr>
          <w:rStyle w:val="ssrfcpassagedeactivated"/>
          <w:i/>
        </w:rPr>
        <w:t>Id</w:t>
      </w:r>
      <w:r w:rsidR="003C4D3E" w:rsidRPr="009F1AEE">
        <w:rPr>
          <w:rStyle w:val="ssrfcpassagedeactivated"/>
        </w:rPr>
        <w:t xml:space="preserve">. at p. 229.)  Neither premise, though, withstands scrutiny.  </w:t>
      </w:r>
      <w:r w:rsidR="00F34EF5">
        <w:rPr>
          <w:rStyle w:val="ssrfcpassagedeactivated"/>
        </w:rPr>
        <w:t xml:space="preserve">What we </w:t>
      </w:r>
      <w:r w:rsidR="00380461">
        <w:rPr>
          <w:rStyle w:val="ssrfcpassagedeactivated"/>
        </w:rPr>
        <w:t>find, r</w:t>
      </w:r>
      <w:r w:rsidR="00A35BE4" w:rsidRPr="009F1AEE">
        <w:rPr>
          <w:rStyle w:val="ssrfcpassagedeactivated"/>
        </w:rPr>
        <w:t>eviewing th</w:t>
      </w:r>
      <w:r w:rsidR="003C4D3E" w:rsidRPr="009F1AEE">
        <w:rPr>
          <w:rStyle w:val="ssrfcpassagedeactivated"/>
        </w:rPr>
        <w:t xml:space="preserve">e record independently, </w:t>
      </w:r>
      <w:r w:rsidR="00380461">
        <w:rPr>
          <w:rStyle w:val="ssrfcpassagedeactivated"/>
        </w:rPr>
        <w:t>is that</w:t>
      </w:r>
      <w:r w:rsidR="00A35BE4" w:rsidRPr="009F1AEE">
        <w:rPr>
          <w:rStyle w:val="ssrfcpassagedeactivated"/>
        </w:rPr>
        <w:t xml:space="preserve"> </w:t>
      </w:r>
      <w:proofErr w:type="spellStart"/>
      <w:r w:rsidR="00997912" w:rsidRPr="009F1AEE">
        <w:rPr>
          <w:rStyle w:val="ssrfcpassagedeactivated"/>
        </w:rPr>
        <w:t>Vivar</w:t>
      </w:r>
      <w:proofErr w:type="spellEnd"/>
      <w:r w:rsidR="00997912" w:rsidRPr="009F1AEE">
        <w:rPr>
          <w:rStyle w:val="ssrfcpassagedeactivated"/>
        </w:rPr>
        <w:t xml:space="preserve"> was prejudiced</w:t>
      </w:r>
      <w:r w:rsidR="00A35BE4" w:rsidRPr="009F1AEE">
        <w:rPr>
          <w:rStyle w:val="ssrfcpassagedeactivated"/>
        </w:rPr>
        <w:t xml:space="preserve">.  </w:t>
      </w:r>
    </w:p>
    <w:p w14:paraId="707B34BA" w14:textId="3368D457" w:rsidR="004B5899" w:rsidRPr="009F1AEE" w:rsidRDefault="004B5899" w:rsidP="009F1AEE">
      <w:pPr>
        <w:pStyle w:val="Heading1"/>
        <w:rPr>
          <w:rStyle w:val="ssrfcpassagedeactivated"/>
        </w:rPr>
      </w:pPr>
      <w:r w:rsidRPr="009F1AEE">
        <w:rPr>
          <w:rStyle w:val="ssrfcpassagedeactivated"/>
        </w:rPr>
        <w:t>1</w:t>
      </w:r>
    </w:p>
    <w:p w14:paraId="23E99F11" w14:textId="3070894A" w:rsidR="00795C2C" w:rsidRPr="009F1AEE" w:rsidRDefault="007204A5" w:rsidP="009F1AEE">
      <w:pPr>
        <w:tabs>
          <w:tab w:val="left" w:pos="1440"/>
        </w:tabs>
        <w:ind w:firstLine="720"/>
        <w:rPr>
          <w:rStyle w:val="ssrfcpassagedeactivated"/>
        </w:rPr>
      </w:pPr>
      <w:r w:rsidRPr="009F1AEE">
        <w:rPr>
          <w:rStyle w:val="ssrfcpassagedeactivated"/>
        </w:rPr>
        <w:t xml:space="preserve">In a </w:t>
      </w:r>
      <w:r w:rsidR="00476089" w:rsidRPr="009F1AEE">
        <w:rPr>
          <w:rStyle w:val="ssrfcpassagedeactivated"/>
        </w:rPr>
        <w:t>declaration submitted with his section 1473.7 motion</w:t>
      </w:r>
      <w:r w:rsidRPr="009F1AEE">
        <w:rPr>
          <w:rStyle w:val="ssrfcpassagedeactivated"/>
        </w:rPr>
        <w:t xml:space="preserve">, </w:t>
      </w:r>
      <w:proofErr w:type="spellStart"/>
      <w:r w:rsidRPr="009F1AEE">
        <w:rPr>
          <w:rStyle w:val="ssrfcpassagedeactivated"/>
        </w:rPr>
        <w:t>Vivar</w:t>
      </w:r>
      <w:proofErr w:type="spellEnd"/>
      <w:r w:rsidRPr="009F1AEE">
        <w:rPr>
          <w:rStyle w:val="ssrfcpassagedeactivated"/>
        </w:rPr>
        <w:t xml:space="preserve"> claims </w:t>
      </w:r>
      <w:r w:rsidR="00476089" w:rsidRPr="009F1AEE">
        <w:rPr>
          <w:rStyle w:val="ssrfcpassagedeactivated"/>
        </w:rPr>
        <w:t xml:space="preserve">he would never have entered this plea had he </w:t>
      </w:r>
      <w:r w:rsidR="00476089" w:rsidRPr="009F1AEE">
        <w:rPr>
          <w:rStyle w:val="ssrfcpassagedeactivated"/>
        </w:rPr>
        <w:lastRenderedPageBreak/>
        <w:t>understood that it would require his deportation.  But whe</w:t>
      </w:r>
      <w:r w:rsidR="00A32A7B" w:rsidRPr="009F1AEE">
        <w:rPr>
          <w:rStyle w:val="ssrfcpassagedeactivated"/>
        </w:rPr>
        <w:t xml:space="preserve">n a defendant seeks to withdraw a plea based on inadequate advisement of immigration consequences, we have long required </w:t>
      </w:r>
      <w:r w:rsidR="00476089" w:rsidRPr="009F1AEE">
        <w:rPr>
          <w:rStyle w:val="ssrfcpassagedeactivated"/>
        </w:rPr>
        <w:t>the defendant corroborate such assertions with</w:t>
      </w:r>
      <w:r w:rsidR="00A32A7B" w:rsidRPr="009F1AEE">
        <w:rPr>
          <w:rStyle w:val="ssrfcpassagedeactivated"/>
        </w:rPr>
        <w:t xml:space="preserve"> “</w:t>
      </w:r>
      <w:r w:rsidR="002D71AE">
        <w:rPr>
          <w:rStyle w:val="ssrfcpassagedeactivated"/>
        </w:rPr>
        <w:t> </w:t>
      </w:r>
      <w:r w:rsidR="00A32A7B" w:rsidRPr="009F1AEE">
        <w:rPr>
          <w:rStyle w:val="ssrfcpassagedeactivated"/>
        </w:rPr>
        <w:t>‘objective evidence.’</w:t>
      </w:r>
      <w:r w:rsidR="00C42C1C">
        <w:rPr>
          <w:rStyle w:val="ssrfcpassagedeactivated"/>
        </w:rPr>
        <w:t> </w:t>
      </w:r>
      <w:r w:rsidR="00A32A7B" w:rsidRPr="009F1AEE">
        <w:rPr>
          <w:rStyle w:val="ssrfcpassagedeactivated"/>
        </w:rPr>
        <w:t>”  (</w:t>
      </w:r>
      <w:proofErr w:type="spellStart"/>
      <w:r w:rsidR="00A32A7B" w:rsidRPr="009F1AEE">
        <w:rPr>
          <w:rStyle w:val="ssrfcpassagedeactivated"/>
          <w:i/>
        </w:rPr>
        <w:t>Resendiz</w:t>
      </w:r>
      <w:proofErr w:type="spellEnd"/>
      <w:r w:rsidR="00A32A7B" w:rsidRPr="009F1AEE">
        <w:rPr>
          <w:rStyle w:val="ssrfcpassagedeactivated"/>
        </w:rPr>
        <w:t xml:space="preserve">, </w:t>
      </w:r>
      <w:r w:rsidR="00A32A7B" w:rsidRPr="009F1AEE">
        <w:rPr>
          <w:rStyle w:val="ssrfcpassagedeactivated"/>
          <w:i/>
        </w:rPr>
        <w:t>supra</w:t>
      </w:r>
      <w:r w:rsidR="00A32A7B" w:rsidRPr="009F1AEE">
        <w:rPr>
          <w:rStyle w:val="ssrfcpassagedeactivated"/>
        </w:rPr>
        <w:t>, 25 Cal.4th at p. 253</w:t>
      </w:r>
      <w:r w:rsidR="00A51B1C">
        <w:rPr>
          <w:rStyle w:val="ssrfcpassagedeactivated"/>
        </w:rPr>
        <w:t xml:space="preserve"> (lead opn. of Werdegar, J.)</w:t>
      </w:r>
      <w:r w:rsidR="00A32A7B" w:rsidRPr="009F1AEE">
        <w:rPr>
          <w:rStyle w:val="ssrfcpassagedeactivated"/>
        </w:rPr>
        <w:t xml:space="preserve">.)  </w:t>
      </w:r>
      <w:r w:rsidRPr="009F1AEE">
        <w:rPr>
          <w:rStyle w:val="ssrfcpassagedeactivated"/>
        </w:rPr>
        <w:t xml:space="preserve">That’s what </w:t>
      </w:r>
      <w:proofErr w:type="spellStart"/>
      <w:r w:rsidR="00F37AA3" w:rsidRPr="009F1AEE">
        <w:rPr>
          <w:rStyle w:val="ssrfcpassagedeactivated"/>
        </w:rPr>
        <w:t>Vivar</w:t>
      </w:r>
      <w:proofErr w:type="spellEnd"/>
      <w:r w:rsidR="00A51B1C">
        <w:rPr>
          <w:rStyle w:val="ssrfcpassagedeactivated"/>
        </w:rPr>
        <w:t xml:space="preserve"> has</w:t>
      </w:r>
      <w:r w:rsidR="00F37AA3" w:rsidRPr="009F1AEE">
        <w:rPr>
          <w:rStyle w:val="ssrfcpassagedeactivated"/>
        </w:rPr>
        <w:t xml:space="preserve"> done here.  </w:t>
      </w:r>
      <w:r w:rsidRPr="009F1AEE">
        <w:rPr>
          <w:rStyle w:val="ssrfcpassagedeactivated"/>
        </w:rPr>
        <w:t xml:space="preserve">Time and again, the record readily conveys how </w:t>
      </w:r>
      <w:proofErr w:type="spellStart"/>
      <w:r w:rsidR="00F37AA3" w:rsidRPr="009F1AEE">
        <w:rPr>
          <w:rStyle w:val="ssrfcpassagedeactivated"/>
        </w:rPr>
        <w:t>Vivar</w:t>
      </w:r>
      <w:proofErr w:type="spellEnd"/>
      <w:r w:rsidR="00F37AA3" w:rsidRPr="009F1AEE">
        <w:rPr>
          <w:rStyle w:val="ssrfcpassagedeactivated"/>
        </w:rPr>
        <w:t xml:space="preserve"> would have </w:t>
      </w:r>
      <w:r w:rsidR="00BF71C6" w:rsidRPr="009F1AEE">
        <w:rPr>
          <w:rStyle w:val="ssrfcpassagedeactivated"/>
        </w:rPr>
        <w:t>considered his immigration status “the most important part” of his decision to plead.  (</w:t>
      </w:r>
      <w:r w:rsidR="00BF71C6" w:rsidRPr="009F1AEE">
        <w:rPr>
          <w:rStyle w:val="ssrfcpassagedeactivated"/>
          <w:i/>
        </w:rPr>
        <w:t>Padilla</w:t>
      </w:r>
      <w:r w:rsidR="00BF71C6" w:rsidRPr="009F1AEE">
        <w:rPr>
          <w:rStyle w:val="ssrfcpassagedeactivated"/>
        </w:rPr>
        <w:t xml:space="preserve">, </w:t>
      </w:r>
      <w:r w:rsidR="00BF71C6" w:rsidRPr="009F1AEE">
        <w:rPr>
          <w:rStyle w:val="ssrfcpassagedeactivated"/>
          <w:i/>
        </w:rPr>
        <w:t>supra</w:t>
      </w:r>
      <w:r w:rsidR="00BF71C6" w:rsidRPr="009F1AEE">
        <w:rPr>
          <w:rStyle w:val="ssrfcpassagedeactivated"/>
        </w:rPr>
        <w:t xml:space="preserve">, 559 U.S. at p. 364.)  </w:t>
      </w:r>
      <w:proofErr w:type="spellStart"/>
      <w:r w:rsidR="00BF71C6" w:rsidRPr="009F1AEE">
        <w:rPr>
          <w:rStyle w:val="ssrfcpassagedeactivated"/>
        </w:rPr>
        <w:t>Vivar</w:t>
      </w:r>
      <w:proofErr w:type="spellEnd"/>
      <w:r w:rsidR="00BF71C6" w:rsidRPr="009F1AEE">
        <w:rPr>
          <w:rStyle w:val="ssrfcpassagedeactivated"/>
        </w:rPr>
        <w:t xml:space="preserve"> was brought to this country at age six as a lawful resident</w:t>
      </w:r>
      <w:r w:rsidR="00134A0F" w:rsidRPr="009F1AEE">
        <w:rPr>
          <w:rStyle w:val="ssrfcpassagedeactivated"/>
        </w:rPr>
        <w:t>,</w:t>
      </w:r>
      <w:r w:rsidR="00BF71C6" w:rsidRPr="009F1AEE">
        <w:rPr>
          <w:rStyle w:val="ssrfcpassagedeactivated"/>
        </w:rPr>
        <w:t xml:space="preserve"> </w:t>
      </w:r>
      <w:r w:rsidR="00747194" w:rsidRPr="009F1AEE">
        <w:rPr>
          <w:rStyle w:val="ssrfcpassagedeactivated"/>
        </w:rPr>
        <w:t xml:space="preserve">and </w:t>
      </w:r>
      <w:r w:rsidR="00134A0F" w:rsidRPr="009F1AEE">
        <w:rPr>
          <w:rStyle w:val="ssrfcpassagedeactivated"/>
        </w:rPr>
        <w:t>he attended schools, formed a family, and remained here for 40 years</w:t>
      </w:r>
      <w:r w:rsidR="00747194" w:rsidRPr="009F1AEE">
        <w:rPr>
          <w:rStyle w:val="ssrfcpassagedeactivated"/>
        </w:rPr>
        <w:t>.  At the time of his plea, he had two children, two grandchildren, and a wife</w:t>
      </w:r>
      <w:r w:rsidR="00C32344" w:rsidRPr="009F1AEE">
        <w:rPr>
          <w:rStyle w:val="ssrfcpassagedeactivated"/>
        </w:rPr>
        <w:t xml:space="preserve">, all of whom </w:t>
      </w:r>
      <w:r w:rsidR="00750149" w:rsidRPr="009F1AEE">
        <w:rPr>
          <w:rStyle w:val="ssrfcpassagedeactivated"/>
        </w:rPr>
        <w:t>are</w:t>
      </w:r>
      <w:r w:rsidR="00C32344" w:rsidRPr="009F1AEE">
        <w:rPr>
          <w:rStyle w:val="ssrfcpassagedeactivated"/>
        </w:rPr>
        <w:t xml:space="preserve"> citizens and all of whom reside</w:t>
      </w:r>
      <w:r w:rsidR="005F595D" w:rsidRPr="009F1AEE">
        <w:rPr>
          <w:rStyle w:val="ssrfcpassagedeactivated"/>
        </w:rPr>
        <w:t>d</w:t>
      </w:r>
      <w:r w:rsidR="00C32344" w:rsidRPr="009F1AEE">
        <w:rPr>
          <w:rStyle w:val="ssrfcpassagedeactivated"/>
        </w:rPr>
        <w:t xml:space="preserve"> in California.  </w:t>
      </w:r>
      <w:r w:rsidR="00400E5D" w:rsidRPr="009F1AEE">
        <w:rPr>
          <w:rStyle w:val="ssrfcpassagedeactivated"/>
        </w:rPr>
        <w:t xml:space="preserve">By the time he was deported, his wife was undergoing radiation treatment for a thyroid condition.  </w:t>
      </w:r>
      <w:r w:rsidR="00747194" w:rsidRPr="009F1AEE">
        <w:rPr>
          <w:rStyle w:val="ssrfcpassagedeactivated"/>
        </w:rPr>
        <w:t xml:space="preserve">By contrast, </w:t>
      </w:r>
      <w:proofErr w:type="spellStart"/>
      <w:r w:rsidR="00747194" w:rsidRPr="009F1AEE">
        <w:rPr>
          <w:rStyle w:val="ssrfcpassagedeactivated"/>
        </w:rPr>
        <w:t>Vivar</w:t>
      </w:r>
      <w:proofErr w:type="spellEnd"/>
      <w:r w:rsidR="00747194" w:rsidRPr="009F1AEE">
        <w:rPr>
          <w:rStyle w:val="ssrfcpassagedeactivated"/>
        </w:rPr>
        <w:t xml:space="preserve"> had virtually no ties to Mexico</w:t>
      </w:r>
      <w:r w:rsidR="004B5899" w:rsidRPr="009F1AEE">
        <w:rPr>
          <w:rStyle w:val="ssrfcpassagedeactivated"/>
        </w:rPr>
        <w:t>, sp</w:t>
      </w:r>
      <w:r w:rsidR="00134A0F" w:rsidRPr="009F1AEE">
        <w:rPr>
          <w:rStyle w:val="ssrfcpassagedeactivated"/>
        </w:rPr>
        <w:t>oke</w:t>
      </w:r>
      <w:r w:rsidR="004B5899" w:rsidRPr="009F1AEE">
        <w:rPr>
          <w:rStyle w:val="ssrfcpassagedeactivated"/>
        </w:rPr>
        <w:t xml:space="preserve"> Spanish “like an American,” and </w:t>
      </w:r>
      <w:r w:rsidR="00C3429D" w:rsidRPr="009F1AEE">
        <w:rPr>
          <w:rStyle w:val="ssrfcpassagedeactivated"/>
        </w:rPr>
        <w:t>f</w:t>
      </w:r>
      <w:r w:rsidR="005F595D" w:rsidRPr="009F1AEE">
        <w:rPr>
          <w:rStyle w:val="ssrfcpassagedeactivated"/>
        </w:rPr>
        <w:t>ound</w:t>
      </w:r>
      <w:r w:rsidR="00C3429D" w:rsidRPr="009F1AEE">
        <w:rPr>
          <w:rStyle w:val="ssrfcpassagedeactivated"/>
        </w:rPr>
        <w:t xml:space="preserve"> it “difficult to function in Mexican society because people treat [him] like an outsider.”  </w:t>
      </w:r>
      <w:r w:rsidR="0087387F" w:rsidRPr="009F1AEE">
        <w:rPr>
          <w:rStyle w:val="ssrfcpassagedeactivated"/>
        </w:rPr>
        <w:t xml:space="preserve">Trial counsel’s </w:t>
      </w:r>
      <w:r w:rsidR="00400E5D" w:rsidRPr="009F1AEE">
        <w:rPr>
          <w:rStyle w:val="ssrfcpassagedeactivated"/>
        </w:rPr>
        <w:t xml:space="preserve">recollection and </w:t>
      </w:r>
      <w:r w:rsidR="0087387F" w:rsidRPr="009F1AEE">
        <w:rPr>
          <w:rStyle w:val="ssrfcpassagedeactivated"/>
        </w:rPr>
        <w:t xml:space="preserve">contemporaneous notes reflect that </w:t>
      </w:r>
      <w:proofErr w:type="spellStart"/>
      <w:r w:rsidR="0087387F" w:rsidRPr="009F1AEE">
        <w:rPr>
          <w:rStyle w:val="ssrfcpassagedeactivated"/>
        </w:rPr>
        <w:t>Vivar</w:t>
      </w:r>
      <w:proofErr w:type="spellEnd"/>
      <w:r w:rsidR="0087387F" w:rsidRPr="009F1AEE">
        <w:rPr>
          <w:rStyle w:val="ssrfcpassagedeactivated"/>
        </w:rPr>
        <w:t xml:space="preserve"> was indeed concerned about the “consequences” of </w:t>
      </w:r>
      <w:r w:rsidR="00E37EDF" w:rsidRPr="009F1AEE">
        <w:rPr>
          <w:rStyle w:val="ssrfcpassagedeactivated"/>
        </w:rPr>
        <w:t>his</w:t>
      </w:r>
      <w:r w:rsidR="0087387F" w:rsidRPr="009F1AEE">
        <w:rPr>
          <w:rStyle w:val="ssrfcpassagedeactivated"/>
        </w:rPr>
        <w:t xml:space="preserve"> plea.  </w:t>
      </w:r>
      <w:r w:rsidR="0008254E" w:rsidRPr="009F1AEE">
        <w:rPr>
          <w:rStyle w:val="ssrfcpassagedeactivated"/>
        </w:rPr>
        <w:t xml:space="preserve">All of these constitute </w:t>
      </w:r>
      <w:r w:rsidR="00692451" w:rsidRPr="009F1AEE">
        <w:rPr>
          <w:rStyle w:val="ssrfcpassagedeactivated"/>
        </w:rPr>
        <w:t xml:space="preserve">contemporaneous objective facts that corroborate </w:t>
      </w:r>
      <w:proofErr w:type="spellStart"/>
      <w:r w:rsidR="00692451" w:rsidRPr="009F1AEE">
        <w:rPr>
          <w:rStyle w:val="ssrfcpassagedeactivated"/>
        </w:rPr>
        <w:t>Vivar’s</w:t>
      </w:r>
      <w:proofErr w:type="spellEnd"/>
      <w:r w:rsidR="00692451" w:rsidRPr="009F1AEE">
        <w:rPr>
          <w:rStyle w:val="ssrfcpassagedeactivated"/>
        </w:rPr>
        <w:t xml:space="preserve"> concern about the immigration consequences of his plea options.  (See </w:t>
      </w:r>
      <w:r w:rsidR="004C206C" w:rsidRPr="009F1AEE">
        <w:rPr>
          <w:rStyle w:val="ssrfcpassagedeactivated"/>
          <w:i/>
        </w:rPr>
        <w:t xml:space="preserve">People v. Mejia </w:t>
      </w:r>
      <w:r w:rsidR="004C206C" w:rsidRPr="009F1AEE">
        <w:rPr>
          <w:rStyle w:val="ssrfcpassagedeactivated"/>
        </w:rPr>
        <w:t xml:space="preserve">(2019) 36 Cal.App.5th </w:t>
      </w:r>
      <w:r w:rsidR="00D049AB" w:rsidRPr="009F1AEE">
        <w:rPr>
          <w:rStyle w:val="ssrfcpassagedeactivated"/>
        </w:rPr>
        <w:t>859, 872</w:t>
      </w:r>
      <w:r w:rsidR="00692451" w:rsidRPr="009F1AEE">
        <w:rPr>
          <w:rStyle w:val="ssrfcpassagedeactivated"/>
        </w:rPr>
        <w:t xml:space="preserve">.)  </w:t>
      </w:r>
    </w:p>
    <w:p w14:paraId="206E06E6" w14:textId="32552AE4" w:rsidR="0034313D" w:rsidRPr="009F1AEE" w:rsidRDefault="007233E5" w:rsidP="009F1AEE">
      <w:pPr>
        <w:tabs>
          <w:tab w:val="left" w:pos="1440"/>
        </w:tabs>
        <w:ind w:firstLine="720"/>
        <w:rPr>
          <w:rStyle w:val="ssrfcpassagedeactivated"/>
        </w:rPr>
      </w:pPr>
      <w:r w:rsidRPr="009F1AEE">
        <w:rPr>
          <w:rStyle w:val="ssrfcpassagedeactivated"/>
        </w:rPr>
        <w:t>Also revealing is</w:t>
      </w:r>
      <w:r w:rsidR="00E63C61" w:rsidRPr="009F1AEE">
        <w:rPr>
          <w:rStyle w:val="ssrfcpassagedeactivated"/>
        </w:rPr>
        <w:t xml:space="preserve"> the objective evidence of </w:t>
      </w:r>
      <w:proofErr w:type="spellStart"/>
      <w:r w:rsidR="00E63C61" w:rsidRPr="009F1AEE">
        <w:rPr>
          <w:rStyle w:val="ssrfcpassagedeactivated"/>
        </w:rPr>
        <w:t>Vivar’s</w:t>
      </w:r>
      <w:proofErr w:type="spellEnd"/>
      <w:r w:rsidR="00E63C61" w:rsidRPr="009F1AEE">
        <w:rPr>
          <w:rStyle w:val="ssrfcpassagedeactivated"/>
        </w:rPr>
        <w:t xml:space="preserve"> state of mind</w:t>
      </w:r>
      <w:r w:rsidRPr="009F1AEE">
        <w:rPr>
          <w:rStyle w:val="ssrfcpassagedeactivated"/>
        </w:rPr>
        <w:t xml:space="preserve"> </w:t>
      </w:r>
      <w:r w:rsidR="00730AE7" w:rsidRPr="009F1AEE">
        <w:rPr>
          <w:rStyle w:val="ssrfcpassagedeactivated"/>
        </w:rPr>
        <w:t xml:space="preserve">reflected in </w:t>
      </w:r>
      <w:r w:rsidR="0034313D" w:rsidRPr="009F1AEE">
        <w:rPr>
          <w:rStyle w:val="ssrfcpassagedeactivated"/>
        </w:rPr>
        <w:t xml:space="preserve">uncounseled </w:t>
      </w:r>
      <w:r w:rsidR="00E63C61" w:rsidRPr="009F1AEE">
        <w:rPr>
          <w:rStyle w:val="ssrfcpassagedeactivated"/>
        </w:rPr>
        <w:t xml:space="preserve">letters </w:t>
      </w:r>
      <w:r w:rsidR="000E0B44" w:rsidRPr="009F1AEE">
        <w:rPr>
          <w:rStyle w:val="ssrfcpassagedeactivated"/>
        </w:rPr>
        <w:t xml:space="preserve">he wrote to the </w:t>
      </w:r>
      <w:r w:rsidR="00E63C61" w:rsidRPr="009F1AEE">
        <w:rPr>
          <w:rStyle w:val="ssrfcpassagedeactivated"/>
        </w:rPr>
        <w:t xml:space="preserve">court </w:t>
      </w:r>
      <w:r w:rsidR="00910BE5" w:rsidRPr="009F1AEE">
        <w:rPr>
          <w:rStyle w:val="ssrfcpassagedeactivated"/>
        </w:rPr>
        <w:t>at or near the time of his plea</w:t>
      </w:r>
      <w:r w:rsidR="00E63C61" w:rsidRPr="009F1AEE">
        <w:rPr>
          <w:rStyle w:val="ssrfcpassagedeactivated"/>
        </w:rPr>
        <w:t>.</w:t>
      </w:r>
      <w:r w:rsidR="006E493C" w:rsidRPr="009F1AEE">
        <w:rPr>
          <w:rStyle w:val="ssrfcpassagedeactivated"/>
        </w:rPr>
        <w:t xml:space="preserve">  In his first letter, written just a month after his </w:t>
      </w:r>
      <w:r w:rsidR="0034313D" w:rsidRPr="009F1AEE">
        <w:rPr>
          <w:rStyle w:val="ssrfcpassagedeactivated"/>
        </w:rPr>
        <w:t xml:space="preserve">March 2002 </w:t>
      </w:r>
      <w:r w:rsidR="006E493C" w:rsidRPr="009F1AEE">
        <w:rPr>
          <w:rStyle w:val="ssrfcpassagedeactivated"/>
        </w:rPr>
        <w:t>plea,</w:t>
      </w:r>
      <w:r w:rsidR="00910BE5" w:rsidRPr="009F1AEE">
        <w:rPr>
          <w:rStyle w:val="ssrfcpassagedeactivated"/>
        </w:rPr>
        <w:t xml:space="preserve"> </w:t>
      </w:r>
      <w:proofErr w:type="spellStart"/>
      <w:r w:rsidR="006E493C" w:rsidRPr="009F1AEE">
        <w:rPr>
          <w:rStyle w:val="ssrfcpassagedeactivated"/>
        </w:rPr>
        <w:t>Vivar</w:t>
      </w:r>
      <w:proofErr w:type="spellEnd"/>
      <w:r w:rsidR="006E493C" w:rsidRPr="009F1AEE">
        <w:rPr>
          <w:rStyle w:val="ssrfcpassagedeactivated"/>
        </w:rPr>
        <w:t xml:space="preserve"> objected to </w:t>
      </w:r>
      <w:r w:rsidR="007F65E2" w:rsidRPr="009F1AEE">
        <w:rPr>
          <w:rStyle w:val="ssrfcpassagedeactivated"/>
        </w:rPr>
        <w:t xml:space="preserve">his immigration hold and emphasized that </w:t>
      </w:r>
      <w:r w:rsidR="00E37EDF" w:rsidRPr="009F1AEE">
        <w:rPr>
          <w:rStyle w:val="ssrfcpassagedeactivated"/>
        </w:rPr>
        <w:t xml:space="preserve">“I am </w:t>
      </w:r>
      <w:r w:rsidR="007F65E2" w:rsidRPr="009F1AEE">
        <w:rPr>
          <w:rStyle w:val="ssrfcpassagedeactivated"/>
        </w:rPr>
        <w:t xml:space="preserve">a legal resident and have been for the past 40 years”; noted that not only his wife and mother are citizens, but his children and grandchildren were all “born </w:t>
      </w:r>
      <w:r w:rsidR="007F65E2" w:rsidRPr="009F1AEE">
        <w:rPr>
          <w:rStyle w:val="ssrfcpassagedeactivated"/>
        </w:rPr>
        <w:lastRenderedPageBreak/>
        <w:t>here in Riverside County”; and explained that his oldest child and only son was serving in the U</w:t>
      </w:r>
      <w:r w:rsidR="00A51B1C">
        <w:rPr>
          <w:rStyle w:val="ssrfcpassagedeactivated"/>
        </w:rPr>
        <w:t>nited States</w:t>
      </w:r>
      <w:r w:rsidR="007F65E2" w:rsidRPr="009F1AEE">
        <w:rPr>
          <w:rStyle w:val="ssrfcpassagedeactivated"/>
        </w:rPr>
        <w:t xml:space="preserve"> Air Force and awaiting deployment to the Middle East.  He reiterated these concerns </w:t>
      </w:r>
      <w:r w:rsidR="004F61A7" w:rsidRPr="009F1AEE">
        <w:rPr>
          <w:rStyle w:val="ssrfcpassagedeactivated"/>
        </w:rPr>
        <w:t xml:space="preserve">in another letter </w:t>
      </w:r>
      <w:r w:rsidR="00A60191" w:rsidRPr="009F1AEE">
        <w:rPr>
          <w:rStyle w:val="ssrfcpassagedeactivated"/>
        </w:rPr>
        <w:t xml:space="preserve">from federal immigration custody </w:t>
      </w:r>
      <w:r w:rsidR="007F65E2" w:rsidRPr="009F1AEE">
        <w:rPr>
          <w:rStyle w:val="ssrfcpassagedeactivated"/>
        </w:rPr>
        <w:t>a month later</w:t>
      </w:r>
      <w:r w:rsidR="00E27FDC" w:rsidRPr="009F1AEE">
        <w:rPr>
          <w:rStyle w:val="ssrfcpassagedeactivated"/>
        </w:rPr>
        <w:t>, pleading that he be allowed to become “an asset to my community and not a liability.”</w:t>
      </w:r>
      <w:r w:rsidR="007F65E2" w:rsidRPr="009F1AEE">
        <w:rPr>
          <w:rStyle w:val="ssrfcpassagedeactivated"/>
        </w:rPr>
        <w:t xml:space="preserve">  </w:t>
      </w:r>
      <w:r w:rsidR="0034313D" w:rsidRPr="009F1AEE">
        <w:rPr>
          <w:rStyle w:val="ssrfcpassagedeactivated"/>
        </w:rPr>
        <w:t xml:space="preserve">Three months after that, </w:t>
      </w:r>
      <w:proofErr w:type="spellStart"/>
      <w:r w:rsidR="0034313D" w:rsidRPr="009F1AEE">
        <w:rPr>
          <w:rStyle w:val="ssrfcpassagedeactivated"/>
        </w:rPr>
        <w:t>Vivar</w:t>
      </w:r>
      <w:proofErr w:type="spellEnd"/>
      <w:r w:rsidR="0034313D" w:rsidRPr="009F1AEE">
        <w:rPr>
          <w:rStyle w:val="ssrfcpassagedeactivated"/>
        </w:rPr>
        <w:t xml:space="preserve"> said that counsel never advised him </w:t>
      </w:r>
      <w:r w:rsidR="00A51B1C">
        <w:rPr>
          <w:rStyle w:val="ssrfcpassagedeactivated"/>
        </w:rPr>
        <w:t xml:space="preserve">that </w:t>
      </w:r>
      <w:r w:rsidR="0034313D" w:rsidRPr="009F1AEE">
        <w:rPr>
          <w:rStyle w:val="ssrfcpassagedeactivated"/>
        </w:rPr>
        <w:t>his plea would result in his deportation and declared that “</w:t>
      </w:r>
      <w:r w:rsidR="00A51B1C">
        <w:rPr>
          <w:rStyle w:val="ssrfcpassagedeactivated"/>
        </w:rPr>
        <w:t>[</w:t>
      </w:r>
      <w:proofErr w:type="spellStart"/>
      <w:r w:rsidR="00A51B1C">
        <w:rPr>
          <w:rStyle w:val="ssrfcpassagedeactivated"/>
        </w:rPr>
        <w:t>i</w:t>
      </w:r>
      <w:proofErr w:type="spellEnd"/>
      <w:r w:rsidR="00A51B1C">
        <w:rPr>
          <w:rStyle w:val="ssrfcpassagedeactivated"/>
        </w:rPr>
        <w:t>]</w:t>
      </w:r>
      <w:r w:rsidR="0034313D" w:rsidRPr="009F1AEE">
        <w:rPr>
          <w:rStyle w:val="ssrfcpassagedeactivated"/>
        </w:rPr>
        <w:t>f I would have been made aware of these facts I would have never plead</w:t>
      </w:r>
      <w:r w:rsidR="002604E1" w:rsidRPr="009F1AEE">
        <w:rPr>
          <w:rStyle w:val="ssrfcpassagedeactivated"/>
        </w:rPr>
        <w:t>[ed]</w:t>
      </w:r>
      <w:r w:rsidR="0034313D" w:rsidRPr="009F1AEE">
        <w:rPr>
          <w:rStyle w:val="ssrfcpassagedeactivated"/>
        </w:rPr>
        <w:t xml:space="preserve"> Guilty to this Charge.”    </w:t>
      </w:r>
    </w:p>
    <w:p w14:paraId="53A85A06" w14:textId="5338D3AA" w:rsidR="00C3429D" w:rsidRPr="009F1AEE" w:rsidRDefault="0034313D" w:rsidP="009F1AEE">
      <w:pPr>
        <w:tabs>
          <w:tab w:val="left" w:pos="1440"/>
        </w:tabs>
        <w:ind w:firstLine="720"/>
        <w:rPr>
          <w:rStyle w:val="ssrfcpassagedeactivated"/>
        </w:rPr>
      </w:pPr>
      <w:r w:rsidRPr="009F1AEE">
        <w:rPr>
          <w:rStyle w:val="ssrfcpassagedeactivated"/>
        </w:rPr>
        <w:t xml:space="preserve">The Court of Appeal </w:t>
      </w:r>
      <w:r w:rsidR="007233E5" w:rsidRPr="009F1AEE">
        <w:rPr>
          <w:rStyle w:val="ssrfcpassagedeactivated"/>
        </w:rPr>
        <w:t>neglected to explain</w:t>
      </w:r>
      <w:r w:rsidRPr="009F1AEE">
        <w:rPr>
          <w:rStyle w:val="ssrfcpassagedeactivated"/>
        </w:rPr>
        <w:t xml:space="preserve"> why these facts </w:t>
      </w:r>
      <w:r w:rsidR="00E37EDF" w:rsidRPr="009F1AEE">
        <w:rPr>
          <w:rStyle w:val="ssrfcpassagedeactivated"/>
        </w:rPr>
        <w:t xml:space="preserve">at or near the time of </w:t>
      </w:r>
      <w:proofErr w:type="spellStart"/>
      <w:r w:rsidR="00E37EDF" w:rsidRPr="009F1AEE">
        <w:rPr>
          <w:rStyle w:val="ssrfcpassagedeactivated"/>
        </w:rPr>
        <w:t>Vivar’s</w:t>
      </w:r>
      <w:proofErr w:type="spellEnd"/>
      <w:r w:rsidR="00E37EDF" w:rsidRPr="009F1AEE">
        <w:rPr>
          <w:rStyle w:val="ssrfcpassagedeactivated"/>
        </w:rPr>
        <w:t xml:space="preserve"> plea </w:t>
      </w:r>
      <w:r w:rsidRPr="009F1AEE">
        <w:rPr>
          <w:rStyle w:val="ssrfcpassagedeactivated"/>
        </w:rPr>
        <w:t xml:space="preserve">failed to provide </w:t>
      </w:r>
      <w:r w:rsidR="004B5899" w:rsidRPr="009F1AEE">
        <w:rPr>
          <w:rStyle w:val="ssrfcpassagedeactivated"/>
        </w:rPr>
        <w:t xml:space="preserve">adequate corroboration </w:t>
      </w:r>
      <w:r w:rsidR="00E37EDF" w:rsidRPr="009F1AEE">
        <w:rPr>
          <w:rStyle w:val="ssrfcpassagedeactivated"/>
        </w:rPr>
        <w:t xml:space="preserve">that </w:t>
      </w:r>
      <w:r w:rsidR="008F2E97">
        <w:rPr>
          <w:rStyle w:val="ssrfcpassagedeactivated"/>
        </w:rPr>
        <w:t xml:space="preserve">he </w:t>
      </w:r>
      <w:r w:rsidR="00E37EDF" w:rsidRPr="009F1AEE">
        <w:rPr>
          <w:rStyle w:val="ssrfcpassagedeactivated"/>
        </w:rPr>
        <w:t>wouldn’t have pleaded guilty had he known it would result in his deportation</w:t>
      </w:r>
      <w:r w:rsidR="004B5899" w:rsidRPr="009F1AEE">
        <w:rPr>
          <w:rStyle w:val="ssrfcpassagedeactivated"/>
        </w:rPr>
        <w:t>.  Indeed, the court</w:t>
      </w:r>
      <w:r w:rsidR="00E37EDF" w:rsidRPr="009F1AEE">
        <w:rPr>
          <w:rStyle w:val="ssrfcpassagedeactivated"/>
        </w:rPr>
        <w:t xml:space="preserve">’s analysis </w:t>
      </w:r>
      <w:r w:rsidR="004B5899" w:rsidRPr="009F1AEE">
        <w:rPr>
          <w:rStyle w:val="ssrfcpassagedeactivated"/>
        </w:rPr>
        <w:t>failed to mention the</w:t>
      </w:r>
      <w:r w:rsidR="00E37EDF" w:rsidRPr="009F1AEE">
        <w:rPr>
          <w:rStyle w:val="ssrfcpassagedeactivated"/>
        </w:rPr>
        <w:t>se facts a</w:t>
      </w:r>
      <w:r w:rsidR="004B5899" w:rsidRPr="009F1AEE">
        <w:rPr>
          <w:rStyle w:val="ssrfcpassagedeactivated"/>
        </w:rPr>
        <w:t>t all.  This was error</w:t>
      </w:r>
      <w:r w:rsidR="00C3429D" w:rsidRPr="009F1AEE">
        <w:rPr>
          <w:rStyle w:val="ssrfcpassagedeactivated"/>
        </w:rPr>
        <w:t>.</w:t>
      </w:r>
      <w:r w:rsidR="004B5899" w:rsidRPr="009F1AEE">
        <w:rPr>
          <w:rStyle w:val="ssrfcpassagedeactivated"/>
        </w:rPr>
        <w:t xml:space="preserve">  In our view, these objective </w:t>
      </w:r>
      <w:r w:rsidR="0045774F" w:rsidRPr="009F1AEE">
        <w:rPr>
          <w:rStyle w:val="ssrfcpassagedeactivated"/>
        </w:rPr>
        <w:t xml:space="preserve">and contemporaneous </w:t>
      </w:r>
      <w:r w:rsidR="004B5899" w:rsidRPr="009F1AEE">
        <w:rPr>
          <w:rStyle w:val="ssrfcpassagedeactivated"/>
        </w:rPr>
        <w:t xml:space="preserve">facts corroborate, in a most convincing way, the statement in </w:t>
      </w:r>
      <w:proofErr w:type="spellStart"/>
      <w:r w:rsidR="004B5899" w:rsidRPr="009F1AEE">
        <w:rPr>
          <w:rStyle w:val="ssrfcpassagedeactivated"/>
        </w:rPr>
        <w:t>Vivar’s</w:t>
      </w:r>
      <w:proofErr w:type="spellEnd"/>
      <w:r w:rsidR="004B5899" w:rsidRPr="009F1AEE">
        <w:rPr>
          <w:rStyle w:val="ssrfcpassagedeactivated"/>
        </w:rPr>
        <w:t xml:space="preserve"> declaration that</w:t>
      </w:r>
      <w:r w:rsidR="00C3429D" w:rsidRPr="009F1AEE">
        <w:rPr>
          <w:rStyle w:val="ssrfcpassagedeactivated"/>
        </w:rPr>
        <w:t xml:space="preserve"> he </w:t>
      </w:r>
      <w:r w:rsidR="00B6309E" w:rsidRPr="009F1AEE">
        <w:rPr>
          <w:rStyle w:val="ssrfcpassagedeactivated"/>
        </w:rPr>
        <w:t>“</w:t>
      </w:r>
      <w:r w:rsidR="00C3429D" w:rsidRPr="009F1AEE">
        <w:rPr>
          <w:rStyle w:val="ssrfcpassagedeactivated"/>
          <w:u w:val="single"/>
        </w:rPr>
        <w:t>would never have pleaded guilty</w:t>
      </w:r>
      <w:r w:rsidR="00C3429D" w:rsidRPr="009F1AEE">
        <w:rPr>
          <w:rStyle w:val="ssrfcpassagedeactivated"/>
        </w:rPr>
        <w:t xml:space="preserve">” if his attorney had informed him </w:t>
      </w:r>
      <w:r w:rsidR="001A3968" w:rsidRPr="009F1AEE">
        <w:rPr>
          <w:rStyle w:val="ssrfcpassagedeactivated"/>
        </w:rPr>
        <w:t>of the plea’s consequences</w:t>
      </w:r>
      <w:r w:rsidR="00404F88" w:rsidRPr="009F1AEE">
        <w:rPr>
          <w:rStyle w:val="ssrfcpassagedeactivated"/>
        </w:rPr>
        <w:t xml:space="preserve">.  </w:t>
      </w:r>
      <w:r w:rsidR="00426D29" w:rsidRPr="009F1AEE">
        <w:rPr>
          <w:rStyle w:val="ssrfcpassagedeactivated"/>
        </w:rPr>
        <w:t xml:space="preserve">(See </w:t>
      </w:r>
      <w:r w:rsidR="00426D29" w:rsidRPr="009F1AEE">
        <w:rPr>
          <w:rStyle w:val="ssrfcpassagedeactivated"/>
          <w:i/>
        </w:rPr>
        <w:t>Camacho</w:t>
      </w:r>
      <w:r w:rsidR="00426D29" w:rsidRPr="009F1AEE">
        <w:rPr>
          <w:rStyle w:val="ssrfcpassagedeactivated"/>
        </w:rPr>
        <w:t>, 32 Cal.App.5th at pp. 1011</w:t>
      </w:r>
      <w:r w:rsidR="002C70B6">
        <w:t>–</w:t>
      </w:r>
      <w:r w:rsidR="00426D29" w:rsidRPr="009F1AEE">
        <w:rPr>
          <w:rStyle w:val="ssrfcpassagedeactivated"/>
        </w:rPr>
        <w:t xml:space="preserve">1012 [finding prejudice </w:t>
      </w:r>
      <w:r w:rsidR="00446ABF" w:rsidRPr="009F1AEE">
        <w:rPr>
          <w:rStyle w:val="ssrfcpassagedeactivated"/>
        </w:rPr>
        <w:t xml:space="preserve">where </w:t>
      </w:r>
      <w:r w:rsidR="00426D29" w:rsidRPr="009F1AEE">
        <w:rPr>
          <w:rStyle w:val="ssrfcpassagedeactivated"/>
        </w:rPr>
        <w:t>the defendant was brought to the U</w:t>
      </w:r>
      <w:r w:rsidR="00A817AF" w:rsidRPr="009F1AEE">
        <w:rPr>
          <w:rStyle w:val="ssrfcpassagedeactivated"/>
        </w:rPr>
        <w:t xml:space="preserve">nited </w:t>
      </w:r>
      <w:r w:rsidR="00426D29" w:rsidRPr="009F1AEE">
        <w:rPr>
          <w:rStyle w:val="ssrfcpassagedeactivated"/>
        </w:rPr>
        <w:t>S</w:t>
      </w:r>
      <w:r w:rsidR="00A817AF" w:rsidRPr="009F1AEE">
        <w:rPr>
          <w:rStyle w:val="ssrfcpassagedeactivated"/>
        </w:rPr>
        <w:t>tates</w:t>
      </w:r>
      <w:r w:rsidR="00426D29" w:rsidRPr="009F1AEE">
        <w:rPr>
          <w:rStyle w:val="ssrfcpassagedeactivated"/>
        </w:rPr>
        <w:t xml:space="preserve"> as a child, had lived here for </w:t>
      </w:r>
      <w:r w:rsidR="00400E5D" w:rsidRPr="009F1AEE">
        <w:rPr>
          <w:rStyle w:val="ssrfcpassagedeactivated"/>
        </w:rPr>
        <w:t xml:space="preserve">over </w:t>
      </w:r>
      <w:r w:rsidR="00426D29" w:rsidRPr="009F1AEE">
        <w:rPr>
          <w:rStyle w:val="ssrfcpassagedeactivated"/>
        </w:rPr>
        <w:t xml:space="preserve">30 years, and his spouse and children were citizens]; </w:t>
      </w:r>
      <w:r w:rsidR="00EF25AF" w:rsidRPr="009F1AEE">
        <w:t xml:space="preserve">accord, </w:t>
      </w:r>
      <w:r w:rsidR="00EF25AF" w:rsidRPr="009F1AEE">
        <w:rPr>
          <w:i/>
        </w:rPr>
        <w:t>Lee</w:t>
      </w:r>
      <w:r w:rsidR="00EF25AF" w:rsidRPr="009F1AEE">
        <w:t xml:space="preserve">, </w:t>
      </w:r>
      <w:r w:rsidR="00EF25AF" w:rsidRPr="009F1AEE">
        <w:rPr>
          <w:i/>
        </w:rPr>
        <w:t>supra</w:t>
      </w:r>
      <w:r w:rsidR="00EF25AF" w:rsidRPr="009F1AEE">
        <w:t xml:space="preserve">, </w:t>
      </w:r>
      <w:r w:rsidR="00A51B1C">
        <w:t>___ U.S at p. ___ [</w:t>
      </w:r>
      <w:r w:rsidR="00A15D60" w:rsidRPr="009F1AEE">
        <w:t xml:space="preserve">137 </w:t>
      </w:r>
      <w:proofErr w:type="spellStart"/>
      <w:r w:rsidR="00A15D60" w:rsidRPr="009F1AEE">
        <w:t>S.Ct</w:t>
      </w:r>
      <w:proofErr w:type="spellEnd"/>
      <w:r w:rsidR="00A15D60" w:rsidRPr="009F1AEE">
        <w:t>. at p. 1968</w:t>
      </w:r>
      <w:r w:rsidR="00A51B1C">
        <w:t>]</w:t>
      </w:r>
      <w:r w:rsidR="00A15D60" w:rsidRPr="009F1AEE">
        <w:t xml:space="preserve"> [finding prejudice </w:t>
      </w:r>
      <w:r w:rsidR="008D7BDB" w:rsidRPr="009F1AEE">
        <w:t>where</w:t>
      </w:r>
      <w:r w:rsidR="00A15D60" w:rsidRPr="009F1AEE">
        <w:t xml:space="preserve"> the defendant was brought to the United States as a child, had lived here for nearly 30 years, and his parents were citizens].)  </w:t>
      </w:r>
      <w:r w:rsidR="00C3429D" w:rsidRPr="009F1AEE">
        <w:rPr>
          <w:rStyle w:val="ssrfcpassagedeactivated"/>
        </w:rPr>
        <w:t xml:space="preserve">  </w:t>
      </w:r>
    </w:p>
    <w:p w14:paraId="1B913FF2" w14:textId="6CFD0344" w:rsidR="00C3429D" w:rsidRPr="009F1AEE" w:rsidRDefault="00C3429D" w:rsidP="009F1AEE">
      <w:pPr>
        <w:pStyle w:val="Heading1"/>
        <w:rPr>
          <w:rStyle w:val="ssrfcpassagedeactivated"/>
        </w:rPr>
      </w:pPr>
      <w:r w:rsidRPr="009F1AEE">
        <w:rPr>
          <w:rStyle w:val="ssrfcpassagedeactivated"/>
        </w:rPr>
        <w:t>2</w:t>
      </w:r>
    </w:p>
    <w:p w14:paraId="487FB3B7" w14:textId="5149966D" w:rsidR="00A014B4" w:rsidRPr="009F1AEE" w:rsidRDefault="00614AFE" w:rsidP="009F1AEE">
      <w:pPr>
        <w:tabs>
          <w:tab w:val="left" w:pos="1440"/>
        </w:tabs>
        <w:ind w:firstLine="720"/>
        <w:rPr>
          <w:rStyle w:val="ssrfcpassagedeactivated"/>
        </w:rPr>
      </w:pPr>
      <w:r>
        <w:rPr>
          <w:rStyle w:val="ssrfcpassagedeactivated"/>
        </w:rPr>
        <w:t xml:space="preserve">What the record </w:t>
      </w:r>
      <w:r w:rsidR="00767396">
        <w:rPr>
          <w:rStyle w:val="ssrfcpassagedeactivated"/>
        </w:rPr>
        <w:t xml:space="preserve">also </w:t>
      </w:r>
      <w:r>
        <w:rPr>
          <w:rStyle w:val="ssrfcpassagedeactivated"/>
        </w:rPr>
        <w:t xml:space="preserve">shows </w:t>
      </w:r>
      <w:r w:rsidR="0045774F" w:rsidRPr="009F1AEE">
        <w:rPr>
          <w:rStyle w:val="ssrfcpassagedeactivated"/>
        </w:rPr>
        <w:t xml:space="preserve">— </w:t>
      </w:r>
      <w:r>
        <w:rPr>
          <w:rStyle w:val="ssrfcpassagedeactivated"/>
        </w:rPr>
        <w:t xml:space="preserve">and neither the </w:t>
      </w:r>
      <w:r w:rsidR="004A68DD">
        <w:rPr>
          <w:rStyle w:val="ssrfcpassagedeactivated"/>
        </w:rPr>
        <w:t xml:space="preserve">Court of Appeal nor the Attorney General disputes </w:t>
      </w:r>
      <w:r w:rsidR="00F132D5" w:rsidRPr="00F132D5">
        <w:rPr>
          <w:rStyle w:val="ssrfcpassagedeactivated"/>
        </w:rPr>
        <w:t>—</w:t>
      </w:r>
      <w:r w:rsidR="004A68DD">
        <w:rPr>
          <w:rStyle w:val="ssrfcpassagedeactivated"/>
        </w:rPr>
        <w:t xml:space="preserve"> is </w:t>
      </w:r>
      <w:r w:rsidR="0045774F" w:rsidRPr="009F1AEE">
        <w:rPr>
          <w:rStyle w:val="ssrfcpassagedeactivated"/>
        </w:rPr>
        <w:t xml:space="preserve">that </w:t>
      </w:r>
      <w:proofErr w:type="spellStart"/>
      <w:r w:rsidR="004A68DD">
        <w:rPr>
          <w:rStyle w:val="ssrfcpassagedeactivated"/>
        </w:rPr>
        <w:t>Vivar</w:t>
      </w:r>
      <w:proofErr w:type="spellEnd"/>
      <w:r w:rsidR="004A68DD">
        <w:rPr>
          <w:rStyle w:val="ssrfcpassagedeactivated"/>
        </w:rPr>
        <w:t xml:space="preserve"> could have entered a plea </w:t>
      </w:r>
      <w:r w:rsidR="005D566E">
        <w:rPr>
          <w:rStyle w:val="ssrfcpassagedeactivated"/>
        </w:rPr>
        <w:t>avoiding mandatory deportation</w:t>
      </w:r>
      <w:r w:rsidR="0045774F" w:rsidRPr="009F1AEE">
        <w:rPr>
          <w:rStyle w:val="ssrfcpassagedeactivated"/>
        </w:rPr>
        <w:t>.</w:t>
      </w:r>
      <w:r w:rsidR="00260135" w:rsidRPr="009F1AEE">
        <w:rPr>
          <w:rStyle w:val="ssrfcpassagedeactivated"/>
        </w:rPr>
        <w:t xml:space="preserve">  Trial </w:t>
      </w:r>
      <w:r w:rsidR="00260135" w:rsidRPr="009F1AEE">
        <w:rPr>
          <w:rStyle w:val="ssrfcpassagedeactivated"/>
        </w:rPr>
        <w:lastRenderedPageBreak/>
        <w:t xml:space="preserve">counsel’s contemporaneous notes indicate the prosecution offered a deal under which </w:t>
      </w:r>
      <w:proofErr w:type="spellStart"/>
      <w:r w:rsidR="00260135" w:rsidRPr="009F1AEE">
        <w:rPr>
          <w:rStyle w:val="ssrfcpassagedeactivated"/>
        </w:rPr>
        <w:t>Vivar</w:t>
      </w:r>
      <w:proofErr w:type="spellEnd"/>
      <w:r w:rsidR="00260135" w:rsidRPr="009F1AEE">
        <w:rPr>
          <w:rStyle w:val="ssrfcpassagedeactivated"/>
        </w:rPr>
        <w:t xml:space="preserve"> would plead guilty to a single count of burglary (</w:t>
      </w:r>
      <w:r w:rsidR="00DF5383" w:rsidRPr="009F1AEE">
        <w:rPr>
          <w:rStyle w:val="ssrfcpassagedeactivated"/>
        </w:rPr>
        <w:t xml:space="preserve">Pen. Code, </w:t>
      </w:r>
      <w:r w:rsidR="00260135" w:rsidRPr="009F1AEE">
        <w:rPr>
          <w:rStyle w:val="ssrfcpassagedeactivated"/>
        </w:rPr>
        <w:t>§</w:t>
      </w:r>
      <w:r w:rsidR="008F2E97">
        <w:rPr>
          <w:rStyle w:val="ssrfcpassagedeactivated"/>
        </w:rPr>
        <w:t> </w:t>
      </w:r>
      <w:r w:rsidR="00260135" w:rsidRPr="009F1AEE">
        <w:rPr>
          <w:rStyle w:val="ssrfcpassagedeactivated"/>
        </w:rPr>
        <w:t xml:space="preserve">459) </w:t>
      </w:r>
      <w:r w:rsidR="00506D93" w:rsidRPr="009F1AEE">
        <w:rPr>
          <w:rStyle w:val="ssrfcpassagedeactivated"/>
        </w:rPr>
        <w:t xml:space="preserve">with a recommendation that he serve the low term of two years in state prison.  </w:t>
      </w:r>
      <w:r w:rsidR="00AE7E43" w:rsidRPr="009F1AEE">
        <w:rPr>
          <w:rStyle w:val="ssrfcpassagedeactivated"/>
        </w:rPr>
        <w:t>With credits</w:t>
      </w:r>
      <w:r w:rsidR="00506D93" w:rsidRPr="009F1AEE">
        <w:rPr>
          <w:rStyle w:val="ssrfcpassagedeactivated"/>
        </w:rPr>
        <w:t xml:space="preserve">, </w:t>
      </w:r>
      <w:proofErr w:type="spellStart"/>
      <w:r w:rsidR="00506D93" w:rsidRPr="009F1AEE">
        <w:rPr>
          <w:rStyle w:val="ssrfcpassagedeactivated"/>
        </w:rPr>
        <w:t>Vivar</w:t>
      </w:r>
      <w:proofErr w:type="spellEnd"/>
      <w:r w:rsidR="00506D93" w:rsidRPr="009F1AEE">
        <w:rPr>
          <w:rStyle w:val="ssrfcpassagedeactivated"/>
        </w:rPr>
        <w:t xml:space="preserve"> could have cut that term in half</w:t>
      </w:r>
      <w:r w:rsidR="007A4E49" w:rsidRPr="009F1AEE">
        <w:rPr>
          <w:rStyle w:val="ssrfcpassagedeactivated"/>
        </w:rPr>
        <w:t xml:space="preserve">.  </w:t>
      </w:r>
      <w:r w:rsidR="00506D93" w:rsidRPr="009F1AEE">
        <w:rPr>
          <w:rStyle w:val="ssrfcpassagedeactivated"/>
        </w:rPr>
        <w:t>(</w:t>
      </w:r>
      <w:r w:rsidR="009228A2" w:rsidRPr="009F1AEE">
        <w:rPr>
          <w:rStyle w:val="ssrfcpassagedeactivated"/>
        </w:rPr>
        <w:t xml:space="preserve">See </w:t>
      </w:r>
      <w:r w:rsidR="0049565F" w:rsidRPr="009F1AEE">
        <w:rPr>
          <w:rStyle w:val="ssrfcpassagedeactivated"/>
        </w:rPr>
        <w:t xml:space="preserve">Pen. Code, </w:t>
      </w:r>
      <w:r w:rsidR="00506D93" w:rsidRPr="009F1AEE">
        <w:rPr>
          <w:rStyle w:val="ssrfcpassagedeactivated"/>
        </w:rPr>
        <w:t>§</w:t>
      </w:r>
      <w:r w:rsidR="00DF5383" w:rsidRPr="009F1AEE">
        <w:rPr>
          <w:rStyle w:val="ssrfcpassagedeactivated"/>
        </w:rPr>
        <w:t> </w:t>
      </w:r>
      <w:r w:rsidR="00506D93" w:rsidRPr="009F1AEE">
        <w:rPr>
          <w:rStyle w:val="ssrfcpassagedeactivated"/>
        </w:rPr>
        <w:t>2933, subd. (a)</w:t>
      </w:r>
      <w:r w:rsidR="007A4E49" w:rsidRPr="009F1AEE">
        <w:rPr>
          <w:rStyle w:val="ssrfcpassagedeactivated"/>
        </w:rPr>
        <w:t>.</w:t>
      </w:r>
      <w:r w:rsidR="00506D93" w:rsidRPr="009F1AEE">
        <w:rPr>
          <w:rStyle w:val="ssrfcpassagedeactivated"/>
        </w:rPr>
        <w:t>)</w:t>
      </w:r>
      <w:r w:rsidR="00F16B03" w:rsidRPr="009F1AEE">
        <w:rPr>
          <w:rStyle w:val="ssrfcpassagedeactivated"/>
        </w:rPr>
        <w:t xml:space="preserve">  At the time of his plea, burglary </w:t>
      </w:r>
      <w:r w:rsidR="006E49F8" w:rsidRPr="009F1AEE">
        <w:rPr>
          <w:rStyle w:val="ssrfcpassagedeactivated"/>
        </w:rPr>
        <w:t xml:space="preserve">in California </w:t>
      </w:r>
      <w:r w:rsidR="00F16B03" w:rsidRPr="009F1AEE">
        <w:rPr>
          <w:rStyle w:val="ssrfcpassagedeactivated"/>
        </w:rPr>
        <w:t xml:space="preserve">was a deportable </w:t>
      </w:r>
      <w:r w:rsidR="00EC06FB" w:rsidRPr="009F1AEE">
        <w:rPr>
          <w:rStyle w:val="ssrfcpassagedeactivated"/>
        </w:rPr>
        <w:t>felony</w:t>
      </w:r>
      <w:r w:rsidR="00F16B03" w:rsidRPr="009F1AEE">
        <w:rPr>
          <w:rStyle w:val="ssrfcpassagedeactivated"/>
        </w:rPr>
        <w:t xml:space="preserve"> only </w:t>
      </w:r>
      <w:r w:rsidR="009228A2" w:rsidRPr="009F1AEE">
        <w:rPr>
          <w:rStyle w:val="ssrfcpassagedeactivated"/>
        </w:rPr>
        <w:t>in particular situations</w:t>
      </w:r>
      <w:r w:rsidR="00F16B03" w:rsidRPr="009F1AEE">
        <w:rPr>
          <w:rStyle w:val="ssrfcpassagedeactivated"/>
        </w:rPr>
        <w:t xml:space="preserve"> (</w:t>
      </w:r>
      <w:r w:rsidR="006A4573">
        <w:rPr>
          <w:rStyle w:val="ssrfcpassagedeactivated"/>
        </w:rPr>
        <w:t xml:space="preserve">see </w:t>
      </w:r>
      <w:r w:rsidR="002C223E" w:rsidRPr="009F1AEE">
        <w:rPr>
          <w:rStyle w:val="ssrfcpassagedeactivated"/>
          <w:i/>
        </w:rPr>
        <w:t>Kim</w:t>
      </w:r>
      <w:r w:rsidR="002C223E" w:rsidRPr="009F1AEE">
        <w:rPr>
          <w:rStyle w:val="ssrfcpassagedeactivated"/>
        </w:rPr>
        <w:t xml:space="preserve">, </w:t>
      </w:r>
      <w:r w:rsidR="002C223E" w:rsidRPr="009F1AEE">
        <w:rPr>
          <w:rStyle w:val="ssrfcpassagedeactivated"/>
          <w:i/>
        </w:rPr>
        <w:t>supra</w:t>
      </w:r>
      <w:r w:rsidR="002C223E" w:rsidRPr="009F1AEE">
        <w:rPr>
          <w:rStyle w:val="ssrfcpassagedeactivated"/>
        </w:rPr>
        <w:t>, 45 Cal.4th at p</w:t>
      </w:r>
      <w:r w:rsidR="00F574AF">
        <w:rPr>
          <w:rStyle w:val="ssrfcpassagedeactivated"/>
        </w:rPr>
        <w:t>p</w:t>
      </w:r>
      <w:r w:rsidR="002C223E" w:rsidRPr="009F1AEE">
        <w:rPr>
          <w:rStyle w:val="ssrfcpassagedeactivated"/>
        </w:rPr>
        <w:t xml:space="preserve">. </w:t>
      </w:r>
      <w:r w:rsidR="00F574AF">
        <w:rPr>
          <w:rStyle w:val="ssrfcpassagedeactivated"/>
        </w:rPr>
        <w:t>1089</w:t>
      </w:r>
      <w:r w:rsidR="002C70B6">
        <w:t>–1</w:t>
      </w:r>
      <w:r w:rsidR="00F574AF">
        <w:rPr>
          <w:rStyle w:val="ssrfcpassagedeactivated"/>
        </w:rPr>
        <w:t xml:space="preserve">090, </w:t>
      </w:r>
      <w:r w:rsidR="002C223E" w:rsidRPr="009F1AEE">
        <w:rPr>
          <w:rStyle w:val="ssrfcpassagedeactivated"/>
        </w:rPr>
        <w:t>1098</w:t>
      </w:r>
      <w:r w:rsidR="00F16B03" w:rsidRPr="009F1AEE">
        <w:rPr>
          <w:rStyle w:val="ssrfcpassagedeactivated"/>
        </w:rPr>
        <w:t xml:space="preserve">), and </w:t>
      </w:r>
      <w:r w:rsidR="006A4573">
        <w:rPr>
          <w:rStyle w:val="ssrfcpassagedeactivated"/>
        </w:rPr>
        <w:t xml:space="preserve">the uncontradicted declaration from </w:t>
      </w:r>
      <w:proofErr w:type="spellStart"/>
      <w:r w:rsidR="006A4573">
        <w:rPr>
          <w:rStyle w:val="ssrfcpassagedeactivated"/>
        </w:rPr>
        <w:t>Vivar’s</w:t>
      </w:r>
      <w:proofErr w:type="spellEnd"/>
      <w:r w:rsidR="006A4573">
        <w:rPr>
          <w:rStyle w:val="ssrfcpassagedeactivated"/>
        </w:rPr>
        <w:t xml:space="preserve"> immigration expert stated that </w:t>
      </w:r>
      <w:proofErr w:type="spellStart"/>
      <w:r w:rsidR="006A4573">
        <w:rPr>
          <w:rStyle w:val="ssrfcpassagedeactivated"/>
        </w:rPr>
        <w:t>Vivar</w:t>
      </w:r>
      <w:proofErr w:type="spellEnd"/>
      <w:r w:rsidR="006A4573">
        <w:rPr>
          <w:rStyle w:val="ssrfcpassagedeactivated"/>
        </w:rPr>
        <w:t xml:space="preserve"> could’ve </w:t>
      </w:r>
      <w:r w:rsidR="00CC224A">
        <w:rPr>
          <w:rStyle w:val="ssrfcpassagedeactivated"/>
        </w:rPr>
        <w:t xml:space="preserve">entered such a </w:t>
      </w:r>
      <w:r w:rsidR="006A4573">
        <w:rPr>
          <w:rStyle w:val="ssrfcpassagedeactivated"/>
        </w:rPr>
        <w:t>plea without subjecting himself to mandatory deportation</w:t>
      </w:r>
      <w:r w:rsidR="00D7048E" w:rsidRPr="009F1AEE">
        <w:rPr>
          <w:rStyle w:val="ssrfcpassagedeactivated"/>
        </w:rPr>
        <w:t xml:space="preserve">.  </w:t>
      </w:r>
      <w:r w:rsidR="007233E5" w:rsidRPr="009F1AEE">
        <w:rPr>
          <w:rStyle w:val="ssrfcpassagedeactivated"/>
        </w:rPr>
        <w:t>Under these circumstances, we find at least “</w:t>
      </w:r>
      <w:r w:rsidR="002D71AE">
        <w:rPr>
          <w:rStyle w:val="ssrfcpassagedeactivated"/>
        </w:rPr>
        <w:t> </w:t>
      </w:r>
      <w:r w:rsidR="00F132D5">
        <w:rPr>
          <w:rStyle w:val="ssrfcpassagedeactivated"/>
        </w:rPr>
        <w:t>‘</w:t>
      </w:r>
      <w:r w:rsidR="007233E5" w:rsidRPr="009F1AEE">
        <w:rPr>
          <w:rStyle w:val="ssrfcpassagedeactivated"/>
        </w:rPr>
        <w:t>a reasonable probability</w:t>
      </w:r>
      <w:r w:rsidR="00F132D5">
        <w:rPr>
          <w:rStyle w:val="ssrfcpassagedeactivated"/>
        </w:rPr>
        <w:t>’</w:t>
      </w:r>
      <w:r w:rsidR="00C42C1C">
        <w:rPr>
          <w:rStyle w:val="ssrfcpassagedeactivated"/>
        </w:rPr>
        <w:t> </w:t>
      </w:r>
      <w:r w:rsidR="007233E5" w:rsidRPr="009F1AEE">
        <w:rPr>
          <w:rStyle w:val="ssrfcpassagedeactivated"/>
        </w:rPr>
        <w:t>” that</w:t>
      </w:r>
      <w:r w:rsidR="00A014B4" w:rsidRPr="009F1AEE">
        <w:rPr>
          <w:rStyle w:val="ssrfcpassagedeactivated"/>
        </w:rPr>
        <w:t xml:space="preserve"> he </w:t>
      </w:r>
      <w:r w:rsidR="006D1282" w:rsidRPr="009F1AEE">
        <w:rPr>
          <w:rStyle w:val="ssrfcpassagedeactivated"/>
        </w:rPr>
        <w:t>c</w:t>
      </w:r>
      <w:r w:rsidR="00A014B4" w:rsidRPr="009F1AEE">
        <w:rPr>
          <w:rStyle w:val="ssrfcpassagedeactivated"/>
        </w:rPr>
        <w:t>ould have tried “to obtain a better bargain that [did] not include immigration consequences.”  (</w:t>
      </w:r>
      <w:r w:rsidR="00A014B4" w:rsidRPr="009F1AEE">
        <w:rPr>
          <w:rStyle w:val="ssrfcpassagedeactivated"/>
          <w:i/>
        </w:rPr>
        <w:t>Martinez</w:t>
      </w:r>
      <w:r w:rsidR="00A014B4" w:rsidRPr="009F1AEE">
        <w:rPr>
          <w:rStyle w:val="ssrfcpassagedeactivated"/>
        </w:rPr>
        <w:t xml:space="preserve">, </w:t>
      </w:r>
      <w:r w:rsidR="00A014B4" w:rsidRPr="009F1AEE">
        <w:rPr>
          <w:rStyle w:val="ssrfcpassagedeactivated"/>
          <w:i/>
        </w:rPr>
        <w:t>supra</w:t>
      </w:r>
      <w:r w:rsidR="00A014B4" w:rsidRPr="009F1AEE">
        <w:rPr>
          <w:rStyle w:val="ssrfcpassagedeactivated"/>
        </w:rPr>
        <w:t xml:space="preserve">, 57 Cal.4th at p. 567.)  </w:t>
      </w:r>
    </w:p>
    <w:p w14:paraId="18FC0518" w14:textId="5C1C3D80" w:rsidR="00B52115" w:rsidRPr="009F1AEE" w:rsidRDefault="007233E5" w:rsidP="009F1AEE">
      <w:pPr>
        <w:tabs>
          <w:tab w:val="left" w:pos="1440"/>
        </w:tabs>
        <w:ind w:firstLine="720"/>
        <w:rPr>
          <w:rStyle w:val="ssrfcpassagedeactivated"/>
        </w:rPr>
      </w:pPr>
      <w:r w:rsidRPr="009F1AEE">
        <w:rPr>
          <w:rStyle w:val="ssrfcpassagedeactivated"/>
        </w:rPr>
        <w:t>C</w:t>
      </w:r>
      <w:r w:rsidR="006D1282" w:rsidRPr="009F1AEE">
        <w:rPr>
          <w:rStyle w:val="ssrfcpassagedeactivated"/>
        </w:rPr>
        <w:t>oncluding otherwise, t</w:t>
      </w:r>
      <w:r w:rsidR="00E00024" w:rsidRPr="009F1AEE">
        <w:rPr>
          <w:rStyle w:val="ssrfcpassagedeactivated"/>
        </w:rPr>
        <w:t xml:space="preserve">he Court of Appeal relied principally on the fact that </w:t>
      </w:r>
      <w:proofErr w:type="spellStart"/>
      <w:r w:rsidR="00E00024" w:rsidRPr="009F1AEE">
        <w:rPr>
          <w:rStyle w:val="ssrfcpassagedeactivated"/>
        </w:rPr>
        <w:t>Vivar</w:t>
      </w:r>
      <w:proofErr w:type="spellEnd"/>
      <w:r w:rsidR="00E00024" w:rsidRPr="009F1AEE">
        <w:rPr>
          <w:rStyle w:val="ssrfcpassagedeactivated"/>
        </w:rPr>
        <w:t xml:space="preserve"> rejected th</w:t>
      </w:r>
      <w:r w:rsidR="006D1282" w:rsidRPr="009F1AEE">
        <w:rPr>
          <w:rStyle w:val="ssrfcpassagedeactivated"/>
        </w:rPr>
        <w:t xml:space="preserve">e burglary </w:t>
      </w:r>
      <w:r w:rsidR="00E00024" w:rsidRPr="009F1AEE">
        <w:rPr>
          <w:rStyle w:val="ssrfcpassagedeactivated"/>
        </w:rPr>
        <w:t>plea</w:t>
      </w:r>
      <w:r w:rsidR="00763FBF" w:rsidRPr="009F1AEE">
        <w:rPr>
          <w:rStyle w:val="ssrfcpassagedeactivated"/>
        </w:rPr>
        <w:t xml:space="preserve">.  </w:t>
      </w:r>
      <w:r w:rsidR="005E348D" w:rsidRPr="009F1AEE">
        <w:rPr>
          <w:rStyle w:val="ssrfcpassagedeactivated"/>
        </w:rPr>
        <w:t>The court</w:t>
      </w:r>
      <w:r w:rsidR="00763FBF" w:rsidRPr="009F1AEE">
        <w:rPr>
          <w:rStyle w:val="ssrfcpassagedeactivated"/>
        </w:rPr>
        <w:t xml:space="preserve"> pointed </w:t>
      </w:r>
      <w:r w:rsidR="006D1282" w:rsidRPr="009F1AEE">
        <w:rPr>
          <w:rStyle w:val="ssrfcpassagedeactivated"/>
        </w:rPr>
        <w:t xml:space="preserve">in particular </w:t>
      </w:r>
      <w:r w:rsidR="00763FBF" w:rsidRPr="009F1AEE">
        <w:rPr>
          <w:rStyle w:val="ssrfcpassagedeactivated"/>
        </w:rPr>
        <w:t>to counsel’s notes</w:t>
      </w:r>
      <w:r w:rsidR="005E348D" w:rsidRPr="009F1AEE">
        <w:rPr>
          <w:rStyle w:val="ssrfcpassagedeactivated"/>
        </w:rPr>
        <w:t xml:space="preserve">, </w:t>
      </w:r>
      <w:r w:rsidR="006D1282" w:rsidRPr="009F1AEE">
        <w:rPr>
          <w:rStyle w:val="ssrfcpassagedeactivated"/>
        </w:rPr>
        <w:t xml:space="preserve">where she had written </w:t>
      </w:r>
      <w:r w:rsidR="005E348D" w:rsidRPr="009F1AEE">
        <w:rPr>
          <w:rStyle w:val="ssrfcpassagedeactivated"/>
        </w:rPr>
        <w:t xml:space="preserve">that </w:t>
      </w:r>
      <w:proofErr w:type="spellStart"/>
      <w:r w:rsidR="006D1282" w:rsidRPr="009F1AEE">
        <w:rPr>
          <w:rStyle w:val="ssrfcpassagedeactivated"/>
        </w:rPr>
        <w:t>Vivar</w:t>
      </w:r>
      <w:proofErr w:type="spellEnd"/>
      <w:r w:rsidR="006D1282" w:rsidRPr="009F1AEE">
        <w:rPr>
          <w:rStyle w:val="ssrfcpassagedeactivated"/>
        </w:rPr>
        <w:t xml:space="preserve"> “</w:t>
      </w:r>
      <w:r w:rsidR="00ED3A0C">
        <w:rPr>
          <w:rStyle w:val="ssrfcpassagedeactivated"/>
        </w:rPr>
        <w:t> </w:t>
      </w:r>
      <w:r w:rsidR="005E348D" w:rsidRPr="009F1AEE">
        <w:rPr>
          <w:rStyle w:val="ssrfcpassagedeactivated"/>
        </w:rPr>
        <w:t>‘[w]ants help w/ [his] drug problem.’</w:t>
      </w:r>
      <w:r w:rsidR="00C42C1C">
        <w:rPr>
          <w:rStyle w:val="ssrfcpassagedeactivated"/>
        </w:rPr>
        <w:t> </w:t>
      </w:r>
      <w:r w:rsidR="005E348D" w:rsidRPr="009F1AEE">
        <w:rPr>
          <w:rStyle w:val="ssrfcpassagedeactivated"/>
        </w:rPr>
        <w:t xml:space="preserve">”  </w:t>
      </w:r>
      <w:r w:rsidR="00763FBF" w:rsidRPr="009F1AEE">
        <w:rPr>
          <w:rStyle w:val="ssrfcpassagedeactivated"/>
        </w:rPr>
        <w:t>(</w:t>
      </w:r>
      <w:proofErr w:type="spellStart"/>
      <w:r w:rsidR="00763FBF" w:rsidRPr="009F1AEE">
        <w:rPr>
          <w:rStyle w:val="ssrfcpassagedeactivated"/>
          <w:i/>
        </w:rPr>
        <w:t>Vivar</w:t>
      </w:r>
      <w:proofErr w:type="spellEnd"/>
      <w:r w:rsidR="00763FBF" w:rsidRPr="009F1AEE">
        <w:rPr>
          <w:rStyle w:val="ssrfcpassagedeactivated"/>
        </w:rPr>
        <w:t xml:space="preserve">, </w:t>
      </w:r>
      <w:r w:rsidR="00763FBF" w:rsidRPr="009F1AEE">
        <w:rPr>
          <w:rStyle w:val="ssrfcpassagedeactivated"/>
          <w:i/>
        </w:rPr>
        <w:t>supra</w:t>
      </w:r>
      <w:r w:rsidR="00763FBF" w:rsidRPr="009F1AEE">
        <w:rPr>
          <w:rStyle w:val="ssrfcpassagedeactivated"/>
        </w:rPr>
        <w:t>, 43 Cal.App.5th at p. 229.)</w:t>
      </w:r>
      <w:r w:rsidR="006D1592" w:rsidRPr="009F1AEE">
        <w:rPr>
          <w:rStyle w:val="ssrfcpassagedeactivated"/>
        </w:rPr>
        <w:t xml:space="preserve">  Because </w:t>
      </w:r>
      <w:proofErr w:type="spellStart"/>
      <w:r w:rsidR="006D1592" w:rsidRPr="009F1AEE">
        <w:rPr>
          <w:rStyle w:val="ssrfcpassagedeactivated"/>
        </w:rPr>
        <w:t>Vivar</w:t>
      </w:r>
      <w:proofErr w:type="spellEnd"/>
      <w:r w:rsidR="006D1592" w:rsidRPr="009F1AEE">
        <w:rPr>
          <w:rStyle w:val="ssrfcpassagedeactivated"/>
        </w:rPr>
        <w:t xml:space="preserve"> “was offered and rejected a </w:t>
      </w:r>
      <w:r w:rsidR="005554EE" w:rsidRPr="009F1AEE">
        <w:rPr>
          <w:rStyle w:val="ssrfcpassagedeactivated"/>
        </w:rPr>
        <w:t>p</w:t>
      </w:r>
      <w:r w:rsidR="006D1592" w:rsidRPr="009F1AEE">
        <w:rPr>
          <w:rStyle w:val="ssrfcpassagedeactivated"/>
        </w:rPr>
        <w:t xml:space="preserve">lea agreement that would have completely avoided any immigration consequences,” the court </w:t>
      </w:r>
      <w:r w:rsidR="006D1282" w:rsidRPr="009F1AEE">
        <w:rPr>
          <w:rStyle w:val="ssrfcpassagedeactivated"/>
        </w:rPr>
        <w:t>inferred</w:t>
      </w:r>
      <w:r w:rsidR="006D1592" w:rsidRPr="009F1AEE">
        <w:rPr>
          <w:rStyle w:val="ssrfcpassagedeactivated"/>
        </w:rPr>
        <w:t xml:space="preserve"> “that immigration consequences were not defendant’s primary consideration in accepting or rejecting any plea offer, and that further advice on this front was not reasonably probable to change his </w:t>
      </w:r>
      <w:proofErr w:type="spellStart"/>
      <w:r w:rsidR="006D1592" w:rsidRPr="009F1AEE">
        <w:rPr>
          <w:rStyle w:val="ssrfcpassagedeactivated"/>
        </w:rPr>
        <w:t>decisionmaking</w:t>
      </w:r>
      <w:proofErr w:type="spellEnd"/>
      <w:r w:rsidR="006D1592" w:rsidRPr="009F1AEE">
        <w:rPr>
          <w:rStyle w:val="ssrfcpassagedeactivated"/>
        </w:rPr>
        <w:t>.”  (</w:t>
      </w:r>
      <w:r w:rsidR="006D1592" w:rsidRPr="009F1AEE">
        <w:rPr>
          <w:rStyle w:val="ssrfcpassagedeactivated"/>
          <w:i/>
        </w:rPr>
        <w:t>Id</w:t>
      </w:r>
      <w:r w:rsidR="006D1592" w:rsidRPr="009F1AEE">
        <w:rPr>
          <w:rStyle w:val="ssrfcpassagedeactivated"/>
        </w:rPr>
        <w:t>. at pp. 229</w:t>
      </w:r>
      <w:r w:rsidR="002260F8" w:rsidRPr="002260F8">
        <w:t>–</w:t>
      </w:r>
      <w:r w:rsidR="006D1592" w:rsidRPr="009F1AEE">
        <w:rPr>
          <w:rStyle w:val="ssrfcpassagedeactivated"/>
        </w:rPr>
        <w:t>230.)</w:t>
      </w:r>
      <w:r w:rsidR="00B52115" w:rsidRPr="009F1AEE">
        <w:rPr>
          <w:rStyle w:val="ssrfcpassagedeactivated"/>
        </w:rPr>
        <w:t xml:space="preserve">  </w:t>
      </w:r>
    </w:p>
    <w:p w14:paraId="734917DB" w14:textId="21790761" w:rsidR="008541AE" w:rsidRPr="009F1AEE" w:rsidRDefault="007233E5" w:rsidP="009F1AEE">
      <w:pPr>
        <w:tabs>
          <w:tab w:val="left" w:pos="1440"/>
        </w:tabs>
        <w:ind w:firstLine="720"/>
        <w:rPr>
          <w:rStyle w:val="ssrfcpassagedeactivated"/>
        </w:rPr>
      </w:pPr>
      <w:r w:rsidRPr="009F1AEE">
        <w:rPr>
          <w:rStyle w:val="ssrfcpassagedeactivated"/>
        </w:rPr>
        <w:t xml:space="preserve">The </w:t>
      </w:r>
      <w:r w:rsidR="005554EE" w:rsidRPr="009F1AEE">
        <w:rPr>
          <w:rStyle w:val="ssrfcpassagedeactivated"/>
        </w:rPr>
        <w:t xml:space="preserve">Court of Appeal’s </w:t>
      </w:r>
      <w:r w:rsidR="006D1282" w:rsidRPr="009F1AEE">
        <w:rPr>
          <w:rStyle w:val="ssrfcpassagedeactivated"/>
        </w:rPr>
        <w:t>inference</w:t>
      </w:r>
      <w:r w:rsidRPr="009F1AEE">
        <w:rPr>
          <w:rStyle w:val="ssrfcpassagedeactivated"/>
        </w:rPr>
        <w:t xml:space="preserve"> fails to persuade</w:t>
      </w:r>
      <w:r w:rsidR="005554EE" w:rsidRPr="009F1AEE">
        <w:rPr>
          <w:rStyle w:val="ssrfcpassagedeactivated"/>
        </w:rPr>
        <w:t xml:space="preserve">.  </w:t>
      </w:r>
      <w:proofErr w:type="spellStart"/>
      <w:r w:rsidR="005554EE" w:rsidRPr="009F1AEE">
        <w:rPr>
          <w:rStyle w:val="ssrfcpassagedeactivated"/>
        </w:rPr>
        <w:t>Vivar’s</w:t>
      </w:r>
      <w:proofErr w:type="spellEnd"/>
      <w:r w:rsidR="005554EE" w:rsidRPr="009F1AEE">
        <w:rPr>
          <w:rStyle w:val="ssrfcpassagedeactivated"/>
        </w:rPr>
        <w:t xml:space="preserve"> rejection of a</w:t>
      </w:r>
      <w:r w:rsidR="005D566E">
        <w:rPr>
          <w:rStyle w:val="ssrfcpassagedeactivated"/>
        </w:rPr>
        <w:t xml:space="preserve"> potentially deportation</w:t>
      </w:r>
      <w:r w:rsidR="005554EE" w:rsidRPr="009F1AEE">
        <w:rPr>
          <w:rStyle w:val="ssrfcpassagedeactivated"/>
        </w:rPr>
        <w:t xml:space="preserve">-neutral plea </w:t>
      </w:r>
      <w:r w:rsidR="00F66F2A">
        <w:rPr>
          <w:rStyle w:val="ssrfcpassagedeactivated"/>
        </w:rPr>
        <w:t xml:space="preserve">can hardly serve as </w:t>
      </w:r>
      <w:r w:rsidR="005554EE" w:rsidRPr="009F1AEE">
        <w:rPr>
          <w:rStyle w:val="ssrfcpassagedeactivated"/>
        </w:rPr>
        <w:t>evidence that he didn’t care about immigration consequences</w:t>
      </w:r>
      <w:r w:rsidR="006D1282" w:rsidRPr="009F1AEE">
        <w:rPr>
          <w:rStyle w:val="ssrfcpassagedeactivated"/>
        </w:rPr>
        <w:t xml:space="preserve"> when it is undisputed </w:t>
      </w:r>
      <w:r w:rsidR="005554EE" w:rsidRPr="009F1AEE">
        <w:rPr>
          <w:rStyle w:val="ssrfcpassagedeactivated"/>
        </w:rPr>
        <w:t xml:space="preserve">that </w:t>
      </w:r>
      <w:proofErr w:type="spellStart"/>
      <w:r w:rsidR="005554EE" w:rsidRPr="009F1AEE">
        <w:rPr>
          <w:rStyle w:val="ssrfcpassagedeactivated"/>
        </w:rPr>
        <w:t>Vivar</w:t>
      </w:r>
      <w:proofErr w:type="spellEnd"/>
      <w:r w:rsidR="005554EE" w:rsidRPr="009F1AEE">
        <w:rPr>
          <w:rStyle w:val="ssrfcpassagedeactivated"/>
        </w:rPr>
        <w:t xml:space="preserve"> was not properly advised — and thus was ignorant — of the immigration consequences attached to </w:t>
      </w:r>
      <w:r w:rsidR="0054286D" w:rsidRPr="009F1AEE">
        <w:rPr>
          <w:rStyle w:val="ssrfcpassagedeactivated"/>
        </w:rPr>
        <w:t>his</w:t>
      </w:r>
      <w:r w:rsidR="005554EE" w:rsidRPr="009F1AEE">
        <w:rPr>
          <w:rStyle w:val="ssrfcpassagedeactivated"/>
        </w:rPr>
        <w:t xml:space="preserve"> </w:t>
      </w:r>
      <w:r w:rsidR="001A1385" w:rsidRPr="009F1AEE">
        <w:rPr>
          <w:rStyle w:val="ssrfcpassagedeactivated"/>
        </w:rPr>
        <w:t>various plea options.</w:t>
      </w:r>
      <w:r w:rsidR="00811D97" w:rsidRPr="009F1AEE">
        <w:rPr>
          <w:rStyle w:val="ssrfcpassagedeactivated"/>
        </w:rPr>
        <w:t xml:space="preserve">  </w:t>
      </w:r>
      <w:r w:rsidR="003A7707" w:rsidRPr="009F1AEE">
        <w:rPr>
          <w:rStyle w:val="ssrfcpassagedeactivated"/>
        </w:rPr>
        <w:t xml:space="preserve">So the fact </w:t>
      </w:r>
      <w:r w:rsidR="003A7707" w:rsidRPr="009F1AEE">
        <w:rPr>
          <w:rStyle w:val="ssrfcpassagedeactivated"/>
        </w:rPr>
        <w:lastRenderedPageBreak/>
        <w:t xml:space="preserve">that he </w:t>
      </w:r>
      <w:r w:rsidR="00520CB3" w:rsidRPr="009F1AEE">
        <w:rPr>
          <w:rStyle w:val="ssrfcpassagedeactivated"/>
          <w:i/>
        </w:rPr>
        <w:t>unknowingly</w:t>
      </w:r>
      <w:r w:rsidR="00520CB3" w:rsidRPr="009F1AEE">
        <w:rPr>
          <w:rStyle w:val="ssrfcpassagedeactivated"/>
        </w:rPr>
        <w:t xml:space="preserve"> rejected an immigration-neutral option cannot, in itself, demonstrate that “immigration consequences </w:t>
      </w:r>
      <w:r w:rsidR="00AE6364" w:rsidRPr="009F1AEE">
        <w:rPr>
          <w:rStyle w:val="ssrfcpassagedeactivated"/>
        </w:rPr>
        <w:t>were not defendant’s primary consideration.”</w:t>
      </w:r>
      <w:r w:rsidR="008541AE" w:rsidRPr="009F1AEE">
        <w:rPr>
          <w:rStyle w:val="ssrfcpassagedeactivated"/>
        </w:rPr>
        <w:t xml:space="preserve">  (</w:t>
      </w:r>
      <w:proofErr w:type="spellStart"/>
      <w:r w:rsidR="008541AE" w:rsidRPr="009F1AEE">
        <w:rPr>
          <w:rStyle w:val="ssrfcpassagedeactivated"/>
          <w:i/>
        </w:rPr>
        <w:t>Vivar</w:t>
      </w:r>
      <w:proofErr w:type="spellEnd"/>
      <w:r w:rsidR="008541AE" w:rsidRPr="009F1AEE">
        <w:rPr>
          <w:rStyle w:val="ssrfcpassagedeactivated"/>
        </w:rPr>
        <w:t xml:space="preserve">, </w:t>
      </w:r>
      <w:r w:rsidR="008541AE" w:rsidRPr="009F1AEE">
        <w:rPr>
          <w:rStyle w:val="ssrfcpassagedeactivated"/>
          <w:i/>
        </w:rPr>
        <w:t>supra</w:t>
      </w:r>
      <w:r w:rsidR="008541AE" w:rsidRPr="009F1AEE">
        <w:rPr>
          <w:rStyle w:val="ssrfcpassagedeactivated"/>
        </w:rPr>
        <w:t>, 43 Cal.App.5th at pp. 229</w:t>
      </w:r>
      <w:r w:rsidR="002C70B6">
        <w:t>–</w:t>
      </w:r>
      <w:r w:rsidR="008541AE" w:rsidRPr="009F1AEE">
        <w:rPr>
          <w:rStyle w:val="ssrfcpassagedeactivated"/>
        </w:rPr>
        <w:t>230.)</w:t>
      </w:r>
      <w:r w:rsidR="001A3968" w:rsidRPr="009F1AEE">
        <w:rPr>
          <w:rStyle w:val="ssrfcpassagedeactivated"/>
        </w:rPr>
        <w:t xml:space="preserve">  </w:t>
      </w:r>
      <w:r w:rsidR="008541AE" w:rsidRPr="009F1AEE">
        <w:rPr>
          <w:rStyle w:val="ssrfcpassagedeactivated"/>
        </w:rPr>
        <w:t xml:space="preserve">  </w:t>
      </w:r>
    </w:p>
    <w:p w14:paraId="52BDD0FA" w14:textId="54AB8B65" w:rsidR="007D2013" w:rsidRDefault="008541AE" w:rsidP="009F1AEE">
      <w:pPr>
        <w:tabs>
          <w:tab w:val="left" w:pos="1440"/>
        </w:tabs>
        <w:ind w:firstLine="720"/>
        <w:rPr>
          <w:rStyle w:val="ssrfcpassagedeactivated"/>
        </w:rPr>
      </w:pPr>
      <w:r w:rsidRPr="009F1AEE">
        <w:rPr>
          <w:rStyle w:val="ssrfcpassagedeactivated"/>
        </w:rPr>
        <w:t xml:space="preserve">Even less supports the Court of Appeal’s contention that </w:t>
      </w:r>
      <w:proofErr w:type="spellStart"/>
      <w:r w:rsidR="00803921" w:rsidRPr="009F1AEE">
        <w:rPr>
          <w:rStyle w:val="ssrfcpassagedeactivated"/>
        </w:rPr>
        <w:t>Vivar</w:t>
      </w:r>
      <w:proofErr w:type="spellEnd"/>
      <w:r w:rsidRPr="009F1AEE">
        <w:rPr>
          <w:rStyle w:val="ssrfcpassagedeactivated"/>
        </w:rPr>
        <w:t xml:space="preserve"> </w:t>
      </w:r>
      <w:r w:rsidR="00803921" w:rsidRPr="009F1AEE">
        <w:rPr>
          <w:rStyle w:val="ssrfcpassagedeactivated"/>
        </w:rPr>
        <w:t>“</w:t>
      </w:r>
      <w:r w:rsidR="001C53C4" w:rsidRPr="009F1AEE">
        <w:rPr>
          <w:rStyle w:val="ssrfcpassagedeactivated"/>
        </w:rPr>
        <w:t>prioritized drug treatment over potential immigration-neutral pleas</w:t>
      </w:r>
      <w:r w:rsidR="0054286D" w:rsidRPr="009F1AEE">
        <w:rPr>
          <w:rStyle w:val="ssrfcpassagedeactivated"/>
        </w:rPr>
        <w:t>.</w:t>
      </w:r>
      <w:r w:rsidR="00D113FB" w:rsidRPr="009F1AEE">
        <w:rPr>
          <w:rStyle w:val="ssrfcpassagedeactivated"/>
        </w:rPr>
        <w:t>”</w:t>
      </w:r>
      <w:r w:rsidRPr="009F1AEE">
        <w:rPr>
          <w:rStyle w:val="ssrfcpassagedeactivated"/>
        </w:rPr>
        <w:t xml:space="preserve">  </w:t>
      </w:r>
      <w:r w:rsidR="00D113FB" w:rsidRPr="009F1AEE">
        <w:rPr>
          <w:rStyle w:val="ssrfcpassagedeactivated"/>
        </w:rPr>
        <w:t>(</w:t>
      </w:r>
      <w:proofErr w:type="spellStart"/>
      <w:r w:rsidR="00D113FB" w:rsidRPr="009F1AEE">
        <w:rPr>
          <w:rStyle w:val="ssrfcpassagedeactivated"/>
          <w:i/>
        </w:rPr>
        <w:t>Vivar</w:t>
      </w:r>
      <w:proofErr w:type="spellEnd"/>
      <w:r w:rsidR="00D113FB" w:rsidRPr="009F1AEE">
        <w:rPr>
          <w:rStyle w:val="ssrfcpassagedeactivated"/>
        </w:rPr>
        <w:t xml:space="preserve">, </w:t>
      </w:r>
      <w:r w:rsidR="00D113FB" w:rsidRPr="009F1AEE">
        <w:rPr>
          <w:rStyle w:val="ssrfcpassagedeactivated"/>
          <w:i/>
        </w:rPr>
        <w:t>supra</w:t>
      </w:r>
      <w:r w:rsidR="00D113FB" w:rsidRPr="009F1AEE">
        <w:rPr>
          <w:rStyle w:val="ssrfcpassagedeactivated"/>
        </w:rPr>
        <w:t>, 43 Cal.App.5th at p. 229</w:t>
      </w:r>
      <w:r w:rsidRPr="009F1AEE">
        <w:rPr>
          <w:rStyle w:val="ssrfcpassagedeactivated"/>
        </w:rPr>
        <w:t>.</w:t>
      </w:r>
      <w:r w:rsidR="00D113FB" w:rsidRPr="009F1AEE">
        <w:rPr>
          <w:rStyle w:val="ssrfcpassagedeactivated"/>
        </w:rPr>
        <w:t>)</w:t>
      </w:r>
      <w:r w:rsidR="007D2013">
        <w:rPr>
          <w:rStyle w:val="ssrfcpassagedeactivated"/>
        </w:rPr>
        <w:t xml:space="preserve">  Indeed, it doesn’t make sense to say that </w:t>
      </w:r>
      <w:proofErr w:type="spellStart"/>
      <w:r w:rsidR="007D2013">
        <w:rPr>
          <w:rStyle w:val="ssrfcpassagedeactivated"/>
        </w:rPr>
        <w:t>Vivar</w:t>
      </w:r>
      <w:proofErr w:type="spellEnd"/>
      <w:r w:rsidR="007D2013">
        <w:rPr>
          <w:rStyle w:val="ssrfcpassagedeactivated"/>
        </w:rPr>
        <w:t xml:space="preserve"> would’ve chosen a plea that triggered mandatory deportation just so he could participate in drug treatment when th</w:t>
      </w:r>
      <w:r w:rsidR="00F66F2A">
        <w:rPr>
          <w:rStyle w:val="ssrfcpassagedeactivated"/>
        </w:rPr>
        <w:t xml:space="preserve">at </w:t>
      </w:r>
      <w:r w:rsidR="007D2013">
        <w:rPr>
          <w:rStyle w:val="ssrfcpassagedeactivated"/>
        </w:rPr>
        <w:t xml:space="preserve">plea </w:t>
      </w:r>
      <w:r w:rsidR="00F66F2A">
        <w:rPr>
          <w:rStyle w:val="ssrfcpassagedeactivated"/>
        </w:rPr>
        <w:t>rendered</w:t>
      </w:r>
      <w:r w:rsidR="007D2013">
        <w:rPr>
          <w:rStyle w:val="ssrfcpassagedeactivated"/>
        </w:rPr>
        <w:t xml:space="preserve"> him ineligible for the program.</w:t>
      </w:r>
      <w:r w:rsidRPr="009F1AEE">
        <w:rPr>
          <w:rStyle w:val="ssrfcpassagedeactivated"/>
        </w:rPr>
        <w:t xml:space="preserve">  </w:t>
      </w:r>
    </w:p>
    <w:p w14:paraId="74DF7EAC" w14:textId="22FE4256" w:rsidR="005203B3" w:rsidRPr="009F1AEE" w:rsidRDefault="00CB11F5" w:rsidP="009F1AEE">
      <w:pPr>
        <w:tabs>
          <w:tab w:val="left" w:pos="1440"/>
        </w:tabs>
        <w:ind w:firstLine="720"/>
        <w:rPr>
          <w:rStyle w:val="ssrfcpassagedeactivated"/>
        </w:rPr>
      </w:pPr>
      <w:r w:rsidRPr="009F1AEE">
        <w:rPr>
          <w:rStyle w:val="ssrfcpassagedeactivated"/>
        </w:rPr>
        <w:t xml:space="preserve">According to his declaration, </w:t>
      </w:r>
      <w:proofErr w:type="spellStart"/>
      <w:r w:rsidRPr="009F1AEE">
        <w:rPr>
          <w:rStyle w:val="ssrfcpassagedeactivated"/>
        </w:rPr>
        <w:t>Vivar</w:t>
      </w:r>
      <w:proofErr w:type="spellEnd"/>
      <w:r w:rsidRPr="009F1AEE">
        <w:rPr>
          <w:rStyle w:val="ssrfcpassagedeactivated"/>
        </w:rPr>
        <w:t xml:space="preserve"> told counsel that he was interested in a drug treatment program </w:t>
      </w:r>
      <w:r w:rsidRPr="009F1AEE">
        <w:rPr>
          <w:rStyle w:val="ssrfcpassagedeactivated"/>
          <w:i/>
        </w:rPr>
        <w:t>even if it was not required by the terms of his plea</w:t>
      </w:r>
      <w:r w:rsidR="00F132D5">
        <w:rPr>
          <w:rStyle w:val="ssrfcpassagedeactivated"/>
          <w:iCs/>
        </w:rPr>
        <w:t xml:space="preserve"> </w:t>
      </w:r>
      <w:r w:rsidR="0054286D" w:rsidRPr="009F1AEE">
        <w:rPr>
          <w:rStyle w:val="ssrfcpassagedeactivated"/>
        </w:rPr>
        <w:t>— and c</w:t>
      </w:r>
      <w:r w:rsidR="0007720A" w:rsidRPr="009F1AEE">
        <w:rPr>
          <w:rStyle w:val="ssrfcpassagedeactivated"/>
        </w:rPr>
        <w:t xml:space="preserve">ounsel’s notes corroborate his interest in such a program.  </w:t>
      </w:r>
      <w:proofErr w:type="spellStart"/>
      <w:r w:rsidR="002E58C5" w:rsidRPr="009F1AEE">
        <w:rPr>
          <w:rStyle w:val="ssrfcpassagedeactivated"/>
        </w:rPr>
        <w:t>Vivar</w:t>
      </w:r>
      <w:proofErr w:type="spellEnd"/>
      <w:r w:rsidR="002E58C5" w:rsidRPr="009F1AEE">
        <w:rPr>
          <w:rStyle w:val="ssrfcpassagedeactivated"/>
        </w:rPr>
        <w:t xml:space="preserve">, then, did not perceive a conflict or tradeoff between the goal of drug treatment and the goal of a </w:t>
      </w:r>
      <w:r w:rsidR="00F66F2A">
        <w:rPr>
          <w:rStyle w:val="ssrfcpassagedeactivated"/>
        </w:rPr>
        <w:t>deportation</w:t>
      </w:r>
      <w:r w:rsidR="002E58C5" w:rsidRPr="009F1AEE">
        <w:rPr>
          <w:rStyle w:val="ssrfcpassagedeactivated"/>
        </w:rPr>
        <w:t xml:space="preserve">-neutral disposition.  </w:t>
      </w:r>
      <w:r w:rsidR="00803921" w:rsidRPr="009F1AEE">
        <w:rPr>
          <w:rStyle w:val="ssrfcpassagedeactivated"/>
        </w:rPr>
        <w:t xml:space="preserve">What stands out most clearly from the record is that he </w:t>
      </w:r>
      <w:r w:rsidR="006B1351" w:rsidRPr="009F1AEE">
        <w:rPr>
          <w:rStyle w:val="ssrfcpassagedeactivated"/>
        </w:rPr>
        <w:t xml:space="preserve">was never </w:t>
      </w:r>
      <w:r w:rsidR="00931F16" w:rsidRPr="009F1AEE">
        <w:rPr>
          <w:rStyle w:val="ssrfcpassagedeactivated"/>
        </w:rPr>
        <w:t>properly advised o</w:t>
      </w:r>
      <w:r w:rsidR="00803921" w:rsidRPr="009F1AEE">
        <w:rPr>
          <w:rStyle w:val="ssrfcpassagedeactivated"/>
        </w:rPr>
        <w:t xml:space="preserve">f the role his immigration status would play </w:t>
      </w:r>
      <w:r w:rsidR="002E58C5" w:rsidRPr="009F1AEE">
        <w:rPr>
          <w:rStyle w:val="ssrfcpassagedeactivated"/>
          <w:i/>
        </w:rPr>
        <w:t>either</w:t>
      </w:r>
      <w:r w:rsidR="002E58C5" w:rsidRPr="009F1AEE">
        <w:rPr>
          <w:rStyle w:val="ssrfcpassagedeactivated"/>
        </w:rPr>
        <w:t xml:space="preserve"> </w:t>
      </w:r>
      <w:r w:rsidR="00803921" w:rsidRPr="009F1AEE">
        <w:rPr>
          <w:rStyle w:val="ssrfcpassagedeactivated"/>
        </w:rPr>
        <w:t xml:space="preserve">in assessing the attractiveness of his plea options </w:t>
      </w:r>
      <w:r w:rsidR="00931F16" w:rsidRPr="009F1AEE">
        <w:rPr>
          <w:rStyle w:val="ssrfcpassagedeactivated"/>
          <w:i/>
        </w:rPr>
        <w:t>or</w:t>
      </w:r>
      <w:r w:rsidR="00931F16" w:rsidRPr="009F1AEE">
        <w:rPr>
          <w:rStyle w:val="ssrfcpassagedeactivated"/>
        </w:rPr>
        <w:t xml:space="preserve"> in </w:t>
      </w:r>
      <w:r w:rsidR="001A3968" w:rsidRPr="009F1AEE">
        <w:rPr>
          <w:rStyle w:val="ssrfcpassagedeactivated"/>
        </w:rPr>
        <w:t>his eligibility for a</w:t>
      </w:r>
      <w:r w:rsidR="00803921" w:rsidRPr="009F1AEE">
        <w:rPr>
          <w:rStyle w:val="ssrfcpassagedeactivated"/>
        </w:rPr>
        <w:t xml:space="preserve"> drug treatment program.  </w:t>
      </w:r>
      <w:r w:rsidR="002E58C5" w:rsidRPr="009F1AEE">
        <w:rPr>
          <w:rStyle w:val="ssrfcpassagedeactivated"/>
        </w:rPr>
        <w:t>In fact, the record shows h</w:t>
      </w:r>
      <w:r w:rsidR="00874F53" w:rsidRPr="009F1AEE">
        <w:rPr>
          <w:rStyle w:val="ssrfcpassagedeactivated"/>
        </w:rPr>
        <w:t>e was upset to learn, just a few days after his plea</w:t>
      </w:r>
      <w:r w:rsidR="006B1351" w:rsidRPr="009F1AEE">
        <w:rPr>
          <w:rStyle w:val="ssrfcpassagedeactivated"/>
        </w:rPr>
        <w:t xml:space="preserve">, that he was ineligible for the recommended treatment program precisely </w:t>
      </w:r>
      <w:r w:rsidR="006B1351" w:rsidRPr="009F1AEE">
        <w:rPr>
          <w:rStyle w:val="ssrfcpassagedeactivated"/>
          <w:i/>
        </w:rPr>
        <w:t xml:space="preserve">because </w:t>
      </w:r>
      <w:r w:rsidR="006B1351" w:rsidRPr="009F1AEE">
        <w:rPr>
          <w:rStyle w:val="ssrfcpassagedeactivated"/>
        </w:rPr>
        <w:t xml:space="preserve">of the plea’s impact on his immigration status.  And </w:t>
      </w:r>
      <w:r w:rsidR="00931F16" w:rsidRPr="009F1AEE">
        <w:rPr>
          <w:rStyle w:val="ssrfcpassagedeactivated"/>
        </w:rPr>
        <w:t xml:space="preserve">it was scarcely a month after </w:t>
      </w:r>
      <w:r w:rsidR="007E6C03" w:rsidRPr="009F1AEE">
        <w:rPr>
          <w:rStyle w:val="ssrfcpassagedeactivated"/>
        </w:rPr>
        <w:t>his plea</w:t>
      </w:r>
      <w:r w:rsidR="006B1351" w:rsidRPr="009F1AEE">
        <w:rPr>
          <w:rStyle w:val="ssrfcpassagedeactivated"/>
        </w:rPr>
        <w:t xml:space="preserve">, having heard no response from his lawyer, that he wrote a letter to the court seeking its help.  </w:t>
      </w:r>
      <w:r w:rsidR="00FA0D4E" w:rsidRPr="009F1AEE">
        <w:rPr>
          <w:rStyle w:val="ssrfcpassagedeactivated"/>
        </w:rPr>
        <w:t xml:space="preserve">Had he been properly advised, it’s reasonably probable </w:t>
      </w:r>
      <w:proofErr w:type="spellStart"/>
      <w:r w:rsidR="007B0361" w:rsidRPr="009F1AEE">
        <w:rPr>
          <w:rStyle w:val="ssrfcpassagedeactivated"/>
        </w:rPr>
        <w:t>Vivar</w:t>
      </w:r>
      <w:proofErr w:type="spellEnd"/>
      <w:r w:rsidR="00FA0D4E" w:rsidRPr="009F1AEE">
        <w:rPr>
          <w:rStyle w:val="ssrfcpassagedeactivated"/>
        </w:rPr>
        <w:t xml:space="preserve"> would’ve sought a disposition </w:t>
      </w:r>
      <w:r w:rsidR="0054286D" w:rsidRPr="009F1AEE">
        <w:rPr>
          <w:rStyle w:val="ssrfcpassagedeactivated"/>
        </w:rPr>
        <w:t xml:space="preserve">— like the burglary plea — where he could remain in this country </w:t>
      </w:r>
      <w:r w:rsidR="0054286D" w:rsidRPr="009F1AEE">
        <w:rPr>
          <w:rStyle w:val="ssrfcpassagedeactivated"/>
          <w:i/>
        </w:rPr>
        <w:t xml:space="preserve">and </w:t>
      </w:r>
      <w:r w:rsidR="0054286D" w:rsidRPr="009F1AEE">
        <w:rPr>
          <w:rStyle w:val="ssrfcpassagedeactivated"/>
        </w:rPr>
        <w:t xml:space="preserve">undergo drug treatment.  </w:t>
      </w:r>
      <w:r w:rsidR="005203B3" w:rsidRPr="009F1AEE">
        <w:rPr>
          <w:rStyle w:val="ssrfcpassagedeactivated"/>
        </w:rPr>
        <w:t xml:space="preserve">The Court of Appeal failed to explain </w:t>
      </w:r>
      <w:r w:rsidR="00D417A7" w:rsidRPr="009F1AEE">
        <w:rPr>
          <w:rStyle w:val="ssrfcpassagedeactivated"/>
        </w:rPr>
        <w:t>why</w:t>
      </w:r>
      <w:r w:rsidR="005203B3" w:rsidRPr="009F1AEE">
        <w:rPr>
          <w:rStyle w:val="ssrfcpassagedeactivated"/>
        </w:rPr>
        <w:t xml:space="preserve"> </w:t>
      </w:r>
      <w:proofErr w:type="spellStart"/>
      <w:r w:rsidR="005203B3" w:rsidRPr="009F1AEE">
        <w:rPr>
          <w:rStyle w:val="ssrfcpassagedeactivated"/>
        </w:rPr>
        <w:t>Vivar</w:t>
      </w:r>
      <w:proofErr w:type="spellEnd"/>
      <w:r w:rsidR="005203B3" w:rsidRPr="009F1AEE">
        <w:rPr>
          <w:rStyle w:val="ssrfcpassagedeactivated"/>
        </w:rPr>
        <w:t xml:space="preserve">, if properly advised, </w:t>
      </w:r>
      <w:r w:rsidR="00D417A7" w:rsidRPr="009F1AEE">
        <w:rPr>
          <w:rStyle w:val="ssrfcpassagedeactivated"/>
        </w:rPr>
        <w:t>w</w:t>
      </w:r>
      <w:r w:rsidR="005203B3" w:rsidRPr="009F1AEE">
        <w:rPr>
          <w:rStyle w:val="ssrfcpassagedeactivated"/>
        </w:rPr>
        <w:t xml:space="preserve">ould’ve viewed these goals as </w:t>
      </w:r>
      <w:r w:rsidR="005203B3" w:rsidRPr="009F1AEE">
        <w:rPr>
          <w:rStyle w:val="ssrfcpassagedeactivated"/>
        </w:rPr>
        <w:lastRenderedPageBreak/>
        <w:t>incompatible</w:t>
      </w:r>
      <w:r w:rsidR="007B0361" w:rsidRPr="009F1AEE">
        <w:rPr>
          <w:rStyle w:val="ssrfcpassagedeactivated"/>
        </w:rPr>
        <w:t xml:space="preserve"> — or why, if properly advised, he would’ve </w:t>
      </w:r>
      <w:r w:rsidR="000650F7" w:rsidRPr="009F1AEE">
        <w:rPr>
          <w:rStyle w:val="ssrfcpassagedeactivated"/>
        </w:rPr>
        <w:t xml:space="preserve">insisted on </w:t>
      </w:r>
      <w:r w:rsidR="007B0361" w:rsidRPr="009F1AEE">
        <w:rPr>
          <w:rStyle w:val="ssrfcpassagedeactivated"/>
        </w:rPr>
        <w:t xml:space="preserve">a strategy that prevented him from achieving </w:t>
      </w:r>
      <w:r w:rsidR="007B0361" w:rsidRPr="009F1AEE">
        <w:rPr>
          <w:rStyle w:val="ssrfcpassagedeactivated"/>
          <w:i/>
        </w:rPr>
        <w:t>either</w:t>
      </w:r>
      <w:r w:rsidR="007B0361" w:rsidRPr="009F1AEE">
        <w:rPr>
          <w:rStyle w:val="ssrfcpassagedeactivated"/>
        </w:rPr>
        <w:t xml:space="preserve"> of his goals.  </w:t>
      </w:r>
    </w:p>
    <w:p w14:paraId="7B03C608" w14:textId="07E8F0E2" w:rsidR="00EF77BE" w:rsidRPr="009F1AEE" w:rsidRDefault="005203B3" w:rsidP="009F1AEE">
      <w:pPr>
        <w:tabs>
          <w:tab w:val="left" w:pos="1440"/>
        </w:tabs>
        <w:ind w:firstLine="720"/>
        <w:rPr>
          <w:rStyle w:val="ssrfcpassagedeactivated"/>
        </w:rPr>
      </w:pPr>
      <w:r w:rsidRPr="009F1AEE">
        <w:rPr>
          <w:rStyle w:val="ssrfcpassagedeactivated"/>
        </w:rPr>
        <w:t xml:space="preserve">The Court of Appeal tried to </w:t>
      </w:r>
      <w:r w:rsidR="0054286D" w:rsidRPr="009F1AEE">
        <w:rPr>
          <w:rStyle w:val="ssrfcpassagedeactivated"/>
        </w:rPr>
        <w:t>buttress</w:t>
      </w:r>
      <w:r w:rsidRPr="009F1AEE">
        <w:rPr>
          <w:rStyle w:val="ssrfcpassagedeactivated"/>
        </w:rPr>
        <w:t xml:space="preserve"> its conclusion that </w:t>
      </w:r>
      <w:proofErr w:type="spellStart"/>
      <w:r w:rsidRPr="009F1AEE">
        <w:rPr>
          <w:rStyle w:val="ssrfcpassagedeactivated"/>
        </w:rPr>
        <w:t>Vivar</w:t>
      </w:r>
      <w:proofErr w:type="spellEnd"/>
      <w:r w:rsidRPr="009F1AEE">
        <w:rPr>
          <w:rStyle w:val="ssrfcpassagedeactivated"/>
        </w:rPr>
        <w:t xml:space="preserve"> suffered no prejudice by </w:t>
      </w:r>
      <w:r w:rsidR="003E6293" w:rsidRPr="009F1AEE">
        <w:rPr>
          <w:rStyle w:val="ssrfcpassagedeactivated"/>
        </w:rPr>
        <w:t xml:space="preserve">highlighting “a factual inference the trial court was entitled to draw” and </w:t>
      </w:r>
      <w:r w:rsidR="00F009FB" w:rsidRPr="009F1AEE">
        <w:rPr>
          <w:rStyle w:val="ssrfcpassagedeactivated"/>
        </w:rPr>
        <w:t xml:space="preserve">then </w:t>
      </w:r>
      <w:r w:rsidR="003E6293" w:rsidRPr="009F1AEE">
        <w:rPr>
          <w:rStyle w:val="ssrfcpassagedeactivated"/>
        </w:rPr>
        <w:t>deferring to that inference.  (</w:t>
      </w:r>
      <w:proofErr w:type="spellStart"/>
      <w:r w:rsidR="003E6293" w:rsidRPr="009F1AEE">
        <w:rPr>
          <w:rStyle w:val="ssrfcpassagedeactivated"/>
          <w:i/>
        </w:rPr>
        <w:t>Vivar</w:t>
      </w:r>
      <w:proofErr w:type="spellEnd"/>
      <w:r w:rsidR="003E6293" w:rsidRPr="009F1AEE">
        <w:rPr>
          <w:rStyle w:val="ssrfcpassagedeactivated"/>
        </w:rPr>
        <w:t xml:space="preserve">, </w:t>
      </w:r>
      <w:r w:rsidR="003E6293" w:rsidRPr="009F1AEE">
        <w:rPr>
          <w:rStyle w:val="ssrfcpassagedeactivated"/>
          <w:i/>
        </w:rPr>
        <w:t>supra</w:t>
      </w:r>
      <w:r w:rsidR="003E6293" w:rsidRPr="009F1AEE">
        <w:rPr>
          <w:rStyle w:val="ssrfcpassagedeactivated"/>
        </w:rPr>
        <w:t xml:space="preserve">, </w:t>
      </w:r>
      <w:r w:rsidR="00CE4F12" w:rsidRPr="009F1AEE">
        <w:rPr>
          <w:rStyle w:val="ssrfcpassagedeactivated"/>
        </w:rPr>
        <w:t>43 Cal.App.</w:t>
      </w:r>
      <w:r w:rsidR="00426078">
        <w:rPr>
          <w:rStyle w:val="ssrfcpassagedeactivated"/>
        </w:rPr>
        <w:t>5</w:t>
      </w:r>
      <w:r w:rsidR="00CE4F12" w:rsidRPr="009F1AEE">
        <w:rPr>
          <w:rStyle w:val="ssrfcpassagedeactivated"/>
        </w:rPr>
        <w:t>th a</w:t>
      </w:r>
      <w:r w:rsidR="003E6293" w:rsidRPr="009F1AEE">
        <w:rPr>
          <w:rStyle w:val="ssrfcpassagedeactivated"/>
        </w:rPr>
        <w:t>t p. 230.)</w:t>
      </w:r>
      <w:r w:rsidR="00F009FB" w:rsidRPr="009F1AEE">
        <w:rPr>
          <w:rStyle w:val="ssrfcpassagedeactivated"/>
        </w:rPr>
        <w:t xml:space="preserve">  </w:t>
      </w:r>
      <w:r w:rsidR="00CE4F12" w:rsidRPr="009F1AEE">
        <w:rPr>
          <w:rStyle w:val="ssrfcpassagedeactivated"/>
        </w:rPr>
        <w:t>The trial court’s “ ‘finding’</w:t>
      </w:r>
      <w:r w:rsidR="00C42C1C">
        <w:rPr>
          <w:rStyle w:val="ssrfcpassagedeactivated"/>
        </w:rPr>
        <w:t> </w:t>
      </w:r>
      <w:r w:rsidR="00CE4F12" w:rsidRPr="009F1AEE">
        <w:rPr>
          <w:rStyle w:val="ssrfcpassagedeactivated"/>
        </w:rPr>
        <w:t xml:space="preserve">” was that </w:t>
      </w:r>
      <w:proofErr w:type="spellStart"/>
      <w:r w:rsidR="00CE4F12" w:rsidRPr="009F1AEE">
        <w:rPr>
          <w:rStyle w:val="ssrfcpassagedeactivated"/>
        </w:rPr>
        <w:t>Vivar</w:t>
      </w:r>
      <w:proofErr w:type="spellEnd"/>
      <w:r w:rsidR="00CE4F12" w:rsidRPr="009F1AEE">
        <w:rPr>
          <w:rStyle w:val="ssrfcpassagedeactivated"/>
        </w:rPr>
        <w:t xml:space="preserve"> “</w:t>
      </w:r>
      <w:r w:rsidR="00ED3A0C">
        <w:rPr>
          <w:rStyle w:val="ssrfcpassagedeactivated"/>
        </w:rPr>
        <w:t> </w:t>
      </w:r>
      <w:r w:rsidR="00CE4F12" w:rsidRPr="009F1AEE">
        <w:rPr>
          <w:rStyle w:val="ssrfcpassagedeactivated"/>
        </w:rPr>
        <w:t>‘was more willing to rely on his experiences than he was on his counsel’s advice.’</w:t>
      </w:r>
      <w:r w:rsidR="00C42C1C">
        <w:rPr>
          <w:rStyle w:val="ssrfcpassagedeactivated"/>
        </w:rPr>
        <w:t> </w:t>
      </w:r>
      <w:r w:rsidR="00CE4F12" w:rsidRPr="009F1AEE">
        <w:rPr>
          <w:rStyle w:val="ssrfcpassagedeactivated"/>
        </w:rPr>
        <w:t>”  (</w:t>
      </w:r>
      <w:r w:rsidR="00CE4F12" w:rsidRPr="009F1AEE">
        <w:rPr>
          <w:rStyle w:val="ssrfcpassagedeactivated"/>
          <w:i/>
        </w:rPr>
        <w:t>Ibid</w:t>
      </w:r>
      <w:r w:rsidR="00CE4F12" w:rsidRPr="009F1AEE">
        <w:rPr>
          <w:rStyle w:val="ssrfcpassagedeactivated"/>
        </w:rPr>
        <w:t xml:space="preserve">.)  As we explained in part II.A., </w:t>
      </w:r>
      <w:r w:rsidR="00CE4F12" w:rsidRPr="009F1AEE">
        <w:rPr>
          <w:rStyle w:val="ssrfcpassagedeactivated"/>
          <w:i/>
        </w:rPr>
        <w:t>ante</w:t>
      </w:r>
      <w:r w:rsidR="00CE4F12" w:rsidRPr="009F1AEE">
        <w:rPr>
          <w:rStyle w:val="ssrfcpassagedeactivated"/>
        </w:rPr>
        <w:t xml:space="preserve">, the Court of Appeal was mistaken in believing </w:t>
      </w:r>
      <w:r w:rsidR="00C0469B" w:rsidRPr="009F1AEE">
        <w:rPr>
          <w:rStyle w:val="ssrfcpassagedeactivated"/>
        </w:rPr>
        <w:t>the trial court’s factual findings</w:t>
      </w:r>
      <w:r w:rsidR="00F66F2A">
        <w:rPr>
          <w:rStyle w:val="ssrfcpassagedeactivated"/>
        </w:rPr>
        <w:t>, which were</w:t>
      </w:r>
      <w:r w:rsidR="00C0469B" w:rsidRPr="009F1AEE">
        <w:rPr>
          <w:rStyle w:val="ssrfcpassagedeactivated"/>
        </w:rPr>
        <w:t xml:space="preserve"> </w:t>
      </w:r>
      <w:r w:rsidR="00F66F2A">
        <w:rPr>
          <w:rStyle w:val="ssrfcpassagedeactivated"/>
        </w:rPr>
        <w:t xml:space="preserve">based entirely on a cold record, </w:t>
      </w:r>
      <w:r w:rsidR="00C0469B" w:rsidRPr="009F1AEE">
        <w:rPr>
          <w:rStyle w:val="ssrfcpassagedeactivated"/>
        </w:rPr>
        <w:t xml:space="preserve">“must be accorded deference.”  </w:t>
      </w:r>
      <w:r w:rsidR="004D2F4B" w:rsidRPr="009F1AEE">
        <w:rPr>
          <w:rStyle w:val="ssrfcpassagedeactivated"/>
        </w:rPr>
        <w:t>(</w:t>
      </w:r>
      <w:proofErr w:type="spellStart"/>
      <w:r w:rsidR="004D2F4B" w:rsidRPr="009F1AEE">
        <w:rPr>
          <w:rStyle w:val="ssrfcpassagedeactivated"/>
          <w:i/>
        </w:rPr>
        <w:t>Vivar</w:t>
      </w:r>
      <w:proofErr w:type="spellEnd"/>
      <w:r w:rsidR="00C0469B" w:rsidRPr="009F1AEE">
        <w:rPr>
          <w:rStyle w:val="ssrfcpassagedeactivated"/>
        </w:rPr>
        <w:t>, at p. 2</w:t>
      </w:r>
      <w:r w:rsidR="00361101" w:rsidRPr="009F1AEE">
        <w:rPr>
          <w:rStyle w:val="ssrfcpassagedeactivated"/>
        </w:rPr>
        <w:t>31</w:t>
      </w:r>
      <w:r w:rsidR="00C0469B" w:rsidRPr="009F1AEE">
        <w:rPr>
          <w:rStyle w:val="ssrfcpassagedeactivated"/>
        </w:rPr>
        <w:t xml:space="preserve">.) </w:t>
      </w:r>
      <w:r w:rsidR="004D2F4B" w:rsidRPr="009F1AEE">
        <w:rPr>
          <w:rStyle w:val="ssrfcpassagedeactivated"/>
          <w:i/>
        </w:rPr>
        <w:t xml:space="preserve"> </w:t>
      </w:r>
      <w:r w:rsidR="00CE4F12" w:rsidRPr="009F1AEE">
        <w:rPr>
          <w:rStyle w:val="ssrfcpassagedeactivated"/>
        </w:rPr>
        <w:t xml:space="preserve">An appellate court should </w:t>
      </w:r>
      <w:r w:rsidR="00F66F2A">
        <w:rPr>
          <w:rStyle w:val="ssrfcpassagedeactivated"/>
        </w:rPr>
        <w:t xml:space="preserve">instead </w:t>
      </w:r>
      <w:r w:rsidR="00CE4F12" w:rsidRPr="009F1AEE">
        <w:rPr>
          <w:rStyle w:val="ssrfcpassagedeactivated"/>
        </w:rPr>
        <w:t xml:space="preserve">review </w:t>
      </w:r>
      <w:r w:rsidR="00F66F2A">
        <w:rPr>
          <w:rStyle w:val="ssrfcpassagedeactivated"/>
        </w:rPr>
        <w:t xml:space="preserve">such findings </w:t>
      </w:r>
      <w:r w:rsidR="00CE4F12" w:rsidRPr="009F1AEE">
        <w:rPr>
          <w:rStyle w:val="ssrfcpassagedeactivated"/>
        </w:rPr>
        <w:t xml:space="preserve">independently where, as here, </w:t>
      </w:r>
      <w:r w:rsidR="00211954" w:rsidRPr="009F1AEE">
        <w:rPr>
          <w:rStyle w:val="ssrfcpassagedeactivated"/>
        </w:rPr>
        <w:t xml:space="preserve">the factual record consists </w:t>
      </w:r>
      <w:r w:rsidR="00D5108B" w:rsidRPr="009F1AEE">
        <w:rPr>
          <w:rStyle w:val="ssrfcpassagedeactivated"/>
        </w:rPr>
        <w:t xml:space="preserve">entirely </w:t>
      </w:r>
      <w:r w:rsidR="00211954" w:rsidRPr="009F1AEE">
        <w:rPr>
          <w:rStyle w:val="ssrfcpassagedeactivated"/>
        </w:rPr>
        <w:t xml:space="preserve">of written documents.  </w:t>
      </w:r>
      <w:r w:rsidR="00503FE3" w:rsidRPr="009F1AEE">
        <w:rPr>
          <w:rStyle w:val="ssrfcpassagedeactivated"/>
        </w:rPr>
        <w:t xml:space="preserve">Reviewing this </w:t>
      </w:r>
      <w:r w:rsidR="00D5108B" w:rsidRPr="009F1AEE">
        <w:rPr>
          <w:rStyle w:val="ssrfcpassagedeactivated"/>
        </w:rPr>
        <w:t xml:space="preserve">cold </w:t>
      </w:r>
      <w:r w:rsidR="00503FE3" w:rsidRPr="009F1AEE">
        <w:rPr>
          <w:rStyle w:val="ssrfcpassagedeactivated"/>
        </w:rPr>
        <w:t xml:space="preserve">record under that standard, </w:t>
      </w:r>
      <w:r w:rsidR="00730AE7" w:rsidRPr="009F1AEE">
        <w:rPr>
          <w:rStyle w:val="ssrfcpassagedeactivated"/>
        </w:rPr>
        <w:t xml:space="preserve">we </w:t>
      </w:r>
      <w:r w:rsidR="00B27ED5" w:rsidRPr="009F1AEE">
        <w:rPr>
          <w:rStyle w:val="ssrfcpassagedeactivated"/>
        </w:rPr>
        <w:t>rejec</w:t>
      </w:r>
      <w:r w:rsidR="00730AE7" w:rsidRPr="009F1AEE">
        <w:rPr>
          <w:rStyle w:val="ssrfcpassagedeactivated"/>
        </w:rPr>
        <w:t>t the trial court’s finding</w:t>
      </w:r>
      <w:r w:rsidR="00503FE3" w:rsidRPr="009F1AEE">
        <w:rPr>
          <w:rStyle w:val="ssrfcpassagedeactivated"/>
        </w:rPr>
        <w:t xml:space="preserve">.  If </w:t>
      </w:r>
      <w:proofErr w:type="spellStart"/>
      <w:r w:rsidR="00503FE3" w:rsidRPr="009F1AEE">
        <w:rPr>
          <w:rStyle w:val="ssrfcpassagedeactivated"/>
        </w:rPr>
        <w:t>Vivar</w:t>
      </w:r>
      <w:proofErr w:type="spellEnd"/>
      <w:r w:rsidR="00503FE3" w:rsidRPr="009F1AEE">
        <w:rPr>
          <w:rStyle w:val="ssrfcpassagedeactivated"/>
        </w:rPr>
        <w:t xml:space="preserve"> </w:t>
      </w:r>
      <w:r w:rsidR="002B49BF" w:rsidRPr="009F1AEE">
        <w:rPr>
          <w:rStyle w:val="ssrfcpassagedeactivated"/>
        </w:rPr>
        <w:t xml:space="preserve">acted under </w:t>
      </w:r>
      <w:r w:rsidR="0054286D" w:rsidRPr="009F1AEE">
        <w:rPr>
          <w:rStyle w:val="ssrfcpassagedeactivated"/>
        </w:rPr>
        <w:t xml:space="preserve">the misimpression </w:t>
      </w:r>
      <w:r w:rsidR="002B49BF" w:rsidRPr="009F1AEE">
        <w:rPr>
          <w:rStyle w:val="ssrfcpassagedeactivated"/>
        </w:rPr>
        <w:t>that h</w:t>
      </w:r>
      <w:r w:rsidR="00E93FC3" w:rsidRPr="009F1AEE">
        <w:rPr>
          <w:rStyle w:val="ssrfcpassagedeactivated"/>
        </w:rPr>
        <w:t xml:space="preserve">e could avoid immigration consequences so long as his </w:t>
      </w:r>
      <w:r w:rsidR="00E439C9" w:rsidRPr="009F1AEE">
        <w:rPr>
          <w:rStyle w:val="ssrfcpassagedeactivated"/>
        </w:rPr>
        <w:t xml:space="preserve">ultimate sentence </w:t>
      </w:r>
      <w:r w:rsidR="00361101" w:rsidRPr="009F1AEE">
        <w:rPr>
          <w:rStyle w:val="ssrfcpassagedeactivated"/>
        </w:rPr>
        <w:t>was a year or less</w:t>
      </w:r>
      <w:r w:rsidR="00503FE3" w:rsidRPr="009F1AEE">
        <w:rPr>
          <w:rStyle w:val="ssrfcpassagedeactivated"/>
        </w:rPr>
        <w:t>, it likely was because he failed to receive adequate and accurate advice from counsel about the immigration consequences attached to his plea options.</w:t>
      </w:r>
      <w:r w:rsidR="00E71CBC" w:rsidRPr="009F1AEE">
        <w:rPr>
          <w:rStyle w:val="ssrfcpassagedeactivated"/>
        </w:rPr>
        <w:t xml:space="preserve">  </w:t>
      </w:r>
      <w:r w:rsidR="00B719D5" w:rsidRPr="009F1AEE">
        <w:rPr>
          <w:rStyle w:val="ssrfcpassagedeactivated"/>
        </w:rPr>
        <w:t xml:space="preserve">Without proper advice, </w:t>
      </w:r>
      <w:proofErr w:type="spellStart"/>
      <w:r w:rsidR="004C127B" w:rsidRPr="009F1AEE">
        <w:rPr>
          <w:rStyle w:val="ssrfcpassagedeactivated"/>
        </w:rPr>
        <w:t>Vivar</w:t>
      </w:r>
      <w:proofErr w:type="spellEnd"/>
      <w:r w:rsidR="004C127B" w:rsidRPr="009F1AEE">
        <w:rPr>
          <w:rStyle w:val="ssrfcpassagedeactivated"/>
        </w:rPr>
        <w:t xml:space="preserve"> had no choice but to rely on his own experiences and judgment, no matter how uninformed they might be.  </w:t>
      </w:r>
      <w:r w:rsidR="00864828" w:rsidRPr="009F1AEE">
        <w:rPr>
          <w:rStyle w:val="ssrfcpassagedeactivated"/>
        </w:rPr>
        <w:t>Had he truly been “unwilling to listen to the advice of counsel” (</w:t>
      </w:r>
      <w:r w:rsidR="00864828" w:rsidRPr="009F1AEE">
        <w:rPr>
          <w:rStyle w:val="ssrfcpassagedeactivated"/>
          <w:i/>
        </w:rPr>
        <w:t>id</w:t>
      </w:r>
      <w:r w:rsidR="00864828" w:rsidRPr="009F1AEE">
        <w:rPr>
          <w:rStyle w:val="ssrfcpassagedeactivated"/>
        </w:rPr>
        <w:t>.</w:t>
      </w:r>
      <w:r w:rsidR="00F132D5">
        <w:rPr>
          <w:rStyle w:val="ssrfcpassagedeactivated"/>
        </w:rPr>
        <w:t xml:space="preserve"> at p. 230</w:t>
      </w:r>
      <w:r w:rsidR="00864828" w:rsidRPr="009F1AEE">
        <w:rPr>
          <w:rStyle w:val="ssrfcpassagedeactivated"/>
        </w:rPr>
        <w:t xml:space="preserve">), he </w:t>
      </w:r>
      <w:r w:rsidR="00DF1FE6" w:rsidRPr="009F1AEE">
        <w:rPr>
          <w:rStyle w:val="ssrfcpassagedeactivated"/>
        </w:rPr>
        <w:t xml:space="preserve">never </w:t>
      </w:r>
      <w:r w:rsidR="00864828" w:rsidRPr="009F1AEE">
        <w:rPr>
          <w:rStyle w:val="ssrfcpassagedeactivated"/>
        </w:rPr>
        <w:t>would</w:t>
      </w:r>
      <w:r w:rsidR="00DF1FE6" w:rsidRPr="009F1AEE">
        <w:rPr>
          <w:rStyle w:val="ssrfcpassagedeactivated"/>
        </w:rPr>
        <w:t>’ve</w:t>
      </w:r>
      <w:r w:rsidR="00864828" w:rsidRPr="009F1AEE">
        <w:rPr>
          <w:rStyle w:val="ssrfcpassagedeactivated"/>
        </w:rPr>
        <w:t xml:space="preserve"> expressed to her his concern about the consequences of his plea.  </w:t>
      </w:r>
      <w:r w:rsidR="008D313B" w:rsidRPr="009F1AEE">
        <w:rPr>
          <w:rStyle w:val="ssrfcpassagedeactivated"/>
        </w:rPr>
        <w:t>And h</w:t>
      </w:r>
      <w:r w:rsidR="00DF1FE6" w:rsidRPr="009F1AEE">
        <w:rPr>
          <w:rStyle w:val="ssrfcpassagedeactivated"/>
        </w:rPr>
        <w:t xml:space="preserve">ad he been correctly advised about those consequences, it’s reasonably probable he wouldn’t have entered the plea that </w:t>
      </w:r>
      <w:r w:rsidR="00EF77BE" w:rsidRPr="009F1AEE">
        <w:rPr>
          <w:rStyle w:val="ssrfcpassagedeactivated"/>
        </w:rPr>
        <w:t xml:space="preserve">triggered </w:t>
      </w:r>
      <w:r w:rsidR="00DF1FE6" w:rsidRPr="009F1AEE">
        <w:rPr>
          <w:rStyle w:val="ssrfcpassagedeactivated"/>
        </w:rPr>
        <w:t>his deportation.</w:t>
      </w:r>
      <w:r w:rsidR="0084393B" w:rsidRPr="009F1AEE">
        <w:rPr>
          <w:rStyle w:val="ssrfcpassagedeactivated"/>
        </w:rPr>
        <w:t xml:space="preserve"> </w:t>
      </w:r>
      <w:r w:rsidR="00F132D5">
        <w:rPr>
          <w:rStyle w:val="ssrfcpassagedeactivated"/>
        </w:rPr>
        <w:t xml:space="preserve"> </w:t>
      </w:r>
      <w:r w:rsidR="0084393B" w:rsidRPr="009F1AEE">
        <w:rPr>
          <w:rStyle w:val="ssrfcpassagedeactivated"/>
        </w:rPr>
        <w:t>The Court of Appeal erred in holding otherwise.</w:t>
      </w:r>
    </w:p>
    <w:p w14:paraId="5D305905" w14:textId="2F269900" w:rsidR="003E6EE5" w:rsidRPr="009F1AEE" w:rsidRDefault="00174243" w:rsidP="009F1AEE">
      <w:pPr>
        <w:tabs>
          <w:tab w:val="left" w:pos="1440"/>
        </w:tabs>
        <w:ind w:firstLine="720"/>
        <w:rPr>
          <w:rStyle w:val="ssrfcpassagedeactivated"/>
        </w:rPr>
      </w:pPr>
      <w:r w:rsidRPr="009F1AEE">
        <w:rPr>
          <w:rStyle w:val="ssrfcpassagedeactivated"/>
        </w:rPr>
        <w:t xml:space="preserve">Finally, we conclude that the advisements in </w:t>
      </w:r>
      <w:proofErr w:type="spellStart"/>
      <w:r w:rsidR="00D5108B" w:rsidRPr="009F1AEE">
        <w:rPr>
          <w:rStyle w:val="ssrfcpassagedeactivated"/>
        </w:rPr>
        <w:t>Vivar’s</w:t>
      </w:r>
      <w:proofErr w:type="spellEnd"/>
      <w:r w:rsidRPr="009F1AEE">
        <w:rPr>
          <w:rStyle w:val="ssrfcpassagedeactivated"/>
        </w:rPr>
        <w:t xml:space="preserve"> plea form did not </w:t>
      </w:r>
      <w:r w:rsidR="00D5108B" w:rsidRPr="009F1AEE">
        <w:rPr>
          <w:rStyle w:val="ssrfcpassagedeactivated"/>
        </w:rPr>
        <w:t xml:space="preserve">mitigate the prejudice from counsel’s deficient </w:t>
      </w:r>
      <w:r w:rsidR="00D5108B" w:rsidRPr="009F1AEE">
        <w:rPr>
          <w:rStyle w:val="ssrfcpassagedeactivated"/>
        </w:rPr>
        <w:lastRenderedPageBreak/>
        <w:t>immigration advice</w:t>
      </w:r>
      <w:r w:rsidRPr="009F1AEE">
        <w:rPr>
          <w:rStyle w:val="ssrfcpassagedeactivated"/>
        </w:rPr>
        <w:t xml:space="preserve">.  </w:t>
      </w:r>
      <w:r w:rsidR="000D4911" w:rsidRPr="009F1AEE">
        <w:rPr>
          <w:rStyle w:val="ssrfcpassagedeactivated"/>
        </w:rPr>
        <w:t xml:space="preserve">What the plea form stated was that deportation was a </w:t>
      </w:r>
      <w:r w:rsidR="007903A2" w:rsidRPr="009F1AEE">
        <w:rPr>
          <w:rStyle w:val="ssrfcpassagedeactivated"/>
        </w:rPr>
        <w:t xml:space="preserve">possibility.  </w:t>
      </w:r>
      <w:r w:rsidR="00BA35B5" w:rsidRPr="009F1AEE">
        <w:rPr>
          <w:rStyle w:val="ssrfcpassagedeactivated"/>
        </w:rPr>
        <w:t>(</w:t>
      </w:r>
      <w:proofErr w:type="spellStart"/>
      <w:r w:rsidR="00BA35B5" w:rsidRPr="009F1AEE">
        <w:rPr>
          <w:rStyle w:val="ssrfcpassagedeactivated"/>
          <w:i/>
        </w:rPr>
        <w:t>Vivar</w:t>
      </w:r>
      <w:proofErr w:type="spellEnd"/>
      <w:r w:rsidR="00BA35B5" w:rsidRPr="009F1AEE">
        <w:rPr>
          <w:rStyle w:val="ssrfcpassagedeactivated"/>
        </w:rPr>
        <w:t xml:space="preserve">, </w:t>
      </w:r>
      <w:r w:rsidR="00BA35B5" w:rsidRPr="009F1AEE">
        <w:rPr>
          <w:rStyle w:val="ssrfcpassagedeactivated"/>
          <w:i/>
        </w:rPr>
        <w:t>supra</w:t>
      </w:r>
      <w:r w:rsidR="00BA35B5" w:rsidRPr="009F1AEE">
        <w:rPr>
          <w:rStyle w:val="ssrfcpassagedeactivated"/>
        </w:rPr>
        <w:t>, 43 Cal.App.</w:t>
      </w:r>
      <w:r w:rsidR="00426078">
        <w:rPr>
          <w:rStyle w:val="ssrfcpassagedeactivated"/>
        </w:rPr>
        <w:t>5</w:t>
      </w:r>
      <w:r w:rsidR="00BA35B5" w:rsidRPr="009F1AEE">
        <w:rPr>
          <w:rStyle w:val="ssrfcpassagedeactivated"/>
        </w:rPr>
        <w:t xml:space="preserve">th at p. 228.)  </w:t>
      </w:r>
      <w:r w:rsidR="000D4911" w:rsidRPr="009F1AEE">
        <w:rPr>
          <w:rStyle w:val="ssrfcpassagedeactivated"/>
        </w:rPr>
        <w:t xml:space="preserve">The problem for </w:t>
      </w:r>
      <w:proofErr w:type="spellStart"/>
      <w:r w:rsidR="000D4911" w:rsidRPr="009F1AEE">
        <w:rPr>
          <w:rStyle w:val="ssrfcpassagedeactivated"/>
        </w:rPr>
        <w:t>Vivar</w:t>
      </w:r>
      <w:proofErr w:type="spellEnd"/>
      <w:r w:rsidR="000D4911" w:rsidRPr="009F1AEE">
        <w:rPr>
          <w:rStyle w:val="ssrfcpassagedeactivated"/>
        </w:rPr>
        <w:t xml:space="preserve">, though, was that </w:t>
      </w:r>
      <w:r w:rsidR="007903A2" w:rsidRPr="009F1AEE">
        <w:rPr>
          <w:rStyle w:val="ssrfcpassagedeactivated"/>
        </w:rPr>
        <w:t xml:space="preserve">deportation in </w:t>
      </w:r>
      <w:r w:rsidR="0084393B" w:rsidRPr="009F1AEE">
        <w:rPr>
          <w:rStyle w:val="ssrfcpassagedeactivated"/>
        </w:rPr>
        <w:t>these</w:t>
      </w:r>
      <w:r w:rsidR="007903A2" w:rsidRPr="009F1AEE">
        <w:rPr>
          <w:rStyle w:val="ssrfcpassagedeactivated"/>
        </w:rPr>
        <w:t xml:space="preserve"> circumstances was mandatory</w:t>
      </w:r>
      <w:r w:rsidR="00B27ED5" w:rsidRPr="009F1AEE">
        <w:rPr>
          <w:rStyle w:val="ssrfcpassagedeactivated"/>
        </w:rPr>
        <w:t xml:space="preserve"> </w:t>
      </w:r>
      <w:r w:rsidR="00F132D5" w:rsidRPr="00F132D5">
        <w:rPr>
          <w:rStyle w:val="ssrfcpassagedeactivated"/>
        </w:rPr>
        <w:t>—</w:t>
      </w:r>
      <w:r w:rsidR="00B27ED5" w:rsidRPr="009F1AEE">
        <w:rPr>
          <w:rStyle w:val="ssrfcpassagedeactivated"/>
        </w:rPr>
        <w:t xml:space="preserve"> and when he </w:t>
      </w:r>
      <w:r w:rsidR="008F2E97">
        <w:rPr>
          <w:rStyle w:val="ssrfcpassagedeactivated"/>
        </w:rPr>
        <w:t>accepted</w:t>
      </w:r>
      <w:r w:rsidR="00B27ED5" w:rsidRPr="009F1AEE">
        <w:rPr>
          <w:rStyle w:val="ssrfcpassagedeactivated"/>
        </w:rPr>
        <w:t xml:space="preserve"> the plea deal, he remained unaware of that crucial fact</w:t>
      </w:r>
      <w:r w:rsidR="007903A2" w:rsidRPr="009F1AEE">
        <w:rPr>
          <w:rStyle w:val="ssrfcpassagedeactivated"/>
        </w:rPr>
        <w:t xml:space="preserve">.  </w:t>
      </w:r>
      <w:r w:rsidR="00FB2CA8" w:rsidRPr="009F1AEE">
        <w:rPr>
          <w:rStyle w:val="ssrfcpassagedeactivated"/>
        </w:rPr>
        <w:t xml:space="preserve">(See </w:t>
      </w:r>
      <w:r w:rsidR="00FB2CA8" w:rsidRPr="009F1AEE">
        <w:rPr>
          <w:rStyle w:val="ssrfcpassagedeactivated"/>
          <w:i/>
        </w:rPr>
        <w:t>Patterson</w:t>
      </w:r>
      <w:r w:rsidR="00FB2CA8" w:rsidRPr="009F1AEE">
        <w:rPr>
          <w:rStyle w:val="ssrfcpassagedeactivated"/>
        </w:rPr>
        <w:t xml:space="preserve">, </w:t>
      </w:r>
      <w:r w:rsidR="00FB2CA8" w:rsidRPr="009F1AEE">
        <w:rPr>
          <w:rStyle w:val="ssrfcpassagedeactivated"/>
          <w:i/>
        </w:rPr>
        <w:t>supra</w:t>
      </w:r>
      <w:r w:rsidR="00FB2CA8" w:rsidRPr="009F1AEE">
        <w:rPr>
          <w:rStyle w:val="ssrfcpassagedeactivated"/>
        </w:rPr>
        <w:t>, 2 Cal.5th at p</w:t>
      </w:r>
      <w:r w:rsidR="00952B36" w:rsidRPr="009F1AEE">
        <w:rPr>
          <w:rStyle w:val="ssrfcpassagedeactivated"/>
        </w:rPr>
        <w:t>p</w:t>
      </w:r>
      <w:r w:rsidR="00FB2CA8" w:rsidRPr="009F1AEE">
        <w:rPr>
          <w:rStyle w:val="ssrfcpassagedeactivated"/>
        </w:rPr>
        <w:t>. 896</w:t>
      </w:r>
      <w:r w:rsidR="00952B36" w:rsidRPr="009F1AEE">
        <w:rPr>
          <w:rStyle w:val="ssrfcpassagedeactivated"/>
        </w:rPr>
        <w:t>, 898</w:t>
      </w:r>
      <w:r w:rsidR="00FB2CA8" w:rsidRPr="009F1AEE">
        <w:rPr>
          <w:rStyle w:val="ssrfcpassagedeactivated"/>
        </w:rPr>
        <w:t xml:space="preserve">.)  </w:t>
      </w:r>
      <w:r w:rsidR="007903A2" w:rsidRPr="009F1AEE">
        <w:rPr>
          <w:rStyle w:val="ssrfcpassagedeactivated"/>
        </w:rPr>
        <w:t xml:space="preserve">In light of </w:t>
      </w:r>
      <w:proofErr w:type="spellStart"/>
      <w:r w:rsidR="007903A2" w:rsidRPr="009F1AEE">
        <w:rPr>
          <w:rStyle w:val="ssrfcpassagedeactivated"/>
        </w:rPr>
        <w:t>Vivar’s</w:t>
      </w:r>
      <w:proofErr w:type="spellEnd"/>
      <w:r w:rsidR="007903A2" w:rsidRPr="009F1AEE">
        <w:rPr>
          <w:rStyle w:val="ssrfcpassagedeactivated"/>
        </w:rPr>
        <w:t xml:space="preserve"> extensive ties to the United States, the </w:t>
      </w:r>
      <w:r w:rsidR="00651E56" w:rsidRPr="009F1AEE">
        <w:rPr>
          <w:rStyle w:val="ssrfcpassagedeactivated"/>
        </w:rPr>
        <w:t>generic advisements in the plea form d</w:t>
      </w:r>
      <w:r w:rsidR="00FB2CA8" w:rsidRPr="009F1AEE">
        <w:rPr>
          <w:rStyle w:val="ssrfcpassagedeactivated"/>
        </w:rPr>
        <w:t>o n</w:t>
      </w:r>
      <w:r w:rsidR="00651E56" w:rsidRPr="009F1AEE">
        <w:rPr>
          <w:rStyle w:val="ssrfcpassagedeactivated"/>
        </w:rPr>
        <w:t xml:space="preserve">ot undermine </w:t>
      </w:r>
      <w:r w:rsidR="00FB2CA8" w:rsidRPr="009F1AEE">
        <w:rPr>
          <w:rStyle w:val="ssrfcpassagedeactivated"/>
        </w:rPr>
        <w:t>our</w:t>
      </w:r>
      <w:r w:rsidR="00651E56" w:rsidRPr="009F1AEE">
        <w:rPr>
          <w:rStyle w:val="ssrfcpassagedeactivated"/>
        </w:rPr>
        <w:t xml:space="preserve"> </w:t>
      </w:r>
      <w:r w:rsidR="000D4911" w:rsidRPr="009F1AEE">
        <w:rPr>
          <w:rStyle w:val="ssrfcpassagedeactivated"/>
        </w:rPr>
        <w:t>conclusion that he was prejudiced by counsel’s failure to inform him that his plea would result in his deportation</w:t>
      </w:r>
      <w:r w:rsidR="007903A2" w:rsidRPr="009F1AEE">
        <w:rPr>
          <w:rStyle w:val="ssrfcpassagedeactivated"/>
        </w:rPr>
        <w:t xml:space="preserve">.  (See </w:t>
      </w:r>
      <w:r w:rsidR="00F20669" w:rsidRPr="009F1AEE">
        <w:rPr>
          <w:rStyle w:val="ssrfcpassagedeactivated"/>
          <w:i/>
        </w:rPr>
        <w:t xml:space="preserve">In re Hernandez </w:t>
      </w:r>
      <w:r w:rsidR="00F20669" w:rsidRPr="009F1AEE">
        <w:rPr>
          <w:rStyle w:val="ssrfcpassagedeactivated"/>
        </w:rPr>
        <w:t>(2019) 33 Cal.App.5th 530, 547</w:t>
      </w:r>
      <w:r w:rsidR="002C70B6">
        <w:t>–</w:t>
      </w:r>
      <w:r w:rsidR="00640C35" w:rsidRPr="009F1AEE">
        <w:rPr>
          <w:rStyle w:val="ssrfcpassagedeactivated"/>
        </w:rPr>
        <w:t>548</w:t>
      </w:r>
      <w:r w:rsidR="00F20669" w:rsidRPr="009F1AEE">
        <w:rPr>
          <w:rStyle w:val="ssrfcpassagedeactivated"/>
        </w:rPr>
        <w:t xml:space="preserve">; </w:t>
      </w:r>
      <w:r w:rsidR="007903A2" w:rsidRPr="009F1AEE">
        <w:rPr>
          <w:rStyle w:val="ssrfcpassagedeactivated"/>
          <w:i/>
        </w:rPr>
        <w:t xml:space="preserve">People v. Espinoza </w:t>
      </w:r>
      <w:r w:rsidR="007903A2" w:rsidRPr="009F1AEE">
        <w:rPr>
          <w:rStyle w:val="ssrfcpassagedeactivated"/>
        </w:rPr>
        <w:t xml:space="preserve">(2018) 27 Cal.App.5th 908, </w:t>
      </w:r>
      <w:r w:rsidR="00640C35" w:rsidRPr="009F1AEE">
        <w:rPr>
          <w:rStyle w:val="ssrfcpassagedeactivated"/>
        </w:rPr>
        <w:t>916</w:t>
      </w:r>
      <w:r w:rsidR="002C70B6">
        <w:t>–</w:t>
      </w:r>
      <w:r w:rsidR="007903A2" w:rsidRPr="009F1AEE">
        <w:rPr>
          <w:rStyle w:val="ssrfcpassagedeactivated"/>
        </w:rPr>
        <w:t>917</w:t>
      </w:r>
      <w:r w:rsidR="009E21EF" w:rsidRPr="009F1AEE">
        <w:rPr>
          <w:rStyle w:val="ssrfcpassagedeactivated"/>
        </w:rPr>
        <w:t xml:space="preserve">; </w:t>
      </w:r>
      <w:proofErr w:type="spellStart"/>
      <w:r w:rsidR="009E21EF" w:rsidRPr="009F1AEE">
        <w:rPr>
          <w:rStyle w:val="ssrfcpassagedeactivated"/>
          <w:i/>
        </w:rPr>
        <w:t>Ogunmowo</w:t>
      </w:r>
      <w:proofErr w:type="spellEnd"/>
      <w:r w:rsidR="009E21EF" w:rsidRPr="009F1AEE">
        <w:rPr>
          <w:rStyle w:val="ssrfcpassagedeactivated"/>
        </w:rPr>
        <w:t xml:space="preserve">, </w:t>
      </w:r>
      <w:r w:rsidR="009E21EF" w:rsidRPr="009F1AEE">
        <w:rPr>
          <w:rStyle w:val="ssrfcpassagedeactivated"/>
          <w:i/>
        </w:rPr>
        <w:t>supra</w:t>
      </w:r>
      <w:r w:rsidR="009E21EF" w:rsidRPr="009F1AEE">
        <w:rPr>
          <w:rStyle w:val="ssrfcpassagedeactivated"/>
        </w:rPr>
        <w:t>, 23 Cal.App.5th at pp. 80</w:t>
      </w:r>
      <w:r w:rsidR="002C70B6">
        <w:t>–</w:t>
      </w:r>
      <w:r w:rsidR="009E21EF" w:rsidRPr="009F1AEE">
        <w:rPr>
          <w:rStyle w:val="ssrfcpassagedeactivated"/>
        </w:rPr>
        <w:t>81</w:t>
      </w:r>
      <w:r w:rsidR="007903A2" w:rsidRPr="009F1AEE">
        <w:rPr>
          <w:rStyle w:val="ssrfcpassagedeactivated"/>
        </w:rPr>
        <w:t>.)</w:t>
      </w:r>
      <w:r w:rsidRPr="009F1AEE">
        <w:rPr>
          <w:rStyle w:val="ssrfcpassagedeactivated"/>
        </w:rPr>
        <w:t xml:space="preserve">  </w:t>
      </w:r>
    </w:p>
    <w:p w14:paraId="36FDAE14" w14:textId="4B579D20" w:rsidR="00E53962" w:rsidRPr="009F1AEE" w:rsidRDefault="00E53962" w:rsidP="009F1AEE">
      <w:pPr>
        <w:pStyle w:val="Heading1"/>
        <w:rPr>
          <w:rStyle w:val="ssrfcpassagedeactivated"/>
        </w:rPr>
      </w:pPr>
      <w:r w:rsidRPr="009F1AEE">
        <w:rPr>
          <w:rStyle w:val="ssrfcpassagedeactivated"/>
        </w:rPr>
        <w:t>III.</w:t>
      </w:r>
    </w:p>
    <w:p w14:paraId="465F9558" w14:textId="0C411FE8" w:rsidR="00D90A3C" w:rsidRPr="009F1AEE" w:rsidRDefault="003A5D0E" w:rsidP="009F1AEE">
      <w:pPr>
        <w:tabs>
          <w:tab w:val="left" w:pos="1440"/>
        </w:tabs>
        <w:ind w:firstLine="720"/>
        <w:rPr>
          <w:rStyle w:val="ssrfcpassagedeactivated"/>
        </w:rPr>
      </w:pPr>
      <w:r w:rsidRPr="009F1AEE">
        <w:rPr>
          <w:rStyle w:val="ssrfcpassagedeactivated"/>
        </w:rPr>
        <w:t>Defendants</w:t>
      </w:r>
      <w:r w:rsidR="00B27ED5" w:rsidRPr="009F1AEE">
        <w:rPr>
          <w:rStyle w:val="ssrfcpassagedeactivated"/>
        </w:rPr>
        <w:t xml:space="preserve"> </w:t>
      </w:r>
      <w:r w:rsidRPr="009F1AEE">
        <w:rPr>
          <w:rStyle w:val="ssrfcpassagedeactivated"/>
        </w:rPr>
        <w:t>who lack U</w:t>
      </w:r>
      <w:r w:rsidR="00F132D5">
        <w:rPr>
          <w:rStyle w:val="ssrfcpassagedeactivated"/>
        </w:rPr>
        <w:t>nited States</w:t>
      </w:r>
      <w:r w:rsidRPr="009F1AEE">
        <w:rPr>
          <w:rStyle w:val="ssrfcpassagedeactivated"/>
        </w:rPr>
        <w:t xml:space="preserve"> citizenship </w:t>
      </w:r>
      <w:r w:rsidR="00B27ED5" w:rsidRPr="009F1AEE">
        <w:rPr>
          <w:rStyle w:val="ssrfcpassagedeactivated"/>
        </w:rPr>
        <w:t xml:space="preserve">sometimes face not only penal sanctions but </w:t>
      </w:r>
      <w:r w:rsidR="00F132D5">
        <w:rPr>
          <w:rStyle w:val="ssrfcpassagedeactivated"/>
        </w:rPr>
        <w:t xml:space="preserve">also </w:t>
      </w:r>
      <w:r w:rsidRPr="009F1AEE">
        <w:rPr>
          <w:rStyle w:val="ssrfcpassagedeactivated"/>
        </w:rPr>
        <w:t xml:space="preserve">harsh </w:t>
      </w:r>
      <w:r w:rsidR="00B27ED5" w:rsidRPr="009F1AEE">
        <w:rPr>
          <w:rStyle w:val="ssrfcpassagedeactivated"/>
        </w:rPr>
        <w:t xml:space="preserve">immigration consequences </w:t>
      </w:r>
      <w:r w:rsidR="00A47A03" w:rsidRPr="009F1AEE">
        <w:rPr>
          <w:rStyle w:val="ssrfcpassagedeactivated"/>
        </w:rPr>
        <w:t>if</w:t>
      </w:r>
      <w:r w:rsidR="00B27ED5" w:rsidRPr="009F1AEE">
        <w:rPr>
          <w:rStyle w:val="ssrfcpassagedeactivated"/>
        </w:rPr>
        <w:t xml:space="preserve"> convict</w:t>
      </w:r>
      <w:r w:rsidR="00A47A03" w:rsidRPr="009F1AEE">
        <w:rPr>
          <w:rStyle w:val="ssrfcpassagedeactivated"/>
        </w:rPr>
        <w:t>ed</w:t>
      </w:r>
      <w:r w:rsidR="00611858" w:rsidRPr="009F1AEE">
        <w:rPr>
          <w:rStyle w:val="ssrfcpassagedeactivated"/>
        </w:rPr>
        <w:t xml:space="preserve">.  Because of this, pleas accepted in the shadow of deficient </w:t>
      </w:r>
      <w:r w:rsidR="00CC5CCF" w:rsidRPr="009F1AEE">
        <w:rPr>
          <w:rStyle w:val="ssrfcpassagedeactivated"/>
        </w:rPr>
        <w:t>advice</w:t>
      </w:r>
      <w:r w:rsidR="00611858" w:rsidRPr="009F1AEE">
        <w:rPr>
          <w:rStyle w:val="ssrfcpassagedeactivated"/>
        </w:rPr>
        <w:t xml:space="preserve"> about the risks of deportation can </w:t>
      </w:r>
      <w:r w:rsidR="00ED7EE8" w:rsidRPr="009F1AEE">
        <w:rPr>
          <w:rStyle w:val="ssrfcpassagedeactivated"/>
        </w:rPr>
        <w:t>have</w:t>
      </w:r>
      <w:r w:rsidR="00611858" w:rsidRPr="009F1AEE">
        <w:rPr>
          <w:rStyle w:val="ssrfcpassagedeactivated"/>
        </w:rPr>
        <w:t xml:space="preserve"> </w:t>
      </w:r>
      <w:r w:rsidR="00ED7EE8" w:rsidRPr="009F1AEE">
        <w:rPr>
          <w:rStyle w:val="ssrfcpassagedeactivated"/>
        </w:rPr>
        <w:t xml:space="preserve">“dire” </w:t>
      </w:r>
      <w:r w:rsidRPr="009F1AEE">
        <w:rPr>
          <w:rStyle w:val="ssrfcpassagedeactivated"/>
        </w:rPr>
        <w:t>repercussions</w:t>
      </w:r>
      <w:r w:rsidR="00611858" w:rsidRPr="009F1AEE">
        <w:rPr>
          <w:rStyle w:val="ssrfcpassagedeactivated"/>
        </w:rPr>
        <w:t xml:space="preserve">.  </w:t>
      </w:r>
      <w:r w:rsidR="00ED7EE8" w:rsidRPr="009F1AEE">
        <w:rPr>
          <w:rStyle w:val="ssrfcpassagedeactivated"/>
        </w:rPr>
        <w:t>(</w:t>
      </w:r>
      <w:r w:rsidR="00ED7EE8" w:rsidRPr="009F1AEE">
        <w:rPr>
          <w:rStyle w:val="ssrfcpassagedeactivated"/>
          <w:i/>
        </w:rPr>
        <w:t xml:space="preserve">People v. Superior Court </w:t>
      </w:r>
      <w:r w:rsidR="00ED7EE8" w:rsidRPr="009F1AEE">
        <w:rPr>
          <w:rStyle w:val="ssrfcpassagedeactivated"/>
        </w:rPr>
        <w:t>(</w:t>
      </w:r>
      <w:r w:rsidR="00ED7EE8" w:rsidRPr="009F1AEE">
        <w:rPr>
          <w:rStyle w:val="ssrfcpassagedeactivated"/>
          <w:i/>
        </w:rPr>
        <w:t>Giron</w:t>
      </w:r>
      <w:r w:rsidR="00ED7EE8" w:rsidRPr="009F1AEE">
        <w:rPr>
          <w:rStyle w:val="ssrfcpassagedeactivated"/>
        </w:rPr>
        <w:t xml:space="preserve">), </w:t>
      </w:r>
      <w:r w:rsidR="00ED7EE8" w:rsidRPr="009F1AEE">
        <w:rPr>
          <w:rStyle w:val="ssrfcpassagedeactivated"/>
          <w:i/>
        </w:rPr>
        <w:t>supra</w:t>
      </w:r>
      <w:r w:rsidR="00ED7EE8" w:rsidRPr="009F1AEE">
        <w:rPr>
          <w:rStyle w:val="ssrfcpassagedeactivated"/>
        </w:rPr>
        <w:t xml:space="preserve">, 11 Cal.3d at p. 798.)  </w:t>
      </w:r>
      <w:r w:rsidR="00EE0F64" w:rsidRPr="009F1AEE">
        <w:rPr>
          <w:rStyle w:val="ssrfcpassagedeactivated"/>
        </w:rPr>
        <w:t>Section 1473.7 offers a remedy</w:t>
      </w:r>
      <w:r w:rsidR="00611858" w:rsidRPr="009F1AEE">
        <w:rPr>
          <w:rStyle w:val="ssrfcpassagedeactivated"/>
        </w:rPr>
        <w:t xml:space="preserve"> </w:t>
      </w:r>
      <w:r w:rsidR="004666CC" w:rsidRPr="009F1AEE">
        <w:rPr>
          <w:rStyle w:val="ssrfcpassagedeactivated"/>
        </w:rPr>
        <w:t>in the form of permission to withdraw a plea</w:t>
      </w:r>
      <w:r w:rsidR="00611858" w:rsidRPr="009F1AEE">
        <w:rPr>
          <w:rStyle w:val="ssrfcpassagedeactivated"/>
        </w:rPr>
        <w:t xml:space="preserve">.  But </w:t>
      </w:r>
      <w:r w:rsidR="000A694F" w:rsidRPr="009F1AEE">
        <w:rPr>
          <w:rStyle w:val="ssrfcpassagedeactivated"/>
        </w:rPr>
        <w:t>it’</w:t>
      </w:r>
      <w:r w:rsidR="00611858" w:rsidRPr="009F1AEE">
        <w:rPr>
          <w:rStyle w:val="ssrfcpassagedeactivated"/>
        </w:rPr>
        <w:t xml:space="preserve">s a remedy available </w:t>
      </w:r>
      <w:r w:rsidR="000A694F" w:rsidRPr="009F1AEE">
        <w:rPr>
          <w:rStyle w:val="ssrfcpassagedeactivated"/>
        </w:rPr>
        <w:t xml:space="preserve">only </w:t>
      </w:r>
      <w:r w:rsidR="00611858" w:rsidRPr="009F1AEE">
        <w:rPr>
          <w:rStyle w:val="ssrfcpassagedeactivated"/>
        </w:rPr>
        <w:t xml:space="preserve">to some:  </w:t>
      </w:r>
      <w:r w:rsidR="004666CC" w:rsidRPr="009F1AEE">
        <w:rPr>
          <w:rStyle w:val="ssrfcpassagedeactivated"/>
        </w:rPr>
        <w:t xml:space="preserve">those who have completed their sentences </w:t>
      </w:r>
      <w:r w:rsidR="000A694F" w:rsidRPr="009F1AEE">
        <w:rPr>
          <w:rStyle w:val="ssrfcpassagedeactivated"/>
        </w:rPr>
        <w:t xml:space="preserve">and who </w:t>
      </w:r>
      <w:r w:rsidR="006A1FD2" w:rsidRPr="009F1AEE">
        <w:rPr>
          <w:rStyle w:val="ssrfcpassagedeactivated"/>
        </w:rPr>
        <w:t>suffered a prejudicial error that damaged the</w:t>
      </w:r>
      <w:r w:rsidR="0084393B" w:rsidRPr="009F1AEE">
        <w:rPr>
          <w:rStyle w:val="ssrfcpassagedeactivated"/>
        </w:rPr>
        <w:t>ir</w:t>
      </w:r>
      <w:r w:rsidR="006A1FD2" w:rsidRPr="009F1AEE">
        <w:rPr>
          <w:rStyle w:val="ssrfcpassagedeactivated"/>
        </w:rPr>
        <w:t xml:space="preserve"> ability to meaningfully understand, defend against, or knowingly accept the </w:t>
      </w:r>
      <w:r w:rsidR="004666CC" w:rsidRPr="009F1AEE">
        <w:rPr>
          <w:rStyle w:val="ssrfcpassagedeactivated"/>
        </w:rPr>
        <w:t xml:space="preserve">plea’s </w:t>
      </w:r>
      <w:r w:rsidR="006A1FD2" w:rsidRPr="009F1AEE">
        <w:rPr>
          <w:rStyle w:val="ssrfcpassagedeactivated"/>
        </w:rPr>
        <w:t>actual or potential immigration consequences.  (§</w:t>
      </w:r>
      <w:r w:rsidR="004666CC" w:rsidRPr="009F1AEE">
        <w:rPr>
          <w:rStyle w:val="ssrfcpassagedeactivated"/>
        </w:rPr>
        <w:t> </w:t>
      </w:r>
      <w:r w:rsidR="006A1FD2" w:rsidRPr="009F1AEE">
        <w:rPr>
          <w:rStyle w:val="ssrfcpassagedeactivated"/>
        </w:rPr>
        <w:t>1473.7, subd</w:t>
      </w:r>
      <w:r w:rsidR="004666CC" w:rsidRPr="009F1AEE">
        <w:rPr>
          <w:rStyle w:val="ssrfcpassagedeactivated"/>
        </w:rPr>
        <w:t>s</w:t>
      </w:r>
      <w:r w:rsidR="006A1FD2" w:rsidRPr="009F1AEE">
        <w:rPr>
          <w:rStyle w:val="ssrfcpassagedeactivated"/>
        </w:rPr>
        <w:t>. (a)(1)</w:t>
      </w:r>
      <w:r w:rsidR="004666CC" w:rsidRPr="009F1AEE">
        <w:rPr>
          <w:rStyle w:val="ssrfcpassagedeactivated"/>
        </w:rPr>
        <w:t>, (e)(3)</w:t>
      </w:r>
      <w:r w:rsidR="006A1FD2" w:rsidRPr="009F1AEE">
        <w:rPr>
          <w:rStyle w:val="ssrfcpassagedeactivated"/>
        </w:rPr>
        <w:t>.)</w:t>
      </w:r>
      <w:r w:rsidR="004666CC" w:rsidRPr="009F1AEE">
        <w:rPr>
          <w:rStyle w:val="ssrfcpassagedeactivated"/>
        </w:rPr>
        <w:t xml:space="preserve">  A moving party demonstrates prejudice by showing that in the absence of the error regarding immigration consequences, it’s reasonably probable the moving party would not have entered the plea.  </w:t>
      </w:r>
      <w:r w:rsidR="00D90A3C" w:rsidRPr="009F1AEE">
        <w:rPr>
          <w:rStyle w:val="ssrfcpassagedeactivated"/>
        </w:rPr>
        <w:t xml:space="preserve">Courts should </w:t>
      </w:r>
      <w:r w:rsidR="00611858" w:rsidRPr="009F1AEE">
        <w:rPr>
          <w:rStyle w:val="ssrfcpassagedeactivated"/>
        </w:rPr>
        <w:t xml:space="preserve">subject </w:t>
      </w:r>
      <w:r w:rsidR="00D90A3C" w:rsidRPr="009F1AEE">
        <w:rPr>
          <w:rStyle w:val="ssrfcpassagedeactivated"/>
        </w:rPr>
        <w:t xml:space="preserve">the </w:t>
      </w:r>
      <w:r w:rsidR="002E5B99" w:rsidRPr="009F1AEE">
        <w:rPr>
          <w:rStyle w:val="ssrfcpassagedeactivated"/>
        </w:rPr>
        <w:t xml:space="preserve">trial court’s prejudice finding </w:t>
      </w:r>
      <w:r w:rsidR="00F66F2A">
        <w:rPr>
          <w:rStyle w:val="ssrfcpassagedeactivated"/>
        </w:rPr>
        <w:t xml:space="preserve">under this statute </w:t>
      </w:r>
      <w:r w:rsidR="00611858" w:rsidRPr="009F1AEE">
        <w:rPr>
          <w:rStyle w:val="ssrfcpassagedeactivated"/>
        </w:rPr>
        <w:t>to independent review</w:t>
      </w:r>
      <w:r w:rsidR="00EF5D03">
        <w:rPr>
          <w:rStyle w:val="ssrfcpassagedeactivated"/>
        </w:rPr>
        <w:t xml:space="preserve">, </w:t>
      </w:r>
      <w:r w:rsidR="00D807FC">
        <w:rPr>
          <w:rStyle w:val="ssrfcpassagedeactivated"/>
        </w:rPr>
        <w:t xml:space="preserve">a standard that heavily </w:t>
      </w:r>
      <w:r w:rsidR="00D807FC">
        <w:rPr>
          <w:rStyle w:val="ssrfcpassagedeactivated"/>
        </w:rPr>
        <w:lastRenderedPageBreak/>
        <w:t xml:space="preserve">weighs </w:t>
      </w:r>
      <w:r w:rsidR="001E3D8E">
        <w:rPr>
          <w:rStyle w:val="ssrfcpassagedeactivated"/>
        </w:rPr>
        <w:t>trial court</w:t>
      </w:r>
      <w:r w:rsidR="00D807FC">
        <w:rPr>
          <w:rStyle w:val="ssrfcpassagedeactivated"/>
        </w:rPr>
        <w:t xml:space="preserve"> </w:t>
      </w:r>
      <w:r w:rsidR="001E3D8E">
        <w:rPr>
          <w:rStyle w:val="ssrfcpassagedeactivated"/>
        </w:rPr>
        <w:t>factual findings based on the court’s own observations</w:t>
      </w:r>
      <w:r w:rsidR="00D807FC">
        <w:rPr>
          <w:rStyle w:val="ssrfcpassagedeactivated"/>
        </w:rPr>
        <w:t>,</w:t>
      </w:r>
      <w:r w:rsidR="001E3D8E">
        <w:rPr>
          <w:rStyle w:val="ssrfcpassagedeactivated"/>
        </w:rPr>
        <w:t xml:space="preserve"> but not </w:t>
      </w:r>
      <w:r w:rsidR="00F132D5">
        <w:rPr>
          <w:rStyle w:val="ssrfcpassagedeactivated"/>
        </w:rPr>
        <w:t xml:space="preserve">trial court </w:t>
      </w:r>
      <w:r w:rsidR="001E3D8E">
        <w:rPr>
          <w:rStyle w:val="ssrfcpassagedeactivated"/>
        </w:rPr>
        <w:t xml:space="preserve">findings </w:t>
      </w:r>
      <w:r w:rsidR="00D807FC">
        <w:rPr>
          <w:rStyle w:val="ssrfcpassagedeactivated"/>
        </w:rPr>
        <w:t>arising</w:t>
      </w:r>
      <w:r w:rsidR="001E3D8E">
        <w:rPr>
          <w:rStyle w:val="ssrfcpassagedeactivated"/>
        </w:rPr>
        <w:t xml:space="preserve"> only from a cold record</w:t>
      </w:r>
      <w:r w:rsidR="00D90A3C" w:rsidRPr="009F1AEE">
        <w:rPr>
          <w:rStyle w:val="ssrfcpassagedeactivated"/>
        </w:rPr>
        <w:t>.</w:t>
      </w:r>
    </w:p>
    <w:p w14:paraId="0107C108" w14:textId="7E4BE707" w:rsidR="0058425B" w:rsidRPr="009F1AEE" w:rsidRDefault="00A44E83" w:rsidP="009F1AEE">
      <w:pPr>
        <w:tabs>
          <w:tab w:val="left" w:pos="1440"/>
        </w:tabs>
        <w:ind w:firstLine="720"/>
      </w:pPr>
      <w:r w:rsidRPr="009F1AEE">
        <w:rPr>
          <w:rStyle w:val="ssrfcpassagedeactivated"/>
        </w:rPr>
        <w:t>The Court of Appeal failed to review the record independently.</w:t>
      </w:r>
      <w:r w:rsidR="0084393B" w:rsidRPr="009F1AEE">
        <w:rPr>
          <w:rStyle w:val="ssrfcpassagedeactivated"/>
        </w:rPr>
        <w:t xml:space="preserve">  Nor did </w:t>
      </w:r>
      <w:r w:rsidRPr="009F1AEE">
        <w:rPr>
          <w:rStyle w:val="ssrfcpassagedeactivated"/>
        </w:rPr>
        <w:t>it</w:t>
      </w:r>
      <w:r w:rsidR="00611858" w:rsidRPr="009F1AEE">
        <w:rPr>
          <w:rStyle w:val="ssrfcpassagedeactivated"/>
        </w:rPr>
        <w:t xml:space="preserve"> take into </w:t>
      </w:r>
      <w:r w:rsidR="0084393B" w:rsidRPr="009F1AEE">
        <w:rPr>
          <w:rStyle w:val="ssrfcpassagedeactivated"/>
        </w:rPr>
        <w:t xml:space="preserve">account </w:t>
      </w:r>
      <w:r w:rsidR="00D90A3C" w:rsidRPr="009F1AEE">
        <w:rPr>
          <w:rStyle w:val="ssrfcpassagedeactivated"/>
        </w:rPr>
        <w:t xml:space="preserve">the substantial contemporaneous evidence </w:t>
      </w:r>
      <w:r w:rsidR="00665E09" w:rsidRPr="009F1AEE">
        <w:rPr>
          <w:rStyle w:val="ssrfcpassagedeactivated"/>
        </w:rPr>
        <w:t xml:space="preserve">at or near the time of </w:t>
      </w:r>
      <w:proofErr w:type="spellStart"/>
      <w:r w:rsidR="0084393B" w:rsidRPr="009F1AEE">
        <w:rPr>
          <w:rStyle w:val="ssrfcpassagedeactivated"/>
        </w:rPr>
        <w:t>Vivar’s</w:t>
      </w:r>
      <w:proofErr w:type="spellEnd"/>
      <w:r w:rsidR="00665E09" w:rsidRPr="009F1AEE">
        <w:rPr>
          <w:rStyle w:val="ssrfcpassagedeactivated"/>
        </w:rPr>
        <w:t xml:space="preserve"> plea </w:t>
      </w:r>
      <w:r w:rsidR="00D90A3C" w:rsidRPr="009F1AEE">
        <w:rPr>
          <w:rStyle w:val="ssrfcpassagedeactivated"/>
        </w:rPr>
        <w:t xml:space="preserve">corroborating </w:t>
      </w:r>
      <w:r w:rsidR="0084393B" w:rsidRPr="009F1AEE">
        <w:rPr>
          <w:rStyle w:val="ssrfcpassagedeactivated"/>
        </w:rPr>
        <w:t>his</w:t>
      </w:r>
      <w:r w:rsidR="00D90A3C" w:rsidRPr="009F1AEE">
        <w:rPr>
          <w:rStyle w:val="ssrfcpassagedeactivated"/>
        </w:rPr>
        <w:t xml:space="preserve"> claim that he wouldn’t have pleaded </w:t>
      </w:r>
      <w:r w:rsidR="005C0C00" w:rsidRPr="009F1AEE">
        <w:rPr>
          <w:rStyle w:val="ssrfcpassagedeactivated"/>
        </w:rPr>
        <w:t>guilty if he</w:t>
      </w:r>
      <w:r w:rsidR="003C1680">
        <w:rPr>
          <w:rStyle w:val="ssrfcpassagedeactivated"/>
        </w:rPr>
        <w:t>’d</w:t>
      </w:r>
      <w:r w:rsidR="00087800">
        <w:rPr>
          <w:rStyle w:val="ssrfcpassagedeactivated"/>
        </w:rPr>
        <w:t xml:space="preserve"> </w:t>
      </w:r>
      <w:r w:rsidR="005C0C00" w:rsidRPr="009F1AEE">
        <w:rPr>
          <w:rStyle w:val="ssrfcpassagedeactivated"/>
        </w:rPr>
        <w:t xml:space="preserve">known it would result in his deportation from his home of </w:t>
      </w:r>
      <w:r w:rsidR="00AF37CA" w:rsidRPr="009F1AEE">
        <w:rPr>
          <w:rStyle w:val="ssrfcpassagedeactivated"/>
        </w:rPr>
        <w:t>4</w:t>
      </w:r>
      <w:r w:rsidR="005C0C00" w:rsidRPr="009F1AEE">
        <w:rPr>
          <w:rStyle w:val="ssrfcpassagedeactivated"/>
        </w:rPr>
        <w:t>0 years</w:t>
      </w:r>
      <w:r w:rsidR="00D90A3C" w:rsidRPr="009F1AEE">
        <w:rPr>
          <w:rStyle w:val="ssrfcpassagedeactivated"/>
        </w:rPr>
        <w:t xml:space="preserve">.  </w:t>
      </w:r>
      <w:r w:rsidR="00611858" w:rsidRPr="009F1AEE">
        <w:rPr>
          <w:rStyle w:val="ssrfcpassagedeactivated"/>
        </w:rPr>
        <w:t>We</w:t>
      </w:r>
      <w:r w:rsidR="00E808F1" w:rsidRPr="009F1AEE">
        <w:rPr>
          <w:rStyle w:val="ssrfcpassagedeactivated"/>
        </w:rPr>
        <w:t xml:space="preserve"> reverse the judgment and </w:t>
      </w:r>
      <w:r w:rsidR="00527E28" w:rsidRPr="009F1AEE">
        <w:rPr>
          <w:rStyle w:val="ssrfcpassagedeactivated"/>
        </w:rPr>
        <w:t xml:space="preserve">remand the case to the Court of Appeal with directions </w:t>
      </w:r>
      <w:r w:rsidR="00611858" w:rsidRPr="009F1AEE">
        <w:rPr>
          <w:rStyle w:val="ssrfcpassagedeactivated"/>
        </w:rPr>
        <w:t>that it</w:t>
      </w:r>
      <w:r w:rsidR="00527E28" w:rsidRPr="009F1AEE">
        <w:rPr>
          <w:rStyle w:val="ssrfcpassagedeactivated"/>
        </w:rPr>
        <w:t xml:space="preserve"> remand </w:t>
      </w:r>
      <w:r w:rsidR="00611858" w:rsidRPr="009F1AEE">
        <w:rPr>
          <w:rStyle w:val="ssrfcpassagedeactivated"/>
        </w:rPr>
        <w:t xml:space="preserve">the case </w:t>
      </w:r>
      <w:r w:rsidR="00527E28" w:rsidRPr="009F1AEE">
        <w:rPr>
          <w:rStyle w:val="ssrfcpassagedeactivated"/>
        </w:rPr>
        <w:t xml:space="preserve">to the trial court </w:t>
      </w:r>
      <w:r w:rsidR="00611858" w:rsidRPr="009F1AEE">
        <w:rPr>
          <w:rStyle w:val="ssrfcpassagedeactivated"/>
        </w:rPr>
        <w:t xml:space="preserve">for it to </w:t>
      </w:r>
      <w:r w:rsidR="00527E28" w:rsidRPr="009F1AEE">
        <w:rPr>
          <w:rStyle w:val="ssrfcpassagedeactivated"/>
        </w:rPr>
        <w:t xml:space="preserve">enter an order granting </w:t>
      </w:r>
      <w:proofErr w:type="spellStart"/>
      <w:r w:rsidR="00527E28" w:rsidRPr="009F1AEE">
        <w:rPr>
          <w:rStyle w:val="ssrfcpassagedeactivated"/>
        </w:rPr>
        <w:t>Vivar’s</w:t>
      </w:r>
      <w:proofErr w:type="spellEnd"/>
      <w:r w:rsidR="00527E28" w:rsidRPr="009F1AEE">
        <w:rPr>
          <w:rStyle w:val="ssrfcpassagedeactivated"/>
        </w:rPr>
        <w:t xml:space="preserve"> </w:t>
      </w:r>
      <w:r w:rsidR="000D4911" w:rsidRPr="009F1AEE">
        <w:rPr>
          <w:rStyle w:val="ssrfcpassagedeactivated"/>
        </w:rPr>
        <w:t xml:space="preserve">section 1473.7 </w:t>
      </w:r>
      <w:r w:rsidR="00527E28" w:rsidRPr="009F1AEE">
        <w:rPr>
          <w:rStyle w:val="ssrfcpassagedeactivated"/>
        </w:rPr>
        <w:t xml:space="preserve">motion to withdraw his plea.   </w:t>
      </w:r>
    </w:p>
    <w:p w14:paraId="5194368B" w14:textId="1EC3AB8E" w:rsidR="00F132D5" w:rsidRPr="009F1AEE" w:rsidRDefault="0058425B" w:rsidP="00F132D5">
      <w:pPr>
        <w:tabs>
          <w:tab w:val="left" w:pos="1440"/>
        </w:tabs>
        <w:ind w:firstLine="720"/>
        <w:rPr>
          <w:b/>
        </w:rPr>
      </w:pPr>
      <w:r w:rsidRPr="009F1AEE">
        <w:tab/>
      </w:r>
      <w:r w:rsidRPr="009F1AEE">
        <w:tab/>
      </w:r>
      <w:r w:rsidRPr="009F1AEE">
        <w:tab/>
      </w:r>
      <w:r w:rsidRPr="009F1AEE">
        <w:tab/>
      </w:r>
      <w:r w:rsidRPr="009F1AEE">
        <w:tab/>
      </w:r>
      <w:r w:rsidRPr="009F1AEE">
        <w:tab/>
      </w:r>
      <w:r w:rsidRPr="009F1AEE">
        <w:tab/>
      </w:r>
      <w:r w:rsidRPr="009F1AEE">
        <w:rPr>
          <w:b/>
        </w:rPr>
        <w:t>CU</w:t>
      </w:r>
      <w:r w:rsidR="00F132D5">
        <w:rPr>
          <w:b/>
        </w:rPr>
        <w:t>É</w:t>
      </w:r>
      <w:r w:rsidRPr="009F1AEE">
        <w:rPr>
          <w:b/>
        </w:rPr>
        <w:t>LLAR, J.</w:t>
      </w:r>
    </w:p>
    <w:p w14:paraId="3DFD60B7" w14:textId="77777777" w:rsidR="00F132D5" w:rsidRDefault="00F132D5" w:rsidP="00F132D5">
      <w:pPr>
        <w:tabs>
          <w:tab w:val="left" w:pos="1440"/>
        </w:tabs>
        <w:rPr>
          <w:b/>
          <w:bCs/>
        </w:rPr>
      </w:pPr>
    </w:p>
    <w:p w14:paraId="3C742DBD" w14:textId="77777777" w:rsidR="00F132D5" w:rsidRPr="007069A1" w:rsidRDefault="00F132D5" w:rsidP="00F132D5">
      <w:pPr>
        <w:tabs>
          <w:tab w:val="left" w:pos="1440"/>
        </w:tabs>
        <w:rPr>
          <w:b/>
          <w:bCs/>
        </w:rPr>
      </w:pPr>
      <w:r w:rsidRPr="007069A1">
        <w:rPr>
          <w:b/>
          <w:bCs/>
        </w:rPr>
        <w:t>We Concur:</w:t>
      </w:r>
    </w:p>
    <w:p w14:paraId="04886183" w14:textId="62912908" w:rsidR="00413F5E" w:rsidRDefault="00413F5E" w:rsidP="00413F5E">
      <w:pPr>
        <w:spacing w:after="0" w:line="240" w:lineRule="auto"/>
        <w:rPr>
          <w:b/>
        </w:rPr>
      </w:pPr>
      <w:r>
        <w:rPr>
          <w:b/>
        </w:rPr>
        <w:t>LIU, J.</w:t>
      </w:r>
    </w:p>
    <w:p w14:paraId="7F1192D0" w14:textId="5E831BB0" w:rsidR="00413F5E" w:rsidRDefault="00413F5E" w:rsidP="00413F5E">
      <w:pPr>
        <w:spacing w:after="0" w:line="240" w:lineRule="auto"/>
        <w:rPr>
          <w:b/>
        </w:rPr>
      </w:pPr>
      <w:r>
        <w:rPr>
          <w:b/>
        </w:rPr>
        <w:t>KRUGER, J.</w:t>
      </w:r>
    </w:p>
    <w:p w14:paraId="66CA1DE7" w14:textId="0ABF1A9C" w:rsidR="00413F5E" w:rsidRDefault="00413F5E" w:rsidP="00413F5E">
      <w:pPr>
        <w:spacing w:after="0" w:line="240" w:lineRule="auto"/>
        <w:rPr>
          <w:b/>
        </w:rPr>
      </w:pPr>
      <w:r>
        <w:rPr>
          <w:b/>
        </w:rPr>
        <w:t>GROBAN, J.</w:t>
      </w:r>
    </w:p>
    <w:p w14:paraId="606C7CC8" w14:textId="46FB940E" w:rsidR="00413F5E" w:rsidRDefault="00413F5E" w:rsidP="00413F5E">
      <w:pPr>
        <w:spacing w:after="0" w:line="240" w:lineRule="auto"/>
        <w:rPr>
          <w:b/>
        </w:rPr>
      </w:pPr>
      <w:r>
        <w:rPr>
          <w:b/>
        </w:rPr>
        <w:t>JENKINS, J.</w:t>
      </w:r>
    </w:p>
    <w:p w14:paraId="42C39386" w14:textId="77777777" w:rsidR="00112CCB" w:rsidRDefault="00112CCB" w:rsidP="00112CCB">
      <w:pPr>
        <w:tabs>
          <w:tab w:val="left" w:pos="1440"/>
        </w:tabs>
        <w:rPr>
          <w:rStyle w:val="ssrfcpassagedeactivated"/>
        </w:rPr>
        <w:sectPr w:rsidR="00112CCB" w:rsidSect="009F1AEE">
          <w:footerReference w:type="first" r:id="rId9"/>
          <w:footnotePr>
            <w:numRestart w:val="eachSect"/>
          </w:footnotePr>
          <w:pgSz w:w="12240" w:h="15840"/>
          <w:pgMar w:top="1800" w:right="2160" w:bottom="1440" w:left="2160" w:header="720" w:footer="720" w:gutter="0"/>
          <w:pgNumType w:start="1"/>
          <w:cols w:space="720"/>
          <w:titlePg/>
          <w:docGrid w:linePitch="367"/>
        </w:sectPr>
      </w:pPr>
      <w:bookmarkStart w:id="5" w:name="calendar"/>
      <w:bookmarkStart w:id="6" w:name="plaintiff"/>
      <w:bookmarkStart w:id="7" w:name="initials"/>
      <w:bookmarkEnd w:id="5"/>
      <w:bookmarkEnd w:id="6"/>
      <w:bookmarkEnd w:id="7"/>
    </w:p>
    <w:p w14:paraId="7AE62300" w14:textId="77777777" w:rsidR="00756994" w:rsidRPr="00756994" w:rsidRDefault="00756994" w:rsidP="003B5E19">
      <w:pPr>
        <w:jc w:val="center"/>
        <w:rPr>
          <w:bCs/>
          <w:caps/>
          <w:szCs w:val="27"/>
        </w:rPr>
      </w:pPr>
      <w:r w:rsidRPr="00756994">
        <w:rPr>
          <w:bCs/>
          <w:caps/>
          <w:szCs w:val="27"/>
        </w:rPr>
        <w:lastRenderedPageBreak/>
        <w:t xml:space="preserve">PEOPLE </w:t>
      </w:r>
      <w:r w:rsidRPr="00756994">
        <w:rPr>
          <w:bCs/>
          <w:szCs w:val="27"/>
        </w:rPr>
        <w:t>v</w:t>
      </w:r>
      <w:r w:rsidRPr="00756994">
        <w:rPr>
          <w:bCs/>
          <w:caps/>
          <w:szCs w:val="27"/>
        </w:rPr>
        <w:t xml:space="preserve">. </w:t>
      </w:r>
      <w:bookmarkStart w:id="8" w:name="defendant"/>
      <w:bookmarkEnd w:id="8"/>
      <w:r w:rsidRPr="00756994">
        <w:rPr>
          <w:bCs/>
          <w:caps/>
          <w:szCs w:val="27"/>
        </w:rPr>
        <w:t>VIVAR</w:t>
      </w:r>
    </w:p>
    <w:p w14:paraId="69D9C1B1" w14:textId="77777777" w:rsidR="00756994" w:rsidRPr="00756994" w:rsidRDefault="00756994" w:rsidP="003B5E19">
      <w:pPr>
        <w:jc w:val="center"/>
        <w:rPr>
          <w:bCs/>
          <w:iCs/>
          <w:szCs w:val="27"/>
        </w:rPr>
      </w:pPr>
      <w:r w:rsidRPr="00756994">
        <w:rPr>
          <w:bCs/>
          <w:iCs/>
          <w:szCs w:val="27"/>
        </w:rPr>
        <w:t>S</w:t>
      </w:r>
      <w:bookmarkStart w:id="9" w:name="casenum"/>
      <w:bookmarkEnd w:id="9"/>
      <w:r w:rsidRPr="00756994">
        <w:rPr>
          <w:bCs/>
          <w:iCs/>
          <w:szCs w:val="27"/>
        </w:rPr>
        <w:t>260270</w:t>
      </w:r>
    </w:p>
    <w:p w14:paraId="61E88588" w14:textId="77777777" w:rsidR="00756994" w:rsidRPr="00756994" w:rsidRDefault="00756994" w:rsidP="003B5E19">
      <w:pPr>
        <w:jc w:val="center"/>
        <w:rPr>
          <w:bCs/>
          <w:szCs w:val="27"/>
        </w:rPr>
      </w:pPr>
    </w:p>
    <w:p w14:paraId="30579144" w14:textId="77777777" w:rsidR="00756994" w:rsidRPr="00756994" w:rsidRDefault="00756994" w:rsidP="002B2CA1">
      <w:pPr>
        <w:spacing w:after="0"/>
        <w:jc w:val="center"/>
        <w:rPr>
          <w:bCs/>
          <w:caps/>
          <w:szCs w:val="27"/>
        </w:rPr>
      </w:pPr>
      <w:bookmarkStart w:id="10" w:name="opinion"/>
      <w:bookmarkEnd w:id="10"/>
      <w:r w:rsidRPr="00756994">
        <w:rPr>
          <w:bCs/>
          <w:szCs w:val="27"/>
        </w:rPr>
        <w:t>Concurring and Dissenting Opinion by Justice Corrigan</w:t>
      </w:r>
    </w:p>
    <w:p w14:paraId="2A6CB5E5" w14:textId="77777777" w:rsidR="00756994" w:rsidRPr="00756994" w:rsidRDefault="00756994" w:rsidP="002B2CA1">
      <w:pPr>
        <w:ind w:firstLine="720"/>
        <w:rPr>
          <w:bCs/>
          <w:szCs w:val="27"/>
        </w:rPr>
      </w:pPr>
    </w:p>
    <w:p w14:paraId="278AE404" w14:textId="77777777" w:rsidR="00756994" w:rsidRPr="00756994" w:rsidRDefault="00756994" w:rsidP="002B2CA1">
      <w:pPr>
        <w:ind w:firstLine="720"/>
        <w:rPr>
          <w:szCs w:val="27"/>
        </w:rPr>
      </w:pPr>
      <w:r w:rsidRPr="00756994">
        <w:rPr>
          <w:szCs w:val="27"/>
        </w:rPr>
        <w:t xml:space="preserve">I concur in the disposition and fully agree that defendant Robert </w:t>
      </w:r>
      <w:proofErr w:type="spellStart"/>
      <w:r w:rsidRPr="00756994">
        <w:rPr>
          <w:szCs w:val="27"/>
        </w:rPr>
        <w:t>Landeros</w:t>
      </w:r>
      <w:proofErr w:type="spellEnd"/>
      <w:r w:rsidRPr="00756994">
        <w:rPr>
          <w:szCs w:val="27"/>
        </w:rPr>
        <w:t xml:space="preserve"> </w:t>
      </w:r>
      <w:proofErr w:type="spellStart"/>
      <w:r w:rsidRPr="00756994">
        <w:rPr>
          <w:szCs w:val="27"/>
        </w:rPr>
        <w:t>Vivar</w:t>
      </w:r>
      <w:proofErr w:type="spellEnd"/>
      <w:r w:rsidRPr="00756994">
        <w:rPr>
          <w:szCs w:val="27"/>
        </w:rPr>
        <w:t xml:space="preserve"> should be allowed to withdraw his plea under Penal Code section 1473.7.</w:t>
      </w:r>
      <w:r w:rsidRPr="00756994">
        <w:rPr>
          <w:b/>
          <w:position w:val="6"/>
          <w:szCs w:val="27"/>
          <w:vertAlign w:val="superscript"/>
        </w:rPr>
        <w:footnoteReference w:id="9"/>
      </w:r>
      <w:r w:rsidRPr="00756994">
        <w:rPr>
          <w:sz w:val="22"/>
          <w:szCs w:val="22"/>
        </w:rPr>
        <w:t xml:space="preserve"> </w:t>
      </w:r>
      <w:r w:rsidRPr="00756994">
        <w:rPr>
          <w:szCs w:val="27"/>
        </w:rPr>
        <w:t xml:space="preserve"> Defense counsel’s failure to properly advise Mr.</w:t>
      </w:r>
      <w:r w:rsidRPr="00756994">
        <w:rPr>
          <w:color w:val="FF0000"/>
          <w:szCs w:val="27"/>
        </w:rPr>
        <w:t xml:space="preserve"> </w:t>
      </w:r>
      <w:proofErr w:type="spellStart"/>
      <w:r w:rsidRPr="00756994">
        <w:rPr>
          <w:szCs w:val="27"/>
        </w:rPr>
        <w:t>Vivar</w:t>
      </w:r>
      <w:proofErr w:type="spellEnd"/>
      <w:r w:rsidRPr="00756994">
        <w:rPr>
          <w:szCs w:val="27"/>
        </w:rPr>
        <w:t xml:space="preserve"> about the immigration consequences of his plea options was plainly prejudicial, entitling him to relief under the statute.  I join in Justice </w:t>
      </w:r>
      <w:proofErr w:type="spellStart"/>
      <w:r w:rsidRPr="00756994">
        <w:rPr>
          <w:szCs w:val="27"/>
        </w:rPr>
        <w:t>Cuéllar’s</w:t>
      </w:r>
      <w:proofErr w:type="spellEnd"/>
      <w:r w:rsidRPr="00756994">
        <w:rPr>
          <w:szCs w:val="27"/>
        </w:rPr>
        <w:t xml:space="preserve"> majority opinion to the extent it rejects the notion that the standard of review applied to rulings under section 1473.7 differs depending upon the nature of the claimed error.  (Maj. opn., </w:t>
      </w:r>
      <w:r w:rsidRPr="00756994">
        <w:rPr>
          <w:i/>
          <w:iCs/>
          <w:szCs w:val="27"/>
        </w:rPr>
        <w:t>ante</w:t>
      </w:r>
      <w:r w:rsidRPr="00756994">
        <w:rPr>
          <w:szCs w:val="27"/>
        </w:rPr>
        <w:t>, pp. 16–17.)</w:t>
      </w:r>
    </w:p>
    <w:p w14:paraId="165A2E6B" w14:textId="77777777" w:rsidR="00756994" w:rsidRPr="00756994" w:rsidRDefault="00756994" w:rsidP="00756994">
      <w:pPr>
        <w:ind w:firstLine="720"/>
        <w:rPr>
          <w:szCs w:val="27"/>
        </w:rPr>
      </w:pPr>
      <w:r w:rsidRPr="00756994">
        <w:rPr>
          <w:szCs w:val="27"/>
        </w:rPr>
        <w:t xml:space="preserve">However, I respectfully dissent from the majority’s holding that a form of “independent review” typically applied in habeas corpus proceedings should be applied in assessing a trial court’s prejudice finding under section 1473.7.  (Maj. opn., </w:t>
      </w:r>
      <w:r w:rsidRPr="00756994">
        <w:rPr>
          <w:i/>
          <w:iCs/>
          <w:szCs w:val="27"/>
        </w:rPr>
        <w:t>ante</w:t>
      </w:r>
      <w:r w:rsidRPr="00756994">
        <w:rPr>
          <w:szCs w:val="27"/>
        </w:rPr>
        <w:t>, pp. 15, 29.)  While the majority opinion endeavors to distinguish independent review in this context from de novo review (</w:t>
      </w:r>
      <w:r w:rsidRPr="00756994">
        <w:rPr>
          <w:i/>
          <w:iCs/>
          <w:szCs w:val="27"/>
        </w:rPr>
        <w:t>id</w:t>
      </w:r>
      <w:r w:rsidRPr="00756994">
        <w:rPr>
          <w:szCs w:val="27"/>
        </w:rPr>
        <w:t>. at p. 19), as a practical matter this will be a distinction without a difference in most cases brought under section 1473.7.  That is so because, as the majority acknowledges, the evidence considered by the trial court will often</w:t>
      </w:r>
      <w:r w:rsidRPr="00756994">
        <w:rPr>
          <w:color w:val="FF0000"/>
          <w:szCs w:val="27"/>
        </w:rPr>
        <w:t xml:space="preserve"> </w:t>
      </w:r>
      <w:r w:rsidRPr="00756994">
        <w:rPr>
          <w:szCs w:val="27"/>
        </w:rPr>
        <w:t xml:space="preserve">consist entirely of declarations and documentary evidence.  (See </w:t>
      </w:r>
      <w:proofErr w:type="spellStart"/>
      <w:r w:rsidRPr="00756994">
        <w:rPr>
          <w:szCs w:val="27"/>
        </w:rPr>
        <w:t>maj.</w:t>
      </w:r>
      <w:proofErr w:type="spellEnd"/>
      <w:r w:rsidRPr="00756994">
        <w:rPr>
          <w:szCs w:val="27"/>
        </w:rPr>
        <w:t xml:space="preserve"> opn., </w:t>
      </w:r>
      <w:r w:rsidRPr="00756994">
        <w:rPr>
          <w:i/>
          <w:iCs/>
          <w:szCs w:val="27"/>
        </w:rPr>
        <w:t>ante</w:t>
      </w:r>
      <w:r w:rsidRPr="00756994">
        <w:rPr>
          <w:szCs w:val="27"/>
        </w:rPr>
        <w:t xml:space="preserve">, pp. 17–18.)  Under the version of independent review articulated in the majority opinion, no deference is owed to the trial court’s factual findings except when credibility determinations are </w:t>
      </w:r>
      <w:r w:rsidRPr="00756994">
        <w:rPr>
          <w:szCs w:val="27"/>
        </w:rPr>
        <w:lastRenderedPageBreak/>
        <w:t>based upon live testimony.  (</w:t>
      </w:r>
      <w:r w:rsidRPr="00756994">
        <w:rPr>
          <w:i/>
          <w:iCs/>
          <w:szCs w:val="27"/>
        </w:rPr>
        <w:t>Id.</w:t>
      </w:r>
      <w:r w:rsidRPr="00756994">
        <w:rPr>
          <w:szCs w:val="27"/>
        </w:rPr>
        <w:t xml:space="preserve"> at pp. 19–20.)  Consequently, in a great number of appeals challenging section 1473.7 rulings, reviewing courts will assume the role of fact finder, requiring courts to resolve factual conflicts, weigh evidence, and engage in the type of factual inquiry ordinarily reserved for trial courts.  This would constitute a departure for review of a ruling on a statutory motion.  I would hold</w:t>
      </w:r>
      <w:r w:rsidRPr="00756994">
        <w:rPr>
          <w:color w:val="FF0000"/>
          <w:szCs w:val="27"/>
        </w:rPr>
        <w:t xml:space="preserve"> </w:t>
      </w:r>
      <w:r w:rsidRPr="00756994">
        <w:rPr>
          <w:szCs w:val="27"/>
        </w:rPr>
        <w:t>that appellate courts should apply a conventional substantial evidence standard when reviewing a trial court’s factual findings that bear upon the prejudice analysis under section 1473.7.</w:t>
      </w:r>
    </w:p>
    <w:p w14:paraId="1CB384DB" w14:textId="77777777" w:rsidR="00756994" w:rsidRPr="00756994" w:rsidRDefault="00756994" w:rsidP="00756994">
      <w:pPr>
        <w:ind w:firstLine="720"/>
        <w:rPr>
          <w:szCs w:val="27"/>
        </w:rPr>
      </w:pPr>
      <w:r w:rsidRPr="00756994">
        <w:rPr>
          <w:szCs w:val="27"/>
        </w:rPr>
        <w:t xml:space="preserve">This court granted review to resolve a conflict over the standard of review governing prejudice findings under the statute and to clarify what constitutes prejudice under section 1473.7.  (Maj. opn., </w:t>
      </w:r>
      <w:r w:rsidRPr="00756994">
        <w:rPr>
          <w:i/>
          <w:iCs/>
          <w:szCs w:val="27"/>
        </w:rPr>
        <w:t>ante</w:t>
      </w:r>
      <w:r w:rsidRPr="00756994">
        <w:rPr>
          <w:szCs w:val="27"/>
        </w:rPr>
        <w:t>, p. 10.)  In the Court of Appeal, the defense argued that all aspects of the trial court’s ruling, including its factual findings, should be reviewed independently.  The Attorney General contended that the trial court’s ruling should be reviewed for abuse of discretion but that its factual findings were owed deference, even if made on a cold record consisting entirely of documentary evidence.</w:t>
      </w:r>
      <w:r w:rsidRPr="00756994">
        <w:rPr>
          <w:b/>
          <w:position w:val="6"/>
          <w:szCs w:val="27"/>
          <w:vertAlign w:val="superscript"/>
        </w:rPr>
        <w:footnoteReference w:id="10"/>
      </w:r>
      <w:r w:rsidRPr="00756994">
        <w:rPr>
          <w:sz w:val="22"/>
          <w:szCs w:val="22"/>
        </w:rPr>
        <w:t xml:space="preserve"> </w:t>
      </w:r>
      <w:r w:rsidRPr="00756994">
        <w:rPr>
          <w:szCs w:val="27"/>
        </w:rPr>
        <w:t xml:space="preserve"> </w:t>
      </w:r>
    </w:p>
    <w:p w14:paraId="2DFC9210" w14:textId="26291F9A" w:rsidR="00756994" w:rsidRPr="00756994" w:rsidRDefault="00756994" w:rsidP="00756994">
      <w:pPr>
        <w:ind w:firstLine="720"/>
        <w:rPr>
          <w:szCs w:val="27"/>
        </w:rPr>
      </w:pPr>
      <w:r w:rsidRPr="00756994">
        <w:rPr>
          <w:szCs w:val="27"/>
        </w:rPr>
        <w:t xml:space="preserve">The Court of Appeal created a hybrid standard turning on the asserted basis for relief.  According to the appellate court, if the section 1473.7 motion raised a </w:t>
      </w:r>
      <w:r w:rsidRPr="00756994">
        <w:rPr>
          <w:i/>
          <w:iCs/>
          <w:szCs w:val="27"/>
        </w:rPr>
        <w:t xml:space="preserve">constitutional </w:t>
      </w:r>
      <w:r w:rsidRPr="00756994">
        <w:rPr>
          <w:szCs w:val="27"/>
        </w:rPr>
        <w:t>challenge due to ineffective assistance of counsel, a reviewing court should “ ‘independently review the order.’ ”  (</w:t>
      </w:r>
      <w:r w:rsidRPr="00756994">
        <w:rPr>
          <w:i/>
          <w:iCs/>
          <w:szCs w:val="27"/>
        </w:rPr>
        <w:t xml:space="preserve">People v. </w:t>
      </w:r>
      <w:proofErr w:type="spellStart"/>
      <w:r w:rsidRPr="00756994">
        <w:rPr>
          <w:i/>
          <w:iCs/>
          <w:szCs w:val="27"/>
        </w:rPr>
        <w:t>Vivar</w:t>
      </w:r>
      <w:proofErr w:type="spellEnd"/>
      <w:r w:rsidRPr="00756994">
        <w:rPr>
          <w:i/>
          <w:iCs/>
          <w:szCs w:val="27"/>
        </w:rPr>
        <w:t xml:space="preserve"> </w:t>
      </w:r>
      <w:r w:rsidRPr="00756994">
        <w:rPr>
          <w:szCs w:val="27"/>
        </w:rPr>
        <w:t xml:space="preserve">(2019) 43 Cal.App.5th 216, 224.)  This standard requires courts to “ ‘accord deference to the trial court’s factual determinations if supported </w:t>
      </w:r>
      <w:r w:rsidRPr="00756994">
        <w:rPr>
          <w:szCs w:val="27"/>
        </w:rPr>
        <w:lastRenderedPageBreak/>
        <w:t>by substantial evidence in the record, but [to]</w:t>
      </w:r>
      <w:r w:rsidRPr="00756994">
        <w:rPr>
          <w:color w:val="FF0000"/>
          <w:szCs w:val="27"/>
        </w:rPr>
        <w:t xml:space="preserve"> </w:t>
      </w:r>
      <w:r w:rsidRPr="00756994">
        <w:rPr>
          <w:szCs w:val="27"/>
        </w:rPr>
        <w:t>exercise . . . independent judgment in deciding whether the facts demonstrate trial counsel’s deficient performance and resulting prejudice to the defendant.’ ”  (</w:t>
      </w:r>
      <w:r w:rsidRPr="00756994">
        <w:rPr>
          <w:i/>
          <w:iCs/>
          <w:szCs w:val="27"/>
        </w:rPr>
        <w:t>Ibid.</w:t>
      </w:r>
      <w:r w:rsidRPr="00756994">
        <w:rPr>
          <w:szCs w:val="27"/>
        </w:rPr>
        <w:t>)  By contrast, the court held that the denial of a section 1473.7 motion is “</w:t>
      </w:r>
      <w:r w:rsidR="00ED3A0C">
        <w:rPr>
          <w:szCs w:val="27"/>
        </w:rPr>
        <w:t> </w:t>
      </w:r>
      <w:r w:rsidRPr="00756994">
        <w:rPr>
          <w:szCs w:val="27"/>
        </w:rPr>
        <w:t>‘reviewed for an abuse of discretion’</w:t>
      </w:r>
      <w:r w:rsidR="00C42C1C">
        <w:rPr>
          <w:szCs w:val="27"/>
        </w:rPr>
        <w:t> </w:t>
      </w:r>
      <w:r w:rsidRPr="00756994">
        <w:rPr>
          <w:szCs w:val="27"/>
        </w:rPr>
        <w:t>” if the basis for the motion is “ ‘statutory error or a deprivation of statutory rights’ ” not rising to the level of a constitutional violation.  (</w:t>
      </w:r>
      <w:proofErr w:type="spellStart"/>
      <w:r w:rsidRPr="00756994">
        <w:rPr>
          <w:i/>
          <w:iCs/>
          <w:szCs w:val="27"/>
        </w:rPr>
        <w:t>Vivar</w:t>
      </w:r>
      <w:proofErr w:type="spellEnd"/>
      <w:r w:rsidRPr="00756994">
        <w:rPr>
          <w:szCs w:val="27"/>
        </w:rPr>
        <w:t>, at p. 224</w:t>
      </w:r>
      <w:r w:rsidRPr="00756994">
        <w:rPr>
          <w:i/>
          <w:iCs/>
          <w:szCs w:val="27"/>
        </w:rPr>
        <w:t>.</w:t>
      </w:r>
      <w:r w:rsidRPr="00756994">
        <w:rPr>
          <w:szCs w:val="27"/>
        </w:rPr>
        <w:t>)</w:t>
      </w:r>
    </w:p>
    <w:p w14:paraId="4D7C34BF" w14:textId="77777777" w:rsidR="00756994" w:rsidRPr="00756994" w:rsidRDefault="00756994" w:rsidP="00756994">
      <w:pPr>
        <w:ind w:firstLine="720"/>
        <w:rPr>
          <w:szCs w:val="27"/>
        </w:rPr>
      </w:pPr>
      <w:r w:rsidRPr="00756994">
        <w:rPr>
          <w:szCs w:val="27"/>
        </w:rPr>
        <w:t xml:space="preserve">In my view, the majority opinion correctly rejects the bifurcated approach adopted by the Court of Appeal.  (Maj. opn., </w:t>
      </w:r>
      <w:r w:rsidRPr="00756994">
        <w:rPr>
          <w:i/>
          <w:iCs/>
          <w:szCs w:val="27"/>
        </w:rPr>
        <w:t>ante</w:t>
      </w:r>
      <w:r w:rsidRPr="00756994">
        <w:rPr>
          <w:szCs w:val="27"/>
        </w:rPr>
        <w:t xml:space="preserve">, pp. 16–17.)  Such an approach would afford undue significance to a distinction the Legislature sought to erase.  It extended relief to </w:t>
      </w:r>
      <w:r w:rsidRPr="00756994">
        <w:rPr>
          <w:i/>
          <w:iCs/>
          <w:szCs w:val="27"/>
        </w:rPr>
        <w:t>all</w:t>
      </w:r>
      <w:r w:rsidRPr="00756994">
        <w:rPr>
          <w:szCs w:val="27"/>
        </w:rPr>
        <w:t xml:space="preserve"> defendants when legal error prevented meaningful understanding of immigration consequences, regardless of whether the error constitutes ineffective assistance of counsel.  (</w:t>
      </w:r>
      <w:r w:rsidRPr="00756994">
        <w:rPr>
          <w:i/>
          <w:iCs/>
          <w:szCs w:val="27"/>
        </w:rPr>
        <w:t>Id.</w:t>
      </w:r>
      <w:r w:rsidRPr="00756994">
        <w:rPr>
          <w:szCs w:val="27"/>
        </w:rPr>
        <w:t xml:space="preserve"> at p. 16; see § 1473.7, subd. (a)(1).)  The bifurcated approach would also have the standard of review turn on a specific finding of ineffective assistance of counsel, which a trial court might not otherwise reach for reasons unrelated to the merits of the claim.  (Maj. opn., </w:t>
      </w:r>
      <w:r w:rsidRPr="00756994">
        <w:rPr>
          <w:i/>
          <w:iCs/>
          <w:szCs w:val="27"/>
        </w:rPr>
        <w:t>ante</w:t>
      </w:r>
      <w:r w:rsidRPr="00756994">
        <w:rPr>
          <w:szCs w:val="27"/>
        </w:rPr>
        <w:t>, p. 17.)</w:t>
      </w:r>
    </w:p>
    <w:p w14:paraId="3100616C" w14:textId="77777777" w:rsidR="00756994" w:rsidRPr="00756994" w:rsidRDefault="00756994" w:rsidP="00756994">
      <w:pPr>
        <w:ind w:firstLine="720"/>
        <w:rPr>
          <w:szCs w:val="27"/>
        </w:rPr>
      </w:pPr>
      <w:r w:rsidRPr="00756994">
        <w:rPr>
          <w:szCs w:val="27"/>
        </w:rPr>
        <w:t xml:space="preserve">However, I part ways with the majority conclusion that the trial court’s prejudice finding under section 1473.7 is subject to a form of “independent review” that does not defer to the trial court’s factual findings under conventional substantial evidence review.  (See </w:t>
      </w:r>
      <w:proofErr w:type="spellStart"/>
      <w:r w:rsidRPr="00756994">
        <w:rPr>
          <w:szCs w:val="27"/>
        </w:rPr>
        <w:t>maj.</w:t>
      </w:r>
      <w:proofErr w:type="spellEnd"/>
      <w:r w:rsidRPr="00756994">
        <w:rPr>
          <w:szCs w:val="27"/>
        </w:rPr>
        <w:t xml:space="preserve"> opn., </w:t>
      </w:r>
      <w:r w:rsidRPr="00756994">
        <w:rPr>
          <w:i/>
          <w:iCs/>
          <w:szCs w:val="27"/>
        </w:rPr>
        <w:t>ante</w:t>
      </w:r>
      <w:r w:rsidRPr="00756994">
        <w:rPr>
          <w:szCs w:val="27"/>
        </w:rPr>
        <w:t xml:space="preserve">, pp. 29–30.)  The majority holds that the independent review standard affords deference to the trial court’s factual determinations </w:t>
      </w:r>
      <w:r w:rsidRPr="00756994">
        <w:rPr>
          <w:i/>
          <w:iCs/>
          <w:szCs w:val="27"/>
        </w:rPr>
        <w:t xml:space="preserve">only </w:t>
      </w:r>
      <w:r w:rsidRPr="00756994">
        <w:rPr>
          <w:szCs w:val="27"/>
        </w:rPr>
        <w:t>if “based on ‘ “the credibility of witnesses the [superior court] heard and observed.” ’ ”  (</w:t>
      </w:r>
      <w:r w:rsidRPr="00756994">
        <w:rPr>
          <w:i/>
          <w:iCs/>
          <w:szCs w:val="27"/>
        </w:rPr>
        <w:t>Id</w:t>
      </w:r>
      <w:r w:rsidRPr="00756994">
        <w:rPr>
          <w:szCs w:val="27"/>
        </w:rPr>
        <w:t>. at p. 19.)  Under that view, no deference is owed to the trial court’s factual findings when the “facts derive entirely from written declarations and other documents.”  (</w:t>
      </w:r>
      <w:r w:rsidRPr="00756994">
        <w:rPr>
          <w:i/>
          <w:iCs/>
          <w:szCs w:val="27"/>
        </w:rPr>
        <w:t>Id</w:t>
      </w:r>
      <w:r w:rsidRPr="00756994">
        <w:rPr>
          <w:szCs w:val="27"/>
        </w:rPr>
        <w:t>. at p. 20.)</w:t>
      </w:r>
    </w:p>
    <w:p w14:paraId="76A6447F" w14:textId="77777777" w:rsidR="00756994" w:rsidRPr="00756994" w:rsidRDefault="00756994" w:rsidP="00756994">
      <w:pPr>
        <w:ind w:firstLine="720"/>
        <w:rPr>
          <w:szCs w:val="27"/>
        </w:rPr>
      </w:pPr>
      <w:r w:rsidRPr="00756994">
        <w:rPr>
          <w:szCs w:val="27"/>
        </w:rPr>
        <w:lastRenderedPageBreak/>
        <w:t xml:space="preserve">My disagreement is not with applying independent review to the trial court’s </w:t>
      </w:r>
      <w:r w:rsidRPr="00756994">
        <w:rPr>
          <w:i/>
          <w:iCs/>
          <w:szCs w:val="27"/>
        </w:rPr>
        <w:t>ultimate legal ruling</w:t>
      </w:r>
      <w:r w:rsidRPr="00756994">
        <w:rPr>
          <w:szCs w:val="27"/>
        </w:rPr>
        <w:t xml:space="preserve"> but with adopting a form of review that largely dispenses with the deference normally afforded to a lower court’s </w:t>
      </w:r>
      <w:r w:rsidRPr="00756994">
        <w:rPr>
          <w:i/>
          <w:iCs/>
          <w:szCs w:val="27"/>
        </w:rPr>
        <w:t xml:space="preserve">factual </w:t>
      </w:r>
      <w:r w:rsidRPr="00756994">
        <w:rPr>
          <w:szCs w:val="27"/>
        </w:rPr>
        <w:t xml:space="preserve">findings.  (See </w:t>
      </w:r>
      <w:r w:rsidRPr="00756994">
        <w:rPr>
          <w:i/>
          <w:iCs/>
          <w:szCs w:val="27"/>
        </w:rPr>
        <w:t xml:space="preserve">People v. Hernandez </w:t>
      </w:r>
      <w:r w:rsidRPr="00756994">
        <w:rPr>
          <w:szCs w:val="27"/>
        </w:rPr>
        <w:t xml:space="preserve">(2008) 45 Cal.4th 295, 298–299; </w:t>
      </w:r>
      <w:r w:rsidRPr="00756994">
        <w:rPr>
          <w:i/>
          <w:iCs/>
          <w:szCs w:val="27"/>
        </w:rPr>
        <w:t xml:space="preserve">People v. Alvarez </w:t>
      </w:r>
      <w:r w:rsidRPr="00756994">
        <w:rPr>
          <w:szCs w:val="27"/>
        </w:rPr>
        <w:t xml:space="preserve">(1996) 14 Cal.4th 155, 182.)  A substantial evidence inquiry examines the record in the light most favorable to the judgment and upholds a finding “if the record contains reasonable, credible evidence of solid value upon which a reasonable trier of fact </w:t>
      </w:r>
      <w:r w:rsidRPr="00756994">
        <w:rPr>
          <w:i/>
          <w:iCs/>
          <w:szCs w:val="27"/>
        </w:rPr>
        <w:t xml:space="preserve">could </w:t>
      </w:r>
      <w:r w:rsidRPr="00756994">
        <w:rPr>
          <w:szCs w:val="27"/>
        </w:rPr>
        <w:t>have relied in reaching the conclusion in question.  Once such evidence is found, the substantial evidence test is satisfied.  [Citation.]  Even when there is . . . significant . . . countervailing evidence, the testimony of a single witness that satisfies the standard is sufficient to uphold the finding.”  (</w:t>
      </w:r>
      <w:r w:rsidRPr="00756994">
        <w:rPr>
          <w:i/>
          <w:iCs/>
          <w:szCs w:val="27"/>
        </w:rPr>
        <w:t xml:space="preserve">People v. Barnwell </w:t>
      </w:r>
      <w:r w:rsidRPr="00756994">
        <w:rPr>
          <w:szCs w:val="27"/>
        </w:rPr>
        <w:t>(2007) 41 Cal.4th 1038, 1052.)  There is no reason to dispense with this conventional appellate approach to reviewing findings of fact.</w:t>
      </w:r>
    </w:p>
    <w:p w14:paraId="639EBB4A" w14:textId="77777777" w:rsidR="00756994" w:rsidRPr="00756994" w:rsidRDefault="00756994" w:rsidP="00756994">
      <w:pPr>
        <w:ind w:firstLine="720"/>
        <w:rPr>
          <w:szCs w:val="27"/>
        </w:rPr>
      </w:pPr>
      <w:r w:rsidRPr="00756994">
        <w:rPr>
          <w:szCs w:val="27"/>
        </w:rPr>
        <w:t>The standard of review described in the majority opinion is not completely unheard of, but its extension to review of statutory claims may well be.</w:t>
      </w:r>
      <w:r w:rsidRPr="00756994">
        <w:rPr>
          <w:b/>
          <w:position w:val="6"/>
          <w:sz w:val="20"/>
          <w:szCs w:val="27"/>
        </w:rPr>
        <w:footnoteReference w:id="11"/>
      </w:r>
      <w:r w:rsidRPr="00756994">
        <w:rPr>
          <w:szCs w:val="27"/>
        </w:rPr>
        <w:t xml:space="preserve">  The standard articulated by the majority derives primarily from the lead opinion in </w:t>
      </w:r>
      <w:r w:rsidRPr="00756994">
        <w:rPr>
          <w:i/>
          <w:iCs/>
          <w:szCs w:val="27"/>
        </w:rPr>
        <w:t xml:space="preserve">In re </w:t>
      </w:r>
      <w:proofErr w:type="spellStart"/>
      <w:r w:rsidRPr="00756994">
        <w:rPr>
          <w:i/>
          <w:iCs/>
          <w:szCs w:val="27"/>
        </w:rPr>
        <w:t>Resendiz</w:t>
      </w:r>
      <w:proofErr w:type="spellEnd"/>
      <w:r w:rsidRPr="00756994">
        <w:rPr>
          <w:i/>
          <w:iCs/>
          <w:szCs w:val="27"/>
        </w:rPr>
        <w:t xml:space="preserve"> </w:t>
      </w:r>
      <w:r w:rsidRPr="00756994">
        <w:rPr>
          <w:szCs w:val="27"/>
        </w:rPr>
        <w:t>(2001) 25 Cal.4th 230, 249 (lead opn. of Werdegar, J.) (</w:t>
      </w:r>
      <w:proofErr w:type="spellStart"/>
      <w:r w:rsidRPr="00756994">
        <w:rPr>
          <w:i/>
          <w:iCs/>
          <w:szCs w:val="27"/>
        </w:rPr>
        <w:t>Resendiz</w:t>
      </w:r>
      <w:proofErr w:type="spellEnd"/>
      <w:r w:rsidRPr="00756994">
        <w:rPr>
          <w:szCs w:val="27"/>
        </w:rPr>
        <w:t>).</w:t>
      </w:r>
      <w:r w:rsidRPr="00756994">
        <w:rPr>
          <w:b/>
          <w:position w:val="6"/>
          <w:szCs w:val="27"/>
          <w:vertAlign w:val="superscript"/>
        </w:rPr>
        <w:footnoteReference w:id="12"/>
      </w:r>
      <w:r w:rsidRPr="00756994">
        <w:rPr>
          <w:szCs w:val="27"/>
        </w:rPr>
        <w:t xml:space="preserve">  (Maj. opn., </w:t>
      </w:r>
      <w:r w:rsidRPr="00756994">
        <w:rPr>
          <w:i/>
          <w:iCs/>
          <w:szCs w:val="27"/>
        </w:rPr>
        <w:t>ante</w:t>
      </w:r>
      <w:r w:rsidRPr="00756994">
        <w:rPr>
          <w:szCs w:val="27"/>
        </w:rPr>
        <w:t xml:space="preserve">, pp. 14, 19.)  </w:t>
      </w:r>
      <w:proofErr w:type="spellStart"/>
      <w:r w:rsidRPr="00756994">
        <w:rPr>
          <w:i/>
          <w:iCs/>
          <w:szCs w:val="27"/>
        </w:rPr>
        <w:t>Resendiz</w:t>
      </w:r>
      <w:proofErr w:type="spellEnd"/>
      <w:r w:rsidRPr="00756994">
        <w:rPr>
          <w:szCs w:val="27"/>
        </w:rPr>
        <w:t xml:space="preserve"> considered </w:t>
      </w:r>
      <w:r w:rsidRPr="00756994">
        <w:rPr>
          <w:szCs w:val="27"/>
        </w:rPr>
        <w:lastRenderedPageBreak/>
        <w:t xml:space="preserve">an ineffective assistance of counsel claim involving affirmative </w:t>
      </w:r>
      <w:proofErr w:type="spellStart"/>
      <w:r w:rsidRPr="00756994">
        <w:rPr>
          <w:szCs w:val="27"/>
        </w:rPr>
        <w:t>misadvice</w:t>
      </w:r>
      <w:proofErr w:type="spellEnd"/>
      <w:r w:rsidRPr="00756994">
        <w:rPr>
          <w:szCs w:val="27"/>
        </w:rPr>
        <w:t xml:space="preserve"> about the immigration consequences of a plea.  (</w:t>
      </w:r>
      <w:proofErr w:type="spellStart"/>
      <w:r w:rsidRPr="00756994">
        <w:rPr>
          <w:i/>
          <w:iCs/>
          <w:szCs w:val="27"/>
        </w:rPr>
        <w:t>Resendiz</w:t>
      </w:r>
      <w:proofErr w:type="spellEnd"/>
      <w:r w:rsidRPr="00756994">
        <w:rPr>
          <w:szCs w:val="27"/>
        </w:rPr>
        <w:t xml:space="preserve">, at p. 235.)  The claim was raised on habeas corpus.  Accordingly, the lead opinion recited the standard applicable to review of factual findings </w:t>
      </w:r>
      <w:r w:rsidRPr="00756994">
        <w:rPr>
          <w:i/>
          <w:iCs/>
          <w:szCs w:val="27"/>
        </w:rPr>
        <w:t xml:space="preserve">in habeas corpus </w:t>
      </w:r>
      <w:r w:rsidRPr="00756994">
        <w:rPr>
          <w:szCs w:val="27"/>
        </w:rPr>
        <w:t>proceedings.  (</w:t>
      </w:r>
      <w:r w:rsidRPr="00756994">
        <w:rPr>
          <w:i/>
          <w:iCs/>
          <w:szCs w:val="27"/>
        </w:rPr>
        <w:t>Id.</w:t>
      </w:r>
      <w:r w:rsidRPr="00756994">
        <w:rPr>
          <w:szCs w:val="27"/>
        </w:rPr>
        <w:t xml:space="preserve"> at p. 249.)  Of course, in such a context the inquiry goes beyond the trial record to consider facts and assertions not before the original trial court.  In such circumstances, a court considering a habeas petition is not simply reviewing the decisions made at the trial level.  It is exercising its own authority based on its own review of new facts and claims.  Those are two very different tasks.  We should be hesitant here to uncritically apply a habeas corpus standard of review to appellate review of statutory claims.</w:t>
      </w:r>
    </w:p>
    <w:p w14:paraId="5B83E929" w14:textId="77777777" w:rsidR="00756994" w:rsidRPr="00756994" w:rsidRDefault="00756994" w:rsidP="00756994">
      <w:pPr>
        <w:ind w:firstLine="720"/>
        <w:rPr>
          <w:szCs w:val="27"/>
        </w:rPr>
      </w:pPr>
      <w:r w:rsidRPr="00756994">
        <w:rPr>
          <w:szCs w:val="27"/>
        </w:rPr>
        <w:t>The review of factual findings in habeas corpus matters arises from the procedural posture of those cases.  Constitutionally, the courts of review are granted original jurisdiction to consider habeas corpus claims.  (Cal. Const., art. VI, § 10.)  Because appellate courts are not well suited to conduct evidentiary hearings, however, a referee will typically be appointed to make recommended findings of fact.  (See Cal. Rules of Court, rule 8.386(f)(2).)  But reviewing courts are not required to accept the referee’s recommended findings.  (</w:t>
      </w:r>
      <w:r w:rsidRPr="00756994">
        <w:rPr>
          <w:i/>
          <w:iCs/>
          <w:szCs w:val="27"/>
        </w:rPr>
        <w:t xml:space="preserve">In re Hitchings </w:t>
      </w:r>
      <w:r w:rsidRPr="00756994">
        <w:rPr>
          <w:szCs w:val="27"/>
        </w:rPr>
        <w:t xml:space="preserve">(1993) 6 Cal.4th 97, 109.)  While those findings are entitled to “ ‘great weight’ ” when supported by substantial, </w:t>
      </w:r>
      <w:r w:rsidRPr="00756994">
        <w:rPr>
          <w:szCs w:val="27"/>
        </w:rPr>
        <w:lastRenderedPageBreak/>
        <w:t>credible evidence (</w:t>
      </w:r>
      <w:r w:rsidRPr="00756994">
        <w:rPr>
          <w:i/>
          <w:iCs/>
          <w:szCs w:val="27"/>
        </w:rPr>
        <w:t>ibid.</w:t>
      </w:r>
      <w:r w:rsidRPr="00756994">
        <w:rPr>
          <w:szCs w:val="27"/>
        </w:rPr>
        <w:t>), they are not binding upon the court as they would be under the substantial evidence standard.  A court may “ ‘ “reach a different conclusion on an independent examination of the evidence produced at the [reference hearing] even where the evidence is conflicting.” ’ ”  (</w:t>
      </w:r>
      <w:r w:rsidRPr="00756994">
        <w:rPr>
          <w:i/>
          <w:iCs/>
          <w:szCs w:val="27"/>
        </w:rPr>
        <w:t>Ibid</w:t>
      </w:r>
      <w:r w:rsidRPr="00756994">
        <w:rPr>
          <w:szCs w:val="27"/>
        </w:rPr>
        <w:t>.)  Further, no deference is afforded to factual findings unless “ ‘based on the credibility of live testimony.’ ”  (</w:t>
      </w:r>
      <w:proofErr w:type="spellStart"/>
      <w:r w:rsidRPr="00756994">
        <w:rPr>
          <w:i/>
          <w:iCs/>
          <w:szCs w:val="27"/>
        </w:rPr>
        <w:t>Resendiz</w:t>
      </w:r>
      <w:proofErr w:type="spellEnd"/>
      <w:r w:rsidRPr="00756994">
        <w:rPr>
          <w:szCs w:val="27"/>
        </w:rPr>
        <w:t xml:space="preserve">, </w:t>
      </w:r>
      <w:r w:rsidRPr="00756994">
        <w:rPr>
          <w:i/>
          <w:iCs/>
          <w:szCs w:val="27"/>
        </w:rPr>
        <w:t>supra</w:t>
      </w:r>
      <w:r w:rsidRPr="00756994">
        <w:rPr>
          <w:szCs w:val="27"/>
        </w:rPr>
        <w:t xml:space="preserve">, 25 Cal.4th at p. 249 (lead opn. of Werdegar, J.), citing </w:t>
      </w:r>
      <w:r w:rsidRPr="00756994">
        <w:rPr>
          <w:i/>
          <w:iCs/>
          <w:szCs w:val="27"/>
        </w:rPr>
        <w:t>In re Arias</w:t>
      </w:r>
      <w:r w:rsidRPr="00756994">
        <w:rPr>
          <w:szCs w:val="27"/>
        </w:rPr>
        <w:t xml:space="preserve"> (1986) 42 Cal.3d 667, 695; accord, </w:t>
      </w:r>
      <w:r w:rsidRPr="00756994">
        <w:rPr>
          <w:i/>
          <w:iCs/>
          <w:szCs w:val="27"/>
        </w:rPr>
        <w:t xml:space="preserve">In re Long </w:t>
      </w:r>
      <w:r w:rsidRPr="00756994">
        <w:rPr>
          <w:szCs w:val="27"/>
        </w:rPr>
        <w:t xml:space="preserve">(2020) 10 Cal.5th 764, 774.)  </w:t>
      </w:r>
    </w:p>
    <w:p w14:paraId="6E94BD95" w14:textId="77777777" w:rsidR="00756994" w:rsidRPr="00756994" w:rsidRDefault="00756994" w:rsidP="00756994">
      <w:pPr>
        <w:ind w:firstLine="720"/>
        <w:rPr>
          <w:szCs w:val="27"/>
        </w:rPr>
      </w:pPr>
      <w:r w:rsidRPr="00756994">
        <w:rPr>
          <w:szCs w:val="27"/>
        </w:rPr>
        <w:t>When an appellate court exercises original jurisdiction in a habeas matter, it makes sense to give limited deference to the referee’s recommended findings.  In keeping with its original jurisdiction, the reviewing court is the ultimate fact finder.  The same review principles apply to a successive writ situation in which a petitioner files a new habeas corpus petition in the appellate court when the superior court has denied habeas corpus relief after an evidentiary hearing.  (</w:t>
      </w:r>
      <w:r w:rsidRPr="00756994">
        <w:rPr>
          <w:i/>
          <w:iCs/>
          <w:szCs w:val="27"/>
        </w:rPr>
        <w:t xml:space="preserve">In re Wright </w:t>
      </w:r>
      <w:r w:rsidRPr="00756994">
        <w:rPr>
          <w:szCs w:val="27"/>
        </w:rPr>
        <w:t>(1978) 78 Cal.App.3d 788, 801.)  In such a case, the appellate court again exercises original jurisdiction.</w:t>
      </w:r>
    </w:p>
    <w:p w14:paraId="5B39E85A" w14:textId="77777777" w:rsidR="00756994" w:rsidRPr="00756994" w:rsidRDefault="00756994" w:rsidP="00756994">
      <w:pPr>
        <w:ind w:firstLine="720"/>
        <w:rPr>
          <w:szCs w:val="27"/>
        </w:rPr>
      </w:pPr>
      <w:r w:rsidRPr="00756994">
        <w:rPr>
          <w:szCs w:val="27"/>
        </w:rPr>
        <w:t xml:space="preserve">The situation is different, however, when the matter comes to the appellate court </w:t>
      </w:r>
      <w:r w:rsidRPr="00756994">
        <w:rPr>
          <w:i/>
          <w:iCs/>
          <w:szCs w:val="27"/>
        </w:rPr>
        <w:t>as an appeal.</w:t>
      </w:r>
      <w:r w:rsidRPr="00756994">
        <w:rPr>
          <w:szCs w:val="27"/>
        </w:rPr>
        <w:t xml:space="preserve">  When the superior court grants habeas corpus relief and the People appeal, the Court of Appeal exercises its appellate jurisdiction over the superior court rulings.  (See Cal. Const., art. VI, § 11.)  “The posture of [a] case as a People’s appeal is to be differentiated from a situation in which an appellate court, reviewing a petition for writ of habeas corpus </w:t>
      </w:r>
      <w:r w:rsidRPr="00756994">
        <w:rPr>
          <w:i/>
          <w:iCs/>
          <w:szCs w:val="27"/>
        </w:rPr>
        <w:t>as a matter of original jurisdiction</w:t>
      </w:r>
      <w:r w:rsidRPr="00756994">
        <w:rPr>
          <w:szCs w:val="27"/>
        </w:rPr>
        <w:t>, assigns a referee to take evidence on the matter.”  (</w:t>
      </w:r>
      <w:r w:rsidRPr="00756994">
        <w:rPr>
          <w:i/>
          <w:iCs/>
          <w:szCs w:val="27"/>
        </w:rPr>
        <w:t xml:space="preserve">In re Pratt </w:t>
      </w:r>
      <w:r w:rsidRPr="00756994">
        <w:rPr>
          <w:szCs w:val="27"/>
        </w:rPr>
        <w:t xml:space="preserve">(1999) 69 Cal.App.4th 1294, 1314, fn. 16, italics added.)  In an appeal from a habeas corpus grant, a reviewing court applies the conventional substantial evidence standard to </w:t>
      </w:r>
      <w:r w:rsidRPr="00756994">
        <w:rPr>
          <w:szCs w:val="27"/>
        </w:rPr>
        <w:lastRenderedPageBreak/>
        <w:t>questions of fact, just as with any other appeal.  (</w:t>
      </w:r>
      <w:r w:rsidRPr="00756994">
        <w:rPr>
          <w:i/>
          <w:iCs/>
          <w:szCs w:val="27"/>
        </w:rPr>
        <w:t>Id</w:t>
      </w:r>
      <w:r w:rsidRPr="00756994">
        <w:rPr>
          <w:szCs w:val="27"/>
        </w:rPr>
        <w:t>. at p. 1314.)  In other words, it applies “ ‘ “basic principles of appellate review.” ’ ”  (</w:t>
      </w:r>
      <w:r w:rsidRPr="00756994">
        <w:rPr>
          <w:i/>
          <w:iCs/>
          <w:szCs w:val="27"/>
        </w:rPr>
        <w:t xml:space="preserve">In re Butler </w:t>
      </w:r>
      <w:r w:rsidRPr="00756994">
        <w:rPr>
          <w:szCs w:val="27"/>
        </w:rPr>
        <w:t>(2020) 55 Cal.App.5th 614, 648.)  Findings of fact are accorded due deference under the substantial evidence standard, while questions of law are reviewed independently.  (</w:t>
      </w:r>
      <w:r w:rsidRPr="00756994">
        <w:rPr>
          <w:i/>
          <w:iCs/>
          <w:szCs w:val="27"/>
        </w:rPr>
        <w:t>Ibid</w:t>
      </w:r>
      <w:r w:rsidRPr="00756994">
        <w:rPr>
          <w:szCs w:val="27"/>
        </w:rPr>
        <w:t>.)</w:t>
      </w:r>
    </w:p>
    <w:p w14:paraId="57939BD6" w14:textId="77777777" w:rsidR="00756994" w:rsidRPr="00756994" w:rsidRDefault="00756994" w:rsidP="00756994">
      <w:pPr>
        <w:ind w:firstLine="720"/>
        <w:rPr>
          <w:strike/>
          <w:szCs w:val="27"/>
        </w:rPr>
      </w:pPr>
      <w:r w:rsidRPr="00756994">
        <w:rPr>
          <w:szCs w:val="27"/>
        </w:rPr>
        <w:t xml:space="preserve">An appeal from a ruling under section 1473.7 is just that:  an </w:t>
      </w:r>
      <w:r w:rsidRPr="00756994">
        <w:rPr>
          <w:i/>
          <w:iCs/>
          <w:szCs w:val="27"/>
        </w:rPr>
        <w:t>appeal</w:t>
      </w:r>
      <w:r w:rsidRPr="00756994">
        <w:rPr>
          <w:szCs w:val="27"/>
        </w:rPr>
        <w:t xml:space="preserve">.  (§ 1473.7, subd. (f).)  It is not an equitable habeas corpus proceeding in which the appellate court possesses original jurisdiction.  Indeed, the </w:t>
      </w:r>
      <w:r w:rsidRPr="00756994">
        <w:rPr>
          <w:i/>
          <w:iCs/>
          <w:szCs w:val="27"/>
        </w:rPr>
        <w:t xml:space="preserve">statutory </w:t>
      </w:r>
      <w:r w:rsidRPr="00756994">
        <w:rPr>
          <w:szCs w:val="27"/>
        </w:rPr>
        <w:t xml:space="preserve">remedy in section 1473.7 is necessary because habeas corpus </w:t>
      </w:r>
      <w:r w:rsidRPr="00756994">
        <w:rPr>
          <w:i/>
          <w:iCs/>
          <w:szCs w:val="27"/>
        </w:rPr>
        <w:t xml:space="preserve">writ </w:t>
      </w:r>
      <w:r w:rsidRPr="00756994">
        <w:rPr>
          <w:szCs w:val="27"/>
        </w:rPr>
        <w:t xml:space="preserve">relief is not available when, as here, the defendant is no longer in actual or constructive custody.  (See </w:t>
      </w:r>
      <w:r w:rsidRPr="00756994">
        <w:rPr>
          <w:i/>
          <w:iCs/>
          <w:szCs w:val="27"/>
        </w:rPr>
        <w:t xml:space="preserve">People v. Villa </w:t>
      </w:r>
      <w:r w:rsidRPr="00756994">
        <w:rPr>
          <w:szCs w:val="27"/>
        </w:rPr>
        <w:t>(2009) 45 Cal.4th 1063, 1066.)  In creating an opportunity for legal relief under section 1473.7, the Legislature also provided for conventional appellate review.  It did not expand the jurisdiction of the courts reviewing the trial court’s ruling on the motion.  Basic principles of appellate review should apply, not principles imported from writ proceedings.</w:t>
      </w:r>
    </w:p>
    <w:p w14:paraId="54CE4419" w14:textId="77777777" w:rsidR="00756994" w:rsidRPr="00756994" w:rsidRDefault="00756994" w:rsidP="00756994">
      <w:pPr>
        <w:ind w:firstLine="720"/>
        <w:rPr>
          <w:szCs w:val="27"/>
        </w:rPr>
      </w:pPr>
      <w:r w:rsidRPr="00756994">
        <w:rPr>
          <w:szCs w:val="27"/>
        </w:rPr>
        <w:t>“[A]</w:t>
      </w:r>
      <w:proofErr w:type="spellStart"/>
      <w:r w:rsidRPr="00756994">
        <w:rPr>
          <w:szCs w:val="27"/>
        </w:rPr>
        <w:t>ppellate</w:t>
      </w:r>
      <w:proofErr w:type="spellEnd"/>
      <w:r w:rsidRPr="00756994">
        <w:rPr>
          <w:szCs w:val="27"/>
        </w:rPr>
        <w:t xml:space="preserve"> court deference to the trial court’s resolution of fact issues is warranted by </w:t>
      </w:r>
      <w:r w:rsidRPr="00756994">
        <w:rPr>
          <w:i/>
          <w:iCs/>
          <w:szCs w:val="27"/>
        </w:rPr>
        <w:t xml:space="preserve">jurisdictional </w:t>
      </w:r>
      <w:r w:rsidRPr="00756994">
        <w:rPr>
          <w:szCs w:val="27"/>
        </w:rPr>
        <w:t xml:space="preserve">considerations and a recognition of the </w:t>
      </w:r>
      <w:r w:rsidRPr="00756994">
        <w:rPr>
          <w:i/>
          <w:iCs/>
          <w:szCs w:val="27"/>
        </w:rPr>
        <w:t>distinctive roles</w:t>
      </w:r>
      <w:r w:rsidRPr="00756994">
        <w:rPr>
          <w:szCs w:val="27"/>
        </w:rPr>
        <w:t xml:space="preserve"> of trial and appellate courts:  Trial courts decide questions of fact and appellate courts decide questions of law.”  (Eisenberg et al., Cal. Practice Guide:  Civil Appeals and Writs (The Rutter Group 2019) ¶ 8:42, p. 8-21.)  Whether substantial evidence supports a judgment or ruling is a question of </w:t>
      </w:r>
      <w:r w:rsidRPr="00756994">
        <w:rPr>
          <w:i/>
          <w:iCs/>
          <w:szCs w:val="27"/>
        </w:rPr>
        <w:t>law</w:t>
      </w:r>
      <w:r w:rsidRPr="00756994">
        <w:rPr>
          <w:szCs w:val="27"/>
        </w:rPr>
        <w:t xml:space="preserve"> reposing with the appellate court.  (</w:t>
      </w:r>
      <w:r w:rsidRPr="00756994">
        <w:rPr>
          <w:i/>
          <w:iCs/>
          <w:szCs w:val="27"/>
        </w:rPr>
        <w:t>Ibid.</w:t>
      </w:r>
      <w:r w:rsidRPr="00756994">
        <w:rPr>
          <w:szCs w:val="27"/>
        </w:rPr>
        <w:t>)  Further, as a general matter, because of the jurisdictional roles of the trial and appellate courts, deference to trial court credibility determinations is the same for both written declarations and oral testimony.  (</w:t>
      </w:r>
      <w:proofErr w:type="spellStart"/>
      <w:r w:rsidRPr="00756994">
        <w:rPr>
          <w:i/>
          <w:iCs/>
          <w:szCs w:val="27"/>
        </w:rPr>
        <w:t>Haraguchi</w:t>
      </w:r>
      <w:proofErr w:type="spellEnd"/>
      <w:r w:rsidRPr="00756994">
        <w:rPr>
          <w:i/>
          <w:iCs/>
          <w:szCs w:val="27"/>
        </w:rPr>
        <w:t xml:space="preserve"> v. Superior Court </w:t>
      </w:r>
      <w:r w:rsidRPr="00756994">
        <w:rPr>
          <w:szCs w:val="27"/>
        </w:rPr>
        <w:lastRenderedPageBreak/>
        <w:t xml:space="preserve">(2008) 43 Cal.4th 706, 711 &amp; fn. 3; </w:t>
      </w:r>
      <w:r w:rsidRPr="00756994">
        <w:rPr>
          <w:i/>
          <w:iCs/>
          <w:szCs w:val="27"/>
        </w:rPr>
        <w:t xml:space="preserve">Shamblin v. Brattain </w:t>
      </w:r>
      <w:r w:rsidRPr="00756994">
        <w:rPr>
          <w:szCs w:val="27"/>
        </w:rPr>
        <w:t xml:space="preserve">(1988) 44 Cal.3d 474, 479; </w:t>
      </w:r>
      <w:r w:rsidRPr="00756994">
        <w:rPr>
          <w:i/>
          <w:iCs/>
          <w:szCs w:val="27"/>
        </w:rPr>
        <w:t xml:space="preserve">Lebel v. Mai </w:t>
      </w:r>
      <w:r w:rsidRPr="00756994">
        <w:rPr>
          <w:szCs w:val="27"/>
        </w:rPr>
        <w:t xml:space="preserve">(2012) 210 Cal.App.4th 1154, 1159.) </w:t>
      </w:r>
    </w:p>
    <w:p w14:paraId="08174761" w14:textId="77777777" w:rsidR="00756994" w:rsidRPr="00756994" w:rsidRDefault="00756994" w:rsidP="00756994">
      <w:pPr>
        <w:ind w:firstLine="720"/>
        <w:rPr>
          <w:szCs w:val="27"/>
        </w:rPr>
      </w:pPr>
      <w:r w:rsidRPr="00756994">
        <w:rPr>
          <w:szCs w:val="27"/>
        </w:rPr>
        <w:t xml:space="preserve">The argument that the reviewing court is “ ‘in the same position’ ” as the trial court in assessing documentary evidence is inaccurate.  (Maj. opn., </w:t>
      </w:r>
      <w:r w:rsidRPr="00756994">
        <w:rPr>
          <w:i/>
          <w:iCs/>
          <w:szCs w:val="27"/>
        </w:rPr>
        <w:t>ante</w:t>
      </w:r>
      <w:r w:rsidRPr="00756994">
        <w:rPr>
          <w:szCs w:val="27"/>
        </w:rPr>
        <w:t xml:space="preserve">, p. 20, quoting </w:t>
      </w:r>
      <w:r w:rsidRPr="00756994">
        <w:rPr>
          <w:i/>
          <w:iCs/>
          <w:szCs w:val="27"/>
        </w:rPr>
        <w:t xml:space="preserve">People v. </w:t>
      </w:r>
      <w:proofErr w:type="spellStart"/>
      <w:r w:rsidRPr="00756994">
        <w:rPr>
          <w:i/>
          <w:iCs/>
          <w:szCs w:val="27"/>
        </w:rPr>
        <w:t>Ogunmowo</w:t>
      </w:r>
      <w:proofErr w:type="spellEnd"/>
      <w:r w:rsidRPr="00756994">
        <w:rPr>
          <w:i/>
          <w:iCs/>
          <w:szCs w:val="27"/>
        </w:rPr>
        <w:t xml:space="preserve"> </w:t>
      </w:r>
      <w:r w:rsidRPr="00756994">
        <w:rPr>
          <w:szCs w:val="27"/>
        </w:rPr>
        <w:t xml:space="preserve">(2018) 23 Cal.App.5th 67, 79.)  A reviewing court exercising </w:t>
      </w:r>
      <w:r w:rsidRPr="00756994">
        <w:rPr>
          <w:i/>
          <w:iCs/>
          <w:szCs w:val="27"/>
        </w:rPr>
        <w:t xml:space="preserve">appellate </w:t>
      </w:r>
      <w:r w:rsidRPr="00756994">
        <w:rPr>
          <w:szCs w:val="27"/>
        </w:rPr>
        <w:t>jurisdiction is not in the same position as the trial court.  Their respective roles are different.  The trial court decides questions of fact in the first instance.  The reviewing court defers to those findings and only considers legal holdings de novo.  By declining to give deference to the trial court’s findings when based on documentary evidence, a reviewing court simply assumes for itself the role of fact finder.  For this reason, we confirmed over a decade ago that even when “</w:t>
      </w:r>
      <w:bookmarkStart w:id="11" w:name="_Hlk69205992"/>
      <w:r w:rsidRPr="00756994">
        <w:rPr>
          <w:szCs w:val="27"/>
        </w:rPr>
        <w:t>the trial court’s findings were based on declarations and other written evidence[, that fact] does not lessen the deference due those findings.</w:t>
      </w:r>
      <w:bookmarkEnd w:id="11"/>
      <w:r w:rsidRPr="00756994">
        <w:rPr>
          <w:szCs w:val="27"/>
        </w:rPr>
        <w:t>”  (</w:t>
      </w:r>
      <w:proofErr w:type="spellStart"/>
      <w:r w:rsidRPr="00756994">
        <w:rPr>
          <w:i/>
          <w:iCs/>
          <w:szCs w:val="27"/>
        </w:rPr>
        <w:t>Haraguchi</w:t>
      </w:r>
      <w:proofErr w:type="spellEnd"/>
      <w:r w:rsidRPr="00756994">
        <w:rPr>
          <w:i/>
          <w:iCs/>
          <w:szCs w:val="27"/>
        </w:rPr>
        <w:t xml:space="preserve"> v. Superior Court</w:t>
      </w:r>
      <w:r w:rsidRPr="00756994">
        <w:rPr>
          <w:szCs w:val="27"/>
        </w:rPr>
        <w:t xml:space="preserve">, </w:t>
      </w:r>
      <w:r w:rsidRPr="00756994">
        <w:rPr>
          <w:i/>
          <w:iCs/>
          <w:szCs w:val="27"/>
        </w:rPr>
        <w:t>supra</w:t>
      </w:r>
      <w:r w:rsidRPr="00756994">
        <w:rPr>
          <w:szCs w:val="27"/>
        </w:rPr>
        <w:t>, 43 Cal.4th at p. 711, fn. 3.)  Indeed, in clarifying that deference is owed “whether the trial court’s ruling is based on oral testimony or declarations,” this court has expressly disapproved authority suggesting otherwise.  (</w:t>
      </w:r>
      <w:r w:rsidRPr="00756994">
        <w:rPr>
          <w:i/>
          <w:iCs/>
          <w:szCs w:val="27"/>
        </w:rPr>
        <w:t>Shamblin v. Brattain</w:t>
      </w:r>
      <w:r w:rsidRPr="00756994">
        <w:rPr>
          <w:szCs w:val="27"/>
        </w:rPr>
        <w:t xml:space="preserve">, </w:t>
      </w:r>
      <w:r w:rsidRPr="00756994">
        <w:rPr>
          <w:i/>
          <w:iCs/>
          <w:szCs w:val="27"/>
        </w:rPr>
        <w:t>supra</w:t>
      </w:r>
      <w:r w:rsidRPr="00756994">
        <w:rPr>
          <w:szCs w:val="27"/>
        </w:rPr>
        <w:t xml:space="preserve">, 44 Cal.3d at p. 479; see </w:t>
      </w:r>
      <w:r w:rsidRPr="00756994">
        <w:rPr>
          <w:i/>
          <w:iCs/>
          <w:szCs w:val="27"/>
        </w:rPr>
        <w:t>id</w:t>
      </w:r>
      <w:r w:rsidRPr="00756994">
        <w:rPr>
          <w:szCs w:val="27"/>
        </w:rPr>
        <w:t>. at p. 479, fn. 4.)</w:t>
      </w:r>
    </w:p>
    <w:p w14:paraId="001A14FB" w14:textId="77777777" w:rsidR="00756994" w:rsidRPr="00756994" w:rsidRDefault="00756994" w:rsidP="00756994">
      <w:pPr>
        <w:ind w:firstLine="720"/>
        <w:rPr>
          <w:szCs w:val="27"/>
        </w:rPr>
      </w:pPr>
      <w:r w:rsidRPr="00756994">
        <w:rPr>
          <w:szCs w:val="27"/>
        </w:rPr>
        <w:t>In its adoption</w:t>
      </w:r>
      <w:r w:rsidRPr="00756994">
        <w:rPr>
          <w:color w:val="00B050"/>
          <w:szCs w:val="27"/>
        </w:rPr>
        <w:t xml:space="preserve"> </w:t>
      </w:r>
      <w:r w:rsidRPr="00756994">
        <w:rPr>
          <w:szCs w:val="27"/>
        </w:rPr>
        <w:t xml:space="preserve">of independent review like that described in </w:t>
      </w:r>
      <w:proofErr w:type="spellStart"/>
      <w:r w:rsidRPr="00756994">
        <w:rPr>
          <w:i/>
          <w:iCs/>
          <w:szCs w:val="27"/>
        </w:rPr>
        <w:t>Resendiz</w:t>
      </w:r>
      <w:proofErr w:type="spellEnd"/>
      <w:r w:rsidRPr="00756994">
        <w:rPr>
          <w:szCs w:val="27"/>
        </w:rPr>
        <w:t xml:space="preserve">, the majority opinion cites a number of factors, including the “history of section 1473.7.”  (Maj. opn., </w:t>
      </w:r>
      <w:r w:rsidRPr="00756994">
        <w:rPr>
          <w:i/>
          <w:iCs/>
          <w:szCs w:val="27"/>
        </w:rPr>
        <w:t>ante</w:t>
      </w:r>
      <w:r w:rsidRPr="00756994">
        <w:rPr>
          <w:szCs w:val="27"/>
        </w:rPr>
        <w:t xml:space="preserve">, p. 18.)  That history purportedly reflects that the standard articulated by the majority was the “prevailing independent standard of review” applied to section 1473.7 when the Legislature amended the law in 2018.  (Maj. opn., </w:t>
      </w:r>
      <w:r w:rsidRPr="00756994">
        <w:rPr>
          <w:i/>
          <w:iCs/>
          <w:szCs w:val="27"/>
        </w:rPr>
        <w:t>ante</w:t>
      </w:r>
      <w:r w:rsidRPr="00756994">
        <w:rPr>
          <w:szCs w:val="27"/>
        </w:rPr>
        <w:t xml:space="preserve">, p. 16.)  However, the precise contours of the standard were far from clear at that time.  In </w:t>
      </w:r>
      <w:r w:rsidRPr="00756994">
        <w:rPr>
          <w:i/>
          <w:iCs/>
          <w:szCs w:val="27"/>
        </w:rPr>
        <w:lastRenderedPageBreak/>
        <w:t xml:space="preserve">People v. Olvera </w:t>
      </w:r>
      <w:r w:rsidRPr="00756994">
        <w:rPr>
          <w:szCs w:val="27"/>
        </w:rPr>
        <w:t xml:space="preserve">(2018) 24 Cal.App.5th 1112, although the court cited </w:t>
      </w:r>
      <w:proofErr w:type="spellStart"/>
      <w:r w:rsidRPr="00756994">
        <w:rPr>
          <w:i/>
          <w:iCs/>
          <w:szCs w:val="27"/>
        </w:rPr>
        <w:t>Resendiz</w:t>
      </w:r>
      <w:proofErr w:type="spellEnd"/>
      <w:r w:rsidRPr="00756994">
        <w:rPr>
          <w:szCs w:val="27"/>
        </w:rPr>
        <w:t xml:space="preserve"> and referred to independent review of the section 1473.7 ruling, it characterized the standard as follows:  “We defer to the trial court’s factual determinations </w:t>
      </w:r>
      <w:r w:rsidRPr="00756994">
        <w:rPr>
          <w:i/>
          <w:iCs/>
          <w:szCs w:val="27"/>
        </w:rPr>
        <w:t>if supported by substantial evidence</w:t>
      </w:r>
      <w:r w:rsidRPr="00756994">
        <w:rPr>
          <w:szCs w:val="27"/>
        </w:rPr>
        <w:t>, but exercise our independent judgment to decide whether the facts demonstrate deficient performance and resulting prejudice.”  (</w:t>
      </w:r>
      <w:r w:rsidRPr="00756994">
        <w:rPr>
          <w:i/>
          <w:iCs/>
          <w:szCs w:val="27"/>
        </w:rPr>
        <w:t>Olvera</w:t>
      </w:r>
      <w:r w:rsidRPr="00756994">
        <w:rPr>
          <w:szCs w:val="27"/>
        </w:rPr>
        <w:t xml:space="preserve">, at p. 1116, italics added.)  Likewise, in another 2018 case involving section 1473.7, </w:t>
      </w:r>
      <w:r w:rsidRPr="00756994">
        <w:rPr>
          <w:i/>
          <w:iCs/>
          <w:szCs w:val="27"/>
        </w:rPr>
        <w:t xml:space="preserve">People v. Tapia </w:t>
      </w:r>
      <w:r w:rsidRPr="00756994">
        <w:rPr>
          <w:szCs w:val="27"/>
        </w:rPr>
        <w:t>(2018) 26 Cal.App.5th 942, the court cited the independent review standard but applied conventional substantial evidence review to the trial court’s factual findings, even though the record apparently consisted entirely of declarations and documents.</w:t>
      </w:r>
      <w:r w:rsidRPr="00756994">
        <w:rPr>
          <w:b/>
          <w:position w:val="6"/>
          <w:sz w:val="20"/>
          <w:szCs w:val="27"/>
        </w:rPr>
        <w:footnoteReference w:id="13"/>
      </w:r>
      <w:r w:rsidRPr="00756994">
        <w:rPr>
          <w:szCs w:val="27"/>
        </w:rPr>
        <w:t xml:space="preserve">  (</w:t>
      </w:r>
      <w:r w:rsidRPr="00756994">
        <w:rPr>
          <w:i/>
          <w:iCs/>
          <w:szCs w:val="27"/>
        </w:rPr>
        <w:t>Tapia</w:t>
      </w:r>
      <w:r w:rsidRPr="00756994">
        <w:rPr>
          <w:szCs w:val="27"/>
        </w:rPr>
        <w:t xml:space="preserve">, at pp. 946–948, 951, 953.)  Indeed, the appellate court upheld the trial court’s implied finding that the defendant’s </w:t>
      </w:r>
      <w:r w:rsidRPr="00756994">
        <w:rPr>
          <w:i/>
          <w:iCs/>
          <w:szCs w:val="27"/>
        </w:rPr>
        <w:t>declaration</w:t>
      </w:r>
      <w:r w:rsidRPr="00756994">
        <w:rPr>
          <w:szCs w:val="27"/>
        </w:rPr>
        <w:t xml:space="preserve"> was not credible, stating:  “We do not reevaluate witness credibility.”  (</w:t>
      </w:r>
      <w:r w:rsidRPr="00756994">
        <w:rPr>
          <w:i/>
          <w:iCs/>
          <w:szCs w:val="27"/>
        </w:rPr>
        <w:t>Id.</w:t>
      </w:r>
      <w:r w:rsidRPr="00756994">
        <w:rPr>
          <w:szCs w:val="27"/>
        </w:rPr>
        <w:t xml:space="preserve"> at p. 953.)</w:t>
      </w:r>
    </w:p>
    <w:p w14:paraId="03A39244" w14:textId="77777777" w:rsidR="00756994" w:rsidRPr="00756994" w:rsidRDefault="00756994" w:rsidP="00756994">
      <w:pPr>
        <w:ind w:firstLine="720"/>
        <w:rPr>
          <w:szCs w:val="27"/>
        </w:rPr>
      </w:pPr>
      <w:r w:rsidRPr="00756994">
        <w:rPr>
          <w:szCs w:val="27"/>
        </w:rPr>
        <w:t xml:space="preserve">The standard described in </w:t>
      </w:r>
      <w:r w:rsidRPr="00756994">
        <w:rPr>
          <w:i/>
          <w:iCs/>
          <w:szCs w:val="27"/>
        </w:rPr>
        <w:t xml:space="preserve">People v. Olvera </w:t>
      </w:r>
      <w:r w:rsidRPr="00756994">
        <w:rPr>
          <w:szCs w:val="27"/>
        </w:rPr>
        <w:t xml:space="preserve">and applied in </w:t>
      </w:r>
      <w:r w:rsidRPr="00756994">
        <w:rPr>
          <w:i/>
          <w:iCs/>
          <w:szCs w:val="27"/>
        </w:rPr>
        <w:t xml:space="preserve">People v. Tapia </w:t>
      </w:r>
      <w:r w:rsidRPr="00756994">
        <w:rPr>
          <w:szCs w:val="27"/>
        </w:rPr>
        <w:t xml:space="preserve">is not the standard advocated by the majority.  The majority approach does not involve substantial evidence review of factual findings, even as applied to findings based on live testimony.  According great weight to findings is not the same as being bound by findings supported by substantial evidence.  A court applying the standard adopted by the majority </w:t>
      </w:r>
      <w:r w:rsidRPr="00756994">
        <w:rPr>
          <w:szCs w:val="27"/>
        </w:rPr>
        <w:lastRenderedPageBreak/>
        <w:t>is free to reach its own conclusions even when the evidence is conflicting and “ ‘great weight’ ” is afforded to certain findings.  (</w:t>
      </w:r>
      <w:proofErr w:type="spellStart"/>
      <w:r w:rsidRPr="00756994">
        <w:rPr>
          <w:i/>
          <w:iCs/>
          <w:szCs w:val="27"/>
        </w:rPr>
        <w:t>Resendiz</w:t>
      </w:r>
      <w:proofErr w:type="spellEnd"/>
      <w:r w:rsidRPr="00756994">
        <w:rPr>
          <w:szCs w:val="27"/>
        </w:rPr>
        <w:t xml:space="preserve">, </w:t>
      </w:r>
      <w:r w:rsidRPr="00756994">
        <w:rPr>
          <w:i/>
          <w:iCs/>
          <w:szCs w:val="27"/>
        </w:rPr>
        <w:t>supra</w:t>
      </w:r>
      <w:r w:rsidRPr="00756994">
        <w:rPr>
          <w:szCs w:val="27"/>
        </w:rPr>
        <w:t>, 25 Cal.4th at p. 249 (lead opn. of Werdegar, J.).)  Simply put, it is incorrect to say the independent review standard adopted by the majority was the “prevailing” one.</w:t>
      </w:r>
    </w:p>
    <w:p w14:paraId="352EED35" w14:textId="77777777" w:rsidR="00756994" w:rsidRPr="00756994" w:rsidRDefault="00756994" w:rsidP="00756994">
      <w:pPr>
        <w:ind w:firstLine="720"/>
        <w:rPr>
          <w:szCs w:val="27"/>
        </w:rPr>
      </w:pPr>
      <w:r w:rsidRPr="00756994">
        <w:rPr>
          <w:szCs w:val="27"/>
        </w:rPr>
        <w:t xml:space="preserve">As further support for dispensing with deferential review of factual findings, the majority cites “the interests at stake in a section 1473.7 motion.”  (Maj. opn., </w:t>
      </w:r>
      <w:r w:rsidRPr="00756994">
        <w:rPr>
          <w:i/>
          <w:iCs/>
          <w:szCs w:val="27"/>
        </w:rPr>
        <w:t>ante</w:t>
      </w:r>
      <w:r w:rsidRPr="00756994">
        <w:rPr>
          <w:szCs w:val="27"/>
        </w:rPr>
        <w:t>, p. 18.)  It may be appropriate to apply de novo review to mixed questions of law and fact that raise constitutional concerns or that would constitute a final determination of a party’s rights.  (</w:t>
      </w:r>
      <w:r w:rsidRPr="00756994">
        <w:rPr>
          <w:i/>
          <w:iCs/>
          <w:szCs w:val="27"/>
        </w:rPr>
        <w:t>People v. Ault</w:t>
      </w:r>
      <w:r w:rsidRPr="00756994">
        <w:rPr>
          <w:szCs w:val="27"/>
        </w:rPr>
        <w:t xml:space="preserve"> (2004) 33 Cal.4th 1250, 1266.)  Nevertheless, simply because independent review should be applied to the ultimate ruling does not justify giving factual findings less deference than</w:t>
      </w:r>
      <w:r w:rsidRPr="00756994">
        <w:rPr>
          <w:szCs w:val="27"/>
          <w:u w:val="single"/>
        </w:rPr>
        <w:t xml:space="preserve"> </w:t>
      </w:r>
      <w:r w:rsidRPr="00756994">
        <w:rPr>
          <w:szCs w:val="27"/>
        </w:rPr>
        <w:t>they are owed under the substantial evidence test.  Further, courts should not be free to disregard factual findings because they conclude the “interests at stake” in a particular case justify that approach.  In most criminal cases, the “interests at stake” are high.  Questions of guilt or innocence or touching on personal freedom are profoundly consequential.  But reviewing courts are not free to disregard settled authority, or to expand the nature of their jurisdiction, simply by pronouncing:  “This is really important.”</w:t>
      </w:r>
    </w:p>
    <w:p w14:paraId="644EDC6F" w14:textId="77777777" w:rsidR="00756994" w:rsidRPr="00756994" w:rsidRDefault="00756994" w:rsidP="00756994">
      <w:pPr>
        <w:ind w:firstLine="720"/>
        <w:rPr>
          <w:strike/>
          <w:szCs w:val="27"/>
        </w:rPr>
      </w:pPr>
      <w:r w:rsidRPr="00756994">
        <w:rPr>
          <w:szCs w:val="27"/>
        </w:rPr>
        <w:t>The majority opinion asserts that “ ‘ “[</w:t>
      </w:r>
      <w:proofErr w:type="spellStart"/>
      <w:r w:rsidRPr="00756994">
        <w:rPr>
          <w:szCs w:val="27"/>
        </w:rPr>
        <w:t>i</w:t>
      </w:r>
      <w:proofErr w:type="spellEnd"/>
      <w:r w:rsidRPr="00756994">
        <w:rPr>
          <w:szCs w:val="27"/>
        </w:rPr>
        <w:t>]</w:t>
      </w:r>
      <w:proofErr w:type="spellStart"/>
      <w:r w:rsidRPr="00756994">
        <w:rPr>
          <w:szCs w:val="27"/>
        </w:rPr>
        <w:t>ndependent</w:t>
      </w:r>
      <w:proofErr w:type="spellEnd"/>
      <w:r w:rsidRPr="00756994">
        <w:rPr>
          <w:szCs w:val="27"/>
        </w:rPr>
        <w:t xml:space="preserve"> review is </w:t>
      </w:r>
      <w:r w:rsidRPr="00756994">
        <w:rPr>
          <w:i/>
          <w:iCs/>
          <w:szCs w:val="27"/>
        </w:rPr>
        <w:t>not</w:t>
      </w:r>
      <w:r w:rsidRPr="00756994">
        <w:rPr>
          <w:szCs w:val="27"/>
        </w:rPr>
        <w:t xml:space="preserve"> the equivalent of de novo review. . . .” ’ ”  (Maj. opn., </w:t>
      </w:r>
      <w:r w:rsidRPr="00756994">
        <w:rPr>
          <w:i/>
          <w:iCs/>
          <w:szCs w:val="27"/>
        </w:rPr>
        <w:t>ante</w:t>
      </w:r>
      <w:r w:rsidRPr="00756994">
        <w:rPr>
          <w:szCs w:val="27"/>
        </w:rPr>
        <w:t xml:space="preserve">, p. 19, quoting </w:t>
      </w:r>
      <w:r w:rsidRPr="00756994">
        <w:rPr>
          <w:i/>
          <w:iCs/>
          <w:szCs w:val="27"/>
        </w:rPr>
        <w:t>People v. Jackson</w:t>
      </w:r>
      <w:r w:rsidRPr="00756994">
        <w:rPr>
          <w:szCs w:val="27"/>
        </w:rPr>
        <w:t xml:space="preserve">, </w:t>
      </w:r>
      <w:r w:rsidRPr="00756994">
        <w:rPr>
          <w:i/>
          <w:iCs/>
          <w:szCs w:val="27"/>
        </w:rPr>
        <w:t>supra</w:t>
      </w:r>
      <w:r w:rsidRPr="00756994">
        <w:rPr>
          <w:szCs w:val="27"/>
        </w:rPr>
        <w:t xml:space="preserve">, 128 Cal.App.4th at p. 1021.)  Yet it does little to explain how, in practice, the standards will differ as applied to section 1473.7 rulings.  The majority opinion distinguishes the original appraisal of all the evidence under the de novo standard from deference given to “factual findings that are based on the trial court’s own </w:t>
      </w:r>
      <w:r w:rsidRPr="00756994">
        <w:rPr>
          <w:szCs w:val="27"/>
        </w:rPr>
        <w:lastRenderedPageBreak/>
        <w:t xml:space="preserve">observations” under independent review.  (Maj. opn., </w:t>
      </w:r>
      <w:r w:rsidRPr="00756994">
        <w:rPr>
          <w:i/>
          <w:iCs/>
          <w:szCs w:val="27"/>
        </w:rPr>
        <w:t>ante</w:t>
      </w:r>
      <w:r w:rsidRPr="00756994">
        <w:rPr>
          <w:szCs w:val="27"/>
        </w:rPr>
        <w:t>, p. 19.)  But many section 1473.7 proceedings will be based on documentary evidence without live testimony.  Under those circumstances, the form of independent review described by the majority will for all practical purposes be de novo review involving an original appraisal of all the evidence.  Then, a reviewing court will be thrust into the role of fact finder, requiring credibility assessments and a weighing of the evidence.  A simple statement that the standards will somehow be different provides no guidance and sows confusion.  We should hesitate to adopt a rule placing the reviewing court into a fact finder’s position.</w:t>
      </w:r>
    </w:p>
    <w:p w14:paraId="406B819A" w14:textId="77777777" w:rsidR="00756994" w:rsidRPr="00756994" w:rsidRDefault="00756994" w:rsidP="00756994">
      <w:pPr>
        <w:ind w:firstLine="720"/>
        <w:rPr>
          <w:szCs w:val="27"/>
        </w:rPr>
      </w:pPr>
      <w:r w:rsidRPr="00756994">
        <w:rPr>
          <w:szCs w:val="27"/>
        </w:rPr>
        <w:t xml:space="preserve">As the majority opinion notes, in this case the trial court did not even consider whether Mr. </w:t>
      </w:r>
      <w:proofErr w:type="spellStart"/>
      <w:r w:rsidRPr="00756994">
        <w:rPr>
          <w:szCs w:val="27"/>
        </w:rPr>
        <w:t>Vivar</w:t>
      </w:r>
      <w:proofErr w:type="spellEnd"/>
      <w:r w:rsidRPr="00756994">
        <w:rPr>
          <w:szCs w:val="27"/>
        </w:rPr>
        <w:t xml:space="preserve"> suffered prejudice, instead basing its ruling on the finding that his counsel did not provide ineffective assistance.  (Maj. opn., </w:t>
      </w:r>
      <w:r w:rsidRPr="00756994">
        <w:rPr>
          <w:i/>
          <w:iCs/>
          <w:szCs w:val="27"/>
        </w:rPr>
        <w:t>ante</w:t>
      </w:r>
      <w:r w:rsidRPr="00756994">
        <w:rPr>
          <w:szCs w:val="27"/>
        </w:rPr>
        <w:t>, p. 8.)  Simply put, the court made no express or implied factual findings with respect to prejudice.  As a result, there is no finding to which to defer.  To the extent the trial court might arguably have made findings bearing on prejudice, they would be easily dismissed.</w:t>
      </w:r>
    </w:p>
    <w:p w14:paraId="7757C90F" w14:textId="77777777" w:rsidR="00756994" w:rsidRPr="00756994" w:rsidRDefault="00756994" w:rsidP="00756994">
      <w:pPr>
        <w:ind w:firstLine="720"/>
        <w:rPr>
          <w:szCs w:val="27"/>
        </w:rPr>
      </w:pPr>
      <w:r w:rsidRPr="00756994">
        <w:rPr>
          <w:szCs w:val="27"/>
        </w:rPr>
        <w:t xml:space="preserve">The prejudice question turns on whether Mr. </w:t>
      </w:r>
      <w:proofErr w:type="spellStart"/>
      <w:r w:rsidRPr="00756994">
        <w:rPr>
          <w:szCs w:val="27"/>
        </w:rPr>
        <w:t>Vivar</w:t>
      </w:r>
      <w:proofErr w:type="spellEnd"/>
      <w:r w:rsidRPr="00756994">
        <w:rPr>
          <w:szCs w:val="27"/>
        </w:rPr>
        <w:t xml:space="preserve"> would not have entered the plea had he been properly informed and advised.  This is a credibility question.  The trial court found his credibility wanting because, it determined, he “ ‘was more willing to rely on his experiences than he was on his counsel’s advice.’ ”  (</w:t>
      </w:r>
      <w:r w:rsidRPr="00756994">
        <w:rPr>
          <w:i/>
          <w:iCs/>
          <w:szCs w:val="27"/>
        </w:rPr>
        <w:t xml:space="preserve">People v. </w:t>
      </w:r>
      <w:proofErr w:type="spellStart"/>
      <w:r w:rsidRPr="00756994">
        <w:rPr>
          <w:i/>
          <w:iCs/>
          <w:szCs w:val="27"/>
        </w:rPr>
        <w:t>Vivar</w:t>
      </w:r>
      <w:proofErr w:type="spellEnd"/>
      <w:r w:rsidRPr="00756994">
        <w:rPr>
          <w:szCs w:val="27"/>
        </w:rPr>
        <w:t xml:space="preserve">, </w:t>
      </w:r>
      <w:r w:rsidRPr="00756994">
        <w:rPr>
          <w:i/>
          <w:iCs/>
          <w:szCs w:val="27"/>
        </w:rPr>
        <w:t>supra</w:t>
      </w:r>
      <w:r w:rsidRPr="00756994">
        <w:rPr>
          <w:szCs w:val="27"/>
        </w:rPr>
        <w:t>, 43 Cal.App.5th at p. 230.)  The appellate court concluded, “This was a factual inference the trial court was entitled to draw. . . .”  (</w:t>
      </w:r>
      <w:r w:rsidRPr="00756994">
        <w:rPr>
          <w:i/>
          <w:iCs/>
          <w:szCs w:val="27"/>
        </w:rPr>
        <w:t>Ibid</w:t>
      </w:r>
      <w:r w:rsidRPr="00756994">
        <w:rPr>
          <w:szCs w:val="27"/>
        </w:rPr>
        <w:t xml:space="preserve">.)  Perhaps, but appellate review of that inference is not meaningless.  The Court of Appeal was required to examine whether the inference found substantial support in the record.  It does not.  </w:t>
      </w:r>
    </w:p>
    <w:p w14:paraId="7DC935AA" w14:textId="77777777" w:rsidR="00756994" w:rsidRPr="00756994" w:rsidRDefault="00756994" w:rsidP="00756994">
      <w:pPr>
        <w:ind w:firstLine="720"/>
        <w:rPr>
          <w:szCs w:val="27"/>
        </w:rPr>
      </w:pPr>
      <w:r w:rsidRPr="00756994">
        <w:rPr>
          <w:szCs w:val="27"/>
        </w:rPr>
        <w:lastRenderedPageBreak/>
        <w:t xml:space="preserve">There was no evidence that counsel ever gave Mr. </w:t>
      </w:r>
      <w:proofErr w:type="spellStart"/>
      <w:r w:rsidRPr="00756994">
        <w:rPr>
          <w:szCs w:val="27"/>
        </w:rPr>
        <w:t>Vivar</w:t>
      </w:r>
      <w:proofErr w:type="spellEnd"/>
      <w:r w:rsidRPr="00756994">
        <w:rPr>
          <w:szCs w:val="27"/>
        </w:rPr>
        <w:t xml:space="preserve"> advice regarding immigration.  Indeed, there is no evidence counsel understood the potential consequences herself or that she had made it her “business to discover what impact his negotiated sentence would have on his deportability.”  (</w:t>
      </w:r>
      <w:r w:rsidRPr="00756994">
        <w:rPr>
          <w:i/>
          <w:iCs/>
          <w:szCs w:val="27"/>
        </w:rPr>
        <w:t xml:space="preserve">People v. Soriano </w:t>
      </w:r>
      <w:r w:rsidRPr="00756994">
        <w:rPr>
          <w:szCs w:val="27"/>
        </w:rPr>
        <w:t xml:space="preserve">(1987) 194 Cal.App.3d 1470, 1480.)  The public defender did not claim she gave him any substantive information at all about immigration consequences.  Indeed, she made no assertion as to any advice she provided Mr. </w:t>
      </w:r>
      <w:proofErr w:type="spellStart"/>
      <w:r w:rsidRPr="00756994">
        <w:rPr>
          <w:szCs w:val="27"/>
        </w:rPr>
        <w:t>Vivar</w:t>
      </w:r>
      <w:proofErr w:type="spellEnd"/>
      <w:r w:rsidRPr="00756994">
        <w:rPr>
          <w:szCs w:val="27"/>
        </w:rPr>
        <w:t>.  She said that she customarily told her noncitizen clients about “ ‘possible’ ” immigration consequences.  (</w:t>
      </w:r>
      <w:r w:rsidRPr="00756994">
        <w:rPr>
          <w:i/>
          <w:iCs/>
          <w:szCs w:val="27"/>
        </w:rPr>
        <w:t xml:space="preserve">People v. </w:t>
      </w:r>
      <w:proofErr w:type="spellStart"/>
      <w:r w:rsidRPr="00756994">
        <w:rPr>
          <w:i/>
          <w:iCs/>
          <w:szCs w:val="27"/>
        </w:rPr>
        <w:t>Vivar</w:t>
      </w:r>
      <w:proofErr w:type="spellEnd"/>
      <w:r w:rsidRPr="00756994">
        <w:rPr>
          <w:szCs w:val="27"/>
        </w:rPr>
        <w:t xml:space="preserve">, </w:t>
      </w:r>
      <w:r w:rsidRPr="00756994">
        <w:rPr>
          <w:i/>
          <w:iCs/>
          <w:szCs w:val="27"/>
        </w:rPr>
        <w:t>supra</w:t>
      </w:r>
      <w:r w:rsidRPr="00756994">
        <w:rPr>
          <w:szCs w:val="27"/>
        </w:rPr>
        <w:t xml:space="preserve">, 43 Cal.App.5th at p. 222.)  But here, the unrebutted evidence was that she never asked Mr. </w:t>
      </w:r>
      <w:proofErr w:type="spellStart"/>
      <w:r w:rsidRPr="00756994">
        <w:rPr>
          <w:szCs w:val="27"/>
        </w:rPr>
        <w:t>Vivar</w:t>
      </w:r>
      <w:proofErr w:type="spellEnd"/>
      <w:r w:rsidRPr="00756994">
        <w:rPr>
          <w:szCs w:val="27"/>
        </w:rPr>
        <w:t xml:space="preserve"> about his immigration status.  (</w:t>
      </w:r>
      <w:r w:rsidRPr="00756994">
        <w:rPr>
          <w:i/>
          <w:iCs/>
          <w:szCs w:val="27"/>
        </w:rPr>
        <w:t>Ibid</w:t>
      </w:r>
      <w:r w:rsidRPr="00756994">
        <w:rPr>
          <w:szCs w:val="27"/>
        </w:rPr>
        <w:t xml:space="preserve">.)  Even if she had told him that he “might” get deported and, if he had further questions he should consult an immigration attorney, essentially that was no advice at all.  (See </w:t>
      </w:r>
      <w:r w:rsidRPr="00756994">
        <w:rPr>
          <w:i/>
          <w:iCs/>
          <w:szCs w:val="27"/>
        </w:rPr>
        <w:t>id</w:t>
      </w:r>
      <w:r w:rsidRPr="00756994">
        <w:rPr>
          <w:szCs w:val="27"/>
        </w:rPr>
        <w:t xml:space="preserve">. at pp. 222–223.)  This evidence, together with the record as whole, does not support an inference that Mr. </w:t>
      </w:r>
      <w:proofErr w:type="spellStart"/>
      <w:r w:rsidRPr="00756994">
        <w:rPr>
          <w:szCs w:val="27"/>
        </w:rPr>
        <w:t>Vivar</w:t>
      </w:r>
      <w:proofErr w:type="spellEnd"/>
      <w:r w:rsidRPr="00756994">
        <w:rPr>
          <w:szCs w:val="27"/>
        </w:rPr>
        <w:t xml:space="preserve"> would have ignored his counsel’s advice on the immigration consequences of his plea.  He received no such advice, and if he had, the proper inference to be drawn from his concern about deportation is that he would have accepted it or at least given it a fair degree of consideration.  He was forced to rely on his own experiences only because counsel gave him no alternative.  Because the record does not support the trial court’s factual conclusions, a conventional substantial evidence review suffices here.  </w:t>
      </w:r>
    </w:p>
    <w:p w14:paraId="2B1CA648" w14:textId="77777777" w:rsidR="00756994" w:rsidRPr="00756994" w:rsidRDefault="00756994" w:rsidP="00756994">
      <w:pPr>
        <w:ind w:firstLine="720"/>
        <w:rPr>
          <w:szCs w:val="27"/>
        </w:rPr>
      </w:pPr>
    </w:p>
    <w:p w14:paraId="0523E4D0" w14:textId="77777777" w:rsidR="00756994" w:rsidRPr="00756994" w:rsidRDefault="00756994" w:rsidP="00756994">
      <w:pPr>
        <w:ind w:firstLine="720"/>
        <w:rPr>
          <w:b/>
          <w:szCs w:val="27"/>
        </w:rPr>
      </w:pPr>
      <w:r w:rsidRPr="00756994">
        <w:rPr>
          <w:b/>
          <w:szCs w:val="27"/>
        </w:rPr>
        <w:tab/>
      </w:r>
      <w:r w:rsidRPr="00756994">
        <w:rPr>
          <w:b/>
          <w:szCs w:val="27"/>
        </w:rPr>
        <w:tab/>
      </w:r>
      <w:r w:rsidRPr="00756994">
        <w:rPr>
          <w:b/>
          <w:szCs w:val="27"/>
        </w:rPr>
        <w:tab/>
      </w:r>
      <w:r w:rsidRPr="00756994">
        <w:rPr>
          <w:b/>
          <w:szCs w:val="27"/>
        </w:rPr>
        <w:tab/>
      </w:r>
      <w:r w:rsidRPr="00756994">
        <w:rPr>
          <w:b/>
          <w:szCs w:val="27"/>
        </w:rPr>
        <w:tab/>
      </w:r>
      <w:r w:rsidRPr="00756994">
        <w:rPr>
          <w:b/>
          <w:szCs w:val="27"/>
        </w:rPr>
        <w:tab/>
      </w:r>
      <w:r w:rsidRPr="00756994">
        <w:rPr>
          <w:b/>
          <w:szCs w:val="27"/>
        </w:rPr>
        <w:tab/>
        <w:t>CORRIGAN, J.</w:t>
      </w:r>
    </w:p>
    <w:p w14:paraId="4D0DAC12" w14:textId="77777777" w:rsidR="00756994" w:rsidRPr="00756994" w:rsidRDefault="00756994" w:rsidP="00771B12">
      <w:pPr>
        <w:rPr>
          <w:b/>
          <w:szCs w:val="27"/>
        </w:rPr>
      </w:pPr>
      <w:r w:rsidRPr="00756994">
        <w:rPr>
          <w:b/>
          <w:szCs w:val="27"/>
        </w:rPr>
        <w:t>I Concur:</w:t>
      </w:r>
    </w:p>
    <w:p w14:paraId="353C80F0" w14:textId="47205A47" w:rsidR="00CE70EB" w:rsidRDefault="00756994" w:rsidP="00771B12">
      <w:pPr>
        <w:rPr>
          <w:b/>
          <w:szCs w:val="27"/>
        </w:rPr>
        <w:sectPr w:rsidR="00CE70EB" w:rsidSect="009F1AEE">
          <w:headerReference w:type="default" r:id="rId10"/>
          <w:footnotePr>
            <w:numRestart w:val="eachSect"/>
          </w:footnotePr>
          <w:pgSz w:w="12240" w:h="15840"/>
          <w:pgMar w:top="1800" w:right="2160" w:bottom="1440" w:left="2160" w:header="720" w:footer="720" w:gutter="0"/>
          <w:pgNumType w:start="1"/>
          <w:cols w:space="720"/>
          <w:titlePg/>
          <w:docGrid w:linePitch="367"/>
        </w:sectPr>
      </w:pPr>
      <w:r w:rsidRPr="00756994">
        <w:rPr>
          <w:b/>
          <w:szCs w:val="27"/>
        </w:rPr>
        <w:t>CANTIL-SAKAUYE, C.</w:t>
      </w:r>
      <w:r w:rsidR="00CD4047">
        <w:rPr>
          <w:b/>
          <w:szCs w:val="27"/>
        </w:rPr>
        <w:t> </w:t>
      </w:r>
      <w:r w:rsidRPr="00756994">
        <w:rPr>
          <w:b/>
          <w:szCs w:val="27"/>
        </w:rPr>
        <w:t>J.</w:t>
      </w:r>
    </w:p>
    <w:p w14:paraId="39C669BD" w14:textId="77777777" w:rsidR="00713A9C" w:rsidRPr="00713A9C" w:rsidRDefault="00713A9C" w:rsidP="00713A9C">
      <w:pPr>
        <w:spacing w:after="0" w:line="240" w:lineRule="auto"/>
        <w:jc w:val="left"/>
        <w:rPr>
          <w:i/>
          <w:sz w:val="24"/>
          <w:szCs w:val="24"/>
        </w:rPr>
      </w:pPr>
      <w:bookmarkStart w:id="12" w:name="_Hlk69309012"/>
      <w:r w:rsidRPr="00713A9C">
        <w:rPr>
          <w:i/>
          <w:sz w:val="24"/>
          <w:szCs w:val="24"/>
        </w:rPr>
        <w:lastRenderedPageBreak/>
        <w:t>See next page for addresses and telephone numbers for counsel who argued in Supreme Court.</w:t>
      </w:r>
    </w:p>
    <w:p w14:paraId="0BD357DF" w14:textId="77777777" w:rsidR="00713A9C" w:rsidRPr="00713A9C" w:rsidRDefault="00713A9C" w:rsidP="00713A9C">
      <w:pPr>
        <w:spacing w:after="0" w:line="240" w:lineRule="auto"/>
        <w:jc w:val="left"/>
        <w:rPr>
          <w:i/>
          <w:sz w:val="24"/>
          <w:szCs w:val="24"/>
        </w:rPr>
      </w:pPr>
    </w:p>
    <w:p w14:paraId="45DEC22E" w14:textId="77777777" w:rsidR="00713A9C" w:rsidRPr="00713A9C" w:rsidRDefault="00713A9C" w:rsidP="00713A9C">
      <w:pPr>
        <w:spacing w:after="0" w:line="240" w:lineRule="auto"/>
        <w:jc w:val="left"/>
        <w:rPr>
          <w:b/>
          <w:sz w:val="24"/>
          <w:szCs w:val="24"/>
        </w:rPr>
      </w:pPr>
      <w:r w:rsidRPr="00713A9C">
        <w:rPr>
          <w:b/>
          <w:sz w:val="24"/>
          <w:szCs w:val="24"/>
        </w:rPr>
        <w:t xml:space="preserve">Name of Opinion </w:t>
      </w:r>
      <w:r w:rsidRPr="00713A9C">
        <w:rPr>
          <w:bCs/>
          <w:sz w:val="24"/>
          <w:szCs w:val="24"/>
        </w:rPr>
        <w:t xml:space="preserve"> People v. </w:t>
      </w:r>
      <w:proofErr w:type="spellStart"/>
      <w:r w:rsidRPr="00713A9C">
        <w:rPr>
          <w:bCs/>
          <w:sz w:val="24"/>
          <w:szCs w:val="24"/>
        </w:rPr>
        <w:t>Vivar</w:t>
      </w:r>
      <w:proofErr w:type="spellEnd"/>
    </w:p>
    <w:p w14:paraId="0DCC3315" w14:textId="77777777" w:rsidR="00713A9C" w:rsidRPr="00713A9C" w:rsidRDefault="00713A9C" w:rsidP="00713A9C">
      <w:pPr>
        <w:spacing w:after="0" w:line="240" w:lineRule="auto"/>
        <w:jc w:val="left"/>
        <w:rPr>
          <w:b/>
          <w:sz w:val="24"/>
          <w:szCs w:val="24"/>
        </w:rPr>
      </w:pPr>
      <w:r w:rsidRPr="00713A9C">
        <w:rPr>
          <w:b/>
          <w:sz w:val="24"/>
          <w:szCs w:val="24"/>
        </w:rPr>
        <w:t xml:space="preserve">__________________________________________________________________ </w:t>
      </w:r>
    </w:p>
    <w:p w14:paraId="6DD07455" w14:textId="77777777" w:rsidR="00713A9C" w:rsidRPr="00713A9C" w:rsidRDefault="00713A9C" w:rsidP="00713A9C">
      <w:pPr>
        <w:spacing w:after="0" w:line="240" w:lineRule="auto"/>
        <w:jc w:val="left"/>
        <w:rPr>
          <w:b/>
          <w:sz w:val="24"/>
          <w:szCs w:val="24"/>
        </w:rPr>
      </w:pPr>
    </w:p>
    <w:p w14:paraId="710BDA8F" w14:textId="77777777" w:rsidR="00713A9C" w:rsidRPr="00713A9C" w:rsidRDefault="00713A9C" w:rsidP="00713A9C">
      <w:pPr>
        <w:spacing w:after="0" w:line="240" w:lineRule="auto"/>
        <w:jc w:val="left"/>
        <w:rPr>
          <w:sz w:val="24"/>
          <w:szCs w:val="24"/>
        </w:rPr>
      </w:pPr>
      <w:r w:rsidRPr="00713A9C">
        <w:rPr>
          <w:b/>
          <w:bCs/>
          <w:sz w:val="24"/>
          <w:szCs w:val="24"/>
          <w:u w:val="single"/>
        </w:rPr>
        <w:t>Procedural Posture</w:t>
      </w:r>
      <w:r w:rsidRPr="00713A9C">
        <w:rPr>
          <w:b/>
          <w:bCs/>
          <w:sz w:val="24"/>
          <w:szCs w:val="24"/>
        </w:rPr>
        <w:t xml:space="preserve"> </w:t>
      </w:r>
      <w:r w:rsidRPr="00713A9C">
        <w:rPr>
          <w:sz w:val="24"/>
          <w:szCs w:val="24"/>
        </w:rPr>
        <w:t>(see XX below)</w:t>
      </w:r>
    </w:p>
    <w:p w14:paraId="6ECC9F8D" w14:textId="77777777" w:rsidR="00713A9C" w:rsidRPr="00713A9C" w:rsidRDefault="00713A9C" w:rsidP="00713A9C">
      <w:pPr>
        <w:spacing w:after="0" w:line="240" w:lineRule="auto"/>
        <w:jc w:val="left"/>
        <w:rPr>
          <w:b/>
          <w:bCs/>
          <w:sz w:val="24"/>
          <w:szCs w:val="24"/>
        </w:rPr>
      </w:pPr>
      <w:r w:rsidRPr="00713A9C">
        <w:rPr>
          <w:b/>
          <w:bCs/>
          <w:sz w:val="24"/>
          <w:szCs w:val="24"/>
        </w:rPr>
        <w:t>Original Appeal</w:t>
      </w:r>
    </w:p>
    <w:p w14:paraId="3B11CAF3" w14:textId="77777777" w:rsidR="00713A9C" w:rsidRPr="00713A9C" w:rsidRDefault="00713A9C" w:rsidP="00713A9C">
      <w:pPr>
        <w:spacing w:after="0" w:line="240" w:lineRule="auto"/>
        <w:jc w:val="left"/>
        <w:rPr>
          <w:b/>
          <w:bCs/>
          <w:sz w:val="24"/>
          <w:szCs w:val="24"/>
        </w:rPr>
      </w:pPr>
      <w:r w:rsidRPr="00713A9C">
        <w:rPr>
          <w:b/>
          <w:bCs/>
          <w:sz w:val="24"/>
          <w:szCs w:val="24"/>
        </w:rPr>
        <w:t>Original Proceeding</w:t>
      </w:r>
    </w:p>
    <w:p w14:paraId="34A3A751" w14:textId="77777777" w:rsidR="00713A9C" w:rsidRPr="00713A9C" w:rsidRDefault="00713A9C" w:rsidP="00713A9C">
      <w:pPr>
        <w:spacing w:after="0" w:line="240" w:lineRule="auto"/>
        <w:jc w:val="left"/>
        <w:rPr>
          <w:sz w:val="24"/>
          <w:szCs w:val="24"/>
        </w:rPr>
      </w:pPr>
      <w:r w:rsidRPr="00713A9C">
        <w:rPr>
          <w:b/>
          <w:bCs/>
          <w:sz w:val="24"/>
          <w:szCs w:val="24"/>
        </w:rPr>
        <w:t>Review Granted</w:t>
      </w:r>
      <w:r w:rsidRPr="00713A9C">
        <w:rPr>
          <w:sz w:val="24"/>
          <w:szCs w:val="24"/>
        </w:rPr>
        <w:t xml:space="preserve"> </w:t>
      </w:r>
      <w:r w:rsidRPr="00713A9C">
        <w:rPr>
          <w:b/>
          <w:bCs/>
          <w:sz w:val="24"/>
          <w:szCs w:val="24"/>
        </w:rPr>
        <w:t xml:space="preserve">(published) </w:t>
      </w:r>
      <w:r w:rsidRPr="00713A9C">
        <w:rPr>
          <w:sz w:val="24"/>
          <w:szCs w:val="24"/>
        </w:rPr>
        <w:t>XX 43 Cal.App.5th 216</w:t>
      </w:r>
    </w:p>
    <w:p w14:paraId="05569C81" w14:textId="77777777" w:rsidR="00713A9C" w:rsidRPr="00713A9C" w:rsidRDefault="00713A9C" w:rsidP="00713A9C">
      <w:pPr>
        <w:spacing w:after="0" w:line="240" w:lineRule="auto"/>
        <w:jc w:val="left"/>
        <w:rPr>
          <w:sz w:val="24"/>
          <w:szCs w:val="24"/>
        </w:rPr>
      </w:pPr>
      <w:r w:rsidRPr="00713A9C">
        <w:rPr>
          <w:b/>
          <w:bCs/>
          <w:sz w:val="24"/>
          <w:szCs w:val="24"/>
        </w:rPr>
        <w:t xml:space="preserve">Review Granted (unpublished) </w:t>
      </w:r>
    </w:p>
    <w:p w14:paraId="66BEBEAD" w14:textId="77777777" w:rsidR="00713A9C" w:rsidRPr="00713A9C" w:rsidRDefault="00713A9C" w:rsidP="00713A9C">
      <w:pPr>
        <w:spacing w:after="0" w:line="240" w:lineRule="auto"/>
        <w:jc w:val="left"/>
        <w:rPr>
          <w:b/>
          <w:bCs/>
          <w:sz w:val="24"/>
          <w:szCs w:val="24"/>
        </w:rPr>
      </w:pPr>
      <w:r w:rsidRPr="00713A9C">
        <w:rPr>
          <w:b/>
          <w:bCs/>
          <w:sz w:val="24"/>
          <w:szCs w:val="24"/>
        </w:rPr>
        <w:t>Rehearing Granted</w:t>
      </w:r>
    </w:p>
    <w:p w14:paraId="3EA5ED6E" w14:textId="77777777" w:rsidR="00713A9C" w:rsidRPr="00713A9C" w:rsidRDefault="00713A9C" w:rsidP="00713A9C">
      <w:pPr>
        <w:spacing w:after="0" w:line="240" w:lineRule="auto"/>
        <w:jc w:val="left"/>
        <w:rPr>
          <w:b/>
          <w:sz w:val="24"/>
          <w:szCs w:val="24"/>
        </w:rPr>
      </w:pPr>
      <w:r w:rsidRPr="00713A9C">
        <w:rPr>
          <w:b/>
          <w:sz w:val="24"/>
          <w:szCs w:val="24"/>
        </w:rPr>
        <w:t xml:space="preserve">__________________________________________________________________ </w:t>
      </w:r>
    </w:p>
    <w:p w14:paraId="7E927517" w14:textId="77777777" w:rsidR="00713A9C" w:rsidRPr="00713A9C" w:rsidRDefault="00713A9C" w:rsidP="00713A9C">
      <w:pPr>
        <w:spacing w:after="0" w:line="240" w:lineRule="auto"/>
        <w:jc w:val="left"/>
        <w:rPr>
          <w:b/>
          <w:sz w:val="24"/>
          <w:szCs w:val="24"/>
        </w:rPr>
      </w:pPr>
    </w:p>
    <w:p w14:paraId="53A2F548" w14:textId="77777777" w:rsidR="00713A9C" w:rsidRPr="00713A9C" w:rsidRDefault="00713A9C" w:rsidP="00713A9C">
      <w:pPr>
        <w:spacing w:after="0" w:line="240" w:lineRule="auto"/>
        <w:jc w:val="left"/>
        <w:rPr>
          <w:bCs/>
          <w:sz w:val="24"/>
          <w:szCs w:val="24"/>
        </w:rPr>
      </w:pPr>
      <w:r w:rsidRPr="00713A9C">
        <w:rPr>
          <w:b/>
          <w:sz w:val="24"/>
          <w:szCs w:val="24"/>
        </w:rPr>
        <w:t>Opinion No.</w:t>
      </w:r>
      <w:r w:rsidRPr="00713A9C">
        <w:rPr>
          <w:sz w:val="24"/>
          <w:szCs w:val="24"/>
        </w:rPr>
        <w:t xml:space="preserve"> S260270 </w:t>
      </w:r>
    </w:p>
    <w:p w14:paraId="2DA8A3CC" w14:textId="77777777" w:rsidR="00713A9C" w:rsidRPr="00713A9C" w:rsidRDefault="00713A9C" w:rsidP="00713A9C">
      <w:pPr>
        <w:spacing w:after="0" w:line="240" w:lineRule="auto"/>
        <w:jc w:val="left"/>
        <w:rPr>
          <w:bCs/>
          <w:sz w:val="24"/>
          <w:szCs w:val="24"/>
        </w:rPr>
      </w:pPr>
      <w:r w:rsidRPr="00713A9C">
        <w:rPr>
          <w:b/>
          <w:sz w:val="24"/>
          <w:szCs w:val="24"/>
        </w:rPr>
        <w:t>Date Filed:</w:t>
      </w:r>
      <w:r w:rsidRPr="00713A9C">
        <w:rPr>
          <w:sz w:val="24"/>
          <w:szCs w:val="24"/>
        </w:rPr>
        <w:t xml:space="preserve">  May 3, 2021</w:t>
      </w:r>
    </w:p>
    <w:p w14:paraId="39A09E61" w14:textId="77777777" w:rsidR="00713A9C" w:rsidRPr="00713A9C" w:rsidRDefault="00713A9C" w:rsidP="00713A9C">
      <w:pPr>
        <w:spacing w:after="0" w:line="240" w:lineRule="auto"/>
        <w:jc w:val="left"/>
        <w:rPr>
          <w:b/>
          <w:sz w:val="24"/>
          <w:szCs w:val="24"/>
        </w:rPr>
      </w:pPr>
      <w:r w:rsidRPr="00713A9C">
        <w:rPr>
          <w:b/>
          <w:sz w:val="24"/>
          <w:szCs w:val="24"/>
        </w:rPr>
        <w:t xml:space="preserve">__________________________________________________________________ </w:t>
      </w:r>
    </w:p>
    <w:p w14:paraId="61E8BDD6" w14:textId="77777777" w:rsidR="00713A9C" w:rsidRPr="00713A9C" w:rsidRDefault="00713A9C" w:rsidP="00713A9C">
      <w:pPr>
        <w:spacing w:after="0" w:line="240" w:lineRule="auto"/>
        <w:jc w:val="left"/>
        <w:rPr>
          <w:b/>
          <w:sz w:val="24"/>
          <w:szCs w:val="24"/>
        </w:rPr>
      </w:pPr>
    </w:p>
    <w:p w14:paraId="38C7A956" w14:textId="77777777" w:rsidR="00713A9C" w:rsidRPr="00713A9C" w:rsidRDefault="00713A9C" w:rsidP="00713A9C">
      <w:pPr>
        <w:spacing w:after="0" w:line="240" w:lineRule="auto"/>
        <w:jc w:val="left"/>
        <w:rPr>
          <w:bCs/>
          <w:sz w:val="24"/>
          <w:szCs w:val="24"/>
        </w:rPr>
      </w:pPr>
      <w:r w:rsidRPr="00713A9C">
        <w:rPr>
          <w:b/>
          <w:sz w:val="24"/>
          <w:szCs w:val="24"/>
        </w:rPr>
        <w:t xml:space="preserve">Court:  </w:t>
      </w:r>
      <w:r w:rsidRPr="00713A9C">
        <w:rPr>
          <w:bCs/>
          <w:sz w:val="24"/>
          <w:szCs w:val="24"/>
        </w:rPr>
        <w:t xml:space="preserve">Superior   </w:t>
      </w:r>
      <w:r w:rsidRPr="00713A9C">
        <w:rPr>
          <w:b/>
          <w:sz w:val="24"/>
          <w:szCs w:val="24"/>
        </w:rPr>
        <w:t xml:space="preserve">   </w:t>
      </w:r>
    </w:p>
    <w:p w14:paraId="5EB825FA" w14:textId="77777777" w:rsidR="00713A9C" w:rsidRPr="00713A9C" w:rsidRDefault="00713A9C" w:rsidP="00713A9C">
      <w:pPr>
        <w:spacing w:after="0" w:line="240" w:lineRule="auto"/>
        <w:jc w:val="left"/>
        <w:rPr>
          <w:bCs/>
          <w:sz w:val="24"/>
          <w:szCs w:val="24"/>
        </w:rPr>
      </w:pPr>
      <w:r w:rsidRPr="00713A9C">
        <w:rPr>
          <w:b/>
          <w:sz w:val="24"/>
          <w:szCs w:val="24"/>
        </w:rPr>
        <w:t>County:</w:t>
      </w:r>
      <w:r w:rsidRPr="00713A9C">
        <w:rPr>
          <w:bCs/>
          <w:sz w:val="24"/>
          <w:szCs w:val="24"/>
        </w:rPr>
        <w:t xml:space="preserve">  Riverside   </w:t>
      </w:r>
      <w:r w:rsidRPr="00713A9C">
        <w:rPr>
          <w:b/>
          <w:sz w:val="24"/>
          <w:szCs w:val="24"/>
        </w:rPr>
        <w:t xml:space="preserve">  </w:t>
      </w:r>
      <w:r w:rsidRPr="00713A9C">
        <w:rPr>
          <w:bCs/>
          <w:sz w:val="24"/>
          <w:szCs w:val="24"/>
        </w:rPr>
        <w:t xml:space="preserve"> </w:t>
      </w:r>
    </w:p>
    <w:p w14:paraId="5995CA93" w14:textId="77777777" w:rsidR="00713A9C" w:rsidRPr="00713A9C" w:rsidRDefault="00713A9C" w:rsidP="00713A9C">
      <w:pPr>
        <w:spacing w:after="0" w:line="240" w:lineRule="auto"/>
        <w:ind w:left="720" w:hanging="720"/>
        <w:jc w:val="left"/>
        <w:rPr>
          <w:bCs/>
          <w:sz w:val="24"/>
          <w:szCs w:val="24"/>
        </w:rPr>
      </w:pPr>
      <w:r w:rsidRPr="00713A9C">
        <w:rPr>
          <w:b/>
          <w:sz w:val="24"/>
          <w:szCs w:val="24"/>
        </w:rPr>
        <w:t>Judge:</w:t>
      </w:r>
      <w:r w:rsidRPr="00713A9C">
        <w:rPr>
          <w:bCs/>
          <w:sz w:val="24"/>
          <w:szCs w:val="24"/>
        </w:rPr>
        <w:t xml:space="preserve">  Bambi J. Moyer</w:t>
      </w:r>
      <w:r w:rsidRPr="00713A9C">
        <w:rPr>
          <w:b/>
          <w:sz w:val="24"/>
          <w:szCs w:val="24"/>
        </w:rPr>
        <w:t xml:space="preserve">  </w:t>
      </w:r>
      <w:r w:rsidRPr="00713A9C">
        <w:rPr>
          <w:bCs/>
          <w:sz w:val="24"/>
          <w:szCs w:val="24"/>
        </w:rPr>
        <w:t xml:space="preserve">   </w:t>
      </w:r>
      <w:r w:rsidRPr="00713A9C">
        <w:rPr>
          <w:b/>
          <w:sz w:val="24"/>
          <w:szCs w:val="24"/>
        </w:rPr>
        <w:t xml:space="preserve">  </w:t>
      </w:r>
      <w:r w:rsidRPr="00713A9C">
        <w:rPr>
          <w:bCs/>
          <w:sz w:val="24"/>
          <w:szCs w:val="24"/>
        </w:rPr>
        <w:t xml:space="preserve"> </w:t>
      </w:r>
    </w:p>
    <w:p w14:paraId="628952AD" w14:textId="77777777" w:rsidR="00713A9C" w:rsidRPr="00713A9C" w:rsidRDefault="00713A9C" w:rsidP="00713A9C">
      <w:pPr>
        <w:spacing w:after="0" w:line="240" w:lineRule="auto"/>
        <w:jc w:val="left"/>
        <w:rPr>
          <w:b/>
          <w:sz w:val="24"/>
          <w:szCs w:val="24"/>
        </w:rPr>
      </w:pPr>
    </w:p>
    <w:p w14:paraId="4935988E" w14:textId="77777777" w:rsidR="00713A9C" w:rsidRPr="00713A9C" w:rsidRDefault="00713A9C" w:rsidP="00713A9C">
      <w:pPr>
        <w:spacing w:after="0" w:line="240" w:lineRule="auto"/>
        <w:jc w:val="left"/>
        <w:rPr>
          <w:b/>
          <w:sz w:val="24"/>
          <w:szCs w:val="24"/>
        </w:rPr>
      </w:pPr>
      <w:r w:rsidRPr="00713A9C">
        <w:rPr>
          <w:b/>
          <w:sz w:val="24"/>
          <w:szCs w:val="24"/>
        </w:rPr>
        <w:t xml:space="preserve">__________________________________________________________________ </w:t>
      </w:r>
    </w:p>
    <w:p w14:paraId="282A5408" w14:textId="77777777" w:rsidR="00713A9C" w:rsidRPr="00713A9C" w:rsidRDefault="00713A9C" w:rsidP="00713A9C">
      <w:pPr>
        <w:spacing w:after="0" w:line="240" w:lineRule="auto"/>
        <w:jc w:val="left"/>
        <w:rPr>
          <w:b/>
          <w:sz w:val="24"/>
          <w:szCs w:val="24"/>
        </w:rPr>
      </w:pPr>
    </w:p>
    <w:p w14:paraId="7AE68594" w14:textId="77777777" w:rsidR="00713A9C" w:rsidRPr="00713A9C" w:rsidRDefault="00713A9C" w:rsidP="00713A9C">
      <w:pPr>
        <w:spacing w:after="0" w:line="240" w:lineRule="auto"/>
        <w:jc w:val="left"/>
        <w:rPr>
          <w:b/>
          <w:sz w:val="24"/>
          <w:szCs w:val="24"/>
        </w:rPr>
      </w:pPr>
      <w:r w:rsidRPr="00713A9C">
        <w:rPr>
          <w:b/>
          <w:sz w:val="24"/>
          <w:szCs w:val="24"/>
        </w:rPr>
        <w:t>Counsel:</w:t>
      </w:r>
    </w:p>
    <w:p w14:paraId="789F7453" w14:textId="77777777" w:rsidR="00713A9C" w:rsidRPr="00713A9C" w:rsidRDefault="00713A9C" w:rsidP="00713A9C">
      <w:pPr>
        <w:spacing w:after="0" w:line="240" w:lineRule="auto"/>
        <w:jc w:val="left"/>
        <w:rPr>
          <w:b/>
          <w:sz w:val="24"/>
          <w:szCs w:val="24"/>
        </w:rPr>
      </w:pPr>
    </w:p>
    <w:p w14:paraId="183E9435" w14:textId="77777777" w:rsidR="00713A9C" w:rsidRPr="00713A9C" w:rsidRDefault="00713A9C" w:rsidP="00713A9C">
      <w:pPr>
        <w:spacing w:after="0" w:line="240" w:lineRule="auto"/>
        <w:jc w:val="left"/>
        <w:rPr>
          <w:color w:val="212121"/>
          <w:sz w:val="24"/>
          <w:szCs w:val="24"/>
          <w:specVanish/>
        </w:rPr>
      </w:pPr>
      <w:bookmarkStart w:id="13" w:name="PAGE_3103"/>
      <w:bookmarkEnd w:id="13"/>
      <w:r w:rsidRPr="00713A9C">
        <w:rPr>
          <w:color w:val="212121"/>
          <w:sz w:val="24"/>
          <w:szCs w:val="24"/>
        </w:rPr>
        <w:t xml:space="preserve">Munger, </w:t>
      </w:r>
      <w:proofErr w:type="spellStart"/>
      <w:r w:rsidRPr="00713A9C">
        <w:rPr>
          <w:color w:val="212121"/>
          <w:sz w:val="24"/>
          <w:szCs w:val="24"/>
        </w:rPr>
        <w:t>Tolles</w:t>
      </w:r>
      <w:proofErr w:type="spellEnd"/>
      <w:r w:rsidRPr="00713A9C">
        <w:rPr>
          <w:color w:val="212121"/>
          <w:sz w:val="24"/>
          <w:szCs w:val="24"/>
        </w:rPr>
        <w:t xml:space="preserve"> &amp; Olson, Joseph D. Lee, William Larsen and Dane P. </w:t>
      </w:r>
      <w:proofErr w:type="spellStart"/>
      <w:r w:rsidRPr="00713A9C">
        <w:rPr>
          <w:color w:val="212121"/>
          <w:sz w:val="24"/>
          <w:szCs w:val="24"/>
        </w:rPr>
        <w:t>Shikman</w:t>
      </w:r>
      <w:proofErr w:type="spellEnd"/>
      <w:r w:rsidRPr="00713A9C">
        <w:rPr>
          <w:color w:val="212121"/>
          <w:sz w:val="24"/>
          <w:szCs w:val="24"/>
        </w:rPr>
        <w:t xml:space="preserve"> for Defendant and Appellant.</w:t>
      </w:r>
      <w:r w:rsidRPr="00713A9C">
        <w:rPr>
          <w:color w:val="212121"/>
          <w:sz w:val="24"/>
          <w:szCs w:val="24"/>
        </w:rPr>
        <w:br/>
      </w:r>
      <w:r w:rsidRPr="00713A9C">
        <w:rPr>
          <w:color w:val="212121"/>
          <w:sz w:val="24"/>
          <w:szCs w:val="24"/>
        </w:rPr>
        <w:br/>
        <w:t xml:space="preserve">Gibson, Dunn &amp; Crutcher, Kahn A. </w:t>
      </w:r>
      <w:proofErr w:type="spellStart"/>
      <w:r w:rsidRPr="00713A9C">
        <w:rPr>
          <w:color w:val="212121"/>
          <w:sz w:val="24"/>
          <w:szCs w:val="24"/>
        </w:rPr>
        <w:t>Scolnick</w:t>
      </w:r>
      <w:proofErr w:type="spellEnd"/>
      <w:r w:rsidRPr="00713A9C">
        <w:rPr>
          <w:color w:val="212121"/>
          <w:sz w:val="24"/>
          <w:szCs w:val="24"/>
        </w:rPr>
        <w:t xml:space="preserve">, Daniel R. Adler and Jason S. Kim for Alyssa Bell, Reuven Cohen, Ingrid V. </w:t>
      </w:r>
      <w:proofErr w:type="spellStart"/>
      <w:r w:rsidRPr="00713A9C">
        <w:rPr>
          <w:color w:val="212121"/>
          <w:sz w:val="24"/>
          <w:szCs w:val="24"/>
        </w:rPr>
        <w:t>Eagly</w:t>
      </w:r>
      <w:proofErr w:type="spellEnd"/>
      <w:r w:rsidRPr="00713A9C">
        <w:rPr>
          <w:color w:val="212121"/>
          <w:sz w:val="24"/>
          <w:szCs w:val="24"/>
        </w:rPr>
        <w:t xml:space="preserve">, Gilbert Garcetti, Meline </w:t>
      </w:r>
      <w:proofErr w:type="spellStart"/>
      <w:r w:rsidRPr="00713A9C">
        <w:rPr>
          <w:color w:val="212121"/>
          <w:sz w:val="24"/>
          <w:szCs w:val="24"/>
        </w:rPr>
        <w:t>Mkrtichian</w:t>
      </w:r>
      <w:proofErr w:type="spellEnd"/>
      <w:r w:rsidRPr="00713A9C">
        <w:rPr>
          <w:color w:val="212121"/>
          <w:sz w:val="24"/>
          <w:szCs w:val="24"/>
        </w:rPr>
        <w:t xml:space="preserve">, Ronald J. </w:t>
      </w:r>
      <w:proofErr w:type="spellStart"/>
      <w:r w:rsidRPr="00713A9C">
        <w:rPr>
          <w:color w:val="212121"/>
          <w:sz w:val="24"/>
          <w:szCs w:val="24"/>
        </w:rPr>
        <w:t>Nessim</w:t>
      </w:r>
      <w:proofErr w:type="spellEnd"/>
      <w:r w:rsidRPr="00713A9C">
        <w:rPr>
          <w:color w:val="212121"/>
          <w:sz w:val="24"/>
          <w:szCs w:val="24"/>
        </w:rPr>
        <w:t>, Gabriel Pardo, Jennifer Resnik and David J. Sutton as Amici Curiae on behalf of Defendant and Appellant.</w:t>
      </w:r>
    </w:p>
    <w:p w14:paraId="33C87911" w14:textId="77777777" w:rsidR="00713A9C" w:rsidRPr="00713A9C" w:rsidRDefault="00713A9C" w:rsidP="00713A9C">
      <w:pPr>
        <w:spacing w:after="0" w:line="240" w:lineRule="auto"/>
        <w:jc w:val="left"/>
        <w:rPr>
          <w:color w:val="212121"/>
          <w:sz w:val="24"/>
          <w:szCs w:val="24"/>
          <w:specVanish/>
        </w:rPr>
      </w:pPr>
    </w:p>
    <w:p w14:paraId="2CD9436A" w14:textId="77777777" w:rsidR="00713A9C" w:rsidRPr="00713A9C" w:rsidRDefault="00713A9C" w:rsidP="00713A9C">
      <w:pPr>
        <w:spacing w:after="0" w:line="240" w:lineRule="auto"/>
        <w:jc w:val="left"/>
        <w:rPr>
          <w:sz w:val="24"/>
          <w:szCs w:val="24"/>
          <w:specVanish/>
        </w:rPr>
      </w:pPr>
      <w:r w:rsidRPr="00713A9C">
        <w:rPr>
          <w:sz w:val="24"/>
          <w:szCs w:val="24"/>
        </w:rPr>
        <w:t xml:space="preserve">Jennifer L. </w:t>
      </w:r>
      <w:proofErr w:type="spellStart"/>
      <w:r w:rsidRPr="00713A9C">
        <w:rPr>
          <w:sz w:val="24"/>
          <w:szCs w:val="24"/>
        </w:rPr>
        <w:t>Pasquarella</w:t>
      </w:r>
      <w:proofErr w:type="spellEnd"/>
      <w:r w:rsidRPr="00713A9C">
        <w:rPr>
          <w:sz w:val="24"/>
          <w:szCs w:val="24"/>
        </w:rPr>
        <w:t xml:space="preserve">, Eva L. Bitran; Vasudha </w:t>
      </w:r>
      <w:proofErr w:type="spellStart"/>
      <w:r w:rsidRPr="00713A9C">
        <w:rPr>
          <w:sz w:val="24"/>
          <w:szCs w:val="24"/>
        </w:rPr>
        <w:t>Talla</w:t>
      </w:r>
      <w:proofErr w:type="spellEnd"/>
      <w:r w:rsidRPr="00713A9C">
        <w:rPr>
          <w:sz w:val="24"/>
          <w:szCs w:val="24"/>
        </w:rPr>
        <w:t>; and  David Loy for ACLU Foundation of Southern California, ACLU Foundation of Northern California and ACLU Foundation of San Diego and Imperial Counties as Amici Curiae on behalf of Defendant and Appellant.</w:t>
      </w:r>
    </w:p>
    <w:p w14:paraId="25FC02DD" w14:textId="77777777" w:rsidR="00713A9C" w:rsidRPr="00713A9C" w:rsidRDefault="00713A9C" w:rsidP="00713A9C">
      <w:pPr>
        <w:spacing w:after="0" w:line="240" w:lineRule="auto"/>
        <w:jc w:val="left"/>
        <w:rPr>
          <w:sz w:val="24"/>
          <w:szCs w:val="24"/>
          <w:specVanish/>
        </w:rPr>
      </w:pPr>
    </w:p>
    <w:p w14:paraId="5006AB74" w14:textId="77777777" w:rsidR="00713A9C" w:rsidRPr="00713A9C" w:rsidRDefault="00713A9C" w:rsidP="00713A9C">
      <w:pPr>
        <w:spacing w:after="0" w:line="240" w:lineRule="auto"/>
        <w:jc w:val="left"/>
        <w:rPr>
          <w:b/>
          <w:sz w:val="24"/>
          <w:szCs w:val="24"/>
        </w:rPr>
      </w:pPr>
      <w:r w:rsidRPr="00713A9C">
        <w:rPr>
          <w:color w:val="212121"/>
          <w:sz w:val="24"/>
          <w:szCs w:val="24"/>
        </w:rPr>
        <w:t xml:space="preserve">O’Melveny &amp; Myers and Catalina J. Vergara for The Immigrant Legal Resource Center, Public Counsel, University of California Irvine Law Immigrant Rights Clinic, University of California Irvine Law Criminal </w:t>
      </w:r>
      <w:r w:rsidRPr="00713A9C">
        <w:rPr>
          <w:color w:val="212121"/>
          <w:sz w:val="24"/>
          <w:szCs w:val="24"/>
        </w:rPr>
        <w:lastRenderedPageBreak/>
        <w:t>Justice Clinic, East Bay Community Law Center, Community Legal Services in East Palo Alto and University of California Davis Immigrant Rights Clinic as Amici Curiae on behalf of Defendant and Appellant.</w:t>
      </w:r>
      <w:r w:rsidRPr="00713A9C">
        <w:rPr>
          <w:color w:val="212121"/>
          <w:sz w:val="24"/>
          <w:szCs w:val="24"/>
        </w:rPr>
        <w:br/>
      </w:r>
      <w:r w:rsidRPr="00713A9C">
        <w:rPr>
          <w:color w:val="212121"/>
          <w:sz w:val="24"/>
          <w:szCs w:val="24"/>
        </w:rPr>
        <w:br/>
        <w:t xml:space="preserve">Xavier Becerra, Attorney General, Michael J. </w:t>
      </w:r>
      <w:proofErr w:type="spellStart"/>
      <w:r w:rsidRPr="00713A9C">
        <w:rPr>
          <w:color w:val="212121"/>
          <w:sz w:val="24"/>
          <w:szCs w:val="24"/>
        </w:rPr>
        <w:t>Mongan</w:t>
      </w:r>
      <w:proofErr w:type="spellEnd"/>
      <w:r w:rsidRPr="00713A9C">
        <w:rPr>
          <w:color w:val="212121"/>
          <w:sz w:val="24"/>
          <w:szCs w:val="24"/>
        </w:rPr>
        <w:t>, State Solicitor General, Lance E. Winters and Gerald A. Engler, Chief Assistant Attorneys General, Samuel P. Siegel, Deputy State Solicitor General, Julie L. Garland, Assistant Attorney General, Melissa Mandel and Adrian R. Contreras, Deputy Attorneys General, for Plaintiff and Respondent.</w:t>
      </w:r>
      <w:r w:rsidRPr="00713A9C">
        <w:rPr>
          <w:color w:val="212121"/>
          <w:sz w:val="24"/>
          <w:szCs w:val="24"/>
          <w:shd w:val="clear" w:color="auto" w:fill="FFFFFF"/>
        </w:rPr>
        <w:t xml:space="preserve"> </w:t>
      </w:r>
      <w:r w:rsidRPr="00713A9C">
        <w:rPr>
          <w:color w:val="212121"/>
          <w:sz w:val="24"/>
          <w:szCs w:val="24"/>
          <w:shd w:val="clear" w:color="auto" w:fill="FFFFFF"/>
        </w:rPr>
        <w:br w:type="page"/>
      </w:r>
    </w:p>
    <w:p w14:paraId="2AEC72CF" w14:textId="77777777" w:rsidR="00713A9C" w:rsidRPr="00713A9C" w:rsidRDefault="00713A9C" w:rsidP="00713A9C">
      <w:pPr>
        <w:spacing w:after="0" w:line="240" w:lineRule="auto"/>
        <w:jc w:val="left"/>
        <w:rPr>
          <w:b/>
          <w:sz w:val="24"/>
          <w:szCs w:val="24"/>
        </w:rPr>
      </w:pPr>
    </w:p>
    <w:p w14:paraId="4BFD37BB" w14:textId="77777777" w:rsidR="00713A9C" w:rsidRPr="00713A9C" w:rsidRDefault="00713A9C" w:rsidP="00713A9C">
      <w:pPr>
        <w:spacing w:after="0" w:line="240" w:lineRule="auto"/>
        <w:jc w:val="left"/>
        <w:rPr>
          <w:b/>
          <w:sz w:val="24"/>
          <w:szCs w:val="24"/>
        </w:rPr>
      </w:pPr>
      <w:r w:rsidRPr="00713A9C">
        <w:rPr>
          <w:b/>
          <w:sz w:val="24"/>
          <w:szCs w:val="24"/>
        </w:rPr>
        <w:t>Counsel who argued in Supreme Court (not intended for publication with opinion):</w:t>
      </w:r>
    </w:p>
    <w:p w14:paraId="4C4FD42E" w14:textId="77777777" w:rsidR="00713A9C" w:rsidRPr="00713A9C" w:rsidRDefault="00713A9C" w:rsidP="00713A9C">
      <w:pPr>
        <w:spacing w:after="0" w:line="240" w:lineRule="auto"/>
        <w:jc w:val="left"/>
        <w:rPr>
          <w:b/>
          <w:sz w:val="24"/>
          <w:szCs w:val="24"/>
        </w:rPr>
      </w:pPr>
    </w:p>
    <w:p w14:paraId="2D8BBAFC" w14:textId="77777777" w:rsidR="00713A9C" w:rsidRPr="00713A9C" w:rsidRDefault="00713A9C" w:rsidP="00713A9C">
      <w:pPr>
        <w:spacing w:after="0" w:line="240" w:lineRule="auto"/>
        <w:jc w:val="left"/>
        <w:rPr>
          <w:sz w:val="24"/>
          <w:szCs w:val="24"/>
        </w:rPr>
      </w:pPr>
      <w:r w:rsidRPr="00713A9C">
        <w:rPr>
          <w:sz w:val="24"/>
          <w:szCs w:val="24"/>
        </w:rPr>
        <w:t xml:space="preserve">Dane </w:t>
      </w:r>
      <w:proofErr w:type="spellStart"/>
      <w:r w:rsidRPr="00713A9C">
        <w:rPr>
          <w:sz w:val="24"/>
          <w:szCs w:val="24"/>
        </w:rPr>
        <w:t>Shikman</w:t>
      </w:r>
      <w:proofErr w:type="spellEnd"/>
    </w:p>
    <w:p w14:paraId="649119F4" w14:textId="77777777" w:rsidR="00713A9C" w:rsidRPr="00713A9C" w:rsidRDefault="00713A9C" w:rsidP="00713A9C">
      <w:pPr>
        <w:spacing w:after="0" w:line="240" w:lineRule="auto"/>
        <w:jc w:val="left"/>
        <w:rPr>
          <w:sz w:val="24"/>
          <w:szCs w:val="24"/>
        </w:rPr>
      </w:pPr>
      <w:r w:rsidRPr="00713A9C">
        <w:rPr>
          <w:sz w:val="24"/>
          <w:szCs w:val="24"/>
        </w:rPr>
        <w:t>31 Mullen Ave.</w:t>
      </w:r>
    </w:p>
    <w:p w14:paraId="2D9D9FA0" w14:textId="77777777" w:rsidR="00713A9C" w:rsidRPr="00713A9C" w:rsidRDefault="00713A9C" w:rsidP="00713A9C">
      <w:pPr>
        <w:spacing w:after="0" w:line="240" w:lineRule="auto"/>
        <w:jc w:val="left"/>
        <w:rPr>
          <w:sz w:val="24"/>
          <w:szCs w:val="24"/>
        </w:rPr>
      </w:pPr>
      <w:r w:rsidRPr="00713A9C">
        <w:rPr>
          <w:sz w:val="24"/>
          <w:szCs w:val="24"/>
        </w:rPr>
        <w:t>San Francisco, CA 94110</w:t>
      </w:r>
    </w:p>
    <w:p w14:paraId="13018BE1" w14:textId="77777777" w:rsidR="00713A9C" w:rsidRPr="00713A9C" w:rsidRDefault="00713A9C" w:rsidP="00713A9C">
      <w:pPr>
        <w:spacing w:after="0" w:line="240" w:lineRule="auto"/>
        <w:jc w:val="left"/>
        <w:rPr>
          <w:sz w:val="24"/>
          <w:szCs w:val="24"/>
        </w:rPr>
      </w:pPr>
      <w:r w:rsidRPr="00713A9C">
        <w:rPr>
          <w:sz w:val="24"/>
          <w:szCs w:val="24"/>
        </w:rPr>
        <w:t>(415) 512-4092</w:t>
      </w:r>
      <w:r w:rsidRPr="00713A9C">
        <w:rPr>
          <w:sz w:val="24"/>
          <w:szCs w:val="24"/>
        </w:rPr>
        <w:tab/>
      </w:r>
    </w:p>
    <w:p w14:paraId="3D5FE68B" w14:textId="77777777" w:rsidR="00713A9C" w:rsidRPr="00713A9C" w:rsidRDefault="00713A9C" w:rsidP="00713A9C">
      <w:pPr>
        <w:spacing w:after="0" w:line="240" w:lineRule="auto"/>
        <w:jc w:val="left"/>
        <w:rPr>
          <w:sz w:val="24"/>
          <w:szCs w:val="24"/>
        </w:rPr>
      </w:pPr>
    </w:p>
    <w:p w14:paraId="231C37FE" w14:textId="77777777" w:rsidR="00713A9C" w:rsidRPr="00713A9C" w:rsidRDefault="00713A9C" w:rsidP="00713A9C">
      <w:pPr>
        <w:spacing w:after="0" w:line="240" w:lineRule="auto"/>
        <w:jc w:val="left"/>
        <w:rPr>
          <w:sz w:val="24"/>
          <w:szCs w:val="24"/>
        </w:rPr>
      </w:pPr>
      <w:r w:rsidRPr="00713A9C">
        <w:rPr>
          <w:sz w:val="24"/>
          <w:szCs w:val="24"/>
        </w:rPr>
        <w:t>Samuel P. Siegel</w:t>
      </w:r>
    </w:p>
    <w:p w14:paraId="0C9CC86B" w14:textId="77777777" w:rsidR="00713A9C" w:rsidRPr="00713A9C" w:rsidRDefault="00713A9C" w:rsidP="00713A9C">
      <w:pPr>
        <w:spacing w:after="0" w:line="240" w:lineRule="auto"/>
        <w:jc w:val="left"/>
        <w:rPr>
          <w:sz w:val="24"/>
          <w:szCs w:val="24"/>
        </w:rPr>
      </w:pPr>
      <w:r w:rsidRPr="00713A9C">
        <w:rPr>
          <w:color w:val="212121"/>
          <w:sz w:val="24"/>
          <w:szCs w:val="24"/>
        </w:rPr>
        <w:t>Deputy State Solicitor General</w:t>
      </w:r>
    </w:p>
    <w:p w14:paraId="75C16CBC" w14:textId="77777777" w:rsidR="00713A9C" w:rsidRPr="00713A9C" w:rsidRDefault="00713A9C" w:rsidP="00713A9C">
      <w:pPr>
        <w:spacing w:after="0" w:line="240" w:lineRule="auto"/>
        <w:jc w:val="left"/>
        <w:rPr>
          <w:sz w:val="24"/>
          <w:szCs w:val="24"/>
        </w:rPr>
      </w:pPr>
      <w:r w:rsidRPr="00713A9C">
        <w:rPr>
          <w:sz w:val="24"/>
          <w:szCs w:val="24"/>
        </w:rPr>
        <w:t>1300 I Street</w:t>
      </w:r>
    </w:p>
    <w:p w14:paraId="18756D86" w14:textId="77777777" w:rsidR="00713A9C" w:rsidRPr="00713A9C" w:rsidRDefault="00713A9C" w:rsidP="00713A9C">
      <w:pPr>
        <w:spacing w:after="0" w:line="240" w:lineRule="auto"/>
        <w:jc w:val="left"/>
        <w:rPr>
          <w:sz w:val="24"/>
          <w:szCs w:val="24"/>
        </w:rPr>
      </w:pPr>
      <w:r w:rsidRPr="00713A9C">
        <w:rPr>
          <w:sz w:val="24"/>
          <w:szCs w:val="24"/>
        </w:rPr>
        <w:t>Sacramento, CA 95814</w:t>
      </w:r>
    </w:p>
    <w:p w14:paraId="6BF75FA8" w14:textId="77777777" w:rsidR="00713A9C" w:rsidRPr="00713A9C" w:rsidRDefault="00713A9C" w:rsidP="00713A9C">
      <w:pPr>
        <w:spacing w:after="0" w:line="240" w:lineRule="auto"/>
        <w:jc w:val="left"/>
        <w:rPr>
          <w:sz w:val="24"/>
          <w:szCs w:val="24"/>
        </w:rPr>
      </w:pPr>
      <w:r w:rsidRPr="00713A9C">
        <w:rPr>
          <w:sz w:val="24"/>
          <w:szCs w:val="24"/>
        </w:rPr>
        <w:t>(916) 210-6269</w:t>
      </w:r>
      <w:bookmarkEnd w:id="12"/>
    </w:p>
    <w:p w14:paraId="3C193CF1" w14:textId="416E082D" w:rsidR="00FF44DE" w:rsidRPr="009F1AEE" w:rsidRDefault="00FF44DE" w:rsidP="00C259B5">
      <w:pPr>
        <w:ind w:firstLine="720"/>
        <w:rPr>
          <w:rStyle w:val="ssrfcpassagedeactivated"/>
        </w:rPr>
      </w:pPr>
    </w:p>
    <w:sectPr w:rsidR="00FF44DE" w:rsidRPr="009F1AEE" w:rsidSect="004A457B">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E8D0" w14:textId="77777777" w:rsidR="008F0DC5" w:rsidRDefault="008F0DC5">
      <w:r>
        <w:separator/>
      </w:r>
    </w:p>
  </w:endnote>
  <w:endnote w:type="continuationSeparator" w:id="0">
    <w:p w14:paraId="452A2A84" w14:textId="77777777" w:rsidR="008F0DC5" w:rsidRDefault="008F0DC5">
      <w:r>
        <w:continuationSeparator/>
      </w:r>
    </w:p>
  </w:endnote>
  <w:endnote w:type="continuationNotice" w:id="1">
    <w:p w14:paraId="10E96CDD" w14:textId="77777777" w:rsidR="008F0DC5" w:rsidRDefault="008F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0F2" w14:textId="77777777" w:rsidR="00FE2010" w:rsidRDefault="00FE2010">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1030" w14:textId="79AD86A9" w:rsidR="009F1AEE" w:rsidRDefault="009F1AEE">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AD51" w14:textId="77777777" w:rsidR="000631FA" w:rsidRDefault="005F65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810A" w14:textId="77777777" w:rsidR="000631FA" w:rsidRDefault="005F65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3526" w14:textId="77777777" w:rsidR="000631FA" w:rsidRDefault="005F6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43E4" w14:textId="77777777" w:rsidR="008F0DC5" w:rsidRDefault="008F0DC5">
      <w:r>
        <w:separator/>
      </w:r>
    </w:p>
  </w:footnote>
  <w:footnote w:type="continuationSeparator" w:id="0">
    <w:p w14:paraId="6F2A0CBF" w14:textId="77777777" w:rsidR="008F0DC5" w:rsidRDefault="008F0DC5">
      <w:pPr>
        <w:rPr>
          <w:sz w:val="22"/>
        </w:rPr>
      </w:pPr>
      <w:r>
        <w:continuationSeparator/>
      </w:r>
    </w:p>
  </w:footnote>
  <w:footnote w:type="continuationNotice" w:id="1">
    <w:p w14:paraId="69ED2D5E" w14:textId="77777777" w:rsidR="008F0DC5" w:rsidRDefault="008F0DC5">
      <w:pPr>
        <w:jc w:val="right"/>
        <w:rPr>
          <w:i/>
          <w:sz w:val="20"/>
        </w:rPr>
      </w:pPr>
    </w:p>
  </w:footnote>
  <w:footnote w:id="2">
    <w:p w14:paraId="45245F1A" w14:textId="43DC052E" w:rsidR="00FE2010" w:rsidRDefault="00FE2010" w:rsidP="009F1AEE">
      <w:pPr>
        <w:pStyle w:val="FootnoteText"/>
      </w:pPr>
      <w:r>
        <w:rPr>
          <w:rStyle w:val="FootnoteReference"/>
        </w:rPr>
        <w:footnoteRef/>
      </w:r>
      <w:r>
        <w:t xml:space="preserve"> </w:t>
      </w:r>
      <w:r>
        <w:tab/>
        <w:t xml:space="preserve">Vivar says counsel informed him that the court could reduce the felony conviction to a misdemeanor — and Vivar believed that this disposition carried no immigration consequences.      </w:t>
      </w:r>
    </w:p>
  </w:footnote>
  <w:footnote w:id="3">
    <w:p w14:paraId="0E3D9BB1" w14:textId="6ABF8D3A" w:rsidR="00FE2010" w:rsidRDefault="00FE2010" w:rsidP="009F1AEE">
      <w:pPr>
        <w:pStyle w:val="FootnoteText"/>
      </w:pPr>
      <w:r>
        <w:rPr>
          <w:rStyle w:val="FootnoteReference"/>
        </w:rPr>
        <w:footnoteRef/>
      </w:r>
      <w:r>
        <w:t xml:space="preserve"> </w:t>
      </w:r>
      <w:r>
        <w:tab/>
        <w:t xml:space="preserve">According to Vivar’s immigration law expert, this conviction “triggered the worst of all immigration consequences:  mandatory deportation with a bar to almost all forms of immigration relief, and permanent ineligibility for U.S. citizenship.”    </w:t>
      </w:r>
    </w:p>
  </w:footnote>
  <w:footnote w:id="4">
    <w:p w14:paraId="56228E4B" w14:textId="70C0522C" w:rsidR="00FE2010" w:rsidRPr="00F25FE5" w:rsidRDefault="00FE2010" w:rsidP="009F1AEE">
      <w:pPr>
        <w:pStyle w:val="FootnoteText"/>
      </w:pPr>
      <w:r>
        <w:rPr>
          <w:rStyle w:val="FootnoteReference"/>
        </w:rPr>
        <w:footnoteRef/>
      </w:r>
      <w:r>
        <w:t xml:space="preserve"> </w:t>
      </w:r>
      <w:r>
        <w:tab/>
        <w:t xml:space="preserve">Because Justice Mosk concurred in Justice Werdegar’s </w:t>
      </w:r>
      <w:r w:rsidR="003F0957">
        <w:t>lead</w:t>
      </w:r>
      <w:r>
        <w:t xml:space="preserve"> opinion in all respects relevant here (see </w:t>
      </w:r>
      <w:r>
        <w:rPr>
          <w:i/>
        </w:rPr>
        <w:t>Resendiz</w:t>
      </w:r>
      <w:r>
        <w:t xml:space="preserve">, </w:t>
      </w:r>
      <w:r>
        <w:rPr>
          <w:i/>
        </w:rPr>
        <w:t>supra</w:t>
      </w:r>
      <w:r>
        <w:t>, 25 Cal.4th at p. 255 (conc. &amp; dis. opn. of Mosk, J.)</w:t>
      </w:r>
      <w:r w:rsidR="00417D33">
        <w:t>)</w:t>
      </w:r>
      <w:r>
        <w:t xml:space="preserve">, we cite only to the </w:t>
      </w:r>
      <w:r w:rsidR="003F0957">
        <w:t>lead</w:t>
      </w:r>
      <w:r>
        <w:t xml:space="preserve"> opinion.</w:t>
      </w:r>
    </w:p>
  </w:footnote>
  <w:footnote w:id="5">
    <w:p w14:paraId="787AC32D" w14:textId="6E0855B2" w:rsidR="000367C9" w:rsidRDefault="000367C9" w:rsidP="000367C9">
      <w:pPr>
        <w:pStyle w:val="FootnoteText"/>
      </w:pPr>
      <w:r>
        <w:rPr>
          <w:rStyle w:val="FootnoteReference"/>
        </w:rPr>
        <w:footnoteRef/>
      </w:r>
      <w:r>
        <w:t xml:space="preserve"> </w:t>
      </w:r>
      <w:r>
        <w:tab/>
      </w:r>
      <w:r>
        <w:rPr>
          <w:rStyle w:val="ssparacontent"/>
        </w:rPr>
        <w:t xml:space="preserve">Because we </w:t>
      </w:r>
      <w:r w:rsidR="008F2E97">
        <w:rPr>
          <w:rStyle w:val="ssparacontent"/>
        </w:rPr>
        <w:t>adopt</w:t>
      </w:r>
      <w:r>
        <w:rPr>
          <w:rStyle w:val="ssparacontent"/>
        </w:rPr>
        <w:t xml:space="preserve"> an independent standard of review for all claims made under section 1473.7, subdivision (a)(1), we disapprove </w:t>
      </w:r>
      <w:r w:rsidR="004D3C19">
        <w:rPr>
          <w:rStyle w:val="ssparacontent"/>
          <w:i/>
          <w:iCs/>
        </w:rPr>
        <w:t xml:space="preserve">People v. Bravo </w:t>
      </w:r>
      <w:r w:rsidR="004D3C19">
        <w:rPr>
          <w:rStyle w:val="ssparacontent"/>
        </w:rPr>
        <w:t>(2020) 58 Cal.App.</w:t>
      </w:r>
      <w:r w:rsidR="001F26A9">
        <w:rPr>
          <w:rStyle w:val="ssparacontent"/>
        </w:rPr>
        <w:t>5</w:t>
      </w:r>
      <w:r w:rsidR="004D3C19">
        <w:rPr>
          <w:rStyle w:val="ssparacontent"/>
        </w:rPr>
        <w:t>th 1161</w:t>
      </w:r>
      <w:r w:rsidR="001766E4">
        <w:rPr>
          <w:rStyle w:val="ssparacontent"/>
        </w:rPr>
        <w:t>, 1167,</w:t>
      </w:r>
      <w:r w:rsidR="004D3C19">
        <w:rPr>
          <w:rStyle w:val="ssparacontent"/>
        </w:rPr>
        <w:t xml:space="preserve"> </w:t>
      </w:r>
      <w:r w:rsidR="008F2E97">
        <w:rPr>
          <w:rStyle w:val="ssparacontent"/>
          <w:i/>
          <w:iCs/>
        </w:rPr>
        <w:t xml:space="preserve">People v. Jung </w:t>
      </w:r>
      <w:r w:rsidR="008F2E97">
        <w:rPr>
          <w:rStyle w:val="ssparacontent"/>
        </w:rPr>
        <w:t xml:space="preserve">(2020) 59 Cal.App.5th 842, 853, </w:t>
      </w:r>
      <w:r w:rsidR="004D3C19">
        <w:rPr>
          <w:rStyle w:val="ssparacontent"/>
        </w:rPr>
        <w:t xml:space="preserve">and </w:t>
      </w:r>
      <w:r>
        <w:rPr>
          <w:rStyle w:val="ssparacontent"/>
          <w:i/>
        </w:rPr>
        <w:t>People v. Rodriguez</w:t>
      </w:r>
      <w:r w:rsidR="001766E4">
        <w:rPr>
          <w:rStyle w:val="ssparacontent"/>
          <w:iCs/>
        </w:rPr>
        <w:t xml:space="preserve"> (2019) </w:t>
      </w:r>
      <w:r>
        <w:rPr>
          <w:rStyle w:val="ssparacontent"/>
        </w:rPr>
        <w:t>38 Cal.App.5th 971</w:t>
      </w:r>
      <w:r w:rsidR="001766E4">
        <w:rPr>
          <w:rStyle w:val="ssparacontent"/>
        </w:rPr>
        <w:t>, 977</w:t>
      </w:r>
      <w:r>
        <w:rPr>
          <w:rStyle w:val="ssparacontent"/>
        </w:rPr>
        <w:t xml:space="preserve"> to the extent </w:t>
      </w:r>
      <w:r w:rsidR="001766E4">
        <w:rPr>
          <w:rStyle w:val="ssparacontent"/>
        </w:rPr>
        <w:t>they are</w:t>
      </w:r>
      <w:r>
        <w:rPr>
          <w:rStyle w:val="ssparacontent"/>
        </w:rPr>
        <w:t xml:space="preserve"> inconsistent with this opinion.  </w:t>
      </w:r>
      <w:r>
        <w:t xml:space="preserve">       </w:t>
      </w:r>
    </w:p>
  </w:footnote>
  <w:footnote w:id="6">
    <w:p w14:paraId="715D75F2" w14:textId="4EB3DA20" w:rsidR="00736F11" w:rsidRPr="008D157A" w:rsidRDefault="00736F11">
      <w:pPr>
        <w:pStyle w:val="FootnoteText"/>
      </w:pPr>
      <w:r>
        <w:rPr>
          <w:rStyle w:val="FootnoteReference"/>
        </w:rPr>
        <w:footnoteRef/>
      </w:r>
      <w:r>
        <w:t xml:space="preserve"> </w:t>
      </w:r>
      <w:r>
        <w:tab/>
      </w:r>
      <w:r w:rsidR="000B6E8D">
        <w:t>Despite the passage of time, a</w:t>
      </w:r>
      <w:r>
        <w:t xml:space="preserve"> trial court </w:t>
      </w:r>
      <w:r w:rsidR="000B6E8D">
        <w:t xml:space="preserve">nonetheless retains the discretion </w:t>
      </w:r>
      <w:r w:rsidR="008D157A">
        <w:t xml:space="preserve">to conduct an evidentiary hearing to resolve disputes of fact.  (See </w:t>
      </w:r>
      <w:r w:rsidR="008D157A">
        <w:rPr>
          <w:i/>
          <w:iCs/>
        </w:rPr>
        <w:t xml:space="preserve">People v. Superior Court </w:t>
      </w:r>
      <w:r w:rsidR="00E17FA0">
        <w:t>(</w:t>
      </w:r>
      <w:r w:rsidR="008D157A">
        <w:rPr>
          <w:i/>
          <w:iCs/>
        </w:rPr>
        <w:t>Zamudio</w:t>
      </w:r>
      <w:r w:rsidR="00E17FA0">
        <w:t>)</w:t>
      </w:r>
      <w:r w:rsidR="008D157A">
        <w:t xml:space="preserve"> (2000) 23 Cal.4th 183, 201.)</w:t>
      </w:r>
    </w:p>
  </w:footnote>
  <w:footnote w:id="7">
    <w:p w14:paraId="69B468E3" w14:textId="3A0380B5" w:rsidR="00A21FE1" w:rsidRDefault="00A21FE1">
      <w:pPr>
        <w:pStyle w:val="FootnoteText"/>
      </w:pPr>
      <w:r>
        <w:rPr>
          <w:rStyle w:val="FootnoteReference"/>
        </w:rPr>
        <w:footnoteRef/>
      </w:r>
      <w:r>
        <w:t xml:space="preserve"> </w:t>
      </w:r>
      <w:r>
        <w:tab/>
        <w:t>The separate opinion correctly characterizes substantial evidence review as “deferential.”  (Conc. &amp; dis. opn.</w:t>
      </w:r>
      <w:r w:rsidR="00621E32">
        <w:t>,</w:t>
      </w:r>
      <w:r>
        <w:t xml:space="preserve"> </w:t>
      </w:r>
      <w:r>
        <w:rPr>
          <w:i/>
          <w:iCs/>
        </w:rPr>
        <w:t>post</w:t>
      </w:r>
      <w:r>
        <w:t>,</w:t>
      </w:r>
      <w:r>
        <w:rPr>
          <w:i/>
          <w:iCs/>
        </w:rPr>
        <w:t xml:space="preserve"> </w:t>
      </w:r>
      <w:r>
        <w:t>at p. 1</w:t>
      </w:r>
      <w:r w:rsidR="00621E32">
        <w:t>0</w:t>
      </w:r>
      <w:r>
        <w:t xml:space="preserve">.)  But it doesn’t follow that every time a court extends deference to a trial court’s factual findings, it’s engaging in substantial evidence review.  (See, e.g., </w:t>
      </w:r>
      <w:r w:rsidR="00A22DF6">
        <w:rPr>
          <w:i/>
          <w:iCs/>
        </w:rPr>
        <w:t>Resendiz</w:t>
      </w:r>
      <w:r w:rsidR="00A22DF6">
        <w:t xml:space="preserve">, </w:t>
      </w:r>
      <w:r w:rsidR="00A22DF6">
        <w:rPr>
          <w:i/>
          <w:iCs/>
        </w:rPr>
        <w:t>supra</w:t>
      </w:r>
      <w:r w:rsidR="00A22DF6">
        <w:t xml:space="preserve">, 25 Cal.4th at p. 249 (lead opn. of Werdegar, J.); </w:t>
      </w:r>
      <w:r w:rsidR="00A22DF6">
        <w:rPr>
          <w:i/>
          <w:iCs/>
        </w:rPr>
        <w:t>Ogunmowo</w:t>
      </w:r>
      <w:r w:rsidR="00A22DF6">
        <w:t xml:space="preserve">, </w:t>
      </w:r>
      <w:r w:rsidR="00A22DF6">
        <w:rPr>
          <w:i/>
          <w:iCs/>
        </w:rPr>
        <w:t>supra</w:t>
      </w:r>
      <w:r w:rsidR="00A22DF6">
        <w:t xml:space="preserve">, 23 Cal.App.5th at p. 76 [citing </w:t>
      </w:r>
      <w:r w:rsidR="00A22DF6">
        <w:rPr>
          <w:i/>
          <w:iCs/>
        </w:rPr>
        <w:t>Resendiz</w:t>
      </w:r>
      <w:r w:rsidR="00A22DF6">
        <w:t xml:space="preserve">]; </w:t>
      </w:r>
      <w:r w:rsidR="00A22DF6">
        <w:rPr>
          <w:i/>
          <w:iCs/>
        </w:rPr>
        <w:t>Tapia</w:t>
      </w:r>
      <w:r w:rsidR="00A22DF6">
        <w:t xml:space="preserve">, </w:t>
      </w:r>
      <w:r w:rsidR="00A22DF6">
        <w:rPr>
          <w:i/>
          <w:iCs/>
        </w:rPr>
        <w:t>supra</w:t>
      </w:r>
      <w:r w:rsidR="00A22DF6">
        <w:t xml:space="preserve">, 26 Cal.App.5th at p. 950 [citing </w:t>
      </w:r>
      <w:r w:rsidR="00A22DF6">
        <w:rPr>
          <w:i/>
          <w:iCs/>
        </w:rPr>
        <w:t>Resendiz</w:t>
      </w:r>
      <w:r w:rsidR="00A22DF6">
        <w:t xml:space="preserve"> and quoting </w:t>
      </w:r>
      <w:r w:rsidR="00A22DF6">
        <w:rPr>
          <w:i/>
          <w:iCs/>
        </w:rPr>
        <w:t>Ogunmowo</w:t>
      </w:r>
      <w:r w:rsidR="00A22DF6">
        <w:t xml:space="preserve">]; </w:t>
      </w:r>
      <w:r w:rsidR="00134C6F">
        <w:rPr>
          <w:i/>
          <w:iCs/>
        </w:rPr>
        <w:t>Olvera</w:t>
      </w:r>
      <w:r w:rsidR="00134C6F">
        <w:t xml:space="preserve">, </w:t>
      </w:r>
      <w:r w:rsidR="00134C6F">
        <w:rPr>
          <w:i/>
          <w:iCs/>
        </w:rPr>
        <w:t>supra</w:t>
      </w:r>
      <w:r w:rsidR="00134C6F">
        <w:t xml:space="preserve">, 24 Cal.App.5th at p. 1116 [citing </w:t>
      </w:r>
      <w:r w:rsidR="00134C6F">
        <w:rPr>
          <w:i/>
          <w:iCs/>
        </w:rPr>
        <w:t>Resendiz</w:t>
      </w:r>
      <w:r w:rsidR="00134C6F">
        <w:t xml:space="preserve"> and </w:t>
      </w:r>
      <w:r w:rsidR="00134C6F">
        <w:rPr>
          <w:i/>
          <w:iCs/>
        </w:rPr>
        <w:t>Ogunmowo</w:t>
      </w:r>
      <w:r w:rsidR="00134C6F">
        <w:t xml:space="preserve">].)  What’s distinctive about substantial evidence review is that </w:t>
      </w:r>
      <w:r w:rsidR="006E6DC4">
        <w:t>adequately supported factual findings</w:t>
      </w:r>
      <w:r w:rsidR="00134C6F">
        <w:t xml:space="preserve"> </w:t>
      </w:r>
      <w:r w:rsidR="00241616">
        <w:t>not only merit deference, but</w:t>
      </w:r>
      <w:r w:rsidR="00585F92">
        <w:t xml:space="preserve"> </w:t>
      </w:r>
      <w:r w:rsidR="00134C6F">
        <w:t xml:space="preserve">are </w:t>
      </w:r>
      <w:r w:rsidR="00134C6F" w:rsidRPr="00585F92">
        <w:t>binding</w:t>
      </w:r>
      <w:r w:rsidR="00585F92">
        <w:t>,</w:t>
      </w:r>
      <w:r w:rsidR="00134C6F">
        <w:t xml:space="preserve"> on appeal.</w:t>
      </w:r>
      <w:r w:rsidR="006E6DC4">
        <w:t xml:space="preserve">  (See </w:t>
      </w:r>
      <w:r w:rsidR="006E6DC4">
        <w:rPr>
          <w:i/>
          <w:iCs/>
        </w:rPr>
        <w:t>People v. Schultz</w:t>
      </w:r>
      <w:r w:rsidR="006E6DC4">
        <w:t xml:space="preserve"> (2020) 10 Cal.5th 623, 647;</w:t>
      </w:r>
      <w:r w:rsidR="00134C6F">
        <w:t xml:space="preserve"> cf. </w:t>
      </w:r>
      <w:r w:rsidR="00134C6F">
        <w:rPr>
          <w:i/>
          <w:iCs/>
        </w:rPr>
        <w:t xml:space="preserve">In re Lewis </w:t>
      </w:r>
      <w:r w:rsidR="00134C6F">
        <w:t>(2018) 4 Cal.5th 1185, 1191</w:t>
      </w:r>
      <w:r w:rsidR="006E6DC4">
        <w:t xml:space="preserve"> [while courts “</w:t>
      </w:r>
      <w:r w:rsidR="00ED3A0C">
        <w:t> </w:t>
      </w:r>
      <w:r w:rsidR="006E6DC4">
        <w:t>‘generally defer to the referee’s factual findings,’</w:t>
      </w:r>
      <w:r w:rsidR="00C42C1C">
        <w:t> </w:t>
      </w:r>
      <w:r w:rsidR="006E6DC4">
        <w:t>” they “are not binding”].)</w:t>
      </w:r>
      <w:r w:rsidR="00134C6F">
        <w:t xml:space="preserve">   </w:t>
      </w:r>
      <w:r w:rsidR="00A22DF6">
        <w:t xml:space="preserve"> </w:t>
      </w:r>
      <w:r>
        <w:t xml:space="preserve"> </w:t>
      </w:r>
    </w:p>
  </w:footnote>
  <w:footnote w:id="8">
    <w:p w14:paraId="7BB28D82" w14:textId="61FD0959" w:rsidR="00984EC5" w:rsidRDefault="00984EC5" w:rsidP="00984EC5">
      <w:pPr>
        <w:pStyle w:val="FootnoteText"/>
      </w:pPr>
      <w:r>
        <w:rPr>
          <w:rStyle w:val="FootnoteReference"/>
        </w:rPr>
        <w:footnoteRef/>
      </w:r>
      <w:r>
        <w:t xml:space="preserve"> </w:t>
      </w:r>
      <w:r>
        <w:tab/>
      </w:r>
      <w:r w:rsidR="00F52F4E" w:rsidRPr="00845A55">
        <w:t xml:space="preserve">Our decision </w:t>
      </w:r>
      <w:r w:rsidR="00DE2094" w:rsidRPr="00845A55">
        <w:t xml:space="preserve">addresses only </w:t>
      </w:r>
      <w:r w:rsidR="00F52F4E" w:rsidRPr="00845A55">
        <w:t>the independent standard of review under section 1473.7.</w:t>
      </w:r>
      <w:r w:rsidR="00F52F4E">
        <w:t xml:space="preserve">  </w:t>
      </w:r>
      <w:r w:rsidRPr="00F21D4A">
        <w:t xml:space="preserve">Nothing we say here disturbs a familiar postulate:  when reviewing a ruling </w:t>
      </w:r>
      <w:r w:rsidR="003361F8">
        <w:t>under the substantial evidence standard</w:t>
      </w:r>
      <w:r w:rsidRPr="00F21D4A">
        <w:t>, “an appellate court should defer to the factual determinations made by the trial court,” regardless of “whether the trial court’s rulings are based on oral testimony or declarations.”  (</w:t>
      </w:r>
      <w:r w:rsidRPr="00F21D4A">
        <w:rPr>
          <w:i/>
          <w:iCs/>
        </w:rPr>
        <w:t>Shamblin v. Brattain</w:t>
      </w:r>
      <w:r w:rsidRPr="00F21D4A">
        <w:t xml:space="preserve"> (1988) 44 Cal.3d 474, 479; see </w:t>
      </w:r>
      <w:r w:rsidRPr="00F21D4A">
        <w:rPr>
          <w:i/>
          <w:iCs/>
        </w:rPr>
        <w:t>Haraguchi v. Superior Court</w:t>
      </w:r>
      <w:r w:rsidRPr="00F21D4A">
        <w:t xml:space="preserve">, </w:t>
      </w:r>
      <w:r w:rsidRPr="00F21D4A">
        <w:rPr>
          <w:i/>
          <w:iCs/>
        </w:rPr>
        <w:t>supra</w:t>
      </w:r>
      <w:r w:rsidRPr="00F21D4A">
        <w:t>, 43 Cal.4th at pp. 711, 713.)</w:t>
      </w:r>
    </w:p>
  </w:footnote>
  <w:footnote w:id="9">
    <w:p w14:paraId="29A609E5" w14:textId="77777777" w:rsidR="00756994" w:rsidRDefault="00756994" w:rsidP="00756994">
      <w:pPr>
        <w:pStyle w:val="FootnoteText"/>
        <w:rPr>
          <w:szCs w:val="27"/>
        </w:rPr>
      </w:pPr>
      <w:r>
        <w:rPr>
          <w:rStyle w:val="FootnoteReference"/>
          <w:szCs w:val="27"/>
        </w:rPr>
        <w:footnoteRef/>
      </w:r>
      <w:r>
        <w:rPr>
          <w:szCs w:val="27"/>
          <w:vertAlign w:val="superscript"/>
        </w:rPr>
        <w:t xml:space="preserve"> </w:t>
      </w:r>
      <w:r>
        <w:rPr>
          <w:szCs w:val="27"/>
          <w:vertAlign w:val="superscript"/>
        </w:rPr>
        <w:tab/>
      </w:r>
      <w:r>
        <w:rPr>
          <w:szCs w:val="27"/>
        </w:rPr>
        <w:t>Further statutory references are to the Penal Code.</w:t>
      </w:r>
    </w:p>
  </w:footnote>
  <w:footnote w:id="10">
    <w:p w14:paraId="61D667F0" w14:textId="77777777" w:rsidR="00756994" w:rsidRDefault="00756994" w:rsidP="00756994">
      <w:pPr>
        <w:pStyle w:val="FootnoteText"/>
        <w:rPr>
          <w:szCs w:val="27"/>
        </w:rPr>
      </w:pPr>
      <w:r>
        <w:rPr>
          <w:rStyle w:val="FootnoteReference"/>
          <w:szCs w:val="27"/>
        </w:rPr>
        <w:footnoteRef/>
      </w:r>
      <w:r>
        <w:rPr>
          <w:szCs w:val="27"/>
          <w:vertAlign w:val="superscript"/>
        </w:rPr>
        <w:t xml:space="preserve"> </w:t>
      </w:r>
      <w:r>
        <w:rPr>
          <w:szCs w:val="27"/>
          <w:vertAlign w:val="superscript"/>
        </w:rPr>
        <w:tab/>
      </w:r>
      <w:r>
        <w:rPr>
          <w:szCs w:val="27"/>
        </w:rPr>
        <w:t xml:space="preserve">In this court, the Attorney General takes the position that appellate courts should independently review rulings under section 1473.7.  </w:t>
      </w:r>
    </w:p>
  </w:footnote>
  <w:footnote w:id="11">
    <w:p w14:paraId="795E428B" w14:textId="77777777" w:rsidR="00756994" w:rsidRDefault="00756994" w:rsidP="00756994">
      <w:pPr>
        <w:pStyle w:val="FootnoteText"/>
        <w:rPr>
          <w:szCs w:val="27"/>
        </w:rPr>
      </w:pPr>
      <w:r>
        <w:rPr>
          <w:rStyle w:val="FootnoteReference"/>
        </w:rPr>
        <w:footnoteRef/>
      </w:r>
      <w:r>
        <w:t xml:space="preserve"> </w:t>
      </w:r>
      <w:r>
        <w:tab/>
      </w:r>
      <w:r>
        <w:rPr>
          <w:szCs w:val="27"/>
        </w:rPr>
        <w:t xml:space="preserve">It should be noted that the majority explicitly limits its holding to review under section 1473.7.  (Maj. opn., </w:t>
      </w:r>
      <w:r>
        <w:rPr>
          <w:i/>
          <w:iCs/>
          <w:szCs w:val="27"/>
        </w:rPr>
        <w:t>ante</w:t>
      </w:r>
      <w:r>
        <w:rPr>
          <w:szCs w:val="27"/>
        </w:rPr>
        <w:t>, p. 20, fn. 7.)</w:t>
      </w:r>
    </w:p>
  </w:footnote>
  <w:footnote w:id="12">
    <w:p w14:paraId="302BBEF7" w14:textId="77777777" w:rsidR="00756994" w:rsidRDefault="00756994" w:rsidP="00756994">
      <w:pPr>
        <w:pStyle w:val="FootnoteText"/>
        <w:rPr>
          <w:szCs w:val="27"/>
        </w:rPr>
      </w:pPr>
      <w:r>
        <w:rPr>
          <w:rStyle w:val="FootnoteReference"/>
          <w:szCs w:val="27"/>
        </w:rPr>
        <w:footnoteRef/>
      </w:r>
      <w:r>
        <w:rPr>
          <w:szCs w:val="27"/>
        </w:rPr>
        <w:t xml:space="preserve"> </w:t>
      </w:r>
      <w:r>
        <w:rPr>
          <w:szCs w:val="27"/>
        </w:rPr>
        <w:tab/>
        <w:t xml:space="preserve">The “independent review” standard described in the majority opinion also is applied to cases raising First Amendment issues in which an appellate court is charged with ensuring that a ruling does not intrude on constitutional free speech rights.  (See </w:t>
      </w:r>
      <w:r>
        <w:rPr>
          <w:i/>
          <w:iCs/>
          <w:szCs w:val="27"/>
        </w:rPr>
        <w:t xml:space="preserve">People v. Jackson </w:t>
      </w:r>
      <w:r>
        <w:rPr>
          <w:szCs w:val="27"/>
        </w:rPr>
        <w:t xml:space="preserve">(2005) 128 Cal.App.4th 1009, 1020 [cited by maj. opn., </w:t>
      </w:r>
      <w:r>
        <w:rPr>
          <w:i/>
          <w:iCs/>
          <w:szCs w:val="27"/>
        </w:rPr>
        <w:t>ante</w:t>
      </w:r>
      <w:r>
        <w:rPr>
          <w:szCs w:val="27"/>
        </w:rPr>
        <w:t xml:space="preserve">, p. 19]; see also </w:t>
      </w:r>
      <w:r>
        <w:rPr>
          <w:i/>
          <w:iCs/>
          <w:szCs w:val="27"/>
        </w:rPr>
        <w:t>Bose Corp. v. Consumers Union of U.S., Inc.</w:t>
      </w:r>
      <w:r>
        <w:rPr>
          <w:szCs w:val="27"/>
        </w:rPr>
        <w:t xml:space="preserve"> (1984) 466 U.S. 485, 499.)  Because this case does not involve a First Amendment issue, these cases do not bear upon the standard of review that should be applied here.</w:t>
      </w:r>
    </w:p>
  </w:footnote>
  <w:footnote w:id="13">
    <w:p w14:paraId="1949D5EF" w14:textId="77777777" w:rsidR="00756994" w:rsidRDefault="00756994" w:rsidP="00756994">
      <w:pPr>
        <w:pStyle w:val="FootnoteText"/>
      </w:pPr>
      <w:r>
        <w:rPr>
          <w:rStyle w:val="FootnoteReference"/>
        </w:rPr>
        <w:footnoteRef/>
      </w:r>
      <w:r>
        <w:t xml:space="preserve"> </w:t>
      </w:r>
      <w:r>
        <w:tab/>
        <w:t xml:space="preserve">In </w:t>
      </w:r>
      <w:r>
        <w:rPr>
          <w:i/>
        </w:rPr>
        <w:t>Tapia</w:t>
      </w:r>
      <w:r>
        <w:t xml:space="preserve">, the trial judge who heard the section 1473.7 motion also presided over the plea hearing.  (See </w:t>
      </w:r>
      <w:r>
        <w:rPr>
          <w:i/>
        </w:rPr>
        <w:t>People v. Tapia</w:t>
      </w:r>
      <w:r>
        <w:t xml:space="preserve">, </w:t>
      </w:r>
      <w:r>
        <w:rPr>
          <w:i/>
        </w:rPr>
        <w:t>supra</w:t>
      </w:r>
      <w:r>
        <w:t xml:space="preserve">, 26 Cal.App.5th at p. 948.)  While the majority opinion notes this fact (maj. opn., </w:t>
      </w:r>
      <w:r>
        <w:rPr>
          <w:i/>
        </w:rPr>
        <w:t>ante</w:t>
      </w:r>
      <w:r>
        <w:t xml:space="preserve">, p. 20) and presumably would give some degree of deference to the trial court’s factual findings in such a case, that deference still would not be the equivalent of the substantial evidence standard applied in </w:t>
      </w:r>
      <w:r>
        <w:rPr>
          <w:i/>
        </w:rPr>
        <w:t>Tapia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0EF4" w14:textId="7D6BF8CC" w:rsidR="009F1AEE" w:rsidRDefault="009F1AEE">
    <w:pPr>
      <w:pStyle w:val="Header"/>
    </w:pPr>
    <w:r>
      <w:t>PEOPLE v. VIVAR</w:t>
    </w:r>
  </w:p>
  <w:p w14:paraId="32349EEC" w14:textId="4ACF562D" w:rsidR="009F1AEE" w:rsidRDefault="009F1AEE">
    <w:pPr>
      <w:pStyle w:val="Header"/>
    </w:pPr>
    <w:r>
      <w:t>Opinion of the Court by Cuéllar, J.</w:t>
    </w:r>
  </w:p>
  <w:p w14:paraId="0F29DA3C" w14:textId="77777777" w:rsidR="009F1AEE" w:rsidRDefault="009F1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BDCF" w14:textId="77777777" w:rsidR="00057036" w:rsidRDefault="00057036">
    <w:pPr>
      <w:pStyle w:val="Header"/>
    </w:pPr>
    <w:r>
      <w:t>PEOPLE v. VIVAR</w:t>
    </w:r>
  </w:p>
  <w:p w14:paraId="00167336" w14:textId="5E0ACAFD" w:rsidR="00057036" w:rsidRDefault="00057036">
    <w:pPr>
      <w:pStyle w:val="Header"/>
    </w:pPr>
    <w:r>
      <w:t xml:space="preserve">Corrigan, J., concurring and </w:t>
    </w:r>
    <w:proofErr w:type="gramStart"/>
    <w:r>
      <w:t>dissenting</w:t>
    </w:r>
    <w:proofErr w:type="gramEnd"/>
  </w:p>
  <w:p w14:paraId="784E9D41" w14:textId="77777777" w:rsidR="00057036" w:rsidRDefault="0005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8FCB" w14:textId="77777777" w:rsidR="000631FA" w:rsidRDefault="005F6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D11" w14:textId="77777777" w:rsidR="000631FA" w:rsidRDefault="005F65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A54A" w14:textId="77777777" w:rsidR="000631FA" w:rsidRDefault="005F6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6C"/>
    <w:rsid w:val="000024B9"/>
    <w:rsid w:val="00002A8B"/>
    <w:rsid w:val="00002DAA"/>
    <w:rsid w:val="00003AED"/>
    <w:rsid w:val="0000736A"/>
    <w:rsid w:val="00007D1F"/>
    <w:rsid w:val="0001287C"/>
    <w:rsid w:val="00015B71"/>
    <w:rsid w:val="00021628"/>
    <w:rsid w:val="0002181D"/>
    <w:rsid w:val="00030D66"/>
    <w:rsid w:val="000314E9"/>
    <w:rsid w:val="000326F1"/>
    <w:rsid w:val="00032801"/>
    <w:rsid w:val="00034F7C"/>
    <w:rsid w:val="000354F0"/>
    <w:rsid w:val="0003671A"/>
    <w:rsid w:val="000367C9"/>
    <w:rsid w:val="00040059"/>
    <w:rsid w:val="00040CCA"/>
    <w:rsid w:val="000413E1"/>
    <w:rsid w:val="00042BB0"/>
    <w:rsid w:val="00042F0B"/>
    <w:rsid w:val="00043105"/>
    <w:rsid w:val="00051063"/>
    <w:rsid w:val="00052A6F"/>
    <w:rsid w:val="00052E40"/>
    <w:rsid w:val="0005392B"/>
    <w:rsid w:val="00054EDA"/>
    <w:rsid w:val="00055AE2"/>
    <w:rsid w:val="00057036"/>
    <w:rsid w:val="0006030F"/>
    <w:rsid w:val="0006145D"/>
    <w:rsid w:val="000630AB"/>
    <w:rsid w:val="0006469E"/>
    <w:rsid w:val="00064BA5"/>
    <w:rsid w:val="000650F7"/>
    <w:rsid w:val="00066135"/>
    <w:rsid w:val="00071787"/>
    <w:rsid w:val="00073701"/>
    <w:rsid w:val="0007633E"/>
    <w:rsid w:val="00076C98"/>
    <w:rsid w:val="0007720A"/>
    <w:rsid w:val="000803C5"/>
    <w:rsid w:val="00080A8E"/>
    <w:rsid w:val="0008254E"/>
    <w:rsid w:val="00087800"/>
    <w:rsid w:val="000915D2"/>
    <w:rsid w:val="000A104A"/>
    <w:rsid w:val="000A395C"/>
    <w:rsid w:val="000A694F"/>
    <w:rsid w:val="000B2E16"/>
    <w:rsid w:val="000B4356"/>
    <w:rsid w:val="000B507A"/>
    <w:rsid w:val="000B6E8D"/>
    <w:rsid w:val="000B797B"/>
    <w:rsid w:val="000C11A6"/>
    <w:rsid w:val="000C15A6"/>
    <w:rsid w:val="000C2729"/>
    <w:rsid w:val="000C6131"/>
    <w:rsid w:val="000C63B5"/>
    <w:rsid w:val="000C745B"/>
    <w:rsid w:val="000D00C9"/>
    <w:rsid w:val="000D1EE0"/>
    <w:rsid w:val="000D47B8"/>
    <w:rsid w:val="000D4911"/>
    <w:rsid w:val="000D7844"/>
    <w:rsid w:val="000E0A43"/>
    <w:rsid w:val="000E0B44"/>
    <w:rsid w:val="000E2582"/>
    <w:rsid w:val="000E743D"/>
    <w:rsid w:val="000E7CD1"/>
    <w:rsid w:val="000F4962"/>
    <w:rsid w:val="00106C26"/>
    <w:rsid w:val="00112388"/>
    <w:rsid w:val="00112CCB"/>
    <w:rsid w:val="00113565"/>
    <w:rsid w:val="00114C50"/>
    <w:rsid w:val="0011565D"/>
    <w:rsid w:val="001160DF"/>
    <w:rsid w:val="0012173D"/>
    <w:rsid w:val="00121758"/>
    <w:rsid w:val="00126A2A"/>
    <w:rsid w:val="00127059"/>
    <w:rsid w:val="00132930"/>
    <w:rsid w:val="001343D1"/>
    <w:rsid w:val="00134A0F"/>
    <w:rsid w:val="00134C6F"/>
    <w:rsid w:val="0014092E"/>
    <w:rsid w:val="00141020"/>
    <w:rsid w:val="001418C5"/>
    <w:rsid w:val="00144095"/>
    <w:rsid w:val="00147D0B"/>
    <w:rsid w:val="001519FB"/>
    <w:rsid w:val="0015433C"/>
    <w:rsid w:val="00155562"/>
    <w:rsid w:val="00156B49"/>
    <w:rsid w:val="00161502"/>
    <w:rsid w:val="001619B2"/>
    <w:rsid w:val="001630AE"/>
    <w:rsid w:val="00163559"/>
    <w:rsid w:val="0016404F"/>
    <w:rsid w:val="00164280"/>
    <w:rsid w:val="00165812"/>
    <w:rsid w:val="001671A7"/>
    <w:rsid w:val="001708CC"/>
    <w:rsid w:val="00171394"/>
    <w:rsid w:val="00171933"/>
    <w:rsid w:val="00171B2E"/>
    <w:rsid w:val="00174243"/>
    <w:rsid w:val="001744A9"/>
    <w:rsid w:val="00176647"/>
    <w:rsid w:val="001766E4"/>
    <w:rsid w:val="0018083F"/>
    <w:rsid w:val="0018709B"/>
    <w:rsid w:val="001870ED"/>
    <w:rsid w:val="0019169E"/>
    <w:rsid w:val="00194233"/>
    <w:rsid w:val="00197416"/>
    <w:rsid w:val="001974CF"/>
    <w:rsid w:val="0019756B"/>
    <w:rsid w:val="001A1385"/>
    <w:rsid w:val="001A3968"/>
    <w:rsid w:val="001A5B91"/>
    <w:rsid w:val="001B0985"/>
    <w:rsid w:val="001B0FBD"/>
    <w:rsid w:val="001B156E"/>
    <w:rsid w:val="001B344D"/>
    <w:rsid w:val="001B4438"/>
    <w:rsid w:val="001B5076"/>
    <w:rsid w:val="001B7753"/>
    <w:rsid w:val="001C1A47"/>
    <w:rsid w:val="001C1F1A"/>
    <w:rsid w:val="001C2A14"/>
    <w:rsid w:val="001C2D39"/>
    <w:rsid w:val="001C428F"/>
    <w:rsid w:val="001C53C4"/>
    <w:rsid w:val="001C71DE"/>
    <w:rsid w:val="001C7948"/>
    <w:rsid w:val="001D1C43"/>
    <w:rsid w:val="001D3CF1"/>
    <w:rsid w:val="001D3E06"/>
    <w:rsid w:val="001D4AD8"/>
    <w:rsid w:val="001D4E4B"/>
    <w:rsid w:val="001D638F"/>
    <w:rsid w:val="001D7857"/>
    <w:rsid w:val="001E0658"/>
    <w:rsid w:val="001E0DAD"/>
    <w:rsid w:val="001E16E8"/>
    <w:rsid w:val="001E374F"/>
    <w:rsid w:val="001E3D8E"/>
    <w:rsid w:val="001E4C02"/>
    <w:rsid w:val="001E59AB"/>
    <w:rsid w:val="001E736B"/>
    <w:rsid w:val="001F179D"/>
    <w:rsid w:val="001F26A9"/>
    <w:rsid w:val="001F47EE"/>
    <w:rsid w:val="001F6502"/>
    <w:rsid w:val="00200F97"/>
    <w:rsid w:val="00201098"/>
    <w:rsid w:val="002021C6"/>
    <w:rsid w:val="0020325A"/>
    <w:rsid w:val="00207D5C"/>
    <w:rsid w:val="00207F17"/>
    <w:rsid w:val="00211954"/>
    <w:rsid w:val="00213467"/>
    <w:rsid w:val="00215022"/>
    <w:rsid w:val="002152B2"/>
    <w:rsid w:val="002168DF"/>
    <w:rsid w:val="002209A5"/>
    <w:rsid w:val="0022155C"/>
    <w:rsid w:val="002218EE"/>
    <w:rsid w:val="0022451D"/>
    <w:rsid w:val="0022477C"/>
    <w:rsid w:val="00225D78"/>
    <w:rsid w:val="002260F8"/>
    <w:rsid w:val="00230BAF"/>
    <w:rsid w:val="00230CB0"/>
    <w:rsid w:val="00231576"/>
    <w:rsid w:val="00232436"/>
    <w:rsid w:val="0023341E"/>
    <w:rsid w:val="002336F6"/>
    <w:rsid w:val="002341C7"/>
    <w:rsid w:val="00235B1B"/>
    <w:rsid w:val="0023724F"/>
    <w:rsid w:val="0024134A"/>
    <w:rsid w:val="00241616"/>
    <w:rsid w:val="00246E52"/>
    <w:rsid w:val="002471A5"/>
    <w:rsid w:val="00251EF3"/>
    <w:rsid w:val="00257B01"/>
    <w:rsid w:val="00260135"/>
    <w:rsid w:val="002604E1"/>
    <w:rsid w:val="002627DA"/>
    <w:rsid w:val="002639E4"/>
    <w:rsid w:val="00263A8F"/>
    <w:rsid w:val="002641C4"/>
    <w:rsid w:val="00265902"/>
    <w:rsid w:val="00267E80"/>
    <w:rsid w:val="00271264"/>
    <w:rsid w:val="00272DA1"/>
    <w:rsid w:val="00275EA5"/>
    <w:rsid w:val="00276D42"/>
    <w:rsid w:val="00285CEC"/>
    <w:rsid w:val="00293CEA"/>
    <w:rsid w:val="00294610"/>
    <w:rsid w:val="002947F2"/>
    <w:rsid w:val="002949DB"/>
    <w:rsid w:val="00295448"/>
    <w:rsid w:val="00295E42"/>
    <w:rsid w:val="002A11C7"/>
    <w:rsid w:val="002A341F"/>
    <w:rsid w:val="002A3956"/>
    <w:rsid w:val="002A5D0A"/>
    <w:rsid w:val="002A6FA3"/>
    <w:rsid w:val="002B084C"/>
    <w:rsid w:val="002B16BF"/>
    <w:rsid w:val="002B26A7"/>
    <w:rsid w:val="002B2CA1"/>
    <w:rsid w:val="002B49BF"/>
    <w:rsid w:val="002B6B81"/>
    <w:rsid w:val="002B755E"/>
    <w:rsid w:val="002C223E"/>
    <w:rsid w:val="002C26EC"/>
    <w:rsid w:val="002C3BD2"/>
    <w:rsid w:val="002C45F4"/>
    <w:rsid w:val="002C70B6"/>
    <w:rsid w:val="002C7C1B"/>
    <w:rsid w:val="002D1C96"/>
    <w:rsid w:val="002D2007"/>
    <w:rsid w:val="002D25BC"/>
    <w:rsid w:val="002D3697"/>
    <w:rsid w:val="002D59D9"/>
    <w:rsid w:val="002D71AE"/>
    <w:rsid w:val="002E0457"/>
    <w:rsid w:val="002E58C5"/>
    <w:rsid w:val="002E5916"/>
    <w:rsid w:val="002E5B99"/>
    <w:rsid w:val="002F1B83"/>
    <w:rsid w:val="002F2742"/>
    <w:rsid w:val="002F3FBE"/>
    <w:rsid w:val="00300C88"/>
    <w:rsid w:val="003021FB"/>
    <w:rsid w:val="003059E4"/>
    <w:rsid w:val="003136A5"/>
    <w:rsid w:val="0031454F"/>
    <w:rsid w:val="003149A3"/>
    <w:rsid w:val="00317AAB"/>
    <w:rsid w:val="003226B4"/>
    <w:rsid w:val="0033088D"/>
    <w:rsid w:val="00331734"/>
    <w:rsid w:val="003320B5"/>
    <w:rsid w:val="003361F8"/>
    <w:rsid w:val="0033661C"/>
    <w:rsid w:val="003403EC"/>
    <w:rsid w:val="0034185B"/>
    <w:rsid w:val="003425F7"/>
    <w:rsid w:val="0034313D"/>
    <w:rsid w:val="00345764"/>
    <w:rsid w:val="00346C98"/>
    <w:rsid w:val="00347DE6"/>
    <w:rsid w:val="003518A0"/>
    <w:rsid w:val="00353374"/>
    <w:rsid w:val="003571CB"/>
    <w:rsid w:val="003576A5"/>
    <w:rsid w:val="00361101"/>
    <w:rsid w:val="00361FFC"/>
    <w:rsid w:val="00365609"/>
    <w:rsid w:val="00366208"/>
    <w:rsid w:val="00367183"/>
    <w:rsid w:val="00374134"/>
    <w:rsid w:val="003776CF"/>
    <w:rsid w:val="00380461"/>
    <w:rsid w:val="0038189D"/>
    <w:rsid w:val="00385DCE"/>
    <w:rsid w:val="00387C29"/>
    <w:rsid w:val="00392949"/>
    <w:rsid w:val="003939DB"/>
    <w:rsid w:val="003A0B2F"/>
    <w:rsid w:val="003A52C3"/>
    <w:rsid w:val="003A5D0E"/>
    <w:rsid w:val="003A7273"/>
    <w:rsid w:val="003A7707"/>
    <w:rsid w:val="003B0282"/>
    <w:rsid w:val="003B1327"/>
    <w:rsid w:val="003B23FA"/>
    <w:rsid w:val="003B4873"/>
    <w:rsid w:val="003B5E19"/>
    <w:rsid w:val="003B63D3"/>
    <w:rsid w:val="003C14AA"/>
    <w:rsid w:val="003C1680"/>
    <w:rsid w:val="003C3CDB"/>
    <w:rsid w:val="003C4D3E"/>
    <w:rsid w:val="003C52E0"/>
    <w:rsid w:val="003D174A"/>
    <w:rsid w:val="003D2C0E"/>
    <w:rsid w:val="003D3478"/>
    <w:rsid w:val="003D5EC6"/>
    <w:rsid w:val="003E23B8"/>
    <w:rsid w:val="003E2720"/>
    <w:rsid w:val="003E3BA2"/>
    <w:rsid w:val="003E4355"/>
    <w:rsid w:val="003E4378"/>
    <w:rsid w:val="003E498D"/>
    <w:rsid w:val="003E52E2"/>
    <w:rsid w:val="003E6293"/>
    <w:rsid w:val="003E6E72"/>
    <w:rsid w:val="003E6EE5"/>
    <w:rsid w:val="003F065F"/>
    <w:rsid w:val="003F0957"/>
    <w:rsid w:val="003F1220"/>
    <w:rsid w:val="003F18C5"/>
    <w:rsid w:val="003F6B61"/>
    <w:rsid w:val="00400E5D"/>
    <w:rsid w:val="00404F88"/>
    <w:rsid w:val="00406E6E"/>
    <w:rsid w:val="004134BC"/>
    <w:rsid w:val="00413F5E"/>
    <w:rsid w:val="00414030"/>
    <w:rsid w:val="004144E9"/>
    <w:rsid w:val="004148A8"/>
    <w:rsid w:val="00417D33"/>
    <w:rsid w:val="00420CF7"/>
    <w:rsid w:val="00421EA6"/>
    <w:rsid w:val="0042319E"/>
    <w:rsid w:val="00426078"/>
    <w:rsid w:val="00426A8F"/>
    <w:rsid w:val="00426D29"/>
    <w:rsid w:val="0042712A"/>
    <w:rsid w:val="00430454"/>
    <w:rsid w:val="004307E8"/>
    <w:rsid w:val="004317A0"/>
    <w:rsid w:val="00431F30"/>
    <w:rsid w:val="00432752"/>
    <w:rsid w:val="0043339F"/>
    <w:rsid w:val="00435E55"/>
    <w:rsid w:val="00444273"/>
    <w:rsid w:val="00445235"/>
    <w:rsid w:val="0044620D"/>
    <w:rsid w:val="00446ABF"/>
    <w:rsid w:val="0045358C"/>
    <w:rsid w:val="00454062"/>
    <w:rsid w:val="0045774F"/>
    <w:rsid w:val="0046121F"/>
    <w:rsid w:val="00461544"/>
    <w:rsid w:val="004666CC"/>
    <w:rsid w:val="00472557"/>
    <w:rsid w:val="004725A7"/>
    <w:rsid w:val="00474034"/>
    <w:rsid w:val="00476089"/>
    <w:rsid w:val="00476415"/>
    <w:rsid w:val="00480B7C"/>
    <w:rsid w:val="004840E4"/>
    <w:rsid w:val="00484D51"/>
    <w:rsid w:val="00485B2A"/>
    <w:rsid w:val="00487B91"/>
    <w:rsid w:val="00493175"/>
    <w:rsid w:val="00493DC2"/>
    <w:rsid w:val="00494282"/>
    <w:rsid w:val="00494502"/>
    <w:rsid w:val="00494D51"/>
    <w:rsid w:val="0049565F"/>
    <w:rsid w:val="00497F77"/>
    <w:rsid w:val="004A0DA9"/>
    <w:rsid w:val="004A1446"/>
    <w:rsid w:val="004A541B"/>
    <w:rsid w:val="004A5833"/>
    <w:rsid w:val="004A68DD"/>
    <w:rsid w:val="004B2A7F"/>
    <w:rsid w:val="004B2BDF"/>
    <w:rsid w:val="004B3BD2"/>
    <w:rsid w:val="004B426C"/>
    <w:rsid w:val="004B5899"/>
    <w:rsid w:val="004C1190"/>
    <w:rsid w:val="004C127B"/>
    <w:rsid w:val="004C206C"/>
    <w:rsid w:val="004C212D"/>
    <w:rsid w:val="004C3F4F"/>
    <w:rsid w:val="004C6F9A"/>
    <w:rsid w:val="004C74D6"/>
    <w:rsid w:val="004D187E"/>
    <w:rsid w:val="004D1DA4"/>
    <w:rsid w:val="004D2F4B"/>
    <w:rsid w:val="004D3C19"/>
    <w:rsid w:val="004D42D3"/>
    <w:rsid w:val="004D4658"/>
    <w:rsid w:val="004D473F"/>
    <w:rsid w:val="004D49CB"/>
    <w:rsid w:val="004D4A20"/>
    <w:rsid w:val="004D52A2"/>
    <w:rsid w:val="004D57CB"/>
    <w:rsid w:val="004D6887"/>
    <w:rsid w:val="004E12CA"/>
    <w:rsid w:val="004E1855"/>
    <w:rsid w:val="004E4E01"/>
    <w:rsid w:val="004E50B2"/>
    <w:rsid w:val="004E5B0C"/>
    <w:rsid w:val="004F17B2"/>
    <w:rsid w:val="004F61A7"/>
    <w:rsid w:val="004F64FA"/>
    <w:rsid w:val="00501189"/>
    <w:rsid w:val="005016C1"/>
    <w:rsid w:val="00501B18"/>
    <w:rsid w:val="005023B7"/>
    <w:rsid w:val="0050253E"/>
    <w:rsid w:val="00503FE3"/>
    <w:rsid w:val="00504162"/>
    <w:rsid w:val="00505286"/>
    <w:rsid w:val="0050551C"/>
    <w:rsid w:val="005055D4"/>
    <w:rsid w:val="00506D93"/>
    <w:rsid w:val="0050783C"/>
    <w:rsid w:val="005100B1"/>
    <w:rsid w:val="005120E9"/>
    <w:rsid w:val="005145C4"/>
    <w:rsid w:val="00515554"/>
    <w:rsid w:val="00516E3F"/>
    <w:rsid w:val="005203B3"/>
    <w:rsid w:val="00520B9E"/>
    <w:rsid w:val="00520CB3"/>
    <w:rsid w:val="00521DBE"/>
    <w:rsid w:val="00526424"/>
    <w:rsid w:val="00527E28"/>
    <w:rsid w:val="00531201"/>
    <w:rsid w:val="005346FA"/>
    <w:rsid w:val="005355E4"/>
    <w:rsid w:val="00536D9C"/>
    <w:rsid w:val="0054286D"/>
    <w:rsid w:val="00546935"/>
    <w:rsid w:val="00547B73"/>
    <w:rsid w:val="005554EE"/>
    <w:rsid w:val="005616F4"/>
    <w:rsid w:val="00561AA9"/>
    <w:rsid w:val="0056694F"/>
    <w:rsid w:val="005676FC"/>
    <w:rsid w:val="00567D08"/>
    <w:rsid w:val="005704FE"/>
    <w:rsid w:val="0057310C"/>
    <w:rsid w:val="00574207"/>
    <w:rsid w:val="00574333"/>
    <w:rsid w:val="00575E93"/>
    <w:rsid w:val="005772DC"/>
    <w:rsid w:val="00577FEA"/>
    <w:rsid w:val="0058425B"/>
    <w:rsid w:val="00585F92"/>
    <w:rsid w:val="0059681E"/>
    <w:rsid w:val="005977DA"/>
    <w:rsid w:val="005A0488"/>
    <w:rsid w:val="005A35E0"/>
    <w:rsid w:val="005A7D85"/>
    <w:rsid w:val="005A7EB3"/>
    <w:rsid w:val="005B40AB"/>
    <w:rsid w:val="005B4750"/>
    <w:rsid w:val="005B59D0"/>
    <w:rsid w:val="005C0C00"/>
    <w:rsid w:val="005C0D2A"/>
    <w:rsid w:val="005C122D"/>
    <w:rsid w:val="005C1FA8"/>
    <w:rsid w:val="005C2D6F"/>
    <w:rsid w:val="005C40D6"/>
    <w:rsid w:val="005C5D58"/>
    <w:rsid w:val="005D0520"/>
    <w:rsid w:val="005D3469"/>
    <w:rsid w:val="005D566E"/>
    <w:rsid w:val="005E09DA"/>
    <w:rsid w:val="005E1707"/>
    <w:rsid w:val="005E199E"/>
    <w:rsid w:val="005E1E76"/>
    <w:rsid w:val="005E201E"/>
    <w:rsid w:val="005E348D"/>
    <w:rsid w:val="005E44C3"/>
    <w:rsid w:val="005E5258"/>
    <w:rsid w:val="005E6AD6"/>
    <w:rsid w:val="005F20FF"/>
    <w:rsid w:val="005F2B66"/>
    <w:rsid w:val="005F2EA1"/>
    <w:rsid w:val="005F595D"/>
    <w:rsid w:val="005F6227"/>
    <w:rsid w:val="005F796C"/>
    <w:rsid w:val="005F7C9B"/>
    <w:rsid w:val="005F7EB2"/>
    <w:rsid w:val="00606587"/>
    <w:rsid w:val="00610E1F"/>
    <w:rsid w:val="00611858"/>
    <w:rsid w:val="0061432F"/>
    <w:rsid w:val="00614AFE"/>
    <w:rsid w:val="00617D35"/>
    <w:rsid w:val="00620264"/>
    <w:rsid w:val="00621E32"/>
    <w:rsid w:val="00622174"/>
    <w:rsid w:val="00624510"/>
    <w:rsid w:val="006254DB"/>
    <w:rsid w:val="00625AF5"/>
    <w:rsid w:val="00627C7B"/>
    <w:rsid w:val="00631878"/>
    <w:rsid w:val="0063293D"/>
    <w:rsid w:val="0063327E"/>
    <w:rsid w:val="00633982"/>
    <w:rsid w:val="00634380"/>
    <w:rsid w:val="006365CC"/>
    <w:rsid w:val="00640736"/>
    <w:rsid w:val="00640C35"/>
    <w:rsid w:val="00643A5D"/>
    <w:rsid w:val="00645427"/>
    <w:rsid w:val="006454EB"/>
    <w:rsid w:val="00645E6E"/>
    <w:rsid w:val="00650A11"/>
    <w:rsid w:val="00650EDA"/>
    <w:rsid w:val="00651C8C"/>
    <w:rsid w:val="00651E56"/>
    <w:rsid w:val="00654FE2"/>
    <w:rsid w:val="0065632E"/>
    <w:rsid w:val="006563D6"/>
    <w:rsid w:val="00660251"/>
    <w:rsid w:val="00661C1D"/>
    <w:rsid w:val="00663452"/>
    <w:rsid w:val="00663964"/>
    <w:rsid w:val="00664954"/>
    <w:rsid w:val="006651E1"/>
    <w:rsid w:val="00665E09"/>
    <w:rsid w:val="006726A9"/>
    <w:rsid w:val="00674850"/>
    <w:rsid w:val="0068029C"/>
    <w:rsid w:val="006805FE"/>
    <w:rsid w:val="00680D65"/>
    <w:rsid w:val="006816DB"/>
    <w:rsid w:val="00681F13"/>
    <w:rsid w:val="0068408C"/>
    <w:rsid w:val="00684204"/>
    <w:rsid w:val="006861D0"/>
    <w:rsid w:val="006863EA"/>
    <w:rsid w:val="00692451"/>
    <w:rsid w:val="00694260"/>
    <w:rsid w:val="0069524D"/>
    <w:rsid w:val="00695EA9"/>
    <w:rsid w:val="006A02E6"/>
    <w:rsid w:val="006A1FD2"/>
    <w:rsid w:val="006A2823"/>
    <w:rsid w:val="006A4486"/>
    <w:rsid w:val="006A4573"/>
    <w:rsid w:val="006B0514"/>
    <w:rsid w:val="006B0940"/>
    <w:rsid w:val="006B0D9C"/>
    <w:rsid w:val="006B1351"/>
    <w:rsid w:val="006B17FE"/>
    <w:rsid w:val="006B199A"/>
    <w:rsid w:val="006B5F22"/>
    <w:rsid w:val="006B6BD9"/>
    <w:rsid w:val="006B752A"/>
    <w:rsid w:val="006C14ED"/>
    <w:rsid w:val="006C2BE3"/>
    <w:rsid w:val="006C3631"/>
    <w:rsid w:val="006C4CBC"/>
    <w:rsid w:val="006C716D"/>
    <w:rsid w:val="006D1282"/>
    <w:rsid w:val="006D1592"/>
    <w:rsid w:val="006D20A9"/>
    <w:rsid w:val="006D30FB"/>
    <w:rsid w:val="006D44BB"/>
    <w:rsid w:val="006D61C9"/>
    <w:rsid w:val="006D691D"/>
    <w:rsid w:val="006E0658"/>
    <w:rsid w:val="006E2E67"/>
    <w:rsid w:val="006E35D2"/>
    <w:rsid w:val="006E493C"/>
    <w:rsid w:val="006E49F8"/>
    <w:rsid w:val="006E4AB8"/>
    <w:rsid w:val="006E5632"/>
    <w:rsid w:val="006E6DC4"/>
    <w:rsid w:val="006F1F47"/>
    <w:rsid w:val="006F2D2A"/>
    <w:rsid w:val="006F34CB"/>
    <w:rsid w:val="006F3B36"/>
    <w:rsid w:val="006F4059"/>
    <w:rsid w:val="006F5DBE"/>
    <w:rsid w:val="006F664F"/>
    <w:rsid w:val="006F7686"/>
    <w:rsid w:val="00701B84"/>
    <w:rsid w:val="0070312C"/>
    <w:rsid w:val="00703656"/>
    <w:rsid w:val="007039B1"/>
    <w:rsid w:val="00704499"/>
    <w:rsid w:val="0070460C"/>
    <w:rsid w:val="007049A3"/>
    <w:rsid w:val="00705892"/>
    <w:rsid w:val="007075B2"/>
    <w:rsid w:val="007106A3"/>
    <w:rsid w:val="00711911"/>
    <w:rsid w:val="00713648"/>
    <w:rsid w:val="00713A9C"/>
    <w:rsid w:val="00714ADE"/>
    <w:rsid w:val="007157BC"/>
    <w:rsid w:val="00716A44"/>
    <w:rsid w:val="007204A5"/>
    <w:rsid w:val="00721F24"/>
    <w:rsid w:val="007233E5"/>
    <w:rsid w:val="0072687E"/>
    <w:rsid w:val="00730AE7"/>
    <w:rsid w:val="007314B4"/>
    <w:rsid w:val="00731DA8"/>
    <w:rsid w:val="00736F11"/>
    <w:rsid w:val="00737D30"/>
    <w:rsid w:val="0074153B"/>
    <w:rsid w:val="007434DA"/>
    <w:rsid w:val="00744035"/>
    <w:rsid w:val="00744E98"/>
    <w:rsid w:val="00746E8E"/>
    <w:rsid w:val="00747194"/>
    <w:rsid w:val="00750149"/>
    <w:rsid w:val="00751CC8"/>
    <w:rsid w:val="00752402"/>
    <w:rsid w:val="0075397B"/>
    <w:rsid w:val="00755205"/>
    <w:rsid w:val="00756994"/>
    <w:rsid w:val="0076020D"/>
    <w:rsid w:val="00762275"/>
    <w:rsid w:val="00763FBF"/>
    <w:rsid w:val="0076575D"/>
    <w:rsid w:val="0076585F"/>
    <w:rsid w:val="00767396"/>
    <w:rsid w:val="00770B4B"/>
    <w:rsid w:val="00770DB7"/>
    <w:rsid w:val="00771B12"/>
    <w:rsid w:val="00772A0C"/>
    <w:rsid w:val="00774A0E"/>
    <w:rsid w:val="00774F94"/>
    <w:rsid w:val="00775AC8"/>
    <w:rsid w:val="00777254"/>
    <w:rsid w:val="00783180"/>
    <w:rsid w:val="00785AB8"/>
    <w:rsid w:val="007903A2"/>
    <w:rsid w:val="00794D10"/>
    <w:rsid w:val="00795C2C"/>
    <w:rsid w:val="00796732"/>
    <w:rsid w:val="007979CC"/>
    <w:rsid w:val="007A0D4C"/>
    <w:rsid w:val="007A3757"/>
    <w:rsid w:val="007A4D88"/>
    <w:rsid w:val="007A4E49"/>
    <w:rsid w:val="007A5725"/>
    <w:rsid w:val="007A621C"/>
    <w:rsid w:val="007B0361"/>
    <w:rsid w:val="007B1FBA"/>
    <w:rsid w:val="007B74FC"/>
    <w:rsid w:val="007C5861"/>
    <w:rsid w:val="007C6AE0"/>
    <w:rsid w:val="007D1685"/>
    <w:rsid w:val="007D2013"/>
    <w:rsid w:val="007D2149"/>
    <w:rsid w:val="007D478B"/>
    <w:rsid w:val="007D5A3C"/>
    <w:rsid w:val="007E0F57"/>
    <w:rsid w:val="007E1A50"/>
    <w:rsid w:val="007E1CBA"/>
    <w:rsid w:val="007E301E"/>
    <w:rsid w:val="007E67E9"/>
    <w:rsid w:val="007E6C03"/>
    <w:rsid w:val="007F31EB"/>
    <w:rsid w:val="007F6371"/>
    <w:rsid w:val="007F65E2"/>
    <w:rsid w:val="007F6B14"/>
    <w:rsid w:val="007F6D33"/>
    <w:rsid w:val="00800E13"/>
    <w:rsid w:val="008017F5"/>
    <w:rsid w:val="008023A9"/>
    <w:rsid w:val="008028F4"/>
    <w:rsid w:val="00803921"/>
    <w:rsid w:val="00805C47"/>
    <w:rsid w:val="00810443"/>
    <w:rsid w:val="00811D97"/>
    <w:rsid w:val="00820308"/>
    <w:rsid w:val="00820E17"/>
    <w:rsid w:val="008217B2"/>
    <w:rsid w:val="00821B5E"/>
    <w:rsid w:val="00825848"/>
    <w:rsid w:val="00825BFF"/>
    <w:rsid w:val="00827208"/>
    <w:rsid w:val="00827F1F"/>
    <w:rsid w:val="00830784"/>
    <w:rsid w:val="00832436"/>
    <w:rsid w:val="00836E10"/>
    <w:rsid w:val="0084069D"/>
    <w:rsid w:val="00840DC9"/>
    <w:rsid w:val="008414E8"/>
    <w:rsid w:val="00843809"/>
    <w:rsid w:val="0084393B"/>
    <w:rsid w:val="00845A55"/>
    <w:rsid w:val="00847629"/>
    <w:rsid w:val="0085101C"/>
    <w:rsid w:val="008524B8"/>
    <w:rsid w:val="008541AE"/>
    <w:rsid w:val="0085549D"/>
    <w:rsid w:val="00860180"/>
    <w:rsid w:val="00863E39"/>
    <w:rsid w:val="00864828"/>
    <w:rsid w:val="00865679"/>
    <w:rsid w:val="00872455"/>
    <w:rsid w:val="0087387F"/>
    <w:rsid w:val="00874F53"/>
    <w:rsid w:val="00877174"/>
    <w:rsid w:val="0087748D"/>
    <w:rsid w:val="00883E96"/>
    <w:rsid w:val="00886257"/>
    <w:rsid w:val="00886FE6"/>
    <w:rsid w:val="00890954"/>
    <w:rsid w:val="008909BB"/>
    <w:rsid w:val="00891339"/>
    <w:rsid w:val="00892206"/>
    <w:rsid w:val="00893471"/>
    <w:rsid w:val="00894060"/>
    <w:rsid w:val="00895103"/>
    <w:rsid w:val="008952D8"/>
    <w:rsid w:val="00896BDE"/>
    <w:rsid w:val="008A4235"/>
    <w:rsid w:val="008A55BC"/>
    <w:rsid w:val="008A59F6"/>
    <w:rsid w:val="008A61E2"/>
    <w:rsid w:val="008A7C67"/>
    <w:rsid w:val="008B261E"/>
    <w:rsid w:val="008B307F"/>
    <w:rsid w:val="008B3991"/>
    <w:rsid w:val="008B51FD"/>
    <w:rsid w:val="008C3036"/>
    <w:rsid w:val="008C30EA"/>
    <w:rsid w:val="008C4A30"/>
    <w:rsid w:val="008C6304"/>
    <w:rsid w:val="008D0892"/>
    <w:rsid w:val="008D157A"/>
    <w:rsid w:val="008D313B"/>
    <w:rsid w:val="008D3321"/>
    <w:rsid w:val="008D427E"/>
    <w:rsid w:val="008D4440"/>
    <w:rsid w:val="008D7BDB"/>
    <w:rsid w:val="008E035E"/>
    <w:rsid w:val="008F002A"/>
    <w:rsid w:val="008F0DC5"/>
    <w:rsid w:val="008F2E97"/>
    <w:rsid w:val="008F7025"/>
    <w:rsid w:val="008F7675"/>
    <w:rsid w:val="00902F49"/>
    <w:rsid w:val="00903F36"/>
    <w:rsid w:val="009069BA"/>
    <w:rsid w:val="00910BE5"/>
    <w:rsid w:val="00912DD5"/>
    <w:rsid w:val="0091797A"/>
    <w:rsid w:val="00920488"/>
    <w:rsid w:val="009228A2"/>
    <w:rsid w:val="00923040"/>
    <w:rsid w:val="00926850"/>
    <w:rsid w:val="00931164"/>
    <w:rsid w:val="00931AC8"/>
    <w:rsid w:val="00931F16"/>
    <w:rsid w:val="00940A02"/>
    <w:rsid w:val="009438B1"/>
    <w:rsid w:val="00944B89"/>
    <w:rsid w:val="00944EC6"/>
    <w:rsid w:val="009474C4"/>
    <w:rsid w:val="009477E5"/>
    <w:rsid w:val="0095172D"/>
    <w:rsid w:val="00952B36"/>
    <w:rsid w:val="00953C3A"/>
    <w:rsid w:val="00953E7F"/>
    <w:rsid w:val="00954A93"/>
    <w:rsid w:val="0095546F"/>
    <w:rsid w:val="009601D6"/>
    <w:rsid w:val="009606E3"/>
    <w:rsid w:val="00960D1F"/>
    <w:rsid w:val="009618D3"/>
    <w:rsid w:val="00961E9D"/>
    <w:rsid w:val="00962356"/>
    <w:rsid w:val="009642C5"/>
    <w:rsid w:val="00966C9D"/>
    <w:rsid w:val="00967957"/>
    <w:rsid w:val="009710E2"/>
    <w:rsid w:val="00974757"/>
    <w:rsid w:val="009757C5"/>
    <w:rsid w:val="009759E7"/>
    <w:rsid w:val="00976B69"/>
    <w:rsid w:val="00981F74"/>
    <w:rsid w:val="00982647"/>
    <w:rsid w:val="00982798"/>
    <w:rsid w:val="00984E27"/>
    <w:rsid w:val="00984EC5"/>
    <w:rsid w:val="00985C13"/>
    <w:rsid w:val="00987468"/>
    <w:rsid w:val="009877F0"/>
    <w:rsid w:val="00991875"/>
    <w:rsid w:val="00994E07"/>
    <w:rsid w:val="00995184"/>
    <w:rsid w:val="00997144"/>
    <w:rsid w:val="00997912"/>
    <w:rsid w:val="009A24E6"/>
    <w:rsid w:val="009B4791"/>
    <w:rsid w:val="009B6F13"/>
    <w:rsid w:val="009C0C78"/>
    <w:rsid w:val="009C35F5"/>
    <w:rsid w:val="009D2E61"/>
    <w:rsid w:val="009D47A1"/>
    <w:rsid w:val="009D5113"/>
    <w:rsid w:val="009D5358"/>
    <w:rsid w:val="009D6BF2"/>
    <w:rsid w:val="009D740C"/>
    <w:rsid w:val="009E0859"/>
    <w:rsid w:val="009E21EF"/>
    <w:rsid w:val="009F06D1"/>
    <w:rsid w:val="009F1AEE"/>
    <w:rsid w:val="009F4AD7"/>
    <w:rsid w:val="009F696D"/>
    <w:rsid w:val="009F75FF"/>
    <w:rsid w:val="00A014B4"/>
    <w:rsid w:val="00A02814"/>
    <w:rsid w:val="00A02929"/>
    <w:rsid w:val="00A02F7C"/>
    <w:rsid w:val="00A03C7D"/>
    <w:rsid w:val="00A069F5"/>
    <w:rsid w:val="00A06C46"/>
    <w:rsid w:val="00A109D3"/>
    <w:rsid w:val="00A15D60"/>
    <w:rsid w:val="00A15DD1"/>
    <w:rsid w:val="00A15E57"/>
    <w:rsid w:val="00A17270"/>
    <w:rsid w:val="00A21FE1"/>
    <w:rsid w:val="00A22C42"/>
    <w:rsid w:val="00A22DF6"/>
    <w:rsid w:val="00A2396A"/>
    <w:rsid w:val="00A24040"/>
    <w:rsid w:val="00A245F8"/>
    <w:rsid w:val="00A24A2F"/>
    <w:rsid w:val="00A2573F"/>
    <w:rsid w:val="00A257CF"/>
    <w:rsid w:val="00A27408"/>
    <w:rsid w:val="00A27775"/>
    <w:rsid w:val="00A3042B"/>
    <w:rsid w:val="00A32027"/>
    <w:rsid w:val="00A32A7B"/>
    <w:rsid w:val="00A32CAA"/>
    <w:rsid w:val="00A33266"/>
    <w:rsid w:val="00A347BE"/>
    <w:rsid w:val="00A3531A"/>
    <w:rsid w:val="00A358D1"/>
    <w:rsid w:val="00A35BE4"/>
    <w:rsid w:val="00A37F04"/>
    <w:rsid w:val="00A4190F"/>
    <w:rsid w:val="00A41B0B"/>
    <w:rsid w:val="00A44276"/>
    <w:rsid w:val="00A44516"/>
    <w:rsid w:val="00A44E83"/>
    <w:rsid w:val="00A4574A"/>
    <w:rsid w:val="00A461B8"/>
    <w:rsid w:val="00A46B47"/>
    <w:rsid w:val="00A47228"/>
    <w:rsid w:val="00A47A03"/>
    <w:rsid w:val="00A51B1C"/>
    <w:rsid w:val="00A526F1"/>
    <w:rsid w:val="00A5320A"/>
    <w:rsid w:val="00A554C6"/>
    <w:rsid w:val="00A60115"/>
    <w:rsid w:val="00A60191"/>
    <w:rsid w:val="00A6188D"/>
    <w:rsid w:val="00A653D0"/>
    <w:rsid w:val="00A65BCE"/>
    <w:rsid w:val="00A66E3D"/>
    <w:rsid w:val="00A718FB"/>
    <w:rsid w:val="00A804DD"/>
    <w:rsid w:val="00A817AF"/>
    <w:rsid w:val="00A822AD"/>
    <w:rsid w:val="00A83D42"/>
    <w:rsid w:val="00A8544C"/>
    <w:rsid w:val="00A862DC"/>
    <w:rsid w:val="00A87593"/>
    <w:rsid w:val="00A958BA"/>
    <w:rsid w:val="00A95DF6"/>
    <w:rsid w:val="00AA2401"/>
    <w:rsid w:val="00AA3DDC"/>
    <w:rsid w:val="00AA4AF1"/>
    <w:rsid w:val="00AA652E"/>
    <w:rsid w:val="00AB0495"/>
    <w:rsid w:val="00AB1A85"/>
    <w:rsid w:val="00AB37A9"/>
    <w:rsid w:val="00AB65F8"/>
    <w:rsid w:val="00AB6664"/>
    <w:rsid w:val="00AC3A9C"/>
    <w:rsid w:val="00AD09DB"/>
    <w:rsid w:val="00AD0DD2"/>
    <w:rsid w:val="00AD532A"/>
    <w:rsid w:val="00AD5623"/>
    <w:rsid w:val="00AD6019"/>
    <w:rsid w:val="00AD681C"/>
    <w:rsid w:val="00AE29E6"/>
    <w:rsid w:val="00AE3041"/>
    <w:rsid w:val="00AE37CE"/>
    <w:rsid w:val="00AE5314"/>
    <w:rsid w:val="00AE6364"/>
    <w:rsid w:val="00AE7E43"/>
    <w:rsid w:val="00AF2616"/>
    <w:rsid w:val="00AF37CA"/>
    <w:rsid w:val="00AF6B00"/>
    <w:rsid w:val="00B00B3F"/>
    <w:rsid w:val="00B02ADC"/>
    <w:rsid w:val="00B03B47"/>
    <w:rsid w:val="00B04915"/>
    <w:rsid w:val="00B04CC0"/>
    <w:rsid w:val="00B05098"/>
    <w:rsid w:val="00B067FA"/>
    <w:rsid w:val="00B11C24"/>
    <w:rsid w:val="00B13692"/>
    <w:rsid w:val="00B13C8C"/>
    <w:rsid w:val="00B142F9"/>
    <w:rsid w:val="00B14F4F"/>
    <w:rsid w:val="00B15901"/>
    <w:rsid w:val="00B17FBA"/>
    <w:rsid w:val="00B214F2"/>
    <w:rsid w:val="00B21CEC"/>
    <w:rsid w:val="00B2590C"/>
    <w:rsid w:val="00B25B79"/>
    <w:rsid w:val="00B27ED5"/>
    <w:rsid w:val="00B338AC"/>
    <w:rsid w:val="00B35520"/>
    <w:rsid w:val="00B35BA7"/>
    <w:rsid w:val="00B36695"/>
    <w:rsid w:val="00B3751D"/>
    <w:rsid w:val="00B37AB8"/>
    <w:rsid w:val="00B37EC8"/>
    <w:rsid w:val="00B41776"/>
    <w:rsid w:val="00B42713"/>
    <w:rsid w:val="00B52115"/>
    <w:rsid w:val="00B52139"/>
    <w:rsid w:val="00B5393C"/>
    <w:rsid w:val="00B53962"/>
    <w:rsid w:val="00B551C9"/>
    <w:rsid w:val="00B555EC"/>
    <w:rsid w:val="00B55AC8"/>
    <w:rsid w:val="00B56E8C"/>
    <w:rsid w:val="00B5719D"/>
    <w:rsid w:val="00B57A5A"/>
    <w:rsid w:val="00B60D08"/>
    <w:rsid w:val="00B62A8A"/>
    <w:rsid w:val="00B6309E"/>
    <w:rsid w:val="00B63343"/>
    <w:rsid w:val="00B634FD"/>
    <w:rsid w:val="00B63CFE"/>
    <w:rsid w:val="00B6799B"/>
    <w:rsid w:val="00B719D5"/>
    <w:rsid w:val="00B72073"/>
    <w:rsid w:val="00B72FA3"/>
    <w:rsid w:val="00B752D3"/>
    <w:rsid w:val="00B84B4F"/>
    <w:rsid w:val="00B86F43"/>
    <w:rsid w:val="00B8708D"/>
    <w:rsid w:val="00B8733B"/>
    <w:rsid w:val="00B8744A"/>
    <w:rsid w:val="00B910CC"/>
    <w:rsid w:val="00B94AA4"/>
    <w:rsid w:val="00B94BB3"/>
    <w:rsid w:val="00B951AA"/>
    <w:rsid w:val="00B95B2A"/>
    <w:rsid w:val="00BA24B9"/>
    <w:rsid w:val="00BA35B5"/>
    <w:rsid w:val="00BA7353"/>
    <w:rsid w:val="00BB3ECE"/>
    <w:rsid w:val="00BB6F06"/>
    <w:rsid w:val="00BB711B"/>
    <w:rsid w:val="00BB7B68"/>
    <w:rsid w:val="00BC45B6"/>
    <w:rsid w:val="00BC5396"/>
    <w:rsid w:val="00BC5755"/>
    <w:rsid w:val="00BC5872"/>
    <w:rsid w:val="00BD0063"/>
    <w:rsid w:val="00BD00AF"/>
    <w:rsid w:val="00BD23F1"/>
    <w:rsid w:val="00BD4BC0"/>
    <w:rsid w:val="00BE0C11"/>
    <w:rsid w:val="00BE2562"/>
    <w:rsid w:val="00BE3F17"/>
    <w:rsid w:val="00BE4383"/>
    <w:rsid w:val="00BE438D"/>
    <w:rsid w:val="00BE5D6B"/>
    <w:rsid w:val="00BF204B"/>
    <w:rsid w:val="00BF2F03"/>
    <w:rsid w:val="00BF6977"/>
    <w:rsid w:val="00BF71C6"/>
    <w:rsid w:val="00BF795B"/>
    <w:rsid w:val="00C03DA8"/>
    <w:rsid w:val="00C0469B"/>
    <w:rsid w:val="00C04B5B"/>
    <w:rsid w:val="00C07374"/>
    <w:rsid w:val="00C1340D"/>
    <w:rsid w:val="00C15F2D"/>
    <w:rsid w:val="00C16003"/>
    <w:rsid w:val="00C16427"/>
    <w:rsid w:val="00C22D2F"/>
    <w:rsid w:val="00C23B43"/>
    <w:rsid w:val="00C25133"/>
    <w:rsid w:val="00C259B5"/>
    <w:rsid w:val="00C277E0"/>
    <w:rsid w:val="00C3194B"/>
    <w:rsid w:val="00C31E26"/>
    <w:rsid w:val="00C32344"/>
    <w:rsid w:val="00C33C44"/>
    <w:rsid w:val="00C33CB3"/>
    <w:rsid w:val="00C3429D"/>
    <w:rsid w:val="00C3552C"/>
    <w:rsid w:val="00C35839"/>
    <w:rsid w:val="00C42C1C"/>
    <w:rsid w:val="00C42F51"/>
    <w:rsid w:val="00C43007"/>
    <w:rsid w:val="00C44B94"/>
    <w:rsid w:val="00C4646D"/>
    <w:rsid w:val="00C464EF"/>
    <w:rsid w:val="00C465C1"/>
    <w:rsid w:val="00C47AA4"/>
    <w:rsid w:val="00C50983"/>
    <w:rsid w:val="00C50DD4"/>
    <w:rsid w:val="00C52327"/>
    <w:rsid w:val="00C5744B"/>
    <w:rsid w:val="00C60C8B"/>
    <w:rsid w:val="00C62D7B"/>
    <w:rsid w:val="00C659B9"/>
    <w:rsid w:val="00C71855"/>
    <w:rsid w:val="00C72BAD"/>
    <w:rsid w:val="00C754A4"/>
    <w:rsid w:val="00C76D92"/>
    <w:rsid w:val="00C770A0"/>
    <w:rsid w:val="00C80696"/>
    <w:rsid w:val="00C81FD5"/>
    <w:rsid w:val="00C825C0"/>
    <w:rsid w:val="00C84C34"/>
    <w:rsid w:val="00C85EDC"/>
    <w:rsid w:val="00C86701"/>
    <w:rsid w:val="00C93520"/>
    <w:rsid w:val="00C93A31"/>
    <w:rsid w:val="00C971BC"/>
    <w:rsid w:val="00C9783E"/>
    <w:rsid w:val="00CA2C92"/>
    <w:rsid w:val="00CA3F93"/>
    <w:rsid w:val="00CA60E7"/>
    <w:rsid w:val="00CA7F1C"/>
    <w:rsid w:val="00CB0129"/>
    <w:rsid w:val="00CB11F5"/>
    <w:rsid w:val="00CB2107"/>
    <w:rsid w:val="00CB269B"/>
    <w:rsid w:val="00CB2720"/>
    <w:rsid w:val="00CB4B77"/>
    <w:rsid w:val="00CB54F5"/>
    <w:rsid w:val="00CC11AD"/>
    <w:rsid w:val="00CC224A"/>
    <w:rsid w:val="00CC2565"/>
    <w:rsid w:val="00CC2E07"/>
    <w:rsid w:val="00CC5CCF"/>
    <w:rsid w:val="00CC5E4B"/>
    <w:rsid w:val="00CD1BB3"/>
    <w:rsid w:val="00CD1F5E"/>
    <w:rsid w:val="00CD33FC"/>
    <w:rsid w:val="00CD4047"/>
    <w:rsid w:val="00CD5FA3"/>
    <w:rsid w:val="00CD63D4"/>
    <w:rsid w:val="00CE3781"/>
    <w:rsid w:val="00CE3C6B"/>
    <w:rsid w:val="00CE4EE9"/>
    <w:rsid w:val="00CE4F12"/>
    <w:rsid w:val="00CE6604"/>
    <w:rsid w:val="00CE70EB"/>
    <w:rsid w:val="00CE7F2F"/>
    <w:rsid w:val="00CF284A"/>
    <w:rsid w:val="00CF2D90"/>
    <w:rsid w:val="00CF32C3"/>
    <w:rsid w:val="00CF46B8"/>
    <w:rsid w:val="00CF5840"/>
    <w:rsid w:val="00CF70E5"/>
    <w:rsid w:val="00D00459"/>
    <w:rsid w:val="00D00718"/>
    <w:rsid w:val="00D02056"/>
    <w:rsid w:val="00D03CA1"/>
    <w:rsid w:val="00D049AB"/>
    <w:rsid w:val="00D052A8"/>
    <w:rsid w:val="00D113FB"/>
    <w:rsid w:val="00D13312"/>
    <w:rsid w:val="00D16DDD"/>
    <w:rsid w:val="00D21CE2"/>
    <w:rsid w:val="00D22669"/>
    <w:rsid w:val="00D236BA"/>
    <w:rsid w:val="00D26F9E"/>
    <w:rsid w:val="00D3173E"/>
    <w:rsid w:val="00D31E47"/>
    <w:rsid w:val="00D31FF9"/>
    <w:rsid w:val="00D323DC"/>
    <w:rsid w:val="00D32F01"/>
    <w:rsid w:val="00D33C53"/>
    <w:rsid w:val="00D34165"/>
    <w:rsid w:val="00D352F8"/>
    <w:rsid w:val="00D368D9"/>
    <w:rsid w:val="00D41003"/>
    <w:rsid w:val="00D417A7"/>
    <w:rsid w:val="00D41AD0"/>
    <w:rsid w:val="00D433E7"/>
    <w:rsid w:val="00D5007B"/>
    <w:rsid w:val="00D5108B"/>
    <w:rsid w:val="00D51B36"/>
    <w:rsid w:val="00D55F7F"/>
    <w:rsid w:val="00D56AB7"/>
    <w:rsid w:val="00D573E9"/>
    <w:rsid w:val="00D62405"/>
    <w:rsid w:val="00D63260"/>
    <w:rsid w:val="00D7048E"/>
    <w:rsid w:val="00D707FF"/>
    <w:rsid w:val="00D7175C"/>
    <w:rsid w:val="00D764A7"/>
    <w:rsid w:val="00D775C0"/>
    <w:rsid w:val="00D807FC"/>
    <w:rsid w:val="00D90A3C"/>
    <w:rsid w:val="00D91765"/>
    <w:rsid w:val="00D9242B"/>
    <w:rsid w:val="00D979EE"/>
    <w:rsid w:val="00DA2F0A"/>
    <w:rsid w:val="00DA5C09"/>
    <w:rsid w:val="00DA6782"/>
    <w:rsid w:val="00DA6E0A"/>
    <w:rsid w:val="00DB23BC"/>
    <w:rsid w:val="00DC44FE"/>
    <w:rsid w:val="00DC576E"/>
    <w:rsid w:val="00DC5BC8"/>
    <w:rsid w:val="00DD1F5B"/>
    <w:rsid w:val="00DD41F2"/>
    <w:rsid w:val="00DD6A05"/>
    <w:rsid w:val="00DE114F"/>
    <w:rsid w:val="00DE2094"/>
    <w:rsid w:val="00DE5213"/>
    <w:rsid w:val="00DF0FD0"/>
    <w:rsid w:val="00DF1FE6"/>
    <w:rsid w:val="00DF41CA"/>
    <w:rsid w:val="00DF41EE"/>
    <w:rsid w:val="00DF5383"/>
    <w:rsid w:val="00DF5F45"/>
    <w:rsid w:val="00DF68AC"/>
    <w:rsid w:val="00E00024"/>
    <w:rsid w:val="00E003F0"/>
    <w:rsid w:val="00E01CE1"/>
    <w:rsid w:val="00E0540B"/>
    <w:rsid w:val="00E0726D"/>
    <w:rsid w:val="00E075BC"/>
    <w:rsid w:val="00E1108D"/>
    <w:rsid w:val="00E115F6"/>
    <w:rsid w:val="00E116DE"/>
    <w:rsid w:val="00E12070"/>
    <w:rsid w:val="00E17FA0"/>
    <w:rsid w:val="00E251B8"/>
    <w:rsid w:val="00E254D2"/>
    <w:rsid w:val="00E25F2E"/>
    <w:rsid w:val="00E27E2C"/>
    <w:rsid w:val="00E27FDC"/>
    <w:rsid w:val="00E3158F"/>
    <w:rsid w:val="00E322D4"/>
    <w:rsid w:val="00E33F51"/>
    <w:rsid w:val="00E372B4"/>
    <w:rsid w:val="00E37EDF"/>
    <w:rsid w:val="00E42D3F"/>
    <w:rsid w:val="00E439C9"/>
    <w:rsid w:val="00E4631E"/>
    <w:rsid w:val="00E53458"/>
    <w:rsid w:val="00E53962"/>
    <w:rsid w:val="00E60020"/>
    <w:rsid w:val="00E6154E"/>
    <w:rsid w:val="00E61BF7"/>
    <w:rsid w:val="00E62D30"/>
    <w:rsid w:val="00E63C61"/>
    <w:rsid w:val="00E6412F"/>
    <w:rsid w:val="00E6540D"/>
    <w:rsid w:val="00E6564A"/>
    <w:rsid w:val="00E71CBC"/>
    <w:rsid w:val="00E73B40"/>
    <w:rsid w:val="00E74381"/>
    <w:rsid w:val="00E808F1"/>
    <w:rsid w:val="00E93FC3"/>
    <w:rsid w:val="00E9498F"/>
    <w:rsid w:val="00E9528E"/>
    <w:rsid w:val="00EA2AFA"/>
    <w:rsid w:val="00EA389F"/>
    <w:rsid w:val="00EA52D7"/>
    <w:rsid w:val="00EB1872"/>
    <w:rsid w:val="00EB18D9"/>
    <w:rsid w:val="00EB2E25"/>
    <w:rsid w:val="00EB3CB3"/>
    <w:rsid w:val="00EB4DDF"/>
    <w:rsid w:val="00EC0429"/>
    <w:rsid w:val="00EC06FB"/>
    <w:rsid w:val="00EC12B3"/>
    <w:rsid w:val="00EC1780"/>
    <w:rsid w:val="00EC22FA"/>
    <w:rsid w:val="00EC3321"/>
    <w:rsid w:val="00EC38BC"/>
    <w:rsid w:val="00EC3A54"/>
    <w:rsid w:val="00EC6FED"/>
    <w:rsid w:val="00EC7273"/>
    <w:rsid w:val="00ED0385"/>
    <w:rsid w:val="00ED1ED1"/>
    <w:rsid w:val="00ED3A0C"/>
    <w:rsid w:val="00ED57AC"/>
    <w:rsid w:val="00ED6666"/>
    <w:rsid w:val="00ED7975"/>
    <w:rsid w:val="00ED7EE8"/>
    <w:rsid w:val="00EE05E8"/>
    <w:rsid w:val="00EE0F64"/>
    <w:rsid w:val="00EE160A"/>
    <w:rsid w:val="00EE17A0"/>
    <w:rsid w:val="00EE241A"/>
    <w:rsid w:val="00EE4376"/>
    <w:rsid w:val="00EE43EA"/>
    <w:rsid w:val="00EE4466"/>
    <w:rsid w:val="00EE4C77"/>
    <w:rsid w:val="00EE566C"/>
    <w:rsid w:val="00EE6AA1"/>
    <w:rsid w:val="00EF020C"/>
    <w:rsid w:val="00EF25AF"/>
    <w:rsid w:val="00EF5D03"/>
    <w:rsid w:val="00EF77BE"/>
    <w:rsid w:val="00F007FB"/>
    <w:rsid w:val="00F009FB"/>
    <w:rsid w:val="00F01C5B"/>
    <w:rsid w:val="00F026B1"/>
    <w:rsid w:val="00F0452F"/>
    <w:rsid w:val="00F048AB"/>
    <w:rsid w:val="00F0668E"/>
    <w:rsid w:val="00F12091"/>
    <w:rsid w:val="00F132D5"/>
    <w:rsid w:val="00F16963"/>
    <w:rsid w:val="00F16B03"/>
    <w:rsid w:val="00F17A41"/>
    <w:rsid w:val="00F20608"/>
    <w:rsid w:val="00F20669"/>
    <w:rsid w:val="00F21D4A"/>
    <w:rsid w:val="00F23845"/>
    <w:rsid w:val="00F23B21"/>
    <w:rsid w:val="00F24A39"/>
    <w:rsid w:val="00F25EA8"/>
    <w:rsid w:val="00F25FE5"/>
    <w:rsid w:val="00F34EF5"/>
    <w:rsid w:val="00F37AA3"/>
    <w:rsid w:val="00F40882"/>
    <w:rsid w:val="00F417BF"/>
    <w:rsid w:val="00F424EF"/>
    <w:rsid w:val="00F43714"/>
    <w:rsid w:val="00F509D9"/>
    <w:rsid w:val="00F52F4E"/>
    <w:rsid w:val="00F53BB7"/>
    <w:rsid w:val="00F55094"/>
    <w:rsid w:val="00F574AF"/>
    <w:rsid w:val="00F6027D"/>
    <w:rsid w:val="00F625F0"/>
    <w:rsid w:val="00F63AB1"/>
    <w:rsid w:val="00F66F2A"/>
    <w:rsid w:val="00F67739"/>
    <w:rsid w:val="00F677B2"/>
    <w:rsid w:val="00F71830"/>
    <w:rsid w:val="00F74398"/>
    <w:rsid w:val="00F8120D"/>
    <w:rsid w:val="00F823ED"/>
    <w:rsid w:val="00F8552F"/>
    <w:rsid w:val="00F859F8"/>
    <w:rsid w:val="00F85CE3"/>
    <w:rsid w:val="00F863B3"/>
    <w:rsid w:val="00F9052F"/>
    <w:rsid w:val="00F93F89"/>
    <w:rsid w:val="00F9630A"/>
    <w:rsid w:val="00F97615"/>
    <w:rsid w:val="00F97F18"/>
    <w:rsid w:val="00FA0D4E"/>
    <w:rsid w:val="00FA2934"/>
    <w:rsid w:val="00FA384A"/>
    <w:rsid w:val="00FA3A49"/>
    <w:rsid w:val="00FA5A0C"/>
    <w:rsid w:val="00FB0455"/>
    <w:rsid w:val="00FB2CA8"/>
    <w:rsid w:val="00FB6CAE"/>
    <w:rsid w:val="00FB7503"/>
    <w:rsid w:val="00FC4FF5"/>
    <w:rsid w:val="00FC75EE"/>
    <w:rsid w:val="00FD0FDD"/>
    <w:rsid w:val="00FD19E5"/>
    <w:rsid w:val="00FD383A"/>
    <w:rsid w:val="00FD6304"/>
    <w:rsid w:val="00FE0873"/>
    <w:rsid w:val="00FE0B19"/>
    <w:rsid w:val="00FE2010"/>
    <w:rsid w:val="00FE2D30"/>
    <w:rsid w:val="00FE3357"/>
    <w:rsid w:val="00FF18CF"/>
    <w:rsid w:val="00FF211F"/>
    <w:rsid w:val="00FF21A1"/>
    <w:rsid w:val="00FF44DE"/>
    <w:rsid w:val="00FF55B4"/>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2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EE"/>
    <w:pPr>
      <w:spacing w:after="100" w:line="400" w:lineRule="exact"/>
      <w:jc w:val="both"/>
    </w:pPr>
    <w:rPr>
      <w:rFonts w:ascii="Century Schoolbook" w:hAnsi="Century Schoolbook"/>
      <w:sz w:val="27"/>
    </w:rPr>
  </w:style>
  <w:style w:type="paragraph" w:styleId="Heading1">
    <w:name w:val="heading 1"/>
    <w:basedOn w:val="Normal"/>
    <w:next w:val="Normal"/>
    <w:qFormat/>
    <w:rsid w:val="009F1AEE"/>
    <w:pPr>
      <w:keepNext/>
      <w:spacing w:before="140" w:line="240" w:lineRule="atLeast"/>
      <w:jc w:val="center"/>
      <w:outlineLvl w:val="0"/>
    </w:pPr>
    <w:rPr>
      <w:b/>
      <w:smallCaps/>
    </w:rPr>
  </w:style>
  <w:style w:type="paragraph" w:styleId="Heading2">
    <w:name w:val="heading 2"/>
    <w:basedOn w:val="Normal"/>
    <w:next w:val="Normal"/>
    <w:qFormat/>
    <w:rsid w:val="009F1AE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F1AEE"/>
    <w:pPr>
      <w:keepNext/>
      <w:tabs>
        <w:tab w:val="left" w:pos="1584"/>
      </w:tabs>
      <w:spacing w:before="140" w:line="240" w:lineRule="atLeast"/>
      <w:ind w:left="1584" w:hanging="432"/>
      <w:jc w:val="left"/>
      <w:outlineLvl w:val="2"/>
    </w:pPr>
    <w:rPr>
      <w:i/>
    </w:rPr>
  </w:style>
  <w:style w:type="paragraph" w:styleId="Heading4">
    <w:name w:val="heading 4"/>
    <w:basedOn w:val="Normal"/>
    <w:rsid w:val="009F1AEE"/>
    <w:pPr>
      <w:keepNext/>
      <w:tabs>
        <w:tab w:val="left" w:pos="2016"/>
      </w:tabs>
      <w:spacing w:before="140" w:line="240" w:lineRule="atLeast"/>
      <w:ind w:left="2016" w:hanging="432"/>
      <w:jc w:val="left"/>
      <w:outlineLvl w:val="3"/>
    </w:pPr>
    <w:rPr>
      <w:i/>
    </w:rPr>
  </w:style>
  <w:style w:type="paragraph" w:styleId="Heading5">
    <w:name w:val="heading 5"/>
    <w:basedOn w:val="Normal"/>
    <w:rsid w:val="009F1AE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F1AEE"/>
    <w:pPr>
      <w:ind w:left="720"/>
    </w:pPr>
  </w:style>
  <w:style w:type="paragraph" w:styleId="Footer">
    <w:name w:val="footer"/>
    <w:basedOn w:val="Normal"/>
    <w:qFormat/>
    <w:rsid w:val="009F1AEE"/>
    <w:pPr>
      <w:tabs>
        <w:tab w:val="center" w:pos="3960"/>
        <w:tab w:val="right" w:pos="10080"/>
      </w:tabs>
      <w:spacing w:after="0" w:line="240" w:lineRule="auto"/>
      <w:jc w:val="center"/>
    </w:pPr>
    <w:rPr>
      <w:sz w:val="22"/>
    </w:rPr>
  </w:style>
  <w:style w:type="paragraph" w:styleId="Header">
    <w:name w:val="header"/>
    <w:basedOn w:val="Normal"/>
    <w:qFormat/>
    <w:rsid w:val="009F1AE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F1AEE"/>
    <w:rPr>
      <w:rFonts w:ascii="Century Schoolbook" w:hAnsi="Century Schoolbook"/>
      <w:b/>
      <w:i w:val="0"/>
      <w:position w:val="4"/>
      <w:sz w:val="27"/>
      <w:vertAlign w:val="superscript"/>
    </w:rPr>
  </w:style>
  <w:style w:type="paragraph" w:styleId="FootnoteText">
    <w:name w:val="footnote text"/>
    <w:basedOn w:val="Normal"/>
    <w:rsid w:val="009F1AEE"/>
    <w:pPr>
      <w:spacing w:line="300" w:lineRule="exact"/>
    </w:pPr>
  </w:style>
  <w:style w:type="paragraph" w:customStyle="1" w:styleId="Title1">
    <w:name w:val="Title1"/>
    <w:basedOn w:val="Normal"/>
    <w:rsid w:val="009F1AEE"/>
    <w:pPr>
      <w:tabs>
        <w:tab w:val="left" w:pos="5760"/>
        <w:tab w:val="left" w:pos="6480"/>
      </w:tabs>
      <w:spacing w:line="240" w:lineRule="atLeast"/>
    </w:pPr>
  </w:style>
  <w:style w:type="paragraph" w:customStyle="1" w:styleId="Recommend">
    <w:name w:val="Recommend"/>
    <w:basedOn w:val="Normal"/>
    <w:rsid w:val="009F1AEE"/>
  </w:style>
  <w:style w:type="paragraph" w:customStyle="1" w:styleId="Summary">
    <w:name w:val="Summary"/>
    <w:basedOn w:val="Normal"/>
    <w:rsid w:val="009F1AEE"/>
    <w:pPr>
      <w:ind w:left="2160" w:hanging="2160"/>
    </w:pPr>
  </w:style>
  <w:style w:type="paragraph" w:customStyle="1" w:styleId="Text">
    <w:name w:val="Text"/>
    <w:basedOn w:val="Normal"/>
    <w:link w:val="TextChar"/>
    <w:rsid w:val="009F1AEE"/>
    <w:pPr>
      <w:tabs>
        <w:tab w:val="left" w:pos="720"/>
        <w:tab w:val="left" w:pos="1440"/>
        <w:tab w:val="left" w:pos="2160"/>
        <w:tab w:val="center" w:pos="4320"/>
      </w:tabs>
      <w:spacing w:line="480" w:lineRule="atLeast"/>
      <w:ind w:firstLine="540"/>
    </w:pPr>
  </w:style>
  <w:style w:type="paragraph" w:styleId="Date">
    <w:name w:val="Date"/>
    <w:basedOn w:val="Normal"/>
    <w:semiHidden/>
    <w:rsid w:val="009F1AEE"/>
    <w:pPr>
      <w:jc w:val="right"/>
    </w:pPr>
  </w:style>
  <w:style w:type="character" w:styleId="PageNumber">
    <w:name w:val="page number"/>
    <w:basedOn w:val="DefaultParagraphFont"/>
    <w:rsid w:val="00772A0C"/>
  </w:style>
  <w:style w:type="paragraph" w:customStyle="1" w:styleId="subject">
    <w:name w:val="subject"/>
    <w:basedOn w:val="Normal"/>
    <w:rsid w:val="009F1AEE"/>
    <w:pPr>
      <w:tabs>
        <w:tab w:val="left" w:pos="1008"/>
      </w:tabs>
      <w:ind w:left="990" w:hanging="990"/>
    </w:pPr>
    <w:rPr>
      <w:b/>
    </w:rPr>
  </w:style>
  <w:style w:type="paragraph" w:customStyle="1" w:styleId="Titles">
    <w:name w:val="Titles"/>
    <w:basedOn w:val="Normal"/>
    <w:rsid w:val="009F1AEE"/>
    <w:pPr>
      <w:tabs>
        <w:tab w:val="left" w:pos="2160"/>
      </w:tabs>
      <w:ind w:left="2160" w:hanging="2160"/>
    </w:pPr>
    <w:rPr>
      <w:b/>
    </w:rPr>
  </w:style>
  <w:style w:type="paragraph" w:styleId="TOAHeading">
    <w:name w:val="toa heading"/>
    <w:basedOn w:val="Normal"/>
    <w:next w:val="Normal"/>
    <w:semiHidden/>
    <w:rsid w:val="009F1AEE"/>
    <w:pPr>
      <w:spacing w:before="120"/>
    </w:pPr>
    <w:rPr>
      <w:b/>
    </w:rPr>
  </w:style>
  <w:style w:type="paragraph" w:styleId="TOC1">
    <w:name w:val="toc 1"/>
    <w:basedOn w:val="Normal"/>
    <w:next w:val="Normal"/>
    <w:autoRedefine/>
    <w:semiHidden/>
    <w:rsid w:val="009F1AEE"/>
  </w:style>
  <w:style w:type="paragraph" w:styleId="TOC2">
    <w:name w:val="toc 2"/>
    <w:basedOn w:val="Normal"/>
    <w:next w:val="Normal"/>
    <w:autoRedefine/>
    <w:semiHidden/>
    <w:rsid w:val="009F1AEE"/>
    <w:pPr>
      <w:ind w:left="259"/>
    </w:pPr>
  </w:style>
  <w:style w:type="paragraph" w:styleId="TOC3">
    <w:name w:val="toc 3"/>
    <w:basedOn w:val="Normal"/>
    <w:next w:val="Normal"/>
    <w:autoRedefine/>
    <w:semiHidden/>
    <w:rsid w:val="009F1AEE"/>
    <w:pPr>
      <w:ind w:left="520"/>
    </w:pPr>
  </w:style>
  <w:style w:type="paragraph" w:styleId="TOC4">
    <w:name w:val="toc 4"/>
    <w:basedOn w:val="Normal"/>
    <w:next w:val="Normal"/>
    <w:autoRedefine/>
    <w:semiHidden/>
    <w:rsid w:val="009F1AEE"/>
    <w:pPr>
      <w:ind w:left="780"/>
    </w:pPr>
  </w:style>
  <w:style w:type="paragraph" w:styleId="TOC5">
    <w:name w:val="toc 5"/>
    <w:basedOn w:val="Normal"/>
    <w:next w:val="Normal"/>
    <w:autoRedefine/>
    <w:semiHidden/>
    <w:rsid w:val="009F1AEE"/>
    <w:pPr>
      <w:ind w:left="1040"/>
    </w:pPr>
  </w:style>
  <w:style w:type="paragraph" w:styleId="TOC6">
    <w:name w:val="toc 6"/>
    <w:basedOn w:val="Normal"/>
    <w:next w:val="Normal"/>
    <w:autoRedefine/>
    <w:semiHidden/>
    <w:rsid w:val="009F1AEE"/>
    <w:pPr>
      <w:ind w:left="1300"/>
    </w:pPr>
  </w:style>
  <w:style w:type="paragraph" w:styleId="TOC7">
    <w:name w:val="toc 7"/>
    <w:basedOn w:val="Normal"/>
    <w:next w:val="Normal"/>
    <w:autoRedefine/>
    <w:semiHidden/>
    <w:rsid w:val="009F1AEE"/>
    <w:pPr>
      <w:ind w:left="1560"/>
    </w:pPr>
  </w:style>
  <w:style w:type="paragraph" w:styleId="TOC8">
    <w:name w:val="toc 8"/>
    <w:basedOn w:val="Normal"/>
    <w:next w:val="Normal"/>
    <w:autoRedefine/>
    <w:semiHidden/>
    <w:rsid w:val="009F1AEE"/>
    <w:pPr>
      <w:ind w:left="1820"/>
    </w:pPr>
  </w:style>
  <w:style w:type="paragraph" w:styleId="TOC9">
    <w:name w:val="toc 9"/>
    <w:basedOn w:val="Normal"/>
    <w:next w:val="Normal"/>
    <w:autoRedefine/>
    <w:semiHidden/>
    <w:rsid w:val="009F1AEE"/>
    <w:pPr>
      <w:ind w:left="2080"/>
    </w:pPr>
  </w:style>
  <w:style w:type="paragraph" w:customStyle="1" w:styleId="Contents">
    <w:name w:val="Contents"/>
    <w:basedOn w:val="Normal"/>
    <w:rsid w:val="009F1AEE"/>
    <w:pPr>
      <w:jc w:val="center"/>
    </w:pPr>
    <w:rPr>
      <w:b/>
      <w:spacing w:val="100"/>
    </w:rPr>
  </w:style>
  <w:style w:type="character" w:customStyle="1" w:styleId="ssrfcpassagedeactivated">
    <w:name w:val="ss_rfcpassage_deactivated"/>
    <w:basedOn w:val="DefaultParagraphFont"/>
    <w:rsid w:val="004D49CB"/>
  </w:style>
  <w:style w:type="character" w:customStyle="1" w:styleId="ssrfcsection">
    <w:name w:val="ss_rfcsection"/>
    <w:basedOn w:val="DefaultParagraphFont"/>
    <w:rsid w:val="004D49CB"/>
  </w:style>
  <w:style w:type="character" w:customStyle="1" w:styleId="ssit">
    <w:name w:val="ss_it"/>
    <w:basedOn w:val="DefaultParagraphFont"/>
    <w:rsid w:val="004D49CB"/>
  </w:style>
  <w:style w:type="character" w:customStyle="1" w:styleId="sssh">
    <w:name w:val="ss_sh"/>
    <w:basedOn w:val="DefaultParagraphFont"/>
    <w:rsid w:val="004D49CB"/>
  </w:style>
  <w:style w:type="paragraph" w:styleId="NormalWeb">
    <w:name w:val="Normal (Web)"/>
    <w:basedOn w:val="Normal"/>
    <w:uiPriority w:val="99"/>
    <w:semiHidden/>
    <w:unhideWhenUsed/>
    <w:rsid w:val="009D47A1"/>
    <w:pPr>
      <w:spacing w:before="100" w:beforeAutospacing="1" w:afterAutospacing="1"/>
    </w:pPr>
    <w:rPr>
      <w:sz w:val="24"/>
      <w:szCs w:val="24"/>
    </w:rPr>
  </w:style>
  <w:style w:type="character" w:styleId="Hyperlink">
    <w:name w:val="Hyperlink"/>
    <w:basedOn w:val="DefaultParagraphFont"/>
    <w:uiPriority w:val="99"/>
    <w:semiHidden/>
    <w:unhideWhenUsed/>
    <w:rsid w:val="009D47A1"/>
    <w:rPr>
      <w:color w:val="0000FF"/>
      <w:u w:val="single"/>
    </w:rPr>
  </w:style>
  <w:style w:type="character" w:customStyle="1" w:styleId="ssib">
    <w:name w:val="ss_ib"/>
    <w:basedOn w:val="DefaultParagraphFont"/>
    <w:rsid w:val="009D47A1"/>
  </w:style>
  <w:style w:type="character" w:customStyle="1" w:styleId="ssbf">
    <w:name w:val="ss_bf"/>
    <w:basedOn w:val="DefaultParagraphFont"/>
    <w:rsid w:val="009D47A1"/>
  </w:style>
  <w:style w:type="paragraph" w:styleId="BalloonText">
    <w:name w:val="Balloon Text"/>
    <w:basedOn w:val="Normal"/>
    <w:link w:val="BalloonTextChar"/>
    <w:uiPriority w:val="99"/>
    <w:semiHidden/>
    <w:unhideWhenUsed/>
    <w:rsid w:val="009D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A1"/>
    <w:rPr>
      <w:rFonts w:ascii="Segoe UI" w:hAnsi="Segoe UI" w:cs="Segoe UI"/>
      <w:sz w:val="18"/>
      <w:szCs w:val="18"/>
    </w:rPr>
  </w:style>
  <w:style w:type="character" w:customStyle="1" w:styleId="ssparacontent">
    <w:name w:val="ss_paracontent"/>
    <w:basedOn w:val="DefaultParagraphFont"/>
    <w:rsid w:val="00DD6A05"/>
  </w:style>
  <w:style w:type="character" w:customStyle="1" w:styleId="ssleftalign">
    <w:name w:val="ss_leftalign"/>
    <w:basedOn w:val="DefaultParagraphFont"/>
    <w:rsid w:val="002C26EC"/>
  </w:style>
  <w:style w:type="character" w:customStyle="1" w:styleId="TextChar">
    <w:name w:val="Text Char"/>
    <w:link w:val="Text"/>
    <w:rsid w:val="001C2D39"/>
    <w:rPr>
      <w:rFonts w:ascii="Century Schoolbook" w:hAnsi="Century Schoolbook"/>
      <w:sz w:val="27"/>
    </w:rPr>
  </w:style>
  <w:style w:type="character" w:styleId="CommentReference">
    <w:name w:val="annotation reference"/>
    <w:basedOn w:val="DefaultParagraphFont"/>
    <w:uiPriority w:val="99"/>
    <w:semiHidden/>
    <w:unhideWhenUsed/>
    <w:rsid w:val="00B21CEC"/>
    <w:rPr>
      <w:sz w:val="16"/>
      <w:szCs w:val="16"/>
    </w:rPr>
  </w:style>
  <w:style w:type="paragraph" w:styleId="CommentText">
    <w:name w:val="annotation text"/>
    <w:basedOn w:val="Normal"/>
    <w:link w:val="CommentTextChar"/>
    <w:uiPriority w:val="99"/>
    <w:unhideWhenUsed/>
    <w:rsid w:val="00B21CEC"/>
    <w:rPr>
      <w:sz w:val="20"/>
    </w:rPr>
  </w:style>
  <w:style w:type="character" w:customStyle="1" w:styleId="CommentTextChar">
    <w:name w:val="Comment Text Char"/>
    <w:basedOn w:val="DefaultParagraphFont"/>
    <w:link w:val="CommentText"/>
    <w:uiPriority w:val="99"/>
    <w:rsid w:val="00B21CEC"/>
  </w:style>
  <w:style w:type="paragraph" w:styleId="CommentSubject">
    <w:name w:val="annotation subject"/>
    <w:basedOn w:val="CommentText"/>
    <w:next w:val="CommentText"/>
    <w:link w:val="CommentSubjectChar"/>
    <w:uiPriority w:val="99"/>
    <w:semiHidden/>
    <w:unhideWhenUsed/>
    <w:rsid w:val="00B21CEC"/>
    <w:rPr>
      <w:b/>
      <w:bCs/>
    </w:rPr>
  </w:style>
  <w:style w:type="character" w:customStyle="1" w:styleId="CommentSubjectChar">
    <w:name w:val="Comment Subject Char"/>
    <w:basedOn w:val="CommentTextChar"/>
    <w:link w:val="CommentSubject"/>
    <w:uiPriority w:val="99"/>
    <w:semiHidden/>
    <w:rsid w:val="00B21CEC"/>
    <w:rPr>
      <w:b/>
      <w:bCs/>
    </w:rPr>
  </w:style>
  <w:style w:type="paragraph" w:styleId="Revision">
    <w:name w:val="Revision"/>
    <w:hidden/>
    <w:uiPriority w:val="99"/>
    <w:semiHidden/>
    <w:rsid w:val="00D33C53"/>
    <w:rPr>
      <w:sz w:val="26"/>
    </w:rPr>
  </w:style>
  <w:style w:type="paragraph" w:styleId="BodyText">
    <w:name w:val="Body Text"/>
    <w:basedOn w:val="Normal"/>
    <w:link w:val="BodyTextChar"/>
    <w:qFormat/>
    <w:rsid w:val="009F1AEE"/>
  </w:style>
  <w:style w:type="character" w:customStyle="1" w:styleId="BodyTextChar">
    <w:name w:val="Body Text Char"/>
    <w:basedOn w:val="DefaultParagraphFont"/>
    <w:link w:val="BodyText"/>
    <w:rsid w:val="009F1AEE"/>
    <w:rPr>
      <w:rFonts w:ascii="Century Schoolbook" w:hAnsi="Century Schoolbook"/>
      <w:sz w:val="27"/>
    </w:rPr>
  </w:style>
  <w:style w:type="character" w:customStyle="1" w:styleId="sschangeadd">
    <w:name w:val="ss_changeadd"/>
    <w:basedOn w:val="DefaultParagraphFont"/>
    <w:rsid w:val="0088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054">
      <w:bodyDiv w:val="1"/>
      <w:marLeft w:val="0"/>
      <w:marRight w:val="0"/>
      <w:marTop w:val="0"/>
      <w:marBottom w:val="0"/>
      <w:divBdr>
        <w:top w:val="none" w:sz="0" w:space="0" w:color="auto"/>
        <w:left w:val="none" w:sz="0" w:space="0" w:color="auto"/>
        <w:bottom w:val="none" w:sz="0" w:space="0" w:color="auto"/>
        <w:right w:val="none" w:sz="0" w:space="0" w:color="auto"/>
      </w:divBdr>
      <w:divsChild>
        <w:div w:id="1125349551">
          <w:marLeft w:val="0"/>
          <w:marRight w:val="0"/>
          <w:marTop w:val="0"/>
          <w:marBottom w:val="0"/>
          <w:divBdr>
            <w:top w:val="none" w:sz="0" w:space="0" w:color="auto"/>
            <w:left w:val="none" w:sz="0" w:space="0" w:color="auto"/>
            <w:bottom w:val="none" w:sz="0" w:space="0" w:color="auto"/>
            <w:right w:val="none" w:sz="0" w:space="0" w:color="auto"/>
          </w:divBdr>
        </w:div>
      </w:divsChild>
    </w:div>
    <w:div w:id="280889397">
      <w:bodyDiv w:val="1"/>
      <w:marLeft w:val="0"/>
      <w:marRight w:val="0"/>
      <w:marTop w:val="0"/>
      <w:marBottom w:val="0"/>
      <w:divBdr>
        <w:top w:val="none" w:sz="0" w:space="0" w:color="auto"/>
        <w:left w:val="none" w:sz="0" w:space="0" w:color="auto"/>
        <w:bottom w:val="none" w:sz="0" w:space="0" w:color="auto"/>
        <w:right w:val="none" w:sz="0" w:space="0" w:color="auto"/>
      </w:divBdr>
    </w:div>
    <w:div w:id="338503690">
      <w:bodyDiv w:val="1"/>
      <w:marLeft w:val="0"/>
      <w:marRight w:val="0"/>
      <w:marTop w:val="0"/>
      <w:marBottom w:val="0"/>
      <w:divBdr>
        <w:top w:val="none" w:sz="0" w:space="0" w:color="auto"/>
        <w:left w:val="none" w:sz="0" w:space="0" w:color="auto"/>
        <w:bottom w:val="none" w:sz="0" w:space="0" w:color="auto"/>
        <w:right w:val="none" w:sz="0" w:space="0" w:color="auto"/>
      </w:divBdr>
    </w:div>
    <w:div w:id="424571839">
      <w:bodyDiv w:val="1"/>
      <w:marLeft w:val="0"/>
      <w:marRight w:val="0"/>
      <w:marTop w:val="0"/>
      <w:marBottom w:val="0"/>
      <w:divBdr>
        <w:top w:val="none" w:sz="0" w:space="0" w:color="auto"/>
        <w:left w:val="none" w:sz="0" w:space="0" w:color="auto"/>
        <w:bottom w:val="none" w:sz="0" w:space="0" w:color="auto"/>
        <w:right w:val="none" w:sz="0" w:space="0" w:color="auto"/>
      </w:divBdr>
      <w:divsChild>
        <w:div w:id="1301883190">
          <w:marLeft w:val="0"/>
          <w:marRight w:val="0"/>
          <w:marTop w:val="0"/>
          <w:marBottom w:val="0"/>
          <w:divBdr>
            <w:top w:val="none" w:sz="0" w:space="0" w:color="auto"/>
            <w:left w:val="none" w:sz="0" w:space="0" w:color="auto"/>
            <w:bottom w:val="none" w:sz="0" w:space="0" w:color="auto"/>
            <w:right w:val="none" w:sz="0" w:space="0" w:color="auto"/>
          </w:divBdr>
        </w:div>
      </w:divsChild>
    </w:div>
    <w:div w:id="430587253">
      <w:bodyDiv w:val="1"/>
      <w:marLeft w:val="0"/>
      <w:marRight w:val="0"/>
      <w:marTop w:val="0"/>
      <w:marBottom w:val="0"/>
      <w:divBdr>
        <w:top w:val="none" w:sz="0" w:space="0" w:color="auto"/>
        <w:left w:val="none" w:sz="0" w:space="0" w:color="auto"/>
        <w:bottom w:val="none" w:sz="0" w:space="0" w:color="auto"/>
        <w:right w:val="none" w:sz="0" w:space="0" w:color="auto"/>
      </w:divBdr>
    </w:div>
    <w:div w:id="632294524">
      <w:bodyDiv w:val="1"/>
      <w:marLeft w:val="0"/>
      <w:marRight w:val="0"/>
      <w:marTop w:val="0"/>
      <w:marBottom w:val="0"/>
      <w:divBdr>
        <w:top w:val="none" w:sz="0" w:space="0" w:color="auto"/>
        <w:left w:val="none" w:sz="0" w:space="0" w:color="auto"/>
        <w:bottom w:val="none" w:sz="0" w:space="0" w:color="auto"/>
        <w:right w:val="none" w:sz="0" w:space="0" w:color="auto"/>
      </w:divBdr>
      <w:divsChild>
        <w:div w:id="1672366716">
          <w:marLeft w:val="0"/>
          <w:marRight w:val="0"/>
          <w:marTop w:val="0"/>
          <w:marBottom w:val="0"/>
          <w:divBdr>
            <w:top w:val="none" w:sz="0" w:space="0" w:color="auto"/>
            <w:left w:val="none" w:sz="0" w:space="0" w:color="auto"/>
            <w:bottom w:val="none" w:sz="0" w:space="0" w:color="auto"/>
            <w:right w:val="none" w:sz="0" w:space="0" w:color="auto"/>
          </w:divBdr>
        </w:div>
      </w:divsChild>
    </w:div>
    <w:div w:id="725884351">
      <w:bodyDiv w:val="1"/>
      <w:marLeft w:val="0"/>
      <w:marRight w:val="0"/>
      <w:marTop w:val="0"/>
      <w:marBottom w:val="0"/>
      <w:divBdr>
        <w:top w:val="none" w:sz="0" w:space="0" w:color="auto"/>
        <w:left w:val="none" w:sz="0" w:space="0" w:color="auto"/>
        <w:bottom w:val="none" w:sz="0" w:space="0" w:color="auto"/>
        <w:right w:val="none" w:sz="0" w:space="0" w:color="auto"/>
      </w:divBdr>
    </w:div>
    <w:div w:id="791091228">
      <w:bodyDiv w:val="1"/>
      <w:marLeft w:val="0"/>
      <w:marRight w:val="0"/>
      <w:marTop w:val="0"/>
      <w:marBottom w:val="0"/>
      <w:divBdr>
        <w:top w:val="none" w:sz="0" w:space="0" w:color="auto"/>
        <w:left w:val="none" w:sz="0" w:space="0" w:color="auto"/>
        <w:bottom w:val="none" w:sz="0" w:space="0" w:color="auto"/>
        <w:right w:val="none" w:sz="0" w:space="0" w:color="auto"/>
      </w:divBdr>
      <w:divsChild>
        <w:div w:id="302396945">
          <w:marLeft w:val="0"/>
          <w:marRight w:val="0"/>
          <w:marTop w:val="0"/>
          <w:marBottom w:val="0"/>
          <w:divBdr>
            <w:top w:val="none" w:sz="0" w:space="0" w:color="auto"/>
            <w:left w:val="none" w:sz="0" w:space="0" w:color="auto"/>
            <w:bottom w:val="none" w:sz="0" w:space="0" w:color="auto"/>
            <w:right w:val="none" w:sz="0" w:space="0" w:color="auto"/>
          </w:divBdr>
        </w:div>
      </w:divsChild>
    </w:div>
    <w:div w:id="989479495">
      <w:bodyDiv w:val="1"/>
      <w:marLeft w:val="0"/>
      <w:marRight w:val="0"/>
      <w:marTop w:val="0"/>
      <w:marBottom w:val="0"/>
      <w:divBdr>
        <w:top w:val="none" w:sz="0" w:space="0" w:color="auto"/>
        <w:left w:val="none" w:sz="0" w:space="0" w:color="auto"/>
        <w:bottom w:val="none" w:sz="0" w:space="0" w:color="auto"/>
        <w:right w:val="none" w:sz="0" w:space="0" w:color="auto"/>
      </w:divBdr>
      <w:divsChild>
        <w:div w:id="348534309">
          <w:marLeft w:val="0"/>
          <w:marRight w:val="0"/>
          <w:marTop w:val="0"/>
          <w:marBottom w:val="0"/>
          <w:divBdr>
            <w:top w:val="none" w:sz="0" w:space="0" w:color="auto"/>
            <w:left w:val="none" w:sz="0" w:space="0" w:color="auto"/>
            <w:bottom w:val="none" w:sz="0" w:space="0" w:color="auto"/>
            <w:right w:val="none" w:sz="0" w:space="0" w:color="auto"/>
          </w:divBdr>
        </w:div>
      </w:divsChild>
    </w:div>
    <w:div w:id="1350448803">
      <w:bodyDiv w:val="1"/>
      <w:marLeft w:val="0"/>
      <w:marRight w:val="0"/>
      <w:marTop w:val="0"/>
      <w:marBottom w:val="0"/>
      <w:divBdr>
        <w:top w:val="none" w:sz="0" w:space="0" w:color="auto"/>
        <w:left w:val="none" w:sz="0" w:space="0" w:color="auto"/>
        <w:bottom w:val="none" w:sz="0" w:space="0" w:color="auto"/>
        <w:right w:val="none" w:sz="0" w:space="0" w:color="auto"/>
      </w:divBdr>
      <w:divsChild>
        <w:div w:id="154302995">
          <w:marLeft w:val="0"/>
          <w:marRight w:val="0"/>
          <w:marTop w:val="0"/>
          <w:marBottom w:val="0"/>
          <w:divBdr>
            <w:top w:val="none" w:sz="0" w:space="0" w:color="auto"/>
            <w:left w:val="none" w:sz="0" w:space="0" w:color="auto"/>
            <w:bottom w:val="none" w:sz="0" w:space="0" w:color="auto"/>
            <w:right w:val="none" w:sz="0" w:space="0" w:color="auto"/>
          </w:divBdr>
        </w:div>
      </w:divsChild>
    </w:div>
    <w:div w:id="1394112872">
      <w:bodyDiv w:val="1"/>
      <w:marLeft w:val="0"/>
      <w:marRight w:val="0"/>
      <w:marTop w:val="0"/>
      <w:marBottom w:val="0"/>
      <w:divBdr>
        <w:top w:val="none" w:sz="0" w:space="0" w:color="auto"/>
        <w:left w:val="none" w:sz="0" w:space="0" w:color="auto"/>
        <w:bottom w:val="none" w:sz="0" w:space="0" w:color="auto"/>
        <w:right w:val="none" w:sz="0" w:space="0" w:color="auto"/>
      </w:divBdr>
      <w:divsChild>
        <w:div w:id="670327847">
          <w:marLeft w:val="0"/>
          <w:marRight w:val="0"/>
          <w:marTop w:val="0"/>
          <w:marBottom w:val="0"/>
          <w:divBdr>
            <w:top w:val="none" w:sz="0" w:space="0" w:color="auto"/>
            <w:left w:val="none" w:sz="0" w:space="0" w:color="auto"/>
            <w:bottom w:val="none" w:sz="0" w:space="0" w:color="auto"/>
            <w:right w:val="none" w:sz="0" w:space="0" w:color="auto"/>
          </w:divBdr>
        </w:div>
      </w:divsChild>
    </w:div>
    <w:div w:id="1849589415">
      <w:bodyDiv w:val="1"/>
      <w:marLeft w:val="0"/>
      <w:marRight w:val="0"/>
      <w:marTop w:val="0"/>
      <w:marBottom w:val="0"/>
      <w:divBdr>
        <w:top w:val="none" w:sz="0" w:space="0" w:color="auto"/>
        <w:left w:val="none" w:sz="0" w:space="0" w:color="auto"/>
        <w:bottom w:val="none" w:sz="0" w:space="0" w:color="auto"/>
        <w:right w:val="none" w:sz="0" w:space="0" w:color="auto"/>
      </w:divBdr>
      <w:divsChild>
        <w:div w:id="24950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33DF-C6CD-4885-8ED3-438FA2E5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11041</Words>
  <Characters>62937</Characters>
  <Application>Microsoft Office Word</Application>
  <DocSecurity>0</DocSecurity>
  <Lines>524</Lines>
  <Paragraphs>147</Paragraphs>
  <ScaleCrop>false</ScaleCrop>
  <Company/>
  <LinksUpToDate>false</LinksUpToDate>
  <CharactersWithSpaces>73831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2021-04-30T19:39:00Z</dcterms:created>
  <dcterms:modified xsi:type="dcterms:W3CDTF">2021-04-30T19:40:00Z</dcterms:modified>
</cp:coreProperties>
</file>