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5725C" w:rsidP="00945FE6" w14:paraId="1BEC8003" w14:textId="634C6F2A">
      <w:pPr>
        <w:tabs>
          <w:tab w:val="left" w:pos="1440"/>
          <w:tab w:val="left" w:pos="4680"/>
          <w:tab w:val="center" w:pos="7200"/>
        </w:tabs>
        <w:spacing w:after="0"/>
        <w:jc w:val="center"/>
        <w:rPr>
          <w:sz w:val="36"/>
          <w:szCs w:val="26"/>
        </w:rPr>
      </w:pPr>
      <w:bookmarkStart w:id="0" w:name="MarkDocLoc"/>
      <w:bookmarkEnd w:id="0"/>
      <w:r>
        <w:rPr>
          <w:b/>
          <w:sz w:val="36"/>
          <w:szCs w:val="26"/>
        </w:rPr>
        <w:t>IN THE SUPREME COURT OF CALIFORNIA</w:t>
      </w:r>
    </w:p>
    <w:p w:rsidR="00945FE6" w:rsidP="00945FE6" w14:paraId="06517D6C" w14:textId="7F453F91">
      <w:pPr>
        <w:tabs>
          <w:tab w:val="left" w:pos="1440"/>
          <w:tab w:val="left" w:pos="4680"/>
          <w:tab w:val="center" w:pos="7200"/>
        </w:tabs>
        <w:spacing w:after="0"/>
        <w:jc w:val="center"/>
        <w:rPr>
          <w:szCs w:val="26"/>
        </w:rPr>
      </w:pPr>
    </w:p>
    <w:p w:rsidR="00945FE6" w:rsidP="00945FE6" w14:paraId="1EA4ABBE" w14:textId="43398719">
      <w:pPr>
        <w:tabs>
          <w:tab w:val="left" w:pos="1440"/>
          <w:tab w:val="left" w:pos="4680"/>
          <w:tab w:val="center" w:pos="7200"/>
        </w:tabs>
        <w:spacing w:after="0"/>
        <w:jc w:val="center"/>
        <w:rPr>
          <w:szCs w:val="26"/>
        </w:rPr>
      </w:pPr>
      <w:r>
        <w:rPr>
          <w:szCs w:val="26"/>
        </w:rPr>
        <w:t>JEREMIAH SMITH</w:t>
      </w:r>
      <w:r w:rsidR="00857A5E">
        <w:rPr>
          <w:szCs w:val="26"/>
        </w:rPr>
        <w:t>,</w:t>
      </w:r>
    </w:p>
    <w:p w:rsidR="00945FE6" w:rsidP="00945FE6" w14:paraId="19550E82" w14:textId="1100A3A0">
      <w:pPr>
        <w:tabs>
          <w:tab w:val="left" w:pos="1440"/>
          <w:tab w:val="left" w:pos="4680"/>
          <w:tab w:val="center" w:pos="7200"/>
        </w:tabs>
        <w:spacing w:after="0"/>
        <w:jc w:val="center"/>
        <w:rPr>
          <w:szCs w:val="26"/>
        </w:rPr>
      </w:pPr>
      <w:r>
        <w:rPr>
          <w:szCs w:val="26"/>
        </w:rPr>
        <w:t>Plaintiff and Appellant</w:t>
      </w:r>
      <w:r w:rsidR="00857A5E">
        <w:rPr>
          <w:szCs w:val="26"/>
        </w:rPr>
        <w:t>,</w:t>
      </w:r>
    </w:p>
    <w:p w:rsidR="00945FE6" w:rsidP="00945FE6" w14:paraId="2E111FDE" w14:textId="4469616B">
      <w:pPr>
        <w:tabs>
          <w:tab w:val="left" w:pos="1440"/>
          <w:tab w:val="left" w:pos="4680"/>
          <w:tab w:val="center" w:pos="7200"/>
        </w:tabs>
        <w:spacing w:after="0"/>
        <w:jc w:val="center"/>
        <w:rPr>
          <w:szCs w:val="26"/>
        </w:rPr>
      </w:pPr>
      <w:r>
        <w:rPr>
          <w:szCs w:val="26"/>
        </w:rPr>
        <w:t>v.</w:t>
      </w:r>
    </w:p>
    <w:p w:rsidR="00945FE6" w:rsidP="00945FE6" w14:paraId="19CB17B2" w14:textId="6091E6EC">
      <w:pPr>
        <w:tabs>
          <w:tab w:val="left" w:pos="1440"/>
          <w:tab w:val="left" w:pos="4680"/>
          <w:tab w:val="center" w:pos="7200"/>
        </w:tabs>
        <w:spacing w:after="0"/>
        <w:jc w:val="center"/>
        <w:rPr>
          <w:szCs w:val="26"/>
        </w:rPr>
      </w:pPr>
      <w:r>
        <w:rPr>
          <w:szCs w:val="26"/>
        </w:rPr>
        <w:t>LOANME, INC.</w:t>
      </w:r>
      <w:r w:rsidR="00857A5E">
        <w:rPr>
          <w:szCs w:val="26"/>
        </w:rPr>
        <w:t>,</w:t>
      </w:r>
    </w:p>
    <w:p w:rsidR="00945FE6" w:rsidP="00945FE6" w14:paraId="52078475" w14:textId="79EDC438">
      <w:pPr>
        <w:tabs>
          <w:tab w:val="left" w:pos="1440"/>
          <w:tab w:val="left" w:pos="4680"/>
          <w:tab w:val="center" w:pos="7200"/>
        </w:tabs>
        <w:spacing w:after="0"/>
        <w:jc w:val="center"/>
        <w:rPr>
          <w:szCs w:val="26"/>
        </w:rPr>
      </w:pPr>
      <w:r>
        <w:rPr>
          <w:szCs w:val="26"/>
        </w:rPr>
        <w:t>Defendant and Respondent.</w:t>
      </w:r>
    </w:p>
    <w:p w:rsidR="00945FE6" w:rsidP="00945FE6" w14:paraId="4A4EB07E" w14:textId="47D5AA90">
      <w:pPr>
        <w:tabs>
          <w:tab w:val="left" w:pos="1440"/>
          <w:tab w:val="left" w:pos="4680"/>
          <w:tab w:val="center" w:pos="7200"/>
        </w:tabs>
        <w:spacing w:after="0"/>
        <w:jc w:val="center"/>
        <w:rPr>
          <w:szCs w:val="26"/>
        </w:rPr>
      </w:pPr>
    </w:p>
    <w:p w:rsidR="00945FE6" w:rsidP="00945FE6" w14:paraId="6AFD3984" w14:textId="3007DF17">
      <w:pPr>
        <w:tabs>
          <w:tab w:val="left" w:pos="1440"/>
          <w:tab w:val="left" w:pos="4680"/>
          <w:tab w:val="center" w:pos="7200"/>
        </w:tabs>
        <w:spacing w:after="0"/>
        <w:jc w:val="center"/>
        <w:rPr>
          <w:szCs w:val="26"/>
        </w:rPr>
      </w:pPr>
      <w:r>
        <w:rPr>
          <w:szCs w:val="26"/>
        </w:rPr>
        <w:t>S260391</w:t>
      </w:r>
    </w:p>
    <w:p w:rsidR="00857A5E" w:rsidP="00945FE6" w14:paraId="39064980" w14:textId="413E8CAA">
      <w:pPr>
        <w:tabs>
          <w:tab w:val="left" w:pos="1440"/>
          <w:tab w:val="left" w:pos="4680"/>
          <w:tab w:val="center" w:pos="7200"/>
        </w:tabs>
        <w:spacing w:after="0"/>
        <w:jc w:val="center"/>
        <w:rPr>
          <w:szCs w:val="26"/>
        </w:rPr>
      </w:pPr>
    </w:p>
    <w:p w:rsidR="00857A5E" w:rsidP="00945FE6" w14:paraId="17A73572" w14:textId="5774EC06">
      <w:pPr>
        <w:tabs>
          <w:tab w:val="left" w:pos="1440"/>
          <w:tab w:val="left" w:pos="4680"/>
          <w:tab w:val="center" w:pos="7200"/>
        </w:tabs>
        <w:spacing w:after="0"/>
        <w:jc w:val="center"/>
        <w:rPr>
          <w:szCs w:val="26"/>
        </w:rPr>
      </w:pPr>
      <w:r>
        <w:rPr>
          <w:szCs w:val="26"/>
        </w:rPr>
        <w:t>Fourth Appellate District, Division Two</w:t>
      </w:r>
    </w:p>
    <w:p w:rsidR="00857A5E" w:rsidP="00945FE6" w14:paraId="4E4E1325" w14:textId="3AA1234F">
      <w:pPr>
        <w:tabs>
          <w:tab w:val="left" w:pos="1440"/>
          <w:tab w:val="left" w:pos="4680"/>
          <w:tab w:val="center" w:pos="7200"/>
        </w:tabs>
        <w:spacing w:after="0"/>
        <w:jc w:val="center"/>
        <w:rPr>
          <w:szCs w:val="26"/>
        </w:rPr>
      </w:pPr>
      <w:r w:rsidRPr="00857A5E">
        <w:rPr>
          <w:szCs w:val="26"/>
        </w:rPr>
        <w:t>E069752</w:t>
      </w:r>
    </w:p>
    <w:p w:rsidR="00945FE6" w:rsidP="00945FE6" w14:paraId="5B28AD94" w14:textId="4297E28E">
      <w:pPr>
        <w:tabs>
          <w:tab w:val="left" w:pos="1440"/>
          <w:tab w:val="left" w:pos="4680"/>
          <w:tab w:val="center" w:pos="7200"/>
        </w:tabs>
        <w:spacing w:after="0"/>
        <w:jc w:val="center"/>
        <w:rPr>
          <w:szCs w:val="26"/>
        </w:rPr>
      </w:pPr>
    </w:p>
    <w:p w:rsidR="00945FE6" w:rsidP="00945FE6" w14:paraId="57DB289E" w14:textId="19F17BED">
      <w:pPr>
        <w:tabs>
          <w:tab w:val="left" w:pos="1440"/>
          <w:tab w:val="left" w:pos="4680"/>
          <w:tab w:val="center" w:pos="7200"/>
        </w:tabs>
        <w:spacing w:after="0"/>
        <w:jc w:val="center"/>
        <w:rPr>
          <w:szCs w:val="26"/>
        </w:rPr>
      </w:pPr>
      <w:r>
        <w:rPr>
          <w:szCs w:val="26"/>
        </w:rPr>
        <w:t>Riverside County</w:t>
      </w:r>
      <w:r w:rsidR="00857A5E">
        <w:rPr>
          <w:szCs w:val="26"/>
        </w:rPr>
        <w:t xml:space="preserve"> Superior Court</w:t>
      </w:r>
    </w:p>
    <w:p w:rsidR="00945FE6" w:rsidP="00945FE6" w14:paraId="2EE6E9D6" w14:textId="72FD1FF4">
      <w:pPr>
        <w:tabs>
          <w:tab w:val="left" w:pos="1440"/>
          <w:tab w:val="left" w:pos="4680"/>
          <w:tab w:val="center" w:pos="7200"/>
        </w:tabs>
        <w:spacing w:after="0"/>
        <w:jc w:val="center"/>
        <w:rPr>
          <w:szCs w:val="26"/>
        </w:rPr>
      </w:pPr>
      <w:r>
        <w:rPr>
          <w:szCs w:val="26"/>
        </w:rPr>
        <w:t>RIC1612501</w:t>
      </w:r>
    </w:p>
    <w:p w:rsidR="00945FE6" w:rsidP="00945FE6" w14:paraId="6ECCFF32" w14:textId="49670485">
      <w:pPr>
        <w:pBdr>
          <w:bottom w:val="single" w:sz="4" w:space="1" w:color="auto"/>
        </w:pBdr>
        <w:tabs>
          <w:tab w:val="left" w:pos="1440"/>
          <w:tab w:val="left" w:pos="4680"/>
          <w:tab w:val="center" w:pos="7200"/>
        </w:tabs>
        <w:spacing w:after="0"/>
        <w:jc w:val="center"/>
        <w:rPr>
          <w:szCs w:val="26"/>
        </w:rPr>
      </w:pPr>
    </w:p>
    <w:p w:rsidR="00945FE6" w:rsidP="00945FE6" w14:paraId="102536C4" w14:textId="7EB2A583">
      <w:pPr>
        <w:tabs>
          <w:tab w:val="left" w:pos="1440"/>
          <w:tab w:val="left" w:pos="4680"/>
          <w:tab w:val="center" w:pos="7200"/>
        </w:tabs>
        <w:spacing w:after="0"/>
        <w:jc w:val="center"/>
        <w:rPr>
          <w:szCs w:val="26"/>
        </w:rPr>
      </w:pPr>
    </w:p>
    <w:p w:rsidR="00945FE6" w:rsidP="00945FE6" w14:paraId="26848827" w14:textId="49F11157">
      <w:pPr>
        <w:tabs>
          <w:tab w:val="left" w:pos="1440"/>
          <w:tab w:val="left" w:pos="4680"/>
          <w:tab w:val="center" w:pos="7200"/>
        </w:tabs>
        <w:spacing w:after="0"/>
        <w:jc w:val="center"/>
        <w:rPr>
          <w:szCs w:val="26"/>
        </w:rPr>
      </w:pPr>
      <w:r>
        <w:rPr>
          <w:szCs w:val="26"/>
        </w:rPr>
        <w:t>April 1,</w:t>
      </w:r>
      <w:r>
        <w:rPr>
          <w:szCs w:val="26"/>
        </w:rPr>
        <w:t xml:space="preserve"> 2021</w:t>
      </w:r>
    </w:p>
    <w:p w:rsidR="00945FE6" w:rsidP="00945FE6" w14:paraId="44B59EAA" w14:textId="1DC58AB8">
      <w:pPr>
        <w:tabs>
          <w:tab w:val="left" w:pos="1440"/>
          <w:tab w:val="left" w:pos="4680"/>
          <w:tab w:val="center" w:pos="7200"/>
        </w:tabs>
        <w:spacing w:after="0"/>
        <w:jc w:val="center"/>
        <w:rPr>
          <w:szCs w:val="26"/>
        </w:rPr>
      </w:pPr>
    </w:p>
    <w:p w:rsidR="00945FE6" w:rsidRPr="00B033AB" w:rsidP="00945FE6" w14:paraId="219B1DA3" w14:textId="732CA9DD">
      <w:pPr>
        <w:spacing w:after="0"/>
      </w:pPr>
      <w:r>
        <w:t xml:space="preserve">Chief Justice Cantil-Sakauye authored the opinion of the Court, in which Justices </w:t>
      </w:r>
      <w:r w:rsidR="00C235C8">
        <w:t>Corrigan, Liu, Cuéllar, Kruger, Groban</w:t>
      </w:r>
      <w:r>
        <w:t xml:space="preserve"> and </w:t>
      </w:r>
      <w:r w:rsidR="00C235C8">
        <w:t>Jenkins</w:t>
      </w:r>
      <w:r>
        <w:t xml:space="preserve"> concurred.</w:t>
      </w:r>
    </w:p>
    <w:p w:rsidR="00945FE6" w:rsidRPr="00945FE6" w:rsidP="00945FE6" w14:paraId="026D0417" w14:textId="77777777">
      <w:pPr>
        <w:pBdr>
          <w:bottom w:val="single" w:sz="4" w:space="1" w:color="auto"/>
        </w:pBdr>
        <w:tabs>
          <w:tab w:val="left" w:pos="1440"/>
          <w:tab w:val="left" w:pos="4680"/>
          <w:tab w:val="center" w:pos="7200"/>
        </w:tabs>
        <w:spacing w:line="480" w:lineRule="atLeast"/>
        <w:jc w:val="left"/>
        <w:rPr>
          <w:szCs w:val="26"/>
        </w:rPr>
      </w:pPr>
      <w:bookmarkStart w:id="1" w:name="Return"/>
      <w:bookmarkEnd w:id="1"/>
    </w:p>
    <w:p w:rsidR="00945FE6" w14:paraId="25EEF2E1" w14:textId="77777777">
      <w:pPr>
        <w:tabs>
          <w:tab w:val="left" w:pos="1440"/>
          <w:tab w:val="left" w:pos="4680"/>
          <w:tab w:val="center" w:pos="7200"/>
        </w:tabs>
        <w:spacing w:line="480" w:lineRule="atLeast"/>
        <w:rPr>
          <w:szCs w:val="26"/>
        </w:rPr>
        <w:sectPr w:rsidSect="00945FE6">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945FE6" w:rsidP="00945FE6" w14:paraId="35F5DD4B" w14:textId="03C7E5F3">
      <w:pPr>
        <w:tabs>
          <w:tab w:val="left" w:pos="1440"/>
          <w:tab w:val="left" w:pos="4680"/>
          <w:tab w:val="center" w:pos="7200"/>
        </w:tabs>
        <w:jc w:val="center"/>
        <w:rPr>
          <w:szCs w:val="26"/>
        </w:rPr>
      </w:pPr>
      <w:r>
        <w:rPr>
          <w:szCs w:val="26"/>
        </w:rPr>
        <w:t>SMITH v. LOANME, INC.</w:t>
      </w:r>
    </w:p>
    <w:p w:rsidR="00945FE6" w:rsidP="00945FE6" w14:paraId="48004403" w14:textId="5D212E5E">
      <w:pPr>
        <w:tabs>
          <w:tab w:val="left" w:pos="1440"/>
          <w:tab w:val="left" w:pos="4680"/>
          <w:tab w:val="center" w:pos="7200"/>
        </w:tabs>
        <w:jc w:val="center"/>
        <w:rPr>
          <w:szCs w:val="26"/>
        </w:rPr>
      </w:pPr>
      <w:r>
        <w:rPr>
          <w:szCs w:val="26"/>
        </w:rPr>
        <w:t>S260391</w:t>
      </w:r>
    </w:p>
    <w:p w:rsidR="00945FE6" w:rsidP="00945FE6" w14:paraId="5CFCAB28" w14:textId="643F03A8">
      <w:pPr>
        <w:tabs>
          <w:tab w:val="left" w:pos="1440"/>
          <w:tab w:val="left" w:pos="4680"/>
          <w:tab w:val="center" w:pos="7200"/>
        </w:tabs>
        <w:jc w:val="center"/>
        <w:rPr>
          <w:szCs w:val="26"/>
        </w:rPr>
      </w:pPr>
    </w:p>
    <w:p w:rsidR="00945FE6" w:rsidP="00945FE6" w14:paraId="607C33F9" w14:textId="70DAA9B5">
      <w:pPr>
        <w:tabs>
          <w:tab w:val="left" w:pos="1440"/>
          <w:tab w:val="left" w:pos="4680"/>
          <w:tab w:val="center" w:pos="7200"/>
        </w:tabs>
        <w:jc w:val="center"/>
        <w:rPr>
          <w:szCs w:val="26"/>
        </w:rPr>
      </w:pPr>
      <w:r>
        <w:rPr>
          <w:szCs w:val="26"/>
        </w:rPr>
        <w:t>Opinion of the Court by Cantil-Sakauye, C. J.</w:t>
      </w:r>
    </w:p>
    <w:p w:rsidR="00945FE6" w:rsidRPr="00945FE6" w:rsidP="00945FE6" w14:paraId="0FAD74C6" w14:textId="77777777">
      <w:pPr>
        <w:tabs>
          <w:tab w:val="left" w:pos="1440"/>
          <w:tab w:val="left" w:pos="4680"/>
          <w:tab w:val="center" w:pos="7200"/>
        </w:tabs>
        <w:jc w:val="center"/>
        <w:rPr>
          <w:szCs w:val="26"/>
        </w:rPr>
      </w:pPr>
    </w:p>
    <w:p w:rsidR="00F5725C" w:rsidRPr="00945FE6" w:rsidP="00945FE6" w14:paraId="6DA06D99" w14:textId="5E951BE7">
      <w:pPr>
        <w:tabs>
          <w:tab w:val="left" w:pos="1440"/>
        </w:tabs>
        <w:ind w:firstLine="720"/>
        <w:rPr>
          <w:szCs w:val="26"/>
        </w:rPr>
      </w:pPr>
      <w:bookmarkStart w:id="2" w:name="mainstory"/>
      <w:bookmarkEnd w:id="2"/>
      <w:r w:rsidRPr="00945FE6">
        <w:rPr>
          <w:szCs w:val="26"/>
        </w:rPr>
        <w:t>Under Penal Code section 632.7, subdivision (a) (</w:t>
      </w:r>
      <w:r w:rsidR="00054A24">
        <w:rPr>
          <w:szCs w:val="26"/>
        </w:rPr>
        <w:t xml:space="preserve">hereinafter </w:t>
      </w:r>
      <w:r w:rsidRPr="00945FE6">
        <w:rPr>
          <w:szCs w:val="26"/>
        </w:rPr>
        <w:t>section 632.7(a)),</w:t>
      </w:r>
      <w:r>
        <w:rPr>
          <w:rStyle w:val="FootnoteReference"/>
        </w:rPr>
        <w:footnoteReference w:id="3"/>
      </w:r>
      <w:r w:rsidRPr="00945FE6">
        <w:rPr>
          <w:szCs w:val="26"/>
        </w:rPr>
        <w:t xml:space="preserve"> it is a crime when a person “without the consent of all parties to a communication, intercepts or receives and intentionally records, or assists in the interception or reception and intentional recordation of, a communication transmitted</w:t>
      </w:r>
      <w:r w:rsidRPr="00945FE6" w:rsidR="0056300B">
        <w:rPr>
          <w:szCs w:val="26"/>
        </w:rPr>
        <w:t xml:space="preserve"> between</w:t>
      </w:r>
      <w:r w:rsidRPr="00945FE6">
        <w:rPr>
          <w:szCs w:val="26"/>
        </w:rPr>
        <w:t>”</w:t>
      </w:r>
      <w:r w:rsidRPr="00945FE6" w:rsidR="0056300B">
        <w:rPr>
          <w:szCs w:val="26"/>
        </w:rPr>
        <w:t xml:space="preserve"> a cellular or cordless telephone and another telephone.</w:t>
      </w:r>
      <w:r w:rsidRPr="00945FE6">
        <w:rPr>
          <w:szCs w:val="26"/>
        </w:rPr>
        <w:t xml:space="preserve">  </w:t>
      </w:r>
      <w:r w:rsidRPr="00945FE6" w:rsidR="00866785">
        <w:rPr>
          <w:szCs w:val="26"/>
        </w:rPr>
        <w:t>A v</w:t>
      </w:r>
      <w:r w:rsidRPr="00945FE6" w:rsidR="00875C6E">
        <w:rPr>
          <w:szCs w:val="26"/>
        </w:rPr>
        <w:t xml:space="preserve">iolation of section 632.7 also can </w:t>
      </w:r>
      <w:r w:rsidR="00744CF3">
        <w:rPr>
          <w:szCs w:val="26"/>
        </w:rPr>
        <w:t>be pursued civilly and lead to</w:t>
      </w:r>
      <w:r w:rsidRPr="00945FE6" w:rsidR="00875C6E">
        <w:rPr>
          <w:szCs w:val="26"/>
        </w:rPr>
        <w:t xml:space="preserve"> </w:t>
      </w:r>
      <w:r w:rsidRPr="00945FE6" w:rsidR="00892406">
        <w:rPr>
          <w:szCs w:val="26"/>
        </w:rPr>
        <w:t xml:space="preserve">the assessment of </w:t>
      </w:r>
      <w:r w:rsidRPr="00945FE6" w:rsidR="00875C6E">
        <w:rPr>
          <w:szCs w:val="26"/>
        </w:rPr>
        <w:t>damages and other appropriate relief</w:t>
      </w:r>
      <w:r w:rsidRPr="00945FE6" w:rsidR="001D5A44">
        <w:rPr>
          <w:szCs w:val="26"/>
        </w:rPr>
        <w:t xml:space="preserve">.  </w:t>
      </w:r>
      <w:r w:rsidRPr="00945FE6">
        <w:rPr>
          <w:szCs w:val="26"/>
        </w:rPr>
        <w:t xml:space="preserve">The issue </w:t>
      </w:r>
      <w:r w:rsidRPr="00945FE6" w:rsidR="002263A0">
        <w:rPr>
          <w:szCs w:val="26"/>
        </w:rPr>
        <w:t>presented in this case</w:t>
      </w:r>
      <w:r w:rsidRPr="00945FE6">
        <w:rPr>
          <w:szCs w:val="26"/>
        </w:rPr>
        <w:t xml:space="preserve"> is whether </w:t>
      </w:r>
      <w:r w:rsidR="00FC4D34">
        <w:rPr>
          <w:szCs w:val="26"/>
        </w:rPr>
        <w:t>section 632.7</w:t>
      </w:r>
      <w:r w:rsidR="005346C7">
        <w:rPr>
          <w:szCs w:val="26"/>
        </w:rPr>
        <w:t xml:space="preserve"> </w:t>
      </w:r>
      <w:r w:rsidR="00E5408B">
        <w:rPr>
          <w:szCs w:val="26"/>
        </w:rPr>
        <w:t xml:space="preserve">applies to the parties to a communication, prohibiting them from recording a covered communication without the consent of all participants, or whether the section is concerned only with recording by persons other than parties </w:t>
      </w:r>
      <w:r w:rsidRPr="00945FE6" w:rsidR="00873239">
        <w:rPr>
          <w:szCs w:val="26"/>
        </w:rPr>
        <w:t>(sometimes hereinafter referred to as</w:t>
      </w:r>
      <w:r w:rsidRPr="00945FE6" w:rsidR="00A32877">
        <w:rPr>
          <w:szCs w:val="26"/>
        </w:rPr>
        <w:t xml:space="preserve"> </w:t>
      </w:r>
      <w:r w:rsidRPr="00945FE6" w:rsidR="00873239">
        <w:rPr>
          <w:szCs w:val="26"/>
        </w:rPr>
        <w:t>“nonpart</w:t>
      </w:r>
      <w:r w:rsidR="00E5408B">
        <w:rPr>
          <w:szCs w:val="26"/>
        </w:rPr>
        <w:t>ies</w:t>
      </w:r>
      <w:r w:rsidRPr="00945FE6" w:rsidR="00873239">
        <w:rPr>
          <w:szCs w:val="26"/>
        </w:rPr>
        <w:t>” to the communication)</w:t>
      </w:r>
      <w:r w:rsidRPr="00945FE6" w:rsidR="00597A9D">
        <w:rPr>
          <w:szCs w:val="26"/>
        </w:rPr>
        <w:t>,</w:t>
      </w:r>
      <w:r w:rsidRPr="00945FE6" w:rsidR="00750338">
        <w:rPr>
          <w:szCs w:val="26"/>
        </w:rPr>
        <w:t xml:space="preserve"> such as</w:t>
      </w:r>
      <w:r w:rsidRPr="00945FE6" w:rsidR="00597A9D">
        <w:rPr>
          <w:szCs w:val="26"/>
        </w:rPr>
        <w:t xml:space="preserve"> an</w:t>
      </w:r>
      <w:r w:rsidRPr="00945FE6" w:rsidR="00750338">
        <w:rPr>
          <w:szCs w:val="26"/>
        </w:rPr>
        <w:t xml:space="preserve"> individual who covertly intercept</w:t>
      </w:r>
      <w:r w:rsidRPr="00945FE6" w:rsidR="00597A9D">
        <w:rPr>
          <w:szCs w:val="26"/>
        </w:rPr>
        <w:t>s</w:t>
      </w:r>
      <w:r w:rsidR="00E5408B">
        <w:rPr>
          <w:szCs w:val="26"/>
        </w:rPr>
        <w:t xml:space="preserve"> a phone call</w:t>
      </w:r>
      <w:r w:rsidRPr="00945FE6" w:rsidR="00750338">
        <w:rPr>
          <w:szCs w:val="26"/>
        </w:rPr>
        <w:t xml:space="preserve"> </w:t>
      </w:r>
      <w:r w:rsidR="00D64CF0">
        <w:rPr>
          <w:szCs w:val="26"/>
        </w:rPr>
        <w:t>and</w:t>
      </w:r>
      <w:r w:rsidRPr="00945FE6" w:rsidR="00750338">
        <w:rPr>
          <w:szCs w:val="26"/>
        </w:rPr>
        <w:t xml:space="preserve"> eavesdrop</w:t>
      </w:r>
      <w:r w:rsidRPr="00945FE6" w:rsidR="00597A9D">
        <w:rPr>
          <w:szCs w:val="26"/>
        </w:rPr>
        <w:t>s</w:t>
      </w:r>
      <w:r w:rsidRPr="00945FE6" w:rsidR="00750338">
        <w:rPr>
          <w:szCs w:val="26"/>
        </w:rPr>
        <w:t xml:space="preserve"> upon </w:t>
      </w:r>
      <w:r w:rsidR="00E5408B">
        <w:rPr>
          <w:szCs w:val="26"/>
        </w:rPr>
        <w:t>it</w:t>
      </w:r>
      <w:r w:rsidRPr="00945FE6">
        <w:rPr>
          <w:szCs w:val="26"/>
        </w:rPr>
        <w:t xml:space="preserve">. </w:t>
      </w:r>
      <w:r w:rsidRPr="00945FE6" w:rsidR="00097437">
        <w:rPr>
          <w:szCs w:val="26"/>
        </w:rPr>
        <w:t xml:space="preserve"> </w:t>
      </w:r>
    </w:p>
    <w:p w:rsidR="001D5A44" w:rsidRPr="00945FE6" w:rsidP="00E5408B" w14:paraId="710F6D77" w14:textId="354147CF">
      <w:pPr>
        <w:tabs>
          <w:tab w:val="left" w:pos="0"/>
        </w:tabs>
        <w:ind w:firstLine="720"/>
        <w:rPr>
          <w:szCs w:val="26"/>
        </w:rPr>
      </w:pPr>
      <w:r w:rsidRPr="00945FE6">
        <w:rPr>
          <w:szCs w:val="26"/>
        </w:rPr>
        <w:t>The Court of Appeal</w:t>
      </w:r>
      <w:r w:rsidRPr="00945FE6" w:rsidR="00442AE6">
        <w:rPr>
          <w:szCs w:val="26"/>
        </w:rPr>
        <w:t xml:space="preserve"> </w:t>
      </w:r>
      <w:r w:rsidRPr="00945FE6" w:rsidR="009074AE">
        <w:rPr>
          <w:szCs w:val="26"/>
        </w:rPr>
        <w:t>concluded that</w:t>
      </w:r>
      <w:r w:rsidRPr="00945FE6" w:rsidR="00442AE6">
        <w:rPr>
          <w:szCs w:val="26"/>
        </w:rPr>
        <w:t xml:space="preserve"> section 632.7</w:t>
      </w:r>
      <w:r w:rsidR="005346C7">
        <w:rPr>
          <w:szCs w:val="26"/>
        </w:rPr>
        <w:t xml:space="preserve"> applies only to nonparties and</w:t>
      </w:r>
      <w:r w:rsidRPr="00945FE6" w:rsidR="00442AE6">
        <w:rPr>
          <w:szCs w:val="26"/>
        </w:rPr>
        <w:t xml:space="preserve"> </w:t>
      </w:r>
      <w:r w:rsidR="00A222CE">
        <w:rPr>
          <w:szCs w:val="26"/>
        </w:rPr>
        <w:t xml:space="preserve">does not forbid </w:t>
      </w:r>
      <w:r w:rsidRPr="00945FE6" w:rsidR="00097437">
        <w:rPr>
          <w:szCs w:val="26"/>
        </w:rPr>
        <w:t xml:space="preserve">a party </w:t>
      </w:r>
      <w:r w:rsidRPr="00945FE6" w:rsidR="00E55F61">
        <w:rPr>
          <w:szCs w:val="26"/>
        </w:rPr>
        <w:t>to</w:t>
      </w:r>
      <w:r w:rsidRPr="00945FE6" w:rsidR="00097437">
        <w:rPr>
          <w:szCs w:val="26"/>
        </w:rPr>
        <w:t xml:space="preserve"> </w:t>
      </w:r>
      <w:r w:rsidRPr="00945FE6" w:rsidR="00B8454A">
        <w:rPr>
          <w:szCs w:val="26"/>
        </w:rPr>
        <w:t xml:space="preserve">a </w:t>
      </w:r>
      <w:r w:rsidRPr="00945FE6" w:rsidR="00284DD8">
        <w:rPr>
          <w:szCs w:val="26"/>
        </w:rPr>
        <w:t xml:space="preserve">phone </w:t>
      </w:r>
      <w:r w:rsidR="005346C7">
        <w:rPr>
          <w:szCs w:val="26"/>
        </w:rPr>
        <w:t>call</w:t>
      </w:r>
      <w:r w:rsidRPr="00945FE6" w:rsidR="00CA7151">
        <w:rPr>
          <w:szCs w:val="26"/>
        </w:rPr>
        <w:t xml:space="preserve"> </w:t>
      </w:r>
      <w:r w:rsidRPr="00945FE6" w:rsidR="006E1DA9">
        <w:rPr>
          <w:szCs w:val="26"/>
        </w:rPr>
        <w:t>transmitted to or from</w:t>
      </w:r>
      <w:r w:rsidRPr="00945FE6" w:rsidR="00CA7151">
        <w:rPr>
          <w:szCs w:val="26"/>
        </w:rPr>
        <w:t xml:space="preserve"> </w:t>
      </w:r>
      <w:r w:rsidRPr="00945FE6" w:rsidR="00B8454A">
        <w:rPr>
          <w:szCs w:val="26"/>
        </w:rPr>
        <w:t>a cellular or cordless telephone</w:t>
      </w:r>
      <w:r w:rsidRPr="00945FE6" w:rsidR="00097437">
        <w:rPr>
          <w:szCs w:val="26"/>
        </w:rPr>
        <w:t xml:space="preserve"> </w:t>
      </w:r>
      <w:r w:rsidR="00A222CE">
        <w:rPr>
          <w:szCs w:val="26"/>
        </w:rPr>
        <w:t xml:space="preserve">from </w:t>
      </w:r>
      <w:r w:rsidRPr="00945FE6" w:rsidR="00E55F61">
        <w:rPr>
          <w:szCs w:val="26"/>
        </w:rPr>
        <w:t>record</w:t>
      </w:r>
      <w:r w:rsidR="00A222CE">
        <w:rPr>
          <w:szCs w:val="26"/>
        </w:rPr>
        <w:t>ing</w:t>
      </w:r>
      <w:r w:rsidRPr="00945FE6" w:rsidR="00E55F61">
        <w:rPr>
          <w:szCs w:val="26"/>
        </w:rPr>
        <w:t xml:space="preserve"> </w:t>
      </w:r>
      <w:r w:rsidRPr="00945FE6" w:rsidR="00CA7151">
        <w:rPr>
          <w:szCs w:val="26"/>
        </w:rPr>
        <w:t>the</w:t>
      </w:r>
      <w:r w:rsidRPr="00945FE6" w:rsidR="00E55F61">
        <w:rPr>
          <w:szCs w:val="26"/>
        </w:rPr>
        <w:t xml:space="preserve"> </w:t>
      </w:r>
      <w:r w:rsidRPr="00945FE6" w:rsidR="00B8454A">
        <w:rPr>
          <w:szCs w:val="26"/>
        </w:rPr>
        <w:t>conversation</w:t>
      </w:r>
      <w:r w:rsidRPr="00945FE6" w:rsidR="00E55F61">
        <w:rPr>
          <w:szCs w:val="26"/>
        </w:rPr>
        <w:t xml:space="preserve"> </w:t>
      </w:r>
      <w:r w:rsidRPr="00945FE6" w:rsidR="00097437">
        <w:rPr>
          <w:szCs w:val="26"/>
        </w:rPr>
        <w:t xml:space="preserve">without the consent of the other party or parties.  </w:t>
      </w:r>
      <w:r w:rsidR="00D3578B">
        <w:rPr>
          <w:szCs w:val="26"/>
        </w:rPr>
        <w:t>W</w:t>
      </w:r>
      <w:r w:rsidRPr="00945FE6" w:rsidR="00CA7151">
        <w:rPr>
          <w:szCs w:val="26"/>
        </w:rPr>
        <w:t>e</w:t>
      </w:r>
      <w:r w:rsidRPr="00945FE6" w:rsidR="00B8454A">
        <w:rPr>
          <w:szCs w:val="26"/>
        </w:rPr>
        <w:t xml:space="preserve"> </w:t>
      </w:r>
      <w:r w:rsidR="00A222CE">
        <w:rPr>
          <w:szCs w:val="26"/>
        </w:rPr>
        <w:t xml:space="preserve">reach a contrary conclusion and </w:t>
      </w:r>
      <w:r w:rsidRPr="00945FE6" w:rsidR="00875C6E">
        <w:rPr>
          <w:szCs w:val="26"/>
        </w:rPr>
        <w:t>hold</w:t>
      </w:r>
      <w:r w:rsidRPr="00945FE6" w:rsidR="00284DD8">
        <w:rPr>
          <w:szCs w:val="26"/>
        </w:rPr>
        <w:t xml:space="preserve"> </w:t>
      </w:r>
      <w:r w:rsidRPr="00945FE6" w:rsidR="00875C6E">
        <w:rPr>
          <w:szCs w:val="26"/>
        </w:rPr>
        <w:t>that</w:t>
      </w:r>
      <w:r w:rsidRPr="00945FE6" w:rsidR="00097437">
        <w:rPr>
          <w:szCs w:val="26"/>
        </w:rPr>
        <w:t xml:space="preserve"> </w:t>
      </w:r>
      <w:r w:rsidRPr="00945FE6" w:rsidR="00875C6E">
        <w:rPr>
          <w:szCs w:val="26"/>
        </w:rPr>
        <w:t>section 632.7 applies to parties as well as nonparties</w:t>
      </w:r>
      <w:r w:rsidRPr="00945FE6" w:rsidR="00097437">
        <w:rPr>
          <w:szCs w:val="26"/>
        </w:rPr>
        <w:t xml:space="preserve">. </w:t>
      </w:r>
      <w:r w:rsidRPr="00945FE6" w:rsidR="0002398C">
        <w:rPr>
          <w:szCs w:val="26"/>
        </w:rPr>
        <w:t xml:space="preserve"> This </w:t>
      </w:r>
      <w:r w:rsidR="00060CC6">
        <w:rPr>
          <w:szCs w:val="26"/>
        </w:rPr>
        <w:t>interpretation</w:t>
      </w:r>
      <w:r w:rsidRPr="00945FE6" w:rsidR="0002398C">
        <w:rPr>
          <w:szCs w:val="26"/>
        </w:rPr>
        <w:t xml:space="preserve"> </w:t>
      </w:r>
      <w:r w:rsidRPr="00945FE6" w:rsidR="00B8454A">
        <w:rPr>
          <w:szCs w:val="26"/>
        </w:rPr>
        <w:t xml:space="preserve">reflects the most </w:t>
      </w:r>
      <w:r w:rsidRPr="00945FE6" w:rsidR="00CF3E79">
        <w:rPr>
          <w:szCs w:val="26"/>
        </w:rPr>
        <w:t>sensible</w:t>
      </w:r>
      <w:r w:rsidRPr="00945FE6" w:rsidR="00B8454A">
        <w:rPr>
          <w:szCs w:val="26"/>
        </w:rPr>
        <w:t xml:space="preserve"> reading of the statutory text, is </w:t>
      </w:r>
      <w:r w:rsidR="00744CF3">
        <w:rPr>
          <w:szCs w:val="26"/>
        </w:rPr>
        <w:t>consistent with</w:t>
      </w:r>
      <w:r w:rsidRPr="00945FE6" w:rsidR="00B8454A">
        <w:rPr>
          <w:szCs w:val="26"/>
        </w:rPr>
        <w:t xml:space="preserve"> the</w:t>
      </w:r>
      <w:r w:rsidRPr="00945FE6" w:rsidR="00CA7151">
        <w:rPr>
          <w:szCs w:val="26"/>
        </w:rPr>
        <w:t xml:space="preserve"> relevant</w:t>
      </w:r>
      <w:r w:rsidRPr="00945FE6" w:rsidR="00B8454A">
        <w:rPr>
          <w:szCs w:val="26"/>
        </w:rPr>
        <w:t xml:space="preserve"> legislative history, and </w:t>
      </w:r>
      <w:r w:rsidRPr="00945FE6" w:rsidR="0002398C">
        <w:rPr>
          <w:szCs w:val="26"/>
        </w:rPr>
        <w:t xml:space="preserve">advances the Legislature’s apparent intent by protecting privacy in covered communications to a greater </w:t>
      </w:r>
      <w:r w:rsidRPr="00945FE6" w:rsidR="00CA7151">
        <w:rPr>
          <w:szCs w:val="26"/>
        </w:rPr>
        <w:t>degree</w:t>
      </w:r>
      <w:r w:rsidRPr="00945FE6" w:rsidR="0002398C">
        <w:rPr>
          <w:szCs w:val="26"/>
        </w:rPr>
        <w:t xml:space="preserve"> than the Court of Appeal’s construction</w:t>
      </w:r>
      <w:r w:rsidRPr="00945FE6" w:rsidR="00FD03EE">
        <w:rPr>
          <w:szCs w:val="26"/>
        </w:rPr>
        <w:t xml:space="preserve"> would</w:t>
      </w:r>
      <w:r w:rsidRPr="00945FE6" w:rsidR="0002398C">
        <w:rPr>
          <w:szCs w:val="26"/>
        </w:rPr>
        <w:t xml:space="preserve">.  </w:t>
      </w:r>
      <w:r w:rsidR="00435189">
        <w:rPr>
          <w:szCs w:val="26"/>
        </w:rPr>
        <w:t>Accordingly</w:t>
      </w:r>
      <w:r w:rsidR="00D3578B">
        <w:rPr>
          <w:szCs w:val="26"/>
        </w:rPr>
        <w:t>,</w:t>
      </w:r>
      <w:r w:rsidRPr="00945FE6" w:rsidR="00A513C5">
        <w:rPr>
          <w:szCs w:val="26"/>
        </w:rPr>
        <w:t xml:space="preserve"> </w:t>
      </w:r>
      <w:r w:rsidR="00D3578B">
        <w:rPr>
          <w:szCs w:val="26"/>
        </w:rPr>
        <w:t>we</w:t>
      </w:r>
      <w:r w:rsidRPr="00945FE6" w:rsidR="00097437">
        <w:rPr>
          <w:szCs w:val="26"/>
        </w:rPr>
        <w:t xml:space="preserve"> </w:t>
      </w:r>
      <w:r w:rsidRPr="00945FE6" w:rsidR="00F53093">
        <w:rPr>
          <w:szCs w:val="26"/>
        </w:rPr>
        <w:t>reverse the judgment below</w:t>
      </w:r>
      <w:r w:rsidRPr="00945FE6" w:rsidR="00892406">
        <w:rPr>
          <w:szCs w:val="26"/>
        </w:rPr>
        <w:t xml:space="preserve"> </w:t>
      </w:r>
      <w:r w:rsidRPr="00945FE6" w:rsidR="00F53093">
        <w:rPr>
          <w:szCs w:val="26"/>
        </w:rPr>
        <w:t xml:space="preserve">and remand the </w:t>
      </w:r>
      <w:r w:rsidRPr="00945FE6" w:rsidR="007703BF">
        <w:rPr>
          <w:szCs w:val="26"/>
        </w:rPr>
        <w:t>matter</w:t>
      </w:r>
      <w:r w:rsidRPr="00945FE6" w:rsidR="00F53093">
        <w:rPr>
          <w:szCs w:val="26"/>
        </w:rPr>
        <w:t xml:space="preserve"> </w:t>
      </w:r>
      <w:r w:rsidRPr="00945FE6" w:rsidR="007703BF">
        <w:rPr>
          <w:szCs w:val="26"/>
        </w:rPr>
        <w:t>to</w:t>
      </w:r>
      <w:r w:rsidRPr="00945FE6" w:rsidR="00EB0F8F">
        <w:rPr>
          <w:szCs w:val="26"/>
        </w:rPr>
        <w:t xml:space="preserve"> </w:t>
      </w:r>
      <w:r w:rsidRPr="00945FE6" w:rsidR="002263A0">
        <w:rPr>
          <w:szCs w:val="26"/>
        </w:rPr>
        <w:t>the Court of Appeal</w:t>
      </w:r>
      <w:r w:rsidRPr="00945FE6" w:rsidR="007703BF">
        <w:rPr>
          <w:szCs w:val="26"/>
        </w:rPr>
        <w:t xml:space="preserve"> for </w:t>
      </w:r>
      <w:r w:rsidR="00066579">
        <w:rPr>
          <w:szCs w:val="26"/>
        </w:rPr>
        <w:t>further proceedings consistent with our opinion</w:t>
      </w:r>
      <w:r w:rsidRPr="00945FE6" w:rsidR="00F53093">
        <w:rPr>
          <w:szCs w:val="26"/>
        </w:rPr>
        <w:t>.</w:t>
      </w:r>
    </w:p>
    <w:p w:rsidR="00F53093" w:rsidRPr="00186D5A" w:rsidP="00062B54" w14:paraId="641A1542" w14:textId="58F5A327">
      <w:pPr>
        <w:pStyle w:val="Heading1"/>
      </w:pPr>
      <w:r>
        <w:t>F</w:t>
      </w:r>
      <w:r w:rsidRPr="00186D5A">
        <w:t>actual and Procedural Background</w:t>
      </w:r>
    </w:p>
    <w:p w:rsidR="00D33AC8" w:rsidRPr="00945FE6" w:rsidP="00062B54" w14:paraId="55125278" w14:textId="617A7BE8">
      <w:pPr>
        <w:keepNext/>
        <w:tabs>
          <w:tab w:val="left" w:pos="1440"/>
        </w:tabs>
        <w:ind w:firstLine="720"/>
        <w:rPr>
          <w:szCs w:val="26"/>
        </w:rPr>
      </w:pPr>
      <w:r w:rsidRPr="00945FE6">
        <w:rPr>
          <w:szCs w:val="26"/>
        </w:rPr>
        <w:t>This case arises out of a</w:t>
      </w:r>
      <w:r w:rsidRPr="00945FE6">
        <w:rPr>
          <w:szCs w:val="26"/>
        </w:rPr>
        <w:t xml:space="preserve"> brief </w:t>
      </w:r>
      <w:r w:rsidRPr="00945FE6">
        <w:rPr>
          <w:szCs w:val="26"/>
        </w:rPr>
        <w:t xml:space="preserve">phone </w:t>
      </w:r>
      <w:r w:rsidRPr="00945FE6" w:rsidR="00892406">
        <w:rPr>
          <w:szCs w:val="26"/>
        </w:rPr>
        <w:t>conversation</w:t>
      </w:r>
      <w:r w:rsidRPr="00945FE6">
        <w:rPr>
          <w:szCs w:val="26"/>
        </w:rPr>
        <w:t>.  Defendant LoanMe, Inc. (LoanMe) extended a loan to</w:t>
      </w:r>
      <w:r w:rsidRPr="00945FE6" w:rsidR="00CB7906">
        <w:rPr>
          <w:szCs w:val="26"/>
        </w:rPr>
        <w:t xml:space="preserve"> the wife of</w:t>
      </w:r>
      <w:r w:rsidRPr="00945FE6">
        <w:rPr>
          <w:szCs w:val="26"/>
        </w:rPr>
        <w:t xml:space="preserve"> plaintiff Jeremiah Smit</w:t>
      </w:r>
      <w:r w:rsidRPr="00945FE6" w:rsidR="00CB7906">
        <w:rPr>
          <w:szCs w:val="26"/>
        </w:rPr>
        <w:t>h</w:t>
      </w:r>
      <w:r w:rsidRPr="00945FE6">
        <w:rPr>
          <w:szCs w:val="26"/>
        </w:rPr>
        <w:t xml:space="preserve">.  In October 2015, </w:t>
      </w:r>
      <w:r w:rsidRPr="00945FE6" w:rsidR="00892406">
        <w:rPr>
          <w:szCs w:val="26"/>
        </w:rPr>
        <w:t>a LoanMe employee</w:t>
      </w:r>
      <w:r w:rsidRPr="00945FE6">
        <w:rPr>
          <w:szCs w:val="26"/>
        </w:rPr>
        <w:t xml:space="preserve"> called a phone number</w:t>
      </w:r>
      <w:r w:rsidRPr="00945FE6" w:rsidR="00866785">
        <w:rPr>
          <w:szCs w:val="26"/>
        </w:rPr>
        <w:t xml:space="preserve"> </w:t>
      </w:r>
      <w:r w:rsidRPr="00945FE6">
        <w:rPr>
          <w:szCs w:val="26"/>
        </w:rPr>
        <w:t>Smith’s wife</w:t>
      </w:r>
      <w:r w:rsidRPr="00945FE6" w:rsidR="00866785">
        <w:rPr>
          <w:szCs w:val="26"/>
        </w:rPr>
        <w:t xml:space="preserve"> had provided</w:t>
      </w:r>
      <w:r w:rsidRPr="00945FE6">
        <w:rPr>
          <w:szCs w:val="26"/>
        </w:rPr>
        <w:t xml:space="preserve">.  </w:t>
      </w:r>
      <w:r w:rsidRPr="00945FE6" w:rsidR="00892406">
        <w:rPr>
          <w:szCs w:val="26"/>
        </w:rPr>
        <w:t>Smith</w:t>
      </w:r>
      <w:r w:rsidRPr="00945FE6">
        <w:rPr>
          <w:szCs w:val="26"/>
        </w:rPr>
        <w:t xml:space="preserve"> </w:t>
      </w:r>
      <w:r w:rsidRPr="00945FE6">
        <w:rPr>
          <w:szCs w:val="26"/>
        </w:rPr>
        <w:t>answered</w:t>
      </w:r>
      <w:r w:rsidRPr="00945FE6" w:rsidR="004403AE">
        <w:rPr>
          <w:szCs w:val="26"/>
        </w:rPr>
        <w:t xml:space="preserve">, on what he </w:t>
      </w:r>
      <w:r w:rsidRPr="00945FE6" w:rsidR="009107BA">
        <w:rPr>
          <w:szCs w:val="26"/>
        </w:rPr>
        <w:t>asserts</w:t>
      </w:r>
      <w:r w:rsidRPr="00945FE6" w:rsidR="004403AE">
        <w:rPr>
          <w:szCs w:val="26"/>
        </w:rPr>
        <w:t xml:space="preserve"> was a cordless phone</w:t>
      </w:r>
      <w:r w:rsidRPr="00945FE6" w:rsidR="00866785">
        <w:rPr>
          <w:szCs w:val="26"/>
        </w:rPr>
        <w:t xml:space="preserve">. </w:t>
      </w:r>
      <w:r w:rsidRPr="00945FE6" w:rsidR="0008680E">
        <w:rPr>
          <w:szCs w:val="26"/>
        </w:rPr>
        <w:t xml:space="preserve"> </w:t>
      </w:r>
      <w:r w:rsidRPr="00945FE6" w:rsidR="004403AE">
        <w:rPr>
          <w:szCs w:val="26"/>
        </w:rPr>
        <w:t>Smith</w:t>
      </w:r>
      <w:r w:rsidRPr="00945FE6" w:rsidR="00866785">
        <w:rPr>
          <w:szCs w:val="26"/>
        </w:rPr>
        <w:t xml:space="preserve"> </w:t>
      </w:r>
      <w:r w:rsidRPr="00945FE6">
        <w:rPr>
          <w:szCs w:val="26"/>
        </w:rPr>
        <w:t>advised</w:t>
      </w:r>
      <w:r w:rsidRPr="00945FE6" w:rsidR="00866785">
        <w:rPr>
          <w:szCs w:val="26"/>
        </w:rPr>
        <w:t xml:space="preserve"> the </w:t>
      </w:r>
      <w:r w:rsidRPr="00945FE6" w:rsidR="001640EC">
        <w:rPr>
          <w:szCs w:val="26"/>
        </w:rPr>
        <w:t>LoanMe representative</w:t>
      </w:r>
      <w:r w:rsidRPr="00945FE6">
        <w:rPr>
          <w:szCs w:val="26"/>
        </w:rPr>
        <w:t xml:space="preserve"> that his wife was not</w:t>
      </w:r>
      <w:r w:rsidRPr="00945FE6" w:rsidR="00892406">
        <w:rPr>
          <w:szCs w:val="26"/>
        </w:rPr>
        <w:t xml:space="preserve"> at</w:t>
      </w:r>
      <w:r w:rsidRPr="00945FE6">
        <w:rPr>
          <w:szCs w:val="26"/>
        </w:rPr>
        <w:t xml:space="preserve"> home.  The call then ended, 18 seconds after it began.</w:t>
      </w:r>
      <w:r w:rsidRPr="00945FE6" w:rsidR="0008680E">
        <w:rPr>
          <w:szCs w:val="26"/>
        </w:rPr>
        <w:t xml:space="preserve">  </w:t>
      </w:r>
    </w:p>
    <w:p w:rsidR="00F53093" w:rsidRPr="00945FE6" w:rsidP="00945FE6" w14:paraId="3EB8C6CE" w14:textId="6D394765">
      <w:pPr>
        <w:tabs>
          <w:tab w:val="left" w:pos="1440"/>
        </w:tabs>
        <w:ind w:firstLine="720"/>
        <w:rPr>
          <w:szCs w:val="26"/>
        </w:rPr>
      </w:pPr>
      <w:r w:rsidRPr="00945FE6">
        <w:rPr>
          <w:szCs w:val="26"/>
        </w:rPr>
        <w:t xml:space="preserve">LoanMe recorded the call. </w:t>
      </w:r>
      <w:r w:rsidRPr="00945FE6" w:rsidR="0008680E">
        <w:rPr>
          <w:szCs w:val="26"/>
        </w:rPr>
        <w:t xml:space="preserve"> </w:t>
      </w:r>
      <w:r w:rsidRPr="00945FE6" w:rsidR="004676B0">
        <w:rPr>
          <w:szCs w:val="26"/>
        </w:rPr>
        <w:t>T</w:t>
      </w:r>
      <w:r w:rsidRPr="00945FE6">
        <w:rPr>
          <w:szCs w:val="26"/>
        </w:rPr>
        <w:t xml:space="preserve">hree seconds into the call, LoanMe caused a “beep” tone to sound. </w:t>
      </w:r>
      <w:r w:rsidRPr="00945FE6" w:rsidR="0008680E">
        <w:rPr>
          <w:szCs w:val="26"/>
        </w:rPr>
        <w:t xml:space="preserve"> </w:t>
      </w:r>
      <w:r w:rsidRPr="00945FE6" w:rsidR="001640EC">
        <w:rPr>
          <w:szCs w:val="26"/>
        </w:rPr>
        <w:t xml:space="preserve">The </w:t>
      </w:r>
      <w:r w:rsidRPr="00945FE6">
        <w:rPr>
          <w:szCs w:val="26"/>
        </w:rPr>
        <w:t>LoanMe</w:t>
      </w:r>
      <w:r w:rsidRPr="00945FE6" w:rsidR="001640EC">
        <w:rPr>
          <w:szCs w:val="26"/>
        </w:rPr>
        <w:t xml:space="preserve"> representative</w:t>
      </w:r>
      <w:r w:rsidRPr="00945FE6" w:rsidR="004676B0">
        <w:rPr>
          <w:szCs w:val="26"/>
        </w:rPr>
        <w:t xml:space="preserve"> on the call</w:t>
      </w:r>
      <w:r w:rsidRPr="00945FE6">
        <w:rPr>
          <w:szCs w:val="26"/>
        </w:rPr>
        <w:t xml:space="preserve"> did not orally advise plaintiff that the call</w:t>
      </w:r>
      <w:r w:rsidRPr="00945FE6" w:rsidR="001640EC">
        <w:rPr>
          <w:szCs w:val="26"/>
        </w:rPr>
        <w:t xml:space="preserve"> was being recorded</w:t>
      </w:r>
      <w:r w:rsidRPr="00945FE6">
        <w:rPr>
          <w:szCs w:val="26"/>
        </w:rPr>
        <w:t xml:space="preserve">. </w:t>
      </w:r>
    </w:p>
    <w:p w:rsidR="001640EC" w:rsidRPr="00945FE6" w:rsidP="00945FE6" w14:paraId="4DF55E06" w14:textId="3542C8A9">
      <w:pPr>
        <w:tabs>
          <w:tab w:val="left" w:pos="1440"/>
        </w:tabs>
        <w:ind w:firstLine="720"/>
        <w:rPr>
          <w:szCs w:val="26"/>
        </w:rPr>
      </w:pPr>
      <w:r w:rsidRPr="00945FE6">
        <w:rPr>
          <w:szCs w:val="26"/>
        </w:rPr>
        <w:t xml:space="preserve">In September 2016, </w:t>
      </w:r>
      <w:r w:rsidRPr="00945FE6" w:rsidR="00892406">
        <w:rPr>
          <w:szCs w:val="26"/>
        </w:rPr>
        <w:t>Smith</w:t>
      </w:r>
      <w:r w:rsidRPr="00945FE6">
        <w:rPr>
          <w:szCs w:val="26"/>
        </w:rPr>
        <w:t xml:space="preserve"> brought suit on behalf of a putative class consisting of “[a]ll persons in California whose inbound and outbound telephone conversations involving their cellular or cordless telephones were recorded without their consent by [LoanMe] or its agent/s within the one year prior to the filing of this action.”  </w:t>
      </w:r>
      <w:r w:rsidRPr="00945FE6">
        <w:rPr>
          <w:szCs w:val="26"/>
        </w:rPr>
        <w:t>The complaint</w:t>
      </w:r>
      <w:r w:rsidRPr="00945FE6" w:rsidR="005B4C0F">
        <w:rPr>
          <w:szCs w:val="26"/>
        </w:rPr>
        <w:t xml:space="preserve"> </w:t>
      </w:r>
      <w:r w:rsidRPr="00945FE6" w:rsidR="00BE5D0A">
        <w:rPr>
          <w:szCs w:val="26"/>
        </w:rPr>
        <w:t>allege</w:t>
      </w:r>
      <w:r w:rsidRPr="00945FE6" w:rsidR="00CA7151">
        <w:rPr>
          <w:szCs w:val="26"/>
        </w:rPr>
        <w:t>d</w:t>
      </w:r>
      <w:r w:rsidRPr="00945FE6" w:rsidR="005B4C0F">
        <w:rPr>
          <w:szCs w:val="26"/>
        </w:rPr>
        <w:t xml:space="preserve"> that the recording of these calls violated section 632.7.  </w:t>
      </w:r>
    </w:p>
    <w:p w:rsidR="00261FFA" w:rsidRPr="00945FE6" w:rsidP="00945FE6" w14:paraId="2623313D" w14:textId="680AAF9F">
      <w:pPr>
        <w:tabs>
          <w:tab w:val="left" w:pos="1440"/>
        </w:tabs>
        <w:ind w:firstLine="720"/>
        <w:rPr>
          <w:szCs w:val="26"/>
        </w:rPr>
      </w:pPr>
      <w:r w:rsidRPr="00945FE6">
        <w:rPr>
          <w:szCs w:val="26"/>
        </w:rPr>
        <w:t xml:space="preserve">The parties agreed to a </w:t>
      </w:r>
      <w:r w:rsidRPr="00945FE6" w:rsidR="00892406">
        <w:rPr>
          <w:szCs w:val="26"/>
        </w:rPr>
        <w:t xml:space="preserve">bifurcated </w:t>
      </w:r>
      <w:r w:rsidRPr="00945FE6">
        <w:rPr>
          <w:szCs w:val="26"/>
        </w:rPr>
        <w:t>bench trial</w:t>
      </w:r>
      <w:r w:rsidRPr="00945FE6" w:rsidR="00982A66">
        <w:rPr>
          <w:szCs w:val="26"/>
        </w:rPr>
        <w:t xml:space="preserve"> for the court to decide </w:t>
      </w:r>
      <w:r w:rsidRPr="00945FE6">
        <w:rPr>
          <w:szCs w:val="26"/>
        </w:rPr>
        <w:t xml:space="preserve">whether </w:t>
      </w:r>
      <w:r w:rsidRPr="00945FE6" w:rsidR="00892406">
        <w:rPr>
          <w:szCs w:val="26"/>
        </w:rPr>
        <w:t>Smith</w:t>
      </w:r>
      <w:r w:rsidRPr="00945FE6">
        <w:rPr>
          <w:szCs w:val="26"/>
        </w:rPr>
        <w:t xml:space="preserve"> consented to </w:t>
      </w:r>
      <w:r w:rsidRPr="00945FE6" w:rsidR="00BE5D0A">
        <w:rPr>
          <w:szCs w:val="26"/>
        </w:rPr>
        <w:t>having</w:t>
      </w:r>
      <w:r w:rsidRPr="00945FE6" w:rsidR="005B4C0F">
        <w:rPr>
          <w:szCs w:val="26"/>
        </w:rPr>
        <w:t xml:space="preserve"> the</w:t>
      </w:r>
      <w:r w:rsidRPr="00945FE6">
        <w:rPr>
          <w:szCs w:val="26"/>
        </w:rPr>
        <w:t xml:space="preserve"> phone call</w:t>
      </w:r>
      <w:r w:rsidRPr="00945FE6" w:rsidR="00BE5D0A">
        <w:rPr>
          <w:szCs w:val="26"/>
        </w:rPr>
        <w:t xml:space="preserve"> recorded</w:t>
      </w:r>
      <w:r w:rsidRPr="00945FE6" w:rsidR="00892406">
        <w:rPr>
          <w:szCs w:val="26"/>
        </w:rPr>
        <w:t xml:space="preserve"> </w:t>
      </w:r>
      <w:r w:rsidRPr="00945FE6">
        <w:rPr>
          <w:szCs w:val="26"/>
        </w:rPr>
        <w:t xml:space="preserve">by </w:t>
      </w:r>
      <w:r w:rsidRPr="00945FE6" w:rsidR="006F2AFB">
        <w:rPr>
          <w:szCs w:val="26"/>
        </w:rPr>
        <w:t>continuing the conversation</w:t>
      </w:r>
      <w:r w:rsidRPr="00945FE6">
        <w:rPr>
          <w:szCs w:val="26"/>
        </w:rPr>
        <w:t xml:space="preserve"> after </w:t>
      </w:r>
      <w:r w:rsidRPr="00945FE6" w:rsidR="005B4C0F">
        <w:rPr>
          <w:szCs w:val="26"/>
        </w:rPr>
        <w:t>LoanMe activated the</w:t>
      </w:r>
      <w:r w:rsidRPr="00945FE6">
        <w:rPr>
          <w:szCs w:val="26"/>
        </w:rPr>
        <w:t xml:space="preserve"> “beep” tone.  </w:t>
      </w:r>
      <w:r w:rsidRPr="00945FE6" w:rsidR="005B4C0F">
        <w:rPr>
          <w:szCs w:val="26"/>
        </w:rPr>
        <w:t>After listening to the call, t</w:t>
      </w:r>
      <w:r w:rsidRPr="00945FE6">
        <w:rPr>
          <w:szCs w:val="26"/>
        </w:rPr>
        <w:t xml:space="preserve">he trial court agreed with LoanMe that the tone </w:t>
      </w:r>
      <w:r w:rsidRPr="00945FE6" w:rsidR="005B1163">
        <w:rPr>
          <w:szCs w:val="26"/>
        </w:rPr>
        <w:t>gave Smith adequate</w:t>
      </w:r>
      <w:r w:rsidRPr="00945FE6" w:rsidR="00892406">
        <w:rPr>
          <w:szCs w:val="26"/>
        </w:rPr>
        <w:t xml:space="preserve"> notice</w:t>
      </w:r>
      <w:r w:rsidRPr="00945FE6">
        <w:rPr>
          <w:szCs w:val="26"/>
        </w:rPr>
        <w:t xml:space="preserve"> that the call was being recorded.  </w:t>
      </w:r>
      <w:r w:rsidRPr="00945FE6" w:rsidR="00A32877">
        <w:rPr>
          <w:szCs w:val="26"/>
        </w:rPr>
        <w:t>T</w:t>
      </w:r>
      <w:r w:rsidRPr="00945FE6">
        <w:rPr>
          <w:szCs w:val="26"/>
        </w:rPr>
        <w:t>he trial court</w:t>
      </w:r>
      <w:r w:rsidRPr="00945FE6" w:rsidR="00892406">
        <w:rPr>
          <w:szCs w:val="26"/>
        </w:rPr>
        <w:t xml:space="preserve"> subsequently</w:t>
      </w:r>
      <w:r w:rsidRPr="00945FE6">
        <w:rPr>
          <w:szCs w:val="26"/>
        </w:rPr>
        <w:t xml:space="preserve"> entered judgment in LoanMe’s favor.  </w:t>
      </w:r>
    </w:p>
    <w:p w:rsidR="00EB0F8F" w:rsidRPr="00945FE6" w:rsidP="00945FE6" w14:paraId="01B3ED42" w14:textId="3ED784BE">
      <w:pPr>
        <w:tabs>
          <w:tab w:val="left" w:pos="1440"/>
        </w:tabs>
        <w:ind w:firstLine="720"/>
        <w:rPr>
          <w:spacing w:val="-1"/>
          <w:szCs w:val="26"/>
        </w:rPr>
      </w:pPr>
      <w:r w:rsidRPr="00945FE6">
        <w:rPr>
          <w:spacing w:val="-1"/>
          <w:szCs w:val="26"/>
        </w:rPr>
        <w:t xml:space="preserve">When </w:t>
      </w:r>
      <w:r w:rsidRPr="00945FE6" w:rsidR="00892406">
        <w:rPr>
          <w:spacing w:val="-1"/>
          <w:szCs w:val="26"/>
        </w:rPr>
        <w:t>Smith</w:t>
      </w:r>
      <w:r w:rsidRPr="00945FE6" w:rsidR="00261FFA">
        <w:rPr>
          <w:spacing w:val="-1"/>
          <w:szCs w:val="26"/>
        </w:rPr>
        <w:t xml:space="preserve"> </w:t>
      </w:r>
      <w:r w:rsidR="00D64CF0">
        <w:rPr>
          <w:spacing w:val="-1"/>
          <w:szCs w:val="26"/>
        </w:rPr>
        <w:t>sought review</w:t>
      </w:r>
      <w:r w:rsidRPr="00945FE6">
        <w:rPr>
          <w:spacing w:val="-1"/>
          <w:szCs w:val="26"/>
        </w:rPr>
        <w:t>, t</w:t>
      </w:r>
      <w:r w:rsidRPr="00945FE6" w:rsidR="00261FFA">
        <w:rPr>
          <w:spacing w:val="-1"/>
          <w:szCs w:val="26"/>
        </w:rPr>
        <w:t xml:space="preserve">he </w:t>
      </w:r>
      <w:r w:rsidRPr="00945FE6" w:rsidR="00D64CF0">
        <w:rPr>
          <w:spacing w:val="-1"/>
          <w:szCs w:val="26"/>
        </w:rPr>
        <w:t xml:space="preserve">Court of Appeal </w:t>
      </w:r>
      <w:r w:rsidRPr="00945FE6">
        <w:rPr>
          <w:spacing w:val="-1"/>
          <w:szCs w:val="26"/>
        </w:rPr>
        <w:t xml:space="preserve">did not </w:t>
      </w:r>
      <w:r w:rsidRPr="00945FE6" w:rsidR="00EF03B6">
        <w:rPr>
          <w:spacing w:val="-1"/>
          <w:szCs w:val="26"/>
        </w:rPr>
        <w:t>delve into</w:t>
      </w:r>
      <w:r w:rsidRPr="00945FE6" w:rsidR="005E6604">
        <w:rPr>
          <w:spacing w:val="-1"/>
          <w:szCs w:val="26"/>
        </w:rPr>
        <w:t xml:space="preserve"> the </w:t>
      </w:r>
      <w:r w:rsidRPr="00945FE6" w:rsidR="005B4C0F">
        <w:rPr>
          <w:spacing w:val="-1"/>
          <w:szCs w:val="26"/>
        </w:rPr>
        <w:t>consent</w:t>
      </w:r>
      <w:r w:rsidRPr="00945FE6">
        <w:rPr>
          <w:spacing w:val="-1"/>
          <w:szCs w:val="26"/>
        </w:rPr>
        <w:t xml:space="preserve"> issue decided by </w:t>
      </w:r>
      <w:r w:rsidRPr="00945FE6" w:rsidR="005E6604">
        <w:rPr>
          <w:spacing w:val="-1"/>
          <w:szCs w:val="26"/>
        </w:rPr>
        <w:t xml:space="preserve">the </w:t>
      </w:r>
      <w:r w:rsidRPr="00945FE6" w:rsidR="00BE5D0A">
        <w:rPr>
          <w:spacing w:val="-1"/>
          <w:szCs w:val="26"/>
        </w:rPr>
        <w:t>superior</w:t>
      </w:r>
      <w:r w:rsidRPr="00945FE6" w:rsidR="005E6604">
        <w:rPr>
          <w:spacing w:val="-1"/>
          <w:szCs w:val="26"/>
        </w:rPr>
        <w:t xml:space="preserve"> court. </w:t>
      </w:r>
      <w:r w:rsidRPr="00945FE6" w:rsidR="00892406">
        <w:rPr>
          <w:spacing w:val="-1"/>
          <w:szCs w:val="26"/>
        </w:rPr>
        <w:t xml:space="preserve"> </w:t>
      </w:r>
      <w:r w:rsidRPr="00945FE6">
        <w:rPr>
          <w:spacing w:val="-1"/>
          <w:szCs w:val="26"/>
        </w:rPr>
        <w:t>Instead, t</w:t>
      </w:r>
      <w:r w:rsidRPr="00945FE6" w:rsidR="00C20B11">
        <w:rPr>
          <w:spacing w:val="-1"/>
          <w:szCs w:val="26"/>
        </w:rPr>
        <w:t>he</w:t>
      </w:r>
      <w:r w:rsidRPr="00945FE6" w:rsidR="00892406">
        <w:rPr>
          <w:spacing w:val="-1"/>
          <w:szCs w:val="26"/>
        </w:rPr>
        <w:t xml:space="preserve"> </w:t>
      </w:r>
      <w:r w:rsidR="00D64CF0">
        <w:rPr>
          <w:spacing w:val="-1"/>
          <w:szCs w:val="26"/>
        </w:rPr>
        <w:t>reviewing court</w:t>
      </w:r>
      <w:r w:rsidRPr="00945FE6" w:rsidR="00892406">
        <w:rPr>
          <w:spacing w:val="-1"/>
          <w:szCs w:val="26"/>
        </w:rPr>
        <w:t xml:space="preserve"> </w:t>
      </w:r>
      <w:r w:rsidRPr="00945FE6" w:rsidR="005B4C0F">
        <w:rPr>
          <w:spacing w:val="-1"/>
          <w:szCs w:val="26"/>
        </w:rPr>
        <w:t xml:space="preserve">requested </w:t>
      </w:r>
      <w:r w:rsidRPr="00945FE6" w:rsidR="00892406">
        <w:rPr>
          <w:spacing w:val="-1"/>
          <w:szCs w:val="26"/>
        </w:rPr>
        <w:t xml:space="preserve">supplemental </w:t>
      </w:r>
      <w:r w:rsidRPr="00945FE6" w:rsidR="005B4C0F">
        <w:rPr>
          <w:spacing w:val="-1"/>
          <w:szCs w:val="26"/>
        </w:rPr>
        <w:t>briefing</w:t>
      </w:r>
      <w:r w:rsidRPr="00945FE6" w:rsidR="00892406">
        <w:rPr>
          <w:spacing w:val="-1"/>
          <w:szCs w:val="26"/>
        </w:rPr>
        <w:t xml:space="preserve"> </w:t>
      </w:r>
      <w:r w:rsidR="00A222CE">
        <w:rPr>
          <w:spacing w:val="-1"/>
          <w:szCs w:val="26"/>
        </w:rPr>
        <w:t>regarding</w:t>
      </w:r>
      <w:r w:rsidRPr="00945FE6" w:rsidR="005B4C0F">
        <w:rPr>
          <w:spacing w:val="-1"/>
          <w:szCs w:val="26"/>
        </w:rPr>
        <w:t xml:space="preserve"> </w:t>
      </w:r>
      <w:r w:rsidRPr="00945FE6" w:rsidR="00892406">
        <w:rPr>
          <w:spacing w:val="-1"/>
          <w:szCs w:val="26"/>
        </w:rPr>
        <w:t xml:space="preserve">whether section 632.7 </w:t>
      </w:r>
      <w:r w:rsidRPr="00945FE6" w:rsidR="00E46F36">
        <w:rPr>
          <w:spacing w:val="-1"/>
          <w:szCs w:val="26"/>
        </w:rPr>
        <w:t xml:space="preserve">prohibits a party from </w:t>
      </w:r>
      <w:r w:rsidRPr="00945FE6" w:rsidR="004676B0">
        <w:rPr>
          <w:spacing w:val="-1"/>
          <w:szCs w:val="26"/>
        </w:rPr>
        <w:t xml:space="preserve">intentionally </w:t>
      </w:r>
      <w:r w:rsidRPr="00945FE6" w:rsidR="00E46F36">
        <w:rPr>
          <w:spacing w:val="-1"/>
          <w:szCs w:val="26"/>
        </w:rPr>
        <w:t xml:space="preserve">recording a communication </w:t>
      </w:r>
      <w:r w:rsidRPr="00945FE6" w:rsidR="006E1DA9">
        <w:rPr>
          <w:spacing w:val="-1"/>
          <w:szCs w:val="26"/>
        </w:rPr>
        <w:t>transmitted to or from a</w:t>
      </w:r>
      <w:r w:rsidRPr="00945FE6" w:rsidR="00E46F36">
        <w:rPr>
          <w:spacing w:val="-1"/>
          <w:szCs w:val="26"/>
        </w:rPr>
        <w:t xml:space="preserve"> cellular or cordless phone</w:t>
      </w:r>
      <w:r w:rsidRPr="00945FE6">
        <w:rPr>
          <w:spacing w:val="-1"/>
          <w:szCs w:val="26"/>
        </w:rPr>
        <w:t>, or whether</w:t>
      </w:r>
      <w:r w:rsidRPr="00945FE6" w:rsidR="00A972C0">
        <w:rPr>
          <w:spacing w:val="-1"/>
          <w:szCs w:val="26"/>
        </w:rPr>
        <w:t xml:space="preserve"> </w:t>
      </w:r>
      <w:r w:rsidRPr="00945FE6" w:rsidR="00CA7151">
        <w:rPr>
          <w:spacing w:val="-1"/>
          <w:szCs w:val="26"/>
        </w:rPr>
        <w:t>the section</w:t>
      </w:r>
      <w:r w:rsidRPr="00945FE6">
        <w:rPr>
          <w:spacing w:val="-1"/>
          <w:szCs w:val="26"/>
        </w:rPr>
        <w:t xml:space="preserve"> forbids only</w:t>
      </w:r>
      <w:r w:rsidRPr="00945FE6" w:rsidR="00A972C0">
        <w:rPr>
          <w:spacing w:val="-1"/>
          <w:szCs w:val="26"/>
        </w:rPr>
        <w:t xml:space="preserve"> the</w:t>
      </w:r>
      <w:r w:rsidRPr="00945FE6" w:rsidR="004676B0">
        <w:rPr>
          <w:spacing w:val="-1"/>
          <w:szCs w:val="26"/>
        </w:rPr>
        <w:t xml:space="preserve"> intentional</w:t>
      </w:r>
      <w:r w:rsidR="00A222CE">
        <w:rPr>
          <w:spacing w:val="-1"/>
          <w:szCs w:val="26"/>
        </w:rPr>
        <w:t xml:space="preserve"> </w:t>
      </w:r>
      <w:r w:rsidRPr="00945FE6">
        <w:rPr>
          <w:spacing w:val="-1"/>
          <w:szCs w:val="26"/>
        </w:rPr>
        <w:t xml:space="preserve">recording </w:t>
      </w:r>
      <w:r w:rsidRPr="00945FE6" w:rsidR="00A972C0">
        <w:rPr>
          <w:spacing w:val="-1"/>
          <w:szCs w:val="26"/>
        </w:rPr>
        <w:t xml:space="preserve">of such communications </w:t>
      </w:r>
      <w:r w:rsidRPr="00945FE6">
        <w:rPr>
          <w:spacing w:val="-1"/>
          <w:szCs w:val="26"/>
        </w:rPr>
        <w:t xml:space="preserve">by </w:t>
      </w:r>
      <w:r w:rsidRPr="00945FE6" w:rsidR="005572DF">
        <w:rPr>
          <w:spacing w:val="-1"/>
          <w:szCs w:val="26"/>
        </w:rPr>
        <w:t>persons other than parties</w:t>
      </w:r>
      <w:r w:rsidRPr="00945FE6" w:rsidR="00892406">
        <w:rPr>
          <w:spacing w:val="-1"/>
          <w:szCs w:val="26"/>
        </w:rPr>
        <w:t xml:space="preserve">.  </w:t>
      </w:r>
      <w:r w:rsidRPr="00945FE6" w:rsidR="00C20B11">
        <w:rPr>
          <w:spacing w:val="-1"/>
          <w:szCs w:val="26"/>
        </w:rPr>
        <w:t>T</w:t>
      </w:r>
      <w:r w:rsidRPr="00945FE6" w:rsidR="00892406">
        <w:rPr>
          <w:spacing w:val="-1"/>
          <w:szCs w:val="26"/>
        </w:rPr>
        <w:t xml:space="preserve">he </w:t>
      </w:r>
      <w:r w:rsidRPr="00945FE6" w:rsidR="005E6604">
        <w:rPr>
          <w:spacing w:val="-1"/>
          <w:szCs w:val="26"/>
        </w:rPr>
        <w:t>Court of Appeal</w:t>
      </w:r>
      <w:r w:rsidRPr="00945FE6" w:rsidR="00C20B11">
        <w:rPr>
          <w:spacing w:val="-1"/>
          <w:szCs w:val="26"/>
        </w:rPr>
        <w:t xml:space="preserve"> ultimately</w:t>
      </w:r>
      <w:r w:rsidRPr="00945FE6" w:rsidR="005E6604">
        <w:rPr>
          <w:spacing w:val="-1"/>
          <w:szCs w:val="26"/>
        </w:rPr>
        <w:t xml:space="preserve"> </w:t>
      </w:r>
      <w:r w:rsidRPr="00945FE6" w:rsidR="0095714F">
        <w:rPr>
          <w:spacing w:val="-1"/>
          <w:szCs w:val="26"/>
        </w:rPr>
        <w:t>concluded</w:t>
      </w:r>
      <w:r w:rsidRPr="00945FE6" w:rsidR="005E6604">
        <w:rPr>
          <w:spacing w:val="-1"/>
          <w:szCs w:val="26"/>
        </w:rPr>
        <w:t xml:space="preserve"> </w:t>
      </w:r>
      <w:r w:rsidRPr="00945FE6" w:rsidR="00982A66">
        <w:rPr>
          <w:spacing w:val="-1"/>
          <w:szCs w:val="26"/>
        </w:rPr>
        <w:t>“</w:t>
      </w:r>
      <w:r w:rsidRPr="00945FE6" w:rsidR="00994340">
        <w:rPr>
          <w:spacing w:val="-1"/>
          <w:szCs w:val="26"/>
        </w:rPr>
        <w:t>that section 632.7 prohibits only third party eavesdroppers from intentionally recording telephonic communications involving at least one cellular or cordless telephone.  Conversely, section 632.7 does not prohibit the participants in a phone call from intentionally recording it</w:t>
      </w:r>
      <w:r w:rsidRPr="00945FE6" w:rsidR="005E6604">
        <w:rPr>
          <w:spacing w:val="-1"/>
          <w:szCs w:val="26"/>
        </w:rPr>
        <w:t>.</w:t>
      </w:r>
      <w:r w:rsidRPr="00945FE6" w:rsidR="00994340">
        <w:rPr>
          <w:spacing w:val="-1"/>
          <w:szCs w:val="26"/>
        </w:rPr>
        <w:t xml:space="preserve">” </w:t>
      </w:r>
      <w:r w:rsidRPr="00945FE6" w:rsidR="005E6604">
        <w:rPr>
          <w:spacing w:val="-1"/>
          <w:szCs w:val="26"/>
        </w:rPr>
        <w:t xml:space="preserve"> </w:t>
      </w:r>
      <w:r w:rsidRPr="00945FE6">
        <w:rPr>
          <w:spacing w:val="-1"/>
          <w:szCs w:val="26"/>
        </w:rPr>
        <w:t>(</w:t>
      </w:r>
      <w:r w:rsidRPr="00945FE6">
        <w:rPr>
          <w:i/>
          <w:iCs/>
          <w:spacing w:val="-1"/>
          <w:szCs w:val="26"/>
        </w:rPr>
        <w:t>Smith v. LoanMe, Inc.</w:t>
      </w:r>
      <w:r w:rsidRPr="00945FE6">
        <w:rPr>
          <w:spacing w:val="-1"/>
          <w:szCs w:val="26"/>
        </w:rPr>
        <w:t xml:space="preserve"> (2019) 43</w:t>
      </w:r>
      <w:r w:rsidR="00C17F72">
        <w:rPr>
          <w:spacing w:val="-1"/>
          <w:szCs w:val="26"/>
        </w:rPr>
        <w:t> </w:t>
      </w:r>
      <w:r w:rsidRPr="00945FE6">
        <w:rPr>
          <w:spacing w:val="-1"/>
          <w:szCs w:val="26"/>
        </w:rPr>
        <w:t xml:space="preserve">Cal.App.5th 844, </w:t>
      </w:r>
      <w:r w:rsidRPr="00945FE6" w:rsidR="00994340">
        <w:rPr>
          <w:spacing w:val="-1"/>
          <w:szCs w:val="26"/>
        </w:rPr>
        <w:t>848</w:t>
      </w:r>
      <w:r w:rsidRPr="00945FE6" w:rsidR="0028103A">
        <w:rPr>
          <w:spacing w:val="-1"/>
          <w:szCs w:val="26"/>
        </w:rPr>
        <w:t xml:space="preserve"> (</w:t>
      </w:r>
      <w:r w:rsidRPr="00945FE6" w:rsidR="0028103A">
        <w:rPr>
          <w:i/>
          <w:iCs/>
          <w:spacing w:val="-1"/>
          <w:szCs w:val="26"/>
        </w:rPr>
        <w:t>Smith</w:t>
      </w:r>
      <w:r w:rsidRPr="00945FE6" w:rsidR="0028103A">
        <w:rPr>
          <w:spacing w:val="-1"/>
          <w:szCs w:val="26"/>
        </w:rPr>
        <w:t>)</w:t>
      </w:r>
      <w:r w:rsidRPr="00945FE6" w:rsidR="00994340">
        <w:rPr>
          <w:spacing w:val="-1"/>
          <w:szCs w:val="26"/>
        </w:rPr>
        <w:t>.)</w:t>
      </w:r>
      <w:r w:rsidRPr="00945FE6" w:rsidR="0056300B">
        <w:rPr>
          <w:spacing w:val="-1"/>
          <w:szCs w:val="26"/>
        </w:rPr>
        <w:t xml:space="preserve">  </w:t>
      </w:r>
      <w:r w:rsidR="00D64CF0">
        <w:rPr>
          <w:spacing w:val="-1"/>
          <w:szCs w:val="26"/>
        </w:rPr>
        <w:t>The</w:t>
      </w:r>
      <w:r w:rsidRPr="00945FE6" w:rsidR="0056300B">
        <w:rPr>
          <w:spacing w:val="-1"/>
          <w:szCs w:val="26"/>
        </w:rPr>
        <w:t xml:space="preserve"> judgment</w:t>
      </w:r>
      <w:r w:rsidR="00D64CF0">
        <w:rPr>
          <w:spacing w:val="-1"/>
          <w:szCs w:val="26"/>
        </w:rPr>
        <w:t xml:space="preserve"> was affirmed</w:t>
      </w:r>
      <w:r w:rsidRPr="00945FE6" w:rsidR="0056300B">
        <w:rPr>
          <w:spacing w:val="-1"/>
          <w:szCs w:val="26"/>
        </w:rPr>
        <w:t xml:space="preserve"> on this basis.</w:t>
      </w:r>
      <w:r w:rsidRPr="00945FE6" w:rsidR="00982A66">
        <w:rPr>
          <w:spacing w:val="-1"/>
          <w:szCs w:val="26"/>
        </w:rPr>
        <w:t xml:space="preserve">  (</w:t>
      </w:r>
      <w:r w:rsidRPr="00945FE6" w:rsidR="00982A66">
        <w:rPr>
          <w:i/>
          <w:iCs/>
          <w:spacing w:val="-1"/>
          <w:szCs w:val="26"/>
        </w:rPr>
        <w:t>Ibid</w:t>
      </w:r>
      <w:r w:rsidRPr="00945FE6" w:rsidR="00982A66">
        <w:rPr>
          <w:spacing w:val="-1"/>
          <w:szCs w:val="26"/>
        </w:rPr>
        <w:t>.)</w:t>
      </w:r>
    </w:p>
    <w:p w:rsidR="00F93C9E" w:rsidRPr="00945FE6" w:rsidP="00945FE6" w14:paraId="32F8846C" w14:textId="09806F8D">
      <w:pPr>
        <w:tabs>
          <w:tab w:val="left" w:pos="1440"/>
        </w:tabs>
        <w:ind w:firstLine="720"/>
        <w:rPr>
          <w:szCs w:val="26"/>
        </w:rPr>
      </w:pPr>
      <w:r w:rsidRPr="00945FE6">
        <w:rPr>
          <w:szCs w:val="26"/>
        </w:rPr>
        <w:t xml:space="preserve">The </w:t>
      </w:r>
      <w:r w:rsidRPr="00945FE6" w:rsidR="00EB0F8F">
        <w:rPr>
          <w:szCs w:val="26"/>
        </w:rPr>
        <w:t>Court of Appeal</w:t>
      </w:r>
      <w:r w:rsidRPr="00945FE6" w:rsidR="0095714F">
        <w:rPr>
          <w:szCs w:val="26"/>
        </w:rPr>
        <w:t xml:space="preserve"> regarded </w:t>
      </w:r>
      <w:r w:rsidRPr="00945FE6" w:rsidR="002004D1">
        <w:rPr>
          <w:szCs w:val="26"/>
        </w:rPr>
        <w:t>section 632.7</w:t>
      </w:r>
      <w:r w:rsidRPr="00945FE6" w:rsidR="0095714F">
        <w:rPr>
          <w:szCs w:val="26"/>
        </w:rPr>
        <w:t xml:space="preserve"> as unambiguou</w:t>
      </w:r>
      <w:r w:rsidRPr="00945FE6" w:rsidR="0008680E">
        <w:rPr>
          <w:szCs w:val="26"/>
        </w:rPr>
        <w:t>sly applicable only to nonparties</w:t>
      </w:r>
      <w:r w:rsidRPr="00945FE6" w:rsidR="0095714F">
        <w:rPr>
          <w:szCs w:val="26"/>
        </w:rPr>
        <w:t xml:space="preserve">. </w:t>
      </w:r>
      <w:r w:rsidRPr="00945FE6" w:rsidR="0028103A">
        <w:rPr>
          <w:szCs w:val="26"/>
        </w:rPr>
        <w:t xml:space="preserve"> (</w:t>
      </w:r>
      <w:r w:rsidRPr="00945FE6" w:rsidR="0028103A">
        <w:rPr>
          <w:i/>
          <w:iCs/>
          <w:szCs w:val="26"/>
        </w:rPr>
        <w:t>Smith</w:t>
      </w:r>
      <w:r w:rsidRPr="00945FE6" w:rsidR="0028103A">
        <w:rPr>
          <w:szCs w:val="26"/>
        </w:rPr>
        <w:t xml:space="preserve">, </w:t>
      </w:r>
      <w:r w:rsidRPr="00945FE6" w:rsidR="0028103A">
        <w:rPr>
          <w:i/>
          <w:iCs/>
          <w:szCs w:val="26"/>
        </w:rPr>
        <w:t>supra</w:t>
      </w:r>
      <w:r w:rsidRPr="00945FE6" w:rsidR="0028103A">
        <w:rPr>
          <w:szCs w:val="26"/>
        </w:rPr>
        <w:t>, 43</w:t>
      </w:r>
      <w:r w:rsidR="00C17F72">
        <w:rPr>
          <w:szCs w:val="26"/>
        </w:rPr>
        <w:t> </w:t>
      </w:r>
      <w:r w:rsidRPr="00945FE6" w:rsidR="0028103A">
        <w:rPr>
          <w:szCs w:val="26"/>
        </w:rPr>
        <w:t xml:space="preserve">Cal.App.5th at p. 851.) </w:t>
      </w:r>
      <w:r w:rsidRPr="00945FE6" w:rsidR="0095714F">
        <w:rPr>
          <w:szCs w:val="26"/>
        </w:rPr>
        <w:t xml:space="preserve"> It</w:t>
      </w:r>
      <w:r w:rsidRPr="00945FE6">
        <w:rPr>
          <w:szCs w:val="26"/>
        </w:rPr>
        <w:t xml:space="preserve"> reasoned, “The statute . . . requires that the interception or receipt of the </w:t>
      </w:r>
      <w:r w:rsidRPr="00945FE6" w:rsidR="00982A66">
        <w:rPr>
          <w:szCs w:val="26"/>
        </w:rPr>
        <w:t xml:space="preserve">[covered] </w:t>
      </w:r>
      <w:r w:rsidRPr="00945FE6">
        <w:rPr>
          <w:szCs w:val="26"/>
        </w:rPr>
        <w:t>communication be without the parties’ consent.  But the parties to a phone call always consent to the receipt of their communications by each other — that is what it means to be a party to the call (or at least that is part of what it means).  In this case, for example, LoanMe consented to Smith’s receipt of LoanMe’s communications (</w:t>
      </w:r>
      <w:r w:rsidRPr="00945FE6" w:rsidR="0056300B">
        <w:rPr>
          <w:szCs w:val="26"/>
        </w:rPr>
        <w:t>‘</w:t>
      </w:r>
      <w:r w:rsidRPr="00945FE6">
        <w:rPr>
          <w:szCs w:val="26"/>
        </w:rPr>
        <w:t>Is Mrs. Smith there?</w:t>
      </w:r>
      <w:r w:rsidRPr="00945FE6" w:rsidR="0056300B">
        <w:rPr>
          <w:szCs w:val="26"/>
        </w:rPr>
        <w:t>’</w:t>
      </w:r>
      <w:r w:rsidRPr="00945FE6">
        <w:rPr>
          <w:szCs w:val="26"/>
        </w:rPr>
        <w:t>), and Smith consented to LoanMe</w:t>
      </w:r>
      <w:r w:rsidRPr="00945FE6" w:rsidR="005B4C0F">
        <w:rPr>
          <w:szCs w:val="26"/>
        </w:rPr>
        <w:t>’</w:t>
      </w:r>
      <w:r w:rsidRPr="00945FE6">
        <w:rPr>
          <w:szCs w:val="26"/>
        </w:rPr>
        <w:t>s receipt of Smith</w:t>
      </w:r>
      <w:r w:rsidRPr="00945FE6" w:rsidR="005B4C0F">
        <w:rPr>
          <w:szCs w:val="26"/>
        </w:rPr>
        <w:t>’</w:t>
      </w:r>
      <w:r w:rsidRPr="00945FE6">
        <w:rPr>
          <w:szCs w:val="26"/>
        </w:rPr>
        <w:t>s communications (</w:t>
      </w:r>
      <w:r w:rsidRPr="00945FE6" w:rsidR="0056300B">
        <w:rPr>
          <w:szCs w:val="26"/>
        </w:rPr>
        <w:t>‘</w:t>
      </w:r>
      <w:r w:rsidRPr="00945FE6">
        <w:rPr>
          <w:szCs w:val="26"/>
        </w:rPr>
        <w:t>No.</w:t>
      </w:r>
      <w:r w:rsidRPr="00945FE6" w:rsidR="0056300B">
        <w:rPr>
          <w:szCs w:val="26"/>
        </w:rPr>
        <w:t>’</w:t>
      </w:r>
      <w:r w:rsidRPr="00945FE6">
        <w:rPr>
          <w:szCs w:val="26"/>
        </w:rPr>
        <w:t>).  Consequently, the parties to a phone call are incapable of violating section 632.7, because they do not intercept or receive each other</w:t>
      </w:r>
      <w:r w:rsidRPr="00945FE6" w:rsidR="000A154D">
        <w:rPr>
          <w:szCs w:val="26"/>
        </w:rPr>
        <w:t>’</w:t>
      </w:r>
      <w:r w:rsidRPr="00945FE6">
        <w:rPr>
          <w:szCs w:val="26"/>
        </w:rPr>
        <w:t>s communications without all parties’ consent.”</w:t>
      </w:r>
      <w:r w:rsidRPr="00945FE6" w:rsidR="00C20B11">
        <w:rPr>
          <w:szCs w:val="26"/>
        </w:rPr>
        <w:t xml:space="preserve">  </w:t>
      </w:r>
      <w:r w:rsidRPr="00945FE6" w:rsidR="00994340">
        <w:rPr>
          <w:szCs w:val="26"/>
        </w:rPr>
        <w:t>(</w:t>
      </w:r>
      <w:r w:rsidRPr="00945FE6" w:rsidR="0028103A">
        <w:rPr>
          <w:i/>
          <w:iCs/>
          <w:szCs w:val="26"/>
        </w:rPr>
        <w:t>Ibid</w:t>
      </w:r>
      <w:r w:rsidRPr="00945FE6" w:rsidR="00994340">
        <w:rPr>
          <w:szCs w:val="26"/>
        </w:rPr>
        <w:t xml:space="preserve">.)  </w:t>
      </w:r>
    </w:p>
    <w:p w:rsidR="0096740F" w:rsidRPr="00945FE6" w:rsidP="00945FE6" w14:paraId="151DA18B" w14:textId="02278A60">
      <w:pPr>
        <w:tabs>
          <w:tab w:val="left" w:pos="1440"/>
        </w:tabs>
        <w:ind w:firstLine="720"/>
        <w:rPr>
          <w:szCs w:val="26"/>
        </w:rPr>
      </w:pPr>
      <w:r w:rsidRPr="00945FE6">
        <w:rPr>
          <w:szCs w:val="26"/>
        </w:rPr>
        <w:t xml:space="preserve">The Court of Appeal </w:t>
      </w:r>
      <w:r w:rsidRPr="00945FE6" w:rsidR="00994340">
        <w:rPr>
          <w:szCs w:val="26"/>
        </w:rPr>
        <w:t>also</w:t>
      </w:r>
      <w:r w:rsidRPr="00945FE6">
        <w:rPr>
          <w:szCs w:val="26"/>
        </w:rPr>
        <w:t xml:space="preserve"> </w:t>
      </w:r>
      <w:r w:rsidRPr="00945FE6" w:rsidR="00904537">
        <w:rPr>
          <w:szCs w:val="26"/>
        </w:rPr>
        <w:t>saw</w:t>
      </w:r>
      <w:r w:rsidRPr="00945FE6">
        <w:rPr>
          <w:szCs w:val="26"/>
        </w:rPr>
        <w:t xml:space="preserve"> </w:t>
      </w:r>
      <w:r w:rsidRPr="00945FE6" w:rsidR="0028103A">
        <w:rPr>
          <w:szCs w:val="26"/>
        </w:rPr>
        <w:t xml:space="preserve">its </w:t>
      </w:r>
      <w:r w:rsidRPr="00945FE6" w:rsidR="00E46F36">
        <w:rPr>
          <w:szCs w:val="26"/>
        </w:rPr>
        <w:t>interpretation</w:t>
      </w:r>
      <w:r w:rsidRPr="00945FE6" w:rsidR="0028103A">
        <w:rPr>
          <w:szCs w:val="26"/>
        </w:rPr>
        <w:t xml:space="preserve"> of section 632.7</w:t>
      </w:r>
      <w:r w:rsidRPr="00945FE6" w:rsidR="00904537">
        <w:rPr>
          <w:szCs w:val="26"/>
        </w:rPr>
        <w:t xml:space="preserve"> as</w:t>
      </w:r>
      <w:r w:rsidRPr="00945FE6" w:rsidR="0028103A">
        <w:rPr>
          <w:szCs w:val="26"/>
        </w:rPr>
        <w:t xml:space="preserve"> </w:t>
      </w:r>
      <w:r w:rsidRPr="00945FE6" w:rsidR="00DA448F">
        <w:rPr>
          <w:szCs w:val="26"/>
        </w:rPr>
        <w:t>harmoniz</w:t>
      </w:r>
      <w:r w:rsidRPr="00945FE6" w:rsidR="00904537">
        <w:rPr>
          <w:szCs w:val="26"/>
        </w:rPr>
        <w:t>ing</w:t>
      </w:r>
      <w:r w:rsidRPr="00945FE6" w:rsidR="00CA7151">
        <w:rPr>
          <w:szCs w:val="26"/>
        </w:rPr>
        <w:t xml:space="preserve"> this section</w:t>
      </w:r>
      <w:r w:rsidR="004E6EC9">
        <w:rPr>
          <w:szCs w:val="26"/>
        </w:rPr>
        <w:t xml:space="preserve"> </w:t>
      </w:r>
      <w:r w:rsidRPr="00945FE6" w:rsidR="00EA550F">
        <w:rPr>
          <w:szCs w:val="26"/>
        </w:rPr>
        <w:t xml:space="preserve">with </w:t>
      </w:r>
      <w:r w:rsidRPr="00945FE6" w:rsidR="00E46F36">
        <w:rPr>
          <w:szCs w:val="26"/>
        </w:rPr>
        <w:t>sections 632.5 and 632.6</w:t>
      </w:r>
      <w:r w:rsidRPr="00945FE6" w:rsidR="00CF69DE">
        <w:rPr>
          <w:szCs w:val="26"/>
        </w:rPr>
        <w:t xml:space="preserve">, which also address privacy issues </w:t>
      </w:r>
      <w:r w:rsidRPr="00945FE6" w:rsidR="006B47EB">
        <w:rPr>
          <w:szCs w:val="26"/>
        </w:rPr>
        <w:t>implicated by</w:t>
      </w:r>
      <w:r w:rsidRPr="00945FE6" w:rsidR="00CF69DE">
        <w:rPr>
          <w:szCs w:val="26"/>
        </w:rPr>
        <w:t xml:space="preserve"> the use of cellular and cordless phones</w:t>
      </w:r>
      <w:r w:rsidRPr="00945FE6" w:rsidR="00E46F36">
        <w:rPr>
          <w:szCs w:val="26"/>
        </w:rPr>
        <w:t xml:space="preserve">.  </w:t>
      </w:r>
      <w:r w:rsidRPr="00945FE6" w:rsidR="00EA550F">
        <w:rPr>
          <w:szCs w:val="26"/>
        </w:rPr>
        <w:t>S</w:t>
      </w:r>
      <w:r w:rsidRPr="00945FE6" w:rsidR="00F93C9E">
        <w:rPr>
          <w:szCs w:val="26"/>
        </w:rPr>
        <w:t xml:space="preserve">ections 632.5 and 632.6 </w:t>
      </w:r>
      <w:r w:rsidRPr="00945FE6" w:rsidR="0002391F">
        <w:rPr>
          <w:szCs w:val="26"/>
        </w:rPr>
        <w:t>provide for liability</w:t>
      </w:r>
      <w:r w:rsidRPr="00945FE6" w:rsidR="00EA550F">
        <w:rPr>
          <w:szCs w:val="26"/>
        </w:rPr>
        <w:t xml:space="preserve"> when a</w:t>
      </w:r>
      <w:r w:rsidRPr="00945FE6" w:rsidR="00304F1D">
        <w:rPr>
          <w:szCs w:val="26"/>
        </w:rPr>
        <w:t xml:space="preserve"> person</w:t>
      </w:r>
      <w:r w:rsidRPr="00945FE6" w:rsidR="000D37A6">
        <w:rPr>
          <w:szCs w:val="26"/>
        </w:rPr>
        <w:t xml:space="preserve"> </w:t>
      </w:r>
      <w:r w:rsidRPr="00945FE6" w:rsidR="004953BF">
        <w:rPr>
          <w:szCs w:val="26"/>
        </w:rPr>
        <w:t>“</w:t>
      </w:r>
      <w:r w:rsidRPr="00945FE6" w:rsidR="000D37A6">
        <w:rPr>
          <w:szCs w:val="26"/>
        </w:rPr>
        <w:t>malicious</w:t>
      </w:r>
      <w:r w:rsidRPr="00945FE6" w:rsidR="00E46F36">
        <w:rPr>
          <w:szCs w:val="26"/>
        </w:rPr>
        <w:t>ly</w:t>
      </w:r>
      <w:r w:rsidRPr="00945FE6" w:rsidR="000D37A6">
        <w:rPr>
          <w:szCs w:val="26"/>
        </w:rPr>
        <w:t xml:space="preserve"> and</w:t>
      </w:r>
      <w:r w:rsidRPr="00945FE6" w:rsidR="00E46F36">
        <w:rPr>
          <w:szCs w:val="26"/>
        </w:rPr>
        <w:t xml:space="preserve"> without</w:t>
      </w:r>
      <w:r w:rsidRPr="00945FE6" w:rsidR="00EA550F">
        <w:rPr>
          <w:szCs w:val="26"/>
        </w:rPr>
        <w:t xml:space="preserve"> the</w:t>
      </w:r>
      <w:r w:rsidRPr="00945FE6" w:rsidR="00E46F36">
        <w:rPr>
          <w:szCs w:val="26"/>
        </w:rPr>
        <w:t xml:space="preserve"> consent</w:t>
      </w:r>
      <w:r w:rsidRPr="00945FE6" w:rsidR="00EA550F">
        <w:rPr>
          <w:szCs w:val="26"/>
        </w:rPr>
        <w:t xml:space="preserve"> of </w:t>
      </w:r>
      <w:r w:rsidRPr="00945FE6" w:rsidR="00982A66">
        <w:rPr>
          <w:szCs w:val="26"/>
        </w:rPr>
        <w:t>all</w:t>
      </w:r>
      <w:r w:rsidRPr="00945FE6" w:rsidR="00EA550F">
        <w:rPr>
          <w:szCs w:val="26"/>
        </w:rPr>
        <w:t xml:space="preserve"> parties</w:t>
      </w:r>
      <w:r w:rsidRPr="00945FE6" w:rsidR="00982A66">
        <w:rPr>
          <w:szCs w:val="26"/>
        </w:rPr>
        <w:t xml:space="preserve"> to the communication,</w:t>
      </w:r>
      <w:r w:rsidRPr="00945FE6" w:rsidR="000D37A6">
        <w:rPr>
          <w:szCs w:val="26"/>
        </w:rPr>
        <w:t xml:space="preserve"> </w:t>
      </w:r>
      <w:r w:rsidRPr="00945FE6" w:rsidR="00E46F36">
        <w:rPr>
          <w:szCs w:val="26"/>
        </w:rPr>
        <w:t>intercepts</w:t>
      </w:r>
      <w:r w:rsidRPr="00945FE6" w:rsidR="00C0222A">
        <w:rPr>
          <w:szCs w:val="26"/>
        </w:rPr>
        <w:t xml:space="preserve"> . . .</w:t>
      </w:r>
      <w:r w:rsidRPr="00945FE6" w:rsidR="00E46F36">
        <w:rPr>
          <w:szCs w:val="26"/>
        </w:rPr>
        <w:t xml:space="preserve"> </w:t>
      </w:r>
      <w:r w:rsidRPr="00945FE6" w:rsidR="00982A66">
        <w:rPr>
          <w:szCs w:val="26"/>
        </w:rPr>
        <w:t>[</w:t>
      </w:r>
      <w:r w:rsidRPr="00945FE6" w:rsidR="00E46F36">
        <w:rPr>
          <w:szCs w:val="26"/>
        </w:rPr>
        <w:t>or</w:t>
      </w:r>
      <w:r w:rsidRPr="00945FE6" w:rsidR="00982A66">
        <w:rPr>
          <w:szCs w:val="26"/>
        </w:rPr>
        <w:t>]</w:t>
      </w:r>
      <w:r w:rsidRPr="00945FE6" w:rsidR="00E46F36">
        <w:rPr>
          <w:szCs w:val="26"/>
        </w:rPr>
        <w:t xml:space="preserve"> receives</w:t>
      </w:r>
      <w:r w:rsidRPr="00945FE6" w:rsidR="00C67D75">
        <w:rPr>
          <w:szCs w:val="26"/>
        </w:rPr>
        <w:t>”</w:t>
      </w:r>
      <w:r w:rsidRPr="00945FE6" w:rsidR="000D37A6">
        <w:rPr>
          <w:szCs w:val="26"/>
        </w:rPr>
        <w:t xml:space="preserve"> </w:t>
      </w:r>
      <w:r w:rsidRPr="00945FE6" w:rsidR="00904537">
        <w:rPr>
          <w:szCs w:val="26"/>
        </w:rPr>
        <w:t xml:space="preserve">a </w:t>
      </w:r>
      <w:r w:rsidRPr="00945FE6" w:rsidR="000D37A6">
        <w:rPr>
          <w:szCs w:val="26"/>
        </w:rPr>
        <w:t xml:space="preserve">communication </w:t>
      </w:r>
      <w:r w:rsidRPr="00945FE6" w:rsidR="004953BF">
        <w:rPr>
          <w:szCs w:val="26"/>
        </w:rPr>
        <w:t>transmitted between devices including</w:t>
      </w:r>
      <w:r w:rsidRPr="00945FE6" w:rsidR="000D37A6">
        <w:rPr>
          <w:szCs w:val="26"/>
        </w:rPr>
        <w:t xml:space="preserve"> </w:t>
      </w:r>
      <w:r w:rsidRPr="00945FE6" w:rsidR="00904537">
        <w:rPr>
          <w:szCs w:val="26"/>
        </w:rPr>
        <w:t xml:space="preserve">a </w:t>
      </w:r>
      <w:r w:rsidRPr="00945FE6" w:rsidR="000D37A6">
        <w:rPr>
          <w:szCs w:val="26"/>
        </w:rPr>
        <w:t>cellular</w:t>
      </w:r>
      <w:r w:rsidRPr="00945FE6" w:rsidR="00CF69DE">
        <w:rPr>
          <w:szCs w:val="26"/>
        </w:rPr>
        <w:t xml:space="preserve"> </w:t>
      </w:r>
      <w:r w:rsidRPr="00945FE6" w:rsidR="0056300B">
        <w:rPr>
          <w:szCs w:val="26"/>
        </w:rPr>
        <w:t xml:space="preserve">phone </w:t>
      </w:r>
      <w:r w:rsidRPr="00945FE6" w:rsidR="00CF69DE">
        <w:rPr>
          <w:szCs w:val="26"/>
        </w:rPr>
        <w:t>(§ 632.5</w:t>
      </w:r>
      <w:r w:rsidR="00066579">
        <w:rPr>
          <w:szCs w:val="26"/>
        </w:rPr>
        <w:t>, subd. (a)</w:t>
      </w:r>
      <w:r w:rsidR="00796629">
        <w:rPr>
          <w:szCs w:val="26"/>
        </w:rPr>
        <w:t xml:space="preserve"> (hereinafter section 632.5(a))</w:t>
      </w:r>
      <w:r w:rsidRPr="00945FE6" w:rsidR="00CF69DE">
        <w:rPr>
          <w:szCs w:val="26"/>
        </w:rPr>
        <w:t>)</w:t>
      </w:r>
      <w:r w:rsidRPr="00945FE6" w:rsidR="000D37A6">
        <w:rPr>
          <w:szCs w:val="26"/>
        </w:rPr>
        <w:t xml:space="preserve"> </w:t>
      </w:r>
      <w:r w:rsidRPr="00945FE6" w:rsidR="00904537">
        <w:rPr>
          <w:szCs w:val="26"/>
        </w:rPr>
        <w:t>or a</w:t>
      </w:r>
      <w:r w:rsidRPr="00945FE6" w:rsidR="000D37A6">
        <w:rPr>
          <w:szCs w:val="26"/>
        </w:rPr>
        <w:t xml:space="preserve"> cordless </w:t>
      </w:r>
      <w:r w:rsidRPr="00945FE6" w:rsidR="0056300B">
        <w:rPr>
          <w:szCs w:val="26"/>
        </w:rPr>
        <w:t xml:space="preserve">phone </w:t>
      </w:r>
      <w:r w:rsidRPr="00945FE6" w:rsidR="00CF69DE">
        <w:rPr>
          <w:szCs w:val="26"/>
        </w:rPr>
        <w:t>(§ 632.6</w:t>
      </w:r>
      <w:r w:rsidR="00066579">
        <w:rPr>
          <w:szCs w:val="26"/>
        </w:rPr>
        <w:t>, subd. (a)</w:t>
      </w:r>
      <w:r w:rsidR="00796629">
        <w:rPr>
          <w:szCs w:val="26"/>
        </w:rPr>
        <w:t xml:space="preserve"> (hereinafter section 632.6(a))</w:t>
      </w:r>
      <w:r w:rsidRPr="00945FE6" w:rsidR="00CF69DE">
        <w:rPr>
          <w:szCs w:val="26"/>
        </w:rPr>
        <w:t>)</w:t>
      </w:r>
      <w:r w:rsidRPr="00945FE6" w:rsidR="000D37A6">
        <w:rPr>
          <w:szCs w:val="26"/>
        </w:rPr>
        <w:t>.</w:t>
      </w:r>
      <w:r w:rsidRPr="00945FE6" w:rsidR="00BE5D0A">
        <w:rPr>
          <w:szCs w:val="26"/>
        </w:rPr>
        <w:t xml:space="preserve">  </w:t>
      </w:r>
      <w:r w:rsidRPr="00945FE6" w:rsidR="000D37A6">
        <w:rPr>
          <w:szCs w:val="26"/>
        </w:rPr>
        <w:t xml:space="preserve">The </w:t>
      </w:r>
      <w:r w:rsidRPr="00945FE6" w:rsidR="0008680E">
        <w:rPr>
          <w:szCs w:val="26"/>
        </w:rPr>
        <w:t xml:space="preserve">Court of Appeal </w:t>
      </w:r>
      <w:r w:rsidRPr="00945FE6" w:rsidR="00CF69DE">
        <w:rPr>
          <w:szCs w:val="26"/>
        </w:rPr>
        <w:t>determined</w:t>
      </w:r>
      <w:r w:rsidRPr="00945FE6" w:rsidR="000D37A6">
        <w:rPr>
          <w:szCs w:val="26"/>
        </w:rPr>
        <w:t xml:space="preserve"> that </w:t>
      </w:r>
      <w:r w:rsidRPr="00945FE6" w:rsidR="00F93C9E">
        <w:rPr>
          <w:szCs w:val="26"/>
        </w:rPr>
        <w:t xml:space="preserve">these </w:t>
      </w:r>
      <w:r w:rsidRPr="00945FE6" w:rsidR="00982A66">
        <w:rPr>
          <w:szCs w:val="26"/>
        </w:rPr>
        <w:t>sections</w:t>
      </w:r>
      <w:r w:rsidRPr="00945FE6" w:rsidR="000D37A6">
        <w:rPr>
          <w:szCs w:val="26"/>
        </w:rPr>
        <w:t xml:space="preserve"> cannot reasonably be applied to the parties to a phone call</w:t>
      </w:r>
      <w:r w:rsidRPr="00945FE6" w:rsidR="00982A66">
        <w:rPr>
          <w:szCs w:val="26"/>
        </w:rPr>
        <w:t>, for reasons including the fact</w:t>
      </w:r>
      <w:r w:rsidRPr="00945FE6" w:rsidR="000D37A6">
        <w:rPr>
          <w:szCs w:val="26"/>
        </w:rPr>
        <w:t xml:space="preserve"> </w:t>
      </w:r>
      <w:r w:rsidRPr="00945FE6" w:rsidR="00982A66">
        <w:rPr>
          <w:szCs w:val="26"/>
        </w:rPr>
        <w:t>that</w:t>
      </w:r>
      <w:r w:rsidRPr="00945FE6" w:rsidR="0002391F">
        <w:rPr>
          <w:szCs w:val="26"/>
        </w:rPr>
        <w:t xml:space="preserve"> it </w:t>
      </w:r>
      <w:r w:rsidRPr="00945FE6" w:rsidR="00EA550F">
        <w:rPr>
          <w:szCs w:val="26"/>
        </w:rPr>
        <w:t xml:space="preserve">was </w:t>
      </w:r>
      <w:r w:rsidRPr="00945FE6" w:rsidR="00982A66">
        <w:rPr>
          <w:szCs w:val="26"/>
        </w:rPr>
        <w:t>“</w:t>
      </w:r>
      <w:r w:rsidRPr="00945FE6" w:rsidR="00EA550F">
        <w:rPr>
          <w:szCs w:val="26"/>
        </w:rPr>
        <w:t>not</w:t>
      </w:r>
      <w:r w:rsidRPr="00945FE6" w:rsidR="000D37A6">
        <w:rPr>
          <w:szCs w:val="26"/>
        </w:rPr>
        <w:t xml:space="preserve"> clear what it would mean for one party to receive the other party’s communications </w:t>
      </w:r>
      <w:r w:rsidRPr="00945FE6" w:rsidR="000D37A6">
        <w:rPr>
          <w:i/>
          <w:iCs/>
          <w:szCs w:val="26"/>
        </w:rPr>
        <w:t>with</w:t>
      </w:r>
      <w:r w:rsidRPr="00945FE6" w:rsidR="000D37A6">
        <w:rPr>
          <w:szCs w:val="26"/>
        </w:rPr>
        <w:t xml:space="preserve"> </w:t>
      </w:r>
      <w:r w:rsidRPr="00945FE6" w:rsidR="000D37A6">
        <w:rPr>
          <w:i/>
          <w:iCs/>
          <w:szCs w:val="26"/>
        </w:rPr>
        <w:t>malice</w:t>
      </w:r>
      <w:r w:rsidRPr="00945FE6" w:rsidR="000D37A6">
        <w:rPr>
          <w:szCs w:val="26"/>
        </w:rPr>
        <w:t>.”</w:t>
      </w:r>
      <w:r w:rsidRPr="00945FE6" w:rsidR="006751BD">
        <w:rPr>
          <w:szCs w:val="26"/>
        </w:rPr>
        <w:t xml:space="preserve">  (</w:t>
      </w:r>
      <w:r w:rsidRPr="00945FE6" w:rsidR="006751BD">
        <w:rPr>
          <w:i/>
          <w:iCs/>
          <w:szCs w:val="26"/>
        </w:rPr>
        <w:t>Smith</w:t>
      </w:r>
      <w:r w:rsidRPr="00945FE6" w:rsidR="006751BD">
        <w:rPr>
          <w:szCs w:val="26"/>
        </w:rPr>
        <w:t xml:space="preserve">, </w:t>
      </w:r>
      <w:r w:rsidRPr="00945FE6" w:rsidR="00F93C9E">
        <w:rPr>
          <w:i/>
          <w:iCs/>
          <w:szCs w:val="26"/>
        </w:rPr>
        <w:t>supra</w:t>
      </w:r>
      <w:r w:rsidRPr="00945FE6" w:rsidR="00F93C9E">
        <w:rPr>
          <w:szCs w:val="26"/>
        </w:rPr>
        <w:t>, 43</w:t>
      </w:r>
      <w:r w:rsidR="00945FE6">
        <w:rPr>
          <w:szCs w:val="26"/>
        </w:rPr>
        <w:t> </w:t>
      </w:r>
      <w:r w:rsidRPr="00945FE6" w:rsidR="00F93C9E">
        <w:rPr>
          <w:szCs w:val="26"/>
        </w:rPr>
        <w:t xml:space="preserve">Cal.App.5th </w:t>
      </w:r>
      <w:r w:rsidRPr="00945FE6" w:rsidR="006751BD">
        <w:rPr>
          <w:szCs w:val="26"/>
        </w:rPr>
        <w:t>at p. 852.)</w:t>
      </w:r>
      <w:r w:rsidRPr="00945FE6" w:rsidR="0008680E">
        <w:rPr>
          <w:szCs w:val="26"/>
        </w:rPr>
        <w:t xml:space="preserve">  </w:t>
      </w:r>
      <w:r w:rsidRPr="00945FE6" w:rsidR="000A154D">
        <w:rPr>
          <w:szCs w:val="26"/>
        </w:rPr>
        <w:t>Because</w:t>
      </w:r>
      <w:r w:rsidRPr="00945FE6" w:rsidR="00EA550F">
        <w:rPr>
          <w:szCs w:val="26"/>
        </w:rPr>
        <w:t xml:space="preserve"> sections 632.5 and 632.6 </w:t>
      </w:r>
      <w:r w:rsidRPr="00945FE6" w:rsidR="000A154D">
        <w:rPr>
          <w:szCs w:val="26"/>
        </w:rPr>
        <w:t>do not apply</w:t>
      </w:r>
      <w:r w:rsidRPr="00945FE6" w:rsidR="00EA550F">
        <w:rPr>
          <w:szCs w:val="26"/>
        </w:rPr>
        <w:t xml:space="preserve"> to the parties to a communication</w:t>
      </w:r>
      <w:r w:rsidRPr="00945FE6" w:rsidR="0008680E">
        <w:rPr>
          <w:szCs w:val="26"/>
        </w:rPr>
        <w:t xml:space="preserve">, the Court of Appeal </w:t>
      </w:r>
      <w:r w:rsidRPr="00945FE6" w:rsidR="00EA550F">
        <w:rPr>
          <w:szCs w:val="26"/>
        </w:rPr>
        <w:t>reasoned</w:t>
      </w:r>
      <w:r w:rsidRPr="00945FE6" w:rsidR="0008680E">
        <w:rPr>
          <w:szCs w:val="26"/>
        </w:rPr>
        <w:t>, section 632.7</w:t>
      </w:r>
      <w:r w:rsidRPr="00945FE6" w:rsidR="004953BF">
        <w:rPr>
          <w:szCs w:val="26"/>
        </w:rPr>
        <w:t xml:space="preserve"> </w:t>
      </w:r>
      <w:r w:rsidRPr="00945FE6" w:rsidR="0008680E">
        <w:rPr>
          <w:szCs w:val="26"/>
        </w:rPr>
        <w:t xml:space="preserve">should be construed </w:t>
      </w:r>
      <w:r w:rsidRPr="00945FE6" w:rsidR="00DA448F">
        <w:rPr>
          <w:szCs w:val="26"/>
        </w:rPr>
        <w:t>similarly</w:t>
      </w:r>
      <w:r w:rsidRPr="00945FE6" w:rsidR="0008680E">
        <w:rPr>
          <w:szCs w:val="26"/>
        </w:rPr>
        <w:t>.</w:t>
      </w:r>
      <w:r w:rsidRPr="00945FE6" w:rsidR="006751BD">
        <w:rPr>
          <w:szCs w:val="26"/>
        </w:rPr>
        <w:t xml:space="preserve"> </w:t>
      </w:r>
      <w:r w:rsidRPr="00945FE6" w:rsidR="000D37A6">
        <w:rPr>
          <w:szCs w:val="26"/>
        </w:rPr>
        <w:t xml:space="preserve"> </w:t>
      </w:r>
      <w:r w:rsidRPr="00945FE6" w:rsidR="00F33C46">
        <w:rPr>
          <w:szCs w:val="26"/>
        </w:rPr>
        <w:t>(</w:t>
      </w:r>
      <w:r w:rsidRPr="00945FE6" w:rsidR="00F33C46">
        <w:rPr>
          <w:i/>
          <w:iCs/>
          <w:szCs w:val="26"/>
        </w:rPr>
        <w:t>Smith</w:t>
      </w:r>
      <w:r w:rsidRPr="00945FE6" w:rsidR="00F33C46">
        <w:rPr>
          <w:szCs w:val="26"/>
        </w:rPr>
        <w:t xml:space="preserve">, at pp. 851–852.)  </w:t>
      </w:r>
      <w:r w:rsidR="00022E30">
        <w:rPr>
          <w:szCs w:val="26"/>
        </w:rPr>
        <w:t>The</w:t>
      </w:r>
      <w:r w:rsidRPr="00945FE6" w:rsidR="00022E30">
        <w:rPr>
          <w:szCs w:val="26"/>
        </w:rPr>
        <w:t xml:space="preserve"> Court of Appeal </w:t>
      </w:r>
      <w:r w:rsidR="00022E30">
        <w:rPr>
          <w:szCs w:val="26"/>
        </w:rPr>
        <w:t xml:space="preserve">also </w:t>
      </w:r>
      <w:r w:rsidRPr="00945FE6" w:rsidR="00022E30">
        <w:rPr>
          <w:szCs w:val="26"/>
        </w:rPr>
        <w:t>saw it as “absurd” for a party to be held liable under section 632.7 for recording a call when it was “pure happenstance” whether the other party or parties were using cellular or cordless phones, as opposed to landline phones.  (</w:t>
      </w:r>
      <w:r w:rsidRPr="00945FE6" w:rsidR="00022E30">
        <w:rPr>
          <w:i/>
          <w:iCs/>
          <w:szCs w:val="26"/>
        </w:rPr>
        <w:t>Smith</w:t>
      </w:r>
      <w:r w:rsidRPr="00945FE6" w:rsidR="00022E30">
        <w:rPr>
          <w:szCs w:val="26"/>
        </w:rPr>
        <w:t>, at p. 853.)</w:t>
      </w:r>
    </w:p>
    <w:p w:rsidR="00C20B11" w:rsidRPr="00945FE6" w:rsidP="00945FE6" w14:paraId="4A5980BC" w14:textId="3C146F70">
      <w:pPr>
        <w:tabs>
          <w:tab w:val="left" w:pos="1440"/>
        </w:tabs>
        <w:ind w:firstLine="720"/>
        <w:rPr>
          <w:szCs w:val="26"/>
        </w:rPr>
      </w:pPr>
      <w:r>
        <w:rPr>
          <w:szCs w:val="26"/>
        </w:rPr>
        <w:t>Finally, t</w:t>
      </w:r>
      <w:r w:rsidRPr="00945FE6" w:rsidR="000351B9">
        <w:rPr>
          <w:szCs w:val="26"/>
        </w:rPr>
        <w:t>he Court of Appeal also</w:t>
      </w:r>
      <w:r w:rsidRPr="00945FE6" w:rsidR="00BE5D0A">
        <w:rPr>
          <w:szCs w:val="26"/>
        </w:rPr>
        <w:t xml:space="preserve"> </w:t>
      </w:r>
      <w:r w:rsidRPr="00945FE6" w:rsidR="00F93C9E">
        <w:rPr>
          <w:szCs w:val="26"/>
        </w:rPr>
        <w:t xml:space="preserve">saw its reading of section 632.7 as </w:t>
      </w:r>
      <w:r w:rsidR="00C42463">
        <w:rPr>
          <w:szCs w:val="26"/>
        </w:rPr>
        <w:t>accordant</w:t>
      </w:r>
      <w:r w:rsidR="00524C25">
        <w:rPr>
          <w:szCs w:val="26"/>
        </w:rPr>
        <w:t xml:space="preserve"> with </w:t>
      </w:r>
      <w:r w:rsidRPr="00945FE6" w:rsidR="00F93C9E">
        <w:rPr>
          <w:szCs w:val="26"/>
        </w:rPr>
        <w:t>the</w:t>
      </w:r>
      <w:r w:rsidRPr="00945FE6" w:rsidR="004953BF">
        <w:rPr>
          <w:szCs w:val="26"/>
        </w:rPr>
        <w:t xml:space="preserve"> relevant</w:t>
      </w:r>
      <w:r w:rsidRPr="00945FE6" w:rsidR="00F93C9E">
        <w:rPr>
          <w:szCs w:val="26"/>
        </w:rPr>
        <w:t xml:space="preserve"> legislative history</w:t>
      </w:r>
      <w:r w:rsidRPr="00945FE6" w:rsidR="00CF69DE">
        <w:rPr>
          <w:szCs w:val="26"/>
        </w:rPr>
        <w:t xml:space="preserve">.  </w:t>
      </w:r>
      <w:r w:rsidRPr="00945FE6" w:rsidR="000351B9">
        <w:rPr>
          <w:szCs w:val="26"/>
        </w:rPr>
        <w:t>The court</w:t>
      </w:r>
      <w:r w:rsidRPr="00945FE6" w:rsidR="00BD2796">
        <w:rPr>
          <w:szCs w:val="26"/>
        </w:rPr>
        <w:t xml:space="preserve"> observed that i</w:t>
      </w:r>
      <w:r w:rsidRPr="00945FE6" w:rsidR="00EB0B21">
        <w:rPr>
          <w:szCs w:val="26"/>
        </w:rPr>
        <w:t xml:space="preserve">n materials </w:t>
      </w:r>
      <w:r w:rsidRPr="00945FE6" w:rsidR="00597A9D">
        <w:rPr>
          <w:szCs w:val="26"/>
        </w:rPr>
        <w:t>generated</w:t>
      </w:r>
      <w:r w:rsidRPr="00945FE6" w:rsidR="00EB0B21">
        <w:rPr>
          <w:szCs w:val="26"/>
        </w:rPr>
        <w:t xml:space="preserve"> </w:t>
      </w:r>
      <w:r w:rsidR="00066579">
        <w:rPr>
          <w:szCs w:val="26"/>
        </w:rPr>
        <w:t>during</w:t>
      </w:r>
      <w:r w:rsidRPr="00945FE6" w:rsidR="00EB0B21">
        <w:rPr>
          <w:szCs w:val="26"/>
        </w:rPr>
        <w:t xml:space="preserve"> </w:t>
      </w:r>
      <w:r w:rsidRPr="00945FE6" w:rsidR="00597A9D">
        <w:rPr>
          <w:szCs w:val="26"/>
        </w:rPr>
        <w:t xml:space="preserve">legislative </w:t>
      </w:r>
      <w:r w:rsidRPr="00945FE6" w:rsidR="00EB0B21">
        <w:rPr>
          <w:szCs w:val="26"/>
        </w:rPr>
        <w:t xml:space="preserve">deliberations </w:t>
      </w:r>
      <w:r w:rsidRPr="00945FE6" w:rsidR="000A154D">
        <w:rPr>
          <w:szCs w:val="26"/>
        </w:rPr>
        <w:t>regarding</w:t>
      </w:r>
      <w:r w:rsidRPr="00945FE6" w:rsidR="00EB0B21">
        <w:rPr>
          <w:szCs w:val="26"/>
        </w:rPr>
        <w:t xml:space="preserve"> Assembly Bill No. 2465 (1991</w:t>
      </w:r>
      <w:r w:rsidRPr="00945FE6" w:rsidR="006E70C6">
        <w:rPr>
          <w:szCs w:val="26"/>
        </w:rPr>
        <w:t>–</w:t>
      </w:r>
      <w:r w:rsidRPr="00945FE6" w:rsidR="00EB0B21">
        <w:rPr>
          <w:szCs w:val="26"/>
        </w:rPr>
        <w:t xml:space="preserve">1992 </w:t>
      </w:r>
      <w:r w:rsidR="00C42463">
        <w:rPr>
          <w:szCs w:val="26"/>
        </w:rPr>
        <w:t>R</w:t>
      </w:r>
      <w:r w:rsidRPr="00945FE6" w:rsidR="00EB0B21">
        <w:rPr>
          <w:szCs w:val="26"/>
        </w:rPr>
        <w:t xml:space="preserve">eg. </w:t>
      </w:r>
      <w:r w:rsidR="00C42463">
        <w:rPr>
          <w:szCs w:val="26"/>
        </w:rPr>
        <w:t>S</w:t>
      </w:r>
      <w:r w:rsidRPr="00945FE6" w:rsidR="00EB0B21">
        <w:rPr>
          <w:szCs w:val="26"/>
        </w:rPr>
        <w:t>ess.) (hereinafter A</w:t>
      </w:r>
      <w:r w:rsidR="00BD5654">
        <w:rPr>
          <w:szCs w:val="26"/>
        </w:rPr>
        <w:t xml:space="preserve">ssembly </w:t>
      </w:r>
      <w:r w:rsidRPr="00945FE6" w:rsidR="00EB0B21">
        <w:rPr>
          <w:szCs w:val="26"/>
        </w:rPr>
        <w:t>B</w:t>
      </w:r>
      <w:r w:rsidR="00BD5654">
        <w:rPr>
          <w:szCs w:val="26"/>
        </w:rPr>
        <w:t>ill</w:t>
      </w:r>
      <w:r w:rsidRPr="00945FE6" w:rsidR="00EB0B21">
        <w:rPr>
          <w:szCs w:val="26"/>
        </w:rPr>
        <w:t xml:space="preserve"> 2465),</w:t>
      </w:r>
      <w:r w:rsidRPr="00945FE6" w:rsidR="00597A9D">
        <w:rPr>
          <w:szCs w:val="26"/>
        </w:rPr>
        <w:t xml:space="preserve"> the measure through which section 632.7 was </w:t>
      </w:r>
      <w:r w:rsidRPr="00945FE6" w:rsidR="006B47EB">
        <w:rPr>
          <w:szCs w:val="26"/>
        </w:rPr>
        <w:t>added to the Penal Code</w:t>
      </w:r>
      <w:r w:rsidRPr="00945FE6" w:rsidR="00597A9D">
        <w:rPr>
          <w:szCs w:val="26"/>
        </w:rPr>
        <w:t>,</w:t>
      </w:r>
      <w:r w:rsidRPr="00945FE6" w:rsidR="00EB0B21">
        <w:rPr>
          <w:szCs w:val="26"/>
        </w:rPr>
        <w:t xml:space="preserve"> </w:t>
      </w:r>
      <w:r w:rsidRPr="00945FE6" w:rsidR="0008680E">
        <w:rPr>
          <w:szCs w:val="26"/>
        </w:rPr>
        <w:t>the Legislature</w:t>
      </w:r>
      <w:r w:rsidRPr="00945FE6" w:rsidR="00994340">
        <w:rPr>
          <w:szCs w:val="26"/>
        </w:rPr>
        <w:t xml:space="preserve"> “never shows any concern about recording by parties</w:t>
      </w:r>
      <w:r w:rsidRPr="00945FE6" w:rsidR="005B4C0F">
        <w:rPr>
          <w:szCs w:val="26"/>
        </w:rPr>
        <w:t>.</w:t>
      </w:r>
      <w:r w:rsidRPr="00945FE6" w:rsidR="00994340">
        <w:rPr>
          <w:szCs w:val="26"/>
        </w:rPr>
        <w:t>”  (</w:t>
      </w:r>
      <w:r w:rsidRPr="00945FE6" w:rsidR="00DA448F">
        <w:rPr>
          <w:i/>
          <w:iCs/>
          <w:szCs w:val="26"/>
        </w:rPr>
        <w:t>Smith</w:t>
      </w:r>
      <w:r w:rsidRPr="00945FE6" w:rsidR="00994340">
        <w:rPr>
          <w:szCs w:val="26"/>
        </w:rPr>
        <w:t xml:space="preserve">, </w:t>
      </w:r>
      <w:r w:rsidRPr="00945FE6" w:rsidR="002004D1">
        <w:rPr>
          <w:i/>
          <w:iCs/>
          <w:szCs w:val="26"/>
        </w:rPr>
        <w:t>supra</w:t>
      </w:r>
      <w:r w:rsidRPr="00945FE6" w:rsidR="002004D1">
        <w:rPr>
          <w:szCs w:val="26"/>
        </w:rPr>
        <w:t xml:space="preserve">, 43 Cal.App.5th </w:t>
      </w:r>
      <w:r w:rsidRPr="00945FE6" w:rsidR="00994340">
        <w:rPr>
          <w:szCs w:val="26"/>
        </w:rPr>
        <w:t>at p.</w:t>
      </w:r>
      <w:r w:rsidRPr="00945FE6" w:rsidR="0056300B">
        <w:rPr>
          <w:szCs w:val="26"/>
        </w:rPr>
        <w:t> </w:t>
      </w:r>
      <w:r w:rsidRPr="00945FE6" w:rsidR="00994340">
        <w:rPr>
          <w:szCs w:val="26"/>
        </w:rPr>
        <w:t>859.)</w:t>
      </w:r>
      <w:r w:rsidRPr="00945FE6" w:rsidR="000351B9">
        <w:rPr>
          <w:szCs w:val="26"/>
        </w:rPr>
        <w:t xml:space="preserve">  </w:t>
      </w:r>
    </w:p>
    <w:p w:rsidR="0095714F" w:rsidRPr="00945FE6" w:rsidP="00945FE6" w14:paraId="57126E1D" w14:textId="1A06BC1B">
      <w:pPr>
        <w:tabs>
          <w:tab w:val="left" w:pos="1440"/>
        </w:tabs>
        <w:ind w:firstLine="720"/>
        <w:rPr>
          <w:szCs w:val="26"/>
        </w:rPr>
      </w:pPr>
      <w:r w:rsidRPr="00945FE6">
        <w:rPr>
          <w:szCs w:val="26"/>
        </w:rPr>
        <w:t>We granted review.</w:t>
      </w:r>
    </w:p>
    <w:p w:rsidR="0095714F" w:rsidRPr="00945FE6" w:rsidP="00062B54" w14:paraId="0F6B15E4" w14:textId="4B2B91DA">
      <w:pPr>
        <w:pStyle w:val="Heading1"/>
      </w:pPr>
      <w:r w:rsidRPr="00EC0C84">
        <w:t>Discussion</w:t>
      </w:r>
    </w:p>
    <w:p w:rsidR="0002398C" w:rsidRPr="00945FE6" w:rsidP="0010015A" w14:paraId="71073F07" w14:textId="6A5D8B49">
      <w:pPr>
        <w:keepNext/>
        <w:tabs>
          <w:tab w:val="left" w:pos="1440"/>
        </w:tabs>
        <w:ind w:firstLine="720"/>
        <w:rPr>
          <w:szCs w:val="26"/>
        </w:rPr>
      </w:pPr>
      <w:r w:rsidRPr="00945FE6">
        <w:rPr>
          <w:szCs w:val="26"/>
        </w:rPr>
        <w:t xml:space="preserve">The discussion below proceeds as follows.  </w:t>
      </w:r>
      <w:r w:rsidR="00D3578B">
        <w:rPr>
          <w:szCs w:val="26"/>
        </w:rPr>
        <w:t>We</w:t>
      </w:r>
      <w:r w:rsidRPr="00945FE6">
        <w:rPr>
          <w:szCs w:val="26"/>
        </w:rPr>
        <w:t xml:space="preserve"> first </w:t>
      </w:r>
      <w:r w:rsidR="00066579">
        <w:rPr>
          <w:szCs w:val="26"/>
        </w:rPr>
        <w:t>examine</w:t>
      </w:r>
      <w:r w:rsidRPr="00945FE6">
        <w:rPr>
          <w:szCs w:val="26"/>
        </w:rPr>
        <w:t xml:space="preserve"> the text of section 632.7(a)</w:t>
      </w:r>
      <w:r w:rsidRPr="00945FE6" w:rsidR="005E27E8">
        <w:rPr>
          <w:szCs w:val="26"/>
        </w:rPr>
        <w:t>,</w:t>
      </w:r>
      <w:r w:rsidRPr="00945FE6" w:rsidR="00597A9D">
        <w:rPr>
          <w:szCs w:val="26"/>
        </w:rPr>
        <w:t xml:space="preserve"> </w:t>
      </w:r>
      <w:r w:rsidR="00C44242">
        <w:rPr>
          <w:szCs w:val="26"/>
        </w:rPr>
        <w:t xml:space="preserve">which we determine </w:t>
      </w:r>
      <w:r w:rsidRPr="00945FE6" w:rsidR="00F75535">
        <w:rPr>
          <w:szCs w:val="26"/>
        </w:rPr>
        <w:t>is</w:t>
      </w:r>
      <w:r w:rsidRPr="00945FE6" w:rsidR="00CF3E79">
        <w:rPr>
          <w:szCs w:val="26"/>
        </w:rPr>
        <w:t xml:space="preserve"> most naturally </w:t>
      </w:r>
      <w:r w:rsidRPr="00945FE6" w:rsidR="006B47EB">
        <w:rPr>
          <w:szCs w:val="26"/>
        </w:rPr>
        <w:t>read</w:t>
      </w:r>
      <w:r w:rsidRPr="00945FE6" w:rsidR="005E27E8">
        <w:rPr>
          <w:szCs w:val="26"/>
        </w:rPr>
        <w:t xml:space="preserve"> as prohibiting </w:t>
      </w:r>
      <w:r w:rsidRPr="00945FE6" w:rsidR="0002391F">
        <w:rPr>
          <w:szCs w:val="26"/>
        </w:rPr>
        <w:t>both parties and nonparties from</w:t>
      </w:r>
      <w:r w:rsidRPr="00945FE6" w:rsidR="005E27E8">
        <w:rPr>
          <w:szCs w:val="26"/>
        </w:rPr>
        <w:t xml:space="preserve"> </w:t>
      </w:r>
      <w:r w:rsidRPr="00945FE6" w:rsidR="0002391F">
        <w:rPr>
          <w:szCs w:val="26"/>
        </w:rPr>
        <w:t>intentionally</w:t>
      </w:r>
      <w:r w:rsidRPr="00945FE6" w:rsidR="005E27E8">
        <w:rPr>
          <w:szCs w:val="26"/>
        </w:rPr>
        <w:t xml:space="preserve"> recording </w:t>
      </w:r>
      <w:r w:rsidRPr="00945FE6" w:rsidR="0002391F">
        <w:rPr>
          <w:szCs w:val="26"/>
        </w:rPr>
        <w:t>a</w:t>
      </w:r>
      <w:r w:rsidRPr="00945FE6" w:rsidR="005E27E8">
        <w:rPr>
          <w:szCs w:val="26"/>
        </w:rPr>
        <w:t xml:space="preserve"> </w:t>
      </w:r>
      <w:r w:rsidRPr="00945FE6" w:rsidR="00597A9D">
        <w:rPr>
          <w:szCs w:val="26"/>
        </w:rPr>
        <w:t xml:space="preserve">covered </w:t>
      </w:r>
      <w:r w:rsidRPr="00945FE6" w:rsidR="005E27E8">
        <w:rPr>
          <w:szCs w:val="26"/>
        </w:rPr>
        <w:t>communication</w:t>
      </w:r>
      <w:r w:rsidRPr="00945FE6" w:rsidR="006E70C6">
        <w:rPr>
          <w:szCs w:val="26"/>
        </w:rPr>
        <w:t xml:space="preserve"> </w:t>
      </w:r>
      <w:r w:rsidRPr="00945FE6" w:rsidR="0002391F">
        <w:rPr>
          <w:szCs w:val="26"/>
        </w:rPr>
        <w:t xml:space="preserve">without the consent of all </w:t>
      </w:r>
      <w:r w:rsidRPr="00945FE6" w:rsidR="005E27E8">
        <w:rPr>
          <w:szCs w:val="26"/>
        </w:rPr>
        <w:t>parties</w:t>
      </w:r>
      <w:r w:rsidRPr="00945FE6" w:rsidR="00BD2796">
        <w:rPr>
          <w:szCs w:val="26"/>
        </w:rPr>
        <w:t xml:space="preserve"> to the communication</w:t>
      </w:r>
      <w:r w:rsidRPr="00945FE6" w:rsidR="005E27E8">
        <w:rPr>
          <w:szCs w:val="26"/>
        </w:rPr>
        <w:t xml:space="preserve">.  </w:t>
      </w:r>
      <w:r w:rsidRPr="00945FE6" w:rsidR="00CF3E79">
        <w:rPr>
          <w:szCs w:val="26"/>
        </w:rPr>
        <w:t xml:space="preserve">Because the text conceivably could support the Court of Appeal’s interpretation as well, however, </w:t>
      </w:r>
      <w:r w:rsidR="00D3578B">
        <w:rPr>
          <w:szCs w:val="26"/>
        </w:rPr>
        <w:t>we</w:t>
      </w:r>
      <w:r w:rsidRPr="00945FE6" w:rsidR="00CF3E79">
        <w:rPr>
          <w:szCs w:val="26"/>
        </w:rPr>
        <w:t xml:space="preserve"> also </w:t>
      </w:r>
      <w:r w:rsidRPr="00945FE6" w:rsidR="00F75535">
        <w:rPr>
          <w:szCs w:val="26"/>
        </w:rPr>
        <w:t>consult the legislative history and public policy</w:t>
      </w:r>
      <w:r w:rsidRPr="00945FE6" w:rsidR="00CF3E79">
        <w:rPr>
          <w:szCs w:val="26"/>
        </w:rPr>
        <w:t xml:space="preserve"> </w:t>
      </w:r>
      <w:r w:rsidRPr="00945FE6" w:rsidR="00F75535">
        <w:rPr>
          <w:szCs w:val="26"/>
        </w:rPr>
        <w:t>as additional</w:t>
      </w:r>
      <w:r w:rsidRPr="00945FE6" w:rsidR="00CF3E79">
        <w:rPr>
          <w:szCs w:val="26"/>
        </w:rPr>
        <w:t xml:space="preserve"> </w:t>
      </w:r>
      <w:r w:rsidRPr="00945FE6" w:rsidR="00F75535">
        <w:rPr>
          <w:szCs w:val="26"/>
        </w:rPr>
        <w:t>tools</w:t>
      </w:r>
      <w:r w:rsidRPr="00945FE6" w:rsidR="00CF3E79">
        <w:rPr>
          <w:szCs w:val="26"/>
        </w:rPr>
        <w:t xml:space="preserve"> to </w:t>
      </w:r>
      <w:r w:rsidRPr="00945FE6" w:rsidR="00F75535">
        <w:rPr>
          <w:szCs w:val="26"/>
        </w:rPr>
        <w:t>ascertain</w:t>
      </w:r>
      <w:r w:rsidRPr="00945FE6" w:rsidR="00CF3E79">
        <w:rPr>
          <w:szCs w:val="26"/>
        </w:rPr>
        <w:t xml:space="preserve"> the Legislature’s </w:t>
      </w:r>
      <w:r w:rsidRPr="00945FE6" w:rsidR="00F75535">
        <w:rPr>
          <w:szCs w:val="26"/>
        </w:rPr>
        <w:t>intent</w:t>
      </w:r>
      <w:r w:rsidRPr="00945FE6" w:rsidR="00CF3E79">
        <w:rPr>
          <w:szCs w:val="26"/>
        </w:rPr>
        <w:t xml:space="preserve">.  </w:t>
      </w:r>
      <w:r w:rsidR="002764BC">
        <w:rPr>
          <w:szCs w:val="26"/>
        </w:rPr>
        <w:t>Upon review of these resources, we conclude that this s</w:t>
      </w:r>
      <w:r w:rsidRPr="00945FE6" w:rsidR="00E91E62">
        <w:rPr>
          <w:szCs w:val="26"/>
        </w:rPr>
        <w:t xml:space="preserve">ection </w:t>
      </w:r>
      <w:r w:rsidRPr="00945FE6" w:rsidR="0056300B">
        <w:rPr>
          <w:szCs w:val="26"/>
        </w:rPr>
        <w:t>appl</w:t>
      </w:r>
      <w:r w:rsidR="002764BC">
        <w:rPr>
          <w:szCs w:val="26"/>
        </w:rPr>
        <w:t>ies</w:t>
      </w:r>
      <w:r w:rsidRPr="00945FE6" w:rsidR="0056300B">
        <w:rPr>
          <w:szCs w:val="26"/>
        </w:rPr>
        <w:t xml:space="preserve"> to</w:t>
      </w:r>
      <w:r w:rsidRPr="00945FE6" w:rsidR="0002391F">
        <w:rPr>
          <w:szCs w:val="26"/>
        </w:rPr>
        <w:t xml:space="preserve"> the intentional</w:t>
      </w:r>
      <w:r w:rsidRPr="00945FE6" w:rsidR="00E91E62">
        <w:rPr>
          <w:szCs w:val="26"/>
        </w:rPr>
        <w:t xml:space="preserve"> recording </w:t>
      </w:r>
      <w:r w:rsidRPr="00945FE6" w:rsidR="0002391F">
        <w:rPr>
          <w:szCs w:val="26"/>
        </w:rPr>
        <w:t xml:space="preserve">of a </w:t>
      </w:r>
      <w:r w:rsidRPr="00945FE6" w:rsidR="006E70C6">
        <w:rPr>
          <w:szCs w:val="26"/>
        </w:rPr>
        <w:t xml:space="preserve">covered </w:t>
      </w:r>
      <w:r w:rsidRPr="00945FE6" w:rsidR="0002391F">
        <w:rPr>
          <w:szCs w:val="26"/>
        </w:rPr>
        <w:t>communication</w:t>
      </w:r>
      <w:r w:rsidRPr="00945FE6" w:rsidR="00EB7E49">
        <w:rPr>
          <w:szCs w:val="26"/>
        </w:rPr>
        <w:t xml:space="preserve"> </w:t>
      </w:r>
      <w:r w:rsidRPr="00945FE6" w:rsidR="00597A9D">
        <w:rPr>
          <w:szCs w:val="26"/>
        </w:rPr>
        <w:t xml:space="preserve">regardless of </w:t>
      </w:r>
      <w:r w:rsidRPr="00945FE6" w:rsidR="00EB7E49">
        <w:rPr>
          <w:szCs w:val="26"/>
        </w:rPr>
        <w:t>whether th</w:t>
      </w:r>
      <w:r w:rsidR="00AC4560">
        <w:rPr>
          <w:szCs w:val="26"/>
        </w:rPr>
        <w:t>e</w:t>
      </w:r>
      <w:r w:rsidRPr="00945FE6" w:rsidR="00EB7E49">
        <w:rPr>
          <w:szCs w:val="26"/>
        </w:rPr>
        <w:t xml:space="preserve"> recording is performed</w:t>
      </w:r>
      <w:r w:rsidRPr="00945FE6" w:rsidR="0002391F">
        <w:rPr>
          <w:szCs w:val="26"/>
        </w:rPr>
        <w:t xml:space="preserve"> by a</w:t>
      </w:r>
      <w:r w:rsidRPr="00945FE6" w:rsidR="00E91E62">
        <w:rPr>
          <w:szCs w:val="26"/>
        </w:rPr>
        <w:t xml:space="preserve"> </w:t>
      </w:r>
      <w:r w:rsidRPr="00945FE6" w:rsidR="0002391F">
        <w:rPr>
          <w:szCs w:val="26"/>
        </w:rPr>
        <w:t>party to the communication</w:t>
      </w:r>
      <w:r w:rsidR="00C10B7D">
        <w:rPr>
          <w:szCs w:val="26"/>
        </w:rPr>
        <w:t>,</w:t>
      </w:r>
      <w:r w:rsidRPr="00945FE6" w:rsidR="00873239">
        <w:rPr>
          <w:szCs w:val="26"/>
        </w:rPr>
        <w:t xml:space="preserve"> or by </w:t>
      </w:r>
      <w:r w:rsidR="00C42463">
        <w:rPr>
          <w:szCs w:val="26"/>
        </w:rPr>
        <w:t>a nonparty</w:t>
      </w:r>
      <w:r w:rsidRPr="00945FE6" w:rsidR="0002391F">
        <w:rPr>
          <w:szCs w:val="26"/>
        </w:rPr>
        <w:t xml:space="preserve">. </w:t>
      </w:r>
      <w:r w:rsidRPr="00945FE6" w:rsidR="00E91E62">
        <w:rPr>
          <w:szCs w:val="26"/>
        </w:rPr>
        <w:t xml:space="preserve"> </w:t>
      </w:r>
    </w:p>
    <w:p w:rsidR="00E91E62" w:rsidRPr="00EC0C84" w:rsidP="00062B54" w14:paraId="59BE3995" w14:textId="34CBF136">
      <w:pPr>
        <w:pStyle w:val="Heading2"/>
      </w:pPr>
      <w:r w:rsidRPr="00EC0C84">
        <w:t>General P</w:t>
      </w:r>
      <w:r w:rsidRPr="00100B54">
        <w:t>rinciples</w:t>
      </w:r>
    </w:p>
    <w:p w:rsidR="00186D5A" w:rsidRPr="00945FE6" w:rsidP="00062B54" w14:paraId="2FDE3056" w14:textId="78772B84">
      <w:pPr>
        <w:keepNext/>
        <w:tabs>
          <w:tab w:val="left" w:pos="1440"/>
        </w:tabs>
        <w:ind w:firstLine="720"/>
        <w:rPr>
          <w:szCs w:val="26"/>
        </w:rPr>
      </w:pPr>
      <w:r w:rsidRPr="00945FE6">
        <w:rPr>
          <w:szCs w:val="26"/>
        </w:rPr>
        <w:t>“</w:t>
      </w:r>
      <w:r w:rsidRPr="00945FE6" w:rsidR="006F528C">
        <w:rPr>
          <w:szCs w:val="26"/>
        </w:rPr>
        <w:t> </w:t>
      </w:r>
      <w:r w:rsidRPr="00945FE6">
        <w:rPr>
          <w:szCs w:val="26"/>
        </w:rPr>
        <w:t>‘</w:t>
      </w:r>
      <w:r w:rsidRPr="00945FE6" w:rsidR="006F528C">
        <w:rPr>
          <w:szCs w:val="26"/>
        </w:rPr>
        <w:t> </w:t>
      </w:r>
      <w:r w:rsidRPr="00945FE6">
        <w:rPr>
          <w:szCs w:val="26"/>
        </w:rPr>
        <w:t>“When we interpret a statute, ‘[o]ur fundamental task . . . is to determine the Legislature’s intent so as to effectuate the law’s purpose.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 ”</w:t>
      </w:r>
      <w:r w:rsidRPr="00945FE6" w:rsidR="001A3402">
        <w:rPr>
          <w:szCs w:val="26"/>
        </w:rPr>
        <w:t> </w:t>
      </w:r>
      <w:r w:rsidRPr="00945FE6">
        <w:rPr>
          <w:szCs w:val="26"/>
        </w:rPr>
        <w:t>’</w:t>
      </w:r>
      <w:r w:rsidRPr="00945FE6" w:rsidR="001A3402">
        <w:rPr>
          <w:szCs w:val="26"/>
        </w:rPr>
        <w:t> </w:t>
      </w:r>
      <w:r w:rsidRPr="00945FE6">
        <w:rPr>
          <w:szCs w:val="26"/>
        </w:rPr>
        <w:t>” (</w:t>
      </w:r>
      <w:r w:rsidRPr="00945FE6">
        <w:rPr>
          <w:i/>
          <w:iCs/>
          <w:szCs w:val="26"/>
        </w:rPr>
        <w:t>Meza v. Portfolio Recovery Associates, LLC</w:t>
      </w:r>
      <w:r w:rsidRPr="00945FE6">
        <w:rPr>
          <w:szCs w:val="26"/>
        </w:rPr>
        <w:t xml:space="preserve"> (2019) 6 Cal.5th 844, 85</w:t>
      </w:r>
      <w:r w:rsidRPr="00945FE6" w:rsidR="00E77C82">
        <w:rPr>
          <w:szCs w:val="26"/>
        </w:rPr>
        <w:t>6</w:t>
      </w:r>
      <w:r w:rsidRPr="00945FE6" w:rsidR="00E77C82">
        <w:rPr>
          <w:color w:val="3D3D3D"/>
          <w:szCs w:val="26"/>
          <w:shd w:val="clear" w:color="auto" w:fill="FFFFFF"/>
        </w:rPr>
        <w:t>–</w:t>
      </w:r>
      <w:r w:rsidRPr="00945FE6">
        <w:rPr>
          <w:szCs w:val="26"/>
        </w:rPr>
        <w:t>857.)</w:t>
      </w:r>
      <w:r w:rsidRPr="00945FE6" w:rsidR="00373210">
        <w:rPr>
          <w:szCs w:val="26"/>
        </w:rPr>
        <w:t xml:space="preserve">  The interpretation of a statute presents a question of law that this court reviews de novo.  (</w:t>
      </w:r>
      <w:r w:rsidRPr="00945FE6" w:rsidR="00373210">
        <w:rPr>
          <w:i/>
          <w:iCs/>
          <w:szCs w:val="26"/>
        </w:rPr>
        <w:t>People v. Jimenez</w:t>
      </w:r>
      <w:r w:rsidRPr="00945FE6" w:rsidR="00373210">
        <w:rPr>
          <w:szCs w:val="26"/>
        </w:rPr>
        <w:t xml:space="preserve"> (2020) 9 Cal.5th 53, 61; </w:t>
      </w:r>
      <w:r w:rsidRPr="00945FE6" w:rsidR="00373210">
        <w:rPr>
          <w:i/>
          <w:iCs/>
          <w:szCs w:val="26"/>
        </w:rPr>
        <w:t>Goodman v. Lozano</w:t>
      </w:r>
      <w:r w:rsidRPr="00945FE6" w:rsidR="00373210">
        <w:rPr>
          <w:szCs w:val="26"/>
        </w:rPr>
        <w:t xml:space="preserve"> (2010) 47 Cal.4th 1327, 1332.) </w:t>
      </w:r>
    </w:p>
    <w:p w:rsidR="00097437" w:rsidRPr="00062B54" w:rsidP="00062B54" w14:paraId="05ABD4DE" w14:textId="312878B9">
      <w:pPr>
        <w:pStyle w:val="Heading2"/>
        <w:rPr>
          <w:b w:val="0"/>
        </w:rPr>
      </w:pPr>
      <w:r w:rsidRPr="00062B54">
        <w:t xml:space="preserve">The </w:t>
      </w:r>
      <w:r w:rsidRPr="00062B54">
        <w:t>Context</w:t>
      </w:r>
      <w:r w:rsidRPr="00062B54" w:rsidR="00DA448F">
        <w:t xml:space="preserve"> and Provisions</w:t>
      </w:r>
      <w:r w:rsidRPr="00062B54">
        <w:t xml:space="preserve"> of Section 632.7</w:t>
      </w:r>
    </w:p>
    <w:p w:rsidR="00977A8A" w:rsidP="00062B54" w14:paraId="5EA6E5FA" w14:textId="12696A16">
      <w:pPr>
        <w:keepNext/>
        <w:tabs>
          <w:tab w:val="left" w:pos="1440"/>
        </w:tabs>
        <w:ind w:firstLine="720"/>
        <w:rPr>
          <w:szCs w:val="26"/>
        </w:rPr>
      </w:pPr>
      <w:r w:rsidRPr="00945FE6">
        <w:rPr>
          <w:szCs w:val="26"/>
        </w:rPr>
        <w:t xml:space="preserve">Section 632.7 is part of </w:t>
      </w:r>
      <w:r w:rsidR="00066579">
        <w:rPr>
          <w:szCs w:val="26"/>
        </w:rPr>
        <w:t>the Invasion of Privacy Act (</w:t>
      </w:r>
      <w:r w:rsidR="00C42463">
        <w:rPr>
          <w:szCs w:val="26"/>
        </w:rPr>
        <w:t>§ </w:t>
      </w:r>
      <w:r w:rsidR="00066579">
        <w:rPr>
          <w:szCs w:val="26"/>
        </w:rPr>
        <w:t>630 et seq.)</w:t>
      </w:r>
      <w:r w:rsidRPr="00945FE6" w:rsidR="001A3402">
        <w:rPr>
          <w:szCs w:val="26"/>
        </w:rPr>
        <w:t>.</w:t>
      </w:r>
      <w:r w:rsidRPr="00945FE6">
        <w:rPr>
          <w:szCs w:val="26"/>
        </w:rPr>
        <w:t xml:space="preserve"> </w:t>
      </w:r>
      <w:r w:rsidRPr="00945FE6" w:rsidR="001A3402">
        <w:rPr>
          <w:szCs w:val="26"/>
        </w:rPr>
        <w:t xml:space="preserve"> </w:t>
      </w:r>
      <w:r w:rsidR="00C42463">
        <w:rPr>
          <w:szCs w:val="26"/>
        </w:rPr>
        <w:t xml:space="preserve">As we </w:t>
      </w:r>
      <w:r>
        <w:rPr>
          <w:szCs w:val="26"/>
        </w:rPr>
        <w:t>explained</w:t>
      </w:r>
      <w:r w:rsidR="00D2534A">
        <w:rPr>
          <w:szCs w:val="26"/>
        </w:rPr>
        <w:t xml:space="preserve"> in </w:t>
      </w:r>
      <w:r w:rsidRPr="00945FE6" w:rsidR="00D2534A">
        <w:rPr>
          <w:i/>
          <w:iCs/>
          <w:szCs w:val="26"/>
        </w:rPr>
        <w:t>Flanagan v. Flanagan</w:t>
      </w:r>
      <w:r w:rsidRPr="00945FE6" w:rsidR="00D2534A">
        <w:rPr>
          <w:szCs w:val="26"/>
        </w:rPr>
        <w:t xml:space="preserve"> (2002) 27</w:t>
      </w:r>
      <w:r w:rsidR="00C17F72">
        <w:rPr>
          <w:szCs w:val="26"/>
        </w:rPr>
        <w:t> </w:t>
      </w:r>
      <w:r w:rsidRPr="00945FE6" w:rsidR="00D2534A">
        <w:rPr>
          <w:szCs w:val="26"/>
        </w:rPr>
        <w:t>Cal.4th 766, 768</w:t>
      </w:r>
      <w:r w:rsidRPr="00945FE6" w:rsidR="00D2534A">
        <w:rPr>
          <w:color w:val="3D3D3D"/>
          <w:szCs w:val="26"/>
          <w:shd w:val="clear" w:color="auto" w:fill="FFFFFF"/>
        </w:rPr>
        <w:t>–</w:t>
      </w:r>
      <w:r w:rsidRPr="00945FE6" w:rsidR="00D2534A">
        <w:rPr>
          <w:szCs w:val="26"/>
        </w:rPr>
        <w:t>769 (</w:t>
      </w:r>
      <w:r w:rsidRPr="00945FE6" w:rsidR="00D2534A">
        <w:rPr>
          <w:i/>
          <w:iCs/>
          <w:szCs w:val="26"/>
        </w:rPr>
        <w:t>Flanagan</w:t>
      </w:r>
      <w:r w:rsidRPr="00945FE6" w:rsidR="00D2534A">
        <w:rPr>
          <w:szCs w:val="26"/>
        </w:rPr>
        <w:t>)</w:t>
      </w:r>
      <w:r w:rsidR="00C42463">
        <w:rPr>
          <w:szCs w:val="26"/>
        </w:rPr>
        <w:t>,</w:t>
      </w:r>
      <w:r w:rsidRPr="00945FE6" w:rsidR="00BD30FF">
        <w:rPr>
          <w:szCs w:val="26"/>
        </w:rPr>
        <w:t xml:space="preserve"> </w:t>
      </w:r>
      <w:r w:rsidR="00AC4560">
        <w:rPr>
          <w:szCs w:val="26"/>
        </w:rPr>
        <w:t xml:space="preserve">as originally enacted in 1967 this statute replaced </w:t>
      </w:r>
      <w:r w:rsidRPr="00945FE6" w:rsidR="00BD30FF">
        <w:rPr>
          <w:szCs w:val="26"/>
        </w:rPr>
        <w:t>“prior laws that permitted the recording of telephone conversations with the consent of one party to the conversation.</w:t>
      </w:r>
      <w:r w:rsidRPr="00945FE6" w:rsidR="00EA364C">
        <w:rPr>
          <w:szCs w:val="26"/>
        </w:rPr>
        <w:t xml:space="preserve">  [Citation.]  </w:t>
      </w:r>
      <w:r w:rsidRPr="00945FE6" w:rsidR="00BD30FF">
        <w:rPr>
          <w:szCs w:val="26"/>
        </w:rPr>
        <w:t>The purpose of the act was to protect the right of privacy by, among other things, requiring that all parties consent to a recording of their conversation.</w:t>
      </w:r>
      <w:r w:rsidRPr="00945FE6" w:rsidR="00EA364C">
        <w:rPr>
          <w:szCs w:val="26"/>
        </w:rPr>
        <w:t xml:space="preserve">”  </w:t>
      </w:r>
    </w:p>
    <w:p w:rsidR="002750B7" w:rsidRPr="00945FE6" w:rsidP="00977A8A" w14:paraId="19501BAA" w14:textId="14A790A8">
      <w:pPr>
        <w:tabs>
          <w:tab w:val="left" w:pos="1440"/>
        </w:tabs>
        <w:ind w:firstLine="720"/>
        <w:rPr>
          <w:szCs w:val="26"/>
        </w:rPr>
      </w:pPr>
      <w:r w:rsidRPr="00945FE6">
        <w:rPr>
          <w:szCs w:val="26"/>
        </w:rPr>
        <w:t>A</w:t>
      </w:r>
      <w:r w:rsidR="00C42463">
        <w:rPr>
          <w:szCs w:val="26"/>
        </w:rPr>
        <w:t xml:space="preserve"> foundational </w:t>
      </w:r>
      <w:r w:rsidRPr="00945FE6">
        <w:rPr>
          <w:szCs w:val="26"/>
        </w:rPr>
        <w:t>component of</w:t>
      </w:r>
      <w:r w:rsidRPr="00945FE6" w:rsidR="001A3402">
        <w:rPr>
          <w:szCs w:val="26"/>
        </w:rPr>
        <w:t xml:space="preserve"> the </w:t>
      </w:r>
      <w:r w:rsidR="00977A8A">
        <w:rPr>
          <w:szCs w:val="26"/>
        </w:rPr>
        <w:t>act</w:t>
      </w:r>
      <w:r w:rsidRPr="00945FE6" w:rsidR="001A3402">
        <w:rPr>
          <w:szCs w:val="26"/>
        </w:rPr>
        <w:t>, s</w:t>
      </w:r>
      <w:r w:rsidRPr="00945FE6" w:rsidR="00483637">
        <w:rPr>
          <w:szCs w:val="26"/>
        </w:rPr>
        <w:t>ection 632</w:t>
      </w:r>
      <w:r w:rsidRPr="00945FE6">
        <w:rPr>
          <w:szCs w:val="26"/>
        </w:rPr>
        <w:t>,</w:t>
      </w:r>
      <w:r w:rsidRPr="00945FE6" w:rsidR="001A3402">
        <w:rPr>
          <w:szCs w:val="26"/>
        </w:rPr>
        <w:t xml:space="preserve"> </w:t>
      </w:r>
      <w:r w:rsidRPr="00945FE6">
        <w:rPr>
          <w:szCs w:val="26"/>
        </w:rPr>
        <w:t>provides</w:t>
      </w:r>
      <w:r w:rsidRPr="00945FE6" w:rsidR="0044061D">
        <w:rPr>
          <w:szCs w:val="26"/>
        </w:rPr>
        <w:t xml:space="preserve"> </w:t>
      </w:r>
      <w:r w:rsidRPr="00945FE6" w:rsidR="00483637">
        <w:rPr>
          <w:szCs w:val="26"/>
        </w:rPr>
        <w:t xml:space="preserve">for </w:t>
      </w:r>
      <w:r w:rsidRPr="00945FE6" w:rsidR="0044061D">
        <w:rPr>
          <w:szCs w:val="26"/>
        </w:rPr>
        <w:t>liability</w:t>
      </w:r>
      <w:r w:rsidRPr="00945FE6" w:rsidR="00483637">
        <w:rPr>
          <w:szCs w:val="26"/>
        </w:rPr>
        <w:t xml:space="preserve"> when “[a] person</w:t>
      </w:r>
      <w:r w:rsidRPr="00945FE6" w:rsidR="000A154D">
        <w:rPr>
          <w:szCs w:val="26"/>
        </w:rPr>
        <w:t xml:space="preserve"> </w:t>
      </w:r>
      <w:r w:rsidRPr="00945FE6" w:rsidR="00483637">
        <w:rPr>
          <w:szCs w:val="26"/>
        </w:rPr>
        <w:t>. . . intentionally and without the consent of all parties to a confidential communication</w:t>
      </w:r>
      <w:r w:rsidRPr="00945FE6" w:rsidR="00BE20C3">
        <w:rPr>
          <w:szCs w:val="26"/>
        </w:rPr>
        <w:t xml:space="preserve"> . . .</w:t>
      </w:r>
      <w:r w:rsidRPr="00945FE6" w:rsidR="00483637">
        <w:rPr>
          <w:szCs w:val="26"/>
        </w:rPr>
        <w:t xml:space="preserve"> uses an electronic amplifying or recording device to eavesdrop upon or record the confidential communication, whether the communication is carried on among the parties in the presence of one another or by means of a telegraph, telephone, or other device, except a radio.”  (</w:t>
      </w:r>
      <w:r w:rsidRPr="00945FE6" w:rsidR="00483637">
        <w:rPr>
          <w:i/>
          <w:iCs/>
          <w:szCs w:val="26"/>
        </w:rPr>
        <w:t>Id</w:t>
      </w:r>
      <w:r w:rsidRPr="00945FE6" w:rsidR="00483637">
        <w:rPr>
          <w:szCs w:val="26"/>
        </w:rPr>
        <w:t xml:space="preserve">., subd. (a).) </w:t>
      </w:r>
      <w:r w:rsidRPr="00945FE6" w:rsidR="001A3402">
        <w:rPr>
          <w:szCs w:val="26"/>
        </w:rPr>
        <w:t xml:space="preserve"> </w:t>
      </w:r>
      <w:r w:rsidR="00C42463">
        <w:rPr>
          <w:szCs w:val="26"/>
        </w:rPr>
        <w:t>Other provisions within the statutory scheme reflect updates that have been made</w:t>
      </w:r>
      <w:r w:rsidRPr="00945FE6" w:rsidR="00C42463">
        <w:rPr>
          <w:szCs w:val="26"/>
        </w:rPr>
        <w:t xml:space="preserve"> from time to time </w:t>
      </w:r>
      <w:r w:rsidR="007763D0">
        <w:rPr>
          <w:szCs w:val="26"/>
        </w:rPr>
        <w:t>in response to</w:t>
      </w:r>
      <w:r w:rsidRPr="00945FE6" w:rsidR="00C42463">
        <w:rPr>
          <w:szCs w:val="26"/>
        </w:rPr>
        <w:t xml:space="preserve"> the emergence of new communication devices.  </w:t>
      </w:r>
      <w:r w:rsidRPr="00945FE6" w:rsidR="00EA364C">
        <w:rPr>
          <w:szCs w:val="26"/>
        </w:rPr>
        <w:t xml:space="preserve">The Legislature </w:t>
      </w:r>
      <w:r w:rsidRPr="00945FE6" w:rsidR="00E91E62">
        <w:rPr>
          <w:szCs w:val="26"/>
        </w:rPr>
        <w:t>augmented</w:t>
      </w:r>
      <w:r w:rsidRPr="00945FE6" w:rsidR="00EA364C">
        <w:rPr>
          <w:szCs w:val="26"/>
        </w:rPr>
        <w:t xml:space="preserve"> the statutory scheme</w:t>
      </w:r>
      <w:r w:rsidRPr="00945FE6" w:rsidR="008F1D72">
        <w:rPr>
          <w:szCs w:val="26"/>
        </w:rPr>
        <w:t xml:space="preserve"> in 1985, 1990, and 1992</w:t>
      </w:r>
      <w:r w:rsidRPr="00945FE6" w:rsidR="00EA364C">
        <w:rPr>
          <w:szCs w:val="26"/>
        </w:rPr>
        <w:t xml:space="preserve"> “to take account of privacy issues raised by the increased use of cellular and cordless telephones.</w:t>
      </w:r>
      <w:r w:rsidRPr="00945FE6" w:rsidR="0066651D">
        <w:rPr>
          <w:szCs w:val="26"/>
        </w:rPr>
        <w:t xml:space="preserve"> </w:t>
      </w:r>
      <w:r w:rsidRPr="00945FE6" w:rsidR="00EA364C">
        <w:rPr>
          <w:szCs w:val="26"/>
        </w:rPr>
        <w:t xml:space="preserve"> (See §</w:t>
      </w:r>
      <w:r w:rsidRPr="00945FE6" w:rsidR="006F528C">
        <w:rPr>
          <w:szCs w:val="26"/>
        </w:rPr>
        <w:t> </w:t>
      </w:r>
      <w:r w:rsidRPr="00945FE6" w:rsidR="00EA364C">
        <w:rPr>
          <w:szCs w:val="26"/>
        </w:rPr>
        <w:t>632.5, added by Stats. 1985, ch.</w:t>
      </w:r>
      <w:r w:rsidRPr="00945FE6" w:rsidR="0056300B">
        <w:rPr>
          <w:szCs w:val="26"/>
        </w:rPr>
        <w:t> </w:t>
      </w:r>
      <w:r w:rsidRPr="00945FE6" w:rsidR="00EA364C">
        <w:rPr>
          <w:szCs w:val="26"/>
        </w:rPr>
        <w:t>909, §</w:t>
      </w:r>
      <w:r w:rsidRPr="00945FE6" w:rsidR="006F528C">
        <w:rPr>
          <w:szCs w:val="26"/>
        </w:rPr>
        <w:t> </w:t>
      </w:r>
      <w:r w:rsidRPr="00945FE6" w:rsidR="00EA364C">
        <w:rPr>
          <w:szCs w:val="26"/>
        </w:rPr>
        <w:t>3, p. 2902; §</w:t>
      </w:r>
      <w:r w:rsidRPr="00945FE6" w:rsidR="00E91E62">
        <w:rPr>
          <w:szCs w:val="26"/>
        </w:rPr>
        <w:t> </w:t>
      </w:r>
      <w:r w:rsidRPr="00945FE6" w:rsidR="00EA364C">
        <w:rPr>
          <w:szCs w:val="26"/>
        </w:rPr>
        <w:t>632.6, added by Stats. 1990, ch. 696, §</w:t>
      </w:r>
      <w:r w:rsidRPr="00945FE6" w:rsidR="00E91E62">
        <w:rPr>
          <w:szCs w:val="26"/>
        </w:rPr>
        <w:t> </w:t>
      </w:r>
      <w:r w:rsidRPr="00945FE6" w:rsidR="00EA364C">
        <w:rPr>
          <w:szCs w:val="26"/>
        </w:rPr>
        <w:t>4, p. 3269; § 632.7, added by Stats. 1992, ch. 298, §</w:t>
      </w:r>
      <w:r w:rsidRPr="00945FE6" w:rsidR="00E91E62">
        <w:rPr>
          <w:szCs w:val="26"/>
        </w:rPr>
        <w:t> </w:t>
      </w:r>
      <w:r w:rsidRPr="00945FE6" w:rsidR="00EA364C">
        <w:rPr>
          <w:szCs w:val="26"/>
        </w:rPr>
        <w:t xml:space="preserve">6, p. 1216.) </w:t>
      </w:r>
      <w:r w:rsidRPr="00945FE6" w:rsidR="00E54B5F">
        <w:rPr>
          <w:szCs w:val="26"/>
        </w:rPr>
        <w:t xml:space="preserve"> </w:t>
      </w:r>
      <w:r w:rsidRPr="00945FE6" w:rsidR="00EA364C">
        <w:rPr>
          <w:szCs w:val="26"/>
        </w:rPr>
        <w:t>In enacting the first of these amendments</w:t>
      </w:r>
      <w:r w:rsidRPr="00945FE6" w:rsidR="00FF57B2">
        <w:rPr>
          <w:szCs w:val="26"/>
        </w:rPr>
        <w:t>[</w:t>
      </w:r>
      <w:r w:rsidR="00C86E8B">
        <w:rPr>
          <w:szCs w:val="26"/>
        </w:rPr>
        <w:t>,</w:t>
      </w:r>
      <w:r w:rsidR="00062B54">
        <w:rPr>
          <w:szCs w:val="26"/>
        </w:rPr>
        <w:t xml:space="preserve"> </w:t>
      </w:r>
      <w:r w:rsidRPr="00945FE6" w:rsidR="00FF57B2">
        <w:rPr>
          <w:szCs w:val="26"/>
        </w:rPr>
        <w:t>the Cellular Radio Telephone Privacy Act of 1985]</w:t>
      </w:r>
      <w:r w:rsidRPr="00945FE6" w:rsidR="00EA364C">
        <w:rPr>
          <w:szCs w:val="26"/>
        </w:rPr>
        <w:t>, the Legislature found that ‘the advent of widespread use of cellular radio telephone technology means that persons will be conversing over a network which cannot guarantee privacy in the same way that it is guaranteed over landline systems.’  (Stats. 1985, ch. 909, §</w:t>
      </w:r>
      <w:r w:rsidRPr="00945FE6" w:rsidR="000A154D">
        <w:rPr>
          <w:szCs w:val="26"/>
        </w:rPr>
        <w:t> </w:t>
      </w:r>
      <w:r w:rsidRPr="00945FE6" w:rsidR="00EA364C">
        <w:rPr>
          <w:szCs w:val="26"/>
        </w:rPr>
        <w:t>2, p. 2900; similar language as to cordless telephones appears in Stats. 1990, ch. 696, §</w:t>
      </w:r>
      <w:r w:rsidRPr="00945FE6" w:rsidR="000A154D">
        <w:rPr>
          <w:szCs w:val="26"/>
        </w:rPr>
        <w:t> </w:t>
      </w:r>
      <w:r w:rsidRPr="00945FE6" w:rsidR="00EA364C">
        <w:rPr>
          <w:szCs w:val="26"/>
        </w:rPr>
        <w:t>2, p. 3268.)  Responding to the problem of protecting the privacy of parties to calls involving cellular or cordless telephones, the Legislature prohibited the malicious interception of calls from or to cellular or cordless phones (§§</w:t>
      </w:r>
      <w:r w:rsidRPr="00945FE6" w:rsidR="000A154D">
        <w:rPr>
          <w:szCs w:val="26"/>
        </w:rPr>
        <w:t> </w:t>
      </w:r>
      <w:r w:rsidRPr="00945FE6" w:rsidR="00EA364C">
        <w:rPr>
          <w:szCs w:val="26"/>
        </w:rPr>
        <w:t>632.5, 632.6) and the intentional</w:t>
      </w:r>
      <w:r w:rsidRPr="00945FE6" w:rsidR="000A154D">
        <w:rPr>
          <w:szCs w:val="26"/>
        </w:rPr>
        <w:t xml:space="preserve"> </w:t>
      </w:r>
      <w:r w:rsidRPr="00945FE6" w:rsidR="00BB498F">
        <w:rPr>
          <w:szCs w:val="26"/>
        </w:rPr>
        <w:t>interception or</w:t>
      </w:r>
      <w:r w:rsidRPr="00945FE6" w:rsidR="0066651D">
        <w:rPr>
          <w:szCs w:val="26"/>
        </w:rPr>
        <w:t xml:space="preserve"> </w:t>
      </w:r>
      <w:r w:rsidRPr="00945FE6" w:rsidR="00EA364C">
        <w:rPr>
          <w:szCs w:val="26"/>
        </w:rPr>
        <w:t>recording of a communication involving a cellular phone or a cordless phone (§ 632.7).”  (</w:t>
      </w:r>
      <w:r w:rsidRPr="00945FE6" w:rsidR="00EA364C">
        <w:rPr>
          <w:i/>
          <w:iCs/>
          <w:szCs w:val="26"/>
        </w:rPr>
        <w:t>Flanagan</w:t>
      </w:r>
      <w:r w:rsidRPr="00945FE6" w:rsidR="00EA364C">
        <w:rPr>
          <w:szCs w:val="26"/>
        </w:rPr>
        <w:t>, at pp.</w:t>
      </w:r>
      <w:r w:rsidR="00945FE6">
        <w:rPr>
          <w:szCs w:val="26"/>
        </w:rPr>
        <w:t> </w:t>
      </w:r>
      <w:r w:rsidRPr="00945FE6" w:rsidR="00EA364C">
        <w:rPr>
          <w:szCs w:val="26"/>
        </w:rPr>
        <w:t>775</w:t>
      </w:r>
      <w:r w:rsidRPr="00945FE6" w:rsidR="0044061D">
        <w:rPr>
          <w:szCs w:val="26"/>
        </w:rPr>
        <w:t>–</w:t>
      </w:r>
      <w:r w:rsidRPr="00945FE6" w:rsidR="00EA364C">
        <w:rPr>
          <w:szCs w:val="26"/>
        </w:rPr>
        <w:t>776.)</w:t>
      </w:r>
      <w:r>
        <w:rPr>
          <w:rStyle w:val="FootnoteReference"/>
          <w:szCs w:val="26"/>
        </w:rPr>
        <w:footnoteReference w:id="4"/>
      </w:r>
    </w:p>
    <w:p w:rsidR="00BB01BB" w:rsidRPr="00945FE6" w:rsidP="00945FE6" w14:paraId="77DF5913" w14:textId="6B97AFD4">
      <w:pPr>
        <w:tabs>
          <w:tab w:val="left" w:pos="1440"/>
        </w:tabs>
        <w:ind w:firstLine="720"/>
        <w:rPr>
          <w:szCs w:val="26"/>
        </w:rPr>
      </w:pPr>
      <w:r w:rsidRPr="00945FE6">
        <w:rPr>
          <w:szCs w:val="26"/>
        </w:rPr>
        <w:t xml:space="preserve">This case concerns the </w:t>
      </w:r>
      <w:r w:rsidRPr="00945FE6" w:rsidR="00DA44CA">
        <w:rPr>
          <w:szCs w:val="26"/>
        </w:rPr>
        <w:t>most recent</w:t>
      </w:r>
      <w:r w:rsidRPr="00945FE6">
        <w:rPr>
          <w:szCs w:val="26"/>
        </w:rPr>
        <w:t xml:space="preserve"> of the</w:t>
      </w:r>
      <w:r w:rsidRPr="00945FE6" w:rsidR="00DA44CA">
        <w:rPr>
          <w:szCs w:val="26"/>
        </w:rPr>
        <w:t xml:space="preserve"> </w:t>
      </w:r>
      <w:r w:rsidR="00977A8A">
        <w:rPr>
          <w:szCs w:val="26"/>
        </w:rPr>
        <w:t>revisions</w:t>
      </w:r>
      <w:r w:rsidRPr="00945FE6" w:rsidR="00E91E62">
        <w:rPr>
          <w:szCs w:val="26"/>
        </w:rPr>
        <w:t xml:space="preserve"> </w:t>
      </w:r>
      <w:r w:rsidRPr="00945FE6" w:rsidR="00DA44CA">
        <w:rPr>
          <w:szCs w:val="26"/>
        </w:rPr>
        <w:t xml:space="preserve">discussed in </w:t>
      </w:r>
      <w:r w:rsidRPr="00945FE6" w:rsidR="00DA44CA">
        <w:rPr>
          <w:i/>
          <w:iCs/>
          <w:szCs w:val="26"/>
        </w:rPr>
        <w:t>Flanagan</w:t>
      </w:r>
      <w:r w:rsidRPr="00945FE6">
        <w:rPr>
          <w:szCs w:val="26"/>
        </w:rPr>
        <w:t xml:space="preserve">. </w:t>
      </w:r>
      <w:r w:rsidRPr="00945FE6" w:rsidR="00AC0AE5">
        <w:rPr>
          <w:szCs w:val="26"/>
        </w:rPr>
        <w:t xml:space="preserve"> </w:t>
      </w:r>
      <w:r w:rsidRPr="00945FE6">
        <w:rPr>
          <w:szCs w:val="26"/>
        </w:rPr>
        <w:t>S</w:t>
      </w:r>
      <w:r w:rsidRPr="00945FE6" w:rsidR="00705172">
        <w:rPr>
          <w:szCs w:val="26"/>
        </w:rPr>
        <w:t>ection 632.7</w:t>
      </w:r>
      <w:r w:rsidR="00062B54">
        <w:rPr>
          <w:szCs w:val="26"/>
        </w:rPr>
        <w:t xml:space="preserve">(a) </w:t>
      </w:r>
      <w:r w:rsidRPr="00945FE6" w:rsidR="00FC57CF">
        <w:rPr>
          <w:szCs w:val="26"/>
        </w:rPr>
        <w:t>provides, “Every person who,</w:t>
      </w:r>
      <w:r w:rsidRPr="00945FE6" w:rsidR="0037392E">
        <w:rPr>
          <w:szCs w:val="26"/>
        </w:rPr>
        <w:t xml:space="preserve"> without</w:t>
      </w:r>
      <w:r w:rsidRPr="00945FE6" w:rsidR="002C17F0">
        <w:rPr>
          <w:szCs w:val="26"/>
        </w:rPr>
        <w:t xml:space="preserve"> the consent of all parties to a communication, intercepts or receives and intentionally records, or assists in the interception or reception and intentional recordation of, a communication transmitted between two cellular radio telephones, a cellular radio telephone and a landline telephone, two cordless telephones, a cordless telephone and a landline telephone, or a cordless telephone and a cellular radio telephone</w:t>
      </w:r>
      <w:r w:rsidRPr="00945FE6" w:rsidR="00FC57CF">
        <w:rPr>
          <w:szCs w:val="26"/>
        </w:rPr>
        <w:t xml:space="preserve">, shall be punished” in the manner the </w:t>
      </w:r>
      <w:r w:rsidRPr="00945FE6" w:rsidR="00A972C0">
        <w:rPr>
          <w:szCs w:val="26"/>
        </w:rPr>
        <w:t>section</w:t>
      </w:r>
      <w:r w:rsidRPr="00945FE6" w:rsidR="00DA44CA">
        <w:rPr>
          <w:szCs w:val="26"/>
        </w:rPr>
        <w:t xml:space="preserve"> </w:t>
      </w:r>
      <w:r w:rsidRPr="00945FE6" w:rsidR="00483637">
        <w:rPr>
          <w:szCs w:val="26"/>
        </w:rPr>
        <w:t>proceeds</w:t>
      </w:r>
      <w:r w:rsidRPr="00945FE6" w:rsidR="00DA44CA">
        <w:rPr>
          <w:szCs w:val="26"/>
        </w:rPr>
        <w:t xml:space="preserve"> to describe</w:t>
      </w:r>
      <w:r w:rsidRPr="00945FE6" w:rsidR="00FC57CF">
        <w:rPr>
          <w:szCs w:val="26"/>
        </w:rPr>
        <w:t xml:space="preserve">.  </w:t>
      </w:r>
      <w:r w:rsidRPr="00945FE6" w:rsidR="001B777E">
        <w:rPr>
          <w:szCs w:val="26"/>
        </w:rPr>
        <w:t xml:space="preserve">(See also § 637.2 [specifying </w:t>
      </w:r>
      <w:r w:rsidRPr="00945FE6" w:rsidR="00DF54BC">
        <w:rPr>
          <w:szCs w:val="26"/>
        </w:rPr>
        <w:t>statutory damages</w:t>
      </w:r>
      <w:r w:rsidRPr="00945FE6" w:rsidR="001B777E">
        <w:rPr>
          <w:szCs w:val="26"/>
        </w:rPr>
        <w:t xml:space="preserve"> and other remedies for violations of </w:t>
      </w:r>
      <w:r w:rsidR="00DB69E2">
        <w:rPr>
          <w:szCs w:val="26"/>
        </w:rPr>
        <w:t>§</w:t>
      </w:r>
      <w:r w:rsidRPr="00945FE6" w:rsidR="00DB69E2">
        <w:rPr>
          <w:szCs w:val="26"/>
        </w:rPr>
        <w:t xml:space="preserve"> </w:t>
      </w:r>
      <w:r w:rsidRPr="00945FE6" w:rsidR="001B777E">
        <w:rPr>
          <w:szCs w:val="26"/>
        </w:rPr>
        <w:t xml:space="preserve">632.7].)  </w:t>
      </w:r>
      <w:r w:rsidRPr="00945FE6" w:rsidR="00FC57CF">
        <w:rPr>
          <w:szCs w:val="26"/>
        </w:rPr>
        <w:t>Subdivision (b) of section 632.7</w:t>
      </w:r>
      <w:r w:rsidRPr="00945FE6" w:rsidR="00E512E9">
        <w:rPr>
          <w:szCs w:val="26"/>
        </w:rPr>
        <w:t xml:space="preserve"> </w:t>
      </w:r>
      <w:r w:rsidRPr="00945FE6" w:rsidR="00483637">
        <w:rPr>
          <w:szCs w:val="26"/>
        </w:rPr>
        <w:t>provides for</w:t>
      </w:r>
      <w:r w:rsidRPr="00945FE6" w:rsidR="00FC57CF">
        <w:rPr>
          <w:szCs w:val="26"/>
        </w:rPr>
        <w:t xml:space="preserve"> </w:t>
      </w:r>
      <w:r w:rsidRPr="00945FE6" w:rsidR="0066651D">
        <w:rPr>
          <w:szCs w:val="26"/>
        </w:rPr>
        <w:t>certain</w:t>
      </w:r>
      <w:r w:rsidRPr="00945FE6" w:rsidR="00FC57CF">
        <w:rPr>
          <w:szCs w:val="26"/>
        </w:rPr>
        <w:t xml:space="preserve"> exceptions to </w:t>
      </w:r>
      <w:r w:rsidRPr="00945FE6" w:rsidR="00DF54BC">
        <w:rPr>
          <w:szCs w:val="26"/>
        </w:rPr>
        <w:t>this</w:t>
      </w:r>
      <w:r w:rsidRPr="00945FE6" w:rsidR="00FC57CF">
        <w:rPr>
          <w:szCs w:val="26"/>
        </w:rPr>
        <w:t xml:space="preserve"> </w:t>
      </w:r>
      <w:r w:rsidRPr="00945FE6" w:rsidR="00DF54BC">
        <w:rPr>
          <w:szCs w:val="26"/>
        </w:rPr>
        <w:t>prohibition, and s</w:t>
      </w:r>
      <w:r w:rsidRPr="00945FE6" w:rsidR="00E512E9">
        <w:rPr>
          <w:szCs w:val="26"/>
        </w:rPr>
        <w:t>ubdivision</w:t>
      </w:r>
      <w:r w:rsidRPr="00945FE6" w:rsidR="001B777E">
        <w:rPr>
          <w:szCs w:val="26"/>
        </w:rPr>
        <w:t xml:space="preserve"> (c)</w:t>
      </w:r>
      <w:r w:rsidRPr="00945FE6" w:rsidR="00E512E9">
        <w:rPr>
          <w:szCs w:val="26"/>
        </w:rPr>
        <w:t xml:space="preserve"> defines </w:t>
      </w:r>
      <w:r w:rsidRPr="00945FE6" w:rsidR="000C66A6">
        <w:rPr>
          <w:szCs w:val="26"/>
        </w:rPr>
        <w:t xml:space="preserve">or </w:t>
      </w:r>
      <w:r w:rsidRPr="00945FE6" w:rsidR="001B777E">
        <w:rPr>
          <w:szCs w:val="26"/>
        </w:rPr>
        <w:t>explains</w:t>
      </w:r>
      <w:r w:rsidRPr="00945FE6" w:rsidR="000C66A6">
        <w:rPr>
          <w:szCs w:val="26"/>
        </w:rPr>
        <w:t xml:space="preserve"> </w:t>
      </w:r>
      <w:r w:rsidR="00977A8A">
        <w:rPr>
          <w:szCs w:val="26"/>
        </w:rPr>
        <w:t>some of the</w:t>
      </w:r>
      <w:r w:rsidRPr="00945FE6" w:rsidR="00E512E9">
        <w:rPr>
          <w:szCs w:val="26"/>
        </w:rPr>
        <w:t xml:space="preserve"> terms </w:t>
      </w:r>
      <w:r w:rsidRPr="00945FE6" w:rsidR="00DF54BC">
        <w:rPr>
          <w:szCs w:val="26"/>
        </w:rPr>
        <w:t xml:space="preserve">as </w:t>
      </w:r>
      <w:r w:rsidRPr="00945FE6" w:rsidR="00E512E9">
        <w:rPr>
          <w:szCs w:val="26"/>
        </w:rPr>
        <w:t>used within the section</w:t>
      </w:r>
      <w:r w:rsidR="00977A8A">
        <w:rPr>
          <w:szCs w:val="26"/>
        </w:rPr>
        <w:t>.</w:t>
      </w:r>
      <w:r>
        <w:rPr>
          <w:rStyle w:val="FootnoteReference"/>
          <w:szCs w:val="26"/>
        </w:rPr>
        <w:footnoteReference w:id="5"/>
      </w:r>
    </w:p>
    <w:p w:rsidR="00BB01BB" w:rsidRPr="00945FE6" w:rsidP="00945FE6" w14:paraId="6E471AF1" w14:textId="26C9DFC7">
      <w:pPr>
        <w:tabs>
          <w:tab w:val="left" w:pos="1440"/>
        </w:tabs>
        <w:ind w:firstLine="720"/>
        <w:rPr>
          <w:szCs w:val="26"/>
        </w:rPr>
      </w:pPr>
      <w:r w:rsidRPr="00945FE6">
        <w:rPr>
          <w:szCs w:val="26"/>
        </w:rPr>
        <w:t>The</w:t>
      </w:r>
      <w:r w:rsidRPr="00945FE6" w:rsidR="005F5BD4">
        <w:rPr>
          <w:szCs w:val="26"/>
        </w:rPr>
        <w:t xml:space="preserve"> Court of Appeal’s</w:t>
      </w:r>
      <w:r w:rsidRPr="00945FE6">
        <w:rPr>
          <w:szCs w:val="26"/>
        </w:rPr>
        <w:t xml:space="preserve"> </w:t>
      </w:r>
      <w:r w:rsidRPr="00945FE6" w:rsidR="00A023BF">
        <w:rPr>
          <w:szCs w:val="26"/>
        </w:rPr>
        <w:t xml:space="preserve">decision below </w:t>
      </w:r>
      <w:r w:rsidRPr="00945FE6">
        <w:rPr>
          <w:szCs w:val="26"/>
        </w:rPr>
        <w:t>was the first published opinion by a California appellate court to have specifically addressed whether section 632.</w:t>
      </w:r>
      <w:r w:rsidR="00AC20BE">
        <w:rPr>
          <w:szCs w:val="26"/>
        </w:rPr>
        <w:t>7</w:t>
      </w:r>
      <w:r w:rsidRPr="00945FE6">
        <w:rPr>
          <w:szCs w:val="26"/>
        </w:rPr>
        <w:t xml:space="preserve"> applies to</w:t>
      </w:r>
      <w:r w:rsidRPr="00945FE6" w:rsidR="0066651D">
        <w:rPr>
          <w:szCs w:val="26"/>
        </w:rPr>
        <w:t xml:space="preserve"> the intentional recording of a communication by a</w:t>
      </w:r>
      <w:r w:rsidRPr="00945FE6">
        <w:rPr>
          <w:szCs w:val="26"/>
        </w:rPr>
        <w:t xml:space="preserve"> </w:t>
      </w:r>
      <w:r w:rsidRPr="00945FE6" w:rsidR="0066651D">
        <w:rPr>
          <w:szCs w:val="26"/>
        </w:rPr>
        <w:t>party</w:t>
      </w:r>
      <w:r w:rsidRPr="00945FE6">
        <w:rPr>
          <w:szCs w:val="26"/>
        </w:rPr>
        <w:t xml:space="preserve">.  </w:t>
      </w:r>
      <w:r w:rsidRPr="00945FE6" w:rsidR="002D311A">
        <w:rPr>
          <w:szCs w:val="26"/>
        </w:rPr>
        <w:t>Th</w:t>
      </w:r>
      <w:r w:rsidR="00744CF3">
        <w:rPr>
          <w:szCs w:val="26"/>
        </w:rPr>
        <w:t>e Court of Appeal’s</w:t>
      </w:r>
      <w:r w:rsidRPr="00945FE6" w:rsidR="002D311A">
        <w:rPr>
          <w:szCs w:val="26"/>
        </w:rPr>
        <w:t xml:space="preserve"> </w:t>
      </w:r>
      <w:r w:rsidRPr="00945FE6" w:rsidR="00566D20">
        <w:rPr>
          <w:szCs w:val="26"/>
        </w:rPr>
        <w:t>interpretation</w:t>
      </w:r>
      <w:r w:rsidRPr="00945FE6" w:rsidR="00A023BF">
        <w:rPr>
          <w:szCs w:val="26"/>
        </w:rPr>
        <w:t xml:space="preserve"> of section 632.7</w:t>
      </w:r>
      <w:r w:rsidRPr="00945FE6" w:rsidR="00566D20">
        <w:rPr>
          <w:szCs w:val="26"/>
        </w:rPr>
        <w:t xml:space="preserve"> departs from</w:t>
      </w:r>
      <w:r w:rsidRPr="00945FE6">
        <w:rPr>
          <w:szCs w:val="26"/>
        </w:rPr>
        <w:t xml:space="preserve"> the </w:t>
      </w:r>
      <w:r w:rsidR="00744CF3">
        <w:rPr>
          <w:szCs w:val="26"/>
        </w:rPr>
        <w:t>majority view</w:t>
      </w:r>
      <w:r w:rsidRPr="00945FE6">
        <w:rPr>
          <w:szCs w:val="26"/>
        </w:rPr>
        <w:t xml:space="preserve"> </w:t>
      </w:r>
      <w:r w:rsidR="00744CF3">
        <w:rPr>
          <w:szCs w:val="26"/>
        </w:rPr>
        <w:t>of</w:t>
      </w:r>
      <w:r w:rsidRPr="00945FE6">
        <w:rPr>
          <w:szCs w:val="26"/>
        </w:rPr>
        <w:t xml:space="preserve"> </w:t>
      </w:r>
      <w:r w:rsidRPr="00945FE6" w:rsidR="00D20C18">
        <w:rPr>
          <w:szCs w:val="26"/>
        </w:rPr>
        <w:t>the</w:t>
      </w:r>
      <w:r w:rsidRPr="00945FE6" w:rsidR="00AE5A07">
        <w:rPr>
          <w:szCs w:val="26"/>
        </w:rPr>
        <w:t xml:space="preserve"> </w:t>
      </w:r>
      <w:r w:rsidRPr="00945FE6">
        <w:rPr>
          <w:szCs w:val="26"/>
        </w:rPr>
        <w:t xml:space="preserve">federal district courts </w:t>
      </w:r>
      <w:r w:rsidRPr="00945FE6" w:rsidR="00D20C18">
        <w:rPr>
          <w:szCs w:val="26"/>
        </w:rPr>
        <w:t>that</w:t>
      </w:r>
      <w:r w:rsidRPr="00945FE6">
        <w:rPr>
          <w:szCs w:val="26"/>
        </w:rPr>
        <w:t xml:space="preserve"> have consider</w:t>
      </w:r>
      <w:r w:rsidRPr="00945FE6" w:rsidR="00AE5A07">
        <w:rPr>
          <w:szCs w:val="26"/>
        </w:rPr>
        <w:t xml:space="preserve">ed the same issue.  </w:t>
      </w:r>
      <w:r w:rsidRPr="00945FE6" w:rsidR="00982A66">
        <w:rPr>
          <w:szCs w:val="26"/>
        </w:rPr>
        <w:t>Some</w:t>
      </w:r>
      <w:r w:rsidRPr="00945FE6" w:rsidR="00AE5A07">
        <w:rPr>
          <w:szCs w:val="26"/>
        </w:rPr>
        <w:t xml:space="preserve"> of these courts have concluded that the text of section 632.7(a) unambiguously prohibits a party from recording a protected communication without the consent of all other parties.  (E.g., </w:t>
      </w:r>
      <w:r w:rsidRPr="00945FE6" w:rsidR="00982A66">
        <w:rPr>
          <w:i/>
          <w:iCs/>
          <w:szCs w:val="26"/>
        </w:rPr>
        <w:t>Montantes v. Inventure Foods</w:t>
      </w:r>
      <w:r w:rsidRPr="00945FE6" w:rsidR="00982A66">
        <w:rPr>
          <w:szCs w:val="26"/>
        </w:rPr>
        <w:t xml:space="preserve"> (C.D.Cal.</w:t>
      </w:r>
      <w:r w:rsidR="001D6FC4">
        <w:rPr>
          <w:szCs w:val="26"/>
        </w:rPr>
        <w:t>,</w:t>
      </w:r>
      <w:r w:rsidRPr="00945FE6" w:rsidR="00982A66">
        <w:rPr>
          <w:szCs w:val="26"/>
        </w:rPr>
        <w:t xml:space="preserve"> July 2, 2014, No. CV-14-1128-MWF(RZx)) 2014 WL 33055</w:t>
      </w:r>
      <w:r w:rsidRPr="00945FE6" w:rsidR="00812C72">
        <w:rPr>
          <w:szCs w:val="26"/>
        </w:rPr>
        <w:t>7</w:t>
      </w:r>
      <w:r w:rsidRPr="00945FE6" w:rsidR="00982A66">
        <w:rPr>
          <w:szCs w:val="26"/>
        </w:rPr>
        <w:t>8, pp.</w:t>
      </w:r>
      <w:r w:rsidR="00C17F72">
        <w:rPr>
          <w:szCs w:val="26"/>
        </w:rPr>
        <w:t> </w:t>
      </w:r>
      <w:r w:rsidRPr="00945FE6" w:rsidR="00982A66">
        <w:rPr>
          <w:szCs w:val="26"/>
        </w:rPr>
        <w:t>*2–*4</w:t>
      </w:r>
      <w:r w:rsidRPr="00945FE6" w:rsidR="00690D0C">
        <w:rPr>
          <w:szCs w:val="26"/>
        </w:rPr>
        <w:t xml:space="preserve">; </w:t>
      </w:r>
      <w:r w:rsidRPr="00945FE6" w:rsidR="00AE5A07">
        <w:rPr>
          <w:i/>
          <w:iCs/>
          <w:szCs w:val="26"/>
        </w:rPr>
        <w:t>Ades v. Omni Hotels Management Corp.</w:t>
      </w:r>
      <w:r w:rsidRPr="00945FE6" w:rsidR="00AE5A07">
        <w:rPr>
          <w:szCs w:val="26"/>
        </w:rPr>
        <w:t xml:space="preserve"> (C.D.Cal. 2014) 46 F.Supp.3d 999, 1017</w:t>
      </w:r>
      <w:r w:rsidRPr="00945FE6" w:rsidR="00690D0C">
        <w:rPr>
          <w:szCs w:val="26"/>
        </w:rPr>
        <w:t>–</w:t>
      </w:r>
      <w:r w:rsidRPr="00945FE6" w:rsidR="00AE5A07">
        <w:rPr>
          <w:szCs w:val="26"/>
        </w:rPr>
        <w:t xml:space="preserve">1018.)  </w:t>
      </w:r>
      <w:r w:rsidRPr="00945FE6" w:rsidR="002D311A">
        <w:rPr>
          <w:szCs w:val="26"/>
        </w:rPr>
        <w:t>Other</w:t>
      </w:r>
      <w:r w:rsidR="00477BD9">
        <w:rPr>
          <w:szCs w:val="26"/>
        </w:rPr>
        <w:t xml:space="preserve"> federal courts</w:t>
      </w:r>
      <w:r w:rsidRPr="00945FE6">
        <w:rPr>
          <w:szCs w:val="26"/>
        </w:rPr>
        <w:t xml:space="preserve"> have regarded the text of section 632.7(a) as ambiguous </w:t>
      </w:r>
      <w:r w:rsidRPr="00945FE6" w:rsidR="00AE5A07">
        <w:rPr>
          <w:szCs w:val="26"/>
        </w:rPr>
        <w:t>but read the</w:t>
      </w:r>
      <w:r w:rsidRPr="00945FE6">
        <w:rPr>
          <w:szCs w:val="26"/>
        </w:rPr>
        <w:t xml:space="preserve"> legislative history</w:t>
      </w:r>
      <w:r w:rsidRPr="00945FE6" w:rsidR="00AE5A07">
        <w:rPr>
          <w:szCs w:val="26"/>
        </w:rPr>
        <w:t xml:space="preserve"> as evincing legislative intent </w:t>
      </w:r>
      <w:r w:rsidRPr="00945FE6" w:rsidR="000A154D">
        <w:rPr>
          <w:szCs w:val="26"/>
        </w:rPr>
        <w:t>that</w:t>
      </w:r>
      <w:r w:rsidRPr="00945FE6" w:rsidR="00AE5A07">
        <w:rPr>
          <w:szCs w:val="26"/>
        </w:rPr>
        <w:t xml:space="preserve"> the statute</w:t>
      </w:r>
      <w:r w:rsidRPr="00945FE6" w:rsidR="000A154D">
        <w:rPr>
          <w:szCs w:val="26"/>
        </w:rPr>
        <w:t xml:space="preserve"> would</w:t>
      </w:r>
      <w:r w:rsidRPr="00945FE6" w:rsidR="00AE5A07">
        <w:rPr>
          <w:szCs w:val="26"/>
        </w:rPr>
        <w:t xml:space="preserve"> apply to parties and nonparties alike</w:t>
      </w:r>
      <w:r w:rsidRPr="00945FE6">
        <w:rPr>
          <w:szCs w:val="26"/>
        </w:rPr>
        <w:t xml:space="preserve">.  (E.g., </w:t>
      </w:r>
      <w:r w:rsidRPr="00945FE6">
        <w:rPr>
          <w:i/>
          <w:iCs/>
          <w:szCs w:val="26"/>
        </w:rPr>
        <w:t>Brinkley v. Monterey Fin. Servs., LLC</w:t>
      </w:r>
      <w:r w:rsidRPr="00945FE6">
        <w:rPr>
          <w:szCs w:val="26"/>
        </w:rPr>
        <w:t xml:space="preserve"> (S.D.Cal. 2018) 340 F.Supp.3d 1036, 1042</w:t>
      </w:r>
      <w:r w:rsidRPr="00945FE6" w:rsidR="00D179FF">
        <w:rPr>
          <w:szCs w:val="26"/>
        </w:rPr>
        <w:t>–</w:t>
      </w:r>
      <w:r w:rsidRPr="00945FE6">
        <w:rPr>
          <w:szCs w:val="26"/>
        </w:rPr>
        <w:t xml:space="preserve">1043; </w:t>
      </w:r>
      <w:r w:rsidRPr="00945FE6">
        <w:rPr>
          <w:i/>
          <w:iCs/>
          <w:szCs w:val="26"/>
        </w:rPr>
        <w:t>Simpson v. Best Western Intern., Inc.</w:t>
      </w:r>
      <w:r w:rsidRPr="00945FE6">
        <w:rPr>
          <w:szCs w:val="26"/>
        </w:rPr>
        <w:t xml:space="preserve"> (N.D.Cal.</w:t>
      </w:r>
      <w:r w:rsidR="000F5122">
        <w:rPr>
          <w:szCs w:val="26"/>
        </w:rPr>
        <w:t>,</w:t>
      </w:r>
      <w:r w:rsidRPr="00945FE6">
        <w:rPr>
          <w:szCs w:val="26"/>
        </w:rPr>
        <w:t xml:space="preserve"> Nov.</w:t>
      </w:r>
      <w:r w:rsidR="00C17F72">
        <w:rPr>
          <w:szCs w:val="26"/>
        </w:rPr>
        <w:t> </w:t>
      </w:r>
      <w:r w:rsidRPr="00945FE6">
        <w:rPr>
          <w:szCs w:val="26"/>
        </w:rPr>
        <w:t>13, 2012, No. 3:12-cv-04672-JCS) 2012 WL 5499928, pp.</w:t>
      </w:r>
      <w:r w:rsidR="00C17F72">
        <w:rPr>
          <w:szCs w:val="26"/>
        </w:rPr>
        <w:t> </w:t>
      </w:r>
      <w:r w:rsidRPr="00945FE6">
        <w:rPr>
          <w:szCs w:val="26"/>
        </w:rPr>
        <w:t>*6</w:t>
      </w:r>
      <w:r w:rsidRPr="00945FE6" w:rsidR="00690D0C">
        <w:rPr>
          <w:szCs w:val="26"/>
        </w:rPr>
        <w:t>–</w:t>
      </w:r>
      <w:r w:rsidRPr="00945FE6">
        <w:rPr>
          <w:szCs w:val="26"/>
        </w:rPr>
        <w:t xml:space="preserve">*9.)  Finally, </w:t>
      </w:r>
      <w:r w:rsidR="003A5F10">
        <w:rPr>
          <w:szCs w:val="26"/>
        </w:rPr>
        <w:t xml:space="preserve">a minority </w:t>
      </w:r>
      <w:r w:rsidRPr="00945FE6">
        <w:rPr>
          <w:szCs w:val="26"/>
        </w:rPr>
        <w:t>position</w:t>
      </w:r>
      <w:r w:rsidRPr="00945FE6" w:rsidR="00AE5A07">
        <w:rPr>
          <w:szCs w:val="26"/>
        </w:rPr>
        <w:t xml:space="preserve"> </w:t>
      </w:r>
      <w:r w:rsidR="00AC4560">
        <w:rPr>
          <w:szCs w:val="26"/>
        </w:rPr>
        <w:t>aligns with the views</w:t>
      </w:r>
      <w:r w:rsidRPr="00945FE6" w:rsidR="00AE5A07">
        <w:rPr>
          <w:szCs w:val="26"/>
        </w:rPr>
        <w:t xml:space="preserve"> </w:t>
      </w:r>
      <w:r w:rsidR="00AC4560">
        <w:rPr>
          <w:szCs w:val="26"/>
        </w:rPr>
        <w:t>of</w:t>
      </w:r>
      <w:r w:rsidRPr="00945FE6" w:rsidR="00AE5A07">
        <w:rPr>
          <w:szCs w:val="26"/>
        </w:rPr>
        <w:t xml:space="preserve"> the Court of Appeal below </w:t>
      </w:r>
      <w:r w:rsidR="00AC4560">
        <w:rPr>
          <w:szCs w:val="26"/>
        </w:rPr>
        <w:t xml:space="preserve">and </w:t>
      </w:r>
      <w:r w:rsidR="003A5F10">
        <w:rPr>
          <w:szCs w:val="26"/>
        </w:rPr>
        <w:t>regard</w:t>
      </w:r>
      <w:r w:rsidR="00AC4560">
        <w:rPr>
          <w:szCs w:val="26"/>
        </w:rPr>
        <w:t>s</w:t>
      </w:r>
      <w:r w:rsidRPr="00945FE6">
        <w:rPr>
          <w:szCs w:val="26"/>
        </w:rPr>
        <w:t xml:space="preserve"> section 632.7 </w:t>
      </w:r>
      <w:r w:rsidR="003A5F10">
        <w:rPr>
          <w:szCs w:val="26"/>
        </w:rPr>
        <w:t>a</w:t>
      </w:r>
      <w:r w:rsidRPr="00945FE6">
        <w:rPr>
          <w:szCs w:val="26"/>
        </w:rPr>
        <w:t xml:space="preserve">s concerned only with </w:t>
      </w:r>
      <w:r w:rsidRPr="00945FE6" w:rsidR="0066651D">
        <w:rPr>
          <w:szCs w:val="26"/>
        </w:rPr>
        <w:t xml:space="preserve">intentional </w:t>
      </w:r>
      <w:r w:rsidRPr="00945FE6">
        <w:rPr>
          <w:szCs w:val="26"/>
        </w:rPr>
        <w:t xml:space="preserve">recording by </w:t>
      </w:r>
      <w:r w:rsidRPr="00945FE6" w:rsidR="000A154D">
        <w:rPr>
          <w:szCs w:val="26"/>
        </w:rPr>
        <w:t>persons other than</w:t>
      </w:r>
      <w:r w:rsidRPr="00945FE6" w:rsidR="00C0222A">
        <w:rPr>
          <w:szCs w:val="26"/>
        </w:rPr>
        <w:t xml:space="preserve"> the</w:t>
      </w:r>
      <w:r w:rsidRPr="00945FE6" w:rsidR="000A154D">
        <w:rPr>
          <w:szCs w:val="26"/>
        </w:rPr>
        <w:t xml:space="preserve"> parties to a communication</w:t>
      </w:r>
      <w:r w:rsidRPr="00945FE6">
        <w:rPr>
          <w:szCs w:val="26"/>
        </w:rPr>
        <w:t>.  (</w:t>
      </w:r>
      <w:r w:rsidRPr="00945FE6">
        <w:rPr>
          <w:i/>
          <w:iCs/>
          <w:szCs w:val="26"/>
        </w:rPr>
        <w:t>Young v. Hilton Worldwide</w:t>
      </w:r>
      <w:r w:rsidRPr="00945FE6" w:rsidR="00CF3F59">
        <w:rPr>
          <w:i/>
          <w:iCs/>
          <w:szCs w:val="26"/>
        </w:rPr>
        <w:t>, Inc.</w:t>
      </w:r>
      <w:r w:rsidRPr="00945FE6">
        <w:rPr>
          <w:szCs w:val="26"/>
        </w:rPr>
        <w:t xml:space="preserve"> (C.D.Cal.</w:t>
      </w:r>
      <w:r w:rsidR="000F5122">
        <w:rPr>
          <w:szCs w:val="26"/>
        </w:rPr>
        <w:t>,</w:t>
      </w:r>
      <w:r w:rsidRPr="00945FE6">
        <w:rPr>
          <w:szCs w:val="26"/>
        </w:rPr>
        <w:t xml:space="preserve"> July 11, 2014, No. 2:12-cv-01788-R-(PJWx)) 2014 WL 3434117, p. *1.)</w:t>
      </w:r>
    </w:p>
    <w:p w:rsidR="00103285" w:rsidRPr="00945FE6" w:rsidP="00945FE6" w14:paraId="6921546E" w14:textId="61ABA984">
      <w:pPr>
        <w:tabs>
          <w:tab w:val="left" w:pos="1440"/>
        </w:tabs>
        <w:ind w:firstLine="720"/>
        <w:rPr>
          <w:szCs w:val="26"/>
        </w:rPr>
      </w:pPr>
      <w:r w:rsidRPr="00945FE6">
        <w:rPr>
          <w:szCs w:val="26"/>
        </w:rPr>
        <w:t>In interpreting section 632.7 as inapplicable to the parties to a communication</w:t>
      </w:r>
      <w:r w:rsidRPr="00945FE6" w:rsidR="00EE04AA">
        <w:rPr>
          <w:szCs w:val="26"/>
        </w:rPr>
        <w:t xml:space="preserve">, </w:t>
      </w:r>
      <w:r w:rsidRPr="00945FE6">
        <w:rPr>
          <w:szCs w:val="26"/>
        </w:rPr>
        <w:t xml:space="preserve">the Court of Appeal did not </w:t>
      </w:r>
      <w:r w:rsidRPr="00945FE6" w:rsidR="002D311A">
        <w:rPr>
          <w:szCs w:val="26"/>
        </w:rPr>
        <w:t>examine</w:t>
      </w:r>
      <w:r w:rsidRPr="00945FE6">
        <w:rPr>
          <w:szCs w:val="26"/>
        </w:rPr>
        <w:t xml:space="preserve"> our decision in </w:t>
      </w:r>
      <w:r w:rsidRPr="00945FE6">
        <w:rPr>
          <w:i/>
          <w:iCs/>
          <w:szCs w:val="26"/>
        </w:rPr>
        <w:t>Flanagan</w:t>
      </w:r>
      <w:r w:rsidRPr="00945FE6">
        <w:rPr>
          <w:szCs w:val="26"/>
        </w:rPr>
        <w:t xml:space="preserve">, </w:t>
      </w:r>
      <w:r w:rsidRPr="00945FE6">
        <w:rPr>
          <w:i/>
          <w:iCs/>
          <w:szCs w:val="26"/>
        </w:rPr>
        <w:t>supra</w:t>
      </w:r>
      <w:r w:rsidRPr="00945FE6">
        <w:rPr>
          <w:szCs w:val="26"/>
        </w:rPr>
        <w:t xml:space="preserve">, 27 Cal.4th </w:t>
      </w:r>
      <w:r w:rsidRPr="00945FE6" w:rsidR="00784116">
        <w:rPr>
          <w:szCs w:val="26"/>
        </w:rPr>
        <w:t>766</w:t>
      </w:r>
      <w:r w:rsidRPr="00945FE6">
        <w:rPr>
          <w:szCs w:val="26"/>
        </w:rPr>
        <w:t xml:space="preserve">, </w:t>
      </w:r>
      <w:r w:rsidRPr="00945FE6" w:rsidR="006C4B12">
        <w:rPr>
          <w:szCs w:val="26"/>
        </w:rPr>
        <w:t>which</w:t>
      </w:r>
      <w:r w:rsidRPr="00945FE6" w:rsidR="0066651D">
        <w:rPr>
          <w:szCs w:val="26"/>
        </w:rPr>
        <w:t xml:space="preserve"> </w:t>
      </w:r>
      <w:r w:rsidRPr="00945FE6" w:rsidR="006C4B12">
        <w:rPr>
          <w:szCs w:val="26"/>
        </w:rPr>
        <w:t>contains</w:t>
      </w:r>
      <w:r w:rsidRPr="00945FE6" w:rsidR="0066651D">
        <w:rPr>
          <w:szCs w:val="26"/>
        </w:rPr>
        <w:t xml:space="preserve"> </w:t>
      </w:r>
      <w:r w:rsidRPr="00945FE6" w:rsidR="006C4B12">
        <w:rPr>
          <w:szCs w:val="26"/>
        </w:rPr>
        <w:t>our most extensive</w:t>
      </w:r>
      <w:r w:rsidR="00977A8A">
        <w:rPr>
          <w:szCs w:val="26"/>
        </w:rPr>
        <w:t xml:space="preserve"> prior</w:t>
      </w:r>
      <w:r w:rsidRPr="00945FE6" w:rsidR="006C4B12">
        <w:rPr>
          <w:szCs w:val="26"/>
        </w:rPr>
        <w:t xml:space="preserve"> discussion</w:t>
      </w:r>
      <w:r w:rsidRPr="00945FE6" w:rsidR="002D311A">
        <w:rPr>
          <w:szCs w:val="26"/>
        </w:rPr>
        <w:t xml:space="preserve"> </w:t>
      </w:r>
      <w:r w:rsidRPr="00945FE6" w:rsidR="006C4B12">
        <w:rPr>
          <w:szCs w:val="26"/>
        </w:rPr>
        <w:t xml:space="preserve">of </w:t>
      </w:r>
      <w:r w:rsidRPr="00945FE6" w:rsidR="0066651D">
        <w:rPr>
          <w:szCs w:val="26"/>
        </w:rPr>
        <w:t>section 632.7</w:t>
      </w:r>
      <w:r w:rsidRPr="00945FE6" w:rsidR="00784116">
        <w:rPr>
          <w:szCs w:val="26"/>
        </w:rPr>
        <w:t xml:space="preserve">.  In </w:t>
      </w:r>
      <w:r w:rsidRPr="00945FE6" w:rsidR="00784116">
        <w:rPr>
          <w:i/>
          <w:iCs/>
          <w:szCs w:val="26"/>
        </w:rPr>
        <w:t>Flanagan</w:t>
      </w:r>
      <w:r w:rsidRPr="00945FE6" w:rsidR="00784116">
        <w:rPr>
          <w:szCs w:val="26"/>
        </w:rPr>
        <w:t xml:space="preserve">, we resolved a split of authority regarding </w:t>
      </w:r>
      <w:r w:rsidR="00977A8A">
        <w:rPr>
          <w:szCs w:val="26"/>
        </w:rPr>
        <w:t xml:space="preserve">what amounts to </w:t>
      </w:r>
      <w:r w:rsidRPr="00945FE6" w:rsidR="0066651D">
        <w:rPr>
          <w:szCs w:val="26"/>
        </w:rPr>
        <w:t>a</w:t>
      </w:r>
      <w:r w:rsidRPr="00945FE6" w:rsidR="00784116">
        <w:rPr>
          <w:szCs w:val="26"/>
        </w:rPr>
        <w:t xml:space="preserve"> </w:t>
      </w:r>
      <w:r w:rsidRPr="00945FE6" w:rsidR="00DF54BC">
        <w:rPr>
          <w:szCs w:val="26"/>
        </w:rPr>
        <w:t>“</w:t>
      </w:r>
      <w:r w:rsidRPr="00945FE6" w:rsidR="00784116">
        <w:rPr>
          <w:szCs w:val="26"/>
        </w:rPr>
        <w:t>confidential communication</w:t>
      </w:r>
      <w:r w:rsidRPr="00945FE6" w:rsidR="00DF54BC">
        <w:rPr>
          <w:szCs w:val="26"/>
        </w:rPr>
        <w:t>”</w:t>
      </w:r>
      <w:r w:rsidRPr="00945FE6" w:rsidR="00784116">
        <w:rPr>
          <w:szCs w:val="26"/>
        </w:rPr>
        <w:t xml:space="preserve"> </w:t>
      </w:r>
      <w:r w:rsidRPr="00945FE6" w:rsidR="005F5BD4">
        <w:rPr>
          <w:szCs w:val="26"/>
        </w:rPr>
        <w:t>that</w:t>
      </w:r>
      <w:r w:rsidRPr="00945FE6" w:rsidR="00784116">
        <w:rPr>
          <w:szCs w:val="26"/>
        </w:rPr>
        <w:t xml:space="preserve"> section 632</w:t>
      </w:r>
      <w:r w:rsidRPr="00945FE6" w:rsidR="005F5BD4">
        <w:rPr>
          <w:szCs w:val="26"/>
        </w:rPr>
        <w:t>, subdivision (a) protects from recording without the parties’ consent</w:t>
      </w:r>
      <w:r w:rsidRPr="00945FE6" w:rsidR="00784116">
        <w:rPr>
          <w:szCs w:val="26"/>
        </w:rPr>
        <w:t xml:space="preserve">.  We agreed with the view that “a conversation is confidential if a party to that conversation has an objectively reasonable expectation that the conversation is not being overheard or recorded” </w:t>
      </w:r>
      <w:r w:rsidRPr="00945FE6" w:rsidR="00CF3F59">
        <w:rPr>
          <w:szCs w:val="26"/>
        </w:rPr>
        <w:t>(</w:t>
      </w:r>
      <w:r w:rsidRPr="00945FE6" w:rsidR="00CF3F59">
        <w:rPr>
          <w:i/>
          <w:iCs/>
          <w:szCs w:val="26"/>
        </w:rPr>
        <w:t>Flanagan</w:t>
      </w:r>
      <w:r w:rsidRPr="00945FE6" w:rsidR="00CF3F59">
        <w:rPr>
          <w:szCs w:val="26"/>
        </w:rPr>
        <w:t xml:space="preserve">, at p. 768), </w:t>
      </w:r>
      <w:r w:rsidRPr="00945FE6" w:rsidR="00784116">
        <w:rPr>
          <w:szCs w:val="26"/>
        </w:rPr>
        <w:t>and rejected a</w:t>
      </w:r>
      <w:r w:rsidRPr="00945FE6" w:rsidR="006C4B12">
        <w:rPr>
          <w:szCs w:val="26"/>
        </w:rPr>
        <w:t>n</w:t>
      </w:r>
      <w:r w:rsidRPr="00945FE6" w:rsidR="00DF54BC">
        <w:rPr>
          <w:szCs w:val="26"/>
        </w:rPr>
        <w:t xml:space="preserve"> alternative</w:t>
      </w:r>
      <w:r w:rsidRPr="00945FE6" w:rsidR="00784116">
        <w:rPr>
          <w:szCs w:val="26"/>
        </w:rPr>
        <w:t xml:space="preserve"> interpretation of </w:t>
      </w:r>
      <w:r w:rsidR="00C214C6">
        <w:rPr>
          <w:szCs w:val="26"/>
        </w:rPr>
        <w:t>the statutory language</w:t>
      </w:r>
      <w:r w:rsidRPr="00945FE6" w:rsidR="00784116">
        <w:rPr>
          <w:szCs w:val="26"/>
        </w:rPr>
        <w:t xml:space="preserve"> that </w:t>
      </w:r>
      <w:r w:rsidRPr="00945FE6" w:rsidR="00743B00">
        <w:rPr>
          <w:szCs w:val="26"/>
        </w:rPr>
        <w:t xml:space="preserve">we </w:t>
      </w:r>
      <w:r w:rsidRPr="00945FE6" w:rsidR="00DF54BC">
        <w:rPr>
          <w:szCs w:val="26"/>
        </w:rPr>
        <w:t>considered</w:t>
      </w:r>
      <w:r w:rsidRPr="00945FE6" w:rsidR="00784116">
        <w:rPr>
          <w:szCs w:val="26"/>
        </w:rPr>
        <w:t xml:space="preserve"> less protective of </w:t>
      </w:r>
      <w:r w:rsidRPr="00945FE6" w:rsidR="00743B00">
        <w:rPr>
          <w:szCs w:val="26"/>
        </w:rPr>
        <w:t xml:space="preserve">the parties’ </w:t>
      </w:r>
      <w:r w:rsidRPr="00945FE6" w:rsidR="00784116">
        <w:rPr>
          <w:szCs w:val="26"/>
        </w:rPr>
        <w:t>privacy</w:t>
      </w:r>
      <w:r w:rsidRPr="00945FE6" w:rsidR="00CF3F59">
        <w:rPr>
          <w:szCs w:val="26"/>
        </w:rPr>
        <w:t xml:space="preserve"> </w:t>
      </w:r>
      <w:r w:rsidRPr="00945FE6" w:rsidR="00784116">
        <w:rPr>
          <w:szCs w:val="26"/>
        </w:rPr>
        <w:t>(</w:t>
      </w:r>
      <w:r w:rsidRPr="00945FE6" w:rsidR="00CF3F59">
        <w:rPr>
          <w:i/>
          <w:iCs/>
          <w:szCs w:val="26"/>
        </w:rPr>
        <w:t>ibid</w:t>
      </w:r>
      <w:r w:rsidRPr="00945FE6" w:rsidR="00784116">
        <w:rPr>
          <w:szCs w:val="26"/>
        </w:rPr>
        <w:t>.)</w:t>
      </w:r>
      <w:r w:rsidRPr="00945FE6" w:rsidR="00CF3F59">
        <w:rPr>
          <w:szCs w:val="26"/>
        </w:rPr>
        <w:t>.</w:t>
      </w:r>
      <w:r w:rsidRPr="00945FE6" w:rsidR="00784116">
        <w:rPr>
          <w:szCs w:val="26"/>
        </w:rPr>
        <w:t xml:space="preserve">  </w:t>
      </w:r>
      <w:r w:rsidRPr="00945FE6" w:rsidR="00743B00">
        <w:rPr>
          <w:szCs w:val="26"/>
        </w:rPr>
        <w:t>In so holding, we emphasized that</w:t>
      </w:r>
      <w:r w:rsidRPr="00945FE6" w:rsidR="00784116">
        <w:rPr>
          <w:szCs w:val="26"/>
        </w:rPr>
        <w:t xml:space="preserve"> </w:t>
      </w:r>
      <w:r w:rsidRPr="00945FE6" w:rsidR="00743B00">
        <w:rPr>
          <w:szCs w:val="26"/>
        </w:rPr>
        <w:t>the preferred interpretation</w:t>
      </w:r>
      <w:r w:rsidRPr="00945FE6" w:rsidR="006C4B12">
        <w:rPr>
          <w:szCs w:val="26"/>
        </w:rPr>
        <w:t xml:space="preserve"> </w:t>
      </w:r>
      <w:r w:rsidRPr="00945FE6" w:rsidR="00784116">
        <w:rPr>
          <w:szCs w:val="26"/>
        </w:rPr>
        <w:t>was more consistent with the protections conferred by sections 632.5, 632.6</w:t>
      </w:r>
      <w:r w:rsidRPr="00945FE6" w:rsidR="00CF3F59">
        <w:rPr>
          <w:szCs w:val="26"/>
        </w:rPr>
        <w:t>,</w:t>
      </w:r>
      <w:r w:rsidRPr="00945FE6" w:rsidR="00784116">
        <w:rPr>
          <w:szCs w:val="26"/>
        </w:rPr>
        <w:t xml:space="preserve"> and 632.7.  These other provisions, we observed, all “protect against interception or recording of </w:t>
      </w:r>
      <w:r w:rsidRPr="00945FE6" w:rsidR="00784116">
        <w:rPr>
          <w:i/>
          <w:iCs/>
          <w:szCs w:val="26"/>
        </w:rPr>
        <w:t>any</w:t>
      </w:r>
      <w:r w:rsidRPr="00945FE6" w:rsidR="00784116">
        <w:rPr>
          <w:szCs w:val="26"/>
        </w:rPr>
        <w:t xml:space="preserve"> communication.  When the Legislature determined that there was no practical means of protecting cordless and cellular phone conversations from accidental eavesdropping, it chose to protect all such conversations from malicious or intentional eavesdropping or recording, rather than protecting only conversations where a party wanted to keep the content secret.”  (</w:t>
      </w:r>
      <w:r w:rsidR="001E544D">
        <w:rPr>
          <w:i/>
          <w:iCs/>
          <w:szCs w:val="26"/>
        </w:rPr>
        <w:t>Flanagan</w:t>
      </w:r>
      <w:r w:rsidRPr="00945FE6" w:rsidR="00784116">
        <w:rPr>
          <w:szCs w:val="26"/>
        </w:rPr>
        <w:t xml:space="preserve">, at p. 776.)  We later </w:t>
      </w:r>
      <w:r w:rsidRPr="00945FE6" w:rsidR="00CF3F59">
        <w:rPr>
          <w:szCs w:val="26"/>
        </w:rPr>
        <w:t>added</w:t>
      </w:r>
      <w:r w:rsidRPr="00945FE6" w:rsidR="00784116">
        <w:rPr>
          <w:szCs w:val="26"/>
        </w:rPr>
        <w:t xml:space="preserve">, “Under the construction adopted here, the </w:t>
      </w:r>
      <w:r w:rsidR="00392F58">
        <w:rPr>
          <w:szCs w:val="26"/>
        </w:rPr>
        <w:t xml:space="preserve">[Invasion of] </w:t>
      </w:r>
      <w:r w:rsidRPr="00945FE6" w:rsidR="00784116">
        <w:rPr>
          <w:szCs w:val="26"/>
        </w:rPr>
        <w:t>Privacy Act is a coherent statutory scheme.  It protects against intentional, nonconsensual recording of telephone conversations regardless of the content of the conversation or the type of telephone involved.”  (</w:t>
      </w:r>
      <w:r w:rsidRPr="00945FE6" w:rsidR="00784116">
        <w:rPr>
          <w:i/>
          <w:iCs/>
          <w:szCs w:val="26"/>
        </w:rPr>
        <w:t>Ibid</w:t>
      </w:r>
      <w:r w:rsidRPr="00945FE6" w:rsidR="00784116">
        <w:rPr>
          <w:szCs w:val="26"/>
        </w:rPr>
        <w:t xml:space="preserve">.; see also </w:t>
      </w:r>
      <w:r w:rsidRPr="00945FE6" w:rsidR="00784116">
        <w:rPr>
          <w:i/>
          <w:iCs/>
          <w:szCs w:val="26"/>
        </w:rPr>
        <w:t>id</w:t>
      </w:r>
      <w:r w:rsidRPr="00945FE6" w:rsidR="00784116">
        <w:rPr>
          <w:szCs w:val="26"/>
        </w:rPr>
        <w:t>., at p. 771, fn. 2 [“Section 632.7, enacted in 1992, prohibits intentionally intercepting or recording communications involving cellular telephones and cordless telephones.  This prohibition applies to all communications, not just confidential communications.”]</w:t>
      </w:r>
      <w:r w:rsidRPr="00945FE6" w:rsidR="003A2190">
        <w:rPr>
          <w:szCs w:val="26"/>
        </w:rPr>
        <w:t xml:space="preserve">; </w:t>
      </w:r>
      <w:r w:rsidRPr="00945FE6" w:rsidR="003A2190">
        <w:rPr>
          <w:i/>
          <w:iCs/>
          <w:szCs w:val="26"/>
        </w:rPr>
        <w:t>Kearney v. S</w:t>
      </w:r>
      <w:r w:rsidRPr="00945FE6" w:rsidR="00CF3F59">
        <w:rPr>
          <w:i/>
          <w:iCs/>
          <w:szCs w:val="26"/>
        </w:rPr>
        <w:t>a</w:t>
      </w:r>
      <w:r w:rsidRPr="00945FE6" w:rsidR="003A2190">
        <w:rPr>
          <w:i/>
          <w:iCs/>
          <w:szCs w:val="26"/>
        </w:rPr>
        <w:t>lomon Smith Barney, Inc.</w:t>
      </w:r>
      <w:r w:rsidRPr="00945FE6" w:rsidR="003A2190">
        <w:rPr>
          <w:szCs w:val="26"/>
        </w:rPr>
        <w:t xml:space="preserve"> (2006) 39 Cal.4th 95, 122</w:t>
      </w:r>
      <w:r w:rsidR="00C8136C">
        <w:rPr>
          <w:szCs w:val="26"/>
        </w:rPr>
        <w:t xml:space="preserve"> (</w:t>
      </w:r>
      <w:r w:rsidRPr="00C8136C" w:rsidR="00C8136C">
        <w:rPr>
          <w:i/>
          <w:iCs/>
          <w:szCs w:val="26"/>
        </w:rPr>
        <w:t>Kearney</w:t>
      </w:r>
      <w:r w:rsidR="00C8136C">
        <w:rPr>
          <w:szCs w:val="26"/>
        </w:rPr>
        <w:t>)</w:t>
      </w:r>
      <w:r w:rsidRPr="00945FE6" w:rsidR="003A2190">
        <w:rPr>
          <w:szCs w:val="26"/>
        </w:rPr>
        <w:t xml:space="preserve"> [“</w:t>
      </w:r>
      <w:r w:rsidRPr="00945FE6" w:rsidR="003A2190">
        <w:t>it is unlawful under California law for a party to a telephone conversation to record the conversation without the knowledge of all other parties to the conversation”].</w:t>
      </w:r>
      <w:r w:rsidRPr="00945FE6" w:rsidR="00784116">
        <w:rPr>
          <w:szCs w:val="26"/>
        </w:rPr>
        <w:t xml:space="preserve">)  </w:t>
      </w:r>
    </w:p>
    <w:p w:rsidR="00097437" w:rsidRPr="0099214B" w:rsidP="0010015A" w14:paraId="34C0912A" w14:textId="724BC460">
      <w:pPr>
        <w:pStyle w:val="Heading2"/>
      </w:pPr>
      <w:r w:rsidRPr="00EC0C84">
        <w:t xml:space="preserve">The Language of </w:t>
      </w:r>
      <w:r w:rsidRPr="00EC0C84">
        <w:t>Section 632.7</w:t>
      </w:r>
      <w:r w:rsidRPr="00EC0C84">
        <w:t xml:space="preserve">, Read in Context, </w:t>
      </w:r>
      <w:r w:rsidRPr="00EC0C84" w:rsidR="00A023BF">
        <w:t>Favors</w:t>
      </w:r>
      <w:r w:rsidRPr="00EC0C84">
        <w:t xml:space="preserve"> an Interpretation of the </w:t>
      </w:r>
      <w:r w:rsidRPr="00CF147F" w:rsidR="00A023BF">
        <w:t>Section</w:t>
      </w:r>
      <w:r w:rsidRPr="00CF147F">
        <w:t xml:space="preserve"> as Applicable to Parties as Well as Nonparties</w:t>
      </w:r>
      <w:r w:rsidRPr="008118F2">
        <w:t xml:space="preserve"> </w:t>
      </w:r>
    </w:p>
    <w:p w:rsidR="00A71285" w:rsidRPr="00945FE6" w:rsidP="0010015A" w14:paraId="2752640D" w14:textId="18A972B2">
      <w:pPr>
        <w:keepNext/>
        <w:tabs>
          <w:tab w:val="left" w:pos="1440"/>
        </w:tabs>
        <w:ind w:firstLine="720"/>
        <w:rPr>
          <w:szCs w:val="26"/>
        </w:rPr>
      </w:pPr>
      <w:r>
        <w:rPr>
          <w:szCs w:val="26"/>
        </w:rPr>
        <w:t xml:space="preserve">We now </w:t>
      </w:r>
      <w:r w:rsidR="00C86E8B">
        <w:rPr>
          <w:szCs w:val="26"/>
        </w:rPr>
        <w:t>look more closely at</w:t>
      </w:r>
      <w:r>
        <w:rPr>
          <w:szCs w:val="26"/>
        </w:rPr>
        <w:t xml:space="preserve"> the language of</w:t>
      </w:r>
      <w:r w:rsidRPr="00945FE6" w:rsidR="00AE49A8">
        <w:rPr>
          <w:szCs w:val="26"/>
        </w:rPr>
        <w:t xml:space="preserve"> section 632.7(a)</w:t>
      </w:r>
      <w:r>
        <w:rPr>
          <w:szCs w:val="26"/>
        </w:rPr>
        <w:t xml:space="preserve">, focusing </w:t>
      </w:r>
      <w:r w:rsidRPr="00945FE6" w:rsidR="001F5DFA">
        <w:rPr>
          <w:szCs w:val="26"/>
        </w:rPr>
        <w:t>upon its phrasing</w:t>
      </w:r>
      <w:r w:rsidR="00FD2E66">
        <w:rPr>
          <w:szCs w:val="26"/>
        </w:rPr>
        <w:t>,</w:t>
      </w:r>
      <w:r w:rsidRPr="00945FE6" w:rsidR="001F5DFA">
        <w:rPr>
          <w:szCs w:val="26"/>
        </w:rPr>
        <w:t xml:space="preserve"> “</w:t>
      </w:r>
      <w:r w:rsidRPr="00945FE6" w:rsidR="00743B00">
        <w:rPr>
          <w:szCs w:val="26"/>
        </w:rPr>
        <w:t>[e]</w:t>
      </w:r>
      <w:r w:rsidRPr="00945FE6" w:rsidR="001F5DFA">
        <w:rPr>
          <w:szCs w:val="26"/>
        </w:rPr>
        <w:t>very person who, without the consent of all parties to a communication, intercepts or receives and intentionally records . . . a communication</w:t>
      </w:r>
      <w:r w:rsidRPr="00945FE6" w:rsidR="000A154D">
        <w:rPr>
          <w:szCs w:val="26"/>
        </w:rPr>
        <w:t xml:space="preserve"> </w:t>
      </w:r>
      <w:r w:rsidRPr="00945FE6" w:rsidR="001F5DFA">
        <w:rPr>
          <w:szCs w:val="26"/>
        </w:rPr>
        <w:t xml:space="preserve">. . . .”  </w:t>
      </w:r>
    </w:p>
    <w:p w:rsidR="008A11E5" w:rsidP="008A11E5" w14:paraId="3C8BD223" w14:textId="4894941B">
      <w:pPr>
        <w:tabs>
          <w:tab w:val="left" w:pos="1440"/>
        </w:tabs>
        <w:ind w:firstLine="720"/>
        <w:rPr>
          <w:szCs w:val="26"/>
        </w:rPr>
      </w:pPr>
      <w:r w:rsidRPr="00945FE6">
        <w:rPr>
          <w:szCs w:val="26"/>
        </w:rPr>
        <w:t xml:space="preserve">The Court of Appeal read section 632.7(a) as </w:t>
      </w:r>
      <w:r w:rsidRPr="00945FE6" w:rsidR="00A023BF">
        <w:rPr>
          <w:szCs w:val="26"/>
        </w:rPr>
        <w:t xml:space="preserve">contemplating </w:t>
      </w:r>
      <w:r w:rsidRPr="00945FE6" w:rsidR="00743B00">
        <w:rPr>
          <w:szCs w:val="26"/>
        </w:rPr>
        <w:t xml:space="preserve">liability </w:t>
      </w:r>
      <w:r w:rsidRPr="00945FE6" w:rsidR="00A023BF">
        <w:rPr>
          <w:szCs w:val="26"/>
        </w:rPr>
        <w:t xml:space="preserve">only </w:t>
      </w:r>
      <w:r w:rsidRPr="00945FE6" w:rsidR="00743B00">
        <w:rPr>
          <w:szCs w:val="26"/>
        </w:rPr>
        <w:t xml:space="preserve">in </w:t>
      </w:r>
      <w:r w:rsidRPr="00945FE6" w:rsidR="00AE49A8">
        <w:rPr>
          <w:szCs w:val="26"/>
        </w:rPr>
        <w:t xml:space="preserve">situations </w:t>
      </w:r>
      <w:r w:rsidRPr="00945FE6" w:rsidR="000A154D">
        <w:rPr>
          <w:szCs w:val="26"/>
        </w:rPr>
        <w:t>in which</w:t>
      </w:r>
      <w:r w:rsidRPr="00945FE6" w:rsidR="00AE49A8">
        <w:rPr>
          <w:szCs w:val="26"/>
        </w:rPr>
        <w:t xml:space="preserve"> </w:t>
      </w:r>
      <w:r w:rsidRPr="00945FE6" w:rsidR="00A71285">
        <w:rPr>
          <w:szCs w:val="26"/>
        </w:rPr>
        <w:t>a person (1)</w:t>
      </w:r>
      <w:r w:rsidRPr="00945FE6" w:rsidR="002D311A">
        <w:rPr>
          <w:szCs w:val="26"/>
        </w:rPr>
        <w:t> </w:t>
      </w:r>
      <w:r w:rsidRPr="00945FE6" w:rsidR="00A71285">
        <w:rPr>
          <w:szCs w:val="26"/>
        </w:rPr>
        <w:t>intercepts or receives a communication without the consent of all parties to the communication, and (2)</w:t>
      </w:r>
      <w:r w:rsidRPr="00945FE6" w:rsidR="002D311A">
        <w:rPr>
          <w:szCs w:val="26"/>
        </w:rPr>
        <w:t> </w:t>
      </w:r>
      <w:r w:rsidRPr="00945FE6" w:rsidR="00A71285">
        <w:rPr>
          <w:szCs w:val="26"/>
        </w:rPr>
        <w:t xml:space="preserve">intentionally records the communication without the consent of all parties to the communication.  </w:t>
      </w:r>
      <w:r>
        <w:rPr>
          <w:szCs w:val="26"/>
        </w:rPr>
        <w:t>As previously observed, the Court of Appeal relied on this</w:t>
      </w:r>
      <w:r w:rsidRPr="00945FE6" w:rsidR="00A71285">
        <w:rPr>
          <w:szCs w:val="26"/>
        </w:rPr>
        <w:t xml:space="preserve"> construction of section 632.7(a)</w:t>
      </w:r>
      <w:r>
        <w:rPr>
          <w:szCs w:val="26"/>
        </w:rPr>
        <w:t xml:space="preserve"> in concluding that</w:t>
      </w:r>
      <w:r w:rsidRPr="00945FE6">
        <w:rPr>
          <w:szCs w:val="26"/>
        </w:rPr>
        <w:t xml:space="preserve"> </w:t>
      </w:r>
      <w:r w:rsidRPr="00945FE6" w:rsidR="00FE5F41">
        <w:rPr>
          <w:szCs w:val="26"/>
        </w:rPr>
        <w:t>recording by</w:t>
      </w:r>
      <w:r w:rsidRPr="00945FE6" w:rsidR="00A71285">
        <w:rPr>
          <w:szCs w:val="26"/>
        </w:rPr>
        <w:t xml:space="preserve"> </w:t>
      </w:r>
      <w:r w:rsidRPr="00945FE6" w:rsidR="00BA63F4">
        <w:rPr>
          <w:szCs w:val="26"/>
        </w:rPr>
        <w:t>a party</w:t>
      </w:r>
      <w:r w:rsidRPr="00945FE6" w:rsidR="00A71285">
        <w:rPr>
          <w:szCs w:val="26"/>
        </w:rPr>
        <w:t xml:space="preserve"> to a phone call</w:t>
      </w:r>
      <w:r w:rsidR="00FC4D34">
        <w:rPr>
          <w:szCs w:val="26"/>
        </w:rPr>
        <w:t xml:space="preserve"> </w:t>
      </w:r>
      <w:r>
        <w:rPr>
          <w:szCs w:val="26"/>
        </w:rPr>
        <w:t>is</w:t>
      </w:r>
      <w:r w:rsidR="00FC4D34">
        <w:rPr>
          <w:szCs w:val="26"/>
        </w:rPr>
        <w:t xml:space="preserve"> not prohibited</w:t>
      </w:r>
      <w:r w:rsidRPr="00945FE6" w:rsidR="00BA63F4">
        <w:rPr>
          <w:szCs w:val="26"/>
        </w:rPr>
        <w:t xml:space="preserve"> </w:t>
      </w:r>
      <w:r w:rsidR="00FC4D34">
        <w:rPr>
          <w:szCs w:val="26"/>
        </w:rPr>
        <w:t xml:space="preserve">under this provision </w:t>
      </w:r>
      <w:r w:rsidRPr="00945FE6" w:rsidR="00BA63F4">
        <w:rPr>
          <w:szCs w:val="26"/>
        </w:rPr>
        <w:t>because</w:t>
      </w:r>
      <w:r>
        <w:rPr>
          <w:szCs w:val="26"/>
        </w:rPr>
        <w:t xml:space="preserve"> </w:t>
      </w:r>
      <w:r w:rsidR="00FC4D34">
        <w:rPr>
          <w:szCs w:val="26"/>
        </w:rPr>
        <w:t xml:space="preserve">the </w:t>
      </w:r>
      <w:r w:rsidRPr="00945FE6" w:rsidR="00A71285">
        <w:rPr>
          <w:szCs w:val="26"/>
        </w:rPr>
        <w:t>parties</w:t>
      </w:r>
      <w:r w:rsidRPr="00945FE6" w:rsidR="00DF54BC">
        <w:rPr>
          <w:szCs w:val="26"/>
        </w:rPr>
        <w:t xml:space="preserve"> to a call</w:t>
      </w:r>
      <w:r w:rsidRPr="00945FE6" w:rsidR="00E82650">
        <w:rPr>
          <w:szCs w:val="26"/>
        </w:rPr>
        <w:t xml:space="preserve"> normally</w:t>
      </w:r>
      <w:r w:rsidRPr="00945FE6" w:rsidR="00A71285">
        <w:rPr>
          <w:szCs w:val="26"/>
        </w:rPr>
        <w:t xml:space="preserve"> consent to </w:t>
      </w:r>
      <w:r w:rsidR="00FC4D34">
        <w:rPr>
          <w:szCs w:val="26"/>
        </w:rPr>
        <w:t>other participants’</w:t>
      </w:r>
      <w:r w:rsidRPr="00945FE6" w:rsidR="004557AC">
        <w:rPr>
          <w:szCs w:val="26"/>
        </w:rPr>
        <w:t xml:space="preserve"> “receipt” of their </w:t>
      </w:r>
      <w:r w:rsidRPr="00945FE6" w:rsidR="00C0222A">
        <w:rPr>
          <w:szCs w:val="26"/>
        </w:rPr>
        <w:t>input</w:t>
      </w:r>
      <w:r w:rsidRPr="00945FE6" w:rsidR="003B0022">
        <w:rPr>
          <w:szCs w:val="26"/>
        </w:rPr>
        <w:t>.</w:t>
      </w:r>
      <w:r w:rsidRPr="00945FE6" w:rsidR="001876F2">
        <w:rPr>
          <w:szCs w:val="26"/>
        </w:rPr>
        <w:t xml:space="preserve"> </w:t>
      </w:r>
      <w:r>
        <w:rPr>
          <w:szCs w:val="26"/>
        </w:rPr>
        <w:t xml:space="preserve"> </w:t>
      </w:r>
    </w:p>
    <w:p w:rsidR="001F5DFA" w:rsidRPr="00945FE6" w:rsidP="008A11E5" w14:paraId="520FCC46" w14:textId="1101DC8C">
      <w:pPr>
        <w:tabs>
          <w:tab w:val="left" w:pos="1440"/>
        </w:tabs>
        <w:ind w:firstLine="720"/>
        <w:rPr>
          <w:szCs w:val="26"/>
        </w:rPr>
      </w:pPr>
      <w:r w:rsidRPr="00945FE6">
        <w:rPr>
          <w:szCs w:val="26"/>
        </w:rPr>
        <w:t>A</w:t>
      </w:r>
      <w:r w:rsidRPr="00945FE6" w:rsidR="001876F2">
        <w:rPr>
          <w:szCs w:val="26"/>
        </w:rPr>
        <w:t xml:space="preserve"> different </w:t>
      </w:r>
      <w:r w:rsidRPr="00945FE6">
        <w:rPr>
          <w:szCs w:val="26"/>
        </w:rPr>
        <w:t xml:space="preserve">interpretation of section </w:t>
      </w:r>
      <w:r w:rsidRPr="00945FE6" w:rsidR="004557AC">
        <w:rPr>
          <w:szCs w:val="26"/>
        </w:rPr>
        <w:t>632.7(a)</w:t>
      </w:r>
      <w:r w:rsidRPr="00945FE6" w:rsidR="00BA63F4">
        <w:rPr>
          <w:szCs w:val="26"/>
        </w:rPr>
        <w:t xml:space="preserve"> </w:t>
      </w:r>
      <w:r w:rsidR="000F3FBA">
        <w:rPr>
          <w:szCs w:val="26"/>
        </w:rPr>
        <w:t xml:space="preserve">would </w:t>
      </w:r>
      <w:r w:rsidRPr="00945FE6" w:rsidR="001E02CE">
        <w:rPr>
          <w:szCs w:val="26"/>
        </w:rPr>
        <w:t xml:space="preserve">read </w:t>
      </w:r>
      <w:r w:rsidR="003A5F10">
        <w:rPr>
          <w:szCs w:val="26"/>
        </w:rPr>
        <w:t xml:space="preserve">its consent language as </w:t>
      </w:r>
      <w:r w:rsidR="00A23323">
        <w:rPr>
          <w:szCs w:val="26"/>
        </w:rPr>
        <w:t>directed</w:t>
      </w:r>
      <w:r w:rsidR="003A5F10">
        <w:rPr>
          <w:szCs w:val="26"/>
        </w:rPr>
        <w:t xml:space="preserve"> </w:t>
      </w:r>
      <w:r w:rsidR="00A23323">
        <w:rPr>
          <w:szCs w:val="26"/>
        </w:rPr>
        <w:t>at</w:t>
      </w:r>
      <w:r w:rsidR="003A5F10">
        <w:rPr>
          <w:szCs w:val="26"/>
        </w:rPr>
        <w:t xml:space="preserve"> </w:t>
      </w:r>
      <w:r w:rsidR="004810F1">
        <w:rPr>
          <w:szCs w:val="26"/>
        </w:rPr>
        <w:t xml:space="preserve">the </w:t>
      </w:r>
      <w:r w:rsidR="003A5F10">
        <w:rPr>
          <w:szCs w:val="26"/>
        </w:rPr>
        <w:t xml:space="preserve">recording component of the offense, with </w:t>
      </w:r>
      <w:r w:rsidR="00A23323">
        <w:rPr>
          <w:szCs w:val="26"/>
        </w:rPr>
        <w:t>the section’s</w:t>
      </w:r>
      <w:r w:rsidRPr="00945FE6" w:rsidR="006265D4">
        <w:rPr>
          <w:szCs w:val="26"/>
        </w:rPr>
        <w:t xml:space="preserve"> “intercepts or receives” </w:t>
      </w:r>
      <w:r w:rsidR="003A5F10">
        <w:rPr>
          <w:szCs w:val="26"/>
        </w:rPr>
        <w:t>phrasing</w:t>
      </w:r>
      <w:r w:rsidRPr="00945FE6" w:rsidR="006265D4">
        <w:rPr>
          <w:szCs w:val="26"/>
        </w:rPr>
        <w:t xml:space="preserve"> specifying </w:t>
      </w:r>
      <w:r w:rsidR="00A23323">
        <w:rPr>
          <w:szCs w:val="26"/>
        </w:rPr>
        <w:t>the circumstances in which</w:t>
      </w:r>
      <w:r w:rsidRPr="00945FE6" w:rsidR="006265D4">
        <w:rPr>
          <w:szCs w:val="26"/>
        </w:rPr>
        <w:t xml:space="preserve"> a person may </w:t>
      </w:r>
      <w:r w:rsidR="00A23323">
        <w:rPr>
          <w:szCs w:val="26"/>
        </w:rPr>
        <w:t>become privy to a</w:t>
      </w:r>
      <w:r w:rsidRPr="00945FE6" w:rsidR="006265D4">
        <w:rPr>
          <w:szCs w:val="26"/>
        </w:rPr>
        <w:t xml:space="preserve"> </w:t>
      </w:r>
      <w:r w:rsidR="007763D0">
        <w:rPr>
          <w:szCs w:val="26"/>
        </w:rPr>
        <w:t xml:space="preserve">covered </w:t>
      </w:r>
      <w:r w:rsidRPr="00945FE6" w:rsidR="006265D4">
        <w:rPr>
          <w:szCs w:val="26"/>
        </w:rPr>
        <w:t xml:space="preserve">communication.  </w:t>
      </w:r>
      <w:r w:rsidR="008A11E5">
        <w:rPr>
          <w:szCs w:val="26"/>
        </w:rPr>
        <w:t>Under t</w:t>
      </w:r>
      <w:r w:rsidRPr="00945FE6" w:rsidR="00D276C6">
        <w:rPr>
          <w:szCs w:val="26"/>
        </w:rPr>
        <w:t>his interpretation of section 632.7</w:t>
      </w:r>
      <w:r w:rsidRPr="00945FE6" w:rsidR="000C0A81">
        <w:rPr>
          <w:szCs w:val="26"/>
        </w:rPr>
        <w:t>(a)</w:t>
      </w:r>
      <w:r w:rsidR="008A11E5">
        <w:rPr>
          <w:szCs w:val="26"/>
        </w:rPr>
        <w:t xml:space="preserve">, there is no doubt regarding its </w:t>
      </w:r>
      <w:r w:rsidR="00471DBF">
        <w:rPr>
          <w:szCs w:val="26"/>
        </w:rPr>
        <w:t>applicability</w:t>
      </w:r>
      <w:r w:rsidRPr="00945FE6" w:rsidR="000C0A81">
        <w:rPr>
          <w:szCs w:val="26"/>
        </w:rPr>
        <w:t xml:space="preserve"> to</w:t>
      </w:r>
      <w:r w:rsidR="008A11E5">
        <w:rPr>
          <w:szCs w:val="26"/>
        </w:rPr>
        <w:t xml:space="preserve"> </w:t>
      </w:r>
      <w:r w:rsidRPr="00945FE6" w:rsidR="000C0A81">
        <w:rPr>
          <w:szCs w:val="26"/>
        </w:rPr>
        <w:t xml:space="preserve">parties as well as nonparties to </w:t>
      </w:r>
      <w:r w:rsidRPr="00945FE6" w:rsidR="00D276C6">
        <w:rPr>
          <w:szCs w:val="26"/>
        </w:rPr>
        <w:t xml:space="preserve">a </w:t>
      </w:r>
      <w:r w:rsidRPr="00945FE6" w:rsidR="000C243E">
        <w:rPr>
          <w:szCs w:val="26"/>
        </w:rPr>
        <w:t>communication</w:t>
      </w:r>
      <w:r w:rsidRPr="00945FE6" w:rsidR="000C0A81">
        <w:rPr>
          <w:szCs w:val="26"/>
        </w:rPr>
        <w:t xml:space="preserve">.  </w:t>
      </w:r>
      <w:r w:rsidRPr="00945FE6" w:rsidR="000C243E">
        <w:rPr>
          <w:szCs w:val="26"/>
        </w:rPr>
        <w:t>Al</w:t>
      </w:r>
      <w:r w:rsidRPr="00945FE6" w:rsidR="00D276C6">
        <w:rPr>
          <w:szCs w:val="26"/>
        </w:rPr>
        <w:t xml:space="preserve">though parties might </w:t>
      </w:r>
      <w:r w:rsidRPr="00945FE6" w:rsidR="00242074">
        <w:rPr>
          <w:szCs w:val="26"/>
        </w:rPr>
        <w:t xml:space="preserve">normally </w:t>
      </w:r>
      <w:r w:rsidRPr="00945FE6" w:rsidR="00823365">
        <w:rPr>
          <w:szCs w:val="26"/>
        </w:rPr>
        <w:t xml:space="preserve">be regarded as </w:t>
      </w:r>
      <w:r w:rsidRPr="00945FE6" w:rsidR="00D276C6">
        <w:rPr>
          <w:szCs w:val="26"/>
        </w:rPr>
        <w:t>consent</w:t>
      </w:r>
      <w:r w:rsidRPr="00945FE6" w:rsidR="00823365">
        <w:rPr>
          <w:szCs w:val="26"/>
        </w:rPr>
        <w:t>ing</w:t>
      </w:r>
      <w:r w:rsidRPr="00945FE6" w:rsidR="00D276C6">
        <w:rPr>
          <w:szCs w:val="26"/>
        </w:rPr>
        <w:t xml:space="preserve"> to the receipt of their communications</w:t>
      </w:r>
      <w:r w:rsidRPr="00945FE6" w:rsidR="000C243E">
        <w:rPr>
          <w:szCs w:val="26"/>
        </w:rPr>
        <w:t xml:space="preserve"> by </w:t>
      </w:r>
      <w:r w:rsidRPr="00945FE6" w:rsidR="000C0A81">
        <w:rPr>
          <w:szCs w:val="26"/>
        </w:rPr>
        <w:t>other parties to a call</w:t>
      </w:r>
      <w:r w:rsidRPr="00945FE6" w:rsidR="00D276C6">
        <w:rPr>
          <w:szCs w:val="26"/>
        </w:rPr>
        <w:t>,</w:t>
      </w:r>
      <w:r w:rsidRPr="00945FE6" w:rsidR="00823365">
        <w:rPr>
          <w:szCs w:val="26"/>
        </w:rPr>
        <w:t xml:space="preserve"> </w:t>
      </w:r>
      <w:r w:rsidRPr="00945FE6" w:rsidR="000C0A81">
        <w:rPr>
          <w:szCs w:val="26"/>
        </w:rPr>
        <w:t>this acquiescence would not</w:t>
      </w:r>
      <w:r w:rsidRPr="00945FE6" w:rsidR="00823365">
        <w:rPr>
          <w:szCs w:val="26"/>
        </w:rPr>
        <w:t>, by itself,</w:t>
      </w:r>
      <w:r w:rsidRPr="00945FE6" w:rsidR="000C0A81">
        <w:rPr>
          <w:szCs w:val="26"/>
        </w:rPr>
        <w:t xml:space="preserve"> </w:t>
      </w:r>
      <w:r w:rsidRPr="00945FE6" w:rsidR="00823365">
        <w:rPr>
          <w:szCs w:val="26"/>
        </w:rPr>
        <w:t xml:space="preserve">necessarily </w:t>
      </w:r>
      <w:r w:rsidRPr="00945FE6" w:rsidR="00C452B4">
        <w:rPr>
          <w:szCs w:val="26"/>
        </w:rPr>
        <w:t>convey their</w:t>
      </w:r>
      <w:r w:rsidRPr="00945FE6" w:rsidR="000C0A81">
        <w:rPr>
          <w:szCs w:val="26"/>
        </w:rPr>
        <w:t xml:space="preserve"> consent to hav</w:t>
      </w:r>
      <w:r w:rsidRPr="00945FE6" w:rsidR="00C452B4">
        <w:rPr>
          <w:szCs w:val="26"/>
        </w:rPr>
        <w:t>ing</w:t>
      </w:r>
      <w:r w:rsidRPr="00945FE6" w:rsidR="000C0A81">
        <w:rPr>
          <w:szCs w:val="26"/>
        </w:rPr>
        <w:t xml:space="preserve"> these communications recorded</w:t>
      </w:r>
      <w:r w:rsidRPr="00945FE6" w:rsidR="00D276C6">
        <w:rPr>
          <w:szCs w:val="26"/>
        </w:rPr>
        <w:t>.</w:t>
      </w:r>
      <w:r>
        <w:rPr>
          <w:rStyle w:val="FootnoteReference"/>
          <w:szCs w:val="26"/>
        </w:rPr>
        <w:footnoteReference w:id="6"/>
      </w:r>
      <w:r w:rsidRPr="00945FE6" w:rsidR="00D276C6">
        <w:rPr>
          <w:szCs w:val="26"/>
        </w:rPr>
        <w:t xml:space="preserve"> </w:t>
      </w:r>
    </w:p>
    <w:p w:rsidR="007A26F4" w:rsidRPr="00945FE6" w:rsidP="0074578D" w14:paraId="391FF52A" w14:textId="122FC913">
      <w:pPr>
        <w:tabs>
          <w:tab w:val="left" w:pos="1440"/>
        </w:tabs>
        <w:ind w:firstLine="720"/>
        <w:rPr>
          <w:szCs w:val="26"/>
        </w:rPr>
      </w:pPr>
      <w:r>
        <w:rPr>
          <w:szCs w:val="26"/>
        </w:rPr>
        <w:t>We conclude that t</w:t>
      </w:r>
      <w:r w:rsidRPr="00945FE6" w:rsidR="000C243E">
        <w:rPr>
          <w:szCs w:val="26"/>
        </w:rPr>
        <w:t xml:space="preserve">he second of these interpretations represents the </w:t>
      </w:r>
      <w:r w:rsidRPr="00945FE6" w:rsidR="00624E35">
        <w:rPr>
          <w:szCs w:val="26"/>
        </w:rPr>
        <w:t>more plausible</w:t>
      </w:r>
      <w:r w:rsidRPr="00945FE6" w:rsidR="006C6E51">
        <w:rPr>
          <w:szCs w:val="26"/>
        </w:rPr>
        <w:t xml:space="preserve"> </w:t>
      </w:r>
      <w:r w:rsidRPr="00945FE6" w:rsidR="000C243E">
        <w:rPr>
          <w:szCs w:val="26"/>
        </w:rPr>
        <w:t>reading of section 632.7(a</w:t>
      </w:r>
      <w:r w:rsidR="004810F1">
        <w:rPr>
          <w:szCs w:val="26"/>
        </w:rPr>
        <w:t>)</w:t>
      </w:r>
      <w:r w:rsidRPr="00945FE6" w:rsidR="000C243E">
        <w:rPr>
          <w:szCs w:val="26"/>
        </w:rPr>
        <w:t>.</w:t>
      </w:r>
      <w:r w:rsidR="00B060E4">
        <w:rPr>
          <w:szCs w:val="26"/>
        </w:rPr>
        <w:t xml:space="preserve"> </w:t>
      </w:r>
      <w:r w:rsidRPr="00945FE6" w:rsidR="000C243E">
        <w:rPr>
          <w:szCs w:val="26"/>
        </w:rPr>
        <w:t xml:space="preserve"> </w:t>
      </w:r>
      <w:r w:rsidR="00856106">
        <w:rPr>
          <w:szCs w:val="26"/>
        </w:rPr>
        <w:t>W</w:t>
      </w:r>
      <w:r w:rsidR="00863D51">
        <w:rPr>
          <w:szCs w:val="26"/>
        </w:rPr>
        <w:t>ithin</w:t>
      </w:r>
      <w:r w:rsidR="006B1A49">
        <w:rPr>
          <w:szCs w:val="26"/>
        </w:rPr>
        <w:t xml:space="preserve"> section 632.7(a)</w:t>
      </w:r>
      <w:r w:rsidR="00856106">
        <w:rPr>
          <w:szCs w:val="26"/>
        </w:rPr>
        <w:t>,</w:t>
      </w:r>
      <w:r w:rsidR="007B50D5">
        <w:rPr>
          <w:szCs w:val="26"/>
        </w:rPr>
        <w:t xml:space="preserve"> the</w:t>
      </w:r>
      <w:r w:rsidR="00863D51">
        <w:rPr>
          <w:szCs w:val="26"/>
        </w:rPr>
        <w:t xml:space="preserve"> interception or receipt of a covered communication is not so much </w:t>
      </w:r>
      <w:r w:rsidR="006B1A49">
        <w:rPr>
          <w:szCs w:val="26"/>
        </w:rPr>
        <w:t xml:space="preserve">a discrete </w:t>
      </w:r>
      <w:r w:rsidR="00863D51">
        <w:rPr>
          <w:szCs w:val="26"/>
        </w:rPr>
        <w:t xml:space="preserve">subject of consent </w:t>
      </w:r>
      <w:r w:rsidR="006B1A49">
        <w:rPr>
          <w:szCs w:val="26"/>
        </w:rPr>
        <w:t>as</w:t>
      </w:r>
      <w:r w:rsidR="00863D51">
        <w:rPr>
          <w:szCs w:val="26"/>
        </w:rPr>
        <w:t xml:space="preserve"> it is</w:t>
      </w:r>
      <w:r w:rsidR="006B1A49">
        <w:rPr>
          <w:szCs w:val="26"/>
        </w:rPr>
        <w:t xml:space="preserve"> a </w:t>
      </w:r>
      <w:r w:rsidR="007B50D5">
        <w:rPr>
          <w:szCs w:val="26"/>
        </w:rPr>
        <w:t>description of the circumstances</w:t>
      </w:r>
      <w:r w:rsidR="006B1A49">
        <w:rPr>
          <w:szCs w:val="26"/>
        </w:rPr>
        <w:t xml:space="preserve"> </w:t>
      </w:r>
      <w:r w:rsidR="007B50D5">
        <w:rPr>
          <w:szCs w:val="26"/>
        </w:rPr>
        <w:t>in</w:t>
      </w:r>
      <w:r w:rsidR="006B1A49">
        <w:rPr>
          <w:szCs w:val="26"/>
        </w:rPr>
        <w:t xml:space="preserve"> which </w:t>
      </w:r>
      <w:r w:rsidR="00856106">
        <w:rPr>
          <w:szCs w:val="26"/>
        </w:rPr>
        <w:t xml:space="preserve">the prohibited act of </w:t>
      </w:r>
      <w:r w:rsidRPr="00856106" w:rsidR="007B50D5">
        <w:rPr>
          <w:i/>
          <w:iCs/>
          <w:szCs w:val="26"/>
        </w:rPr>
        <w:t>recordation</w:t>
      </w:r>
      <w:r w:rsidR="006B1A49">
        <w:rPr>
          <w:szCs w:val="26"/>
        </w:rPr>
        <w:t xml:space="preserve"> without proper consent </w:t>
      </w:r>
      <w:r w:rsidR="00856106">
        <w:rPr>
          <w:szCs w:val="26"/>
        </w:rPr>
        <w:t>may occur</w:t>
      </w:r>
      <w:r w:rsidR="006B1A49">
        <w:rPr>
          <w:szCs w:val="26"/>
        </w:rPr>
        <w:t xml:space="preserve">.  </w:t>
      </w:r>
      <w:r w:rsidR="004810F1">
        <w:rPr>
          <w:szCs w:val="26"/>
        </w:rPr>
        <w:t>Such a</w:t>
      </w:r>
      <w:r w:rsidRPr="00945FE6" w:rsidR="000B4DE3">
        <w:rPr>
          <w:szCs w:val="26"/>
        </w:rPr>
        <w:t xml:space="preserve"> </w:t>
      </w:r>
      <w:r w:rsidRPr="00945FE6" w:rsidR="00921C2E">
        <w:rPr>
          <w:szCs w:val="26"/>
        </w:rPr>
        <w:t>construction</w:t>
      </w:r>
      <w:r w:rsidRPr="00945FE6">
        <w:rPr>
          <w:szCs w:val="26"/>
        </w:rPr>
        <w:t xml:space="preserve"> </w:t>
      </w:r>
      <w:r w:rsidRPr="00945FE6" w:rsidR="00E0348E">
        <w:rPr>
          <w:szCs w:val="26"/>
        </w:rPr>
        <w:t>aligns</w:t>
      </w:r>
      <w:r w:rsidRPr="00945FE6">
        <w:rPr>
          <w:szCs w:val="26"/>
        </w:rPr>
        <w:t xml:space="preserve"> with how</w:t>
      </w:r>
      <w:r w:rsidRPr="00945FE6" w:rsidR="00133700">
        <w:rPr>
          <w:szCs w:val="26"/>
        </w:rPr>
        <w:t xml:space="preserve"> </w:t>
      </w:r>
      <w:r w:rsidRPr="00945FE6">
        <w:rPr>
          <w:szCs w:val="26"/>
        </w:rPr>
        <w:t>phrasing</w:t>
      </w:r>
      <w:r w:rsidR="00CF34D5">
        <w:rPr>
          <w:szCs w:val="26"/>
        </w:rPr>
        <w:t xml:space="preserve"> comparable to that found in section 632.7(a)</w:t>
      </w:r>
      <w:r w:rsidRPr="00945FE6">
        <w:rPr>
          <w:szCs w:val="26"/>
        </w:rPr>
        <w:t xml:space="preserve"> would be </w:t>
      </w:r>
      <w:r w:rsidRPr="00945FE6" w:rsidR="00807B66">
        <w:rPr>
          <w:szCs w:val="26"/>
        </w:rPr>
        <w:t>understood</w:t>
      </w:r>
      <w:r w:rsidRPr="00945FE6">
        <w:rPr>
          <w:szCs w:val="26"/>
        </w:rPr>
        <w:t xml:space="preserve"> in other contexts.  Consider</w:t>
      </w:r>
      <w:r w:rsidR="00D3578B">
        <w:rPr>
          <w:szCs w:val="26"/>
        </w:rPr>
        <w:t xml:space="preserve">, for example, </w:t>
      </w:r>
      <w:r w:rsidRPr="00945FE6" w:rsidR="002D311A">
        <w:rPr>
          <w:szCs w:val="26"/>
        </w:rPr>
        <w:t>a rule</w:t>
      </w:r>
      <w:r w:rsidR="007B50D5">
        <w:rPr>
          <w:szCs w:val="26"/>
        </w:rPr>
        <w:t xml:space="preserve"> providing</w:t>
      </w:r>
      <w:r w:rsidRPr="00945FE6" w:rsidR="002D311A">
        <w:rPr>
          <w:szCs w:val="26"/>
        </w:rPr>
        <w:t xml:space="preserve"> that</w:t>
      </w:r>
      <w:r w:rsidRPr="00945FE6" w:rsidR="007971B0">
        <w:rPr>
          <w:szCs w:val="26"/>
        </w:rPr>
        <w:t xml:space="preserve"> “</w:t>
      </w:r>
      <w:r w:rsidRPr="00945FE6" w:rsidR="00B56515">
        <w:rPr>
          <w:szCs w:val="26"/>
        </w:rPr>
        <w:t>a</w:t>
      </w:r>
      <w:r w:rsidR="00CF34D5">
        <w:rPr>
          <w:szCs w:val="26"/>
        </w:rPr>
        <w:t>ny</w:t>
      </w:r>
      <w:r w:rsidRPr="00945FE6" w:rsidR="007971B0">
        <w:rPr>
          <w:szCs w:val="26"/>
        </w:rPr>
        <w:t xml:space="preserve"> person who, without the prior consent of the court, receives a jury summons and fails to report to jury duty, shall be guilty of contempt.”  </w:t>
      </w:r>
      <w:r w:rsidRPr="00945FE6" w:rsidR="002D311A">
        <w:rPr>
          <w:szCs w:val="26"/>
        </w:rPr>
        <w:t>In</w:t>
      </w:r>
      <w:r w:rsidRPr="00945FE6" w:rsidR="007971B0">
        <w:rPr>
          <w:szCs w:val="26"/>
        </w:rPr>
        <w:t xml:space="preserve"> this example, the receipt of the jury summons is obviously not the </w:t>
      </w:r>
      <w:r w:rsidRPr="00945FE6" w:rsidR="00851CD5">
        <w:rPr>
          <w:szCs w:val="26"/>
        </w:rPr>
        <w:t>target</w:t>
      </w:r>
      <w:r w:rsidRPr="00945FE6" w:rsidR="007971B0">
        <w:rPr>
          <w:szCs w:val="26"/>
        </w:rPr>
        <w:t xml:space="preserve"> of </w:t>
      </w:r>
      <w:r w:rsidRPr="00945FE6" w:rsidR="006C6E51">
        <w:rPr>
          <w:szCs w:val="26"/>
        </w:rPr>
        <w:t>the</w:t>
      </w:r>
      <w:r w:rsidRPr="00945FE6" w:rsidR="007971B0">
        <w:rPr>
          <w:szCs w:val="26"/>
        </w:rPr>
        <w:t xml:space="preserve"> consent </w:t>
      </w:r>
      <w:r w:rsidRPr="00945FE6" w:rsidR="006C6E51">
        <w:rPr>
          <w:szCs w:val="26"/>
        </w:rPr>
        <w:t>language</w:t>
      </w:r>
      <w:r w:rsidRPr="00945FE6" w:rsidR="00017129">
        <w:rPr>
          <w:szCs w:val="26"/>
        </w:rPr>
        <w:t>; it is simply a fact that, when coupled with a</w:t>
      </w:r>
      <w:r w:rsidRPr="00945FE6" w:rsidR="006C6E51">
        <w:rPr>
          <w:szCs w:val="26"/>
        </w:rPr>
        <w:t>n unconsented-to</w:t>
      </w:r>
      <w:r w:rsidRPr="00945FE6" w:rsidR="00017129">
        <w:rPr>
          <w:szCs w:val="26"/>
        </w:rPr>
        <w:t xml:space="preserve"> failure to appear, can lead to liability</w:t>
      </w:r>
      <w:r w:rsidRPr="00945FE6" w:rsidR="00B770A2">
        <w:rPr>
          <w:szCs w:val="26"/>
        </w:rPr>
        <w:t>.</w:t>
      </w:r>
      <w:r w:rsidR="00CF34D5">
        <w:rPr>
          <w:szCs w:val="26"/>
        </w:rPr>
        <w:t xml:space="preserve">  The language </w:t>
      </w:r>
      <w:r w:rsidR="005E64F4">
        <w:rPr>
          <w:szCs w:val="26"/>
        </w:rPr>
        <w:t>of</w:t>
      </w:r>
      <w:r w:rsidR="007B50D5">
        <w:rPr>
          <w:szCs w:val="26"/>
        </w:rPr>
        <w:t xml:space="preserve"> section 632.7(a)</w:t>
      </w:r>
      <w:r w:rsidR="00CF34D5">
        <w:rPr>
          <w:szCs w:val="26"/>
        </w:rPr>
        <w:t xml:space="preserve"> </w:t>
      </w:r>
      <w:r w:rsidR="004810F1">
        <w:rPr>
          <w:szCs w:val="26"/>
        </w:rPr>
        <w:t>communicates</w:t>
      </w:r>
      <w:r w:rsidR="00CF34D5">
        <w:rPr>
          <w:szCs w:val="26"/>
        </w:rPr>
        <w:t xml:space="preserve"> a similar rule.</w:t>
      </w:r>
      <w:r>
        <w:rPr>
          <w:rStyle w:val="FootnoteReference"/>
          <w:szCs w:val="26"/>
        </w:rPr>
        <w:footnoteReference w:id="7"/>
      </w:r>
      <w:r w:rsidR="00CF34D5">
        <w:rPr>
          <w:szCs w:val="26"/>
        </w:rPr>
        <w:t xml:space="preserve"> </w:t>
      </w:r>
      <w:r w:rsidR="00B060E4">
        <w:rPr>
          <w:szCs w:val="26"/>
        </w:rPr>
        <w:t xml:space="preserve"> </w:t>
      </w:r>
    </w:p>
    <w:p w:rsidR="0037503A" w:rsidRPr="00945FE6" w:rsidP="00945FE6" w14:paraId="1928024B" w14:textId="120AAA71">
      <w:pPr>
        <w:tabs>
          <w:tab w:val="left" w:pos="1440"/>
        </w:tabs>
        <w:ind w:firstLine="720"/>
        <w:rPr>
          <w:szCs w:val="26"/>
        </w:rPr>
      </w:pPr>
      <w:r>
        <w:rPr>
          <w:szCs w:val="26"/>
        </w:rPr>
        <w:t>This</w:t>
      </w:r>
      <w:r w:rsidRPr="00945FE6" w:rsidR="007F0A52">
        <w:rPr>
          <w:szCs w:val="26"/>
        </w:rPr>
        <w:t xml:space="preserve"> interpretation of section 632.7(a)</w:t>
      </w:r>
      <w:r>
        <w:rPr>
          <w:szCs w:val="26"/>
        </w:rPr>
        <w:t xml:space="preserve"> </w:t>
      </w:r>
      <w:r w:rsidR="000F3FBA">
        <w:rPr>
          <w:szCs w:val="26"/>
        </w:rPr>
        <w:t xml:space="preserve">finds </w:t>
      </w:r>
      <w:r w:rsidR="000841DD">
        <w:rPr>
          <w:szCs w:val="26"/>
        </w:rPr>
        <w:t xml:space="preserve">some </w:t>
      </w:r>
      <w:r w:rsidR="000F3FBA">
        <w:rPr>
          <w:szCs w:val="26"/>
        </w:rPr>
        <w:t>support</w:t>
      </w:r>
      <w:r>
        <w:rPr>
          <w:szCs w:val="26"/>
        </w:rPr>
        <w:t xml:space="preserve"> </w:t>
      </w:r>
      <w:r w:rsidR="000F3FBA">
        <w:rPr>
          <w:szCs w:val="26"/>
        </w:rPr>
        <w:t xml:space="preserve">elsewhere in </w:t>
      </w:r>
      <w:r>
        <w:rPr>
          <w:szCs w:val="26"/>
        </w:rPr>
        <w:t>the statutory scheme</w:t>
      </w:r>
      <w:r w:rsidRPr="00945FE6" w:rsidR="001876F2">
        <w:rPr>
          <w:szCs w:val="26"/>
        </w:rPr>
        <w:t xml:space="preserve">.  </w:t>
      </w:r>
      <w:r w:rsidR="000F3FBA">
        <w:rPr>
          <w:szCs w:val="26"/>
        </w:rPr>
        <w:t>W</w:t>
      </w:r>
      <w:r w:rsidRPr="00945FE6" w:rsidR="007F0A52">
        <w:rPr>
          <w:szCs w:val="26"/>
        </w:rPr>
        <w:t>hen the Legislature added section 632.7 to the Penal Code</w:t>
      </w:r>
      <w:r w:rsidRPr="00945FE6" w:rsidR="00F33C46">
        <w:rPr>
          <w:szCs w:val="26"/>
        </w:rPr>
        <w:t xml:space="preserve"> through A</w:t>
      </w:r>
      <w:r w:rsidR="00170A09">
        <w:rPr>
          <w:szCs w:val="26"/>
        </w:rPr>
        <w:t xml:space="preserve">ssembly </w:t>
      </w:r>
      <w:r w:rsidRPr="00945FE6" w:rsidR="00F33C46">
        <w:rPr>
          <w:szCs w:val="26"/>
        </w:rPr>
        <w:t>B</w:t>
      </w:r>
      <w:r w:rsidR="00170A09">
        <w:rPr>
          <w:szCs w:val="26"/>
        </w:rPr>
        <w:t>ill</w:t>
      </w:r>
      <w:r w:rsidRPr="00945FE6" w:rsidR="00F33C46">
        <w:rPr>
          <w:szCs w:val="26"/>
        </w:rPr>
        <w:t xml:space="preserve"> 2465</w:t>
      </w:r>
      <w:r w:rsidRPr="00945FE6" w:rsidR="007F0A52">
        <w:rPr>
          <w:szCs w:val="26"/>
        </w:rPr>
        <w:t xml:space="preserve">, it also amended section 633.5 </w:t>
      </w:r>
      <w:r w:rsidRPr="00945FE6" w:rsidR="00631AFC">
        <w:rPr>
          <w:szCs w:val="26"/>
        </w:rPr>
        <w:t xml:space="preserve">to </w:t>
      </w:r>
      <w:r w:rsidRPr="00945FE6" w:rsidR="001E77CF">
        <w:rPr>
          <w:szCs w:val="26"/>
        </w:rPr>
        <w:t>add a reference to section 632.7</w:t>
      </w:r>
      <w:r w:rsidRPr="00945FE6" w:rsidR="00CF3F59">
        <w:rPr>
          <w:szCs w:val="26"/>
        </w:rPr>
        <w:t xml:space="preserve"> </w:t>
      </w:r>
      <w:r w:rsidRPr="00945FE6" w:rsidR="001E77CF">
        <w:rPr>
          <w:szCs w:val="26"/>
        </w:rPr>
        <w:t xml:space="preserve">as follows: </w:t>
      </w:r>
      <w:r w:rsidRPr="00945FE6" w:rsidR="007F0A52">
        <w:rPr>
          <w:szCs w:val="26"/>
        </w:rPr>
        <w:t xml:space="preserve"> “</w:t>
      </w:r>
      <w:r w:rsidRPr="00945FE6" w:rsidR="00CF3F59">
        <w:rPr>
          <w:szCs w:val="26"/>
        </w:rPr>
        <w:t xml:space="preserve">Nothing in </w:t>
      </w:r>
      <w:r w:rsidR="00C6067C">
        <w:rPr>
          <w:szCs w:val="26"/>
        </w:rPr>
        <w:t>S</w:t>
      </w:r>
      <w:r w:rsidRPr="00945FE6" w:rsidR="00CF3F59">
        <w:rPr>
          <w:szCs w:val="26"/>
        </w:rPr>
        <w:t>ectio</w:t>
      </w:r>
      <w:r w:rsidRPr="00945FE6" w:rsidR="007F0A52">
        <w:rPr>
          <w:szCs w:val="26"/>
        </w:rPr>
        <w:t xml:space="preserve">n 631, 632, 632.5, 632.6, </w:t>
      </w:r>
      <w:r w:rsidRPr="00945FE6" w:rsidR="00CF3F59">
        <w:rPr>
          <w:i/>
          <w:iCs/>
          <w:szCs w:val="26"/>
        </w:rPr>
        <w:t>or</w:t>
      </w:r>
      <w:r w:rsidRPr="00945FE6" w:rsidR="007F0A52">
        <w:rPr>
          <w:i/>
          <w:iCs/>
          <w:szCs w:val="26"/>
        </w:rPr>
        <w:t xml:space="preserve"> 632.7</w:t>
      </w:r>
      <w:r w:rsidRPr="00945FE6" w:rsidR="007F0A52">
        <w:rPr>
          <w:szCs w:val="26"/>
        </w:rPr>
        <w:t xml:space="preserve"> </w:t>
      </w:r>
      <w:r w:rsidRPr="00945FE6" w:rsidR="00CF3F59">
        <w:rPr>
          <w:szCs w:val="26"/>
        </w:rPr>
        <w:t>prohibits</w:t>
      </w:r>
      <w:r w:rsidRPr="00945FE6" w:rsidR="007F0A52">
        <w:rPr>
          <w:szCs w:val="26"/>
        </w:rPr>
        <w:t xml:space="preserve"> one party to a confidential communication from recording the communication for the purpose of obtaining evidence reasonably believed to relate to the commission by another party to the communication of” certain crimes.  (Stats. 1992, ch. </w:t>
      </w:r>
      <w:r w:rsidRPr="00945FE6" w:rsidR="00524F5E">
        <w:rPr>
          <w:szCs w:val="26"/>
        </w:rPr>
        <w:t>298</w:t>
      </w:r>
      <w:r w:rsidRPr="00945FE6" w:rsidR="007F0A52">
        <w:rPr>
          <w:szCs w:val="26"/>
        </w:rPr>
        <w:t>, § </w:t>
      </w:r>
      <w:r w:rsidRPr="00945FE6" w:rsidR="00524F5E">
        <w:rPr>
          <w:szCs w:val="26"/>
        </w:rPr>
        <w:t>9</w:t>
      </w:r>
      <w:r w:rsidRPr="00945FE6" w:rsidR="007F0A52">
        <w:rPr>
          <w:szCs w:val="26"/>
        </w:rPr>
        <w:t xml:space="preserve">, p. </w:t>
      </w:r>
      <w:r w:rsidRPr="00945FE6" w:rsidR="00524F5E">
        <w:rPr>
          <w:szCs w:val="26"/>
        </w:rPr>
        <w:t>1218</w:t>
      </w:r>
      <w:r w:rsidR="00856106">
        <w:rPr>
          <w:szCs w:val="26"/>
        </w:rPr>
        <w:t xml:space="preserve">, </w:t>
      </w:r>
      <w:r w:rsidRPr="00945FE6" w:rsidR="00D20C18">
        <w:rPr>
          <w:szCs w:val="26"/>
        </w:rPr>
        <w:t>italics added</w:t>
      </w:r>
      <w:r w:rsidRPr="00945FE6" w:rsidR="007F0A52">
        <w:rPr>
          <w:szCs w:val="26"/>
        </w:rPr>
        <w:t>.)</w:t>
      </w:r>
      <w:r>
        <w:rPr>
          <w:rStyle w:val="FootnoteReference"/>
          <w:szCs w:val="26"/>
        </w:rPr>
        <w:footnoteReference w:id="8"/>
      </w:r>
      <w:r w:rsidRPr="00945FE6" w:rsidR="007F0A52">
        <w:rPr>
          <w:szCs w:val="26"/>
        </w:rPr>
        <w:t xml:space="preserve"> </w:t>
      </w:r>
      <w:r w:rsidRPr="00945FE6" w:rsidR="00CF3F59">
        <w:rPr>
          <w:szCs w:val="26"/>
        </w:rPr>
        <w:t xml:space="preserve"> </w:t>
      </w:r>
      <w:r w:rsidRPr="00945FE6" w:rsidR="00A07962">
        <w:rPr>
          <w:szCs w:val="26"/>
        </w:rPr>
        <w:t>The</w:t>
      </w:r>
      <w:r w:rsidRPr="00945FE6">
        <w:rPr>
          <w:szCs w:val="26"/>
        </w:rPr>
        <w:t xml:space="preserve"> </w:t>
      </w:r>
      <w:r w:rsidRPr="00945FE6" w:rsidR="00B56515">
        <w:rPr>
          <w:szCs w:val="26"/>
        </w:rPr>
        <w:t>inclusion</w:t>
      </w:r>
      <w:r w:rsidR="007B50D5">
        <w:rPr>
          <w:szCs w:val="26"/>
        </w:rPr>
        <w:t xml:space="preserve"> of this reference to section 632.7</w:t>
      </w:r>
      <w:r w:rsidRPr="00945FE6" w:rsidR="00B56515">
        <w:rPr>
          <w:szCs w:val="26"/>
        </w:rPr>
        <w:t xml:space="preserve"> within section 633.5</w:t>
      </w:r>
      <w:r w:rsidR="00B36A97">
        <w:rPr>
          <w:szCs w:val="26"/>
        </w:rPr>
        <w:t xml:space="preserve"> </w:t>
      </w:r>
      <w:r w:rsidRPr="00945FE6" w:rsidR="00524F5E">
        <w:rPr>
          <w:szCs w:val="26"/>
        </w:rPr>
        <w:t>suggests</w:t>
      </w:r>
      <w:r w:rsidRPr="00945FE6">
        <w:rPr>
          <w:szCs w:val="26"/>
        </w:rPr>
        <w:t xml:space="preserve"> </w:t>
      </w:r>
      <w:r w:rsidRPr="00945FE6" w:rsidR="00524F5E">
        <w:rPr>
          <w:szCs w:val="26"/>
        </w:rPr>
        <w:t>that</w:t>
      </w:r>
      <w:r w:rsidRPr="00945FE6" w:rsidR="00A07962">
        <w:rPr>
          <w:szCs w:val="26"/>
        </w:rPr>
        <w:t xml:space="preserve"> the</w:t>
      </w:r>
      <w:r w:rsidRPr="00945FE6">
        <w:rPr>
          <w:szCs w:val="26"/>
        </w:rPr>
        <w:t xml:space="preserve"> legislators</w:t>
      </w:r>
      <w:r w:rsidRPr="00945FE6" w:rsidR="00A07962">
        <w:rPr>
          <w:szCs w:val="26"/>
        </w:rPr>
        <w:t xml:space="preserve"> who enacted A</w:t>
      </w:r>
      <w:r w:rsidR="00487CFE">
        <w:rPr>
          <w:szCs w:val="26"/>
        </w:rPr>
        <w:t xml:space="preserve">ssembly </w:t>
      </w:r>
      <w:r w:rsidRPr="00945FE6" w:rsidR="00A07962">
        <w:rPr>
          <w:szCs w:val="26"/>
        </w:rPr>
        <w:t>B</w:t>
      </w:r>
      <w:r w:rsidR="00487CFE">
        <w:rPr>
          <w:szCs w:val="26"/>
        </w:rPr>
        <w:t>ill</w:t>
      </w:r>
      <w:r w:rsidRPr="00945FE6" w:rsidR="00A07962">
        <w:rPr>
          <w:szCs w:val="26"/>
        </w:rPr>
        <w:t xml:space="preserve"> 2465</w:t>
      </w:r>
      <w:r w:rsidRPr="00945FE6">
        <w:rPr>
          <w:szCs w:val="26"/>
        </w:rPr>
        <w:t xml:space="preserve"> </w:t>
      </w:r>
      <w:r w:rsidRPr="00945FE6" w:rsidR="00524F5E">
        <w:rPr>
          <w:szCs w:val="26"/>
        </w:rPr>
        <w:t>believed</w:t>
      </w:r>
      <w:r w:rsidRPr="00945FE6">
        <w:rPr>
          <w:szCs w:val="26"/>
        </w:rPr>
        <w:t xml:space="preserve"> section 632.7 </w:t>
      </w:r>
      <w:r w:rsidRPr="00945FE6" w:rsidR="00524F5E">
        <w:rPr>
          <w:szCs w:val="26"/>
        </w:rPr>
        <w:t xml:space="preserve">could </w:t>
      </w:r>
      <w:r w:rsidRPr="00945FE6" w:rsidR="00C70778">
        <w:rPr>
          <w:szCs w:val="26"/>
        </w:rPr>
        <w:t>appl</w:t>
      </w:r>
      <w:r w:rsidRPr="00945FE6" w:rsidR="00524F5E">
        <w:rPr>
          <w:szCs w:val="26"/>
        </w:rPr>
        <w:t>y</w:t>
      </w:r>
      <w:r w:rsidRPr="00945FE6">
        <w:rPr>
          <w:szCs w:val="26"/>
        </w:rPr>
        <w:t xml:space="preserve"> to parties.</w:t>
      </w:r>
      <w:r>
        <w:rPr>
          <w:rStyle w:val="FootnoteReference"/>
          <w:szCs w:val="26"/>
        </w:rPr>
        <w:footnoteReference w:id="9"/>
      </w:r>
      <w:r w:rsidRPr="00945FE6">
        <w:rPr>
          <w:szCs w:val="26"/>
        </w:rPr>
        <w:t xml:space="preserve">  </w:t>
      </w:r>
    </w:p>
    <w:p w:rsidR="003235B4" w:rsidRPr="00945FE6" w:rsidP="00945FE6" w14:paraId="7B38D5D9" w14:textId="2CC20E19">
      <w:pPr>
        <w:tabs>
          <w:tab w:val="left" w:pos="1440"/>
        </w:tabs>
        <w:ind w:firstLine="720"/>
        <w:rPr>
          <w:szCs w:val="26"/>
        </w:rPr>
      </w:pPr>
      <w:r w:rsidRPr="00945FE6">
        <w:rPr>
          <w:szCs w:val="26"/>
        </w:rPr>
        <w:t>Meanwhile, nothing within th</w:t>
      </w:r>
      <w:r w:rsidR="000F3FBA">
        <w:rPr>
          <w:szCs w:val="26"/>
        </w:rPr>
        <w:t xml:space="preserve">is </w:t>
      </w:r>
      <w:r w:rsidRPr="00945FE6">
        <w:rPr>
          <w:szCs w:val="26"/>
        </w:rPr>
        <w:t xml:space="preserve">scheme provides concrete evidence of a contrary intention.  As previously mentioned, the Court of Appeal regarded its interpretation </w:t>
      </w:r>
      <w:r w:rsidRPr="00945FE6" w:rsidR="002D311A">
        <w:rPr>
          <w:szCs w:val="26"/>
        </w:rPr>
        <w:t>as harmonizing</w:t>
      </w:r>
      <w:r w:rsidRPr="00945FE6">
        <w:rPr>
          <w:szCs w:val="26"/>
        </w:rPr>
        <w:t xml:space="preserve"> section 632.7</w:t>
      </w:r>
      <w:r w:rsidRPr="00945FE6" w:rsidR="002D311A">
        <w:rPr>
          <w:szCs w:val="26"/>
        </w:rPr>
        <w:t xml:space="preserve">’s </w:t>
      </w:r>
      <w:r w:rsidRPr="00945FE6">
        <w:rPr>
          <w:szCs w:val="26"/>
        </w:rPr>
        <w:t xml:space="preserve">provisions with those of sections 632.5 and 632.6, which apply when a person “maliciously and without the consent of all parties to the communication, intercepts, receives, or assists in intercepting or receiving a communication” involving a cellular or cordless telephone.  </w:t>
      </w:r>
      <w:r w:rsidRPr="00945FE6" w:rsidR="00AF2AFC">
        <w:rPr>
          <w:szCs w:val="26"/>
        </w:rPr>
        <w:t>(</w:t>
      </w:r>
      <w:r w:rsidRPr="00945FE6" w:rsidR="00796629">
        <w:rPr>
          <w:szCs w:val="26"/>
        </w:rPr>
        <w:t>§</w:t>
      </w:r>
      <w:r w:rsidRPr="00945FE6" w:rsidR="00AF2AFC">
        <w:rPr>
          <w:szCs w:val="26"/>
        </w:rPr>
        <w:t>§ 632.5(a), 632.6(a</w:t>
      </w:r>
      <w:r w:rsidRPr="00945FE6" w:rsidR="00F33C46">
        <w:rPr>
          <w:szCs w:val="26"/>
        </w:rPr>
        <w:t>)</w:t>
      </w:r>
      <w:r w:rsidRPr="00945FE6" w:rsidR="00AF2AFC">
        <w:rPr>
          <w:szCs w:val="26"/>
        </w:rPr>
        <w:t>.)</w:t>
      </w:r>
      <w:r>
        <w:rPr>
          <w:rStyle w:val="FootnoteReference"/>
          <w:szCs w:val="26"/>
        </w:rPr>
        <w:footnoteReference w:id="10"/>
      </w:r>
      <w:r w:rsidRPr="00945FE6" w:rsidR="00AF2AFC">
        <w:rPr>
          <w:szCs w:val="26"/>
        </w:rPr>
        <w:t xml:space="preserve">  </w:t>
      </w:r>
      <w:r w:rsidRPr="00945FE6">
        <w:rPr>
          <w:szCs w:val="26"/>
        </w:rPr>
        <w:t xml:space="preserve">The Court of Appeal reasoned that it was </w:t>
      </w:r>
      <w:r w:rsidRPr="00945FE6" w:rsidR="001E02CE">
        <w:rPr>
          <w:szCs w:val="26"/>
        </w:rPr>
        <w:t>difficult</w:t>
      </w:r>
      <w:r w:rsidRPr="00945FE6">
        <w:rPr>
          <w:szCs w:val="26"/>
        </w:rPr>
        <w:t xml:space="preserve"> to fathom how a party could “maliciously” receive a communication.  </w:t>
      </w:r>
      <w:r w:rsidRPr="00945FE6" w:rsidR="00F33C46">
        <w:rPr>
          <w:szCs w:val="26"/>
        </w:rPr>
        <w:t>(</w:t>
      </w:r>
      <w:r w:rsidRPr="00945FE6" w:rsidR="00F33C46">
        <w:rPr>
          <w:i/>
          <w:iCs/>
          <w:szCs w:val="26"/>
        </w:rPr>
        <w:t>Smith</w:t>
      </w:r>
      <w:r w:rsidRPr="00945FE6" w:rsidR="00F33C46">
        <w:rPr>
          <w:szCs w:val="26"/>
        </w:rPr>
        <w:t xml:space="preserve">, </w:t>
      </w:r>
      <w:r w:rsidRPr="00945FE6" w:rsidR="00F33C46">
        <w:rPr>
          <w:i/>
          <w:iCs/>
          <w:szCs w:val="26"/>
        </w:rPr>
        <w:t>supra</w:t>
      </w:r>
      <w:r w:rsidRPr="00945FE6" w:rsidR="00F33C46">
        <w:rPr>
          <w:szCs w:val="26"/>
        </w:rPr>
        <w:t>, 43 Cal.App.5th at p.</w:t>
      </w:r>
      <w:r w:rsidR="00945FE6">
        <w:rPr>
          <w:szCs w:val="26"/>
        </w:rPr>
        <w:t> </w:t>
      </w:r>
      <w:r w:rsidRPr="00945FE6" w:rsidR="00F33C46">
        <w:rPr>
          <w:szCs w:val="26"/>
        </w:rPr>
        <w:t xml:space="preserve">852.)  </w:t>
      </w:r>
      <w:r w:rsidRPr="00945FE6">
        <w:rPr>
          <w:szCs w:val="26"/>
        </w:rPr>
        <w:t xml:space="preserve">And because sections 632.5 and 632.6 </w:t>
      </w:r>
      <w:r w:rsidRPr="00945FE6" w:rsidR="00CF3F59">
        <w:rPr>
          <w:szCs w:val="26"/>
        </w:rPr>
        <w:t>do</w:t>
      </w:r>
      <w:r w:rsidRPr="00945FE6">
        <w:rPr>
          <w:szCs w:val="26"/>
        </w:rPr>
        <w:t xml:space="preserve"> not appear to have parties in mind, the Court of Appeal determined, section 632.7 should be construed </w:t>
      </w:r>
      <w:r w:rsidRPr="00945FE6" w:rsidR="00CF3F59">
        <w:rPr>
          <w:szCs w:val="26"/>
        </w:rPr>
        <w:t xml:space="preserve">as </w:t>
      </w:r>
      <w:r w:rsidRPr="00945FE6">
        <w:rPr>
          <w:szCs w:val="26"/>
        </w:rPr>
        <w:t>similarly</w:t>
      </w:r>
      <w:r w:rsidRPr="00945FE6" w:rsidR="00CF3F59">
        <w:rPr>
          <w:szCs w:val="26"/>
        </w:rPr>
        <w:t xml:space="preserve"> limited</w:t>
      </w:r>
      <w:r w:rsidRPr="00945FE6" w:rsidR="00E70737">
        <w:rPr>
          <w:szCs w:val="26"/>
        </w:rPr>
        <w:t xml:space="preserve"> to nonparties</w:t>
      </w:r>
      <w:r w:rsidRPr="00945FE6">
        <w:rPr>
          <w:szCs w:val="26"/>
        </w:rPr>
        <w:t xml:space="preserve">.  </w:t>
      </w:r>
      <w:r w:rsidRPr="00945FE6" w:rsidR="00F33C46">
        <w:rPr>
          <w:szCs w:val="26"/>
        </w:rPr>
        <w:t>(</w:t>
      </w:r>
      <w:r w:rsidRPr="00945FE6" w:rsidR="00F33C46">
        <w:rPr>
          <w:i/>
          <w:iCs/>
          <w:szCs w:val="26"/>
        </w:rPr>
        <w:t>Smith</w:t>
      </w:r>
      <w:r w:rsidRPr="00945FE6" w:rsidR="00F33C46">
        <w:rPr>
          <w:szCs w:val="26"/>
        </w:rPr>
        <w:t>, at pp.</w:t>
      </w:r>
      <w:r w:rsidR="00C17F72">
        <w:rPr>
          <w:szCs w:val="26"/>
        </w:rPr>
        <w:t> </w:t>
      </w:r>
      <w:r w:rsidRPr="00945FE6" w:rsidR="00F33C46">
        <w:rPr>
          <w:szCs w:val="26"/>
        </w:rPr>
        <w:t xml:space="preserve">851–852.)  </w:t>
      </w:r>
      <w:r w:rsidR="000841DD">
        <w:rPr>
          <w:szCs w:val="26"/>
        </w:rPr>
        <w:t>In a related vein,</w:t>
      </w:r>
      <w:r w:rsidRPr="00945FE6" w:rsidR="00E0348E">
        <w:rPr>
          <w:szCs w:val="26"/>
        </w:rPr>
        <w:t xml:space="preserve"> </w:t>
      </w:r>
      <w:r w:rsidRPr="00945FE6">
        <w:rPr>
          <w:szCs w:val="26"/>
        </w:rPr>
        <w:t>LoanMe argues that the word “receives,” as used in section</w:t>
      </w:r>
      <w:r w:rsidR="00157632">
        <w:rPr>
          <w:szCs w:val="26"/>
        </w:rPr>
        <w:t>s</w:t>
      </w:r>
      <w:r w:rsidRPr="00945FE6">
        <w:rPr>
          <w:szCs w:val="26"/>
        </w:rPr>
        <w:t xml:space="preserve"> 632.5</w:t>
      </w:r>
      <w:r w:rsidRPr="00945FE6" w:rsidR="00AF2AFC">
        <w:rPr>
          <w:szCs w:val="26"/>
        </w:rPr>
        <w:t>(a)</w:t>
      </w:r>
      <w:r w:rsidRPr="00945FE6">
        <w:rPr>
          <w:szCs w:val="26"/>
        </w:rPr>
        <w:t xml:space="preserve"> and 632.6</w:t>
      </w:r>
      <w:r w:rsidRPr="00945FE6" w:rsidR="00AF2AFC">
        <w:rPr>
          <w:szCs w:val="26"/>
        </w:rPr>
        <w:t>(a)</w:t>
      </w:r>
      <w:r w:rsidRPr="00945FE6">
        <w:rPr>
          <w:szCs w:val="26"/>
        </w:rPr>
        <w:t>, contemplate</w:t>
      </w:r>
      <w:r w:rsidRPr="00945FE6" w:rsidR="001E77CF">
        <w:rPr>
          <w:szCs w:val="26"/>
        </w:rPr>
        <w:t>s</w:t>
      </w:r>
      <w:r w:rsidRPr="00945FE6">
        <w:rPr>
          <w:szCs w:val="26"/>
        </w:rPr>
        <w:t xml:space="preserve"> </w:t>
      </w:r>
      <w:r w:rsidRPr="00945FE6" w:rsidR="001E77CF">
        <w:rPr>
          <w:szCs w:val="26"/>
        </w:rPr>
        <w:t>only persons</w:t>
      </w:r>
      <w:r w:rsidRPr="00945FE6">
        <w:rPr>
          <w:szCs w:val="26"/>
        </w:rPr>
        <w:t xml:space="preserve"> who receive </w:t>
      </w:r>
      <w:r w:rsidR="000841DD">
        <w:rPr>
          <w:szCs w:val="26"/>
        </w:rPr>
        <w:t>communications</w:t>
      </w:r>
      <w:r w:rsidRPr="00945FE6">
        <w:rPr>
          <w:szCs w:val="26"/>
        </w:rPr>
        <w:t xml:space="preserve"> without </w:t>
      </w:r>
      <w:r w:rsidRPr="00945FE6" w:rsidR="00D241FC">
        <w:rPr>
          <w:szCs w:val="26"/>
        </w:rPr>
        <w:t xml:space="preserve">the </w:t>
      </w:r>
      <w:r w:rsidR="000841DD">
        <w:rPr>
          <w:szCs w:val="26"/>
        </w:rPr>
        <w:t>parties’ consent</w:t>
      </w:r>
      <w:r w:rsidRPr="00945FE6">
        <w:rPr>
          <w:szCs w:val="26"/>
        </w:rPr>
        <w:t>, and that th</w:t>
      </w:r>
      <w:r w:rsidR="000841DD">
        <w:rPr>
          <w:szCs w:val="26"/>
        </w:rPr>
        <w:t>is</w:t>
      </w:r>
      <w:r w:rsidRPr="00945FE6">
        <w:rPr>
          <w:szCs w:val="26"/>
        </w:rPr>
        <w:t xml:space="preserve"> word should </w:t>
      </w:r>
      <w:r w:rsidRPr="00945FE6" w:rsidR="00E70737">
        <w:rPr>
          <w:szCs w:val="26"/>
        </w:rPr>
        <w:t>carry the same meaning</w:t>
      </w:r>
      <w:r w:rsidRPr="00945FE6">
        <w:rPr>
          <w:szCs w:val="26"/>
        </w:rPr>
        <w:t xml:space="preserve"> </w:t>
      </w:r>
      <w:r w:rsidRPr="00945FE6" w:rsidR="001E77CF">
        <w:rPr>
          <w:szCs w:val="26"/>
        </w:rPr>
        <w:t xml:space="preserve">as it appears </w:t>
      </w:r>
      <w:r w:rsidRPr="00945FE6" w:rsidR="00B70250">
        <w:rPr>
          <w:szCs w:val="26"/>
        </w:rPr>
        <w:t>in section 632.7(a).</w:t>
      </w:r>
    </w:p>
    <w:p w:rsidR="001876F2" w:rsidRPr="00945FE6" w:rsidP="00945FE6" w14:paraId="200F1DC5" w14:textId="6BC2E31A">
      <w:pPr>
        <w:tabs>
          <w:tab w:val="left" w:pos="1440"/>
        </w:tabs>
        <w:ind w:firstLine="720"/>
        <w:rPr>
          <w:szCs w:val="26"/>
        </w:rPr>
      </w:pPr>
      <w:r w:rsidRPr="00945FE6">
        <w:rPr>
          <w:szCs w:val="26"/>
        </w:rPr>
        <w:t>These argument</w:t>
      </w:r>
      <w:r w:rsidR="00796629">
        <w:rPr>
          <w:szCs w:val="26"/>
        </w:rPr>
        <w:t xml:space="preserve">s </w:t>
      </w:r>
      <w:r w:rsidR="000F3FBA">
        <w:rPr>
          <w:szCs w:val="26"/>
        </w:rPr>
        <w:t xml:space="preserve">overlook important differences between the language </w:t>
      </w:r>
      <w:r w:rsidR="00796629">
        <w:rPr>
          <w:szCs w:val="26"/>
        </w:rPr>
        <w:t>within</w:t>
      </w:r>
      <w:r w:rsidR="000F3FBA">
        <w:rPr>
          <w:szCs w:val="26"/>
        </w:rPr>
        <w:t xml:space="preserve"> s</w:t>
      </w:r>
      <w:r w:rsidRPr="00945FE6" w:rsidR="00AF2AFC">
        <w:rPr>
          <w:szCs w:val="26"/>
        </w:rPr>
        <w:t>ections 632.5(a)</w:t>
      </w:r>
      <w:r w:rsidR="000F3FBA">
        <w:rPr>
          <w:szCs w:val="26"/>
        </w:rPr>
        <w:t xml:space="preserve"> and </w:t>
      </w:r>
      <w:r w:rsidRPr="00945FE6" w:rsidR="00AF2AFC">
        <w:rPr>
          <w:szCs w:val="26"/>
        </w:rPr>
        <w:t>632.6(a)</w:t>
      </w:r>
      <w:r w:rsidR="000F3FBA">
        <w:rPr>
          <w:szCs w:val="26"/>
        </w:rPr>
        <w:t xml:space="preserve"> on the one hand, and </w:t>
      </w:r>
      <w:r w:rsidRPr="00945FE6" w:rsidR="00AF2AFC">
        <w:rPr>
          <w:szCs w:val="26"/>
        </w:rPr>
        <w:t>section 632.7(a)</w:t>
      </w:r>
      <w:r w:rsidR="000F3FBA">
        <w:rPr>
          <w:szCs w:val="26"/>
        </w:rPr>
        <w:t xml:space="preserve"> on the other.  </w:t>
      </w:r>
      <w:r w:rsidRPr="00945FE6" w:rsidR="00AF2AFC">
        <w:rPr>
          <w:szCs w:val="26"/>
        </w:rPr>
        <w:t xml:space="preserve">It is one </w:t>
      </w:r>
      <w:r w:rsidRPr="00945FE6">
        <w:rPr>
          <w:szCs w:val="26"/>
        </w:rPr>
        <w:t>thing to describe a person as someone who “</w:t>
      </w:r>
      <w:r w:rsidRPr="00565C53">
        <w:rPr>
          <w:i/>
          <w:iCs/>
          <w:szCs w:val="26"/>
        </w:rPr>
        <w:t>maliciously</w:t>
      </w:r>
      <w:r w:rsidRPr="00945FE6">
        <w:rPr>
          <w:szCs w:val="26"/>
        </w:rPr>
        <w:t xml:space="preserve"> and without the consent of all parties to the communication</w:t>
      </w:r>
      <w:r w:rsidRPr="00945FE6" w:rsidR="001E02CE">
        <w:rPr>
          <w:szCs w:val="26"/>
        </w:rPr>
        <w:t xml:space="preserve"> </w:t>
      </w:r>
      <w:r w:rsidRPr="00945FE6" w:rsidR="00AF2AFC">
        <w:rPr>
          <w:szCs w:val="26"/>
        </w:rPr>
        <w:t xml:space="preserve">. . . </w:t>
      </w:r>
      <w:r w:rsidRPr="00945FE6">
        <w:rPr>
          <w:szCs w:val="26"/>
        </w:rPr>
        <w:t xml:space="preserve"> </w:t>
      </w:r>
      <w:r w:rsidR="00796629">
        <w:rPr>
          <w:szCs w:val="26"/>
        </w:rPr>
        <w:t>intercepts .</w:t>
      </w:r>
      <w:r w:rsidR="00796629">
        <w:rPr>
          <w:sz w:val="28"/>
          <w:szCs w:val="28"/>
        </w:rPr>
        <w:t> . .</w:t>
      </w:r>
      <w:r w:rsidR="00796629">
        <w:rPr>
          <w:szCs w:val="26"/>
        </w:rPr>
        <w:t xml:space="preserve"> [or] </w:t>
      </w:r>
      <w:r w:rsidRPr="00945FE6">
        <w:rPr>
          <w:szCs w:val="26"/>
        </w:rPr>
        <w:t>receives</w:t>
      </w:r>
      <w:r w:rsidRPr="00945FE6" w:rsidR="001E02CE">
        <w:rPr>
          <w:szCs w:val="26"/>
        </w:rPr>
        <w:t xml:space="preserve"> </w:t>
      </w:r>
      <w:r w:rsidRPr="00945FE6">
        <w:rPr>
          <w:szCs w:val="26"/>
        </w:rPr>
        <w:t>. . . a communication”</w:t>
      </w:r>
      <w:r w:rsidRPr="00945FE6" w:rsidR="00D241FC">
        <w:rPr>
          <w:szCs w:val="26"/>
        </w:rPr>
        <w:t xml:space="preserve"> (§ 632.5(a)</w:t>
      </w:r>
      <w:r w:rsidR="00565C53">
        <w:rPr>
          <w:szCs w:val="26"/>
        </w:rPr>
        <w:t>, italics added</w:t>
      </w:r>
      <w:r w:rsidRPr="00945FE6" w:rsidR="00D241FC">
        <w:rPr>
          <w:szCs w:val="26"/>
        </w:rPr>
        <w:t xml:space="preserve">; </w:t>
      </w:r>
      <w:r w:rsidR="00565C53">
        <w:rPr>
          <w:szCs w:val="26"/>
        </w:rPr>
        <w:t xml:space="preserve">see also </w:t>
      </w:r>
      <w:r w:rsidRPr="00945FE6" w:rsidR="00471DBF">
        <w:rPr>
          <w:szCs w:val="26"/>
        </w:rPr>
        <w:t>§</w:t>
      </w:r>
      <w:r w:rsidR="00471DBF">
        <w:rPr>
          <w:szCs w:val="26"/>
        </w:rPr>
        <w:t> </w:t>
      </w:r>
      <w:r w:rsidRPr="00945FE6" w:rsidR="00D241FC">
        <w:rPr>
          <w:szCs w:val="26"/>
        </w:rPr>
        <w:t>632.6(a)</w:t>
      </w:r>
      <w:r w:rsidR="00565C53">
        <w:rPr>
          <w:szCs w:val="26"/>
        </w:rPr>
        <w:t xml:space="preserve"> [same]</w:t>
      </w:r>
      <w:r w:rsidRPr="00945FE6" w:rsidR="00D241FC">
        <w:rPr>
          <w:szCs w:val="26"/>
        </w:rPr>
        <w:t>),</w:t>
      </w:r>
      <w:r w:rsidRPr="00945FE6">
        <w:rPr>
          <w:szCs w:val="26"/>
        </w:rPr>
        <w:t xml:space="preserve"> and another to </w:t>
      </w:r>
      <w:r w:rsidR="00565C53">
        <w:rPr>
          <w:szCs w:val="26"/>
        </w:rPr>
        <w:t>address</w:t>
      </w:r>
      <w:r w:rsidRPr="00945FE6">
        <w:rPr>
          <w:szCs w:val="26"/>
        </w:rPr>
        <w:t xml:space="preserve"> a person who “without the consent of all parties to a communication</w:t>
      </w:r>
      <w:r w:rsidRPr="00945FE6" w:rsidR="001E02CE">
        <w:rPr>
          <w:szCs w:val="26"/>
        </w:rPr>
        <w:t xml:space="preserve"> </w:t>
      </w:r>
      <w:r w:rsidRPr="00945FE6">
        <w:rPr>
          <w:szCs w:val="26"/>
        </w:rPr>
        <w:t xml:space="preserve">. . . </w:t>
      </w:r>
      <w:r w:rsidR="00796629">
        <w:rPr>
          <w:szCs w:val="26"/>
        </w:rPr>
        <w:t xml:space="preserve">intercepts or </w:t>
      </w:r>
      <w:r w:rsidRPr="00945FE6">
        <w:rPr>
          <w:szCs w:val="26"/>
        </w:rPr>
        <w:t xml:space="preserve">receives </w:t>
      </w:r>
      <w:r w:rsidRPr="000841DD">
        <w:rPr>
          <w:i/>
          <w:iCs/>
          <w:szCs w:val="26"/>
        </w:rPr>
        <w:t>and intentionally records</w:t>
      </w:r>
      <w:r w:rsidRPr="00945FE6" w:rsidR="001E02CE">
        <w:rPr>
          <w:szCs w:val="26"/>
        </w:rPr>
        <w:t xml:space="preserve"> </w:t>
      </w:r>
      <w:r w:rsidRPr="00945FE6" w:rsidR="00AF2AFC">
        <w:rPr>
          <w:szCs w:val="26"/>
        </w:rPr>
        <w:t>. . .</w:t>
      </w:r>
      <w:r w:rsidRPr="00945FE6">
        <w:rPr>
          <w:szCs w:val="26"/>
        </w:rPr>
        <w:t xml:space="preserve"> a communication</w:t>
      </w:r>
      <w:r w:rsidRPr="00945FE6" w:rsidR="00E0348E">
        <w:rPr>
          <w:szCs w:val="26"/>
        </w:rPr>
        <w:t>”</w:t>
      </w:r>
      <w:r w:rsidRPr="00945FE6" w:rsidR="00D241FC">
        <w:rPr>
          <w:szCs w:val="26"/>
        </w:rPr>
        <w:t xml:space="preserve"> (§ 632.7(a)</w:t>
      </w:r>
      <w:r w:rsidR="00796629">
        <w:rPr>
          <w:szCs w:val="26"/>
        </w:rPr>
        <w:t>, italics added</w:t>
      </w:r>
      <w:r w:rsidRPr="00945FE6" w:rsidR="00D241FC">
        <w:rPr>
          <w:szCs w:val="26"/>
        </w:rPr>
        <w:t>).</w:t>
      </w:r>
      <w:r w:rsidRPr="00945FE6" w:rsidR="00AF2AFC">
        <w:rPr>
          <w:szCs w:val="26"/>
        </w:rPr>
        <w:t xml:space="preserve">  </w:t>
      </w:r>
      <w:r w:rsidR="000841DD">
        <w:rPr>
          <w:szCs w:val="26"/>
        </w:rPr>
        <w:t>The additional language regarding recordation within section 632.7</w:t>
      </w:r>
      <w:r w:rsidR="00471DBF">
        <w:rPr>
          <w:szCs w:val="26"/>
        </w:rPr>
        <w:t>(a)</w:t>
      </w:r>
      <w:r w:rsidR="00565C53">
        <w:rPr>
          <w:szCs w:val="26"/>
        </w:rPr>
        <w:t xml:space="preserve">, and </w:t>
      </w:r>
      <w:r w:rsidR="00E74359">
        <w:rPr>
          <w:szCs w:val="26"/>
        </w:rPr>
        <w:t>section 632.7(a)</w:t>
      </w:r>
      <w:r w:rsidR="00565C53">
        <w:rPr>
          <w:szCs w:val="26"/>
        </w:rPr>
        <w:t>’s lack of a malice requirement, function</w:t>
      </w:r>
      <w:r w:rsidR="000841DD">
        <w:rPr>
          <w:szCs w:val="26"/>
        </w:rPr>
        <w:t xml:space="preserve"> </w:t>
      </w:r>
      <w:r w:rsidR="00565C53">
        <w:rPr>
          <w:szCs w:val="26"/>
        </w:rPr>
        <w:t xml:space="preserve">to </w:t>
      </w:r>
      <w:r w:rsidR="000841DD">
        <w:rPr>
          <w:szCs w:val="26"/>
        </w:rPr>
        <w:t>describe a class of potential perpetrators</w:t>
      </w:r>
      <w:r w:rsidR="00565C53">
        <w:rPr>
          <w:szCs w:val="26"/>
        </w:rPr>
        <w:t xml:space="preserve"> that includes parties</w:t>
      </w:r>
      <w:r w:rsidR="00471DBF">
        <w:rPr>
          <w:szCs w:val="26"/>
        </w:rPr>
        <w:t>,</w:t>
      </w:r>
      <w:r w:rsidR="00565C53">
        <w:rPr>
          <w:szCs w:val="26"/>
        </w:rPr>
        <w:t xml:space="preserve"> even if sections 632.5(a) and 632.6(a) do not</w:t>
      </w:r>
      <w:r w:rsidRPr="00945FE6" w:rsidR="001A1C89">
        <w:rPr>
          <w:szCs w:val="26"/>
        </w:rPr>
        <w:t xml:space="preserve">.  </w:t>
      </w:r>
      <w:r w:rsidR="00565C53">
        <w:rPr>
          <w:szCs w:val="26"/>
        </w:rPr>
        <w:t>Although</w:t>
      </w:r>
      <w:r w:rsidR="00314F48">
        <w:rPr>
          <w:szCs w:val="26"/>
        </w:rPr>
        <w:t xml:space="preserve"> it</w:t>
      </w:r>
      <w:r w:rsidRPr="00945FE6" w:rsidR="001A1C89">
        <w:rPr>
          <w:szCs w:val="26"/>
        </w:rPr>
        <w:t xml:space="preserve"> may be </w:t>
      </w:r>
      <w:r w:rsidR="00967F87">
        <w:rPr>
          <w:szCs w:val="26"/>
        </w:rPr>
        <w:t>challenging</w:t>
      </w:r>
      <w:r w:rsidR="00565C53">
        <w:rPr>
          <w:szCs w:val="26"/>
        </w:rPr>
        <w:t xml:space="preserve"> to envision how a party could</w:t>
      </w:r>
      <w:r w:rsidRPr="00945FE6" w:rsidR="001A1C89">
        <w:rPr>
          <w:szCs w:val="26"/>
        </w:rPr>
        <w:t xml:space="preserve"> maliciously receiv</w:t>
      </w:r>
      <w:r w:rsidR="00565C53">
        <w:rPr>
          <w:szCs w:val="26"/>
        </w:rPr>
        <w:t>e</w:t>
      </w:r>
      <w:r w:rsidRPr="00945FE6" w:rsidR="001A1C89">
        <w:rPr>
          <w:szCs w:val="26"/>
        </w:rPr>
        <w:t xml:space="preserve"> a covered communication</w:t>
      </w:r>
      <w:r w:rsidR="00314F48">
        <w:rPr>
          <w:szCs w:val="26"/>
        </w:rPr>
        <w:t>,</w:t>
      </w:r>
      <w:r w:rsidRPr="00945FE6" w:rsidR="001A1C89">
        <w:rPr>
          <w:szCs w:val="26"/>
        </w:rPr>
        <w:t xml:space="preserve"> it is not</w:t>
      </w:r>
      <w:r w:rsidR="00565C53">
        <w:rPr>
          <w:szCs w:val="26"/>
        </w:rPr>
        <w:t xml:space="preserve"> so</w:t>
      </w:r>
      <w:r w:rsidRPr="00945FE6" w:rsidR="001A1C89">
        <w:rPr>
          <w:szCs w:val="26"/>
        </w:rPr>
        <w:t xml:space="preserve"> </w:t>
      </w:r>
      <w:r w:rsidR="00565C53">
        <w:rPr>
          <w:szCs w:val="26"/>
        </w:rPr>
        <w:t>hard</w:t>
      </w:r>
      <w:r w:rsidRPr="00945FE6" w:rsidR="001A1C89">
        <w:rPr>
          <w:szCs w:val="26"/>
        </w:rPr>
        <w:t xml:space="preserve"> to </w:t>
      </w:r>
      <w:r w:rsidR="00565C53">
        <w:rPr>
          <w:szCs w:val="26"/>
        </w:rPr>
        <w:t>grasp</w:t>
      </w:r>
      <w:r w:rsidRPr="00945FE6" w:rsidR="001A1C89">
        <w:rPr>
          <w:szCs w:val="26"/>
        </w:rPr>
        <w:t xml:space="preserve"> how a party could </w:t>
      </w:r>
      <w:r w:rsidR="00471DBF">
        <w:rPr>
          <w:szCs w:val="26"/>
        </w:rPr>
        <w:t>just</w:t>
      </w:r>
      <w:r w:rsidRPr="00945FE6" w:rsidR="001A1C89">
        <w:rPr>
          <w:szCs w:val="26"/>
        </w:rPr>
        <w:t xml:space="preserve"> </w:t>
      </w:r>
      <w:r w:rsidRPr="00314F48" w:rsidR="001A1C89">
        <w:rPr>
          <w:szCs w:val="26"/>
        </w:rPr>
        <w:t>receive</w:t>
      </w:r>
      <w:r w:rsidRPr="00945FE6" w:rsidR="001A1C89">
        <w:rPr>
          <w:szCs w:val="26"/>
        </w:rPr>
        <w:t xml:space="preserve"> such a communication</w:t>
      </w:r>
      <w:r w:rsidR="00471DBF">
        <w:rPr>
          <w:szCs w:val="26"/>
        </w:rPr>
        <w:t>, without malice</w:t>
      </w:r>
      <w:r w:rsidRPr="00945FE6" w:rsidR="001A1C89">
        <w:rPr>
          <w:szCs w:val="26"/>
        </w:rPr>
        <w:t>.  That, or interception, is all that section 632.7(a) require</w:t>
      </w:r>
      <w:r w:rsidR="00471DBF">
        <w:rPr>
          <w:szCs w:val="26"/>
        </w:rPr>
        <w:t>s</w:t>
      </w:r>
      <w:r w:rsidRPr="00945FE6" w:rsidR="001A1C89">
        <w:rPr>
          <w:szCs w:val="26"/>
        </w:rPr>
        <w:t xml:space="preserve"> when accompanied by intentional recording without the </w:t>
      </w:r>
      <w:r w:rsidRPr="00945FE6" w:rsidR="00731FE3">
        <w:rPr>
          <w:szCs w:val="26"/>
        </w:rPr>
        <w:t>necessary</w:t>
      </w:r>
      <w:r w:rsidRPr="00945FE6" w:rsidR="001A1C89">
        <w:rPr>
          <w:szCs w:val="26"/>
        </w:rPr>
        <w:t xml:space="preserve"> consent. </w:t>
      </w:r>
    </w:p>
    <w:p w:rsidR="008A666A" w:rsidRPr="00945FE6" w:rsidP="00945FE6" w14:paraId="4AC1C5AA" w14:textId="3D8D2790">
      <w:pPr>
        <w:tabs>
          <w:tab w:val="left" w:pos="1440"/>
        </w:tabs>
        <w:ind w:firstLine="720"/>
        <w:rPr>
          <w:szCs w:val="26"/>
        </w:rPr>
      </w:pPr>
      <w:r>
        <w:rPr>
          <w:szCs w:val="26"/>
        </w:rPr>
        <w:t>Thus</w:t>
      </w:r>
      <w:r w:rsidRPr="00945FE6" w:rsidR="00AA7C51">
        <w:rPr>
          <w:szCs w:val="26"/>
        </w:rPr>
        <w:t xml:space="preserve">, </w:t>
      </w:r>
      <w:r w:rsidRPr="00945FE6" w:rsidR="006517A3">
        <w:rPr>
          <w:szCs w:val="26"/>
        </w:rPr>
        <w:t xml:space="preserve">if </w:t>
      </w:r>
      <w:r w:rsidRPr="00945FE6" w:rsidR="00EF66EB">
        <w:rPr>
          <w:szCs w:val="26"/>
        </w:rPr>
        <w:t>we</w:t>
      </w:r>
      <w:r w:rsidRPr="00945FE6" w:rsidR="006517A3">
        <w:rPr>
          <w:szCs w:val="26"/>
        </w:rPr>
        <w:t xml:space="preserve"> had to decide upon an interpretation of section 632.7</w:t>
      </w:r>
      <w:r w:rsidR="00D2534A">
        <w:rPr>
          <w:szCs w:val="26"/>
        </w:rPr>
        <w:t>(a)</w:t>
      </w:r>
      <w:r>
        <w:rPr>
          <w:szCs w:val="26"/>
        </w:rPr>
        <w:t xml:space="preserve"> based</w:t>
      </w:r>
      <w:r w:rsidRPr="00945FE6" w:rsidR="006517A3">
        <w:rPr>
          <w:szCs w:val="26"/>
        </w:rPr>
        <w:t xml:space="preserve"> solely on the statutory language,</w:t>
      </w:r>
      <w:r w:rsidRPr="00945FE6" w:rsidR="000674B8">
        <w:rPr>
          <w:szCs w:val="26"/>
        </w:rPr>
        <w:t xml:space="preserve"> </w:t>
      </w:r>
      <w:r>
        <w:rPr>
          <w:szCs w:val="26"/>
        </w:rPr>
        <w:t>we</w:t>
      </w:r>
      <w:r w:rsidRPr="00945FE6" w:rsidR="000674B8">
        <w:rPr>
          <w:szCs w:val="26"/>
        </w:rPr>
        <w:t xml:space="preserve"> would conclude that</w:t>
      </w:r>
      <w:r w:rsidRPr="00945FE6" w:rsidR="006517A3">
        <w:rPr>
          <w:szCs w:val="26"/>
        </w:rPr>
        <w:t xml:space="preserve"> </w:t>
      </w:r>
      <w:r w:rsidR="00D2534A">
        <w:rPr>
          <w:szCs w:val="26"/>
        </w:rPr>
        <w:t>this provision’s</w:t>
      </w:r>
      <w:r w:rsidRPr="00945FE6" w:rsidR="001868B8">
        <w:rPr>
          <w:szCs w:val="26"/>
        </w:rPr>
        <w:t xml:space="preserve"> prohibition o</w:t>
      </w:r>
      <w:r w:rsidR="00E74359">
        <w:rPr>
          <w:szCs w:val="26"/>
        </w:rPr>
        <w:t>f</w:t>
      </w:r>
      <w:r w:rsidRPr="00945FE6" w:rsidR="001868B8">
        <w:rPr>
          <w:szCs w:val="26"/>
        </w:rPr>
        <w:t xml:space="preserve"> </w:t>
      </w:r>
      <w:r w:rsidRPr="00945FE6" w:rsidR="005F74A1">
        <w:rPr>
          <w:szCs w:val="26"/>
        </w:rPr>
        <w:t>intentional</w:t>
      </w:r>
      <w:r w:rsidRPr="00945FE6" w:rsidR="001868B8">
        <w:rPr>
          <w:szCs w:val="26"/>
        </w:rPr>
        <w:t xml:space="preserve"> recording</w:t>
      </w:r>
      <w:r w:rsidRPr="00945FE6" w:rsidR="005F74A1">
        <w:rPr>
          <w:szCs w:val="26"/>
        </w:rPr>
        <w:t xml:space="preserve"> without the consent</w:t>
      </w:r>
      <w:r w:rsidRPr="00945FE6" w:rsidR="00AA7C51">
        <w:rPr>
          <w:szCs w:val="26"/>
        </w:rPr>
        <w:t xml:space="preserve"> </w:t>
      </w:r>
      <w:r w:rsidR="00E74359">
        <w:rPr>
          <w:szCs w:val="26"/>
        </w:rPr>
        <w:t xml:space="preserve">of all parties </w:t>
      </w:r>
      <w:r w:rsidRPr="00945FE6" w:rsidR="00AA7C51">
        <w:rPr>
          <w:szCs w:val="26"/>
        </w:rPr>
        <w:t>should be construed</w:t>
      </w:r>
      <w:r w:rsidRPr="00945FE6" w:rsidR="006517A3">
        <w:rPr>
          <w:szCs w:val="26"/>
        </w:rPr>
        <w:t xml:space="preserve"> as applicable to parties as well as nonparties. </w:t>
      </w:r>
      <w:r w:rsidRPr="00945FE6" w:rsidR="00EF66EB">
        <w:rPr>
          <w:szCs w:val="26"/>
        </w:rPr>
        <w:t xml:space="preserve"> But</w:t>
      </w:r>
      <w:r w:rsidRPr="00945FE6" w:rsidR="00624E35">
        <w:rPr>
          <w:szCs w:val="26"/>
        </w:rPr>
        <w:t xml:space="preserve"> even though </w:t>
      </w:r>
      <w:r>
        <w:rPr>
          <w:szCs w:val="26"/>
        </w:rPr>
        <w:t>we</w:t>
      </w:r>
      <w:r w:rsidRPr="00945FE6" w:rsidR="00624E35">
        <w:rPr>
          <w:szCs w:val="26"/>
        </w:rPr>
        <w:t xml:space="preserve"> regard this as the most </w:t>
      </w:r>
      <w:r w:rsidRPr="00945FE6" w:rsidR="00C0222A">
        <w:rPr>
          <w:szCs w:val="26"/>
        </w:rPr>
        <w:t>sensible</w:t>
      </w:r>
      <w:r w:rsidRPr="00945FE6" w:rsidR="00624E35">
        <w:rPr>
          <w:szCs w:val="26"/>
        </w:rPr>
        <w:t xml:space="preserve"> reading of </w:t>
      </w:r>
      <w:r w:rsidR="00D2534A">
        <w:rPr>
          <w:szCs w:val="26"/>
        </w:rPr>
        <w:t>section 632.7(a)</w:t>
      </w:r>
      <w:r w:rsidRPr="00945FE6" w:rsidR="00624E35">
        <w:rPr>
          <w:szCs w:val="26"/>
        </w:rPr>
        <w:t xml:space="preserve">, </w:t>
      </w:r>
      <w:r>
        <w:rPr>
          <w:szCs w:val="26"/>
        </w:rPr>
        <w:t xml:space="preserve">we </w:t>
      </w:r>
      <w:r w:rsidRPr="00945FE6" w:rsidR="00624E35">
        <w:rPr>
          <w:szCs w:val="26"/>
        </w:rPr>
        <w:t xml:space="preserve">cannot say that </w:t>
      </w:r>
      <w:r w:rsidR="00E74359">
        <w:rPr>
          <w:szCs w:val="26"/>
        </w:rPr>
        <w:t>the statutory</w:t>
      </w:r>
      <w:r w:rsidRPr="00945FE6" w:rsidR="00624E35">
        <w:rPr>
          <w:szCs w:val="26"/>
        </w:rPr>
        <w:t xml:space="preserve"> language is so clear as to be</w:t>
      </w:r>
      <w:r w:rsidRPr="00945FE6" w:rsidR="00006913">
        <w:rPr>
          <w:szCs w:val="26"/>
        </w:rPr>
        <w:t xml:space="preserve"> </w:t>
      </w:r>
      <w:r w:rsidRPr="00945FE6" w:rsidR="00624E35">
        <w:rPr>
          <w:szCs w:val="26"/>
        </w:rPr>
        <w:t>unambiguous.  Therefore,</w:t>
      </w:r>
      <w:r w:rsidRPr="00945FE6" w:rsidR="00EF66EB">
        <w:rPr>
          <w:szCs w:val="26"/>
        </w:rPr>
        <w:t xml:space="preserve"> </w:t>
      </w:r>
      <w:r>
        <w:rPr>
          <w:szCs w:val="26"/>
        </w:rPr>
        <w:t>we also review</w:t>
      </w:r>
      <w:r w:rsidRPr="00945FE6" w:rsidR="00EF66EB">
        <w:rPr>
          <w:szCs w:val="26"/>
        </w:rPr>
        <w:t xml:space="preserve"> the </w:t>
      </w:r>
      <w:r w:rsidR="00E74359">
        <w:rPr>
          <w:szCs w:val="26"/>
        </w:rPr>
        <w:t>pertinent</w:t>
      </w:r>
      <w:r w:rsidRPr="00945FE6" w:rsidR="005F74A1">
        <w:rPr>
          <w:szCs w:val="26"/>
        </w:rPr>
        <w:t xml:space="preserve"> </w:t>
      </w:r>
      <w:r w:rsidRPr="00945FE6" w:rsidR="00EF66EB">
        <w:rPr>
          <w:szCs w:val="26"/>
        </w:rPr>
        <w:t>legislative history</w:t>
      </w:r>
      <w:r w:rsidRPr="00945FE6" w:rsidR="008810BE">
        <w:rPr>
          <w:szCs w:val="26"/>
        </w:rPr>
        <w:t>, which</w:t>
      </w:r>
      <w:r w:rsidRPr="00945FE6" w:rsidR="00865F98">
        <w:rPr>
          <w:szCs w:val="26"/>
        </w:rPr>
        <w:t xml:space="preserve"> </w:t>
      </w:r>
      <w:r>
        <w:rPr>
          <w:szCs w:val="26"/>
        </w:rPr>
        <w:t>confirms</w:t>
      </w:r>
      <w:r w:rsidRPr="00945FE6" w:rsidR="00865F98">
        <w:rPr>
          <w:szCs w:val="26"/>
        </w:rPr>
        <w:t xml:space="preserve"> </w:t>
      </w:r>
      <w:r>
        <w:rPr>
          <w:szCs w:val="26"/>
        </w:rPr>
        <w:t>our</w:t>
      </w:r>
      <w:r w:rsidRPr="00945FE6" w:rsidR="00624E35">
        <w:rPr>
          <w:szCs w:val="26"/>
        </w:rPr>
        <w:t xml:space="preserve"> interpretation </w:t>
      </w:r>
      <w:r w:rsidR="00314F48">
        <w:rPr>
          <w:szCs w:val="26"/>
        </w:rPr>
        <w:t>by</w:t>
      </w:r>
      <w:r w:rsidRPr="00945FE6" w:rsidR="008810BE">
        <w:rPr>
          <w:szCs w:val="26"/>
        </w:rPr>
        <w:t xml:space="preserve"> shed</w:t>
      </w:r>
      <w:r w:rsidR="00314F48">
        <w:rPr>
          <w:szCs w:val="26"/>
        </w:rPr>
        <w:t>ding</w:t>
      </w:r>
      <w:r w:rsidRPr="00945FE6" w:rsidR="008810BE">
        <w:rPr>
          <w:szCs w:val="26"/>
        </w:rPr>
        <w:t xml:space="preserve"> light on what the Legislature sought to accomplish by adding section</w:t>
      </w:r>
      <w:r w:rsidR="00E74359">
        <w:rPr>
          <w:szCs w:val="26"/>
        </w:rPr>
        <w:t xml:space="preserve"> 632.7</w:t>
      </w:r>
      <w:r w:rsidRPr="00945FE6" w:rsidR="008810BE">
        <w:rPr>
          <w:szCs w:val="26"/>
        </w:rPr>
        <w:t xml:space="preserve"> to the Penal Code</w:t>
      </w:r>
      <w:r w:rsidRPr="00945FE6" w:rsidR="00EF66EB">
        <w:rPr>
          <w:szCs w:val="26"/>
        </w:rPr>
        <w:t xml:space="preserve">.  </w:t>
      </w:r>
      <w:r w:rsidRPr="00945FE6" w:rsidR="00865F98">
        <w:rPr>
          <w:szCs w:val="26"/>
        </w:rPr>
        <w:t xml:space="preserve">(See </w:t>
      </w:r>
      <w:r w:rsidRPr="00945FE6" w:rsidR="00865F98">
        <w:rPr>
          <w:i/>
          <w:iCs/>
          <w:szCs w:val="26"/>
        </w:rPr>
        <w:t>Scher v. Burke</w:t>
      </w:r>
      <w:r w:rsidRPr="00945FE6" w:rsidR="00865F98">
        <w:rPr>
          <w:szCs w:val="26"/>
        </w:rPr>
        <w:t xml:space="preserve"> (2017) 3 Cal.5th 136, 148–150.) </w:t>
      </w:r>
    </w:p>
    <w:p w:rsidR="008A666A" w:rsidRPr="00EC0C84" w:rsidP="00CC39A6" w14:paraId="60533DFD" w14:textId="28DA5281">
      <w:pPr>
        <w:pStyle w:val="Heading2"/>
      </w:pPr>
      <w:r w:rsidRPr="00EC0C84">
        <w:t xml:space="preserve">The Legislative History and Background of Section 632.7 </w:t>
      </w:r>
      <w:r w:rsidRPr="00EC0C84" w:rsidR="00314F48">
        <w:t>Are Consistent with</w:t>
      </w:r>
      <w:r w:rsidRPr="00EC0C84">
        <w:t xml:space="preserve"> </w:t>
      </w:r>
      <w:r w:rsidRPr="00EC0C84" w:rsidR="008810BE">
        <w:t>Its Application</w:t>
      </w:r>
      <w:r w:rsidRPr="00EC0C84">
        <w:t xml:space="preserve"> to Parties </w:t>
      </w:r>
    </w:p>
    <w:p w:rsidR="00FB57F5" w:rsidRPr="00945FE6" w:rsidP="00CC39A6" w14:paraId="7494AFD9" w14:textId="5A38D2BD">
      <w:pPr>
        <w:keepNext/>
        <w:tabs>
          <w:tab w:val="left" w:pos="1440"/>
        </w:tabs>
        <w:ind w:firstLine="720"/>
        <w:rPr>
          <w:szCs w:val="26"/>
        </w:rPr>
      </w:pPr>
      <w:r w:rsidRPr="00945FE6">
        <w:rPr>
          <w:szCs w:val="26"/>
        </w:rPr>
        <w:t>T</w:t>
      </w:r>
      <w:r w:rsidRPr="00945FE6" w:rsidR="00EF66EB">
        <w:rPr>
          <w:szCs w:val="26"/>
        </w:rPr>
        <w:t>he legislative history of A</w:t>
      </w:r>
      <w:r w:rsidR="00487CFE">
        <w:rPr>
          <w:szCs w:val="26"/>
        </w:rPr>
        <w:t xml:space="preserve">ssembly </w:t>
      </w:r>
      <w:r w:rsidRPr="00945FE6" w:rsidR="00EF66EB">
        <w:rPr>
          <w:szCs w:val="26"/>
        </w:rPr>
        <w:t>B</w:t>
      </w:r>
      <w:r w:rsidR="00487CFE">
        <w:rPr>
          <w:szCs w:val="26"/>
        </w:rPr>
        <w:t>ill</w:t>
      </w:r>
      <w:r w:rsidRPr="00945FE6" w:rsidR="00EF66EB">
        <w:rPr>
          <w:szCs w:val="26"/>
        </w:rPr>
        <w:t xml:space="preserve"> 2465 </w:t>
      </w:r>
      <w:r w:rsidR="00314F48">
        <w:rPr>
          <w:szCs w:val="26"/>
        </w:rPr>
        <w:t>comports</w:t>
      </w:r>
      <w:r w:rsidR="00524C25">
        <w:rPr>
          <w:szCs w:val="26"/>
        </w:rPr>
        <w:t xml:space="preserve"> with</w:t>
      </w:r>
      <w:r w:rsidR="00925A9C">
        <w:rPr>
          <w:szCs w:val="26"/>
        </w:rPr>
        <w:t xml:space="preserve"> our reading of </w:t>
      </w:r>
      <w:r w:rsidRPr="00945FE6" w:rsidR="001868B8">
        <w:rPr>
          <w:szCs w:val="26"/>
        </w:rPr>
        <w:t>section 632.7 as</w:t>
      </w:r>
      <w:r w:rsidRPr="00945FE6" w:rsidR="002E404B">
        <w:rPr>
          <w:szCs w:val="26"/>
        </w:rPr>
        <w:t xml:space="preserve"> </w:t>
      </w:r>
      <w:r w:rsidRPr="00945FE6" w:rsidR="003238F7">
        <w:rPr>
          <w:szCs w:val="26"/>
        </w:rPr>
        <w:t>announcing</w:t>
      </w:r>
      <w:r w:rsidRPr="00945FE6" w:rsidR="002E404B">
        <w:rPr>
          <w:szCs w:val="26"/>
        </w:rPr>
        <w:t xml:space="preserve"> a general</w:t>
      </w:r>
      <w:r w:rsidRPr="00945FE6" w:rsidR="001868B8">
        <w:rPr>
          <w:szCs w:val="26"/>
        </w:rPr>
        <w:t xml:space="preserve"> </w:t>
      </w:r>
      <w:r w:rsidRPr="00945FE6" w:rsidR="002E404B">
        <w:rPr>
          <w:szCs w:val="26"/>
        </w:rPr>
        <w:t xml:space="preserve">prohibition </w:t>
      </w:r>
      <w:r w:rsidRPr="00945FE6" w:rsidR="00812C72">
        <w:rPr>
          <w:szCs w:val="26"/>
        </w:rPr>
        <w:t>against</w:t>
      </w:r>
      <w:r w:rsidRPr="00945FE6" w:rsidR="002E404B">
        <w:rPr>
          <w:szCs w:val="26"/>
        </w:rPr>
        <w:t xml:space="preserve"> the</w:t>
      </w:r>
      <w:r w:rsidRPr="00945FE6" w:rsidR="001868B8">
        <w:rPr>
          <w:szCs w:val="26"/>
        </w:rPr>
        <w:t xml:space="preserve"> </w:t>
      </w:r>
      <w:r w:rsidR="00314F48">
        <w:rPr>
          <w:szCs w:val="26"/>
        </w:rPr>
        <w:t>intentional</w:t>
      </w:r>
      <w:r w:rsidRPr="00945FE6" w:rsidR="001868B8">
        <w:rPr>
          <w:szCs w:val="26"/>
        </w:rPr>
        <w:t xml:space="preserve"> recording </w:t>
      </w:r>
      <w:r w:rsidRPr="00945FE6" w:rsidR="002E404B">
        <w:rPr>
          <w:szCs w:val="26"/>
        </w:rPr>
        <w:t xml:space="preserve">of </w:t>
      </w:r>
      <w:r w:rsidRPr="00945FE6">
        <w:rPr>
          <w:szCs w:val="26"/>
        </w:rPr>
        <w:t xml:space="preserve">a </w:t>
      </w:r>
      <w:r w:rsidRPr="00945FE6" w:rsidR="002E404B">
        <w:rPr>
          <w:szCs w:val="26"/>
        </w:rPr>
        <w:t xml:space="preserve">covered </w:t>
      </w:r>
      <w:r w:rsidRPr="00945FE6">
        <w:rPr>
          <w:szCs w:val="26"/>
        </w:rPr>
        <w:t>communication</w:t>
      </w:r>
      <w:r w:rsidR="00314F48">
        <w:rPr>
          <w:szCs w:val="26"/>
        </w:rPr>
        <w:t xml:space="preserve"> without </w:t>
      </w:r>
      <w:r w:rsidR="00312D69">
        <w:rPr>
          <w:szCs w:val="26"/>
        </w:rPr>
        <w:t>the</w:t>
      </w:r>
      <w:r w:rsidR="00314F48">
        <w:rPr>
          <w:szCs w:val="26"/>
        </w:rPr>
        <w:t xml:space="preserve"> consent</w:t>
      </w:r>
      <w:r w:rsidR="00312D69">
        <w:rPr>
          <w:szCs w:val="26"/>
        </w:rPr>
        <w:t xml:space="preserve"> of all parties</w:t>
      </w:r>
      <w:r w:rsidRPr="00945FE6" w:rsidR="002E404B">
        <w:rPr>
          <w:szCs w:val="26"/>
        </w:rPr>
        <w:t xml:space="preserve">, regardless of whether the recording is performed by a party to the communication or by </w:t>
      </w:r>
      <w:r w:rsidR="00314F48">
        <w:rPr>
          <w:szCs w:val="26"/>
        </w:rPr>
        <w:t>someone else</w:t>
      </w:r>
      <w:r w:rsidRPr="00945FE6" w:rsidR="001868B8">
        <w:rPr>
          <w:szCs w:val="26"/>
        </w:rPr>
        <w:t>.</w:t>
      </w:r>
      <w:r w:rsidRPr="00945FE6" w:rsidR="00EF66EB">
        <w:rPr>
          <w:szCs w:val="26"/>
        </w:rPr>
        <w:t xml:space="preserve"> </w:t>
      </w:r>
      <w:r w:rsidR="00925A9C">
        <w:rPr>
          <w:szCs w:val="26"/>
        </w:rPr>
        <w:t xml:space="preserve"> </w:t>
      </w:r>
    </w:p>
    <w:p w:rsidR="000924EC" w:rsidRPr="00945FE6" w:rsidP="00945FE6" w14:paraId="1D470C48" w14:textId="508E8FD5">
      <w:pPr>
        <w:tabs>
          <w:tab w:val="left" w:pos="1440"/>
        </w:tabs>
        <w:ind w:firstLine="720"/>
        <w:rPr>
          <w:szCs w:val="26"/>
        </w:rPr>
      </w:pPr>
      <w:r w:rsidRPr="00945FE6">
        <w:rPr>
          <w:szCs w:val="26"/>
        </w:rPr>
        <w:t xml:space="preserve">Committee analyses of </w:t>
      </w:r>
      <w:r w:rsidRPr="00945FE6" w:rsidR="003238F7">
        <w:rPr>
          <w:szCs w:val="26"/>
        </w:rPr>
        <w:t>A</w:t>
      </w:r>
      <w:r w:rsidR="00487CFE">
        <w:rPr>
          <w:szCs w:val="26"/>
        </w:rPr>
        <w:t xml:space="preserve">ssembly </w:t>
      </w:r>
      <w:r w:rsidRPr="00945FE6" w:rsidR="003238F7">
        <w:rPr>
          <w:szCs w:val="26"/>
        </w:rPr>
        <w:t>B</w:t>
      </w:r>
      <w:r w:rsidR="00487CFE">
        <w:rPr>
          <w:szCs w:val="26"/>
        </w:rPr>
        <w:t>ill</w:t>
      </w:r>
      <w:r w:rsidRPr="00945FE6" w:rsidR="003238F7">
        <w:rPr>
          <w:szCs w:val="26"/>
        </w:rPr>
        <w:t xml:space="preserve"> 2465</w:t>
      </w:r>
      <w:r w:rsidRPr="00945FE6">
        <w:rPr>
          <w:szCs w:val="26"/>
        </w:rPr>
        <w:t xml:space="preserve">, as well as other </w:t>
      </w:r>
      <w:r w:rsidR="00314F48">
        <w:rPr>
          <w:szCs w:val="26"/>
        </w:rPr>
        <w:t>materials</w:t>
      </w:r>
      <w:r w:rsidRPr="00945FE6" w:rsidR="00716171">
        <w:rPr>
          <w:szCs w:val="26"/>
        </w:rPr>
        <w:t xml:space="preserve"> within the </w:t>
      </w:r>
      <w:r w:rsidRPr="00945FE6" w:rsidR="002E404B">
        <w:rPr>
          <w:szCs w:val="26"/>
        </w:rPr>
        <w:t xml:space="preserve">legislative </w:t>
      </w:r>
      <w:r w:rsidRPr="00945FE6" w:rsidR="00716171">
        <w:rPr>
          <w:szCs w:val="26"/>
        </w:rPr>
        <w:t>record</w:t>
      </w:r>
      <w:r w:rsidRPr="00945FE6">
        <w:rPr>
          <w:szCs w:val="26"/>
        </w:rPr>
        <w:t xml:space="preserve">, </w:t>
      </w:r>
      <w:r w:rsidRPr="00945FE6" w:rsidR="003238F7">
        <w:rPr>
          <w:szCs w:val="26"/>
        </w:rPr>
        <w:t>establish</w:t>
      </w:r>
      <w:r w:rsidRPr="00945FE6" w:rsidR="00EF66EB">
        <w:rPr>
          <w:szCs w:val="26"/>
        </w:rPr>
        <w:t xml:space="preserve"> </w:t>
      </w:r>
      <w:r w:rsidRPr="00945FE6" w:rsidR="001868B8">
        <w:rPr>
          <w:szCs w:val="26"/>
        </w:rPr>
        <w:t>that</w:t>
      </w:r>
      <w:r w:rsidRPr="00945FE6" w:rsidR="00B3363E">
        <w:rPr>
          <w:szCs w:val="26"/>
        </w:rPr>
        <w:t xml:space="preserve"> </w:t>
      </w:r>
      <w:r w:rsidRPr="00945FE6" w:rsidR="003238F7">
        <w:rPr>
          <w:szCs w:val="26"/>
        </w:rPr>
        <w:t>section 632.7</w:t>
      </w:r>
      <w:r w:rsidRPr="00945FE6">
        <w:rPr>
          <w:szCs w:val="26"/>
        </w:rPr>
        <w:t xml:space="preserve"> </w:t>
      </w:r>
      <w:r w:rsidRPr="00945FE6" w:rsidR="00B3363E">
        <w:rPr>
          <w:szCs w:val="26"/>
        </w:rPr>
        <w:t>responded</w:t>
      </w:r>
      <w:r w:rsidRPr="00945FE6" w:rsidR="00DA092D">
        <w:rPr>
          <w:szCs w:val="26"/>
        </w:rPr>
        <w:t xml:space="preserve"> to concerns that existing law</w:t>
      </w:r>
      <w:r w:rsidRPr="00945FE6">
        <w:rPr>
          <w:szCs w:val="26"/>
        </w:rPr>
        <w:t xml:space="preserve"> </w:t>
      </w:r>
      <w:r w:rsidRPr="00945FE6" w:rsidR="00DA092D">
        <w:rPr>
          <w:szCs w:val="26"/>
        </w:rPr>
        <w:t xml:space="preserve">did not prohibit </w:t>
      </w:r>
      <w:r w:rsidRPr="00945FE6" w:rsidR="001E02CE">
        <w:rPr>
          <w:szCs w:val="26"/>
        </w:rPr>
        <w:t>the recordation of</w:t>
      </w:r>
      <w:r w:rsidRPr="00945FE6" w:rsidR="00DA092D">
        <w:rPr>
          <w:szCs w:val="26"/>
        </w:rPr>
        <w:t xml:space="preserve"> communications involving a cellular or cordless telephone</w:t>
      </w:r>
      <w:r w:rsidR="00AE7B89">
        <w:rPr>
          <w:szCs w:val="26"/>
        </w:rPr>
        <w:t>.</w:t>
      </w:r>
      <w:r w:rsidRPr="00945FE6" w:rsidR="00DA092D">
        <w:rPr>
          <w:szCs w:val="26"/>
        </w:rPr>
        <w:t xml:space="preserve">  </w:t>
      </w:r>
      <w:r w:rsidRPr="00945FE6" w:rsidR="00B3363E">
        <w:rPr>
          <w:szCs w:val="26"/>
        </w:rPr>
        <w:t>One</w:t>
      </w:r>
      <w:r w:rsidRPr="00945FE6" w:rsidR="00DA092D">
        <w:rPr>
          <w:szCs w:val="26"/>
        </w:rPr>
        <w:t xml:space="preserve"> committee analysis </w:t>
      </w:r>
      <w:r w:rsidRPr="00945FE6" w:rsidR="000E00FA">
        <w:rPr>
          <w:szCs w:val="26"/>
        </w:rPr>
        <w:t>of</w:t>
      </w:r>
      <w:r w:rsidRPr="00945FE6" w:rsidR="00DA092D">
        <w:rPr>
          <w:szCs w:val="26"/>
        </w:rPr>
        <w:t xml:space="preserve"> </w:t>
      </w:r>
      <w:r w:rsidRPr="00945FE6" w:rsidR="003238F7">
        <w:rPr>
          <w:szCs w:val="26"/>
        </w:rPr>
        <w:t>the measure</w:t>
      </w:r>
      <w:r w:rsidRPr="00945FE6" w:rsidR="00B3363E">
        <w:rPr>
          <w:szCs w:val="26"/>
        </w:rPr>
        <w:t xml:space="preserve"> explained</w:t>
      </w:r>
      <w:r w:rsidRPr="00945FE6" w:rsidR="00DA092D">
        <w:rPr>
          <w:szCs w:val="26"/>
        </w:rPr>
        <w:t>, “Under current law, it is only illegal to intercept a conversation transmitted between the [</w:t>
      </w:r>
      <w:r w:rsidRPr="00945FE6" w:rsidR="00DA092D">
        <w:rPr>
          <w:i/>
          <w:iCs/>
          <w:szCs w:val="26"/>
        </w:rPr>
        <w:t>sic</w:t>
      </w:r>
      <w:r w:rsidRPr="00945FE6" w:rsidR="00DA092D">
        <w:rPr>
          <w:szCs w:val="26"/>
        </w:rPr>
        <w:t xml:space="preserve">] cellular or cordless telephones.  There is no prohibition against recording a conversation transmitted between cellular or cordless phones.  By comparison, it is currently illegal to intercept or record a conversation between traditional telephones.  There appears to be no sound policy reason behind this discrepancy.”  (Assem. Com. on Pub. Safety, </w:t>
      </w:r>
      <w:r w:rsidR="00487CFE">
        <w:rPr>
          <w:szCs w:val="26"/>
        </w:rPr>
        <w:t>A</w:t>
      </w:r>
      <w:r w:rsidRPr="00945FE6" w:rsidR="00DA092D">
        <w:rPr>
          <w:szCs w:val="26"/>
        </w:rPr>
        <w:t>nalysis of Assem. Bill No. 2465 (1991</w:t>
      </w:r>
      <w:r w:rsidRPr="00945FE6" w:rsidR="00E77C82">
        <w:rPr>
          <w:color w:val="3D3D3D"/>
          <w:szCs w:val="26"/>
          <w:shd w:val="clear" w:color="auto" w:fill="FFFFFF"/>
        </w:rPr>
        <w:t>–</w:t>
      </w:r>
      <w:r w:rsidRPr="00945FE6" w:rsidR="00DA092D">
        <w:rPr>
          <w:szCs w:val="26"/>
        </w:rPr>
        <w:t xml:space="preserve">1992 </w:t>
      </w:r>
      <w:r w:rsidR="00487CFE">
        <w:rPr>
          <w:szCs w:val="26"/>
        </w:rPr>
        <w:t>R</w:t>
      </w:r>
      <w:r w:rsidRPr="00945FE6" w:rsidR="00DA092D">
        <w:rPr>
          <w:szCs w:val="26"/>
        </w:rPr>
        <w:t xml:space="preserve">eg. </w:t>
      </w:r>
      <w:r w:rsidR="00487CFE">
        <w:rPr>
          <w:szCs w:val="26"/>
        </w:rPr>
        <w:t>S</w:t>
      </w:r>
      <w:r w:rsidRPr="00945FE6" w:rsidR="00DA092D">
        <w:rPr>
          <w:szCs w:val="26"/>
        </w:rPr>
        <w:t>ess.) as amended Mar. 9, 199</w:t>
      </w:r>
      <w:r w:rsidRPr="00945FE6" w:rsidR="00E70737">
        <w:rPr>
          <w:szCs w:val="26"/>
        </w:rPr>
        <w:t>2</w:t>
      </w:r>
      <w:r w:rsidRPr="00945FE6" w:rsidR="00DA092D">
        <w:rPr>
          <w:szCs w:val="26"/>
        </w:rPr>
        <w:t>, p. 1</w:t>
      </w:r>
      <w:r w:rsidR="001C4FEF">
        <w:rPr>
          <w:szCs w:val="26"/>
        </w:rPr>
        <w:t xml:space="preserve">, </w:t>
      </w:r>
      <w:r w:rsidRPr="00945FE6" w:rsidR="00DA092D">
        <w:rPr>
          <w:szCs w:val="26"/>
        </w:rPr>
        <w:t>underscoring omitted</w:t>
      </w:r>
      <w:r w:rsidRPr="00945FE6">
        <w:rPr>
          <w:szCs w:val="26"/>
        </w:rPr>
        <w:t>; see also Sen. Rules Com., Off</w:t>
      </w:r>
      <w:r w:rsidR="00487CFE">
        <w:rPr>
          <w:szCs w:val="26"/>
        </w:rPr>
        <w:t>.</w:t>
      </w:r>
      <w:r w:rsidRPr="00945FE6">
        <w:rPr>
          <w:szCs w:val="26"/>
        </w:rPr>
        <w:t xml:space="preserve"> of Sen. Floor Analyses, </w:t>
      </w:r>
      <w:r w:rsidR="00487CFE">
        <w:rPr>
          <w:szCs w:val="26"/>
        </w:rPr>
        <w:t>A</w:t>
      </w:r>
      <w:r w:rsidRPr="00945FE6">
        <w:rPr>
          <w:szCs w:val="26"/>
        </w:rPr>
        <w:t>nalysis of Assem. Bill No. 2465 (1991</w:t>
      </w:r>
      <w:r w:rsidRPr="00945FE6" w:rsidR="00E77C82">
        <w:rPr>
          <w:color w:val="3D3D3D"/>
          <w:szCs w:val="26"/>
          <w:shd w:val="clear" w:color="auto" w:fill="FFFFFF"/>
        </w:rPr>
        <w:t>–</w:t>
      </w:r>
      <w:r w:rsidRPr="00945FE6">
        <w:rPr>
          <w:szCs w:val="26"/>
        </w:rPr>
        <w:t xml:space="preserve">1992 </w:t>
      </w:r>
      <w:r w:rsidR="00487CFE">
        <w:rPr>
          <w:szCs w:val="26"/>
        </w:rPr>
        <w:t>R</w:t>
      </w:r>
      <w:r w:rsidRPr="00945FE6">
        <w:rPr>
          <w:szCs w:val="26"/>
        </w:rPr>
        <w:t xml:space="preserve">eg. </w:t>
      </w:r>
      <w:r w:rsidR="00487CFE">
        <w:rPr>
          <w:szCs w:val="26"/>
        </w:rPr>
        <w:t>S</w:t>
      </w:r>
      <w:r w:rsidRPr="00945FE6">
        <w:rPr>
          <w:szCs w:val="26"/>
        </w:rPr>
        <w:t xml:space="preserve">ess.) as amended June 1, 1992, p. 1; Sen. Com. on Judiciary, </w:t>
      </w:r>
      <w:r w:rsidR="00487CFE">
        <w:rPr>
          <w:szCs w:val="26"/>
        </w:rPr>
        <w:t>A</w:t>
      </w:r>
      <w:r w:rsidRPr="00945FE6">
        <w:rPr>
          <w:szCs w:val="26"/>
        </w:rPr>
        <w:t>nalysis of Assem. Bill No. 2465</w:t>
      </w:r>
      <w:r w:rsidRPr="00945FE6" w:rsidR="00B770A2">
        <w:rPr>
          <w:szCs w:val="26"/>
        </w:rPr>
        <w:t xml:space="preserve"> (1991</w:t>
      </w:r>
      <w:r w:rsidRPr="00945FE6" w:rsidR="00FD61F2">
        <w:rPr>
          <w:color w:val="3D3D3D"/>
          <w:szCs w:val="26"/>
          <w:shd w:val="clear" w:color="auto" w:fill="FFFFFF"/>
        </w:rPr>
        <w:t>–</w:t>
      </w:r>
      <w:r w:rsidRPr="00945FE6" w:rsidR="00B770A2">
        <w:rPr>
          <w:szCs w:val="26"/>
        </w:rPr>
        <w:t xml:space="preserve">1992 </w:t>
      </w:r>
      <w:r w:rsidR="00487CFE">
        <w:rPr>
          <w:szCs w:val="26"/>
        </w:rPr>
        <w:t>R</w:t>
      </w:r>
      <w:r w:rsidRPr="00945FE6" w:rsidR="00B770A2">
        <w:rPr>
          <w:szCs w:val="26"/>
        </w:rPr>
        <w:t xml:space="preserve">eg. </w:t>
      </w:r>
      <w:r w:rsidR="00487CFE">
        <w:rPr>
          <w:szCs w:val="26"/>
        </w:rPr>
        <w:t>S</w:t>
      </w:r>
      <w:r w:rsidRPr="00945FE6" w:rsidR="00B770A2">
        <w:rPr>
          <w:szCs w:val="26"/>
        </w:rPr>
        <w:t>ess.) as amended June</w:t>
      </w:r>
      <w:r w:rsidR="00C17F72">
        <w:rPr>
          <w:szCs w:val="26"/>
        </w:rPr>
        <w:t> </w:t>
      </w:r>
      <w:r w:rsidRPr="00945FE6" w:rsidR="00B770A2">
        <w:rPr>
          <w:szCs w:val="26"/>
        </w:rPr>
        <w:t>1, 1992</w:t>
      </w:r>
      <w:r w:rsidRPr="00945FE6" w:rsidR="00C76EA9">
        <w:rPr>
          <w:szCs w:val="26"/>
        </w:rPr>
        <w:t>,</w:t>
      </w:r>
      <w:r w:rsidRPr="00945FE6">
        <w:rPr>
          <w:szCs w:val="26"/>
        </w:rPr>
        <w:t xml:space="preserve"> </w:t>
      </w:r>
      <w:r w:rsidRPr="00945FE6" w:rsidR="00B3363E">
        <w:rPr>
          <w:szCs w:val="26"/>
        </w:rPr>
        <w:t>p</w:t>
      </w:r>
      <w:r w:rsidRPr="00945FE6">
        <w:rPr>
          <w:szCs w:val="26"/>
        </w:rPr>
        <w:t xml:space="preserve">p. 2, 3.)  </w:t>
      </w:r>
      <w:r w:rsidRPr="00945FE6" w:rsidR="009D4237">
        <w:t>Th</w:t>
      </w:r>
      <w:r w:rsidRPr="00945FE6" w:rsidR="00B3363E">
        <w:t xml:space="preserve">ese concerns </w:t>
      </w:r>
      <w:r w:rsidRPr="00945FE6" w:rsidR="009D4237">
        <w:t xml:space="preserve">apparently </w:t>
      </w:r>
      <w:r w:rsidRPr="00945FE6" w:rsidR="00B3363E">
        <w:t xml:space="preserve">owed to a sense that communications involving cellular or cordless telephones might represent “radio” communications that section 632 expressly excludes from its purview, or that these communications could not be regarded as “confidential” under section 632 because they could be overheard by </w:t>
      </w:r>
      <w:r w:rsidRPr="00945FE6" w:rsidR="001E02CE">
        <w:t>eavesdroppers</w:t>
      </w:r>
      <w:r w:rsidRPr="00945FE6" w:rsidR="00B3363E">
        <w:t xml:space="preserve"> using a radio scanner.  (Sen. Com. on Judiciary, </w:t>
      </w:r>
      <w:r w:rsidR="00487CFE">
        <w:t>A</w:t>
      </w:r>
      <w:r w:rsidRPr="00945FE6" w:rsidR="00B3363E">
        <w:t>nalysis of Assem. Bill No. 2465, at p.</w:t>
      </w:r>
      <w:r w:rsidR="00C17F72">
        <w:t> </w:t>
      </w:r>
      <w:r w:rsidRPr="00945FE6" w:rsidR="00B3363E">
        <w:t xml:space="preserve">3; Ops. Cal. Legis. Counsel, No. 27958 (Dec. 17, 1991) Invasion of Privacy, pp. 2, </w:t>
      </w:r>
      <w:r w:rsidRPr="00945FE6" w:rsidR="00731FE3">
        <w:t>5–6</w:t>
      </w:r>
      <w:r w:rsidRPr="00945FE6" w:rsidR="0056071A">
        <w:t>.</w:t>
      </w:r>
      <w:r w:rsidRPr="00945FE6" w:rsidR="00B3363E">
        <w:t>)</w:t>
      </w:r>
      <w:r>
        <w:rPr>
          <w:rStyle w:val="FootnoteReference"/>
        </w:rPr>
        <w:footnoteReference w:id="11"/>
      </w:r>
      <w:r w:rsidRPr="00945FE6" w:rsidR="00B3363E">
        <w:t xml:space="preserve">  </w:t>
      </w:r>
    </w:p>
    <w:p w:rsidR="000924EC" w:rsidRPr="00945FE6" w:rsidP="00945FE6" w14:paraId="52421ED5" w14:textId="4E96DF58">
      <w:pPr>
        <w:tabs>
          <w:tab w:val="left" w:pos="1440"/>
        </w:tabs>
        <w:ind w:firstLine="720"/>
        <w:rPr>
          <w:szCs w:val="26"/>
        </w:rPr>
      </w:pPr>
      <w:r w:rsidRPr="00945FE6">
        <w:rPr>
          <w:szCs w:val="26"/>
        </w:rPr>
        <w:t xml:space="preserve">Providing </w:t>
      </w:r>
      <w:r w:rsidRPr="00945FE6" w:rsidR="006D0EBC">
        <w:rPr>
          <w:szCs w:val="26"/>
        </w:rPr>
        <w:t>additional</w:t>
      </w:r>
      <w:r w:rsidRPr="00945FE6" w:rsidR="00B45396">
        <w:rPr>
          <w:szCs w:val="26"/>
        </w:rPr>
        <w:t xml:space="preserve"> context, a</w:t>
      </w:r>
      <w:r w:rsidRPr="00945FE6" w:rsidR="003238F7">
        <w:rPr>
          <w:szCs w:val="26"/>
        </w:rPr>
        <w:t>nother</w:t>
      </w:r>
      <w:r w:rsidRPr="00945FE6" w:rsidR="00B45396">
        <w:rPr>
          <w:szCs w:val="26"/>
        </w:rPr>
        <w:t xml:space="preserve"> committee analysis</w:t>
      </w:r>
      <w:r w:rsidRPr="00945FE6" w:rsidR="00A62406">
        <w:rPr>
          <w:szCs w:val="26"/>
        </w:rPr>
        <w:t xml:space="preserve"> of A</w:t>
      </w:r>
      <w:r w:rsidR="00295234">
        <w:rPr>
          <w:szCs w:val="26"/>
        </w:rPr>
        <w:t xml:space="preserve">ssembly </w:t>
      </w:r>
      <w:r w:rsidRPr="00945FE6" w:rsidR="00A62406">
        <w:rPr>
          <w:szCs w:val="26"/>
        </w:rPr>
        <w:t>B</w:t>
      </w:r>
      <w:r w:rsidR="00295234">
        <w:rPr>
          <w:szCs w:val="26"/>
        </w:rPr>
        <w:t>ill</w:t>
      </w:r>
      <w:r w:rsidRPr="00945FE6" w:rsidR="00A62406">
        <w:rPr>
          <w:szCs w:val="26"/>
        </w:rPr>
        <w:t xml:space="preserve"> 2465</w:t>
      </w:r>
      <w:r w:rsidRPr="00945FE6" w:rsidR="00B45396">
        <w:rPr>
          <w:szCs w:val="26"/>
        </w:rPr>
        <w:t xml:space="preserve"> described the </w:t>
      </w:r>
      <w:r w:rsidRPr="00945FE6" w:rsidR="00A62406">
        <w:rPr>
          <w:szCs w:val="26"/>
        </w:rPr>
        <w:t>rationale</w:t>
      </w:r>
      <w:r w:rsidRPr="00945FE6" w:rsidR="00B45396">
        <w:rPr>
          <w:szCs w:val="26"/>
        </w:rPr>
        <w:t xml:space="preserve"> </w:t>
      </w:r>
      <w:r w:rsidRPr="00945FE6" w:rsidR="003238F7">
        <w:rPr>
          <w:szCs w:val="26"/>
        </w:rPr>
        <w:t>behind</w:t>
      </w:r>
      <w:r w:rsidRPr="00945FE6" w:rsidR="00B45396">
        <w:rPr>
          <w:szCs w:val="26"/>
        </w:rPr>
        <w:t xml:space="preserve"> section 632.7 as follows</w:t>
      </w:r>
      <w:r w:rsidRPr="00945FE6" w:rsidR="00A62406">
        <w:rPr>
          <w:szCs w:val="26"/>
        </w:rPr>
        <w:t xml:space="preserve">: </w:t>
      </w:r>
      <w:r w:rsidRPr="00945FE6">
        <w:rPr>
          <w:szCs w:val="26"/>
        </w:rPr>
        <w:t xml:space="preserve"> “According to the author, </w:t>
      </w:r>
      <w:r w:rsidRPr="00945FE6" w:rsidR="00FF6B83">
        <w:rPr>
          <w:szCs w:val="26"/>
        </w:rPr>
        <w:t>[¶]</w:t>
      </w:r>
      <w:r w:rsidR="00FF6B83">
        <w:rPr>
          <w:szCs w:val="26"/>
        </w:rPr>
        <w:t xml:space="preserve"> </w:t>
      </w:r>
      <w:r w:rsidRPr="00945FE6">
        <w:rPr>
          <w:szCs w:val="26"/>
        </w:rPr>
        <w:t xml:space="preserve">[t]he primary intent of this measure is to provide a greater degree of privacy and security to persons who use cellular or cordless telephones.  Specifically, AB 2465 prohibits persons from recording conversations transmitted between cellular </w:t>
      </w:r>
      <w:r w:rsidR="007934E2">
        <w:rPr>
          <w:szCs w:val="26"/>
        </w:rPr>
        <w:t>or</w:t>
      </w:r>
      <w:r w:rsidRPr="00945FE6" w:rsidR="007934E2">
        <w:rPr>
          <w:szCs w:val="26"/>
        </w:rPr>
        <w:t xml:space="preserve"> </w:t>
      </w:r>
      <w:r w:rsidRPr="00945FE6">
        <w:rPr>
          <w:szCs w:val="26"/>
        </w:rPr>
        <w:t xml:space="preserve">cordless </w:t>
      </w:r>
      <w:r w:rsidR="007934E2">
        <w:rPr>
          <w:szCs w:val="26"/>
        </w:rPr>
        <w:t>tele</w:t>
      </w:r>
      <w:r w:rsidRPr="00945FE6">
        <w:rPr>
          <w:szCs w:val="26"/>
        </w:rPr>
        <w:t xml:space="preserve">phones.  </w:t>
      </w:r>
      <w:r w:rsidRPr="00945FE6" w:rsidR="00E70737">
        <w:rPr>
          <w:szCs w:val="26"/>
        </w:rPr>
        <w:t xml:space="preserve">[¶]  </w:t>
      </w:r>
      <w:r w:rsidRPr="00945FE6">
        <w:rPr>
          <w:szCs w:val="26"/>
        </w:rPr>
        <w:t xml:space="preserve">Under current law, it is only illegal to ‘maliciously’ intercept a conversation transmitted between the above-identified telephones.  There is no prohibition against recording a conversation transmitted between cellular or cordless telephones.  </w:t>
      </w:r>
      <w:r w:rsidRPr="00945FE6" w:rsidR="00E70737">
        <w:rPr>
          <w:szCs w:val="26"/>
        </w:rPr>
        <w:t xml:space="preserve">[¶]  </w:t>
      </w:r>
      <w:r w:rsidRPr="00945FE6">
        <w:rPr>
          <w:szCs w:val="26"/>
        </w:rPr>
        <w:t xml:space="preserve">By comparison, it is currently illegal to ‘intentionally’ intercept or record a conversation transmitted between landline, or traditional, telephones.  </w:t>
      </w:r>
      <w:r w:rsidRPr="00945FE6" w:rsidR="007934E2">
        <w:rPr>
          <w:szCs w:val="26"/>
        </w:rPr>
        <w:t>[¶]</w:t>
      </w:r>
      <w:r w:rsidR="007934E2">
        <w:rPr>
          <w:szCs w:val="26"/>
        </w:rPr>
        <w:t xml:space="preserve">  </w:t>
      </w:r>
      <w:r w:rsidRPr="00945FE6">
        <w:rPr>
          <w:szCs w:val="26"/>
        </w:rPr>
        <w:t>AB 2465 recognizes the distinction between traditional, landline telephones and inherently, less secure (or more public) non-traditional cellular and cordless telephones.  Most simply, landline telephones employ ‘close</w:t>
      </w:r>
      <w:r w:rsidR="00D4245A">
        <w:rPr>
          <w:szCs w:val="26"/>
        </w:rPr>
        <w:t>d</w:t>
      </w:r>
      <w:r w:rsidRPr="00945FE6">
        <w:rPr>
          <w:szCs w:val="26"/>
        </w:rPr>
        <w:t xml:space="preserve">’ wire-to-wire systems, whereas cellular and cordless telephones employ radio waves.  Generally, there is a greater expectation of privacy with regard to the former technology than the latter technology.  </w:t>
      </w:r>
      <w:r w:rsidRPr="00945FE6" w:rsidR="00E70737">
        <w:rPr>
          <w:szCs w:val="26"/>
        </w:rPr>
        <w:t xml:space="preserve">[¶]  </w:t>
      </w:r>
      <w:r w:rsidRPr="00945FE6">
        <w:rPr>
          <w:szCs w:val="26"/>
        </w:rPr>
        <w:t>However, this does not mean that persons who use cellular or cordless telephones may reasonably anticipate that their conversations will be both intercepted and recorded.  While there may be utility in retaining relatively unimpeded access to the public ‘air waves,’ there is no value in permitting private telephone conversations that employ the ‘air waves’ to be indiscriminately record</w:t>
      </w:r>
      <w:r w:rsidR="00D4245A">
        <w:rPr>
          <w:szCs w:val="26"/>
        </w:rPr>
        <w:t>[</w:t>
      </w:r>
      <w:r w:rsidRPr="00945FE6">
        <w:rPr>
          <w:szCs w:val="26"/>
        </w:rPr>
        <w:t>ed</w:t>
      </w:r>
      <w:r w:rsidRPr="00945FE6" w:rsidR="00E70737">
        <w:rPr>
          <w:szCs w:val="26"/>
        </w:rPr>
        <w:t>]</w:t>
      </w:r>
      <w:r w:rsidRPr="00945FE6">
        <w:rPr>
          <w:szCs w:val="26"/>
        </w:rPr>
        <w:t xml:space="preserve">.  </w:t>
      </w:r>
      <w:r w:rsidRPr="00945FE6" w:rsidR="00E70737">
        <w:rPr>
          <w:szCs w:val="26"/>
        </w:rPr>
        <w:t xml:space="preserve">[¶]  </w:t>
      </w:r>
      <w:r w:rsidRPr="00945FE6">
        <w:rPr>
          <w:szCs w:val="26"/>
        </w:rPr>
        <w:t xml:space="preserve">AB 2465 strikes the appropriate balance.  The innocent, merely curious, or non-malicious interception of cellular or cordless telephone </w:t>
      </w:r>
      <w:r w:rsidRPr="00945FE6">
        <w:rPr>
          <w:color w:val="000000" w:themeColor="text1"/>
          <w:szCs w:val="26"/>
        </w:rPr>
        <w:t xml:space="preserve">conversation </w:t>
      </w:r>
      <w:r w:rsidRPr="00945FE6">
        <w:rPr>
          <w:szCs w:val="26"/>
        </w:rPr>
        <w:t xml:space="preserve">will remain legal.  However, it will be illegal to record the same conversations.  Henceforth, persons using cellular or cordless telephones may do so knowing that their conversations are not being recorded.”  (Sen. Com. on Judiciary, </w:t>
      </w:r>
      <w:r w:rsidR="003F1724">
        <w:rPr>
          <w:szCs w:val="26"/>
        </w:rPr>
        <w:t>A</w:t>
      </w:r>
      <w:r w:rsidRPr="00945FE6">
        <w:rPr>
          <w:szCs w:val="26"/>
        </w:rPr>
        <w:t>nalysis of Assem. Bill No. 246</w:t>
      </w:r>
      <w:r w:rsidRPr="00945FE6" w:rsidR="00B45396">
        <w:rPr>
          <w:szCs w:val="26"/>
        </w:rPr>
        <w:t>5</w:t>
      </w:r>
      <w:r w:rsidRPr="00945FE6">
        <w:rPr>
          <w:szCs w:val="26"/>
        </w:rPr>
        <w:t xml:space="preserve">, </w:t>
      </w:r>
      <w:r w:rsidRPr="00945FE6">
        <w:rPr>
          <w:i/>
          <w:iCs/>
          <w:szCs w:val="26"/>
        </w:rPr>
        <w:t>supra</w:t>
      </w:r>
      <w:r w:rsidRPr="00945FE6">
        <w:rPr>
          <w:szCs w:val="26"/>
        </w:rPr>
        <w:t xml:space="preserve">, </w:t>
      </w:r>
      <w:r w:rsidRPr="00945FE6" w:rsidR="003238F7">
        <w:rPr>
          <w:szCs w:val="26"/>
        </w:rPr>
        <w:t xml:space="preserve">at </w:t>
      </w:r>
      <w:r w:rsidRPr="00945FE6">
        <w:rPr>
          <w:szCs w:val="26"/>
        </w:rPr>
        <w:t>pp. 3</w:t>
      </w:r>
      <w:r w:rsidRPr="00945FE6" w:rsidR="00E77C82">
        <w:rPr>
          <w:color w:val="3D3D3D"/>
          <w:szCs w:val="26"/>
          <w:shd w:val="clear" w:color="auto" w:fill="FFFFFF"/>
        </w:rPr>
        <w:t>–</w:t>
      </w:r>
      <w:r w:rsidRPr="00945FE6">
        <w:rPr>
          <w:szCs w:val="26"/>
        </w:rPr>
        <w:t>4</w:t>
      </w:r>
      <w:r w:rsidR="001C4FEF">
        <w:rPr>
          <w:szCs w:val="26"/>
        </w:rPr>
        <w:t xml:space="preserve">, </w:t>
      </w:r>
      <w:r w:rsidRPr="00945FE6" w:rsidR="00825043">
        <w:rPr>
          <w:szCs w:val="26"/>
        </w:rPr>
        <w:t>underscoring omitted</w:t>
      </w:r>
      <w:r w:rsidRPr="00945FE6" w:rsidR="004A0C68">
        <w:rPr>
          <w:szCs w:val="26"/>
        </w:rPr>
        <w:t xml:space="preserve">; see also </w:t>
      </w:r>
      <w:r w:rsidR="003F1724">
        <w:rPr>
          <w:szCs w:val="26"/>
        </w:rPr>
        <w:t xml:space="preserve">Assem. </w:t>
      </w:r>
      <w:r w:rsidRPr="00945FE6" w:rsidR="000C54DE">
        <w:rPr>
          <w:szCs w:val="26"/>
        </w:rPr>
        <w:t>Conc</w:t>
      </w:r>
      <w:r w:rsidR="003F1724">
        <w:rPr>
          <w:szCs w:val="26"/>
        </w:rPr>
        <w:t>.</w:t>
      </w:r>
      <w:r w:rsidRPr="00945FE6" w:rsidR="000C54DE">
        <w:rPr>
          <w:szCs w:val="26"/>
        </w:rPr>
        <w:t xml:space="preserve"> Sen</w:t>
      </w:r>
      <w:r w:rsidR="003F1724">
        <w:rPr>
          <w:szCs w:val="26"/>
        </w:rPr>
        <w:t>.</w:t>
      </w:r>
      <w:r w:rsidRPr="00945FE6" w:rsidR="000C54DE">
        <w:rPr>
          <w:szCs w:val="26"/>
        </w:rPr>
        <w:t xml:space="preserve"> Amend</w:t>
      </w:r>
      <w:r w:rsidR="003F1724">
        <w:rPr>
          <w:szCs w:val="26"/>
        </w:rPr>
        <w:t>s.</w:t>
      </w:r>
      <w:r w:rsidRPr="00945FE6" w:rsidR="000C54DE">
        <w:rPr>
          <w:szCs w:val="26"/>
        </w:rPr>
        <w:t xml:space="preserve"> </w:t>
      </w:r>
      <w:r w:rsidR="003F1724">
        <w:rPr>
          <w:szCs w:val="26"/>
        </w:rPr>
        <w:t xml:space="preserve">to </w:t>
      </w:r>
      <w:r w:rsidRPr="00945FE6" w:rsidR="000C54DE">
        <w:rPr>
          <w:szCs w:val="26"/>
        </w:rPr>
        <w:t>Assem. Bill No.</w:t>
      </w:r>
      <w:r w:rsidR="00C17F72">
        <w:rPr>
          <w:szCs w:val="26"/>
        </w:rPr>
        <w:t> </w:t>
      </w:r>
      <w:r w:rsidRPr="00945FE6" w:rsidR="000C54DE">
        <w:rPr>
          <w:szCs w:val="26"/>
        </w:rPr>
        <w:t>2465 (1991</w:t>
      </w:r>
      <w:r w:rsidR="00C804FA">
        <w:rPr>
          <w:szCs w:val="26"/>
        </w:rPr>
        <w:t>–</w:t>
      </w:r>
      <w:r w:rsidRPr="00945FE6" w:rsidR="000C54DE">
        <w:rPr>
          <w:szCs w:val="26"/>
        </w:rPr>
        <w:t xml:space="preserve">1992 </w:t>
      </w:r>
      <w:r w:rsidR="003F1724">
        <w:rPr>
          <w:szCs w:val="26"/>
        </w:rPr>
        <w:t>R</w:t>
      </w:r>
      <w:r w:rsidRPr="00945FE6" w:rsidR="000C54DE">
        <w:rPr>
          <w:szCs w:val="26"/>
        </w:rPr>
        <w:t xml:space="preserve">eg. </w:t>
      </w:r>
      <w:r w:rsidR="003F1724">
        <w:rPr>
          <w:szCs w:val="26"/>
        </w:rPr>
        <w:t>S</w:t>
      </w:r>
      <w:r w:rsidRPr="00945FE6" w:rsidR="000C54DE">
        <w:rPr>
          <w:szCs w:val="26"/>
        </w:rPr>
        <w:t xml:space="preserve">ess.) as amended June 1, 1992, p. 1 [also quoting the author’s statement that the bill “prohibits persons from recording conversations transmitted between cellular or cordless phones”]; </w:t>
      </w:r>
      <w:r w:rsidRPr="00945FE6" w:rsidR="004A0C68">
        <w:rPr>
          <w:szCs w:val="26"/>
        </w:rPr>
        <w:t xml:space="preserve">Assem. Com. on Pub. Safety, </w:t>
      </w:r>
      <w:r w:rsidR="003F1724">
        <w:rPr>
          <w:szCs w:val="26"/>
        </w:rPr>
        <w:t>A</w:t>
      </w:r>
      <w:r w:rsidRPr="00945FE6" w:rsidR="004A0C68">
        <w:rPr>
          <w:szCs w:val="26"/>
        </w:rPr>
        <w:t xml:space="preserve">nalysis of Assem. Bill No. 2465, </w:t>
      </w:r>
      <w:r w:rsidRPr="00945FE6" w:rsidR="004A0C68">
        <w:rPr>
          <w:i/>
          <w:iCs/>
          <w:szCs w:val="26"/>
        </w:rPr>
        <w:t>supra</w:t>
      </w:r>
      <w:r w:rsidRPr="00945FE6" w:rsidR="004A0C68">
        <w:rPr>
          <w:szCs w:val="26"/>
        </w:rPr>
        <w:t>, p. 1 [</w:t>
      </w:r>
      <w:r w:rsidRPr="00945FE6" w:rsidR="000C54DE">
        <w:rPr>
          <w:szCs w:val="26"/>
        </w:rPr>
        <w:t>similarly quoting the author’s statement of intent</w:t>
      </w:r>
      <w:r w:rsidRPr="00945FE6" w:rsidR="00284707">
        <w:rPr>
          <w:szCs w:val="26"/>
        </w:rPr>
        <w:t>].</w:t>
      </w:r>
      <w:r w:rsidRPr="00945FE6">
        <w:rPr>
          <w:szCs w:val="26"/>
        </w:rPr>
        <w:t>)</w:t>
      </w:r>
    </w:p>
    <w:p w:rsidR="004C24CC" w:rsidP="00945FE6" w14:paraId="49CFECD7" w14:textId="632B2C16">
      <w:pPr>
        <w:tabs>
          <w:tab w:val="left" w:pos="1440"/>
        </w:tabs>
        <w:ind w:firstLine="720"/>
        <w:rPr>
          <w:szCs w:val="26"/>
        </w:rPr>
      </w:pPr>
      <w:r w:rsidRPr="00945FE6">
        <w:rPr>
          <w:szCs w:val="26"/>
        </w:rPr>
        <w:t>These descriptions of existing law</w:t>
      </w:r>
      <w:r w:rsidRPr="00945FE6" w:rsidR="000674B8">
        <w:rPr>
          <w:szCs w:val="26"/>
        </w:rPr>
        <w:t xml:space="preserve">, </w:t>
      </w:r>
      <w:r w:rsidRPr="00945FE6">
        <w:rPr>
          <w:szCs w:val="26"/>
        </w:rPr>
        <w:t xml:space="preserve">and </w:t>
      </w:r>
      <w:r w:rsidRPr="00945FE6" w:rsidR="00E65F62">
        <w:rPr>
          <w:szCs w:val="26"/>
        </w:rPr>
        <w:t xml:space="preserve">of </w:t>
      </w:r>
      <w:r w:rsidRPr="00945FE6">
        <w:rPr>
          <w:szCs w:val="26"/>
        </w:rPr>
        <w:t>what A</w:t>
      </w:r>
      <w:r w:rsidR="003F1724">
        <w:rPr>
          <w:szCs w:val="26"/>
        </w:rPr>
        <w:t xml:space="preserve">ssembly </w:t>
      </w:r>
      <w:r w:rsidRPr="00945FE6">
        <w:rPr>
          <w:szCs w:val="26"/>
        </w:rPr>
        <w:t>B</w:t>
      </w:r>
      <w:r w:rsidR="003F1724">
        <w:rPr>
          <w:szCs w:val="26"/>
        </w:rPr>
        <w:t>ill</w:t>
      </w:r>
      <w:r w:rsidRPr="00945FE6">
        <w:rPr>
          <w:szCs w:val="26"/>
        </w:rPr>
        <w:t xml:space="preserve"> 2465 would accomplish</w:t>
      </w:r>
      <w:r w:rsidRPr="00945FE6" w:rsidR="000674B8">
        <w:rPr>
          <w:szCs w:val="26"/>
        </w:rPr>
        <w:t>,</w:t>
      </w:r>
      <w:r w:rsidRPr="00945FE6">
        <w:rPr>
          <w:szCs w:val="26"/>
        </w:rPr>
        <w:t xml:space="preserve"> </w:t>
      </w:r>
      <w:r w:rsidR="00B57609">
        <w:rPr>
          <w:szCs w:val="26"/>
        </w:rPr>
        <w:t>fairly convey that t</w:t>
      </w:r>
      <w:r w:rsidRPr="00945FE6" w:rsidR="008B5CF5">
        <w:rPr>
          <w:szCs w:val="26"/>
        </w:rPr>
        <w:t>he</w:t>
      </w:r>
      <w:r w:rsidRPr="00945FE6">
        <w:rPr>
          <w:szCs w:val="26"/>
        </w:rPr>
        <w:t xml:space="preserve"> </w:t>
      </w:r>
      <w:r w:rsidRPr="00945FE6" w:rsidR="00B3363E">
        <w:rPr>
          <w:szCs w:val="26"/>
        </w:rPr>
        <w:t xml:space="preserve">enacting </w:t>
      </w:r>
      <w:r w:rsidRPr="00945FE6">
        <w:rPr>
          <w:szCs w:val="26"/>
        </w:rPr>
        <w:t xml:space="preserve">Legislature </w:t>
      </w:r>
      <w:r w:rsidR="00967F87">
        <w:rPr>
          <w:szCs w:val="26"/>
        </w:rPr>
        <w:t>viewed</w:t>
      </w:r>
      <w:r w:rsidRPr="00945FE6">
        <w:rPr>
          <w:szCs w:val="26"/>
        </w:rPr>
        <w:t xml:space="preserve"> section 632.7 as plugging a</w:t>
      </w:r>
      <w:r w:rsidR="00967F87">
        <w:rPr>
          <w:szCs w:val="26"/>
        </w:rPr>
        <w:t xml:space="preserve"> perceived</w:t>
      </w:r>
      <w:r w:rsidRPr="00945FE6">
        <w:rPr>
          <w:szCs w:val="26"/>
        </w:rPr>
        <w:t xml:space="preserve"> hole in the </w:t>
      </w:r>
      <w:r w:rsidRPr="00945FE6" w:rsidR="00652A3B">
        <w:rPr>
          <w:szCs w:val="26"/>
        </w:rPr>
        <w:t xml:space="preserve">statutory </w:t>
      </w:r>
      <w:r w:rsidRPr="00945FE6">
        <w:rPr>
          <w:szCs w:val="26"/>
        </w:rPr>
        <w:t>scheme that</w:t>
      </w:r>
      <w:r w:rsidR="00967F87">
        <w:rPr>
          <w:szCs w:val="26"/>
        </w:rPr>
        <w:t xml:space="preserve"> </w:t>
      </w:r>
      <w:r w:rsidRPr="00945FE6">
        <w:rPr>
          <w:szCs w:val="26"/>
        </w:rPr>
        <w:t xml:space="preserve">left </w:t>
      </w:r>
      <w:r w:rsidRPr="00945FE6" w:rsidR="00652A3B">
        <w:rPr>
          <w:szCs w:val="26"/>
        </w:rPr>
        <w:t>communications involving cordless and cellular telephones</w:t>
      </w:r>
      <w:r w:rsidRPr="00945FE6">
        <w:rPr>
          <w:szCs w:val="26"/>
        </w:rPr>
        <w:t xml:space="preserve"> unprotected from recording</w:t>
      </w:r>
      <w:r w:rsidR="00D66061">
        <w:rPr>
          <w:szCs w:val="26"/>
        </w:rPr>
        <w:t xml:space="preserve">. </w:t>
      </w:r>
      <w:r w:rsidR="00314F48">
        <w:rPr>
          <w:szCs w:val="26"/>
        </w:rPr>
        <w:t xml:space="preserve"> The apparent intent was not </w:t>
      </w:r>
      <w:r w:rsidR="00312D69">
        <w:rPr>
          <w:szCs w:val="26"/>
        </w:rPr>
        <w:t>limited</w:t>
      </w:r>
      <w:r w:rsidR="00314F48">
        <w:rPr>
          <w:szCs w:val="26"/>
        </w:rPr>
        <w:t xml:space="preserve"> to protect</w:t>
      </w:r>
      <w:r w:rsidR="00312D69">
        <w:rPr>
          <w:szCs w:val="26"/>
        </w:rPr>
        <w:t>ing</w:t>
      </w:r>
      <w:r w:rsidR="00314F48">
        <w:rPr>
          <w:szCs w:val="26"/>
        </w:rPr>
        <w:t xml:space="preserve"> </w:t>
      </w:r>
      <w:r w:rsidR="008652F4">
        <w:rPr>
          <w:szCs w:val="26"/>
        </w:rPr>
        <w:t xml:space="preserve">covered </w:t>
      </w:r>
      <w:r w:rsidR="00314F48">
        <w:rPr>
          <w:szCs w:val="26"/>
        </w:rPr>
        <w:t xml:space="preserve">communications from </w:t>
      </w:r>
      <w:r w:rsidR="008652F4">
        <w:rPr>
          <w:szCs w:val="26"/>
        </w:rPr>
        <w:t>interlopers</w:t>
      </w:r>
      <w:r w:rsidR="00314F48">
        <w:rPr>
          <w:szCs w:val="26"/>
        </w:rPr>
        <w:t xml:space="preserve"> </w:t>
      </w:r>
      <w:r w:rsidR="008652F4">
        <w:rPr>
          <w:szCs w:val="26"/>
        </w:rPr>
        <w:t>acting without malice</w:t>
      </w:r>
      <w:r w:rsidR="00314F48">
        <w:rPr>
          <w:szCs w:val="26"/>
        </w:rPr>
        <w:t xml:space="preserve"> (</w:t>
      </w:r>
      <w:r w:rsidR="008652F4">
        <w:rPr>
          <w:szCs w:val="26"/>
        </w:rPr>
        <w:t xml:space="preserve">the </w:t>
      </w:r>
      <w:r w:rsidR="00314F48">
        <w:rPr>
          <w:szCs w:val="26"/>
        </w:rPr>
        <w:t>malicious interception</w:t>
      </w:r>
      <w:r w:rsidR="008652F4">
        <w:rPr>
          <w:szCs w:val="26"/>
        </w:rPr>
        <w:t xml:space="preserve"> or receipt</w:t>
      </w:r>
      <w:r w:rsidR="00314F48">
        <w:rPr>
          <w:szCs w:val="26"/>
        </w:rPr>
        <w:t xml:space="preserve"> </w:t>
      </w:r>
      <w:r w:rsidR="008652F4">
        <w:rPr>
          <w:szCs w:val="26"/>
        </w:rPr>
        <w:t xml:space="preserve">of a communication </w:t>
      </w:r>
      <w:r w:rsidR="00314F48">
        <w:rPr>
          <w:szCs w:val="26"/>
        </w:rPr>
        <w:t>already</w:t>
      </w:r>
      <w:r w:rsidR="008652F4">
        <w:rPr>
          <w:szCs w:val="26"/>
        </w:rPr>
        <w:t xml:space="preserve"> being</w:t>
      </w:r>
      <w:r w:rsidR="00314F48">
        <w:rPr>
          <w:szCs w:val="26"/>
        </w:rPr>
        <w:t xml:space="preserve"> covered by sections 632.5 and 632.6)</w:t>
      </w:r>
      <w:r w:rsidR="006E2E93">
        <w:rPr>
          <w:szCs w:val="26"/>
        </w:rPr>
        <w:t>.  The Legislature’s aim was</w:t>
      </w:r>
      <w:r w:rsidR="00314F48">
        <w:rPr>
          <w:szCs w:val="26"/>
        </w:rPr>
        <w:t xml:space="preserve"> instead to more generally protect communications involving a cordless or cellular phone from intentional recordation without </w:t>
      </w:r>
      <w:r w:rsidR="008652F4">
        <w:rPr>
          <w:szCs w:val="26"/>
        </w:rPr>
        <w:t>the parties’</w:t>
      </w:r>
      <w:r w:rsidR="00314F48">
        <w:rPr>
          <w:szCs w:val="26"/>
        </w:rPr>
        <w:t xml:space="preserve"> consent</w:t>
      </w:r>
      <w:r w:rsidR="00312D69">
        <w:rPr>
          <w:szCs w:val="26"/>
        </w:rPr>
        <w:t xml:space="preserve"> —</w:t>
      </w:r>
      <w:r w:rsidR="006E2E93">
        <w:rPr>
          <w:szCs w:val="26"/>
        </w:rPr>
        <w:t xml:space="preserve"> and by doing so</w:t>
      </w:r>
      <w:r w:rsidR="00312D69">
        <w:rPr>
          <w:szCs w:val="26"/>
        </w:rPr>
        <w:t>,</w:t>
      </w:r>
      <w:r w:rsidR="006E2E93">
        <w:rPr>
          <w:szCs w:val="26"/>
        </w:rPr>
        <w:t xml:space="preserve"> better align the array of protections accorded to calls involving cellular or cordless phones with the safeguards applicable to calls </w:t>
      </w:r>
      <w:r w:rsidR="00312D69">
        <w:rPr>
          <w:szCs w:val="26"/>
        </w:rPr>
        <w:t>involving</w:t>
      </w:r>
      <w:r w:rsidR="006E2E93">
        <w:rPr>
          <w:szCs w:val="26"/>
        </w:rPr>
        <w:t xml:space="preserve"> only landlines</w:t>
      </w:r>
      <w:r w:rsidR="00314F48">
        <w:rPr>
          <w:szCs w:val="26"/>
        </w:rPr>
        <w:t xml:space="preserve">.  </w:t>
      </w:r>
    </w:p>
    <w:p w:rsidR="0047111F" w:rsidRPr="00945FE6" w:rsidP="004C24CC" w14:paraId="4BBA81CC" w14:textId="4B429986">
      <w:pPr>
        <w:tabs>
          <w:tab w:val="left" w:pos="1440"/>
        </w:tabs>
        <w:ind w:firstLine="720"/>
        <w:rPr>
          <w:szCs w:val="26"/>
        </w:rPr>
      </w:pPr>
      <w:r>
        <w:rPr>
          <w:szCs w:val="26"/>
        </w:rPr>
        <w:t>This intent</w:t>
      </w:r>
      <w:r w:rsidR="004C24CC">
        <w:rPr>
          <w:szCs w:val="26"/>
        </w:rPr>
        <w:t xml:space="preserve"> </w:t>
      </w:r>
      <w:r w:rsidRPr="00945FE6" w:rsidR="000674B8">
        <w:rPr>
          <w:szCs w:val="26"/>
        </w:rPr>
        <w:t xml:space="preserve">would </w:t>
      </w:r>
      <w:r w:rsidR="004C24CC">
        <w:rPr>
          <w:szCs w:val="26"/>
        </w:rPr>
        <w:t xml:space="preserve">not be vindicated </w:t>
      </w:r>
      <w:r w:rsidRPr="00945FE6">
        <w:rPr>
          <w:szCs w:val="26"/>
        </w:rPr>
        <w:t xml:space="preserve">by an interpretation of section 632.7 </w:t>
      </w:r>
      <w:r w:rsidR="004C24CC">
        <w:rPr>
          <w:szCs w:val="26"/>
        </w:rPr>
        <w:t>as applicable only to recording by nonparties</w:t>
      </w:r>
      <w:r w:rsidR="005C1DA1">
        <w:rPr>
          <w:szCs w:val="26"/>
        </w:rPr>
        <w:t>.</w:t>
      </w:r>
      <w:r w:rsidR="004C24CC">
        <w:rPr>
          <w:szCs w:val="26"/>
        </w:rPr>
        <w:t xml:space="preserve"> </w:t>
      </w:r>
      <w:r w:rsidR="005C1DA1">
        <w:rPr>
          <w:szCs w:val="26"/>
        </w:rPr>
        <w:t xml:space="preserve"> Were the section so construed, </w:t>
      </w:r>
      <w:r w:rsidR="004C24CC">
        <w:rPr>
          <w:szCs w:val="26"/>
        </w:rPr>
        <w:t xml:space="preserve">parties </w:t>
      </w:r>
      <w:r w:rsidR="005C1DA1">
        <w:rPr>
          <w:szCs w:val="26"/>
        </w:rPr>
        <w:t xml:space="preserve">to a communication </w:t>
      </w:r>
      <w:r w:rsidR="001402B4">
        <w:rPr>
          <w:szCs w:val="26"/>
        </w:rPr>
        <w:t>transmitted between</w:t>
      </w:r>
      <w:r w:rsidR="005C1DA1">
        <w:rPr>
          <w:szCs w:val="26"/>
        </w:rPr>
        <w:t xml:space="preserve"> a cellular or cordless phone</w:t>
      </w:r>
      <w:r w:rsidR="001402B4">
        <w:rPr>
          <w:szCs w:val="26"/>
        </w:rPr>
        <w:t xml:space="preserve"> and another device</w:t>
      </w:r>
      <w:r w:rsidR="005C1DA1">
        <w:rPr>
          <w:szCs w:val="26"/>
        </w:rPr>
        <w:t xml:space="preserve"> </w:t>
      </w:r>
      <w:r w:rsidR="004C24CC">
        <w:rPr>
          <w:szCs w:val="26"/>
        </w:rPr>
        <w:t xml:space="preserve">could covertly record </w:t>
      </w:r>
      <w:r w:rsidR="005C1DA1">
        <w:rPr>
          <w:szCs w:val="26"/>
        </w:rPr>
        <w:t>the communication, leaving intact a substantial component of</w:t>
      </w:r>
      <w:r w:rsidRPr="00945FE6" w:rsidR="00825043">
        <w:rPr>
          <w:szCs w:val="26"/>
        </w:rPr>
        <w:t xml:space="preserve"> </w:t>
      </w:r>
      <w:r w:rsidRPr="00945FE6">
        <w:rPr>
          <w:szCs w:val="26"/>
        </w:rPr>
        <w:t>the</w:t>
      </w:r>
      <w:r w:rsidR="005C1DA1">
        <w:rPr>
          <w:szCs w:val="26"/>
        </w:rPr>
        <w:t xml:space="preserve"> </w:t>
      </w:r>
      <w:r w:rsidRPr="00945FE6">
        <w:rPr>
          <w:szCs w:val="26"/>
        </w:rPr>
        <w:t xml:space="preserve">“discrepancy” </w:t>
      </w:r>
      <w:r w:rsidR="001402B4">
        <w:rPr>
          <w:szCs w:val="26"/>
        </w:rPr>
        <w:t>in protections that the Legislature detected and sought to address</w:t>
      </w:r>
      <w:r w:rsidRPr="00945FE6" w:rsidR="00A3403F">
        <w:rPr>
          <w:szCs w:val="26"/>
        </w:rPr>
        <w:t xml:space="preserve">. </w:t>
      </w:r>
      <w:r w:rsidRPr="00945FE6" w:rsidR="008B5CF5">
        <w:rPr>
          <w:szCs w:val="26"/>
        </w:rPr>
        <w:t xml:space="preserve"> (Assem. Com. on Pub. Safety, </w:t>
      </w:r>
      <w:r w:rsidR="003F1724">
        <w:rPr>
          <w:szCs w:val="26"/>
        </w:rPr>
        <w:t>A</w:t>
      </w:r>
      <w:r w:rsidRPr="00945FE6" w:rsidR="008B5CF5">
        <w:rPr>
          <w:szCs w:val="26"/>
        </w:rPr>
        <w:t xml:space="preserve">nalysis of Assem. Bill No. 2465, </w:t>
      </w:r>
      <w:r w:rsidRPr="00945FE6" w:rsidR="008B5CF5">
        <w:rPr>
          <w:i/>
          <w:iCs/>
          <w:szCs w:val="26"/>
        </w:rPr>
        <w:t>supra</w:t>
      </w:r>
      <w:r w:rsidRPr="00945FE6" w:rsidR="008B5CF5">
        <w:rPr>
          <w:szCs w:val="26"/>
        </w:rPr>
        <w:t xml:space="preserve">, </w:t>
      </w:r>
      <w:r w:rsidRPr="00945FE6" w:rsidR="00F03953">
        <w:rPr>
          <w:szCs w:val="26"/>
        </w:rPr>
        <w:t xml:space="preserve">at </w:t>
      </w:r>
      <w:r w:rsidRPr="00945FE6" w:rsidR="008B5CF5">
        <w:rPr>
          <w:szCs w:val="26"/>
        </w:rPr>
        <w:t xml:space="preserve">p. 1.) </w:t>
      </w:r>
      <w:r w:rsidRPr="00945FE6" w:rsidR="00A3403F">
        <w:rPr>
          <w:szCs w:val="26"/>
        </w:rPr>
        <w:t xml:space="preserve"> </w:t>
      </w:r>
      <w:r w:rsidR="001402B4">
        <w:rPr>
          <w:szCs w:val="26"/>
        </w:rPr>
        <w:t>On this point, b</w:t>
      </w:r>
      <w:r w:rsidRPr="00945FE6" w:rsidR="004D6049">
        <w:rPr>
          <w:szCs w:val="26"/>
        </w:rPr>
        <w:t>y the time A</w:t>
      </w:r>
      <w:r w:rsidR="003F1724">
        <w:rPr>
          <w:szCs w:val="26"/>
        </w:rPr>
        <w:t xml:space="preserve">ssembly </w:t>
      </w:r>
      <w:r w:rsidRPr="00945FE6" w:rsidR="004D6049">
        <w:rPr>
          <w:szCs w:val="26"/>
        </w:rPr>
        <w:t>B</w:t>
      </w:r>
      <w:r w:rsidR="003F1724">
        <w:rPr>
          <w:szCs w:val="26"/>
        </w:rPr>
        <w:t>ill</w:t>
      </w:r>
      <w:r w:rsidRPr="00945FE6" w:rsidR="004D6049">
        <w:rPr>
          <w:szCs w:val="26"/>
        </w:rPr>
        <w:t xml:space="preserve"> 2465 </w:t>
      </w:r>
      <w:r w:rsidRPr="00945FE6" w:rsidR="008B5CF5">
        <w:rPr>
          <w:szCs w:val="26"/>
        </w:rPr>
        <w:t>came</w:t>
      </w:r>
      <w:r w:rsidRPr="00945FE6" w:rsidR="004D6049">
        <w:rPr>
          <w:szCs w:val="26"/>
        </w:rPr>
        <w:t xml:space="preserve"> before the</w:t>
      </w:r>
      <w:r w:rsidRPr="00945FE6" w:rsidR="008B5CF5">
        <w:rPr>
          <w:szCs w:val="26"/>
        </w:rPr>
        <w:t xml:space="preserve"> Legislature</w:t>
      </w:r>
      <w:r w:rsidRPr="00945FE6" w:rsidR="004D6049">
        <w:rPr>
          <w:szCs w:val="26"/>
        </w:rPr>
        <w:t xml:space="preserve"> it had long been established </w:t>
      </w:r>
      <w:r w:rsidRPr="00945FE6" w:rsidR="00492E47">
        <w:rPr>
          <w:szCs w:val="26"/>
        </w:rPr>
        <w:t>that section</w:t>
      </w:r>
      <w:r w:rsidR="00C17F72">
        <w:rPr>
          <w:szCs w:val="26"/>
        </w:rPr>
        <w:t> </w:t>
      </w:r>
      <w:r w:rsidRPr="00945FE6" w:rsidR="00492E47">
        <w:rPr>
          <w:szCs w:val="26"/>
        </w:rPr>
        <w:t xml:space="preserve">632 prohibits </w:t>
      </w:r>
      <w:r w:rsidRPr="00945FE6">
        <w:rPr>
          <w:szCs w:val="26"/>
        </w:rPr>
        <w:t>parties as well as nonparties from recording a “confidential communication” within its parameters.  (</w:t>
      </w:r>
      <w:r w:rsidRPr="00945FE6">
        <w:rPr>
          <w:i/>
          <w:iCs/>
          <w:szCs w:val="26"/>
        </w:rPr>
        <w:t>Warden v. Kahn</w:t>
      </w:r>
      <w:r w:rsidRPr="00945FE6">
        <w:rPr>
          <w:szCs w:val="26"/>
        </w:rPr>
        <w:t xml:space="preserve"> (1979) 99 Cal.App.3d 805, 812; </w:t>
      </w:r>
      <w:r w:rsidRPr="00945FE6">
        <w:rPr>
          <w:i/>
          <w:iCs/>
          <w:szCs w:val="26"/>
        </w:rPr>
        <w:t>Forest E. Olson, Inc. v. Superior Court</w:t>
      </w:r>
      <w:r w:rsidRPr="00945FE6">
        <w:rPr>
          <w:szCs w:val="26"/>
        </w:rPr>
        <w:t xml:space="preserve"> (1976) 63 Cal.App.3d 188, 191</w:t>
      </w:r>
      <w:r w:rsidRPr="00945FE6" w:rsidR="00E77C82">
        <w:rPr>
          <w:color w:val="3D3D3D"/>
          <w:szCs w:val="26"/>
          <w:shd w:val="clear" w:color="auto" w:fill="FFFFFF"/>
        </w:rPr>
        <w:t>–</w:t>
      </w:r>
      <w:r w:rsidRPr="00945FE6">
        <w:rPr>
          <w:szCs w:val="26"/>
        </w:rPr>
        <w:t xml:space="preserve">192.)  </w:t>
      </w:r>
      <w:r w:rsidRPr="00945FE6" w:rsidR="009D4237">
        <w:rPr>
          <w:szCs w:val="26"/>
        </w:rPr>
        <w:t xml:space="preserve">Were we to regard </w:t>
      </w:r>
      <w:r w:rsidRPr="00945FE6" w:rsidR="00377C2D">
        <w:rPr>
          <w:szCs w:val="26"/>
        </w:rPr>
        <w:t xml:space="preserve">section 632.7 as </w:t>
      </w:r>
      <w:r w:rsidR="004C24CC">
        <w:rPr>
          <w:szCs w:val="26"/>
        </w:rPr>
        <w:t>inapplicable to the</w:t>
      </w:r>
      <w:r w:rsidRPr="00945FE6" w:rsidR="00DB4FF6">
        <w:rPr>
          <w:szCs w:val="26"/>
        </w:rPr>
        <w:t xml:space="preserve"> parties </w:t>
      </w:r>
      <w:r w:rsidR="004C24CC">
        <w:rPr>
          <w:szCs w:val="26"/>
        </w:rPr>
        <w:t>to</w:t>
      </w:r>
      <w:r w:rsidRPr="00945FE6" w:rsidR="00377C2D">
        <w:rPr>
          <w:szCs w:val="26"/>
        </w:rPr>
        <w:t xml:space="preserve"> a communication, </w:t>
      </w:r>
      <w:r w:rsidRPr="00945FE6" w:rsidR="009D4237">
        <w:rPr>
          <w:szCs w:val="26"/>
        </w:rPr>
        <w:t>we</w:t>
      </w:r>
      <w:r w:rsidRPr="00945FE6" w:rsidR="00377C2D">
        <w:rPr>
          <w:szCs w:val="26"/>
        </w:rPr>
        <w:t xml:space="preserve"> would have to conclude that the Legislature</w:t>
      </w:r>
      <w:r w:rsidRPr="00945FE6" w:rsidR="004D6049">
        <w:rPr>
          <w:szCs w:val="26"/>
        </w:rPr>
        <w:t xml:space="preserve"> that enacted A</w:t>
      </w:r>
      <w:r w:rsidR="003F1724">
        <w:rPr>
          <w:szCs w:val="26"/>
        </w:rPr>
        <w:t xml:space="preserve">ssembly </w:t>
      </w:r>
      <w:r w:rsidRPr="00945FE6" w:rsidR="004D6049">
        <w:rPr>
          <w:szCs w:val="26"/>
        </w:rPr>
        <w:t>B</w:t>
      </w:r>
      <w:r w:rsidR="003F1724">
        <w:rPr>
          <w:szCs w:val="26"/>
        </w:rPr>
        <w:t>ill</w:t>
      </w:r>
      <w:r w:rsidRPr="00945FE6" w:rsidR="004D6049">
        <w:rPr>
          <w:szCs w:val="26"/>
        </w:rPr>
        <w:t xml:space="preserve"> 2465</w:t>
      </w:r>
      <w:r w:rsidRPr="00945FE6" w:rsidR="00377C2D">
        <w:rPr>
          <w:szCs w:val="26"/>
        </w:rPr>
        <w:t xml:space="preserve"> was content with </w:t>
      </w:r>
      <w:r w:rsidR="004C24CC">
        <w:rPr>
          <w:szCs w:val="26"/>
        </w:rPr>
        <w:t>retaining</w:t>
      </w:r>
      <w:r w:rsidRPr="00945FE6" w:rsidR="00377C2D">
        <w:rPr>
          <w:szCs w:val="26"/>
        </w:rPr>
        <w:t xml:space="preserve"> a substantial </w:t>
      </w:r>
      <w:r w:rsidR="00D2534A">
        <w:rPr>
          <w:szCs w:val="26"/>
        </w:rPr>
        <w:t>gap</w:t>
      </w:r>
      <w:r w:rsidRPr="00945FE6" w:rsidR="004D6049">
        <w:rPr>
          <w:szCs w:val="26"/>
        </w:rPr>
        <w:t xml:space="preserve"> between the protections attached to landline communications and </w:t>
      </w:r>
      <w:r w:rsidR="00471DBF">
        <w:rPr>
          <w:szCs w:val="26"/>
        </w:rPr>
        <w:t>those afforded to</w:t>
      </w:r>
      <w:r w:rsidR="009312F4">
        <w:rPr>
          <w:szCs w:val="26"/>
        </w:rPr>
        <w:t xml:space="preserve"> calls</w:t>
      </w:r>
      <w:r w:rsidRPr="00945FE6" w:rsidR="004D6049">
        <w:rPr>
          <w:szCs w:val="26"/>
        </w:rPr>
        <w:t xml:space="preserve"> involving a cellular or cordless telephone</w:t>
      </w:r>
      <w:r w:rsidRPr="00945FE6" w:rsidR="00377C2D">
        <w:rPr>
          <w:szCs w:val="26"/>
        </w:rPr>
        <w:t xml:space="preserve">.  </w:t>
      </w:r>
      <w:r w:rsidR="00471DBF">
        <w:rPr>
          <w:szCs w:val="26"/>
        </w:rPr>
        <w:t>Such a view of legislative intent —</w:t>
      </w:r>
      <w:r w:rsidR="009312F4">
        <w:rPr>
          <w:szCs w:val="26"/>
        </w:rPr>
        <w:t xml:space="preserve"> which</w:t>
      </w:r>
      <w:r w:rsidR="00D2534A">
        <w:rPr>
          <w:szCs w:val="26"/>
        </w:rPr>
        <w:t xml:space="preserve"> </w:t>
      </w:r>
      <w:r w:rsidR="009312F4">
        <w:rPr>
          <w:szCs w:val="26"/>
        </w:rPr>
        <w:t>would be</w:t>
      </w:r>
      <w:r w:rsidR="00D2534A">
        <w:rPr>
          <w:szCs w:val="26"/>
        </w:rPr>
        <w:t xml:space="preserve"> in some tension with our previous assessment</w:t>
      </w:r>
      <w:r w:rsidR="00471DBF">
        <w:rPr>
          <w:szCs w:val="26"/>
        </w:rPr>
        <w:t xml:space="preserve"> of the statutory scheme</w:t>
      </w:r>
      <w:r w:rsidR="00D2534A">
        <w:rPr>
          <w:szCs w:val="26"/>
        </w:rPr>
        <w:t xml:space="preserve"> </w:t>
      </w:r>
      <w:r w:rsidR="009312F4">
        <w:rPr>
          <w:szCs w:val="26"/>
        </w:rPr>
        <w:t>in</w:t>
      </w:r>
      <w:r w:rsidR="00D2534A">
        <w:rPr>
          <w:szCs w:val="26"/>
        </w:rPr>
        <w:t xml:space="preserve"> </w:t>
      </w:r>
      <w:r w:rsidRPr="00D2534A" w:rsidR="00D2534A">
        <w:rPr>
          <w:i/>
          <w:iCs/>
          <w:szCs w:val="26"/>
        </w:rPr>
        <w:t>Flanagan</w:t>
      </w:r>
      <w:r w:rsidR="00D2534A">
        <w:rPr>
          <w:szCs w:val="26"/>
        </w:rPr>
        <w:t xml:space="preserve">, </w:t>
      </w:r>
      <w:r w:rsidRPr="00D2534A" w:rsidR="00D2534A">
        <w:rPr>
          <w:i/>
          <w:iCs/>
          <w:szCs w:val="26"/>
        </w:rPr>
        <w:t>supra</w:t>
      </w:r>
      <w:r w:rsidR="00D2534A">
        <w:rPr>
          <w:szCs w:val="26"/>
        </w:rPr>
        <w:t>, 27 Cal.4</w:t>
      </w:r>
      <w:r w:rsidRPr="00D2534A" w:rsidR="00D2534A">
        <w:rPr>
          <w:szCs w:val="26"/>
        </w:rPr>
        <w:t>th</w:t>
      </w:r>
      <w:r w:rsidR="00D2534A">
        <w:rPr>
          <w:szCs w:val="26"/>
        </w:rPr>
        <w:t xml:space="preserve"> at p</w:t>
      </w:r>
      <w:r w:rsidR="009312F4">
        <w:rPr>
          <w:szCs w:val="26"/>
        </w:rPr>
        <w:t>age</w:t>
      </w:r>
      <w:r w:rsidR="00D2534A">
        <w:rPr>
          <w:szCs w:val="26"/>
        </w:rPr>
        <w:t xml:space="preserve"> 776</w:t>
      </w:r>
      <w:r w:rsidR="00471DBF">
        <w:rPr>
          <w:szCs w:val="26"/>
        </w:rPr>
        <w:t xml:space="preserve"> —</w:t>
      </w:r>
      <w:r w:rsidR="009312F4">
        <w:rPr>
          <w:szCs w:val="26"/>
        </w:rPr>
        <w:t xml:space="preserve"> </w:t>
      </w:r>
      <w:r w:rsidR="00471DBF">
        <w:rPr>
          <w:szCs w:val="26"/>
        </w:rPr>
        <w:t>would be difficult to square</w:t>
      </w:r>
      <w:r w:rsidRPr="00945FE6" w:rsidR="00377C2D">
        <w:rPr>
          <w:szCs w:val="26"/>
        </w:rPr>
        <w:t xml:space="preserve"> </w:t>
      </w:r>
      <w:r w:rsidR="00471DBF">
        <w:rPr>
          <w:szCs w:val="26"/>
        </w:rPr>
        <w:t>with</w:t>
      </w:r>
      <w:r w:rsidR="004C24CC">
        <w:rPr>
          <w:szCs w:val="26"/>
        </w:rPr>
        <w:t xml:space="preserve"> the </w:t>
      </w:r>
      <w:r w:rsidR="00471DBF">
        <w:rPr>
          <w:szCs w:val="26"/>
        </w:rPr>
        <w:t>historical record</w:t>
      </w:r>
      <w:r w:rsidRPr="00945FE6" w:rsidR="00377C2D">
        <w:rPr>
          <w:szCs w:val="26"/>
        </w:rPr>
        <w:t xml:space="preserve">.  </w:t>
      </w:r>
    </w:p>
    <w:p w:rsidR="00DD63E8" w:rsidP="00945FE6" w14:paraId="008A324A" w14:textId="27345B52">
      <w:pPr>
        <w:tabs>
          <w:tab w:val="left" w:pos="1440"/>
        </w:tabs>
        <w:ind w:firstLine="720"/>
        <w:rPr>
          <w:szCs w:val="26"/>
        </w:rPr>
      </w:pPr>
      <w:r>
        <w:rPr>
          <w:szCs w:val="26"/>
        </w:rPr>
        <w:t>It is true that o</w:t>
      </w:r>
      <w:r w:rsidRPr="00945FE6" w:rsidR="006D0EBC">
        <w:rPr>
          <w:szCs w:val="26"/>
        </w:rPr>
        <w:t>ne</w:t>
      </w:r>
      <w:r w:rsidRPr="00945FE6" w:rsidR="00B770A2">
        <w:rPr>
          <w:szCs w:val="26"/>
        </w:rPr>
        <w:t xml:space="preserve"> might</w:t>
      </w:r>
      <w:r w:rsidRPr="00945FE6" w:rsidR="00377C2D">
        <w:rPr>
          <w:szCs w:val="26"/>
        </w:rPr>
        <w:t xml:space="preserve"> </w:t>
      </w:r>
      <w:r>
        <w:rPr>
          <w:szCs w:val="26"/>
        </w:rPr>
        <w:t>infer</w:t>
      </w:r>
      <w:r w:rsidRPr="00945FE6" w:rsidR="00377C2D">
        <w:rPr>
          <w:szCs w:val="26"/>
        </w:rPr>
        <w:t xml:space="preserve"> </w:t>
      </w:r>
      <w:r w:rsidRPr="00945FE6" w:rsidR="009D4237">
        <w:rPr>
          <w:szCs w:val="26"/>
        </w:rPr>
        <w:t xml:space="preserve">from </w:t>
      </w:r>
      <w:r w:rsidR="00187CB8">
        <w:rPr>
          <w:szCs w:val="26"/>
        </w:rPr>
        <w:t>some</w:t>
      </w:r>
      <w:r w:rsidRPr="00945FE6" w:rsidR="006D0EBC">
        <w:rPr>
          <w:szCs w:val="26"/>
        </w:rPr>
        <w:t xml:space="preserve"> </w:t>
      </w:r>
      <w:r w:rsidRPr="00945FE6" w:rsidR="009D4237">
        <w:rPr>
          <w:szCs w:val="26"/>
        </w:rPr>
        <w:t xml:space="preserve">committee analyses of </w:t>
      </w:r>
      <w:r w:rsidRPr="00945FE6" w:rsidR="006D0EBC">
        <w:rPr>
          <w:szCs w:val="26"/>
        </w:rPr>
        <w:t>A</w:t>
      </w:r>
      <w:r w:rsidR="003F1724">
        <w:rPr>
          <w:szCs w:val="26"/>
        </w:rPr>
        <w:t xml:space="preserve">ssembly </w:t>
      </w:r>
      <w:r w:rsidRPr="00945FE6" w:rsidR="006D0EBC">
        <w:rPr>
          <w:szCs w:val="26"/>
        </w:rPr>
        <w:t>B</w:t>
      </w:r>
      <w:r w:rsidR="003F1724">
        <w:rPr>
          <w:szCs w:val="26"/>
        </w:rPr>
        <w:t>ill</w:t>
      </w:r>
      <w:r w:rsidRPr="00945FE6" w:rsidR="006D0EBC">
        <w:rPr>
          <w:szCs w:val="26"/>
        </w:rPr>
        <w:t xml:space="preserve"> 2465</w:t>
      </w:r>
      <w:r w:rsidRPr="00945FE6" w:rsidR="009D4237">
        <w:rPr>
          <w:szCs w:val="26"/>
        </w:rPr>
        <w:t xml:space="preserve"> </w:t>
      </w:r>
      <w:r w:rsidRPr="00945FE6" w:rsidR="00377C2D">
        <w:rPr>
          <w:szCs w:val="26"/>
        </w:rPr>
        <w:t>that t</w:t>
      </w:r>
      <w:r w:rsidRPr="00945FE6" w:rsidR="00BF169F">
        <w:rPr>
          <w:szCs w:val="26"/>
        </w:rPr>
        <w:t xml:space="preserve">he </w:t>
      </w:r>
      <w:r w:rsidRPr="00945FE6" w:rsidR="00B770A2">
        <w:rPr>
          <w:szCs w:val="26"/>
        </w:rPr>
        <w:t>prospect</w:t>
      </w:r>
      <w:r w:rsidRPr="00945FE6" w:rsidR="00BF169F">
        <w:rPr>
          <w:szCs w:val="26"/>
        </w:rPr>
        <w:t xml:space="preserve"> of </w:t>
      </w:r>
      <w:r w:rsidRPr="00945FE6" w:rsidR="00711574">
        <w:rPr>
          <w:szCs w:val="26"/>
        </w:rPr>
        <w:t>invasions of pr</w:t>
      </w:r>
      <w:r w:rsidRPr="00945FE6" w:rsidR="006D0EBC">
        <w:rPr>
          <w:szCs w:val="26"/>
        </w:rPr>
        <w:t>ivacy</w:t>
      </w:r>
      <w:r w:rsidRPr="00945FE6" w:rsidR="00711574">
        <w:rPr>
          <w:szCs w:val="26"/>
        </w:rPr>
        <w:t xml:space="preserve"> by </w:t>
      </w:r>
      <w:r w:rsidR="008652F4">
        <w:rPr>
          <w:szCs w:val="26"/>
        </w:rPr>
        <w:t>third parties</w:t>
      </w:r>
      <w:r w:rsidRPr="00945FE6" w:rsidR="00064CF3">
        <w:rPr>
          <w:szCs w:val="26"/>
        </w:rPr>
        <w:t xml:space="preserve"> </w:t>
      </w:r>
      <w:r w:rsidRPr="00945FE6" w:rsidR="00FD61F2">
        <w:rPr>
          <w:szCs w:val="26"/>
        </w:rPr>
        <w:t>was</w:t>
      </w:r>
      <w:r w:rsidRPr="00945FE6" w:rsidR="00B45396">
        <w:rPr>
          <w:szCs w:val="26"/>
        </w:rPr>
        <w:t xml:space="preserve"> </w:t>
      </w:r>
      <w:r w:rsidR="009561D0">
        <w:rPr>
          <w:szCs w:val="26"/>
        </w:rPr>
        <w:t>front-and-center i</w:t>
      </w:r>
      <w:r w:rsidRPr="00945FE6" w:rsidR="00B770A2">
        <w:rPr>
          <w:szCs w:val="26"/>
        </w:rPr>
        <w:t>n</w:t>
      </w:r>
      <w:r w:rsidRPr="00945FE6" w:rsidR="00B45396">
        <w:rPr>
          <w:szCs w:val="26"/>
        </w:rPr>
        <w:t xml:space="preserve"> legislators’ minds</w:t>
      </w:r>
      <w:r w:rsidRPr="00945FE6" w:rsidR="00064CF3">
        <w:rPr>
          <w:szCs w:val="26"/>
        </w:rPr>
        <w:t xml:space="preserve"> </w:t>
      </w:r>
      <w:r w:rsidRPr="00945FE6" w:rsidR="00B45396">
        <w:rPr>
          <w:szCs w:val="26"/>
        </w:rPr>
        <w:t>as they considered the bill</w:t>
      </w:r>
      <w:r w:rsidRPr="00945FE6" w:rsidR="00A04A9C">
        <w:rPr>
          <w:szCs w:val="26"/>
        </w:rPr>
        <w:t>.</w:t>
      </w:r>
      <w:r w:rsidRPr="00945FE6" w:rsidR="00FB57F5">
        <w:rPr>
          <w:szCs w:val="26"/>
        </w:rPr>
        <w:t xml:space="preserve">  </w:t>
      </w:r>
      <w:r w:rsidRPr="00945FE6" w:rsidR="006D0EBC">
        <w:rPr>
          <w:szCs w:val="26"/>
        </w:rPr>
        <w:t xml:space="preserve">(See </w:t>
      </w:r>
      <w:r w:rsidRPr="00945FE6" w:rsidR="006D0EBC">
        <w:rPr>
          <w:i/>
          <w:iCs/>
          <w:szCs w:val="26"/>
        </w:rPr>
        <w:t>Smith</w:t>
      </w:r>
      <w:r w:rsidRPr="00945FE6" w:rsidR="006D0EBC">
        <w:rPr>
          <w:szCs w:val="26"/>
        </w:rPr>
        <w:t xml:space="preserve">, </w:t>
      </w:r>
      <w:r w:rsidRPr="00945FE6" w:rsidR="006D0EBC">
        <w:rPr>
          <w:i/>
          <w:iCs/>
          <w:szCs w:val="26"/>
        </w:rPr>
        <w:t>supra</w:t>
      </w:r>
      <w:r w:rsidRPr="00945FE6" w:rsidR="006D0EBC">
        <w:rPr>
          <w:szCs w:val="26"/>
        </w:rPr>
        <w:t>, 43</w:t>
      </w:r>
      <w:r w:rsidR="00C17F72">
        <w:rPr>
          <w:szCs w:val="26"/>
        </w:rPr>
        <w:t> </w:t>
      </w:r>
      <w:r w:rsidRPr="00945FE6" w:rsidR="006D0EBC">
        <w:rPr>
          <w:szCs w:val="26"/>
        </w:rPr>
        <w:t xml:space="preserve">Cal.App.5th at p. 857.)  </w:t>
      </w:r>
      <w:r w:rsidR="008408B9">
        <w:rPr>
          <w:szCs w:val="26"/>
        </w:rPr>
        <w:t xml:space="preserve">But unlike the Court of Appeal, we do not regard </w:t>
      </w:r>
      <w:r w:rsidR="00EF1CDC">
        <w:rPr>
          <w:szCs w:val="26"/>
        </w:rPr>
        <w:t>recording by nonparties</w:t>
      </w:r>
      <w:r w:rsidR="008408B9">
        <w:rPr>
          <w:szCs w:val="26"/>
        </w:rPr>
        <w:t xml:space="preserve"> as the Legislature’s sole focus or concern. </w:t>
      </w:r>
      <w:r w:rsidR="00966B76">
        <w:rPr>
          <w:szCs w:val="26"/>
        </w:rPr>
        <w:t xml:space="preserve"> </w:t>
      </w:r>
      <w:r w:rsidR="008408B9">
        <w:rPr>
          <w:szCs w:val="26"/>
        </w:rPr>
        <w:t>E</w:t>
      </w:r>
      <w:r w:rsidRPr="00945FE6" w:rsidR="00BF169F">
        <w:rPr>
          <w:szCs w:val="26"/>
        </w:rPr>
        <w:t>ven if</w:t>
      </w:r>
      <w:r w:rsidRPr="00945FE6" w:rsidR="00A04A9C">
        <w:rPr>
          <w:szCs w:val="26"/>
        </w:rPr>
        <w:t xml:space="preserve"> such</w:t>
      </w:r>
      <w:r w:rsidRPr="00945FE6" w:rsidR="00BF169F">
        <w:rPr>
          <w:szCs w:val="26"/>
        </w:rPr>
        <w:t xml:space="preserve"> scenarios </w:t>
      </w:r>
      <w:r w:rsidRPr="00945FE6" w:rsidR="00064CF3">
        <w:rPr>
          <w:szCs w:val="26"/>
        </w:rPr>
        <w:t>loomed large</w:t>
      </w:r>
      <w:r w:rsidRPr="00945FE6" w:rsidR="00A04A9C">
        <w:rPr>
          <w:szCs w:val="26"/>
        </w:rPr>
        <w:t xml:space="preserve"> as A</w:t>
      </w:r>
      <w:r w:rsidR="003F1724">
        <w:rPr>
          <w:szCs w:val="26"/>
        </w:rPr>
        <w:t xml:space="preserve">ssembly </w:t>
      </w:r>
      <w:r w:rsidRPr="00945FE6" w:rsidR="00A04A9C">
        <w:rPr>
          <w:szCs w:val="26"/>
        </w:rPr>
        <w:t>B</w:t>
      </w:r>
      <w:r w:rsidR="003F1724">
        <w:rPr>
          <w:szCs w:val="26"/>
        </w:rPr>
        <w:t>ill</w:t>
      </w:r>
      <w:r w:rsidRPr="00945FE6" w:rsidR="00A04A9C">
        <w:rPr>
          <w:szCs w:val="26"/>
        </w:rPr>
        <w:t xml:space="preserve"> 2465</w:t>
      </w:r>
      <w:r w:rsidRPr="00945FE6" w:rsidR="006D0EBC">
        <w:rPr>
          <w:szCs w:val="26"/>
        </w:rPr>
        <w:t xml:space="preserve"> proceeded through the Legislature</w:t>
      </w:r>
      <w:r w:rsidRPr="00945FE6" w:rsidR="00BF169F">
        <w:rPr>
          <w:szCs w:val="26"/>
        </w:rPr>
        <w:t xml:space="preserve">, </w:t>
      </w:r>
      <w:r w:rsidRPr="00945FE6" w:rsidR="00A04A9C">
        <w:rPr>
          <w:szCs w:val="26"/>
        </w:rPr>
        <w:t xml:space="preserve">it is </w:t>
      </w:r>
      <w:r w:rsidRPr="008408B9" w:rsidR="009D4237">
        <w:rPr>
          <w:szCs w:val="26"/>
        </w:rPr>
        <w:t>also</w:t>
      </w:r>
      <w:r w:rsidRPr="00945FE6" w:rsidR="009D4237">
        <w:rPr>
          <w:szCs w:val="26"/>
        </w:rPr>
        <w:t xml:space="preserve"> </w:t>
      </w:r>
      <w:r w:rsidRPr="00945FE6" w:rsidR="00A04A9C">
        <w:rPr>
          <w:szCs w:val="26"/>
        </w:rPr>
        <w:t>apparent from the</w:t>
      </w:r>
      <w:r w:rsidRPr="00945FE6" w:rsidR="00BF169F">
        <w:rPr>
          <w:szCs w:val="26"/>
        </w:rPr>
        <w:t xml:space="preserve"> </w:t>
      </w:r>
      <w:r w:rsidRPr="00945FE6" w:rsidR="00711574">
        <w:rPr>
          <w:szCs w:val="26"/>
        </w:rPr>
        <w:t xml:space="preserve">legislative history </w:t>
      </w:r>
      <w:r w:rsidRPr="00945FE6" w:rsidR="00BF169F">
        <w:rPr>
          <w:szCs w:val="26"/>
        </w:rPr>
        <w:t xml:space="preserve">that </w:t>
      </w:r>
      <w:r w:rsidRPr="00945FE6" w:rsidR="00A04A9C">
        <w:rPr>
          <w:szCs w:val="26"/>
        </w:rPr>
        <w:t xml:space="preserve">the Legislature </w:t>
      </w:r>
      <w:r w:rsidR="00EF1CDC">
        <w:rPr>
          <w:szCs w:val="26"/>
        </w:rPr>
        <w:t>saw</w:t>
      </w:r>
      <w:r w:rsidRPr="00945FE6" w:rsidR="00A04A9C">
        <w:rPr>
          <w:szCs w:val="26"/>
        </w:rPr>
        <w:t xml:space="preserve"> </w:t>
      </w:r>
      <w:r w:rsidRPr="00945FE6" w:rsidR="009D4237">
        <w:rPr>
          <w:szCs w:val="26"/>
        </w:rPr>
        <w:t>this</w:t>
      </w:r>
      <w:r w:rsidRPr="00945FE6" w:rsidR="00A04A9C">
        <w:rPr>
          <w:szCs w:val="26"/>
        </w:rPr>
        <w:t xml:space="preserve"> </w:t>
      </w:r>
      <w:r w:rsidR="001402B4">
        <w:rPr>
          <w:szCs w:val="26"/>
        </w:rPr>
        <w:t>measure</w:t>
      </w:r>
      <w:r w:rsidRPr="00945FE6" w:rsidR="00A04A9C">
        <w:rPr>
          <w:szCs w:val="26"/>
        </w:rPr>
        <w:t xml:space="preserve"> </w:t>
      </w:r>
      <w:r w:rsidRPr="00945FE6" w:rsidR="00711574">
        <w:rPr>
          <w:szCs w:val="26"/>
        </w:rPr>
        <w:t xml:space="preserve">as </w:t>
      </w:r>
      <w:r w:rsidR="00273A7A">
        <w:rPr>
          <w:szCs w:val="26"/>
        </w:rPr>
        <w:t>protecting</w:t>
      </w:r>
      <w:r w:rsidRPr="00945FE6" w:rsidR="00711574">
        <w:rPr>
          <w:szCs w:val="26"/>
        </w:rPr>
        <w:t xml:space="preserve"> the privacy interests</w:t>
      </w:r>
      <w:r w:rsidRPr="00945FE6" w:rsidR="00064CF3">
        <w:rPr>
          <w:szCs w:val="26"/>
        </w:rPr>
        <w:t xml:space="preserve"> </w:t>
      </w:r>
      <w:r w:rsidR="00187CB8">
        <w:rPr>
          <w:szCs w:val="26"/>
        </w:rPr>
        <w:t xml:space="preserve">that can be </w:t>
      </w:r>
      <w:r w:rsidRPr="00945FE6" w:rsidR="00064CF3">
        <w:rPr>
          <w:szCs w:val="26"/>
        </w:rPr>
        <w:t xml:space="preserve">implicated </w:t>
      </w:r>
      <w:r w:rsidRPr="008652F4" w:rsidR="00064CF3">
        <w:rPr>
          <w:szCs w:val="26"/>
        </w:rPr>
        <w:t>whenever</w:t>
      </w:r>
      <w:r w:rsidRPr="00945FE6" w:rsidR="00064CF3">
        <w:rPr>
          <w:szCs w:val="26"/>
        </w:rPr>
        <w:t xml:space="preserve"> a communication is recorded without consent, regardless of whether it is a party or a</w:t>
      </w:r>
      <w:r w:rsidRPr="00945FE6" w:rsidR="00873239">
        <w:rPr>
          <w:szCs w:val="26"/>
        </w:rPr>
        <w:t xml:space="preserve">n outsider </w:t>
      </w:r>
      <w:r w:rsidRPr="00945FE6" w:rsidR="00064CF3">
        <w:rPr>
          <w:szCs w:val="26"/>
        </w:rPr>
        <w:t>performing the</w:t>
      </w:r>
      <w:r w:rsidRPr="00945FE6" w:rsidR="00A04A9C">
        <w:rPr>
          <w:szCs w:val="26"/>
        </w:rPr>
        <w:t xml:space="preserve"> </w:t>
      </w:r>
      <w:r w:rsidRPr="00945FE6" w:rsidR="00064CF3">
        <w:rPr>
          <w:szCs w:val="26"/>
        </w:rPr>
        <w:t>recording</w:t>
      </w:r>
      <w:r w:rsidRPr="00945FE6" w:rsidR="00711574">
        <w:rPr>
          <w:szCs w:val="26"/>
        </w:rPr>
        <w:t xml:space="preserve">. </w:t>
      </w:r>
      <w:r w:rsidRPr="00945FE6" w:rsidR="00284707">
        <w:rPr>
          <w:szCs w:val="26"/>
        </w:rPr>
        <w:t xml:space="preserve"> </w:t>
      </w:r>
      <w:r w:rsidRPr="00945FE6">
        <w:rPr>
          <w:szCs w:val="26"/>
        </w:rPr>
        <w:t>(</w:t>
      </w:r>
      <w:r w:rsidRPr="00945FE6" w:rsidR="00E70737">
        <w:rPr>
          <w:szCs w:val="26"/>
        </w:rPr>
        <w:t>See</w:t>
      </w:r>
      <w:r w:rsidRPr="00945FE6" w:rsidR="00FB57F5">
        <w:rPr>
          <w:szCs w:val="26"/>
        </w:rPr>
        <w:t xml:space="preserve"> </w:t>
      </w:r>
      <w:r w:rsidRPr="00945FE6" w:rsidR="00D16A25">
        <w:rPr>
          <w:i/>
          <w:iCs/>
          <w:szCs w:val="26"/>
        </w:rPr>
        <w:t>People v. Wade</w:t>
      </w:r>
      <w:r w:rsidRPr="00945FE6" w:rsidR="00D16A25">
        <w:rPr>
          <w:szCs w:val="26"/>
        </w:rPr>
        <w:t xml:space="preserve"> (2016) 63 Cal.4th 137, 143</w:t>
      </w:r>
      <w:r w:rsidRPr="00945FE6" w:rsidR="009A7593">
        <w:rPr>
          <w:szCs w:val="26"/>
        </w:rPr>
        <w:t xml:space="preserve">; </w:t>
      </w:r>
      <w:r w:rsidRPr="00945FE6" w:rsidR="009A7593">
        <w:rPr>
          <w:i/>
          <w:iCs/>
          <w:szCs w:val="26"/>
        </w:rPr>
        <w:t xml:space="preserve">Grupe Development Co. v. Superior Court </w:t>
      </w:r>
      <w:r w:rsidRPr="00945FE6" w:rsidR="009A7593">
        <w:rPr>
          <w:szCs w:val="26"/>
        </w:rPr>
        <w:t>(1993) 4</w:t>
      </w:r>
      <w:r w:rsidR="00C17F72">
        <w:rPr>
          <w:szCs w:val="26"/>
        </w:rPr>
        <w:t> </w:t>
      </w:r>
      <w:r w:rsidRPr="00945FE6" w:rsidR="009A7593">
        <w:rPr>
          <w:szCs w:val="26"/>
        </w:rPr>
        <w:t>Cal.4th 911, 921</w:t>
      </w:r>
      <w:r w:rsidRPr="00945FE6" w:rsidR="002004D1">
        <w:rPr>
          <w:szCs w:val="26"/>
        </w:rPr>
        <w:t xml:space="preserve">; accord, </w:t>
      </w:r>
      <w:r w:rsidRPr="00945FE6" w:rsidR="002004D1">
        <w:rPr>
          <w:i/>
          <w:iCs/>
          <w:szCs w:val="26"/>
        </w:rPr>
        <w:t>Oncale v. Sundowner Offshore Serv</w:t>
      </w:r>
      <w:r w:rsidR="003B4667">
        <w:rPr>
          <w:i/>
          <w:iCs/>
          <w:szCs w:val="26"/>
        </w:rPr>
        <w:t>ice</w:t>
      </w:r>
      <w:r w:rsidRPr="00945FE6" w:rsidR="002004D1">
        <w:rPr>
          <w:i/>
          <w:iCs/>
          <w:szCs w:val="26"/>
        </w:rPr>
        <w:t>s</w:t>
      </w:r>
      <w:r w:rsidRPr="00945FE6" w:rsidR="00E70737">
        <w:rPr>
          <w:i/>
          <w:iCs/>
          <w:szCs w:val="26"/>
        </w:rPr>
        <w:t>, Inc.</w:t>
      </w:r>
      <w:r w:rsidRPr="00945FE6" w:rsidR="002004D1">
        <w:rPr>
          <w:szCs w:val="26"/>
        </w:rPr>
        <w:t xml:space="preserve"> (1998) 523 U.S. 75, 79 [noting that </w:t>
      </w:r>
      <w:r w:rsidR="00832DCC">
        <w:rPr>
          <w:szCs w:val="26"/>
        </w:rPr>
        <w:t>statutory prohibitions</w:t>
      </w:r>
      <w:r w:rsidRPr="00945FE6" w:rsidR="002004D1">
        <w:rPr>
          <w:szCs w:val="26"/>
        </w:rPr>
        <w:t xml:space="preserve"> “often go beyond the principal evil to cover reasonably comparable evils, and it is ultimately the provisions of our laws rather than the principal concerns of our legislators by which we are governed”]</w:t>
      </w:r>
      <w:r w:rsidRPr="00945FE6" w:rsidR="00F44E82">
        <w:rPr>
          <w:szCs w:val="26"/>
        </w:rPr>
        <w:t>.)</w:t>
      </w:r>
      <w:r w:rsidR="00273A7A">
        <w:rPr>
          <w:szCs w:val="26"/>
        </w:rPr>
        <w:t xml:space="preserve">  And as explained </w:t>
      </w:r>
      <w:r w:rsidRPr="00273A7A" w:rsidR="00273A7A">
        <w:rPr>
          <w:i/>
          <w:iCs/>
          <w:szCs w:val="26"/>
        </w:rPr>
        <w:t>ante</w:t>
      </w:r>
      <w:r w:rsidR="00273A7A">
        <w:rPr>
          <w:szCs w:val="26"/>
        </w:rPr>
        <w:t>, the language of section 632.7</w:t>
      </w:r>
      <w:r w:rsidR="007673E2">
        <w:rPr>
          <w:szCs w:val="26"/>
        </w:rPr>
        <w:t>(a)</w:t>
      </w:r>
      <w:r w:rsidR="00273A7A">
        <w:rPr>
          <w:szCs w:val="26"/>
        </w:rPr>
        <w:t xml:space="preserve"> is best read as</w:t>
      </w:r>
      <w:r w:rsidR="008652F4">
        <w:rPr>
          <w:szCs w:val="26"/>
        </w:rPr>
        <w:t xml:space="preserve"> addressing this</w:t>
      </w:r>
      <w:r w:rsidR="009312F4">
        <w:rPr>
          <w:szCs w:val="26"/>
        </w:rPr>
        <w:t xml:space="preserve"> more </w:t>
      </w:r>
      <w:r w:rsidR="00187CB8">
        <w:rPr>
          <w:szCs w:val="26"/>
        </w:rPr>
        <w:t>far-reaching</w:t>
      </w:r>
      <w:r w:rsidR="008652F4">
        <w:rPr>
          <w:szCs w:val="26"/>
        </w:rPr>
        <w:t xml:space="preserve"> concern by</w:t>
      </w:r>
      <w:r w:rsidR="00273A7A">
        <w:rPr>
          <w:szCs w:val="26"/>
        </w:rPr>
        <w:t xml:space="preserve"> encompassing recordation by parties and nonparties alike.  </w:t>
      </w:r>
      <w:r w:rsidR="008652F4">
        <w:rPr>
          <w:szCs w:val="26"/>
        </w:rPr>
        <w:t>In short</w:t>
      </w:r>
      <w:r w:rsidR="00273A7A">
        <w:rPr>
          <w:szCs w:val="26"/>
        </w:rPr>
        <w:t>, even if certain scenarios involving third-party recordation of phone conversations may have been particularly salient when the Legislature passed A</w:t>
      </w:r>
      <w:r w:rsidR="003F1724">
        <w:rPr>
          <w:szCs w:val="26"/>
        </w:rPr>
        <w:t xml:space="preserve">ssembly </w:t>
      </w:r>
      <w:r w:rsidR="00273A7A">
        <w:rPr>
          <w:szCs w:val="26"/>
        </w:rPr>
        <w:t>B</w:t>
      </w:r>
      <w:r w:rsidR="003F1724">
        <w:rPr>
          <w:szCs w:val="26"/>
        </w:rPr>
        <w:t>ill</w:t>
      </w:r>
      <w:r w:rsidR="00273A7A">
        <w:rPr>
          <w:szCs w:val="26"/>
        </w:rPr>
        <w:t xml:space="preserve"> 2465, that does not mean section 632.7 applies only in those circumstances.  </w:t>
      </w:r>
    </w:p>
    <w:p w:rsidR="008A666A" w:rsidRPr="00157632" w:rsidP="0010015A" w14:paraId="09E81D6D" w14:textId="1D926867">
      <w:pPr>
        <w:pStyle w:val="Heading2"/>
      </w:pPr>
      <w:r w:rsidRPr="00EC0C84">
        <w:t>Interpreting Section 632.7 as Applicable to</w:t>
      </w:r>
      <w:r w:rsidRPr="00EC0C84" w:rsidR="008652F4">
        <w:t xml:space="preserve"> Recording by</w:t>
      </w:r>
      <w:r w:rsidRPr="00EC0C84">
        <w:t xml:space="preserve"> Parties </w:t>
      </w:r>
      <w:r w:rsidRPr="00EC0C84" w:rsidR="00711574">
        <w:t xml:space="preserve">Better </w:t>
      </w:r>
      <w:r w:rsidRPr="00EC0C84">
        <w:t>Promote</w:t>
      </w:r>
      <w:r w:rsidR="007D369A">
        <w:t>s</w:t>
      </w:r>
      <w:r w:rsidRPr="00EC0C84">
        <w:t xml:space="preserve"> the </w:t>
      </w:r>
      <w:r w:rsidRPr="00EC0C84" w:rsidR="00B02CA9">
        <w:t>Statutory Scheme’s</w:t>
      </w:r>
      <w:r w:rsidRPr="00CF147F">
        <w:t xml:space="preserve"> Goal </w:t>
      </w:r>
      <w:r w:rsidRPr="00CF147F" w:rsidR="00B02CA9">
        <w:t>of</w:t>
      </w:r>
      <w:r w:rsidRPr="008118F2">
        <w:t xml:space="preserve"> Protect</w:t>
      </w:r>
      <w:r w:rsidRPr="0099214B" w:rsidR="00B02CA9">
        <w:t>ing</w:t>
      </w:r>
      <w:r w:rsidRPr="0099214B">
        <w:t xml:space="preserve"> Privacy in Communications</w:t>
      </w:r>
    </w:p>
    <w:p w:rsidR="008A666A" w:rsidRPr="00945FE6" w:rsidP="0010015A" w14:paraId="4BA812DA" w14:textId="60A147CD">
      <w:pPr>
        <w:keepNext/>
        <w:tabs>
          <w:tab w:val="left" w:pos="1440"/>
        </w:tabs>
        <w:ind w:firstLine="720"/>
        <w:rPr>
          <w:color w:val="000000" w:themeColor="text1"/>
          <w:szCs w:val="26"/>
        </w:rPr>
      </w:pPr>
      <w:r>
        <w:rPr>
          <w:szCs w:val="26"/>
        </w:rPr>
        <w:t>Policy considerations enshrined in the statutory scheme also</w:t>
      </w:r>
      <w:r w:rsidR="00273A7A">
        <w:rPr>
          <w:szCs w:val="26"/>
        </w:rPr>
        <w:t xml:space="preserve"> </w:t>
      </w:r>
      <w:r>
        <w:rPr>
          <w:szCs w:val="26"/>
        </w:rPr>
        <w:t>point toward</w:t>
      </w:r>
      <w:r w:rsidR="00273A7A">
        <w:rPr>
          <w:szCs w:val="26"/>
        </w:rPr>
        <w:t xml:space="preserve"> an interpretation of section 632.7 as applicable to recording by parties as well as nonparties</w:t>
      </w:r>
      <w:r>
        <w:rPr>
          <w:szCs w:val="26"/>
        </w:rPr>
        <w:t xml:space="preserve">. </w:t>
      </w:r>
      <w:r w:rsidR="006519A7">
        <w:rPr>
          <w:szCs w:val="26"/>
        </w:rPr>
        <w:t xml:space="preserve"> </w:t>
      </w:r>
      <w:r>
        <w:rPr>
          <w:szCs w:val="26"/>
        </w:rPr>
        <w:t>Such an interpretation</w:t>
      </w:r>
      <w:r w:rsidR="006519A7">
        <w:rPr>
          <w:szCs w:val="26"/>
        </w:rPr>
        <w:t xml:space="preserve"> is </w:t>
      </w:r>
      <w:r>
        <w:rPr>
          <w:szCs w:val="26"/>
        </w:rPr>
        <w:t>in synch</w:t>
      </w:r>
      <w:r w:rsidRPr="00945FE6" w:rsidR="009D4237">
        <w:rPr>
          <w:szCs w:val="26"/>
        </w:rPr>
        <w:t xml:space="preserve"> </w:t>
      </w:r>
      <w:r w:rsidRPr="00945FE6" w:rsidR="0057173C">
        <w:rPr>
          <w:szCs w:val="26"/>
        </w:rPr>
        <w:t xml:space="preserve">with </w:t>
      </w:r>
      <w:r w:rsidRPr="00945FE6" w:rsidR="0063101D">
        <w:rPr>
          <w:szCs w:val="26"/>
        </w:rPr>
        <w:t>expressions of intent</w:t>
      </w:r>
      <w:r w:rsidR="00187CB8">
        <w:rPr>
          <w:szCs w:val="26"/>
        </w:rPr>
        <w:t>, findings, and declarations</w:t>
      </w:r>
      <w:r w:rsidRPr="00945FE6" w:rsidR="0063101D">
        <w:rPr>
          <w:szCs w:val="26"/>
        </w:rPr>
        <w:t xml:space="preserve"> </w:t>
      </w:r>
      <w:r w:rsidR="008652F4">
        <w:rPr>
          <w:szCs w:val="26"/>
        </w:rPr>
        <w:t>within the Invasion of Privacy Act</w:t>
      </w:r>
      <w:r w:rsidR="006519A7">
        <w:rPr>
          <w:szCs w:val="26"/>
        </w:rPr>
        <w:t>,</w:t>
      </w:r>
      <w:r w:rsidRPr="00945FE6" w:rsidR="0063101D">
        <w:rPr>
          <w:szCs w:val="26"/>
        </w:rPr>
        <w:t xml:space="preserve"> and </w:t>
      </w:r>
      <w:r w:rsidRPr="00945FE6" w:rsidR="00F27991">
        <w:rPr>
          <w:color w:val="000000" w:themeColor="text1"/>
          <w:szCs w:val="26"/>
        </w:rPr>
        <w:t xml:space="preserve">with </w:t>
      </w:r>
      <w:r w:rsidRPr="00945FE6" w:rsidR="0063101D">
        <w:rPr>
          <w:color w:val="000000" w:themeColor="text1"/>
          <w:szCs w:val="26"/>
        </w:rPr>
        <w:t xml:space="preserve">what we have </w:t>
      </w:r>
      <w:r w:rsidRPr="00945FE6" w:rsidR="00E46950">
        <w:rPr>
          <w:color w:val="000000" w:themeColor="text1"/>
          <w:szCs w:val="26"/>
        </w:rPr>
        <w:t xml:space="preserve">understood </w:t>
      </w:r>
      <w:r w:rsidR="006519A7">
        <w:rPr>
          <w:color w:val="000000" w:themeColor="text1"/>
          <w:szCs w:val="26"/>
        </w:rPr>
        <w:t>to be</w:t>
      </w:r>
      <w:r w:rsidRPr="00945FE6" w:rsidR="0063101D">
        <w:rPr>
          <w:color w:val="000000" w:themeColor="text1"/>
          <w:szCs w:val="26"/>
        </w:rPr>
        <w:t xml:space="preserve"> the Legislature’s </w:t>
      </w:r>
      <w:r w:rsidR="001402B4">
        <w:rPr>
          <w:color w:val="000000" w:themeColor="text1"/>
          <w:szCs w:val="26"/>
        </w:rPr>
        <w:t>rationales for</w:t>
      </w:r>
      <w:r w:rsidR="006519A7">
        <w:rPr>
          <w:color w:val="000000" w:themeColor="text1"/>
          <w:szCs w:val="26"/>
        </w:rPr>
        <w:t xml:space="preserve"> </w:t>
      </w:r>
      <w:r w:rsidR="001402B4">
        <w:rPr>
          <w:color w:val="000000" w:themeColor="text1"/>
          <w:szCs w:val="26"/>
        </w:rPr>
        <w:t>shielding certain</w:t>
      </w:r>
      <w:r>
        <w:rPr>
          <w:color w:val="000000" w:themeColor="text1"/>
          <w:szCs w:val="26"/>
        </w:rPr>
        <w:t xml:space="preserve"> </w:t>
      </w:r>
      <w:r w:rsidR="001402B4">
        <w:rPr>
          <w:color w:val="000000" w:themeColor="text1"/>
          <w:szCs w:val="26"/>
        </w:rPr>
        <w:t>kinds of</w:t>
      </w:r>
      <w:r w:rsidR="006519A7">
        <w:rPr>
          <w:color w:val="000000" w:themeColor="text1"/>
          <w:szCs w:val="26"/>
        </w:rPr>
        <w:t xml:space="preserve"> communications</w:t>
      </w:r>
      <w:r w:rsidR="001402B4">
        <w:rPr>
          <w:color w:val="000000" w:themeColor="text1"/>
          <w:szCs w:val="26"/>
        </w:rPr>
        <w:t xml:space="preserve"> from recording</w:t>
      </w:r>
      <w:r w:rsidRPr="00945FE6" w:rsidR="0063101D">
        <w:rPr>
          <w:color w:val="000000" w:themeColor="text1"/>
          <w:szCs w:val="26"/>
        </w:rPr>
        <w:t xml:space="preserve">.  </w:t>
      </w:r>
    </w:p>
    <w:p w:rsidR="00B0258D" w:rsidRPr="00945FE6" w:rsidP="00945FE6" w14:paraId="367E589A" w14:textId="123CAB57">
      <w:pPr>
        <w:tabs>
          <w:tab w:val="left" w:pos="1440"/>
        </w:tabs>
        <w:ind w:firstLine="720"/>
        <w:rPr>
          <w:szCs w:val="26"/>
        </w:rPr>
      </w:pPr>
      <w:r w:rsidRPr="00945FE6">
        <w:rPr>
          <w:color w:val="000000" w:themeColor="text1"/>
          <w:szCs w:val="26"/>
          <w:shd w:val="clear" w:color="auto" w:fill="FFFFFF"/>
        </w:rPr>
        <w:t xml:space="preserve">“In enacting [the </w:t>
      </w:r>
      <w:r w:rsidRPr="00945FE6" w:rsidR="005544CB">
        <w:rPr>
          <w:color w:val="000000" w:themeColor="text1"/>
          <w:szCs w:val="26"/>
          <w:shd w:val="clear" w:color="auto" w:fill="FFFFFF"/>
        </w:rPr>
        <w:t xml:space="preserve">Invasion of </w:t>
      </w:r>
      <w:r w:rsidRPr="00945FE6">
        <w:rPr>
          <w:color w:val="000000" w:themeColor="text1"/>
          <w:szCs w:val="26"/>
          <w:shd w:val="clear" w:color="auto" w:fill="FFFFFF"/>
        </w:rPr>
        <w:t>Privacy Act], the Legislature declared in broad terms its intent ‘to protect the right of privacy of the people of this state’ from what it perceived as ‘a serious threat to the free exercise of personal liberties [that] cannot be tolerated in a free and civilized society.’  (Pen. Code, §</w:t>
      </w:r>
      <w:r w:rsidR="00AC4560">
        <w:rPr>
          <w:color w:val="000000" w:themeColor="text1"/>
          <w:szCs w:val="26"/>
          <w:shd w:val="clear" w:color="auto" w:fill="FFFFFF"/>
        </w:rPr>
        <w:t> </w:t>
      </w:r>
      <w:r w:rsidRPr="00945FE6">
        <w:rPr>
          <w:color w:val="000000" w:themeColor="text1"/>
          <w:szCs w:val="26"/>
          <w:shd w:val="clear" w:color="auto" w:fill="FFFFFF"/>
        </w:rPr>
        <w:t>630.)  This philosophy appears to lie at the heart of virtually all the decisions construing the Privacy Act.”  (</w:t>
      </w:r>
      <w:r w:rsidRPr="00945FE6">
        <w:rPr>
          <w:i/>
          <w:iCs/>
          <w:color w:val="000000" w:themeColor="text1"/>
          <w:szCs w:val="26"/>
          <w:shd w:val="clear" w:color="auto" w:fill="FFFFFF"/>
        </w:rPr>
        <w:t>Ribas v. Clark</w:t>
      </w:r>
      <w:r w:rsidRPr="00945FE6" w:rsidR="00631B80">
        <w:rPr>
          <w:color w:val="000000" w:themeColor="text1"/>
          <w:szCs w:val="26"/>
          <w:shd w:val="clear" w:color="auto" w:fill="FFFFFF"/>
        </w:rPr>
        <w:t xml:space="preserve"> (1985) </w:t>
      </w:r>
      <w:r w:rsidRPr="00945FE6">
        <w:rPr>
          <w:color w:val="000000" w:themeColor="text1"/>
          <w:szCs w:val="26"/>
          <w:shd w:val="clear" w:color="auto" w:fill="FFFFFF"/>
        </w:rPr>
        <w:t>38</w:t>
      </w:r>
      <w:r w:rsidR="00C17F72">
        <w:rPr>
          <w:color w:val="000000" w:themeColor="text1"/>
          <w:szCs w:val="26"/>
          <w:shd w:val="clear" w:color="auto" w:fill="FFFFFF"/>
        </w:rPr>
        <w:t> </w:t>
      </w:r>
      <w:r w:rsidRPr="00945FE6">
        <w:rPr>
          <w:color w:val="000000" w:themeColor="text1"/>
          <w:szCs w:val="26"/>
          <w:shd w:val="clear" w:color="auto" w:fill="FFFFFF"/>
        </w:rPr>
        <w:t xml:space="preserve">Cal.3d </w:t>
      </w:r>
      <w:r w:rsidRPr="00945FE6" w:rsidR="00631B80">
        <w:rPr>
          <w:color w:val="000000" w:themeColor="text1"/>
          <w:szCs w:val="26"/>
          <w:shd w:val="clear" w:color="auto" w:fill="FFFFFF"/>
        </w:rPr>
        <w:t>355,</w:t>
      </w:r>
      <w:r w:rsidRPr="00945FE6">
        <w:rPr>
          <w:color w:val="000000" w:themeColor="text1"/>
          <w:szCs w:val="26"/>
          <w:shd w:val="clear" w:color="auto" w:fill="FFFFFF"/>
        </w:rPr>
        <w:t xml:space="preserve"> 359</w:t>
      </w:r>
      <w:r w:rsidRPr="00945FE6" w:rsidR="00103285">
        <w:rPr>
          <w:color w:val="000000" w:themeColor="text1"/>
          <w:szCs w:val="26"/>
          <w:shd w:val="clear" w:color="auto" w:fill="FFFFFF"/>
        </w:rPr>
        <w:t xml:space="preserve"> (</w:t>
      </w:r>
      <w:r w:rsidRPr="00945FE6" w:rsidR="00103285">
        <w:rPr>
          <w:i/>
          <w:iCs/>
          <w:color w:val="000000" w:themeColor="text1"/>
          <w:szCs w:val="26"/>
          <w:shd w:val="clear" w:color="auto" w:fill="FFFFFF"/>
        </w:rPr>
        <w:t>Ribas</w:t>
      </w:r>
      <w:r w:rsidRPr="00945FE6" w:rsidR="00103285">
        <w:rPr>
          <w:color w:val="000000" w:themeColor="text1"/>
          <w:szCs w:val="26"/>
          <w:shd w:val="clear" w:color="auto" w:fill="FFFFFF"/>
        </w:rPr>
        <w:t>)</w:t>
      </w:r>
      <w:r w:rsidRPr="00945FE6">
        <w:rPr>
          <w:color w:val="000000" w:themeColor="text1"/>
          <w:szCs w:val="26"/>
          <w:shd w:val="clear" w:color="auto" w:fill="FFFFFF"/>
        </w:rPr>
        <w:t xml:space="preserve">.) </w:t>
      </w:r>
      <w:r w:rsidRPr="00945FE6" w:rsidR="003431CC">
        <w:rPr>
          <w:color w:val="000000" w:themeColor="text1"/>
          <w:szCs w:val="26"/>
          <w:shd w:val="clear" w:color="auto" w:fill="FFFFFF"/>
        </w:rPr>
        <w:t xml:space="preserve"> </w:t>
      </w:r>
      <w:r w:rsidRPr="00945FE6" w:rsidR="00284707">
        <w:rPr>
          <w:color w:val="000000" w:themeColor="text1"/>
          <w:szCs w:val="26"/>
        </w:rPr>
        <w:t xml:space="preserve">As we observed in </w:t>
      </w:r>
      <w:r w:rsidRPr="00945FE6" w:rsidR="00284707">
        <w:rPr>
          <w:i/>
          <w:iCs/>
          <w:color w:val="000000" w:themeColor="text1"/>
          <w:szCs w:val="26"/>
        </w:rPr>
        <w:t>Flanagan</w:t>
      </w:r>
      <w:r w:rsidRPr="00945FE6" w:rsidR="00284707">
        <w:rPr>
          <w:color w:val="000000" w:themeColor="text1"/>
          <w:szCs w:val="26"/>
        </w:rPr>
        <w:t xml:space="preserve">, </w:t>
      </w:r>
      <w:r w:rsidRPr="00945FE6" w:rsidR="00284707">
        <w:rPr>
          <w:i/>
          <w:iCs/>
          <w:color w:val="000000" w:themeColor="text1"/>
          <w:szCs w:val="26"/>
        </w:rPr>
        <w:t>supra</w:t>
      </w:r>
      <w:r w:rsidRPr="00945FE6" w:rsidR="00284707">
        <w:rPr>
          <w:color w:val="000000" w:themeColor="text1"/>
          <w:szCs w:val="26"/>
        </w:rPr>
        <w:t xml:space="preserve">, 27 Cal.4th </w:t>
      </w:r>
      <w:r w:rsidR="00EA31AB">
        <w:rPr>
          <w:color w:val="000000" w:themeColor="text1"/>
          <w:szCs w:val="26"/>
        </w:rPr>
        <w:t>766</w:t>
      </w:r>
      <w:r w:rsidRPr="00945FE6" w:rsidR="00284707">
        <w:rPr>
          <w:color w:val="000000" w:themeColor="text1"/>
          <w:szCs w:val="26"/>
        </w:rPr>
        <w:t>, i</w:t>
      </w:r>
      <w:r w:rsidRPr="00945FE6">
        <w:rPr>
          <w:color w:val="000000" w:themeColor="text1"/>
          <w:szCs w:val="26"/>
        </w:rPr>
        <w:t>n</w:t>
      </w:r>
      <w:r w:rsidRPr="00945FE6" w:rsidR="0063101D">
        <w:rPr>
          <w:color w:val="000000" w:themeColor="text1"/>
          <w:szCs w:val="26"/>
        </w:rPr>
        <w:t xml:space="preserve"> </w:t>
      </w:r>
      <w:r w:rsidRPr="00945FE6" w:rsidR="005544CB">
        <w:rPr>
          <w:color w:val="000000" w:themeColor="text1"/>
          <w:szCs w:val="26"/>
        </w:rPr>
        <w:t>subsequently</w:t>
      </w:r>
      <w:r w:rsidRPr="00945FE6">
        <w:rPr>
          <w:color w:val="000000" w:themeColor="text1"/>
          <w:szCs w:val="26"/>
        </w:rPr>
        <w:t xml:space="preserve"> enacting the Cellular Radio </w:t>
      </w:r>
      <w:r w:rsidRPr="00945FE6" w:rsidR="0080556C">
        <w:rPr>
          <w:color w:val="000000" w:themeColor="text1"/>
          <w:szCs w:val="26"/>
        </w:rPr>
        <w:t xml:space="preserve">Telephone </w:t>
      </w:r>
      <w:r w:rsidRPr="00945FE6">
        <w:rPr>
          <w:color w:val="000000" w:themeColor="text1"/>
          <w:szCs w:val="26"/>
        </w:rPr>
        <w:t>Privacy Act of 1985</w:t>
      </w:r>
      <w:r w:rsidRPr="00945FE6" w:rsidR="008F0454">
        <w:rPr>
          <w:color w:val="000000" w:themeColor="text1"/>
          <w:szCs w:val="26"/>
        </w:rPr>
        <w:t>,</w:t>
      </w:r>
      <w:r w:rsidRPr="00945FE6">
        <w:rPr>
          <w:color w:val="000000" w:themeColor="text1"/>
          <w:szCs w:val="26"/>
        </w:rPr>
        <w:t xml:space="preserve"> the Legislature found and declared, “</w:t>
      </w:r>
      <w:r w:rsidRPr="00945FE6" w:rsidR="00284707">
        <w:rPr>
          <w:color w:val="000000" w:themeColor="text1"/>
          <w:szCs w:val="26"/>
        </w:rPr>
        <w:t> ‘</w:t>
      </w:r>
      <w:r w:rsidRPr="00945FE6">
        <w:rPr>
          <w:color w:val="000000" w:themeColor="text1"/>
          <w:szCs w:val="26"/>
        </w:rPr>
        <w:t>the advent of widespread use of cellular radio telephone technology means that persons will be conversing over a network which cannot guarantee privacy in the same way that it is guaranteed over landline systems</w:t>
      </w:r>
      <w:r w:rsidRPr="00945FE6" w:rsidR="00E70737">
        <w:rPr>
          <w:color w:val="000000" w:themeColor="text1"/>
          <w:szCs w:val="26"/>
        </w:rPr>
        <w:t>.</w:t>
      </w:r>
      <w:r w:rsidRPr="00945FE6" w:rsidR="00284707">
        <w:rPr>
          <w:color w:val="000000" w:themeColor="text1"/>
          <w:szCs w:val="26"/>
        </w:rPr>
        <w:t>’ </w:t>
      </w:r>
      <w:r w:rsidRPr="00945FE6">
        <w:rPr>
          <w:color w:val="000000" w:themeColor="text1"/>
          <w:szCs w:val="26"/>
        </w:rPr>
        <w:t xml:space="preserve">” </w:t>
      </w:r>
      <w:r w:rsidRPr="00945FE6" w:rsidR="00E70737">
        <w:rPr>
          <w:color w:val="000000" w:themeColor="text1"/>
          <w:szCs w:val="26"/>
        </w:rPr>
        <w:t xml:space="preserve"> </w:t>
      </w:r>
      <w:r w:rsidR="00EA31AB">
        <w:rPr>
          <w:color w:val="000000" w:themeColor="text1"/>
          <w:szCs w:val="26"/>
        </w:rPr>
        <w:t>(</w:t>
      </w:r>
      <w:r w:rsidRPr="00EA31AB" w:rsidR="00EA31AB">
        <w:rPr>
          <w:i/>
          <w:iCs/>
          <w:color w:val="000000" w:themeColor="text1"/>
          <w:szCs w:val="26"/>
        </w:rPr>
        <w:t>Flanagan</w:t>
      </w:r>
      <w:r w:rsidR="00EA31AB">
        <w:rPr>
          <w:color w:val="000000" w:themeColor="text1"/>
          <w:szCs w:val="26"/>
        </w:rPr>
        <w:t>, at pp.</w:t>
      </w:r>
      <w:r w:rsidR="00C17F72">
        <w:rPr>
          <w:color w:val="000000" w:themeColor="text1"/>
          <w:szCs w:val="26"/>
        </w:rPr>
        <w:t> </w:t>
      </w:r>
      <w:r w:rsidR="00EA31AB">
        <w:rPr>
          <w:color w:val="000000" w:themeColor="text1"/>
          <w:szCs w:val="26"/>
        </w:rPr>
        <w:t xml:space="preserve">775–776, quoting Stats. 1985, ch. 909, </w:t>
      </w:r>
      <w:r w:rsidRPr="00945FE6" w:rsidR="00EA31AB">
        <w:rPr>
          <w:szCs w:val="26"/>
        </w:rPr>
        <w:t>§ </w:t>
      </w:r>
      <w:r w:rsidR="00EA31AB">
        <w:rPr>
          <w:color w:val="000000" w:themeColor="text1"/>
          <w:szCs w:val="26"/>
        </w:rPr>
        <w:t>2, p. 2900.)  But significantly</w:t>
      </w:r>
      <w:r w:rsidRPr="00945FE6" w:rsidR="00631B80">
        <w:rPr>
          <w:szCs w:val="26"/>
        </w:rPr>
        <w:t>,</w:t>
      </w:r>
      <w:r w:rsidRPr="00945FE6">
        <w:rPr>
          <w:szCs w:val="26"/>
        </w:rPr>
        <w:t xml:space="preserve"> </w:t>
      </w:r>
      <w:r w:rsidRPr="00945FE6" w:rsidR="00284707">
        <w:rPr>
          <w:szCs w:val="26"/>
        </w:rPr>
        <w:t xml:space="preserve">the Legislature also </w:t>
      </w:r>
      <w:r w:rsidRPr="00945FE6" w:rsidR="00E70737">
        <w:rPr>
          <w:szCs w:val="26"/>
        </w:rPr>
        <w:t xml:space="preserve">declared in </w:t>
      </w:r>
      <w:r w:rsidRPr="00945FE6" w:rsidR="00FD61F2">
        <w:rPr>
          <w:szCs w:val="26"/>
        </w:rPr>
        <w:t>the 1985 law</w:t>
      </w:r>
      <w:r w:rsidRPr="00945FE6" w:rsidR="00284707">
        <w:rPr>
          <w:szCs w:val="26"/>
        </w:rPr>
        <w:t xml:space="preserve"> that </w:t>
      </w:r>
      <w:r w:rsidRPr="00945FE6">
        <w:rPr>
          <w:szCs w:val="26"/>
        </w:rPr>
        <w:t>“parties to a cellular radio telephone communication have a right o</w:t>
      </w:r>
      <w:r w:rsidR="007103EC">
        <w:rPr>
          <w:szCs w:val="26"/>
        </w:rPr>
        <w:t>f</w:t>
      </w:r>
      <w:r w:rsidRPr="00945FE6">
        <w:rPr>
          <w:szCs w:val="26"/>
        </w:rPr>
        <w:t xml:space="preserve"> privacy in that communication.”  </w:t>
      </w:r>
      <w:r w:rsidRPr="00945FE6" w:rsidR="005544CB">
        <w:rPr>
          <w:szCs w:val="26"/>
        </w:rPr>
        <w:t xml:space="preserve">(Stats. 1985, ch. 909, § 2, p. 2900.)  </w:t>
      </w:r>
      <w:r w:rsidR="009312F4">
        <w:rPr>
          <w:szCs w:val="26"/>
        </w:rPr>
        <w:t>The Legislature made similar findings and declarations w</w:t>
      </w:r>
      <w:r w:rsidRPr="00945FE6" w:rsidR="00433922">
        <w:rPr>
          <w:szCs w:val="26"/>
        </w:rPr>
        <w:t xml:space="preserve">hen, five years later, </w:t>
      </w:r>
      <w:r w:rsidR="009312F4">
        <w:rPr>
          <w:szCs w:val="26"/>
        </w:rPr>
        <w:t>it</w:t>
      </w:r>
      <w:r w:rsidRPr="00945FE6" w:rsidR="00433922">
        <w:rPr>
          <w:szCs w:val="26"/>
        </w:rPr>
        <w:t xml:space="preserve"> retitled th</w:t>
      </w:r>
      <w:r w:rsidR="00EA31AB">
        <w:rPr>
          <w:szCs w:val="26"/>
        </w:rPr>
        <w:t>e 1985</w:t>
      </w:r>
      <w:r w:rsidRPr="00945FE6" w:rsidR="00433922">
        <w:rPr>
          <w:szCs w:val="26"/>
        </w:rPr>
        <w:t xml:space="preserve"> law the Cordless and Cellular Radio </w:t>
      </w:r>
      <w:r w:rsidRPr="00945FE6" w:rsidR="00812C72">
        <w:rPr>
          <w:szCs w:val="26"/>
        </w:rPr>
        <w:t xml:space="preserve">Telephone </w:t>
      </w:r>
      <w:r w:rsidRPr="00945FE6" w:rsidR="00433922">
        <w:rPr>
          <w:szCs w:val="26"/>
        </w:rPr>
        <w:t>Privacy Act and protected</w:t>
      </w:r>
      <w:r w:rsidRPr="00945FE6" w:rsidR="00631B80">
        <w:rPr>
          <w:szCs w:val="26"/>
        </w:rPr>
        <w:t xml:space="preserve"> communications involving cordless phones from malicious interception and receipt.  </w:t>
      </w:r>
      <w:r w:rsidRPr="00945FE6" w:rsidR="00F92E39">
        <w:rPr>
          <w:szCs w:val="26"/>
        </w:rPr>
        <w:t xml:space="preserve">(Stats. 1990, ch. 696, </w:t>
      </w:r>
      <w:r w:rsidRPr="00945FE6" w:rsidR="00433922">
        <w:rPr>
          <w:szCs w:val="26"/>
        </w:rPr>
        <w:t>§</w:t>
      </w:r>
      <w:r w:rsidRPr="00945FE6" w:rsidR="00F92E39">
        <w:rPr>
          <w:szCs w:val="26"/>
        </w:rPr>
        <w:t>§ </w:t>
      </w:r>
      <w:r w:rsidRPr="00945FE6" w:rsidR="00433922">
        <w:rPr>
          <w:szCs w:val="26"/>
        </w:rPr>
        <w:t xml:space="preserve">1, </w:t>
      </w:r>
      <w:r w:rsidRPr="00945FE6" w:rsidR="00F92E39">
        <w:rPr>
          <w:szCs w:val="26"/>
        </w:rPr>
        <w:t xml:space="preserve">2, </w:t>
      </w:r>
      <w:r w:rsidRPr="00945FE6" w:rsidR="00433922">
        <w:rPr>
          <w:szCs w:val="26"/>
        </w:rPr>
        <w:t>p</w:t>
      </w:r>
      <w:r w:rsidRPr="00945FE6" w:rsidR="00F92E39">
        <w:rPr>
          <w:szCs w:val="26"/>
        </w:rPr>
        <w:t xml:space="preserve">p. </w:t>
      </w:r>
      <w:r w:rsidRPr="00945FE6" w:rsidR="00433922">
        <w:rPr>
          <w:szCs w:val="26"/>
        </w:rPr>
        <w:t xml:space="preserve">3267, </w:t>
      </w:r>
      <w:r w:rsidRPr="00945FE6" w:rsidR="00F92E39">
        <w:rPr>
          <w:szCs w:val="26"/>
        </w:rPr>
        <w:t xml:space="preserve">3268.)  </w:t>
      </w:r>
    </w:p>
    <w:p w:rsidR="005A5E3D" w:rsidRPr="00945FE6" w:rsidP="00945FE6" w14:paraId="038F819C" w14:textId="766FE243">
      <w:pPr>
        <w:tabs>
          <w:tab w:val="left" w:pos="1440"/>
        </w:tabs>
        <w:ind w:firstLine="720"/>
        <w:rPr>
          <w:color w:val="000000" w:themeColor="text1"/>
          <w:szCs w:val="26"/>
        </w:rPr>
      </w:pPr>
      <w:r>
        <w:rPr>
          <w:szCs w:val="26"/>
        </w:rPr>
        <w:t xml:space="preserve">The interpretation of section 632.7 we adopt is better aligned with these aims and declarations than a narrower interpretation would be.  </w:t>
      </w:r>
      <w:r w:rsidRPr="00945FE6" w:rsidR="0063101D">
        <w:rPr>
          <w:szCs w:val="26"/>
        </w:rPr>
        <w:t xml:space="preserve">Recording a communication without the speaker’s consent can implicate </w:t>
      </w:r>
      <w:r w:rsidRPr="00945FE6" w:rsidR="0063101D">
        <w:rPr>
          <w:color w:val="000000" w:themeColor="text1"/>
          <w:szCs w:val="26"/>
        </w:rPr>
        <w:t xml:space="preserve">significant privacy </w:t>
      </w:r>
      <w:r w:rsidRPr="00945FE6" w:rsidR="005544CB">
        <w:rPr>
          <w:color w:val="000000" w:themeColor="text1"/>
          <w:szCs w:val="26"/>
        </w:rPr>
        <w:t>concerns</w:t>
      </w:r>
      <w:r w:rsidRPr="00945FE6" w:rsidR="008F0454">
        <w:rPr>
          <w:color w:val="000000" w:themeColor="text1"/>
          <w:szCs w:val="26"/>
        </w:rPr>
        <w:t xml:space="preserve">, regardless of whether a party or </w:t>
      </w:r>
      <w:r w:rsidRPr="00945FE6" w:rsidR="00873239">
        <w:rPr>
          <w:color w:val="000000" w:themeColor="text1"/>
          <w:szCs w:val="26"/>
        </w:rPr>
        <w:t>someone else</w:t>
      </w:r>
      <w:r w:rsidRPr="00945FE6" w:rsidR="008F0454">
        <w:rPr>
          <w:color w:val="000000" w:themeColor="text1"/>
          <w:szCs w:val="26"/>
        </w:rPr>
        <w:t xml:space="preserve"> is performing the recording</w:t>
      </w:r>
      <w:r w:rsidRPr="00945FE6" w:rsidR="00103285">
        <w:rPr>
          <w:color w:val="000000" w:themeColor="text1"/>
          <w:szCs w:val="26"/>
        </w:rPr>
        <w:t xml:space="preserve">.  </w:t>
      </w:r>
      <w:r w:rsidRPr="00945FE6" w:rsidR="00812C72">
        <w:rPr>
          <w:color w:val="000000" w:themeColor="text1"/>
          <w:szCs w:val="26"/>
        </w:rPr>
        <w:t xml:space="preserve">As we explained in </w:t>
      </w:r>
      <w:r w:rsidRPr="00945FE6" w:rsidR="00812C72">
        <w:rPr>
          <w:i/>
          <w:iCs/>
          <w:color w:val="000000" w:themeColor="text1"/>
          <w:szCs w:val="26"/>
        </w:rPr>
        <w:t>Ribas</w:t>
      </w:r>
      <w:r w:rsidRPr="00945FE6" w:rsidR="00812C72">
        <w:rPr>
          <w:color w:val="000000" w:themeColor="text1"/>
          <w:szCs w:val="26"/>
        </w:rPr>
        <w:t xml:space="preserve">, </w:t>
      </w:r>
      <w:r w:rsidRPr="00945FE6" w:rsidR="00812C72">
        <w:rPr>
          <w:i/>
          <w:iCs/>
          <w:color w:val="000000" w:themeColor="text1"/>
          <w:szCs w:val="26"/>
        </w:rPr>
        <w:t>supra</w:t>
      </w:r>
      <w:r w:rsidRPr="00945FE6" w:rsidR="00812C72">
        <w:rPr>
          <w:color w:val="000000" w:themeColor="text1"/>
          <w:szCs w:val="26"/>
        </w:rPr>
        <w:t xml:space="preserve">, </w:t>
      </w:r>
      <w:r w:rsidRPr="00945FE6" w:rsidR="00812C72">
        <w:rPr>
          <w:color w:val="000000" w:themeColor="text1"/>
          <w:szCs w:val="26"/>
          <w:shd w:val="clear" w:color="auto" w:fill="FFFFFF"/>
        </w:rPr>
        <w:t>38 Cal.3d at pages 360–361</w:t>
      </w:r>
      <w:r w:rsidRPr="00945FE6" w:rsidR="00812C72">
        <w:rPr>
          <w:color w:val="000000" w:themeColor="text1"/>
          <w:szCs w:val="26"/>
        </w:rPr>
        <w:t xml:space="preserve">, </w:t>
      </w:r>
      <w:r w:rsidRPr="00945FE6" w:rsidR="00F92E39">
        <w:rPr>
          <w:color w:val="000000" w:themeColor="text1"/>
          <w:szCs w:val="26"/>
        </w:rPr>
        <w:t>“</w:t>
      </w:r>
      <w:r w:rsidRPr="00945FE6" w:rsidR="00F92E39">
        <w:rPr>
          <w:color w:val="000000" w:themeColor="text1"/>
          <w:szCs w:val="26"/>
          <w:shd w:val="clear" w:color="auto" w:fill="FFFFFF"/>
        </w:rPr>
        <w:t>While one who imparts private information risks the betrayal of his confidence by the other party, a substantial distinction has been recognized between the secondhand repetition of the contents of a conversation and its simultaneous dissemination to an unannounced second auditor, whether that auditor be a person or mechanical device.”  (</w:t>
      </w:r>
      <w:r w:rsidRPr="00945FE6" w:rsidR="00812C72">
        <w:rPr>
          <w:color w:val="000000" w:themeColor="text1"/>
          <w:szCs w:val="26"/>
          <w:shd w:val="clear" w:color="auto" w:fill="FFFFFF"/>
        </w:rPr>
        <w:t>S</w:t>
      </w:r>
      <w:r w:rsidRPr="00945FE6" w:rsidR="00F92E39">
        <w:rPr>
          <w:color w:val="000000" w:themeColor="text1"/>
          <w:szCs w:val="26"/>
          <w:shd w:val="clear" w:color="auto" w:fill="FFFFFF"/>
        </w:rPr>
        <w:t xml:space="preserve">ee also </w:t>
      </w:r>
      <w:r w:rsidRPr="00945FE6" w:rsidR="00F92E39">
        <w:rPr>
          <w:i/>
          <w:iCs/>
          <w:color w:val="000000" w:themeColor="text1"/>
          <w:szCs w:val="26"/>
          <w:shd w:val="clear" w:color="auto" w:fill="FFFFFF"/>
        </w:rPr>
        <w:t>Flanagan</w:t>
      </w:r>
      <w:r w:rsidRPr="00945FE6" w:rsidR="00F92E39">
        <w:rPr>
          <w:color w:val="000000" w:themeColor="text1"/>
          <w:szCs w:val="26"/>
          <w:shd w:val="clear" w:color="auto" w:fill="FFFFFF"/>
        </w:rPr>
        <w:t xml:space="preserve">, </w:t>
      </w:r>
      <w:r w:rsidRPr="00945FE6" w:rsidR="00F92E39">
        <w:rPr>
          <w:i/>
          <w:iCs/>
          <w:color w:val="000000" w:themeColor="text1"/>
          <w:szCs w:val="26"/>
          <w:shd w:val="clear" w:color="auto" w:fill="FFFFFF"/>
        </w:rPr>
        <w:t>supra</w:t>
      </w:r>
      <w:r w:rsidRPr="00945FE6" w:rsidR="00F92E39">
        <w:rPr>
          <w:color w:val="000000" w:themeColor="text1"/>
          <w:szCs w:val="26"/>
          <w:shd w:val="clear" w:color="auto" w:fill="FFFFFF"/>
        </w:rPr>
        <w:t>, 27 Cal.4th at p. 775;</w:t>
      </w:r>
      <w:r w:rsidRPr="00945FE6" w:rsidR="00103285">
        <w:rPr>
          <w:color w:val="000000" w:themeColor="text1"/>
          <w:szCs w:val="26"/>
          <w:shd w:val="clear" w:color="auto" w:fill="FFFFFF"/>
        </w:rPr>
        <w:t xml:space="preserve"> </w:t>
      </w:r>
      <w:r w:rsidRPr="00945FE6" w:rsidR="00F92E39">
        <w:rPr>
          <w:i/>
          <w:iCs/>
          <w:color w:val="000000" w:themeColor="text1"/>
          <w:szCs w:val="26"/>
          <w:shd w:val="clear" w:color="auto" w:fill="FFFFFF"/>
        </w:rPr>
        <w:t>Sanders v. American Broadcasting Companies</w:t>
      </w:r>
      <w:r w:rsidRPr="00945FE6" w:rsidR="00F92E39">
        <w:rPr>
          <w:color w:val="000000" w:themeColor="text1"/>
          <w:szCs w:val="26"/>
          <w:shd w:val="clear" w:color="auto" w:fill="FFFFFF"/>
        </w:rPr>
        <w:t xml:space="preserve"> (1999) 20 Cal.4th 907, 915.) </w:t>
      </w:r>
      <w:r w:rsidRPr="00945FE6" w:rsidR="00103285">
        <w:rPr>
          <w:color w:val="000000" w:themeColor="text1"/>
          <w:szCs w:val="26"/>
          <w:shd w:val="clear" w:color="auto" w:fill="FFFFFF"/>
        </w:rPr>
        <w:t xml:space="preserve"> </w:t>
      </w:r>
      <w:r w:rsidRPr="00945FE6" w:rsidR="00812C72">
        <w:rPr>
          <w:color w:val="000000" w:themeColor="text1"/>
          <w:szCs w:val="26"/>
          <w:shd w:val="clear" w:color="auto" w:fill="FFFFFF"/>
        </w:rPr>
        <w:t>Th</w:t>
      </w:r>
      <w:r w:rsidR="00EA31AB">
        <w:rPr>
          <w:color w:val="000000" w:themeColor="text1"/>
          <w:szCs w:val="26"/>
          <w:shd w:val="clear" w:color="auto" w:fill="FFFFFF"/>
        </w:rPr>
        <w:t>e</w:t>
      </w:r>
      <w:r w:rsidRPr="00945FE6" w:rsidR="00812C72">
        <w:rPr>
          <w:color w:val="000000" w:themeColor="text1"/>
          <w:szCs w:val="26"/>
          <w:shd w:val="clear" w:color="auto" w:fill="FFFFFF"/>
        </w:rPr>
        <w:t xml:space="preserve"> distinction</w:t>
      </w:r>
      <w:r w:rsidR="00EA31AB">
        <w:rPr>
          <w:color w:val="000000" w:themeColor="text1"/>
          <w:szCs w:val="26"/>
          <w:shd w:val="clear" w:color="auto" w:fill="FFFFFF"/>
        </w:rPr>
        <w:t xml:space="preserve"> stressed in </w:t>
      </w:r>
      <w:r w:rsidRPr="00EA31AB" w:rsidR="00EA31AB">
        <w:rPr>
          <w:i/>
          <w:iCs/>
          <w:color w:val="000000" w:themeColor="text1"/>
          <w:szCs w:val="26"/>
          <w:shd w:val="clear" w:color="auto" w:fill="FFFFFF"/>
        </w:rPr>
        <w:t>Ribas</w:t>
      </w:r>
      <w:r w:rsidRPr="00945FE6" w:rsidR="00812C72">
        <w:rPr>
          <w:color w:val="000000" w:themeColor="text1"/>
          <w:szCs w:val="26"/>
          <w:shd w:val="clear" w:color="auto" w:fill="FFFFFF"/>
        </w:rPr>
        <w:t xml:space="preserve"> </w:t>
      </w:r>
      <w:r w:rsidRPr="00945FE6" w:rsidR="00333D16">
        <w:rPr>
          <w:color w:val="000000" w:themeColor="text1"/>
          <w:szCs w:val="26"/>
          <w:shd w:val="clear" w:color="auto" w:fill="FFFFFF"/>
        </w:rPr>
        <w:t xml:space="preserve">owes to the fact that </w:t>
      </w:r>
      <w:r w:rsidRPr="00945FE6" w:rsidR="00F92E39">
        <w:rPr>
          <w:color w:val="000000" w:themeColor="text1"/>
          <w:szCs w:val="26"/>
        </w:rPr>
        <w:t>“</w:t>
      </w:r>
      <w:r w:rsidRPr="00945FE6" w:rsidR="00333D16">
        <w:rPr>
          <w:color w:val="000000" w:themeColor="text1"/>
          <w:szCs w:val="26"/>
        </w:rPr>
        <w:t>s</w:t>
      </w:r>
      <w:r w:rsidRPr="00945FE6" w:rsidR="00F92E39">
        <w:rPr>
          <w:color w:val="000000" w:themeColor="text1"/>
          <w:szCs w:val="26"/>
        </w:rPr>
        <w:t>ecret monitoring denies the speaker an important aspect of privacy of communication — the right to control the nature and extent of the firsthand dissemination of his statements.”  (</w:t>
      </w:r>
      <w:r w:rsidRPr="00945FE6" w:rsidR="00F92E39">
        <w:rPr>
          <w:i/>
          <w:iCs/>
          <w:color w:val="000000" w:themeColor="text1"/>
          <w:szCs w:val="26"/>
        </w:rPr>
        <w:t>Ribas</w:t>
      </w:r>
      <w:r w:rsidRPr="00945FE6" w:rsidR="00F92E39">
        <w:rPr>
          <w:color w:val="000000" w:themeColor="text1"/>
          <w:szCs w:val="26"/>
        </w:rPr>
        <w:t>, at p.</w:t>
      </w:r>
      <w:r w:rsidR="00C17F72">
        <w:rPr>
          <w:color w:val="000000" w:themeColor="text1"/>
          <w:szCs w:val="26"/>
        </w:rPr>
        <w:t> </w:t>
      </w:r>
      <w:r w:rsidRPr="00945FE6" w:rsidR="00F92E39">
        <w:rPr>
          <w:color w:val="000000" w:themeColor="text1"/>
          <w:szCs w:val="26"/>
        </w:rPr>
        <w:t>361</w:t>
      </w:r>
      <w:r w:rsidRPr="00945FE6" w:rsidR="00284707">
        <w:rPr>
          <w:color w:val="000000" w:themeColor="text1"/>
          <w:szCs w:val="26"/>
        </w:rPr>
        <w:t xml:space="preserve">; </w:t>
      </w:r>
      <w:r w:rsidRPr="00945FE6" w:rsidR="008F0454">
        <w:rPr>
          <w:i/>
          <w:iCs/>
          <w:color w:val="000000" w:themeColor="text1"/>
          <w:szCs w:val="26"/>
        </w:rPr>
        <w:t>United States v. White</w:t>
      </w:r>
      <w:r w:rsidRPr="00945FE6" w:rsidR="008F0454">
        <w:rPr>
          <w:color w:val="000000" w:themeColor="text1"/>
          <w:szCs w:val="26"/>
        </w:rPr>
        <w:t xml:space="preserve"> (1971) 401 U.S. 745, 787</w:t>
      </w:r>
      <w:r w:rsidRPr="00945FE6" w:rsidR="00E77C82">
        <w:rPr>
          <w:color w:val="000000" w:themeColor="text1"/>
          <w:szCs w:val="26"/>
          <w:shd w:val="clear" w:color="auto" w:fill="FFFFFF"/>
        </w:rPr>
        <w:t>–</w:t>
      </w:r>
      <w:r w:rsidRPr="00945FE6" w:rsidR="008F0454">
        <w:rPr>
          <w:color w:val="000000" w:themeColor="text1"/>
          <w:szCs w:val="26"/>
        </w:rPr>
        <w:t>788</w:t>
      </w:r>
      <w:r w:rsidRPr="00945FE6" w:rsidR="005544CB">
        <w:rPr>
          <w:color w:val="000000" w:themeColor="text1"/>
          <w:szCs w:val="26"/>
        </w:rPr>
        <w:t xml:space="preserve"> (</w:t>
      </w:r>
      <w:r w:rsidRPr="00945FE6" w:rsidR="008F0454">
        <w:rPr>
          <w:color w:val="000000" w:themeColor="text1"/>
          <w:szCs w:val="26"/>
        </w:rPr>
        <w:t>dis. opn. of Harlan, J.</w:t>
      </w:r>
      <w:r w:rsidRPr="00945FE6" w:rsidR="005544CB">
        <w:rPr>
          <w:color w:val="000000" w:themeColor="text1"/>
          <w:szCs w:val="26"/>
        </w:rPr>
        <w:t>)</w:t>
      </w:r>
      <w:r w:rsidRPr="00945FE6" w:rsidR="008F0454">
        <w:rPr>
          <w:color w:val="000000" w:themeColor="text1"/>
          <w:szCs w:val="26"/>
        </w:rPr>
        <w:t xml:space="preserve"> [“</w:t>
      </w:r>
      <w:r w:rsidRPr="00945FE6" w:rsidR="00902CBA">
        <w:rPr>
          <w:color w:val="000000" w:themeColor="text1"/>
          <w:szCs w:val="26"/>
        </w:rPr>
        <w:t>[m]</w:t>
      </w:r>
      <w:r w:rsidRPr="00945FE6" w:rsidR="008F0454">
        <w:rPr>
          <w:color w:val="000000" w:themeColor="text1"/>
          <w:szCs w:val="26"/>
        </w:rPr>
        <w:t>uch off</w:t>
      </w:r>
      <w:r w:rsidR="00D3797A">
        <w:rPr>
          <w:color w:val="000000" w:themeColor="text1"/>
          <w:szCs w:val="26"/>
        </w:rPr>
        <w:t>-</w:t>
      </w:r>
      <w:r w:rsidRPr="00945FE6" w:rsidR="008F0454">
        <w:rPr>
          <w:color w:val="000000" w:themeColor="text1"/>
          <w:szCs w:val="26"/>
        </w:rPr>
        <w:t>hand exchange is easily forgotten and one may count on the obscurity of his remarks, protected by the very fact of a limited audience, and the likelihood that the listener will either overlook or forget what is said, as well as the listener’s inability to reformulate a conversation”]</w:t>
      </w:r>
      <w:r w:rsidRPr="00945FE6" w:rsidR="00284707">
        <w:rPr>
          <w:color w:val="000000" w:themeColor="text1"/>
          <w:szCs w:val="26"/>
        </w:rPr>
        <w:t xml:space="preserve">; </w:t>
      </w:r>
      <w:r w:rsidRPr="00945FE6" w:rsidR="00284707">
        <w:rPr>
          <w:color w:val="000000" w:themeColor="text1"/>
          <w:szCs w:val="26"/>
          <w:shd w:val="clear" w:color="auto" w:fill="FFFFFF"/>
        </w:rPr>
        <w:t xml:space="preserve">Van Boven, </w:t>
      </w:r>
      <w:r w:rsidRPr="00945FE6" w:rsidR="00284707">
        <w:rPr>
          <w:i/>
          <w:iCs/>
          <w:color w:val="000000" w:themeColor="text1"/>
          <w:szCs w:val="26"/>
          <w:shd w:val="clear" w:color="auto" w:fill="FFFFFF"/>
        </w:rPr>
        <w:t>Electronic Surveillance in California: A Study in State Legislative Control</w:t>
      </w:r>
      <w:r w:rsidRPr="00945FE6" w:rsidR="00284707">
        <w:rPr>
          <w:color w:val="000000" w:themeColor="text1"/>
          <w:szCs w:val="26"/>
          <w:shd w:val="clear" w:color="auto" w:fill="FFFFFF"/>
        </w:rPr>
        <w:t xml:space="preserve"> (1969) 57 Cal.</w:t>
      </w:r>
      <w:r w:rsidRPr="00945FE6" w:rsidR="001E02CE">
        <w:rPr>
          <w:color w:val="000000" w:themeColor="text1"/>
          <w:szCs w:val="26"/>
          <w:shd w:val="clear" w:color="auto" w:fill="FFFFFF"/>
        </w:rPr>
        <w:t> </w:t>
      </w:r>
      <w:r w:rsidRPr="00945FE6" w:rsidR="00284707">
        <w:rPr>
          <w:color w:val="000000" w:themeColor="text1"/>
          <w:szCs w:val="26"/>
          <w:shd w:val="clear" w:color="auto" w:fill="FFFFFF"/>
        </w:rPr>
        <w:t>L.Rev. 1182, 1231–1232</w:t>
      </w:r>
      <w:r w:rsidRPr="00945FE6" w:rsidR="008F0454">
        <w:rPr>
          <w:color w:val="000000" w:themeColor="text1"/>
          <w:szCs w:val="26"/>
        </w:rPr>
        <w:t>.</w:t>
      </w:r>
      <w:r w:rsidRPr="00945FE6" w:rsidR="008F0454">
        <w:rPr>
          <w:color w:val="000000" w:themeColor="text1"/>
          <w:szCs w:val="26"/>
          <w:shd w:val="clear" w:color="auto" w:fill="FFFFFF"/>
        </w:rPr>
        <w:t>)</w:t>
      </w:r>
      <w:r w:rsidRPr="00945FE6" w:rsidR="00F92E39">
        <w:rPr>
          <w:color w:val="000000" w:themeColor="text1"/>
          <w:szCs w:val="26"/>
        </w:rPr>
        <w:t xml:space="preserve">  </w:t>
      </w:r>
      <w:r w:rsidRPr="00945FE6" w:rsidR="003431CC">
        <w:rPr>
          <w:color w:val="000000" w:themeColor="text1"/>
          <w:szCs w:val="26"/>
        </w:rPr>
        <w:t>To ensure that these concerns are addressed, the state has a “strong and continuing interest in the full and vigorous application” of laws that vindicate the privacy rights that can be compromised when a communication is recorded without consent.  (</w:t>
      </w:r>
      <w:r w:rsidRPr="00945FE6" w:rsidR="003431CC">
        <w:rPr>
          <w:i/>
          <w:iCs/>
          <w:color w:val="000000" w:themeColor="text1"/>
          <w:szCs w:val="26"/>
        </w:rPr>
        <w:t>Kearney</w:t>
      </w:r>
      <w:r w:rsidRPr="00945FE6" w:rsidR="003431CC">
        <w:rPr>
          <w:color w:val="000000" w:themeColor="text1"/>
          <w:szCs w:val="26"/>
        </w:rPr>
        <w:t xml:space="preserve">, </w:t>
      </w:r>
      <w:r w:rsidRPr="00945FE6" w:rsidR="003431CC">
        <w:rPr>
          <w:i/>
          <w:iCs/>
          <w:color w:val="000000" w:themeColor="text1"/>
          <w:szCs w:val="26"/>
        </w:rPr>
        <w:t>supra</w:t>
      </w:r>
      <w:r w:rsidRPr="00945FE6" w:rsidR="003431CC">
        <w:rPr>
          <w:color w:val="000000" w:themeColor="text1"/>
          <w:szCs w:val="26"/>
        </w:rPr>
        <w:t>, 39 Cal.4th at p. 125</w:t>
      </w:r>
      <w:r w:rsidR="00832DCC">
        <w:rPr>
          <w:color w:val="000000" w:themeColor="text1"/>
          <w:szCs w:val="26"/>
        </w:rPr>
        <w:t xml:space="preserve"> [discussing section 632]</w:t>
      </w:r>
      <w:r w:rsidRPr="00945FE6" w:rsidR="003431CC">
        <w:rPr>
          <w:color w:val="000000" w:themeColor="text1"/>
          <w:szCs w:val="26"/>
        </w:rPr>
        <w:t xml:space="preserve">.)  </w:t>
      </w:r>
    </w:p>
    <w:p w:rsidR="008F0454" w:rsidRPr="00945FE6" w:rsidP="00945FE6" w14:paraId="0F3711B0" w14:textId="246CAA57">
      <w:pPr>
        <w:tabs>
          <w:tab w:val="left" w:pos="1440"/>
        </w:tabs>
        <w:ind w:firstLine="720"/>
        <w:rPr>
          <w:szCs w:val="26"/>
        </w:rPr>
      </w:pPr>
      <w:r w:rsidRPr="00945FE6">
        <w:rPr>
          <w:color w:val="000000" w:themeColor="text1"/>
          <w:szCs w:val="26"/>
        </w:rPr>
        <w:t xml:space="preserve">LoanMe asserts that these </w:t>
      </w:r>
      <w:r w:rsidRPr="00945FE6" w:rsidR="00392230">
        <w:rPr>
          <w:color w:val="000000" w:themeColor="text1"/>
          <w:szCs w:val="26"/>
        </w:rPr>
        <w:t xml:space="preserve">privacy </w:t>
      </w:r>
      <w:r w:rsidRPr="00945FE6">
        <w:rPr>
          <w:color w:val="000000" w:themeColor="text1"/>
          <w:szCs w:val="26"/>
        </w:rPr>
        <w:t xml:space="preserve">interests would not be significantly affected if this court were to adopt the Court of Appeal’s construction of section 632.7 because </w:t>
      </w:r>
      <w:r w:rsidRPr="00945FE6" w:rsidR="00DF4A3C">
        <w:rPr>
          <w:color w:val="000000" w:themeColor="text1"/>
          <w:szCs w:val="26"/>
        </w:rPr>
        <w:t xml:space="preserve">section 632 would remain as a backstop, protecting confidential communications conducted over a cellular or cordless telephone from being </w:t>
      </w:r>
      <w:r w:rsidRPr="00945FE6" w:rsidR="005A0E10">
        <w:rPr>
          <w:color w:val="000000" w:themeColor="text1"/>
          <w:szCs w:val="26"/>
        </w:rPr>
        <w:t xml:space="preserve">electronically </w:t>
      </w:r>
      <w:r w:rsidRPr="00945FE6" w:rsidR="00DF4A3C">
        <w:rPr>
          <w:color w:val="000000" w:themeColor="text1"/>
          <w:szCs w:val="26"/>
        </w:rPr>
        <w:t xml:space="preserve">recorded without all parties’ consent.  The </w:t>
      </w:r>
      <w:r w:rsidRPr="00945FE6" w:rsidR="00DB36AC">
        <w:rPr>
          <w:color w:val="000000" w:themeColor="text1"/>
          <w:szCs w:val="26"/>
        </w:rPr>
        <w:t xml:space="preserve">fundamental </w:t>
      </w:r>
      <w:r w:rsidRPr="00945FE6" w:rsidR="00DF4A3C">
        <w:rPr>
          <w:color w:val="000000" w:themeColor="text1"/>
          <w:szCs w:val="26"/>
        </w:rPr>
        <w:t xml:space="preserve">problem with this argument is not necessarily that it is incorrect </w:t>
      </w:r>
      <w:r w:rsidRPr="00945FE6" w:rsidR="005A0E10">
        <w:rPr>
          <w:color w:val="000000" w:themeColor="text1"/>
          <w:szCs w:val="26"/>
        </w:rPr>
        <w:t>—</w:t>
      </w:r>
      <w:r w:rsidRPr="00945FE6" w:rsidR="00DF4A3C">
        <w:rPr>
          <w:color w:val="000000" w:themeColor="text1"/>
          <w:szCs w:val="26"/>
        </w:rPr>
        <w:t xml:space="preserve"> </w:t>
      </w:r>
      <w:r w:rsidR="003862CC">
        <w:rPr>
          <w:color w:val="000000" w:themeColor="text1"/>
          <w:szCs w:val="26"/>
        </w:rPr>
        <w:t>th</w:t>
      </w:r>
      <w:r w:rsidR="007D369A">
        <w:rPr>
          <w:color w:val="000000" w:themeColor="text1"/>
          <w:szCs w:val="26"/>
        </w:rPr>
        <w:t>e</w:t>
      </w:r>
      <w:r w:rsidR="003862CC">
        <w:rPr>
          <w:color w:val="000000" w:themeColor="text1"/>
          <w:szCs w:val="26"/>
        </w:rPr>
        <w:t xml:space="preserve"> question </w:t>
      </w:r>
      <w:r w:rsidR="007D369A">
        <w:rPr>
          <w:color w:val="000000" w:themeColor="text1"/>
          <w:szCs w:val="26"/>
        </w:rPr>
        <w:t>of</w:t>
      </w:r>
      <w:r w:rsidR="003862CC">
        <w:rPr>
          <w:color w:val="000000" w:themeColor="text1"/>
          <w:szCs w:val="26"/>
        </w:rPr>
        <w:t xml:space="preserve"> section 632’s precise scope not being squarely before us</w:t>
      </w:r>
      <w:r w:rsidRPr="00945FE6" w:rsidR="00DF4A3C">
        <w:rPr>
          <w:color w:val="000000" w:themeColor="text1"/>
          <w:szCs w:val="26"/>
        </w:rPr>
        <w:t xml:space="preserve"> </w:t>
      </w:r>
      <w:r w:rsidRPr="00945FE6" w:rsidR="005A0E10">
        <w:rPr>
          <w:color w:val="000000" w:themeColor="text1"/>
          <w:szCs w:val="26"/>
        </w:rPr>
        <w:t>—</w:t>
      </w:r>
      <w:r w:rsidRPr="00945FE6" w:rsidR="00DF4A3C">
        <w:rPr>
          <w:color w:val="000000" w:themeColor="text1"/>
          <w:szCs w:val="26"/>
        </w:rPr>
        <w:t xml:space="preserve"> but that it does</w:t>
      </w:r>
      <w:r w:rsidRPr="00945FE6" w:rsidR="00902CBA">
        <w:rPr>
          <w:color w:val="000000" w:themeColor="text1"/>
          <w:szCs w:val="26"/>
        </w:rPr>
        <w:t xml:space="preserve"> no</w:t>
      </w:r>
      <w:r w:rsidRPr="00945FE6" w:rsidR="00DF4A3C">
        <w:rPr>
          <w:color w:val="000000" w:themeColor="text1"/>
          <w:szCs w:val="26"/>
        </w:rPr>
        <w:t xml:space="preserve">t </w:t>
      </w:r>
      <w:r w:rsidRPr="00945FE6" w:rsidR="005544CB">
        <w:rPr>
          <w:color w:val="000000" w:themeColor="text1"/>
          <w:szCs w:val="26"/>
        </w:rPr>
        <w:t>align</w:t>
      </w:r>
      <w:r w:rsidRPr="00945FE6" w:rsidR="00DF4A3C">
        <w:rPr>
          <w:color w:val="000000" w:themeColor="text1"/>
          <w:szCs w:val="26"/>
        </w:rPr>
        <w:t xml:space="preserve"> with the Legislature’s intent when it enacted section 632.7.  </w:t>
      </w:r>
      <w:r w:rsidRPr="00945FE6" w:rsidR="00392230">
        <w:rPr>
          <w:color w:val="000000" w:themeColor="text1"/>
          <w:szCs w:val="26"/>
        </w:rPr>
        <w:t>Correctly</w:t>
      </w:r>
      <w:r w:rsidRPr="00945FE6" w:rsidR="00DF4A3C">
        <w:rPr>
          <w:color w:val="000000" w:themeColor="text1"/>
          <w:szCs w:val="26"/>
        </w:rPr>
        <w:t xml:space="preserve"> or </w:t>
      </w:r>
      <w:r w:rsidRPr="00945FE6" w:rsidR="00392230">
        <w:rPr>
          <w:color w:val="000000" w:themeColor="text1"/>
          <w:szCs w:val="26"/>
        </w:rPr>
        <w:t>not</w:t>
      </w:r>
      <w:r w:rsidRPr="00945FE6" w:rsidR="00DF4A3C">
        <w:rPr>
          <w:color w:val="000000" w:themeColor="text1"/>
          <w:szCs w:val="26"/>
        </w:rPr>
        <w:t>, the Legislature</w:t>
      </w:r>
      <w:r w:rsidRPr="00945FE6" w:rsidR="005544CB">
        <w:rPr>
          <w:color w:val="000000" w:themeColor="text1"/>
          <w:szCs w:val="26"/>
        </w:rPr>
        <w:t xml:space="preserve"> </w:t>
      </w:r>
      <w:r w:rsidRPr="00945FE6" w:rsidR="00A536AD">
        <w:rPr>
          <w:color w:val="000000" w:themeColor="text1"/>
          <w:szCs w:val="26"/>
        </w:rPr>
        <w:t>that passed A</w:t>
      </w:r>
      <w:r w:rsidR="003F1724">
        <w:rPr>
          <w:color w:val="000000" w:themeColor="text1"/>
          <w:szCs w:val="26"/>
        </w:rPr>
        <w:t xml:space="preserve">ssembly </w:t>
      </w:r>
      <w:r w:rsidRPr="00945FE6" w:rsidR="00A536AD">
        <w:rPr>
          <w:color w:val="000000" w:themeColor="text1"/>
          <w:szCs w:val="26"/>
        </w:rPr>
        <w:t>B</w:t>
      </w:r>
      <w:r w:rsidR="003F1724">
        <w:rPr>
          <w:color w:val="000000" w:themeColor="text1"/>
          <w:szCs w:val="26"/>
        </w:rPr>
        <w:t>ill</w:t>
      </w:r>
      <w:r w:rsidRPr="00945FE6" w:rsidR="00A536AD">
        <w:rPr>
          <w:color w:val="000000" w:themeColor="text1"/>
          <w:szCs w:val="26"/>
        </w:rPr>
        <w:t xml:space="preserve"> 2465 and added section 632.7 to the Penal Code </w:t>
      </w:r>
      <w:r w:rsidRPr="00945FE6" w:rsidR="005544CB">
        <w:rPr>
          <w:color w:val="000000" w:themeColor="text1"/>
          <w:szCs w:val="26"/>
        </w:rPr>
        <w:t>read section 632 differently and</w:t>
      </w:r>
      <w:r w:rsidRPr="00945FE6" w:rsidR="00DF4A3C">
        <w:rPr>
          <w:color w:val="000000" w:themeColor="text1"/>
          <w:szCs w:val="26"/>
        </w:rPr>
        <w:t xml:space="preserve"> saw a gap in the statutory scheme</w:t>
      </w:r>
      <w:r w:rsidRPr="00945FE6" w:rsidR="005A0E10">
        <w:rPr>
          <w:color w:val="000000" w:themeColor="text1"/>
          <w:szCs w:val="26"/>
        </w:rPr>
        <w:t xml:space="preserve"> that left cellular and cordless communications unprotected</w:t>
      </w:r>
      <w:r w:rsidRPr="00945FE6" w:rsidR="00DF4A3C">
        <w:rPr>
          <w:color w:val="000000" w:themeColor="text1"/>
          <w:szCs w:val="26"/>
        </w:rPr>
        <w:t>.  This</w:t>
      </w:r>
      <w:r w:rsidRPr="00945FE6" w:rsidR="001E02CE">
        <w:rPr>
          <w:color w:val="000000" w:themeColor="text1"/>
          <w:szCs w:val="26"/>
        </w:rPr>
        <w:t xml:space="preserve"> perceived</w:t>
      </w:r>
      <w:r w:rsidRPr="00945FE6" w:rsidR="00DF4A3C">
        <w:rPr>
          <w:color w:val="000000" w:themeColor="text1"/>
          <w:szCs w:val="26"/>
        </w:rPr>
        <w:t xml:space="preserve"> </w:t>
      </w:r>
      <w:r w:rsidRPr="00945FE6" w:rsidR="00902CBA">
        <w:rPr>
          <w:color w:val="000000" w:themeColor="text1"/>
          <w:szCs w:val="26"/>
        </w:rPr>
        <w:t>hole</w:t>
      </w:r>
      <w:r w:rsidRPr="00945FE6" w:rsidR="00DF4A3C">
        <w:rPr>
          <w:color w:val="000000" w:themeColor="text1"/>
          <w:szCs w:val="26"/>
        </w:rPr>
        <w:t xml:space="preserve"> </w:t>
      </w:r>
      <w:r w:rsidRPr="00945FE6" w:rsidR="005A0E10">
        <w:rPr>
          <w:color w:val="000000" w:themeColor="text1"/>
          <w:szCs w:val="26"/>
        </w:rPr>
        <w:t xml:space="preserve">would </w:t>
      </w:r>
      <w:r w:rsidRPr="00945FE6" w:rsidR="005A0E10">
        <w:rPr>
          <w:szCs w:val="26"/>
        </w:rPr>
        <w:t xml:space="preserve">be </w:t>
      </w:r>
      <w:r w:rsidR="006519A7">
        <w:rPr>
          <w:szCs w:val="26"/>
        </w:rPr>
        <w:t xml:space="preserve">adequately </w:t>
      </w:r>
      <w:r w:rsidRPr="00945FE6" w:rsidR="005A0E10">
        <w:rPr>
          <w:szCs w:val="26"/>
        </w:rPr>
        <w:t>filled only</w:t>
      </w:r>
      <w:r w:rsidRPr="00945FE6" w:rsidR="00DF4A3C">
        <w:rPr>
          <w:szCs w:val="26"/>
        </w:rPr>
        <w:t xml:space="preserve"> if section 632.7</w:t>
      </w:r>
      <w:r w:rsidRPr="00945FE6" w:rsidR="00902CBA">
        <w:rPr>
          <w:szCs w:val="26"/>
        </w:rPr>
        <w:t xml:space="preserve"> </w:t>
      </w:r>
      <w:r w:rsidR="003862CC">
        <w:rPr>
          <w:szCs w:val="26"/>
        </w:rPr>
        <w:t xml:space="preserve">is construed as </w:t>
      </w:r>
      <w:r w:rsidRPr="00945FE6" w:rsidR="005544CB">
        <w:rPr>
          <w:szCs w:val="26"/>
        </w:rPr>
        <w:t>prohibit</w:t>
      </w:r>
      <w:r w:rsidR="003862CC">
        <w:rPr>
          <w:szCs w:val="26"/>
        </w:rPr>
        <w:t>ing</w:t>
      </w:r>
      <w:r w:rsidRPr="00945FE6" w:rsidR="00DB4FF6">
        <w:rPr>
          <w:szCs w:val="26"/>
        </w:rPr>
        <w:t xml:space="preserve"> </w:t>
      </w:r>
      <w:r w:rsidRPr="00945FE6" w:rsidR="00902CBA">
        <w:rPr>
          <w:szCs w:val="26"/>
        </w:rPr>
        <w:t>the</w:t>
      </w:r>
      <w:r w:rsidRPr="00945FE6" w:rsidR="00DB4FF6">
        <w:rPr>
          <w:szCs w:val="26"/>
        </w:rPr>
        <w:t xml:space="preserve"> intentional</w:t>
      </w:r>
      <w:r w:rsidRPr="00945FE6" w:rsidR="00902CBA">
        <w:rPr>
          <w:szCs w:val="26"/>
        </w:rPr>
        <w:t xml:space="preserve"> </w:t>
      </w:r>
      <w:r w:rsidRPr="00945FE6" w:rsidR="005544CB">
        <w:rPr>
          <w:szCs w:val="26"/>
        </w:rPr>
        <w:t>recording</w:t>
      </w:r>
      <w:r w:rsidRPr="00945FE6" w:rsidR="00902CBA">
        <w:rPr>
          <w:szCs w:val="26"/>
        </w:rPr>
        <w:t xml:space="preserve"> of these communications </w:t>
      </w:r>
      <w:r w:rsidR="00055408">
        <w:rPr>
          <w:szCs w:val="26"/>
        </w:rPr>
        <w:t>absent</w:t>
      </w:r>
      <w:r w:rsidR="001402B4">
        <w:rPr>
          <w:szCs w:val="26"/>
        </w:rPr>
        <w:t xml:space="preserve"> the consent of all parties</w:t>
      </w:r>
      <w:r w:rsidR="006519A7">
        <w:rPr>
          <w:szCs w:val="26"/>
        </w:rPr>
        <w:t>,</w:t>
      </w:r>
      <w:r w:rsidRPr="00945FE6" w:rsidR="005544CB">
        <w:rPr>
          <w:szCs w:val="26"/>
        </w:rPr>
        <w:t xml:space="preserve"> </w:t>
      </w:r>
      <w:r w:rsidR="006519A7">
        <w:rPr>
          <w:szCs w:val="26"/>
        </w:rPr>
        <w:t>without regard</w:t>
      </w:r>
      <w:r w:rsidRPr="00945FE6" w:rsidR="00902CBA">
        <w:rPr>
          <w:szCs w:val="26"/>
        </w:rPr>
        <w:t xml:space="preserve"> </w:t>
      </w:r>
      <w:r w:rsidR="006519A7">
        <w:rPr>
          <w:szCs w:val="26"/>
        </w:rPr>
        <w:t>to</w:t>
      </w:r>
      <w:r w:rsidRPr="00945FE6" w:rsidR="00902CBA">
        <w:rPr>
          <w:szCs w:val="26"/>
        </w:rPr>
        <w:t xml:space="preserve"> whether </w:t>
      </w:r>
      <w:r w:rsidR="001402B4">
        <w:rPr>
          <w:szCs w:val="26"/>
        </w:rPr>
        <w:t>the</w:t>
      </w:r>
      <w:r w:rsidRPr="00945FE6" w:rsidR="00902CBA">
        <w:rPr>
          <w:szCs w:val="26"/>
        </w:rPr>
        <w:t xml:space="preserve"> recording</w:t>
      </w:r>
      <w:r w:rsidRPr="00945FE6" w:rsidR="005544CB">
        <w:rPr>
          <w:szCs w:val="26"/>
        </w:rPr>
        <w:t xml:space="preserve"> </w:t>
      </w:r>
      <w:r w:rsidRPr="00945FE6" w:rsidR="00DB4FF6">
        <w:rPr>
          <w:szCs w:val="26"/>
        </w:rPr>
        <w:t>i</w:t>
      </w:r>
      <w:r w:rsidRPr="00945FE6" w:rsidR="005544CB">
        <w:rPr>
          <w:szCs w:val="26"/>
        </w:rPr>
        <w:t>s performed by a</w:t>
      </w:r>
      <w:r w:rsidRPr="00945FE6" w:rsidR="00DF4A3C">
        <w:rPr>
          <w:szCs w:val="26"/>
        </w:rPr>
        <w:t xml:space="preserve"> </w:t>
      </w:r>
      <w:r w:rsidRPr="00945FE6" w:rsidR="005544CB">
        <w:rPr>
          <w:szCs w:val="26"/>
        </w:rPr>
        <w:t>party</w:t>
      </w:r>
      <w:r w:rsidRPr="00945FE6" w:rsidR="00DF4A3C">
        <w:rPr>
          <w:szCs w:val="26"/>
        </w:rPr>
        <w:t xml:space="preserve"> </w:t>
      </w:r>
      <w:r w:rsidRPr="00945FE6" w:rsidR="005544CB">
        <w:rPr>
          <w:szCs w:val="26"/>
        </w:rPr>
        <w:t xml:space="preserve">or </w:t>
      </w:r>
      <w:r w:rsidRPr="00945FE6" w:rsidR="00873239">
        <w:rPr>
          <w:szCs w:val="26"/>
        </w:rPr>
        <w:t>by someone other than a party</w:t>
      </w:r>
      <w:r w:rsidRPr="00945FE6" w:rsidR="00DF4A3C">
        <w:rPr>
          <w:szCs w:val="26"/>
        </w:rPr>
        <w:t xml:space="preserve">.  </w:t>
      </w:r>
    </w:p>
    <w:p w:rsidR="003235B4" w:rsidRPr="00EC0C84" w:rsidP="0010015A" w14:paraId="5F57832E" w14:textId="77777777">
      <w:pPr>
        <w:pStyle w:val="Heading2"/>
      </w:pPr>
      <w:r w:rsidRPr="00EC0C84">
        <w:t>LoanMe’s Absurdity Argument Fails</w:t>
      </w:r>
    </w:p>
    <w:p w:rsidR="003235B4" w:rsidRPr="00945FE6" w:rsidP="0010015A" w14:paraId="55C7BE8C" w14:textId="37483C1F">
      <w:pPr>
        <w:keepNext/>
        <w:tabs>
          <w:tab w:val="left" w:pos="1440"/>
        </w:tabs>
        <w:ind w:firstLine="720"/>
        <w:rPr>
          <w:szCs w:val="26"/>
        </w:rPr>
      </w:pPr>
      <w:r>
        <w:rPr>
          <w:szCs w:val="26"/>
        </w:rPr>
        <w:t xml:space="preserve">Echoing </w:t>
      </w:r>
      <w:r w:rsidRPr="00945FE6">
        <w:rPr>
          <w:szCs w:val="26"/>
        </w:rPr>
        <w:t xml:space="preserve">the Court of Appeal below, LoanMe also argues that section 632.7 should not be </w:t>
      </w:r>
      <w:r>
        <w:rPr>
          <w:szCs w:val="26"/>
        </w:rPr>
        <w:t>interpreted</w:t>
      </w:r>
      <w:r w:rsidRPr="00945FE6">
        <w:rPr>
          <w:szCs w:val="26"/>
        </w:rPr>
        <w:t xml:space="preserve"> as imposing liability on parties “on the basis of pure happenstance.”  </w:t>
      </w:r>
      <w:r w:rsidRPr="00945FE6">
        <w:rPr>
          <w:szCs w:val="26"/>
        </w:rPr>
        <w:t>(</w:t>
      </w:r>
      <w:r w:rsidRPr="00945FE6">
        <w:rPr>
          <w:i/>
          <w:iCs/>
          <w:szCs w:val="26"/>
        </w:rPr>
        <w:t>Smith</w:t>
      </w:r>
      <w:r w:rsidRPr="00945FE6">
        <w:rPr>
          <w:szCs w:val="26"/>
        </w:rPr>
        <w:t xml:space="preserve">, </w:t>
      </w:r>
      <w:r w:rsidRPr="00945FE6">
        <w:rPr>
          <w:i/>
          <w:iCs/>
          <w:szCs w:val="26"/>
        </w:rPr>
        <w:t>supra</w:t>
      </w:r>
      <w:r w:rsidRPr="00945FE6">
        <w:rPr>
          <w:szCs w:val="26"/>
        </w:rPr>
        <w:t>, 43</w:t>
      </w:r>
      <w:r>
        <w:rPr>
          <w:szCs w:val="26"/>
        </w:rPr>
        <w:t> </w:t>
      </w:r>
      <w:r w:rsidRPr="00945FE6">
        <w:rPr>
          <w:szCs w:val="26"/>
        </w:rPr>
        <w:t>Cal.App.5th at p. 85</w:t>
      </w:r>
      <w:r>
        <w:rPr>
          <w:szCs w:val="26"/>
        </w:rPr>
        <w:t>3</w:t>
      </w:r>
      <w:r w:rsidRPr="00945FE6">
        <w:rPr>
          <w:szCs w:val="26"/>
        </w:rPr>
        <w:t xml:space="preserve">.)  </w:t>
      </w:r>
      <w:r w:rsidRPr="00945FE6">
        <w:rPr>
          <w:szCs w:val="26"/>
        </w:rPr>
        <w:t xml:space="preserve">As LoanMe puts it, “[h]ad Smith answered on a landline phone, section 632.7 could not apply under any interpretation had LoanMe been using a landline too.  But because of the happenstance that Smith allegedly answered LoanMe’s call on a cordless phone, section 632.7 subjects LoanMe to criminal and civil liability.” </w:t>
      </w:r>
      <w:r w:rsidR="00D3578B">
        <w:rPr>
          <w:szCs w:val="26"/>
        </w:rPr>
        <w:t xml:space="preserve"> </w:t>
      </w:r>
      <w:r w:rsidR="00ED53E0">
        <w:rPr>
          <w:szCs w:val="26"/>
        </w:rPr>
        <w:t>As had</w:t>
      </w:r>
      <w:r w:rsidRPr="00945FE6">
        <w:rPr>
          <w:szCs w:val="26"/>
        </w:rPr>
        <w:t xml:space="preserve"> the Court of Appeal</w:t>
      </w:r>
      <w:r w:rsidR="00ED53E0">
        <w:rPr>
          <w:szCs w:val="26"/>
        </w:rPr>
        <w:t xml:space="preserve"> (</w:t>
      </w:r>
      <w:r w:rsidRPr="00ED53E0" w:rsidR="00ED53E0">
        <w:rPr>
          <w:i/>
          <w:iCs/>
          <w:szCs w:val="26"/>
        </w:rPr>
        <w:t>Smith</w:t>
      </w:r>
      <w:r w:rsidR="00ED53E0">
        <w:rPr>
          <w:szCs w:val="26"/>
        </w:rPr>
        <w:t>, at p. 853)</w:t>
      </w:r>
      <w:r w:rsidRPr="00945FE6">
        <w:rPr>
          <w:szCs w:val="26"/>
        </w:rPr>
        <w:t xml:space="preserve">, LoanMe characterizes this result as “absurd.”  </w:t>
      </w:r>
    </w:p>
    <w:p w:rsidR="00C8136C" w:rsidP="00D573BB" w14:paraId="146A5D87" w14:textId="330D1905">
      <w:pPr>
        <w:tabs>
          <w:tab w:val="left" w:pos="1440"/>
        </w:tabs>
        <w:ind w:firstLine="720"/>
        <w:rPr>
          <w:szCs w:val="26"/>
        </w:rPr>
      </w:pPr>
      <w:r w:rsidRPr="00945FE6">
        <w:rPr>
          <w:szCs w:val="26"/>
        </w:rPr>
        <w:t>T</w:t>
      </w:r>
      <w:r w:rsidRPr="00945FE6" w:rsidR="003235B4">
        <w:rPr>
          <w:szCs w:val="26"/>
        </w:rPr>
        <w:t xml:space="preserve">his argument </w:t>
      </w:r>
      <w:r w:rsidR="00800C8E">
        <w:rPr>
          <w:szCs w:val="26"/>
        </w:rPr>
        <w:t>gives short shrift to</w:t>
      </w:r>
      <w:r w:rsidRPr="00945FE6" w:rsidR="00DB36AC">
        <w:rPr>
          <w:szCs w:val="26"/>
        </w:rPr>
        <w:t xml:space="preserve"> </w:t>
      </w:r>
      <w:r w:rsidRPr="00945FE6" w:rsidR="003235B4">
        <w:rPr>
          <w:szCs w:val="26"/>
        </w:rPr>
        <w:t>section 632.7</w:t>
      </w:r>
      <w:r w:rsidR="00021C69">
        <w:rPr>
          <w:szCs w:val="26"/>
        </w:rPr>
        <w:t>’s</w:t>
      </w:r>
      <w:r w:rsidRPr="00945FE6" w:rsidR="00DB36AC">
        <w:rPr>
          <w:szCs w:val="26"/>
        </w:rPr>
        <w:t xml:space="preserve"> </w:t>
      </w:r>
      <w:r w:rsidRPr="00945FE6" w:rsidR="003235B4">
        <w:rPr>
          <w:szCs w:val="26"/>
        </w:rPr>
        <w:t>complementary role in a larger statutory scheme.  It is true that section 632.7 does not apply when all parties to a communication use landline phones.  But section 632</w:t>
      </w:r>
      <w:r w:rsidRPr="00945FE6" w:rsidR="00834F04">
        <w:rPr>
          <w:szCs w:val="26"/>
        </w:rPr>
        <w:t xml:space="preserve">, </w:t>
      </w:r>
      <w:r w:rsidR="009312F4">
        <w:rPr>
          <w:szCs w:val="26"/>
        </w:rPr>
        <w:t>which</w:t>
      </w:r>
      <w:r w:rsidRPr="00945FE6" w:rsidR="00834F04">
        <w:rPr>
          <w:szCs w:val="26"/>
        </w:rPr>
        <w:t xml:space="preserve"> </w:t>
      </w:r>
      <w:r w:rsidRPr="00945FE6" w:rsidR="0036423C">
        <w:rPr>
          <w:szCs w:val="26"/>
        </w:rPr>
        <w:t>prohibit</w:t>
      </w:r>
      <w:r w:rsidR="009312F4">
        <w:rPr>
          <w:szCs w:val="26"/>
        </w:rPr>
        <w:t>s</w:t>
      </w:r>
      <w:r w:rsidRPr="00945FE6" w:rsidR="0036423C">
        <w:rPr>
          <w:szCs w:val="26"/>
        </w:rPr>
        <w:t xml:space="preserve"> the</w:t>
      </w:r>
      <w:r w:rsidRPr="00945FE6" w:rsidR="00834F04">
        <w:rPr>
          <w:szCs w:val="26"/>
        </w:rPr>
        <w:t xml:space="preserve"> use of an electronic device to</w:t>
      </w:r>
      <w:r w:rsidR="00EC49B4">
        <w:rPr>
          <w:szCs w:val="26"/>
        </w:rPr>
        <w:t xml:space="preserve"> intentionally</w:t>
      </w:r>
      <w:r w:rsidRPr="00945FE6" w:rsidR="00834F04">
        <w:rPr>
          <w:szCs w:val="26"/>
        </w:rPr>
        <w:t xml:space="preserve"> record </w:t>
      </w:r>
      <w:r w:rsidR="009312F4">
        <w:rPr>
          <w:szCs w:val="26"/>
        </w:rPr>
        <w:t xml:space="preserve">without </w:t>
      </w:r>
      <w:r w:rsidR="001402B4">
        <w:rPr>
          <w:szCs w:val="26"/>
        </w:rPr>
        <w:t xml:space="preserve">proper </w:t>
      </w:r>
      <w:r w:rsidR="009312F4">
        <w:rPr>
          <w:szCs w:val="26"/>
        </w:rPr>
        <w:t xml:space="preserve">consent </w:t>
      </w:r>
      <w:r w:rsidRPr="00945FE6" w:rsidR="00834F04">
        <w:rPr>
          <w:szCs w:val="26"/>
        </w:rPr>
        <w:t xml:space="preserve">“confidential communications” transmitted between </w:t>
      </w:r>
      <w:r w:rsidR="009312F4">
        <w:rPr>
          <w:szCs w:val="26"/>
        </w:rPr>
        <w:t>such</w:t>
      </w:r>
      <w:r w:rsidRPr="00945FE6" w:rsidR="00834F04">
        <w:rPr>
          <w:szCs w:val="26"/>
        </w:rPr>
        <w:t xml:space="preserve"> phones</w:t>
      </w:r>
      <w:r w:rsidRPr="00945FE6" w:rsidR="00DB4FF6">
        <w:rPr>
          <w:szCs w:val="26"/>
        </w:rPr>
        <w:t xml:space="preserve">, </w:t>
      </w:r>
      <w:r w:rsidRPr="00945FE6" w:rsidR="003235B4">
        <w:rPr>
          <w:szCs w:val="26"/>
        </w:rPr>
        <w:t xml:space="preserve">frequently </w:t>
      </w:r>
      <w:r w:rsidRPr="009312F4" w:rsidR="003235B4">
        <w:rPr>
          <w:i/>
          <w:iCs/>
          <w:szCs w:val="26"/>
        </w:rPr>
        <w:t>will</w:t>
      </w:r>
      <w:r w:rsidRPr="00945FE6" w:rsidR="003235B4">
        <w:rPr>
          <w:szCs w:val="26"/>
        </w:rPr>
        <w:t xml:space="preserve"> apply to</w:t>
      </w:r>
      <w:r w:rsidRPr="00945FE6" w:rsidR="00865F98">
        <w:rPr>
          <w:szCs w:val="26"/>
        </w:rPr>
        <w:t xml:space="preserve"> </w:t>
      </w:r>
      <w:r w:rsidRPr="00945FE6" w:rsidR="003235B4">
        <w:rPr>
          <w:szCs w:val="26"/>
        </w:rPr>
        <w:t xml:space="preserve">such a </w:t>
      </w:r>
      <w:r w:rsidRPr="00945FE6" w:rsidR="00834F04">
        <w:rPr>
          <w:szCs w:val="26"/>
        </w:rPr>
        <w:t xml:space="preserve">conversation. </w:t>
      </w:r>
      <w:r w:rsidR="004E7BB2">
        <w:rPr>
          <w:szCs w:val="26"/>
        </w:rPr>
        <w:t xml:space="preserve"> </w:t>
      </w:r>
      <w:r w:rsidR="00C81D99">
        <w:rPr>
          <w:szCs w:val="26"/>
        </w:rPr>
        <w:t>As construed in</w:t>
      </w:r>
      <w:r w:rsidR="003550C8">
        <w:rPr>
          <w:szCs w:val="26"/>
        </w:rPr>
        <w:t xml:space="preserve"> </w:t>
      </w:r>
      <w:r w:rsidRPr="00097A1D" w:rsidR="00097A1D">
        <w:rPr>
          <w:i/>
          <w:iCs/>
          <w:szCs w:val="26"/>
        </w:rPr>
        <w:t>Flanagan</w:t>
      </w:r>
      <w:r w:rsidR="00097A1D">
        <w:rPr>
          <w:szCs w:val="26"/>
        </w:rPr>
        <w:t xml:space="preserve">, </w:t>
      </w:r>
      <w:r w:rsidRPr="00097A1D" w:rsidR="00097A1D">
        <w:rPr>
          <w:i/>
          <w:iCs/>
          <w:szCs w:val="26"/>
        </w:rPr>
        <w:t>supra</w:t>
      </w:r>
      <w:r w:rsidR="00097A1D">
        <w:rPr>
          <w:szCs w:val="26"/>
        </w:rPr>
        <w:t>, 27 Cal.4</w:t>
      </w:r>
      <w:r w:rsidRPr="00097A1D" w:rsidR="00097A1D">
        <w:rPr>
          <w:szCs w:val="26"/>
        </w:rPr>
        <w:t>th</w:t>
      </w:r>
      <w:r w:rsidR="00097A1D">
        <w:rPr>
          <w:szCs w:val="26"/>
        </w:rPr>
        <w:t xml:space="preserve"> </w:t>
      </w:r>
      <w:r w:rsidR="0096781C">
        <w:rPr>
          <w:szCs w:val="26"/>
        </w:rPr>
        <w:t>at page 7</w:t>
      </w:r>
      <w:r w:rsidR="00832DCC">
        <w:rPr>
          <w:szCs w:val="26"/>
        </w:rPr>
        <w:t>68</w:t>
      </w:r>
      <w:r w:rsidR="0096781C">
        <w:rPr>
          <w:szCs w:val="26"/>
        </w:rPr>
        <w:t>,</w:t>
      </w:r>
      <w:r w:rsidR="00097A1D">
        <w:rPr>
          <w:szCs w:val="26"/>
        </w:rPr>
        <w:t xml:space="preserve"> </w:t>
      </w:r>
      <w:r w:rsidR="00C81D99">
        <w:rPr>
          <w:szCs w:val="26"/>
        </w:rPr>
        <w:t xml:space="preserve">section 632’s protections adhere to communications in which </w:t>
      </w:r>
      <w:r w:rsidR="00832DCC">
        <w:rPr>
          <w:szCs w:val="26"/>
        </w:rPr>
        <w:t>a party has</w:t>
      </w:r>
      <w:r w:rsidR="00C81D99">
        <w:rPr>
          <w:szCs w:val="26"/>
        </w:rPr>
        <w:t xml:space="preserve"> “an objectively reasonable expectation that the conversation</w:t>
      </w:r>
      <w:r w:rsidR="008303E2">
        <w:rPr>
          <w:szCs w:val="26"/>
        </w:rPr>
        <w:t xml:space="preserve"> is</w:t>
      </w:r>
      <w:r w:rsidR="00C81D99">
        <w:rPr>
          <w:szCs w:val="26"/>
        </w:rPr>
        <w:t xml:space="preserve"> not being overheard or recorded.”  </w:t>
      </w:r>
      <w:r w:rsidR="004E7BB2">
        <w:rPr>
          <w:szCs w:val="26"/>
        </w:rPr>
        <w:t xml:space="preserve">When one juxtaposes </w:t>
      </w:r>
      <w:r w:rsidR="00A65C75">
        <w:rPr>
          <w:szCs w:val="26"/>
        </w:rPr>
        <w:t>section 632’s</w:t>
      </w:r>
      <w:r w:rsidR="004E7BB2">
        <w:rPr>
          <w:szCs w:val="26"/>
        </w:rPr>
        <w:t xml:space="preserve"> coverage</w:t>
      </w:r>
      <w:r w:rsidR="0096781C">
        <w:rPr>
          <w:szCs w:val="26"/>
        </w:rPr>
        <w:t>, so defined,</w:t>
      </w:r>
      <w:r w:rsidR="004E7BB2">
        <w:rPr>
          <w:szCs w:val="26"/>
        </w:rPr>
        <w:t xml:space="preserve"> against that of section 632.7,</w:t>
      </w:r>
      <w:r w:rsidR="00A65C75">
        <w:rPr>
          <w:szCs w:val="26"/>
        </w:rPr>
        <w:t xml:space="preserve"> </w:t>
      </w:r>
      <w:r w:rsidR="004E7BB2">
        <w:rPr>
          <w:szCs w:val="26"/>
        </w:rPr>
        <w:t xml:space="preserve">it </w:t>
      </w:r>
      <w:r w:rsidR="00A65C75">
        <w:rPr>
          <w:szCs w:val="26"/>
        </w:rPr>
        <w:t>become</w:t>
      </w:r>
      <w:r w:rsidR="004E7BB2">
        <w:rPr>
          <w:szCs w:val="26"/>
        </w:rPr>
        <w:t xml:space="preserve">s </w:t>
      </w:r>
      <w:r w:rsidR="00A65C75">
        <w:rPr>
          <w:szCs w:val="26"/>
        </w:rPr>
        <w:t>apparent</w:t>
      </w:r>
      <w:r w:rsidR="004E7BB2">
        <w:rPr>
          <w:szCs w:val="26"/>
        </w:rPr>
        <w:t xml:space="preserve"> that </w:t>
      </w:r>
      <w:r w:rsidR="00D573BB">
        <w:rPr>
          <w:szCs w:val="26"/>
        </w:rPr>
        <w:t>as a practical matter</w:t>
      </w:r>
      <w:r w:rsidR="006519A7">
        <w:rPr>
          <w:szCs w:val="26"/>
        </w:rPr>
        <w:t xml:space="preserve"> </w:t>
      </w:r>
      <w:r w:rsidR="000466DC">
        <w:rPr>
          <w:szCs w:val="26"/>
        </w:rPr>
        <w:t xml:space="preserve">the </w:t>
      </w:r>
      <w:r w:rsidR="003550C8">
        <w:rPr>
          <w:szCs w:val="26"/>
        </w:rPr>
        <w:t xml:space="preserve">kind of phone </w:t>
      </w:r>
      <w:r w:rsidR="00CD4C92">
        <w:rPr>
          <w:szCs w:val="26"/>
        </w:rPr>
        <w:t>used to receive</w:t>
      </w:r>
      <w:r w:rsidR="008F3277">
        <w:rPr>
          <w:szCs w:val="26"/>
        </w:rPr>
        <w:t xml:space="preserve"> </w:t>
      </w:r>
      <w:r w:rsidR="00021C69">
        <w:rPr>
          <w:szCs w:val="26"/>
        </w:rPr>
        <w:t>a</w:t>
      </w:r>
      <w:r w:rsidR="00CD4C92">
        <w:rPr>
          <w:szCs w:val="26"/>
        </w:rPr>
        <w:t xml:space="preserve"> call</w:t>
      </w:r>
      <w:r w:rsidR="006519A7">
        <w:rPr>
          <w:szCs w:val="26"/>
        </w:rPr>
        <w:t xml:space="preserve"> will commonly make no difference in determining whether a caller is liable under some portion of the statutory scheme for recording a call without </w:t>
      </w:r>
      <w:r w:rsidR="008D044C">
        <w:rPr>
          <w:szCs w:val="26"/>
        </w:rPr>
        <w:t>the</w:t>
      </w:r>
      <w:r w:rsidR="006519A7">
        <w:rPr>
          <w:szCs w:val="26"/>
        </w:rPr>
        <w:t xml:space="preserve"> consent</w:t>
      </w:r>
      <w:r w:rsidR="008D044C">
        <w:rPr>
          <w:szCs w:val="26"/>
        </w:rPr>
        <w:t xml:space="preserve"> of all parties</w:t>
      </w:r>
      <w:r w:rsidR="00D573BB">
        <w:rPr>
          <w:szCs w:val="26"/>
        </w:rPr>
        <w:t>.</w:t>
      </w:r>
      <w:r w:rsidR="00C81D99">
        <w:rPr>
          <w:szCs w:val="26"/>
        </w:rPr>
        <w:t xml:space="preserve"> </w:t>
      </w:r>
      <w:r w:rsidR="003550C8">
        <w:rPr>
          <w:szCs w:val="26"/>
        </w:rPr>
        <w:t xml:space="preserve"> </w:t>
      </w:r>
    </w:p>
    <w:p w:rsidR="003235B4" w:rsidRPr="00945FE6" w:rsidP="00C8136C" w14:paraId="633887B2" w14:textId="43A17DB4">
      <w:pPr>
        <w:tabs>
          <w:tab w:val="left" w:pos="1440"/>
        </w:tabs>
        <w:ind w:firstLine="720"/>
        <w:rPr>
          <w:szCs w:val="26"/>
        </w:rPr>
      </w:pPr>
      <w:r w:rsidRPr="00F319D8">
        <w:rPr>
          <w:szCs w:val="26"/>
        </w:rPr>
        <w:t xml:space="preserve">Concededly, a discrepancy may exist between section 632’s coverage and that of section 632.7 in situations where a communication is not confidential.  Yet this difference, whatever it may be in practical terms today in light of current privacy expectations (see </w:t>
      </w:r>
      <w:r w:rsidRPr="00F319D8">
        <w:rPr>
          <w:i/>
          <w:iCs/>
          <w:szCs w:val="26"/>
        </w:rPr>
        <w:t>Flanagan</w:t>
      </w:r>
      <w:r w:rsidRPr="00F319D8">
        <w:rPr>
          <w:szCs w:val="26"/>
        </w:rPr>
        <w:t xml:space="preserve">, </w:t>
      </w:r>
      <w:r w:rsidRPr="00F319D8">
        <w:rPr>
          <w:i/>
          <w:iCs/>
          <w:szCs w:val="26"/>
        </w:rPr>
        <w:t>supra</w:t>
      </w:r>
      <w:r w:rsidRPr="00F319D8">
        <w:rPr>
          <w:szCs w:val="26"/>
        </w:rPr>
        <w:t xml:space="preserve">, 27 Cal.4th at p. 768), owes to the Legislature’s apparent sense, decades ago, that cellular and cordless communications were incapable of being cast as confidential.  Moreover, any perceived harshness in applying section 632.7 to a party’s recordation of a nonconfidential communication is lessened by the fact that a party can avoid liability under the statute by taking reasonable precautions, such as obtaining the consent to record the statute requires.  </w:t>
      </w:r>
      <w:r w:rsidRPr="00945FE6" w:rsidR="007D77F5">
        <w:rPr>
          <w:szCs w:val="26"/>
        </w:rPr>
        <w:t xml:space="preserve">In </w:t>
      </w:r>
      <w:r w:rsidR="00234152">
        <w:rPr>
          <w:szCs w:val="26"/>
        </w:rPr>
        <w:t>th</w:t>
      </w:r>
      <w:r w:rsidR="00D573BB">
        <w:rPr>
          <w:szCs w:val="26"/>
        </w:rPr>
        <w:t xml:space="preserve">is </w:t>
      </w:r>
      <w:r w:rsidRPr="00945FE6" w:rsidR="007D77F5">
        <w:rPr>
          <w:szCs w:val="26"/>
        </w:rPr>
        <w:t xml:space="preserve">respect, </w:t>
      </w:r>
      <w:r w:rsidRPr="00945FE6" w:rsidR="00A11415">
        <w:rPr>
          <w:szCs w:val="26"/>
        </w:rPr>
        <w:t>LoanMe’s</w:t>
      </w:r>
      <w:r w:rsidR="00C8136C">
        <w:rPr>
          <w:szCs w:val="26"/>
        </w:rPr>
        <w:t xml:space="preserve"> absurdity</w:t>
      </w:r>
      <w:r w:rsidRPr="00945FE6">
        <w:rPr>
          <w:szCs w:val="26"/>
        </w:rPr>
        <w:t xml:space="preserve"> argument</w:t>
      </w:r>
      <w:r w:rsidRPr="00945FE6" w:rsidR="00E54D30">
        <w:rPr>
          <w:szCs w:val="26"/>
        </w:rPr>
        <w:t xml:space="preserve"> </w:t>
      </w:r>
      <w:r w:rsidRPr="00945FE6">
        <w:rPr>
          <w:szCs w:val="26"/>
        </w:rPr>
        <w:t xml:space="preserve">resembles </w:t>
      </w:r>
      <w:r w:rsidR="00C8136C">
        <w:rPr>
          <w:szCs w:val="26"/>
        </w:rPr>
        <w:t>a position</w:t>
      </w:r>
      <w:r w:rsidRPr="00945FE6">
        <w:rPr>
          <w:szCs w:val="26"/>
        </w:rPr>
        <w:t xml:space="preserve"> we rejected in </w:t>
      </w:r>
      <w:r w:rsidRPr="00945FE6" w:rsidR="003A2190">
        <w:rPr>
          <w:i/>
          <w:iCs/>
          <w:szCs w:val="26"/>
        </w:rPr>
        <w:t>Kearney</w:t>
      </w:r>
      <w:r w:rsidRPr="00945FE6" w:rsidR="003A2190">
        <w:rPr>
          <w:szCs w:val="26"/>
        </w:rPr>
        <w:t xml:space="preserve">, </w:t>
      </w:r>
      <w:r w:rsidRPr="00945FE6" w:rsidR="003A2190">
        <w:rPr>
          <w:i/>
          <w:iCs/>
          <w:szCs w:val="26"/>
        </w:rPr>
        <w:t>supra</w:t>
      </w:r>
      <w:r w:rsidRPr="00945FE6" w:rsidR="003A2190">
        <w:rPr>
          <w:szCs w:val="26"/>
        </w:rPr>
        <w:t xml:space="preserve">, </w:t>
      </w:r>
      <w:r w:rsidRPr="00945FE6">
        <w:rPr>
          <w:szCs w:val="26"/>
        </w:rPr>
        <w:t xml:space="preserve">39 Cal.4th 95, </w:t>
      </w:r>
      <w:r w:rsidRPr="00945FE6" w:rsidR="001E02CE">
        <w:rPr>
          <w:szCs w:val="26"/>
        </w:rPr>
        <w:t>in which</w:t>
      </w:r>
      <w:r w:rsidRPr="00945FE6">
        <w:rPr>
          <w:szCs w:val="26"/>
        </w:rPr>
        <w:t xml:space="preserve"> we determined that section 632 applied</w:t>
      </w:r>
      <w:r w:rsidR="00C8136C">
        <w:rPr>
          <w:szCs w:val="26"/>
        </w:rPr>
        <w:t xml:space="preserve"> prospectively</w:t>
      </w:r>
      <w:r w:rsidRPr="00945FE6">
        <w:rPr>
          <w:szCs w:val="26"/>
        </w:rPr>
        <w:t xml:space="preserve"> to phone calls </w:t>
      </w:r>
      <w:r w:rsidRPr="00945FE6" w:rsidR="002C5640">
        <w:rPr>
          <w:szCs w:val="26"/>
        </w:rPr>
        <w:t>between</w:t>
      </w:r>
      <w:r w:rsidRPr="00945FE6">
        <w:rPr>
          <w:szCs w:val="26"/>
        </w:rPr>
        <w:t xml:space="preserve"> </w:t>
      </w:r>
      <w:r w:rsidRPr="00945FE6" w:rsidR="002C5640">
        <w:rPr>
          <w:szCs w:val="26"/>
        </w:rPr>
        <w:t>the</w:t>
      </w:r>
      <w:r w:rsidRPr="00945FE6" w:rsidR="00DA27F3">
        <w:rPr>
          <w:szCs w:val="26"/>
        </w:rPr>
        <w:t xml:space="preserve"> </w:t>
      </w:r>
      <w:r w:rsidRPr="00945FE6" w:rsidR="002C5640">
        <w:rPr>
          <w:szCs w:val="26"/>
        </w:rPr>
        <w:t>Georgia branch of a national brokerage firm and the firm’s California clients</w:t>
      </w:r>
      <w:r w:rsidRPr="00945FE6">
        <w:rPr>
          <w:szCs w:val="26"/>
        </w:rPr>
        <w:t xml:space="preserve">.  </w:t>
      </w:r>
      <w:r w:rsidR="00C8136C">
        <w:rPr>
          <w:szCs w:val="26"/>
        </w:rPr>
        <w:t>(</w:t>
      </w:r>
      <w:r w:rsidRPr="00C8136C" w:rsidR="00C8136C">
        <w:rPr>
          <w:i/>
          <w:iCs/>
          <w:szCs w:val="26"/>
        </w:rPr>
        <w:t>Kearney</w:t>
      </w:r>
      <w:r w:rsidR="00C8136C">
        <w:rPr>
          <w:szCs w:val="26"/>
        </w:rPr>
        <w:t xml:space="preserve">, at pp. 100–101.)  </w:t>
      </w:r>
      <w:r w:rsidRPr="00945FE6">
        <w:rPr>
          <w:szCs w:val="26"/>
        </w:rPr>
        <w:t xml:space="preserve">In </w:t>
      </w:r>
      <w:r w:rsidRPr="00945FE6">
        <w:rPr>
          <w:i/>
          <w:iCs/>
          <w:szCs w:val="26"/>
        </w:rPr>
        <w:t>Kearney</w:t>
      </w:r>
      <w:r w:rsidRPr="00945FE6">
        <w:rPr>
          <w:szCs w:val="26"/>
        </w:rPr>
        <w:t>, we responded to the defendant’s concern</w:t>
      </w:r>
      <w:r w:rsidRPr="00945FE6" w:rsidR="0017155E">
        <w:rPr>
          <w:szCs w:val="26"/>
        </w:rPr>
        <w:t xml:space="preserve"> that</w:t>
      </w:r>
      <w:r w:rsidRPr="00945FE6">
        <w:rPr>
          <w:szCs w:val="26"/>
        </w:rPr>
        <w:t xml:space="preserve"> </w:t>
      </w:r>
      <w:r w:rsidRPr="00945FE6" w:rsidR="00DA27F3">
        <w:rPr>
          <w:szCs w:val="26"/>
        </w:rPr>
        <w:t>someone who received a call</w:t>
      </w:r>
      <w:r w:rsidRPr="00945FE6" w:rsidR="002C5640">
        <w:rPr>
          <w:szCs w:val="26"/>
        </w:rPr>
        <w:t xml:space="preserve"> in Georgia</w:t>
      </w:r>
      <w:r w:rsidRPr="00945FE6">
        <w:rPr>
          <w:szCs w:val="26"/>
        </w:rPr>
        <w:t xml:space="preserve"> would not </w:t>
      </w:r>
      <w:r w:rsidRPr="00945FE6" w:rsidR="0017155E">
        <w:rPr>
          <w:szCs w:val="26"/>
        </w:rPr>
        <w:t xml:space="preserve">necessarily </w:t>
      </w:r>
      <w:r w:rsidRPr="00945FE6">
        <w:rPr>
          <w:szCs w:val="26"/>
        </w:rPr>
        <w:t xml:space="preserve">know whether </w:t>
      </w:r>
      <w:r w:rsidRPr="00945FE6" w:rsidR="002C5640">
        <w:rPr>
          <w:szCs w:val="26"/>
        </w:rPr>
        <w:t>a caller wa</w:t>
      </w:r>
      <w:r w:rsidRPr="00945FE6">
        <w:rPr>
          <w:szCs w:val="26"/>
        </w:rPr>
        <w:t>s in California</w:t>
      </w:r>
      <w:r w:rsidRPr="00945FE6" w:rsidR="002C5640">
        <w:rPr>
          <w:szCs w:val="26"/>
        </w:rPr>
        <w:t>,</w:t>
      </w:r>
      <w:r w:rsidRPr="00945FE6">
        <w:rPr>
          <w:szCs w:val="26"/>
        </w:rPr>
        <w:t xml:space="preserve"> and hence whether California law applie</w:t>
      </w:r>
      <w:r w:rsidRPr="00945FE6" w:rsidR="00207296">
        <w:rPr>
          <w:szCs w:val="26"/>
        </w:rPr>
        <w:t>d</w:t>
      </w:r>
      <w:r w:rsidRPr="00945FE6">
        <w:rPr>
          <w:szCs w:val="26"/>
        </w:rPr>
        <w:t xml:space="preserve"> to the call</w:t>
      </w:r>
      <w:r w:rsidRPr="00945FE6" w:rsidR="008C0B32">
        <w:rPr>
          <w:szCs w:val="26"/>
        </w:rPr>
        <w:t>.  (</w:t>
      </w:r>
      <w:r w:rsidR="00E06B15">
        <w:rPr>
          <w:i/>
          <w:iCs/>
          <w:szCs w:val="26"/>
        </w:rPr>
        <w:t>Id.</w:t>
      </w:r>
      <w:r w:rsidR="00E06B15">
        <w:rPr>
          <w:szCs w:val="26"/>
        </w:rPr>
        <w:t>,</w:t>
      </w:r>
      <w:r w:rsidRPr="00945FE6" w:rsidR="008C0B32">
        <w:rPr>
          <w:szCs w:val="26"/>
        </w:rPr>
        <w:t xml:space="preserve"> at p.</w:t>
      </w:r>
      <w:r w:rsidR="00EA31AB">
        <w:rPr>
          <w:szCs w:val="26"/>
        </w:rPr>
        <w:t> </w:t>
      </w:r>
      <w:r w:rsidRPr="00945FE6" w:rsidR="008C0B32">
        <w:rPr>
          <w:szCs w:val="26"/>
        </w:rPr>
        <w:t>127.)  We observed</w:t>
      </w:r>
      <w:r w:rsidRPr="00945FE6">
        <w:rPr>
          <w:szCs w:val="26"/>
        </w:rPr>
        <w:t xml:space="preserve"> that “there would appear to be no reason why an [employee of the defendant], when answering a call, could not simply inquire where the client is calling from</w:t>
      </w:r>
      <w:r w:rsidRPr="00945FE6" w:rsidR="007D77F5">
        <w:rPr>
          <w:szCs w:val="26"/>
        </w:rPr>
        <w:t>.</w:t>
      </w:r>
      <w:r w:rsidRPr="00945FE6">
        <w:rPr>
          <w:szCs w:val="26"/>
        </w:rPr>
        <w:t xml:space="preserve">”  </w:t>
      </w:r>
      <w:r w:rsidRPr="00945FE6" w:rsidR="0019070E">
        <w:rPr>
          <w:szCs w:val="26"/>
        </w:rPr>
        <w:t>(</w:t>
      </w:r>
      <w:r w:rsidRPr="00945FE6" w:rsidR="0019070E">
        <w:rPr>
          <w:i/>
          <w:iCs/>
          <w:szCs w:val="26"/>
        </w:rPr>
        <w:t>Ibid</w:t>
      </w:r>
      <w:r w:rsidRPr="00945FE6" w:rsidR="0019070E">
        <w:rPr>
          <w:szCs w:val="26"/>
        </w:rPr>
        <w:t xml:space="preserve">.)  </w:t>
      </w:r>
      <w:r w:rsidR="00566424">
        <w:rPr>
          <w:szCs w:val="26"/>
        </w:rPr>
        <w:t>Similarly</w:t>
      </w:r>
      <w:r w:rsidRPr="00945FE6">
        <w:rPr>
          <w:szCs w:val="26"/>
        </w:rPr>
        <w:t xml:space="preserve"> here</w:t>
      </w:r>
      <w:r w:rsidR="00566424">
        <w:rPr>
          <w:szCs w:val="26"/>
        </w:rPr>
        <w:t>,</w:t>
      </w:r>
      <w:r w:rsidRPr="00945FE6">
        <w:rPr>
          <w:szCs w:val="26"/>
        </w:rPr>
        <w:t xml:space="preserve"> a party who wants to record a call that may fall within the strictures of section 632.7 is hardly in an impossible situation</w:t>
      </w:r>
      <w:r w:rsidRPr="00945FE6" w:rsidR="007D77F5">
        <w:rPr>
          <w:szCs w:val="26"/>
        </w:rPr>
        <w:t>.</w:t>
      </w:r>
      <w:r>
        <w:rPr>
          <w:rStyle w:val="FootnoteReference"/>
          <w:szCs w:val="26"/>
        </w:rPr>
        <w:footnoteReference w:id="12"/>
      </w:r>
    </w:p>
    <w:p w:rsidR="00187552" w:rsidRPr="00EC0C84" w:rsidP="0010015A" w14:paraId="7350D1FF" w14:textId="3E9B995C">
      <w:pPr>
        <w:pStyle w:val="Heading2"/>
      </w:pPr>
      <w:r w:rsidRPr="00EC0C84">
        <w:t>The Rule of Lenity Does Not Apply Here</w:t>
      </w:r>
    </w:p>
    <w:p w:rsidR="00FB0C7C" w:rsidP="0010015A" w14:paraId="0DE551D7" w14:textId="7CA560BE">
      <w:pPr>
        <w:keepNext/>
        <w:tabs>
          <w:tab w:val="left" w:pos="1440"/>
        </w:tabs>
        <w:ind w:firstLine="720"/>
        <w:rPr>
          <w:szCs w:val="26"/>
        </w:rPr>
      </w:pPr>
      <w:r w:rsidRPr="00945FE6">
        <w:rPr>
          <w:szCs w:val="26"/>
        </w:rPr>
        <w:t>LoanMe</w:t>
      </w:r>
      <w:r w:rsidRPr="00945FE6" w:rsidR="009F1EB8">
        <w:rPr>
          <w:szCs w:val="26"/>
        </w:rPr>
        <w:t xml:space="preserve"> also</w:t>
      </w:r>
      <w:r w:rsidRPr="00945FE6">
        <w:rPr>
          <w:szCs w:val="26"/>
        </w:rPr>
        <w:t xml:space="preserve"> argues that</w:t>
      </w:r>
      <w:r w:rsidR="00E06B15">
        <w:rPr>
          <w:szCs w:val="26"/>
        </w:rPr>
        <w:t xml:space="preserve"> </w:t>
      </w:r>
      <w:r w:rsidRPr="00945FE6">
        <w:rPr>
          <w:szCs w:val="26"/>
        </w:rPr>
        <w:t>the rule of lenity</w:t>
      </w:r>
      <w:r w:rsidR="00E06B15">
        <w:rPr>
          <w:szCs w:val="26"/>
        </w:rPr>
        <w:t xml:space="preserve"> applies here and supports an interpretation of </w:t>
      </w:r>
      <w:r w:rsidRPr="00945FE6">
        <w:rPr>
          <w:szCs w:val="26"/>
        </w:rPr>
        <w:t xml:space="preserve">section 632.7 as concerned only with recording by nonparties to a communication.  </w:t>
      </w:r>
      <w:r w:rsidR="00285ADE">
        <w:rPr>
          <w:szCs w:val="26"/>
        </w:rPr>
        <w:t>We conclude that t</w:t>
      </w:r>
      <w:r w:rsidRPr="00945FE6" w:rsidR="00874AAD">
        <w:rPr>
          <w:szCs w:val="26"/>
        </w:rPr>
        <w:t>he</w:t>
      </w:r>
      <w:r w:rsidRPr="00945FE6" w:rsidR="00B54E3B">
        <w:rPr>
          <w:szCs w:val="26"/>
        </w:rPr>
        <w:t xml:space="preserve"> circumstances before </w:t>
      </w:r>
      <w:r w:rsidR="00285ADE">
        <w:rPr>
          <w:szCs w:val="26"/>
        </w:rPr>
        <w:t>us</w:t>
      </w:r>
      <w:r w:rsidRPr="00945FE6" w:rsidR="00B54E3B">
        <w:rPr>
          <w:szCs w:val="26"/>
        </w:rPr>
        <w:t xml:space="preserve"> do not </w:t>
      </w:r>
      <w:r w:rsidRPr="00945FE6" w:rsidR="00874AAD">
        <w:rPr>
          <w:szCs w:val="26"/>
        </w:rPr>
        <w:t xml:space="preserve">justify </w:t>
      </w:r>
      <w:r w:rsidR="00285ADE">
        <w:rPr>
          <w:szCs w:val="26"/>
        </w:rPr>
        <w:t xml:space="preserve">the </w:t>
      </w:r>
      <w:r w:rsidRPr="00945FE6" w:rsidR="00B54E3B">
        <w:rPr>
          <w:szCs w:val="26"/>
        </w:rPr>
        <w:t>invocation</w:t>
      </w:r>
      <w:r w:rsidRPr="00945FE6" w:rsidR="00874AAD">
        <w:rPr>
          <w:szCs w:val="26"/>
        </w:rPr>
        <w:t xml:space="preserve"> of this principle</w:t>
      </w:r>
      <w:r w:rsidRPr="00945FE6">
        <w:rPr>
          <w:szCs w:val="26"/>
        </w:rPr>
        <w:t xml:space="preserve">.  </w:t>
      </w:r>
    </w:p>
    <w:p w:rsidR="00187552" w:rsidRPr="00945FE6" w:rsidP="00945FE6" w14:paraId="3B44B893" w14:textId="53FDD56F">
      <w:pPr>
        <w:tabs>
          <w:tab w:val="left" w:pos="1440"/>
        </w:tabs>
        <w:ind w:firstLine="720"/>
        <w:rPr>
          <w:szCs w:val="26"/>
        </w:rPr>
      </w:pPr>
      <w:r w:rsidRPr="00945FE6">
        <w:rPr>
          <w:szCs w:val="26"/>
        </w:rPr>
        <w:t>The rule of lenity “ ‘generally requires that “ambiguity in a criminal statute should be resolved in favor of lenity, giving the defendant the benefit of every reasonable doubt on questions of interpretation.” ’ ”  (</w:t>
      </w:r>
      <w:r w:rsidRPr="00945FE6">
        <w:rPr>
          <w:i/>
          <w:iCs/>
          <w:szCs w:val="26"/>
        </w:rPr>
        <w:t>People v. Nuckles</w:t>
      </w:r>
      <w:r w:rsidRPr="00945FE6">
        <w:rPr>
          <w:szCs w:val="26"/>
        </w:rPr>
        <w:t xml:space="preserve"> (2013) 56 Cal.4th 601, 611.)  But </w:t>
      </w:r>
      <w:r w:rsidRPr="00945FE6">
        <w:rPr>
          <w:szCs w:val="26"/>
        </w:rPr>
        <w:t>“</w:t>
      </w:r>
      <w:r w:rsidRPr="00945FE6">
        <w:rPr>
          <w:szCs w:val="26"/>
        </w:rPr>
        <w:t>[t]</w:t>
      </w:r>
      <w:r w:rsidRPr="00945FE6">
        <w:rPr>
          <w:szCs w:val="26"/>
        </w:rPr>
        <w:t>he rule of lenity does not apply every time there are two or more reasonable interpretations of a penal statute.</w:t>
      </w:r>
      <w:r w:rsidR="00097116">
        <w:rPr>
          <w:szCs w:val="26"/>
        </w:rPr>
        <w:t xml:space="preserve">”  </w:t>
      </w:r>
      <w:r w:rsidRPr="00945FE6" w:rsidR="00097116">
        <w:rPr>
          <w:szCs w:val="26"/>
        </w:rPr>
        <w:t>(</w:t>
      </w:r>
      <w:r w:rsidRPr="00945FE6" w:rsidR="00097116">
        <w:rPr>
          <w:i/>
          <w:iCs/>
          <w:szCs w:val="26"/>
        </w:rPr>
        <w:t>People v. Manzo</w:t>
      </w:r>
      <w:r w:rsidRPr="00945FE6" w:rsidR="00097116">
        <w:rPr>
          <w:szCs w:val="26"/>
        </w:rPr>
        <w:t xml:space="preserve"> (2012) 53 Cal.4th 880, 889 (</w:t>
      </w:r>
      <w:r w:rsidRPr="00945FE6" w:rsidR="00097116">
        <w:rPr>
          <w:i/>
          <w:iCs/>
          <w:szCs w:val="26"/>
        </w:rPr>
        <w:t>Manzo</w:t>
      </w:r>
      <w:r w:rsidRPr="00945FE6" w:rsidR="00097116">
        <w:rPr>
          <w:szCs w:val="26"/>
        </w:rPr>
        <w:t xml:space="preserve">).)  </w:t>
      </w:r>
      <w:r w:rsidR="00097116">
        <w:rPr>
          <w:szCs w:val="26"/>
        </w:rPr>
        <w:t>On the contrary, this principle applies only “ </w:t>
      </w:r>
      <w:r w:rsidRPr="00945FE6">
        <w:rPr>
          <w:szCs w:val="26"/>
        </w:rPr>
        <w:t>‘when “</w:t>
      </w:r>
      <w:r w:rsidRPr="00945FE6" w:rsidR="000863D6">
        <w:rPr>
          <w:szCs w:val="26"/>
        </w:rPr>
        <w:t> </w:t>
      </w:r>
      <w:r w:rsidRPr="00945FE6">
        <w:rPr>
          <w:szCs w:val="26"/>
        </w:rPr>
        <w:t>‘two reasonable interpretations of the same provision stand in relative equipoise</w:t>
      </w:r>
      <w:r w:rsidR="00EA7650">
        <w:rPr>
          <w:szCs w:val="26"/>
        </w:rPr>
        <w:t xml:space="preserve"> </w:t>
      </w:r>
      <w:r w:rsidRPr="00945FE6">
        <w:rPr>
          <w:szCs w:val="26"/>
        </w:rPr>
        <w:t>. . . .’ ” ’ ”  (</w:t>
      </w:r>
      <w:r w:rsidR="00097116">
        <w:rPr>
          <w:i/>
          <w:iCs/>
          <w:szCs w:val="26"/>
        </w:rPr>
        <w:t>Ibid</w:t>
      </w:r>
      <w:r w:rsidRPr="00945FE6">
        <w:rPr>
          <w:szCs w:val="26"/>
        </w:rPr>
        <w:t xml:space="preserve">.)  </w:t>
      </w:r>
    </w:p>
    <w:p w:rsidR="00187552" w:rsidRPr="00945FE6" w:rsidP="00945FE6" w14:paraId="2A5FE8A2" w14:textId="1FDC0997">
      <w:pPr>
        <w:tabs>
          <w:tab w:val="left" w:pos="1440"/>
        </w:tabs>
        <w:ind w:firstLine="720"/>
        <w:rPr>
          <w:szCs w:val="26"/>
        </w:rPr>
      </w:pPr>
      <w:r w:rsidRPr="00945FE6">
        <w:rPr>
          <w:szCs w:val="26"/>
        </w:rPr>
        <w:t xml:space="preserve">As in </w:t>
      </w:r>
      <w:r w:rsidRPr="00945FE6">
        <w:rPr>
          <w:i/>
          <w:iCs/>
          <w:szCs w:val="26"/>
        </w:rPr>
        <w:t>Manzo</w:t>
      </w:r>
      <w:r w:rsidRPr="00945FE6">
        <w:rPr>
          <w:szCs w:val="26"/>
        </w:rPr>
        <w:t xml:space="preserve">, </w:t>
      </w:r>
      <w:r w:rsidRPr="00945FE6">
        <w:rPr>
          <w:i/>
          <w:iCs/>
          <w:szCs w:val="26"/>
        </w:rPr>
        <w:t>supra</w:t>
      </w:r>
      <w:r w:rsidRPr="00945FE6">
        <w:rPr>
          <w:szCs w:val="26"/>
        </w:rPr>
        <w:t xml:space="preserve">, </w:t>
      </w:r>
      <w:r w:rsidR="00B7188D">
        <w:rPr>
          <w:szCs w:val="26"/>
        </w:rPr>
        <w:t>53 Cal.4th at page 889</w:t>
      </w:r>
      <w:r w:rsidR="00BD4DDB">
        <w:rPr>
          <w:szCs w:val="26"/>
        </w:rPr>
        <w:t>,</w:t>
      </w:r>
      <w:r w:rsidR="00B7188D">
        <w:rPr>
          <w:szCs w:val="26"/>
        </w:rPr>
        <w:t xml:space="preserve"> </w:t>
      </w:r>
      <w:r w:rsidRPr="00945FE6">
        <w:rPr>
          <w:szCs w:val="26"/>
        </w:rPr>
        <w:t>“We do not face that degree of uncertainty in this case”</w:t>
      </w:r>
      <w:r w:rsidRPr="00945FE6" w:rsidR="00D333A9">
        <w:rPr>
          <w:szCs w:val="26"/>
        </w:rPr>
        <w:t xml:space="preserve"> — or, frankly, any great uncertainty at all regarding legislative intent.</w:t>
      </w:r>
      <w:r w:rsidRPr="00945FE6">
        <w:rPr>
          <w:szCs w:val="26"/>
        </w:rPr>
        <w:t xml:space="preserve">  Here, as there, “</w:t>
      </w:r>
      <w:r w:rsidRPr="00945FE6" w:rsidR="00FE3BC7">
        <w:rPr>
          <w:szCs w:val="26"/>
        </w:rPr>
        <w:t>[t]</w:t>
      </w:r>
      <w:r w:rsidRPr="00945FE6">
        <w:rPr>
          <w:szCs w:val="26"/>
        </w:rPr>
        <w:t xml:space="preserve">he legislative history, the purpose of the statute, general public policy concerns, and logic all favor” the interpretation </w:t>
      </w:r>
      <w:r w:rsidR="00FB0C7C">
        <w:rPr>
          <w:szCs w:val="26"/>
        </w:rPr>
        <w:t>we adopt</w:t>
      </w:r>
      <w:r w:rsidRPr="00945FE6" w:rsidR="007D77F5">
        <w:rPr>
          <w:szCs w:val="26"/>
        </w:rPr>
        <w:t xml:space="preserve">.  </w:t>
      </w:r>
      <w:r w:rsidRPr="00945FE6">
        <w:rPr>
          <w:szCs w:val="26"/>
        </w:rPr>
        <w:t>(</w:t>
      </w:r>
      <w:r w:rsidRPr="00945FE6">
        <w:rPr>
          <w:i/>
          <w:iCs/>
          <w:szCs w:val="26"/>
        </w:rPr>
        <w:t>Ibid</w:t>
      </w:r>
      <w:r w:rsidRPr="00945FE6">
        <w:rPr>
          <w:szCs w:val="26"/>
        </w:rPr>
        <w:t xml:space="preserve">.)  </w:t>
      </w:r>
      <w:r w:rsidR="00FB0C7C">
        <w:rPr>
          <w:szCs w:val="26"/>
        </w:rPr>
        <w:t>Of even more significance</w:t>
      </w:r>
      <w:r w:rsidRPr="00945FE6" w:rsidR="007D77F5">
        <w:rPr>
          <w:szCs w:val="26"/>
        </w:rPr>
        <w:t xml:space="preserve">, so too does the statutory language.  </w:t>
      </w:r>
      <w:r w:rsidR="00FB0C7C">
        <w:rPr>
          <w:szCs w:val="26"/>
        </w:rPr>
        <w:t xml:space="preserve">Accordingly, </w:t>
      </w:r>
      <w:r w:rsidRPr="00945FE6">
        <w:rPr>
          <w:szCs w:val="26"/>
        </w:rPr>
        <w:t>we decline LoanMe’s invitation to apply the rule of lenity.</w:t>
      </w:r>
      <w:r>
        <w:rPr>
          <w:rStyle w:val="FootnoteReference"/>
          <w:szCs w:val="26"/>
        </w:rPr>
        <w:footnoteReference w:id="13"/>
      </w:r>
    </w:p>
    <w:p w:rsidR="00DD63E8" w:rsidRPr="00945FE6" w:rsidP="00097116" w14:paraId="456B3025" w14:textId="2DEC1A1D">
      <w:pPr>
        <w:pStyle w:val="Heading1"/>
      </w:pPr>
      <w:r w:rsidRPr="00945FE6">
        <w:t>Disposition</w:t>
      </w:r>
    </w:p>
    <w:p w:rsidR="00467E17" w:rsidP="006D4D4F" w14:paraId="527F09BB" w14:textId="27E64591">
      <w:pPr>
        <w:keepNext/>
        <w:keepLines/>
        <w:tabs>
          <w:tab w:val="left" w:pos="1440"/>
        </w:tabs>
        <w:ind w:firstLine="720"/>
        <w:rPr>
          <w:szCs w:val="26"/>
        </w:rPr>
      </w:pPr>
      <w:r>
        <w:rPr>
          <w:szCs w:val="26"/>
        </w:rPr>
        <w:t xml:space="preserve">We conclude that section 632.7 prohibits parties as well as nonparties from intentionally recording a communication transmitted between a cellular or cordless phone and another device without the consent of all parties to the communication.  </w:t>
      </w:r>
      <w:r w:rsidRPr="00945FE6" w:rsidR="000C54DE">
        <w:rPr>
          <w:szCs w:val="26"/>
        </w:rPr>
        <w:t>T</w:t>
      </w:r>
      <w:r w:rsidRPr="00945FE6" w:rsidR="00FD76D2">
        <w:rPr>
          <w:szCs w:val="26"/>
        </w:rPr>
        <w:t xml:space="preserve">he Court of Appeal did not address LoanMe’s </w:t>
      </w:r>
      <w:r w:rsidR="00AE3EAD">
        <w:rPr>
          <w:szCs w:val="26"/>
        </w:rPr>
        <w:t xml:space="preserve">additional </w:t>
      </w:r>
      <w:r w:rsidRPr="00945FE6" w:rsidR="006F2AFB">
        <w:rPr>
          <w:szCs w:val="26"/>
        </w:rPr>
        <w:t>contentions</w:t>
      </w:r>
      <w:r w:rsidRPr="00945FE6" w:rsidR="00FD76D2">
        <w:rPr>
          <w:szCs w:val="26"/>
        </w:rPr>
        <w:t xml:space="preserve"> </w:t>
      </w:r>
      <w:r w:rsidRPr="00945FE6" w:rsidR="000C54DE">
        <w:rPr>
          <w:szCs w:val="26"/>
        </w:rPr>
        <w:t xml:space="preserve">that </w:t>
      </w:r>
      <w:r w:rsidRPr="00945FE6" w:rsidR="00C0222A">
        <w:rPr>
          <w:szCs w:val="26"/>
        </w:rPr>
        <w:t xml:space="preserve">its activation of a beep tone gave </w:t>
      </w:r>
      <w:r w:rsidRPr="00945FE6" w:rsidR="000C54DE">
        <w:rPr>
          <w:szCs w:val="26"/>
        </w:rPr>
        <w:t xml:space="preserve">Smith </w:t>
      </w:r>
      <w:r w:rsidRPr="00945FE6" w:rsidR="00C0222A">
        <w:rPr>
          <w:szCs w:val="26"/>
        </w:rPr>
        <w:t>notice that</w:t>
      </w:r>
      <w:r w:rsidRPr="00945FE6" w:rsidR="000C54DE">
        <w:rPr>
          <w:szCs w:val="26"/>
        </w:rPr>
        <w:t xml:space="preserve"> their conversation</w:t>
      </w:r>
      <w:r w:rsidRPr="00945FE6" w:rsidR="00C0222A">
        <w:rPr>
          <w:szCs w:val="26"/>
        </w:rPr>
        <w:t xml:space="preserve"> was being</w:t>
      </w:r>
      <w:r w:rsidRPr="00945FE6" w:rsidR="000C54DE">
        <w:rPr>
          <w:szCs w:val="26"/>
        </w:rPr>
        <w:t xml:space="preserve"> recorded</w:t>
      </w:r>
      <w:r w:rsidRPr="00945FE6" w:rsidR="006F2AFB">
        <w:rPr>
          <w:szCs w:val="26"/>
        </w:rPr>
        <w:t>, and that by remaining on the call, Smith consented to having the call recorded</w:t>
      </w:r>
      <w:r w:rsidRPr="00945FE6" w:rsidR="000C54DE">
        <w:rPr>
          <w:szCs w:val="26"/>
        </w:rPr>
        <w:t xml:space="preserve">.  </w:t>
      </w:r>
      <w:r w:rsidR="000B5CBB">
        <w:rPr>
          <w:szCs w:val="26"/>
        </w:rPr>
        <w:t>W</w:t>
      </w:r>
      <w:r w:rsidRPr="00945FE6" w:rsidR="003D5C27">
        <w:rPr>
          <w:szCs w:val="26"/>
        </w:rPr>
        <w:t>e reverse the judgment of the Court of Appeal and remand the cause to that court for further proceedings consistent with our opinion</w:t>
      </w:r>
      <w:r w:rsidRPr="00945FE6" w:rsidR="000C54DE">
        <w:rPr>
          <w:szCs w:val="26"/>
        </w:rPr>
        <w:t xml:space="preserve">, including consideration of </w:t>
      </w:r>
      <w:r w:rsidRPr="00945FE6" w:rsidR="00C0222A">
        <w:rPr>
          <w:szCs w:val="26"/>
        </w:rPr>
        <w:t>th</w:t>
      </w:r>
      <w:r w:rsidRPr="00945FE6" w:rsidR="006F2AFB">
        <w:rPr>
          <w:szCs w:val="26"/>
        </w:rPr>
        <w:t>ese arguments</w:t>
      </w:r>
      <w:r w:rsidR="00C80AA2">
        <w:rPr>
          <w:szCs w:val="26"/>
        </w:rPr>
        <w:t xml:space="preserve"> as may be appropriate</w:t>
      </w:r>
      <w:r w:rsidRPr="00945FE6" w:rsidR="000C54DE">
        <w:rPr>
          <w:szCs w:val="26"/>
        </w:rPr>
        <w:t>.</w:t>
      </w:r>
    </w:p>
    <w:p w:rsidR="00467E17" w:rsidP="00467E17" w14:paraId="08B3C0C7" w14:textId="77777777">
      <w:pPr>
        <w:contextualSpacing/>
        <w:jc w:val="right"/>
        <w:rPr>
          <w:rFonts w:eastAsia="Calibri"/>
          <w:szCs w:val="26"/>
        </w:rPr>
      </w:pPr>
      <w:r w:rsidRPr="00DC0DE0">
        <w:rPr>
          <w:rFonts w:eastAsia="Calibri"/>
          <w:b/>
          <w:szCs w:val="26"/>
        </w:rPr>
        <w:t>CANTIL-SAKAUYE, C. J.</w:t>
      </w:r>
    </w:p>
    <w:p w:rsidR="00467E17" w:rsidP="00467E17" w14:paraId="72F75055" w14:textId="77777777">
      <w:pPr>
        <w:contextualSpacing/>
        <w:jc w:val="right"/>
        <w:rPr>
          <w:rFonts w:eastAsia="Calibri"/>
          <w:szCs w:val="26"/>
        </w:rPr>
      </w:pPr>
    </w:p>
    <w:p w:rsidR="00467E17" w:rsidP="003326B7" w14:paraId="521B9F1B" w14:textId="1710021C">
      <w:pPr>
        <w:pStyle w:val="Text"/>
        <w:spacing w:line="400" w:lineRule="exact"/>
        <w:ind w:firstLine="0"/>
        <w:rPr>
          <w:b/>
          <w:bCs/>
        </w:rPr>
      </w:pPr>
      <w:r w:rsidRPr="000C3155">
        <w:rPr>
          <w:b/>
          <w:bCs/>
        </w:rPr>
        <w:t>We Concur:</w:t>
      </w:r>
    </w:p>
    <w:p w:rsidR="007F36BC" w:rsidP="007F36BC" w14:paraId="5C2D9B3A" w14:textId="7BF22D8D">
      <w:pPr>
        <w:pStyle w:val="Text"/>
        <w:spacing w:after="0" w:line="240" w:lineRule="auto"/>
        <w:ind w:firstLine="0"/>
        <w:rPr>
          <w:b/>
          <w:bCs/>
        </w:rPr>
      </w:pPr>
      <w:r>
        <w:rPr>
          <w:b/>
          <w:bCs/>
        </w:rPr>
        <w:t>CORRIGAN, J.</w:t>
      </w:r>
    </w:p>
    <w:p w:rsidR="007F36BC" w:rsidP="007F36BC" w14:paraId="14CA79C1" w14:textId="566E00B7">
      <w:pPr>
        <w:pStyle w:val="Text"/>
        <w:spacing w:after="0" w:line="240" w:lineRule="auto"/>
        <w:ind w:firstLine="0"/>
        <w:rPr>
          <w:b/>
          <w:bCs/>
        </w:rPr>
      </w:pPr>
      <w:r>
        <w:rPr>
          <w:b/>
          <w:bCs/>
        </w:rPr>
        <w:t>LIU, J.</w:t>
      </w:r>
    </w:p>
    <w:p w:rsidR="007F36BC" w:rsidP="007F36BC" w14:paraId="551E4F16" w14:textId="1727EEA2">
      <w:pPr>
        <w:pStyle w:val="Text"/>
        <w:spacing w:after="0" w:line="240" w:lineRule="auto"/>
        <w:ind w:firstLine="0"/>
        <w:rPr>
          <w:b/>
          <w:bCs/>
        </w:rPr>
      </w:pPr>
      <w:r>
        <w:rPr>
          <w:b/>
          <w:bCs/>
        </w:rPr>
        <w:t>CUÉLLAR , J.</w:t>
      </w:r>
    </w:p>
    <w:p w:rsidR="007F36BC" w:rsidP="007F36BC" w14:paraId="71FA8501" w14:textId="7BD9E3E1">
      <w:pPr>
        <w:pStyle w:val="Text"/>
        <w:spacing w:after="0" w:line="240" w:lineRule="auto"/>
        <w:ind w:firstLine="0"/>
        <w:rPr>
          <w:b/>
          <w:bCs/>
        </w:rPr>
      </w:pPr>
      <w:r>
        <w:rPr>
          <w:b/>
          <w:bCs/>
        </w:rPr>
        <w:t>KRUGER, J.</w:t>
      </w:r>
    </w:p>
    <w:p w:rsidR="007F36BC" w:rsidP="007F36BC" w14:paraId="71082041" w14:textId="3F72B0EF">
      <w:pPr>
        <w:pStyle w:val="Text"/>
        <w:spacing w:after="0" w:line="240" w:lineRule="auto"/>
        <w:ind w:firstLine="0"/>
        <w:rPr>
          <w:b/>
          <w:bCs/>
        </w:rPr>
      </w:pPr>
      <w:r>
        <w:rPr>
          <w:b/>
          <w:bCs/>
        </w:rPr>
        <w:t>GROBAN, J.</w:t>
      </w:r>
    </w:p>
    <w:p w:rsidR="007F36BC" w:rsidP="007F36BC" w14:paraId="2DFA8B28" w14:textId="3360EBD9">
      <w:pPr>
        <w:pStyle w:val="Text"/>
        <w:spacing w:after="0" w:line="240" w:lineRule="auto"/>
        <w:ind w:firstLine="0"/>
        <w:rPr>
          <w:b/>
          <w:bCs/>
        </w:rPr>
      </w:pPr>
      <w:r>
        <w:rPr>
          <w:b/>
          <w:bCs/>
        </w:rPr>
        <w:t>JENKINS, J.</w:t>
      </w:r>
    </w:p>
    <w:p w:rsidR="009C5C13" w:rsidP="003326B7" w14:paraId="1A02E213" w14:textId="77777777">
      <w:pPr>
        <w:pStyle w:val="Text"/>
        <w:spacing w:line="400" w:lineRule="exact"/>
        <w:ind w:firstLine="0"/>
        <w:rPr>
          <w:b/>
          <w:bCs/>
        </w:rPr>
        <w:sectPr w:rsidSect="00F319D8">
          <w:footerReference w:type="first" r:id="rId12"/>
          <w:pgSz w:w="12240" w:h="15840"/>
          <w:pgMar w:top="1800" w:right="2160" w:bottom="1440" w:left="2160" w:header="720" w:footer="720" w:gutter="0"/>
          <w:pgNumType w:start="1"/>
          <w:cols w:space="720"/>
          <w:titlePg/>
          <w:docGrid w:linePitch="367"/>
        </w:sectPr>
      </w:pPr>
    </w:p>
    <w:p w:rsidR="00FC144F" w:rsidRPr="00FC144F" w:rsidP="00FC144F" w14:paraId="546BE7E2" w14:textId="77777777">
      <w:pPr>
        <w:spacing w:after="0" w:line="240" w:lineRule="auto"/>
        <w:jc w:val="left"/>
        <w:rPr>
          <w:rFonts w:ascii="Times New Roman" w:hAnsi="Times New Roman"/>
          <w:i/>
          <w:sz w:val="20"/>
        </w:rPr>
      </w:pPr>
      <w:r w:rsidRPr="00FC144F">
        <w:rPr>
          <w:rFonts w:ascii="Times New Roman" w:hAnsi="Times New Roman"/>
          <w:i/>
          <w:sz w:val="20"/>
        </w:rPr>
        <w:t>See next page for addresses and telephone numbers for counsel who argued in Supreme Court.</w:t>
      </w:r>
    </w:p>
    <w:p w:rsidR="00FC144F" w:rsidRPr="00FC144F" w:rsidP="00FC144F" w14:paraId="4AABA291" w14:textId="77777777">
      <w:pPr>
        <w:spacing w:after="0" w:line="240" w:lineRule="auto"/>
        <w:jc w:val="left"/>
        <w:rPr>
          <w:rFonts w:ascii="Times New Roman" w:hAnsi="Times New Roman"/>
          <w:i/>
          <w:sz w:val="20"/>
        </w:rPr>
      </w:pPr>
    </w:p>
    <w:p w:rsidR="00FC144F" w:rsidRPr="00FC144F" w:rsidP="00FC144F" w14:paraId="358869DF" w14:textId="77777777">
      <w:pPr>
        <w:spacing w:after="0" w:line="240" w:lineRule="auto"/>
        <w:jc w:val="left"/>
        <w:rPr>
          <w:rFonts w:ascii="Times New Roman" w:hAnsi="Times New Roman"/>
          <w:b/>
          <w:sz w:val="20"/>
        </w:rPr>
      </w:pPr>
      <w:r w:rsidRPr="00FC144F">
        <w:rPr>
          <w:rFonts w:ascii="Times New Roman" w:hAnsi="Times New Roman"/>
          <w:b/>
          <w:sz w:val="20"/>
        </w:rPr>
        <w:t xml:space="preserve">Name of Opinion </w:t>
      </w:r>
      <w:r w:rsidRPr="00FC144F">
        <w:rPr>
          <w:rFonts w:ascii="Times New Roman" w:hAnsi="Times New Roman"/>
          <w:bCs/>
          <w:sz w:val="20"/>
        </w:rPr>
        <w:t xml:space="preserve"> Smith v. LoanMe, Inc.</w:t>
      </w:r>
      <w:r w:rsidRPr="00FC144F">
        <w:rPr>
          <w:rFonts w:ascii="Times New Roman" w:hAnsi="Times New Roman"/>
          <w:b/>
          <w:sz w:val="20"/>
        </w:rPr>
        <w:t xml:space="preserve"> </w:t>
      </w:r>
      <w:r w:rsidRPr="00FC144F">
        <w:rPr>
          <w:rFonts w:ascii="Times New Roman" w:hAnsi="Times New Roman"/>
          <w:bCs/>
          <w:sz w:val="20"/>
        </w:rPr>
        <w:t xml:space="preserve"> </w:t>
      </w:r>
      <w:r w:rsidRPr="00FC144F">
        <w:rPr>
          <w:rFonts w:ascii="Times New Roman" w:hAnsi="Times New Roman"/>
          <w:sz w:val="20"/>
        </w:rPr>
        <w:t xml:space="preserve"> </w:t>
      </w:r>
      <w:r w:rsidRPr="00FC144F">
        <w:rPr>
          <w:rFonts w:ascii="Times New Roman" w:hAnsi="Times New Roman"/>
          <w:b/>
          <w:sz w:val="20"/>
        </w:rPr>
        <w:t>__________________________________________________________________________________</w:t>
      </w:r>
    </w:p>
    <w:p w:rsidR="00FC144F" w:rsidRPr="00FC144F" w:rsidP="00FC144F" w14:paraId="4D5257A5" w14:textId="77777777">
      <w:pPr>
        <w:spacing w:after="0" w:line="240" w:lineRule="auto"/>
        <w:jc w:val="left"/>
        <w:rPr>
          <w:rFonts w:ascii="Times New Roman" w:hAnsi="Times New Roman"/>
          <w:b/>
          <w:sz w:val="20"/>
        </w:rPr>
      </w:pPr>
    </w:p>
    <w:p w:rsidR="00FC144F" w:rsidRPr="00FC144F" w:rsidP="00FC144F" w14:paraId="6AF9214B" w14:textId="77777777">
      <w:pPr>
        <w:spacing w:after="0" w:line="240" w:lineRule="auto"/>
        <w:jc w:val="left"/>
        <w:rPr>
          <w:rFonts w:ascii="Times New Roman" w:hAnsi="Times New Roman"/>
          <w:bCs/>
          <w:sz w:val="20"/>
        </w:rPr>
      </w:pPr>
      <w:r w:rsidRPr="00FC144F">
        <w:rPr>
          <w:rFonts w:ascii="Times New Roman" w:hAnsi="Times New Roman"/>
          <w:b/>
          <w:sz w:val="20"/>
        </w:rPr>
        <w:t>Unpublished Opinion</w:t>
      </w:r>
    </w:p>
    <w:p w:rsidR="00FC144F" w:rsidRPr="00FC144F" w:rsidP="00FC144F" w14:paraId="727F179B" w14:textId="77777777">
      <w:pPr>
        <w:spacing w:after="0" w:line="240" w:lineRule="auto"/>
        <w:jc w:val="left"/>
        <w:rPr>
          <w:rFonts w:ascii="Times New Roman" w:hAnsi="Times New Roman"/>
          <w:sz w:val="20"/>
        </w:rPr>
      </w:pPr>
      <w:r w:rsidRPr="00FC144F">
        <w:rPr>
          <w:rFonts w:ascii="Times New Roman" w:hAnsi="Times New Roman"/>
          <w:b/>
          <w:sz w:val="20"/>
        </w:rPr>
        <w:t>Original Appeal</w:t>
      </w:r>
    </w:p>
    <w:p w:rsidR="00FC144F" w:rsidRPr="00FC144F" w:rsidP="00FC144F" w14:paraId="10B97BBD" w14:textId="77777777">
      <w:pPr>
        <w:spacing w:after="0" w:line="240" w:lineRule="auto"/>
        <w:jc w:val="left"/>
        <w:rPr>
          <w:rFonts w:ascii="Times New Roman" w:hAnsi="Times New Roman"/>
          <w:b/>
          <w:sz w:val="20"/>
        </w:rPr>
      </w:pPr>
      <w:r w:rsidRPr="00FC144F">
        <w:rPr>
          <w:rFonts w:ascii="Times New Roman" w:hAnsi="Times New Roman"/>
          <w:b/>
          <w:sz w:val="20"/>
        </w:rPr>
        <w:t xml:space="preserve">Original Proceeding </w:t>
      </w:r>
    </w:p>
    <w:p w:rsidR="00FC144F" w:rsidRPr="00FC144F" w:rsidP="00FC144F" w14:paraId="36CCC0D3" w14:textId="77777777">
      <w:pPr>
        <w:spacing w:after="0" w:line="240" w:lineRule="auto"/>
        <w:jc w:val="left"/>
        <w:rPr>
          <w:rFonts w:ascii="Times New Roman" w:hAnsi="Times New Roman"/>
          <w:bCs/>
          <w:sz w:val="20"/>
        </w:rPr>
      </w:pPr>
      <w:r w:rsidRPr="00FC144F">
        <w:rPr>
          <w:rFonts w:ascii="Times New Roman" w:hAnsi="Times New Roman"/>
          <w:b/>
          <w:sz w:val="20"/>
        </w:rPr>
        <w:t xml:space="preserve">Review Granted </w:t>
      </w:r>
      <w:r w:rsidRPr="00FC144F">
        <w:rPr>
          <w:rFonts w:ascii="Times New Roman" w:hAnsi="Times New Roman"/>
          <w:bCs/>
          <w:sz w:val="20"/>
        </w:rPr>
        <w:t xml:space="preserve">XX 43 Cal.App.5th 844 </w:t>
      </w:r>
    </w:p>
    <w:p w:rsidR="00FC144F" w:rsidRPr="00FC144F" w:rsidP="00FC144F" w14:paraId="680E3D36" w14:textId="77777777">
      <w:pPr>
        <w:spacing w:after="0" w:line="240" w:lineRule="auto"/>
        <w:jc w:val="left"/>
        <w:rPr>
          <w:rFonts w:ascii="Times New Roman" w:hAnsi="Times New Roman"/>
          <w:b/>
          <w:sz w:val="20"/>
        </w:rPr>
      </w:pPr>
      <w:r w:rsidRPr="00FC144F">
        <w:rPr>
          <w:rFonts w:ascii="Times New Roman" w:hAnsi="Times New Roman"/>
          <w:b/>
          <w:sz w:val="20"/>
        </w:rPr>
        <w:t>Rehearing Granted</w:t>
      </w:r>
    </w:p>
    <w:p w:rsidR="00FC144F" w:rsidRPr="00FC144F" w:rsidP="00FC144F" w14:paraId="054F234D" w14:textId="77777777">
      <w:pPr>
        <w:spacing w:after="0" w:line="240" w:lineRule="auto"/>
        <w:jc w:val="left"/>
        <w:rPr>
          <w:rFonts w:ascii="Times New Roman" w:hAnsi="Times New Roman"/>
          <w:b/>
          <w:sz w:val="20"/>
        </w:rPr>
      </w:pPr>
    </w:p>
    <w:p w:rsidR="00FC144F" w:rsidRPr="00FC144F" w:rsidP="00FC144F" w14:paraId="4809FCEA" w14:textId="77777777">
      <w:pPr>
        <w:spacing w:after="0" w:line="240" w:lineRule="auto"/>
        <w:jc w:val="left"/>
        <w:rPr>
          <w:rFonts w:ascii="Times New Roman" w:hAnsi="Times New Roman"/>
          <w:b/>
          <w:sz w:val="20"/>
        </w:rPr>
      </w:pPr>
      <w:r w:rsidRPr="00FC144F">
        <w:rPr>
          <w:rFonts w:ascii="Times New Roman" w:hAnsi="Times New Roman"/>
          <w:b/>
          <w:sz w:val="20"/>
        </w:rPr>
        <w:t>__________________________________________________________________________________</w:t>
      </w:r>
    </w:p>
    <w:p w:rsidR="00FC144F" w:rsidRPr="00FC144F" w:rsidP="00FC144F" w14:paraId="423882D6" w14:textId="77777777">
      <w:pPr>
        <w:spacing w:after="0" w:line="240" w:lineRule="auto"/>
        <w:jc w:val="left"/>
        <w:rPr>
          <w:rFonts w:ascii="Times New Roman" w:hAnsi="Times New Roman"/>
          <w:b/>
          <w:sz w:val="20"/>
        </w:rPr>
      </w:pPr>
    </w:p>
    <w:p w:rsidR="00FC144F" w:rsidRPr="00FC144F" w:rsidP="00FC144F" w14:paraId="0D001FD1" w14:textId="77777777">
      <w:pPr>
        <w:spacing w:after="0" w:line="240" w:lineRule="auto"/>
        <w:jc w:val="left"/>
        <w:rPr>
          <w:rFonts w:ascii="Times New Roman" w:hAnsi="Times New Roman"/>
          <w:bCs/>
          <w:sz w:val="20"/>
        </w:rPr>
      </w:pPr>
      <w:r w:rsidRPr="00FC144F">
        <w:rPr>
          <w:rFonts w:ascii="Times New Roman" w:hAnsi="Times New Roman"/>
          <w:b/>
          <w:sz w:val="20"/>
        </w:rPr>
        <w:t>Opinion No.</w:t>
      </w:r>
      <w:r w:rsidRPr="00FC144F">
        <w:rPr>
          <w:rFonts w:ascii="Times New Roman" w:hAnsi="Times New Roman"/>
          <w:sz w:val="20"/>
        </w:rPr>
        <w:t xml:space="preserve"> S260391 </w:t>
      </w:r>
    </w:p>
    <w:p w:rsidR="00FC144F" w:rsidRPr="00FC144F" w:rsidP="00FC144F" w14:paraId="58D140C2" w14:textId="77777777">
      <w:pPr>
        <w:spacing w:after="0" w:line="240" w:lineRule="auto"/>
        <w:jc w:val="left"/>
        <w:rPr>
          <w:rFonts w:ascii="Times New Roman" w:hAnsi="Times New Roman"/>
          <w:sz w:val="20"/>
        </w:rPr>
      </w:pPr>
      <w:r w:rsidRPr="00FC144F">
        <w:rPr>
          <w:rFonts w:ascii="Times New Roman" w:hAnsi="Times New Roman"/>
          <w:b/>
          <w:sz w:val="20"/>
        </w:rPr>
        <w:t>Date Filed:</w:t>
      </w:r>
      <w:r w:rsidRPr="00FC144F">
        <w:rPr>
          <w:rFonts w:ascii="Times New Roman" w:hAnsi="Times New Roman"/>
          <w:sz w:val="20"/>
        </w:rPr>
        <w:t xml:space="preserve">  April 1, 2021</w:t>
      </w:r>
    </w:p>
    <w:p w:rsidR="00FC144F" w:rsidRPr="00FC144F" w:rsidP="00FC144F" w14:paraId="6EAE3647" w14:textId="77777777">
      <w:pPr>
        <w:spacing w:after="0" w:line="240" w:lineRule="auto"/>
        <w:jc w:val="left"/>
        <w:rPr>
          <w:rFonts w:ascii="Times New Roman" w:hAnsi="Times New Roman"/>
          <w:b/>
          <w:sz w:val="20"/>
        </w:rPr>
      </w:pPr>
      <w:r w:rsidRPr="00FC144F">
        <w:rPr>
          <w:rFonts w:ascii="Times New Roman" w:hAnsi="Times New Roman"/>
          <w:b/>
          <w:sz w:val="20"/>
        </w:rPr>
        <w:t>__________________________________________________________________________________</w:t>
      </w:r>
    </w:p>
    <w:p w:rsidR="00FC144F" w:rsidRPr="00FC144F" w:rsidP="00FC144F" w14:paraId="2C653FE6" w14:textId="77777777">
      <w:pPr>
        <w:spacing w:after="0" w:line="240" w:lineRule="auto"/>
        <w:jc w:val="left"/>
        <w:rPr>
          <w:rFonts w:ascii="Times New Roman" w:hAnsi="Times New Roman"/>
          <w:b/>
          <w:sz w:val="20"/>
        </w:rPr>
      </w:pPr>
    </w:p>
    <w:p w:rsidR="00FC144F" w:rsidRPr="00FC144F" w:rsidP="00FC144F" w14:paraId="43512901" w14:textId="77777777">
      <w:pPr>
        <w:spacing w:after="0" w:line="240" w:lineRule="auto"/>
        <w:jc w:val="left"/>
        <w:rPr>
          <w:rFonts w:ascii="Times New Roman" w:hAnsi="Times New Roman"/>
          <w:bCs/>
          <w:sz w:val="20"/>
        </w:rPr>
      </w:pPr>
      <w:r w:rsidRPr="00FC144F">
        <w:rPr>
          <w:rFonts w:ascii="Times New Roman" w:hAnsi="Times New Roman"/>
          <w:b/>
          <w:sz w:val="20"/>
        </w:rPr>
        <w:t xml:space="preserve">Court:  </w:t>
      </w:r>
      <w:r w:rsidRPr="00FC144F">
        <w:rPr>
          <w:rFonts w:ascii="Times New Roman" w:hAnsi="Times New Roman"/>
          <w:bCs/>
          <w:sz w:val="20"/>
        </w:rPr>
        <w:t>Superior</w:t>
      </w:r>
      <w:r w:rsidRPr="00FC144F">
        <w:rPr>
          <w:rFonts w:ascii="Times New Roman" w:hAnsi="Times New Roman"/>
          <w:b/>
          <w:sz w:val="20"/>
        </w:rPr>
        <w:t xml:space="preserve"> </w:t>
      </w:r>
    </w:p>
    <w:p w:rsidR="00FC144F" w:rsidRPr="00FC144F" w:rsidP="00FC144F" w14:paraId="1B9EEC06" w14:textId="77777777">
      <w:pPr>
        <w:spacing w:after="0" w:line="240" w:lineRule="auto"/>
        <w:jc w:val="left"/>
        <w:rPr>
          <w:rFonts w:ascii="Times New Roman" w:hAnsi="Times New Roman"/>
          <w:bCs/>
          <w:sz w:val="20"/>
        </w:rPr>
      </w:pPr>
      <w:r w:rsidRPr="00FC144F">
        <w:rPr>
          <w:rFonts w:ascii="Times New Roman" w:hAnsi="Times New Roman"/>
          <w:b/>
          <w:sz w:val="20"/>
        </w:rPr>
        <w:t xml:space="preserve">County:  </w:t>
      </w:r>
      <w:r w:rsidRPr="00FC144F">
        <w:rPr>
          <w:rFonts w:ascii="Times New Roman" w:hAnsi="Times New Roman"/>
          <w:bCs/>
          <w:sz w:val="20"/>
        </w:rPr>
        <w:t>Riverside</w:t>
      </w:r>
      <w:r w:rsidRPr="00FC144F">
        <w:rPr>
          <w:rFonts w:ascii="Times New Roman" w:hAnsi="Times New Roman"/>
          <w:b/>
          <w:sz w:val="20"/>
        </w:rPr>
        <w:t xml:space="preserve">  </w:t>
      </w:r>
      <w:r w:rsidRPr="00FC144F">
        <w:rPr>
          <w:rFonts w:ascii="Times New Roman" w:hAnsi="Times New Roman"/>
          <w:bCs/>
          <w:sz w:val="20"/>
        </w:rPr>
        <w:t xml:space="preserve"> </w:t>
      </w:r>
    </w:p>
    <w:p w:rsidR="00FC144F" w:rsidRPr="00FC144F" w:rsidP="00FC144F" w14:paraId="3AD161CB" w14:textId="77777777">
      <w:pPr>
        <w:spacing w:after="0" w:line="240" w:lineRule="auto"/>
        <w:ind w:left="720" w:hanging="720"/>
        <w:jc w:val="left"/>
        <w:rPr>
          <w:rFonts w:ascii="Times New Roman" w:hAnsi="Times New Roman"/>
          <w:bCs/>
          <w:sz w:val="20"/>
        </w:rPr>
      </w:pPr>
      <w:r w:rsidRPr="00FC144F">
        <w:rPr>
          <w:rFonts w:ascii="Times New Roman" w:hAnsi="Times New Roman"/>
          <w:b/>
          <w:sz w:val="20"/>
        </w:rPr>
        <w:t xml:space="preserve">Judge:  </w:t>
      </w:r>
      <w:r w:rsidRPr="00FC144F">
        <w:rPr>
          <w:rFonts w:ascii="Times New Roman" w:hAnsi="Times New Roman"/>
          <w:bCs/>
          <w:sz w:val="20"/>
        </w:rPr>
        <w:t>Sharon J. Waters</w:t>
      </w:r>
      <w:r w:rsidRPr="00FC144F">
        <w:rPr>
          <w:rFonts w:ascii="Times New Roman" w:hAnsi="Times New Roman"/>
          <w:b/>
          <w:sz w:val="20"/>
        </w:rPr>
        <w:t xml:space="preserve">  </w:t>
      </w:r>
      <w:r w:rsidRPr="00FC144F">
        <w:rPr>
          <w:rFonts w:ascii="Times New Roman" w:hAnsi="Times New Roman"/>
          <w:bCs/>
          <w:sz w:val="20"/>
        </w:rPr>
        <w:t xml:space="preserve"> </w:t>
      </w:r>
    </w:p>
    <w:p w:rsidR="00FC144F" w:rsidRPr="00FC144F" w:rsidP="00FC144F" w14:paraId="0DA18AC1" w14:textId="77777777">
      <w:pPr>
        <w:spacing w:after="0" w:line="240" w:lineRule="auto"/>
        <w:jc w:val="left"/>
        <w:rPr>
          <w:rFonts w:ascii="Times New Roman" w:hAnsi="Times New Roman"/>
          <w:b/>
          <w:sz w:val="20"/>
        </w:rPr>
      </w:pPr>
    </w:p>
    <w:p w:rsidR="00FC144F" w:rsidRPr="00FC144F" w:rsidP="00FC144F" w14:paraId="0954D812" w14:textId="77777777">
      <w:pPr>
        <w:spacing w:after="0" w:line="240" w:lineRule="auto"/>
        <w:jc w:val="left"/>
        <w:rPr>
          <w:rFonts w:ascii="Times New Roman" w:hAnsi="Times New Roman"/>
          <w:b/>
          <w:sz w:val="20"/>
        </w:rPr>
      </w:pPr>
      <w:r w:rsidRPr="00FC144F">
        <w:rPr>
          <w:rFonts w:ascii="Times New Roman" w:hAnsi="Times New Roman"/>
          <w:b/>
          <w:sz w:val="20"/>
        </w:rPr>
        <w:t>__________________________________________________________________________________</w:t>
      </w:r>
    </w:p>
    <w:p w:rsidR="00FC144F" w:rsidRPr="00FC144F" w:rsidP="00FC144F" w14:paraId="16F1E8BB" w14:textId="77777777">
      <w:pPr>
        <w:spacing w:after="0" w:line="240" w:lineRule="auto"/>
        <w:jc w:val="left"/>
        <w:rPr>
          <w:rFonts w:ascii="Times New Roman" w:hAnsi="Times New Roman"/>
          <w:b/>
          <w:sz w:val="20"/>
        </w:rPr>
      </w:pPr>
    </w:p>
    <w:p w:rsidR="00FC144F" w:rsidRPr="00FC144F" w:rsidP="00FC144F" w14:paraId="597A1EA1" w14:textId="77777777">
      <w:pPr>
        <w:spacing w:after="0" w:line="240" w:lineRule="auto"/>
        <w:jc w:val="left"/>
        <w:rPr>
          <w:rFonts w:ascii="Times New Roman" w:hAnsi="Times New Roman"/>
          <w:b/>
          <w:sz w:val="20"/>
        </w:rPr>
      </w:pPr>
      <w:r w:rsidRPr="00FC144F">
        <w:rPr>
          <w:rFonts w:ascii="Times New Roman" w:hAnsi="Times New Roman"/>
          <w:b/>
          <w:sz w:val="20"/>
        </w:rPr>
        <w:t>Counsel:</w:t>
      </w:r>
    </w:p>
    <w:p w:rsidR="00FC144F" w:rsidRPr="00FC144F" w:rsidP="00FC144F" w14:paraId="3CF5F861" w14:textId="77777777">
      <w:pPr>
        <w:spacing w:after="0" w:line="240" w:lineRule="auto"/>
        <w:jc w:val="left"/>
        <w:rPr>
          <w:rFonts w:ascii="Times New Roman" w:hAnsi="Times New Roman"/>
          <w:b/>
          <w:sz w:val="20"/>
        </w:rPr>
      </w:pPr>
    </w:p>
    <w:p w:rsidR="00FC144F" w:rsidRPr="00FC144F" w:rsidP="00FC144F" w14:paraId="43467EAD" w14:textId="77777777">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 xml:space="preserve">Law Offices of Todd M. Friedman, Todd M. Friedman, </w:t>
      </w:r>
      <w:r w:rsidRPr="00FC144F">
        <w:rPr>
          <w:rFonts w:ascii="Times New Roman" w:hAnsi="Times New Roman"/>
          <w:sz w:val="20"/>
          <w:bdr w:val="none" w:sz="0" w:space="0" w:color="auto" w:frame="1"/>
        </w:rPr>
        <w:t>Adrian R. Bacon and Thomas E. Wheeler</w:t>
      </w:r>
      <w:r w:rsidRPr="00FC144F">
        <w:rPr>
          <w:rFonts w:ascii="Times New Roman" w:hAnsi="Times New Roman"/>
          <w:color w:val="212121"/>
          <w:sz w:val="20"/>
          <w:shd w:val="clear" w:color="auto" w:fill="FFFFFF"/>
        </w:rPr>
        <w:t xml:space="preserve"> for Plaintiff and Appellant.</w:t>
      </w:r>
    </w:p>
    <w:p w:rsidR="00FC144F" w:rsidRPr="00FC144F" w:rsidP="00FC144F" w14:paraId="027679BC" w14:textId="77777777">
      <w:pPr>
        <w:spacing w:after="0" w:line="240" w:lineRule="auto"/>
        <w:jc w:val="left"/>
        <w:rPr>
          <w:rFonts w:ascii="Times New Roman" w:hAnsi="Times New Roman"/>
          <w:color w:val="212121"/>
          <w:sz w:val="20"/>
          <w:shd w:val="clear" w:color="auto" w:fill="FFFFFF"/>
        </w:rPr>
      </w:pPr>
    </w:p>
    <w:p w:rsidR="00FC144F" w:rsidRPr="00FC144F" w:rsidP="00FC144F" w14:paraId="1628CE55" w14:textId="11D8B503">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F. Paul Bland; DiCello Levitt Gutzler, Amy E. Keller and Justin Hawal for Public Justice, P.C.</w:t>
      </w:r>
      <w:r w:rsidR="00D841F1">
        <w:rPr>
          <w:rFonts w:ascii="Times New Roman" w:hAnsi="Times New Roman"/>
          <w:color w:val="212121"/>
          <w:sz w:val="20"/>
          <w:shd w:val="clear" w:color="auto" w:fill="FFFFFF"/>
        </w:rPr>
        <w:t>,</w:t>
      </w:r>
      <w:r w:rsidRPr="00FC144F">
        <w:rPr>
          <w:rFonts w:ascii="Times New Roman" w:hAnsi="Times New Roman"/>
          <w:color w:val="212121"/>
          <w:sz w:val="20"/>
          <w:shd w:val="clear" w:color="auto" w:fill="FFFFFF"/>
        </w:rPr>
        <w:t xml:space="preserve"> as Amicus Curiae on behalf of Plaintiff and Appellant.</w:t>
      </w:r>
    </w:p>
    <w:p w:rsidR="00FC144F" w:rsidRPr="00FC144F" w:rsidP="00FC144F" w14:paraId="36804CBA" w14:textId="77777777">
      <w:pPr>
        <w:spacing w:after="0" w:line="240" w:lineRule="auto"/>
        <w:jc w:val="left"/>
        <w:rPr>
          <w:rFonts w:ascii="Times New Roman" w:hAnsi="Times New Roman"/>
          <w:color w:val="212121"/>
          <w:sz w:val="20"/>
          <w:shd w:val="clear" w:color="auto" w:fill="FFFFFF"/>
        </w:rPr>
      </w:pPr>
    </w:p>
    <w:p w:rsidR="00FC144F" w:rsidRPr="00FC144F" w:rsidP="00FC144F" w14:paraId="730C4EBD" w14:textId="77777777">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Ignacio Hernández; Megan Iorio and Alan Butler for Consumer Action, Consumer Federation of California and Electronic Privacy Information Center as Amici Curiae on behalf of Plaintiff and Appellant.</w:t>
      </w:r>
      <w:r w:rsidRPr="00FC144F">
        <w:rPr>
          <w:rFonts w:ascii="Times New Roman" w:hAnsi="Times New Roman"/>
          <w:color w:val="212121"/>
          <w:sz w:val="20"/>
        </w:rPr>
        <w:br/>
      </w:r>
      <w:r w:rsidRPr="00FC144F">
        <w:rPr>
          <w:rFonts w:ascii="Times New Roman" w:hAnsi="Times New Roman"/>
          <w:color w:val="212121"/>
          <w:sz w:val="20"/>
        </w:rPr>
        <w:br/>
      </w:r>
      <w:r w:rsidRPr="00FC144F">
        <w:rPr>
          <w:rFonts w:ascii="Times New Roman" w:hAnsi="Times New Roman"/>
          <w:sz w:val="20"/>
          <w:bdr w:val="none" w:sz="0" w:space="0" w:color="auto" w:frame="1"/>
        </w:rPr>
        <w:t>Finlayson Toffer Roosevelt &amp; Lilly</w:t>
      </w:r>
      <w:r w:rsidRPr="00FC144F">
        <w:rPr>
          <w:rFonts w:ascii="Times New Roman" w:hAnsi="Times New Roman"/>
          <w:color w:val="212121"/>
          <w:sz w:val="20"/>
          <w:shd w:val="clear" w:color="auto" w:fill="FFFFFF"/>
        </w:rPr>
        <w:t xml:space="preserve">, Michael R. Williams and </w:t>
      </w:r>
      <w:r w:rsidRPr="00FC144F">
        <w:rPr>
          <w:rFonts w:ascii="Times New Roman" w:hAnsi="Times New Roman"/>
          <w:sz w:val="20"/>
          <w:bdr w:val="none" w:sz="0" w:space="0" w:color="auto" w:frame="1"/>
        </w:rPr>
        <w:t>Jared M. Toffer</w:t>
      </w:r>
      <w:r w:rsidRPr="00FC144F">
        <w:rPr>
          <w:rFonts w:ascii="Times New Roman" w:hAnsi="Times New Roman"/>
          <w:color w:val="212121"/>
          <w:sz w:val="20"/>
          <w:shd w:val="clear" w:color="auto" w:fill="FFFFFF"/>
        </w:rPr>
        <w:t xml:space="preserve"> for Defendant and Respondent.</w:t>
      </w:r>
    </w:p>
    <w:p w:rsidR="00FC144F" w:rsidRPr="00FC144F" w:rsidP="00FC144F" w14:paraId="3A359A54" w14:textId="77777777">
      <w:pPr>
        <w:spacing w:after="0" w:line="240" w:lineRule="auto"/>
        <w:jc w:val="left"/>
        <w:rPr>
          <w:rFonts w:ascii="Times New Roman" w:hAnsi="Times New Roman"/>
          <w:color w:val="212121"/>
          <w:sz w:val="20"/>
          <w:shd w:val="clear" w:color="auto" w:fill="FFFFFF"/>
        </w:rPr>
      </w:pPr>
    </w:p>
    <w:p w:rsidR="00FC144F" w:rsidRPr="00FC144F" w:rsidP="00FC144F" w14:paraId="356E511F" w14:textId="77777777">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Barr &amp; Klein, Benjamin T. Barr, Stephen R. Klein; Litchfield Cavo and G. David Rubin for Project Veritas and Project Veritas Action Fund as Amici Curiae on behalf of Defendant and Respondent.</w:t>
      </w:r>
    </w:p>
    <w:p w:rsidR="00FC144F" w:rsidRPr="00FC144F" w:rsidP="00FC144F" w14:paraId="642AEC79" w14:textId="77777777">
      <w:pPr>
        <w:spacing w:after="0" w:line="240" w:lineRule="auto"/>
        <w:jc w:val="left"/>
        <w:rPr>
          <w:rFonts w:ascii="Times New Roman" w:hAnsi="Times New Roman"/>
          <w:color w:val="212121"/>
          <w:sz w:val="20"/>
          <w:shd w:val="clear" w:color="auto" w:fill="FFFFFF"/>
        </w:rPr>
      </w:pPr>
    </w:p>
    <w:p w:rsidR="00FC144F" w:rsidRPr="00FC144F" w:rsidP="00FC144F" w14:paraId="5DBED278" w14:textId="77777777">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Akin Gump Strauss Hauer &amp; Feld, Rex S. Heinke, Neal Ross Marder, Jessica M. Weisel and Rebecca A. Girolamo for American Medical Response, Inc., as Amicus Curiae on behalf of Defendant and Respondent.</w:t>
      </w:r>
    </w:p>
    <w:p w:rsidR="00FC144F" w:rsidRPr="00FC144F" w:rsidP="00FC144F" w14:paraId="7C9D30BD" w14:textId="77777777">
      <w:pPr>
        <w:spacing w:after="0" w:line="240" w:lineRule="auto"/>
        <w:jc w:val="left"/>
        <w:rPr>
          <w:rFonts w:ascii="Times New Roman" w:hAnsi="Times New Roman"/>
          <w:color w:val="212121"/>
          <w:sz w:val="20"/>
          <w:shd w:val="clear" w:color="auto" w:fill="FFFFFF"/>
        </w:rPr>
      </w:pPr>
    </w:p>
    <w:p w:rsidR="00FC144F" w:rsidRPr="00FC144F" w:rsidP="00FC144F" w14:paraId="3563B91F" w14:textId="77777777">
      <w:pPr>
        <w:spacing w:after="0" w:line="240" w:lineRule="auto"/>
        <w:jc w:val="left"/>
        <w:rPr>
          <w:rFonts w:ascii="Times New Roman" w:hAnsi="Times New Roman"/>
          <w:color w:val="212121"/>
          <w:sz w:val="20"/>
          <w:shd w:val="clear" w:color="auto" w:fill="FFFFFF"/>
        </w:rPr>
      </w:pPr>
      <w:r w:rsidRPr="00FC144F">
        <w:rPr>
          <w:rFonts w:ascii="Times New Roman" w:hAnsi="Times New Roman"/>
          <w:color w:val="212121"/>
          <w:sz w:val="20"/>
          <w:shd w:val="clear" w:color="auto" w:fill="FFFFFF"/>
        </w:rPr>
        <w:t>Baker McKenzie, Edward D. Totino and Benjamin W. Turner for Atlantic Credit &amp; Finance, Inc., as Amicus Curiae on behalf of Defendant and Respondent.</w:t>
      </w:r>
    </w:p>
    <w:p w:rsidR="00FC144F" w:rsidRPr="00FC144F" w:rsidP="00FC144F" w14:paraId="4DC1BAD8" w14:textId="77777777">
      <w:pPr>
        <w:spacing w:after="0" w:line="240" w:lineRule="auto"/>
        <w:jc w:val="left"/>
        <w:rPr>
          <w:rFonts w:ascii="Times New Roman" w:hAnsi="Times New Roman"/>
          <w:color w:val="212121"/>
          <w:sz w:val="20"/>
          <w:shd w:val="clear" w:color="auto" w:fill="FFFFFF"/>
        </w:rPr>
      </w:pPr>
    </w:p>
    <w:p w:rsidR="00FC144F" w:rsidRPr="00FC144F" w:rsidP="00FC144F" w14:paraId="1C29CF7B" w14:textId="77777777">
      <w:pPr>
        <w:spacing w:after="0" w:line="240" w:lineRule="auto"/>
        <w:jc w:val="left"/>
        <w:rPr>
          <w:rFonts w:ascii="Times New Roman" w:hAnsi="Times New Roman"/>
          <w:b/>
          <w:sz w:val="20"/>
        </w:rPr>
      </w:pPr>
      <w:r w:rsidRPr="00FC144F">
        <w:rPr>
          <w:rFonts w:ascii="Times New Roman" w:hAnsi="Times New Roman"/>
          <w:b/>
          <w:sz w:val="20"/>
        </w:rPr>
        <w:br w:type="page"/>
        <w:t>Counsel who argued in Supreme Court (not intended for publication with opinion):</w:t>
      </w:r>
    </w:p>
    <w:p w:rsidR="00FC144F" w:rsidRPr="00FC144F" w:rsidP="00FC144F" w14:paraId="0B096173" w14:textId="77777777">
      <w:pPr>
        <w:spacing w:after="0" w:line="240" w:lineRule="auto"/>
        <w:jc w:val="left"/>
        <w:rPr>
          <w:rFonts w:ascii="Times New Roman" w:hAnsi="Times New Roman"/>
          <w:b/>
          <w:sz w:val="20"/>
        </w:rPr>
      </w:pPr>
    </w:p>
    <w:p w:rsidR="00FC144F" w:rsidRPr="00FC144F" w:rsidP="00FC144F" w14:paraId="01EC425C" w14:textId="77777777">
      <w:pPr>
        <w:spacing w:after="0" w:line="240" w:lineRule="auto"/>
        <w:jc w:val="left"/>
        <w:rPr>
          <w:rFonts w:ascii="Times New Roman" w:hAnsi="Times New Roman"/>
          <w:sz w:val="20"/>
        </w:rPr>
      </w:pPr>
      <w:r w:rsidRPr="00FC144F">
        <w:rPr>
          <w:rFonts w:ascii="Times New Roman" w:hAnsi="Times New Roman"/>
          <w:sz w:val="20"/>
        </w:rPr>
        <w:t>Adrian Bacon</w:t>
      </w:r>
    </w:p>
    <w:p w:rsidR="00FC144F" w:rsidRPr="00FC144F" w:rsidP="00FC144F" w14:paraId="5FBA8522" w14:textId="77777777">
      <w:pPr>
        <w:spacing w:after="0" w:line="240" w:lineRule="auto"/>
        <w:jc w:val="left"/>
        <w:rPr>
          <w:rFonts w:ascii="Times New Roman" w:hAnsi="Times New Roman"/>
          <w:sz w:val="20"/>
        </w:rPr>
      </w:pPr>
      <w:r w:rsidRPr="00FC144F">
        <w:rPr>
          <w:rFonts w:ascii="Times New Roman" w:hAnsi="Times New Roman"/>
          <w:sz w:val="20"/>
        </w:rPr>
        <w:t>Law Offices of Todd M. Friedman, P.C.</w:t>
      </w:r>
    </w:p>
    <w:p w:rsidR="00FC144F" w:rsidRPr="00FC144F" w:rsidP="00FC144F" w14:paraId="11924EA9" w14:textId="77777777">
      <w:pPr>
        <w:spacing w:after="0" w:line="240" w:lineRule="auto"/>
        <w:jc w:val="left"/>
        <w:rPr>
          <w:rFonts w:ascii="Times New Roman" w:hAnsi="Times New Roman"/>
          <w:sz w:val="20"/>
        </w:rPr>
      </w:pPr>
      <w:r w:rsidRPr="00FC144F">
        <w:rPr>
          <w:rFonts w:ascii="Times New Roman" w:hAnsi="Times New Roman"/>
          <w:sz w:val="20"/>
        </w:rPr>
        <w:t>21550 Oxnard St., Suite 780</w:t>
      </w:r>
    </w:p>
    <w:p w:rsidR="00FC144F" w:rsidRPr="00FC144F" w:rsidP="00FC144F" w14:paraId="34E063B1" w14:textId="77777777">
      <w:pPr>
        <w:spacing w:after="0" w:line="240" w:lineRule="auto"/>
        <w:jc w:val="left"/>
        <w:rPr>
          <w:rFonts w:ascii="Times New Roman" w:hAnsi="Times New Roman"/>
          <w:sz w:val="20"/>
        </w:rPr>
      </w:pPr>
      <w:r w:rsidRPr="00FC144F">
        <w:rPr>
          <w:rFonts w:ascii="Times New Roman" w:hAnsi="Times New Roman"/>
          <w:sz w:val="20"/>
        </w:rPr>
        <w:t>Woodland Hills, CA 91367</w:t>
      </w:r>
    </w:p>
    <w:p w:rsidR="00FC144F" w:rsidRPr="00FC144F" w:rsidP="00FC144F" w14:paraId="1F5D3CEB" w14:textId="77777777">
      <w:pPr>
        <w:spacing w:after="0" w:line="240" w:lineRule="auto"/>
        <w:jc w:val="left"/>
        <w:rPr>
          <w:rFonts w:ascii="Times New Roman" w:hAnsi="Times New Roman"/>
          <w:sz w:val="20"/>
        </w:rPr>
      </w:pPr>
      <w:r w:rsidRPr="00FC144F">
        <w:rPr>
          <w:rFonts w:ascii="Times New Roman" w:hAnsi="Times New Roman"/>
          <w:sz w:val="20"/>
        </w:rPr>
        <w:t>(866) 598-5042 ext. 648</w:t>
      </w:r>
    </w:p>
    <w:p w:rsidR="00FC144F" w:rsidRPr="00FC144F" w:rsidP="00FC144F" w14:paraId="56F6BF03" w14:textId="77777777">
      <w:pPr>
        <w:spacing w:after="0" w:line="240" w:lineRule="auto"/>
        <w:jc w:val="left"/>
        <w:rPr>
          <w:rFonts w:ascii="Times New Roman" w:hAnsi="Times New Roman"/>
          <w:sz w:val="20"/>
        </w:rPr>
      </w:pPr>
    </w:p>
    <w:p w:rsidR="00FC144F" w:rsidRPr="00FC144F" w:rsidP="00FC144F" w14:paraId="530AC668" w14:textId="77777777">
      <w:pPr>
        <w:spacing w:after="0" w:line="240" w:lineRule="auto"/>
        <w:jc w:val="left"/>
        <w:rPr>
          <w:rFonts w:ascii="Times New Roman" w:hAnsi="Times New Roman"/>
          <w:sz w:val="20"/>
        </w:rPr>
      </w:pPr>
      <w:r w:rsidRPr="00FC144F">
        <w:rPr>
          <w:rFonts w:ascii="Times New Roman" w:hAnsi="Times New Roman"/>
          <w:sz w:val="20"/>
        </w:rPr>
        <w:t>Jared Toffer</w:t>
      </w:r>
    </w:p>
    <w:p w:rsidR="00FC144F" w:rsidRPr="00FC144F" w:rsidP="00FC144F" w14:paraId="5F6A6855" w14:textId="77777777">
      <w:pPr>
        <w:spacing w:after="0" w:line="240" w:lineRule="auto"/>
        <w:jc w:val="left"/>
        <w:rPr>
          <w:rFonts w:ascii="Times New Roman" w:hAnsi="Times New Roman"/>
          <w:sz w:val="20"/>
        </w:rPr>
      </w:pPr>
      <w:r w:rsidRPr="00FC144F">
        <w:rPr>
          <w:rFonts w:ascii="Times New Roman" w:hAnsi="Times New Roman"/>
          <w:sz w:val="20"/>
        </w:rPr>
        <w:t>Finlayson Toffer Roosevelt &amp; Lilly LLP</w:t>
      </w:r>
    </w:p>
    <w:p w:rsidR="00FC144F" w:rsidRPr="00FC144F" w:rsidP="00FC144F" w14:paraId="10317BF1" w14:textId="77777777">
      <w:pPr>
        <w:spacing w:after="0" w:line="240" w:lineRule="auto"/>
        <w:jc w:val="left"/>
        <w:rPr>
          <w:rFonts w:ascii="Times New Roman" w:hAnsi="Times New Roman"/>
          <w:sz w:val="20"/>
        </w:rPr>
      </w:pPr>
      <w:r w:rsidRPr="00FC144F">
        <w:rPr>
          <w:rFonts w:ascii="Times New Roman" w:hAnsi="Times New Roman"/>
          <w:sz w:val="20"/>
        </w:rPr>
        <w:t>15615 Alton Parkway, Suite 250</w:t>
      </w:r>
    </w:p>
    <w:p w:rsidR="00FC144F" w:rsidRPr="00FC144F" w:rsidP="00FC144F" w14:paraId="556C9814" w14:textId="77777777">
      <w:pPr>
        <w:spacing w:after="0" w:line="240" w:lineRule="auto"/>
        <w:jc w:val="left"/>
        <w:rPr>
          <w:rFonts w:ascii="Times New Roman" w:hAnsi="Times New Roman"/>
          <w:sz w:val="20"/>
        </w:rPr>
      </w:pPr>
      <w:r w:rsidRPr="00FC144F">
        <w:rPr>
          <w:rFonts w:ascii="Times New Roman" w:hAnsi="Times New Roman"/>
          <w:sz w:val="20"/>
        </w:rPr>
        <w:t>Irvine, CA 92618</w:t>
      </w:r>
    </w:p>
    <w:p w:rsidR="00FC144F" w:rsidRPr="00FC144F" w:rsidP="00FC144F" w14:paraId="421314B4" w14:textId="77777777">
      <w:pPr>
        <w:spacing w:after="0" w:line="240" w:lineRule="auto"/>
        <w:jc w:val="left"/>
        <w:rPr>
          <w:rFonts w:ascii="Times New Roman" w:hAnsi="Times New Roman"/>
          <w:sz w:val="20"/>
        </w:rPr>
      </w:pPr>
      <w:r w:rsidRPr="00FC144F">
        <w:rPr>
          <w:rFonts w:ascii="Times New Roman" w:hAnsi="Times New Roman"/>
          <w:sz w:val="20"/>
        </w:rPr>
        <w:t>(949) 759-3810</w:t>
      </w:r>
    </w:p>
    <w:p w:rsidR="007F36BC" w:rsidRPr="003326B7" w:rsidP="003326B7" w14:paraId="2844AEE9" w14:textId="2B19DB68">
      <w:pPr>
        <w:pStyle w:val="Text"/>
        <w:spacing w:line="400" w:lineRule="exact"/>
        <w:ind w:firstLine="0"/>
        <w:rPr>
          <w:b/>
          <w:bCs/>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081" w14:paraId="3D4556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073342"/>
      <w:docPartObj>
        <w:docPartGallery w:val="Page Numbers (Bottom of Page)"/>
        <w:docPartUnique/>
      </w:docPartObj>
    </w:sdtPr>
    <w:sdtEndPr>
      <w:rPr>
        <w:noProof/>
      </w:rPr>
    </w:sdtEndPr>
    <w:sdtContent>
      <w:p w:rsidR="00873B5B" w14:paraId="1B4F8A2D" w14:textId="742CB943">
        <w:pPr>
          <w:pStyle w:val="Footer"/>
        </w:pPr>
        <w:r>
          <w:fldChar w:fldCharType="begin"/>
        </w:r>
        <w:r>
          <w:instrText xml:space="preserve"> PAGE   \* MERGEFORMAT </w:instrText>
        </w:r>
        <w:r>
          <w:fldChar w:fldCharType="separate"/>
        </w:r>
        <w:r>
          <w:rPr>
            <w:noProof/>
          </w:rPr>
          <w:t>2</w:t>
        </w:r>
        <w:r>
          <w:rPr>
            <w:noProof/>
          </w:rPr>
          <w:fldChar w:fldCharType="end"/>
        </w:r>
      </w:p>
    </w:sdtContent>
  </w:sdt>
  <w:p w:rsidR="008426EE" w14:paraId="3032AF8E" w14:textId="6AF26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081" w14:paraId="00A2BF6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6914720"/>
      <w:docPartObj>
        <w:docPartGallery w:val="Page Numbers (Bottom of Page)"/>
        <w:docPartUnique/>
      </w:docPartObj>
    </w:sdtPr>
    <w:sdtEndPr>
      <w:rPr>
        <w:noProof/>
      </w:rPr>
    </w:sdtEndPr>
    <w:sdtContent>
      <w:p w:rsidR="00F319D8" w14:paraId="5BCAC23F" w14:textId="470DD2AD">
        <w:pPr>
          <w:pStyle w:val="Footer"/>
        </w:pPr>
        <w:r>
          <w:fldChar w:fldCharType="begin"/>
        </w:r>
        <w:r>
          <w:instrText xml:space="preserve"> PAGE   \* MERGEFORMAT </w:instrText>
        </w:r>
        <w:r>
          <w:fldChar w:fldCharType="separate"/>
        </w:r>
        <w:r>
          <w:rPr>
            <w:noProof/>
          </w:rPr>
          <w:t>2</w:t>
        </w:r>
        <w:r>
          <w:rPr>
            <w:noProof/>
          </w:rPr>
          <w:fldChar w:fldCharType="end"/>
        </w:r>
      </w:p>
    </w:sdtContent>
  </w:sdt>
  <w:p w:rsidR="008426EE" w14:paraId="31ECF37A" w14:textId="10B3C6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065F94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2392697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577050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367D" w14:paraId="1DCC375D" w14:textId="77777777">
      <w:r>
        <w:separator/>
      </w:r>
    </w:p>
  </w:footnote>
  <w:footnote w:type="continuationSeparator" w:id="1">
    <w:p w:rsidR="00C2367D" w14:paraId="1B723BCE" w14:textId="77777777">
      <w:pPr>
        <w:rPr>
          <w:sz w:val="22"/>
        </w:rPr>
      </w:pPr>
      <w:r>
        <w:continuationSeparator/>
      </w:r>
    </w:p>
  </w:footnote>
  <w:footnote w:type="continuationNotice" w:id="2">
    <w:p w:rsidR="00C2367D" w14:paraId="5DA0B4A4" w14:textId="77777777">
      <w:pPr>
        <w:jc w:val="right"/>
        <w:rPr>
          <w:i/>
          <w:sz w:val="20"/>
        </w:rPr>
      </w:pPr>
    </w:p>
  </w:footnote>
  <w:footnote w:id="3">
    <w:p w:rsidR="008426EE" w:rsidP="008C0DC7" w14:paraId="42E1C0B7" w14:textId="33206AD6">
      <w:pPr>
        <w:pStyle w:val="FootnoteText"/>
      </w:pPr>
      <w:r>
        <w:rPr>
          <w:rStyle w:val="FootnoteReference"/>
        </w:rPr>
        <w:footnoteRef/>
      </w:r>
      <w:r>
        <w:t xml:space="preserve">  All subsequent undesignated statutory references are to the Penal Code.  </w:t>
      </w:r>
    </w:p>
  </w:footnote>
  <w:footnote w:id="4">
    <w:p w:rsidR="008426EE" w:rsidP="008C0DC7" w14:paraId="1C931052" w14:textId="76B335A7">
      <w:pPr>
        <w:pStyle w:val="FootnoteText"/>
      </w:pPr>
      <w:r>
        <w:rPr>
          <w:rStyle w:val="FootnoteReference"/>
        </w:rPr>
        <w:footnoteRef/>
      </w:r>
      <w:r>
        <w:t xml:space="preserve"> </w:t>
      </w:r>
      <w:r>
        <w:tab/>
        <w:t xml:space="preserve">As will be explained in part II.C, section 632.7 does not prohibit </w:t>
      </w:r>
      <w:r w:rsidR="005E64F4">
        <w:t xml:space="preserve">the </w:t>
      </w:r>
      <w:r>
        <w:t>“intentional interception or recording” of a covered communication (</w:t>
      </w:r>
      <w:r w:rsidRPr="002B2ABA">
        <w:rPr>
          <w:i/>
          <w:iCs/>
        </w:rPr>
        <w:t>Flanagan</w:t>
      </w:r>
      <w:r>
        <w:t xml:space="preserve">, </w:t>
      </w:r>
      <w:r w:rsidRPr="002B2ABA">
        <w:rPr>
          <w:i/>
          <w:iCs/>
        </w:rPr>
        <w:t>supra</w:t>
      </w:r>
      <w:r>
        <w:t>, 27 Cal.4</w:t>
      </w:r>
      <w:r w:rsidRPr="002B2ABA">
        <w:t>th</w:t>
      </w:r>
      <w:r>
        <w:t xml:space="preserve"> at p. 776); it is concerned instead with the intentional recording of an intercepted or received communication.</w:t>
      </w:r>
    </w:p>
  </w:footnote>
  <w:footnote w:id="5">
    <w:p w:rsidR="008426EE" w14:paraId="30E7C679" w14:textId="39199379">
      <w:pPr>
        <w:pStyle w:val="FootnoteText"/>
      </w:pPr>
      <w:r>
        <w:rPr>
          <w:rStyle w:val="FootnoteReference"/>
        </w:rPr>
        <w:footnoteRef/>
      </w:r>
      <w:r>
        <w:t xml:space="preserve"> </w:t>
      </w:r>
      <w:r>
        <w:tab/>
      </w:r>
      <w:r w:rsidRPr="00945FE6">
        <w:rPr>
          <w:szCs w:val="26"/>
        </w:rPr>
        <w:t xml:space="preserve">Within </w:t>
      </w:r>
      <w:r>
        <w:rPr>
          <w:szCs w:val="26"/>
        </w:rPr>
        <w:t>section 632.7, subdivision (c)</w:t>
      </w:r>
      <w:r w:rsidRPr="00945FE6">
        <w:rPr>
          <w:szCs w:val="26"/>
        </w:rPr>
        <w:t>, “cellular radio telephone” is defined as “a wireless telephone authorized by the Federal Communications Commission to operate in the frequency bandwidth reserved for cellular radio telephones.”  (</w:t>
      </w:r>
      <w:r w:rsidRPr="00945FE6">
        <w:rPr>
          <w:i/>
          <w:iCs/>
          <w:szCs w:val="26"/>
        </w:rPr>
        <w:t>Id</w:t>
      </w:r>
      <w:r w:rsidRPr="00945FE6">
        <w:rPr>
          <w:szCs w:val="26"/>
        </w:rPr>
        <w:t>., subd. (c)(1).)  “Cordless telephone” is defined as “a two-way, low power communication system consisting of two parts, a ‘base’ unit which connects to the public switched telephone network and a handset or ‘remote’ unit, that are connected by a radio link and authorized by the Federal Communications Commission to operate in the frequency bandwidths reserved for cordless telephones.”  (</w:t>
      </w:r>
      <w:r w:rsidRPr="00945FE6">
        <w:rPr>
          <w:i/>
          <w:iCs/>
          <w:szCs w:val="26"/>
        </w:rPr>
        <w:t>Id</w:t>
      </w:r>
      <w:r w:rsidRPr="00945FE6">
        <w:rPr>
          <w:szCs w:val="26"/>
        </w:rPr>
        <w:t>., subd. (c)(2).)  Lastly, section 63</w:t>
      </w:r>
      <w:r w:rsidR="00F319D8">
        <w:rPr>
          <w:szCs w:val="26"/>
        </w:rPr>
        <w:t>2</w:t>
      </w:r>
      <w:r w:rsidRPr="00945FE6">
        <w:rPr>
          <w:szCs w:val="26"/>
        </w:rPr>
        <w:t>.</w:t>
      </w:r>
      <w:r w:rsidR="00F319D8">
        <w:rPr>
          <w:szCs w:val="26"/>
        </w:rPr>
        <w:t>7</w:t>
      </w:r>
      <w:r w:rsidRPr="00945FE6">
        <w:rPr>
          <w:szCs w:val="26"/>
        </w:rPr>
        <w:t>, subdivision (c)(3) explains that “ ‘[c]ommunication’ includes, but is not limited to, communications transmitted by voice, data, or image, including facsimile.”  Several other terms used in section 632.7, including “intercepts,” “receives,” and “parties,” are not similarly defined within the section, or for that matter anywhere in the</w:t>
      </w:r>
      <w:r>
        <w:rPr>
          <w:szCs w:val="26"/>
        </w:rPr>
        <w:t xml:space="preserve"> code</w:t>
      </w:r>
      <w:r w:rsidRPr="00945FE6">
        <w:rPr>
          <w:szCs w:val="26"/>
        </w:rPr>
        <w:t xml:space="preserve"> chapter </w:t>
      </w:r>
      <w:r>
        <w:rPr>
          <w:szCs w:val="26"/>
        </w:rPr>
        <w:t>in which</w:t>
      </w:r>
      <w:r w:rsidRPr="00945FE6">
        <w:rPr>
          <w:szCs w:val="26"/>
        </w:rPr>
        <w:t xml:space="preserve"> they appear.</w:t>
      </w:r>
    </w:p>
  </w:footnote>
  <w:footnote w:id="6">
    <w:p w:rsidR="008426EE" w:rsidP="008C0DC7" w14:paraId="4D266196" w14:textId="7D0082F5">
      <w:pPr>
        <w:pStyle w:val="FootnoteText"/>
      </w:pPr>
      <w:r>
        <w:rPr>
          <w:rStyle w:val="FootnoteReference"/>
        </w:rPr>
        <w:footnoteRef/>
      </w:r>
      <w:r>
        <w:t xml:space="preserve"> </w:t>
      </w:r>
      <w:r>
        <w:tab/>
        <w:t>The circumstances involved with certain kinds of communications may lead to a reasonable inference that a party sending a communication has consented to having it recorded by the intended recipient — recordation would be expected with a facsimile or text transmission, for example.  (See § </w:t>
      </w:r>
      <w:r w:rsidRPr="00A07962">
        <w:t xml:space="preserve">632.7, </w:t>
      </w:r>
      <w:r>
        <w:t>subd. (c)(3) [defining “communication” as including facsimile transmissions].)</w:t>
      </w:r>
    </w:p>
  </w:footnote>
  <w:footnote w:id="7">
    <w:p w:rsidR="008426EE" w14:paraId="33F73C6B" w14:textId="4A82B7DB">
      <w:pPr>
        <w:pStyle w:val="FootnoteText"/>
      </w:pPr>
      <w:r>
        <w:rPr>
          <w:rStyle w:val="FootnoteReference"/>
        </w:rPr>
        <w:footnoteRef/>
      </w:r>
      <w:r>
        <w:t xml:space="preserve"> </w:t>
      </w:r>
      <w:r>
        <w:tab/>
      </w:r>
      <w:r w:rsidR="00022E30">
        <w:rPr>
          <w:szCs w:val="26"/>
        </w:rPr>
        <w:t>One might also draw an analogy to</w:t>
      </w:r>
      <w:r>
        <w:rPr>
          <w:szCs w:val="26"/>
        </w:rPr>
        <w:t xml:space="preserve"> </w:t>
      </w:r>
      <w:r w:rsidR="005E64F4">
        <w:rPr>
          <w:szCs w:val="26"/>
        </w:rPr>
        <w:t xml:space="preserve">the language in </w:t>
      </w:r>
      <w:r>
        <w:rPr>
          <w:szCs w:val="26"/>
        </w:rPr>
        <w:t>section 632, subdivision (a)</w:t>
      </w:r>
      <w:r w:rsidR="005E64F4">
        <w:rPr>
          <w:szCs w:val="26"/>
        </w:rPr>
        <w:t xml:space="preserve"> </w:t>
      </w:r>
      <w:r>
        <w:rPr>
          <w:szCs w:val="26"/>
        </w:rPr>
        <w:t>prohibit</w:t>
      </w:r>
      <w:r w:rsidR="005E64F4">
        <w:rPr>
          <w:szCs w:val="26"/>
        </w:rPr>
        <w:t>ing</w:t>
      </w:r>
      <w:r>
        <w:rPr>
          <w:szCs w:val="26"/>
        </w:rPr>
        <w:t xml:space="preserve"> a person from, intentionally and without the consent of all parties to a confidential communication, using “an electronic amplifying or recording device to eavesdrop upon or record the confidential communication.”  Just as liability under section 632 would not be </w:t>
      </w:r>
      <w:r w:rsidR="00C9766A">
        <w:rPr>
          <w:szCs w:val="26"/>
        </w:rPr>
        <w:t>avoided</w:t>
      </w:r>
      <w:r>
        <w:rPr>
          <w:szCs w:val="26"/>
        </w:rPr>
        <w:t xml:space="preserve"> by</w:t>
      </w:r>
      <w:r w:rsidR="005E64F4">
        <w:rPr>
          <w:szCs w:val="26"/>
        </w:rPr>
        <w:t xml:space="preserve"> the</w:t>
      </w:r>
      <w:r>
        <w:rPr>
          <w:szCs w:val="26"/>
        </w:rPr>
        <w:t xml:space="preserve"> parties’ consent to someone </w:t>
      </w:r>
      <w:r w:rsidR="00C9766A">
        <w:rPr>
          <w:szCs w:val="26"/>
        </w:rPr>
        <w:t>using</w:t>
      </w:r>
      <w:r>
        <w:rPr>
          <w:szCs w:val="26"/>
        </w:rPr>
        <w:t xml:space="preserve"> an electronic </w:t>
      </w:r>
      <w:r w:rsidR="00C9766A">
        <w:rPr>
          <w:szCs w:val="26"/>
        </w:rPr>
        <w:t xml:space="preserve">amplifying or </w:t>
      </w:r>
      <w:r>
        <w:rPr>
          <w:szCs w:val="26"/>
        </w:rPr>
        <w:t xml:space="preserve">recording device for some purpose </w:t>
      </w:r>
      <w:r w:rsidRPr="00545639">
        <w:rPr>
          <w:i/>
          <w:iCs/>
          <w:szCs w:val="26"/>
        </w:rPr>
        <w:t>other</w:t>
      </w:r>
      <w:r>
        <w:rPr>
          <w:szCs w:val="26"/>
        </w:rPr>
        <w:t xml:space="preserve"> than </w:t>
      </w:r>
      <w:r w:rsidR="005E64F4">
        <w:rPr>
          <w:szCs w:val="26"/>
        </w:rPr>
        <w:t xml:space="preserve">eavesdropping upon or </w:t>
      </w:r>
      <w:r>
        <w:rPr>
          <w:szCs w:val="26"/>
        </w:rPr>
        <w:t>recording a communication, the consent language in section 632.7</w:t>
      </w:r>
      <w:r w:rsidR="00E8440B">
        <w:rPr>
          <w:szCs w:val="26"/>
        </w:rPr>
        <w:t>(a)</w:t>
      </w:r>
      <w:r>
        <w:rPr>
          <w:szCs w:val="26"/>
        </w:rPr>
        <w:t xml:space="preserve"> is not properly understood as separately </w:t>
      </w:r>
      <w:r w:rsidR="005E64F4">
        <w:rPr>
          <w:szCs w:val="26"/>
        </w:rPr>
        <w:t>directed</w:t>
      </w:r>
      <w:r>
        <w:rPr>
          <w:szCs w:val="26"/>
        </w:rPr>
        <w:t xml:space="preserve"> at </w:t>
      </w:r>
      <w:r w:rsidR="005E64F4">
        <w:rPr>
          <w:szCs w:val="26"/>
        </w:rPr>
        <w:t>a discrete</w:t>
      </w:r>
      <w:r>
        <w:rPr>
          <w:szCs w:val="26"/>
        </w:rPr>
        <w:t xml:space="preserve"> </w:t>
      </w:r>
      <w:r w:rsidR="005E64F4">
        <w:rPr>
          <w:szCs w:val="26"/>
        </w:rPr>
        <w:t>“intercepts or receives” component of the course of conduct proscribed by this section</w:t>
      </w:r>
      <w:r>
        <w:rPr>
          <w:szCs w:val="26"/>
        </w:rPr>
        <w:t xml:space="preserve">. </w:t>
      </w:r>
    </w:p>
  </w:footnote>
  <w:footnote w:id="8">
    <w:p w:rsidR="00022E30" w14:paraId="6F05E12B" w14:textId="03971853">
      <w:pPr>
        <w:pStyle w:val="FootnoteText"/>
      </w:pPr>
      <w:r>
        <w:rPr>
          <w:rStyle w:val="FootnoteReference"/>
        </w:rPr>
        <w:footnoteRef/>
      </w:r>
      <w:r>
        <w:t xml:space="preserve"> </w:t>
      </w:r>
      <w:r>
        <w:tab/>
      </w:r>
      <w:r w:rsidR="00832DCC">
        <w:t xml:space="preserve">A similar reference to section 632.7 still appears in section 633.5, notwithstanding subsequent amendments to </w:t>
      </w:r>
      <w:r w:rsidR="00E74359">
        <w:t>th</w:t>
      </w:r>
      <w:r w:rsidR="00B36A97">
        <w:t>e latter section</w:t>
      </w:r>
      <w:r w:rsidR="00832DCC">
        <w:t>.</w:t>
      </w:r>
    </w:p>
  </w:footnote>
  <w:footnote w:id="9">
    <w:p w:rsidR="008426EE" w:rsidP="008C0DC7" w14:paraId="4AD370FB" w14:textId="4444ADA7">
      <w:pPr>
        <w:pStyle w:val="FootnoteText"/>
      </w:pPr>
      <w:r>
        <w:rPr>
          <w:rStyle w:val="FootnoteReference"/>
        </w:rPr>
        <w:footnoteRef/>
      </w:r>
      <w:r>
        <w:t xml:space="preserve"> </w:t>
      </w:r>
      <w:r>
        <w:tab/>
        <w:t>It is true that section 633.5</w:t>
      </w:r>
      <w:r w:rsidR="00B36A97">
        <w:t xml:space="preserve"> </w:t>
      </w:r>
      <w:r>
        <w:t>also references sections 632.5 and 632.6, which are less obviously applicable to parties.  But even if the Legislature may have been overcautious in adding these references to section 633.5, that does not mean that the later Legislature that enacted Assembly Bill 2465 should be understood as having added surplusage to the statute.</w:t>
      </w:r>
    </w:p>
  </w:footnote>
  <w:footnote w:id="10">
    <w:p w:rsidR="00832DCC" w14:paraId="42747934" w14:textId="24C93ED6">
      <w:pPr>
        <w:pStyle w:val="FootnoteText"/>
      </w:pPr>
      <w:r>
        <w:rPr>
          <w:rStyle w:val="FootnoteReference"/>
        </w:rPr>
        <w:footnoteRef/>
      </w:r>
      <w:r>
        <w:t xml:space="preserve"> </w:t>
      </w:r>
      <w:r>
        <w:tab/>
        <w:t>Section 632.6(a), but not section 632.5(a), includes language addressing a situation in which a conversation is conducted between a cellular phone and a cordless phone.</w:t>
      </w:r>
    </w:p>
  </w:footnote>
  <w:footnote w:id="11">
    <w:p w:rsidR="008426EE" w:rsidP="008C0DC7" w14:paraId="0248699B" w14:textId="0CFB3E13">
      <w:pPr>
        <w:pStyle w:val="FootnoteText"/>
      </w:pPr>
      <w:r>
        <w:rPr>
          <w:rStyle w:val="FootnoteReference"/>
        </w:rPr>
        <w:footnoteRef/>
      </w:r>
      <w:r>
        <w:t xml:space="preserve"> </w:t>
      </w:r>
      <w:r>
        <w:tab/>
      </w:r>
      <w:r>
        <w:rPr>
          <w:szCs w:val="26"/>
        </w:rPr>
        <w:t>W</w:t>
      </w:r>
      <w:r w:rsidRPr="00DD63E8">
        <w:rPr>
          <w:szCs w:val="26"/>
        </w:rPr>
        <w:t xml:space="preserve">hether </w:t>
      </w:r>
      <w:r>
        <w:rPr>
          <w:szCs w:val="26"/>
        </w:rPr>
        <w:t>a court should arrive at the same interpretation of section 632 as the one apparently accepted by the Legislature that passed Assembly Bill 2465</w:t>
      </w:r>
      <w:r w:rsidRPr="00DD63E8">
        <w:rPr>
          <w:szCs w:val="26"/>
        </w:rPr>
        <w:t xml:space="preserve"> </w:t>
      </w:r>
      <w:r>
        <w:rPr>
          <w:szCs w:val="26"/>
        </w:rPr>
        <w:t>is</w:t>
      </w:r>
      <w:r w:rsidRPr="00DD63E8">
        <w:rPr>
          <w:szCs w:val="26"/>
        </w:rPr>
        <w:t xml:space="preserve"> an issue we need not </w:t>
      </w:r>
      <w:r>
        <w:rPr>
          <w:szCs w:val="26"/>
        </w:rPr>
        <w:t>address</w:t>
      </w:r>
      <w:r w:rsidRPr="00DD63E8">
        <w:rPr>
          <w:szCs w:val="26"/>
        </w:rPr>
        <w:t xml:space="preserve"> here</w:t>
      </w:r>
      <w:r>
        <w:rPr>
          <w:szCs w:val="26"/>
        </w:rPr>
        <w:t xml:space="preserve">. </w:t>
      </w:r>
      <w:r w:rsidRPr="00DD63E8">
        <w:rPr>
          <w:szCs w:val="26"/>
        </w:rPr>
        <w:t xml:space="preserve"> </w:t>
      </w:r>
      <w:r>
        <w:rPr>
          <w:szCs w:val="26"/>
        </w:rPr>
        <w:t xml:space="preserve">We </w:t>
      </w:r>
      <w:r w:rsidR="00832DCC">
        <w:rPr>
          <w:szCs w:val="26"/>
        </w:rPr>
        <w:t>note without further comment</w:t>
      </w:r>
      <w:r w:rsidR="00312D69">
        <w:rPr>
          <w:szCs w:val="26"/>
        </w:rPr>
        <w:t>, though,</w:t>
      </w:r>
      <w:r>
        <w:rPr>
          <w:szCs w:val="26"/>
        </w:rPr>
        <w:t xml:space="preserve"> that some federal case law </w:t>
      </w:r>
      <w:r w:rsidR="00312D69">
        <w:rPr>
          <w:szCs w:val="26"/>
        </w:rPr>
        <w:t>regards</w:t>
      </w:r>
      <w:r>
        <w:rPr>
          <w:szCs w:val="26"/>
        </w:rPr>
        <w:t xml:space="preserve"> section 632 </w:t>
      </w:r>
      <w:r w:rsidR="00312D69">
        <w:rPr>
          <w:szCs w:val="26"/>
        </w:rPr>
        <w:t>as applicable</w:t>
      </w:r>
      <w:r>
        <w:rPr>
          <w:szCs w:val="26"/>
        </w:rPr>
        <w:t xml:space="preserve"> to communications involving a cellular phone.  (E.g., </w:t>
      </w:r>
      <w:r w:rsidRPr="00DD63E8">
        <w:rPr>
          <w:i/>
          <w:iCs/>
          <w:szCs w:val="26"/>
        </w:rPr>
        <w:t>Brinkley v. Monterey Fin</w:t>
      </w:r>
      <w:r>
        <w:rPr>
          <w:i/>
          <w:iCs/>
          <w:szCs w:val="26"/>
        </w:rPr>
        <w:t>.</w:t>
      </w:r>
      <w:r w:rsidRPr="00DD63E8">
        <w:rPr>
          <w:i/>
          <w:iCs/>
          <w:szCs w:val="26"/>
        </w:rPr>
        <w:t xml:space="preserve"> Servs</w:t>
      </w:r>
      <w:r>
        <w:rPr>
          <w:i/>
          <w:iCs/>
          <w:szCs w:val="26"/>
        </w:rPr>
        <w:t>.</w:t>
      </w:r>
      <w:r w:rsidRPr="00DD63E8">
        <w:rPr>
          <w:i/>
          <w:iCs/>
          <w:szCs w:val="26"/>
        </w:rPr>
        <w:t>, LLC</w:t>
      </w:r>
      <w:r>
        <w:rPr>
          <w:szCs w:val="26"/>
        </w:rPr>
        <w:t xml:space="preserve">, </w:t>
      </w:r>
      <w:r w:rsidRPr="00F03953">
        <w:rPr>
          <w:i/>
          <w:iCs/>
          <w:szCs w:val="26"/>
        </w:rPr>
        <w:t>supra</w:t>
      </w:r>
      <w:r>
        <w:rPr>
          <w:szCs w:val="26"/>
        </w:rPr>
        <w:t>,</w:t>
      </w:r>
      <w:r w:rsidRPr="00DD63E8">
        <w:rPr>
          <w:szCs w:val="26"/>
        </w:rPr>
        <w:t xml:space="preserve"> 340 F.Supp.3d </w:t>
      </w:r>
      <w:r>
        <w:rPr>
          <w:szCs w:val="26"/>
        </w:rPr>
        <w:t>at p. </w:t>
      </w:r>
      <w:r w:rsidRPr="00DD63E8">
        <w:rPr>
          <w:szCs w:val="26"/>
        </w:rPr>
        <w:t>104</w:t>
      </w:r>
      <w:r>
        <w:rPr>
          <w:szCs w:val="26"/>
        </w:rPr>
        <w:t>2.</w:t>
      </w:r>
      <w:r w:rsidRPr="00DD63E8">
        <w:rPr>
          <w:szCs w:val="26"/>
        </w:rPr>
        <w:t>)</w:t>
      </w:r>
    </w:p>
  </w:footnote>
  <w:footnote w:id="12">
    <w:p w:rsidR="008426EE" w:rsidRPr="008C0DC7" w:rsidP="008C0DC7" w14:paraId="0CC67B74" w14:textId="70972469">
      <w:pPr>
        <w:tabs>
          <w:tab w:val="left" w:pos="720"/>
        </w:tabs>
        <w:spacing w:line="300" w:lineRule="exact"/>
        <w:rPr>
          <w:szCs w:val="26"/>
        </w:rPr>
      </w:pPr>
      <w:r>
        <w:rPr>
          <w:rStyle w:val="FootnoteReference"/>
        </w:rPr>
        <w:footnoteRef/>
      </w:r>
      <w:r>
        <w:t xml:space="preserve"> </w:t>
      </w:r>
      <w:r>
        <w:tab/>
      </w:r>
      <w:r w:rsidRPr="00945FE6">
        <w:rPr>
          <w:szCs w:val="26"/>
        </w:rPr>
        <w:t>Amici curiae Project Veritas and the Project Veritas Action Fund (the Veritas amici) assert that</w:t>
      </w:r>
      <w:r>
        <w:rPr>
          <w:szCs w:val="26"/>
        </w:rPr>
        <w:t xml:space="preserve"> constitutional considerations militate in favor of a construction of section 632.7 as concerned only with recording by nonparties.  We do not believe any such considerations carry sufficient force here as to compel this interpretation.  We observe, however, that especially insofar as the Veritas amici’s concerns involve section 632.7’s application to emerging uses of smartphones and similar devices, the Legislature has in the past amended the Invasion of Privacy Act to better address the use and misuse of new technologies.  Our sister branch may well take another look at the statutory scheme, should legislators believe that further updating is warranted. </w:t>
      </w:r>
    </w:p>
  </w:footnote>
  <w:footnote w:id="13">
    <w:p w:rsidR="008426EE" w:rsidP="008C0DC7" w14:paraId="793174DA" w14:textId="34A1F350">
      <w:pPr>
        <w:pStyle w:val="FootnoteText"/>
      </w:pPr>
      <w:r>
        <w:rPr>
          <w:rStyle w:val="FootnoteReference"/>
        </w:rPr>
        <w:footnoteRef/>
      </w:r>
      <w:r>
        <w:t xml:space="preserve"> </w:t>
      </w:r>
      <w:r>
        <w:tab/>
        <w:t xml:space="preserve">Smith argues that the rule of lenity has no application where, as here, a law with potential civil and criminal consequences is being invoked only by a civil plaintiff.  (But see </w:t>
      </w:r>
      <w:r w:rsidRPr="00FB0C7C">
        <w:rPr>
          <w:i/>
          <w:iCs/>
        </w:rPr>
        <w:t>Leocal v. Ashcroft</w:t>
      </w:r>
      <w:r>
        <w:t xml:space="preserve"> (2004) 543 U.S. 1, 11–12, fn. 8.)  Our analysis makes it unnecessary to address this argument.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081" w14:paraId="27DB84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6EE" w14:paraId="11DA6F85" w14:textId="691C243C">
    <w:pPr>
      <w:pStyle w:val="Header"/>
    </w:pPr>
    <w:r>
      <w:t>SMITH v. LOANME, INC.</w:t>
    </w:r>
  </w:p>
  <w:p w:rsidR="008426EE" w14:paraId="6C41FA7A" w14:textId="52825B66">
    <w:pPr>
      <w:pStyle w:val="Header"/>
    </w:pPr>
    <w:r>
      <w:t>Opinion of the Court by Cantil-Sakauye, C. J.</w:t>
    </w:r>
  </w:p>
  <w:p w:rsidR="008426EE" w14:paraId="6DF935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081" w14:paraId="0349735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710E044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0179B2F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50A5" w14:paraId="458BE4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1588D"/>
    <w:multiLevelType w:val="hybridMultilevel"/>
    <w:tmpl w:val="531A5D38"/>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E558E9"/>
    <w:multiLevelType w:val="hybridMultilevel"/>
    <w:tmpl w:val="7310CD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AF1D24"/>
    <w:multiLevelType w:val="hybridMultilevel"/>
    <w:tmpl w:val="DC6A896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D94D77"/>
    <w:multiLevelType w:val="hybridMultilevel"/>
    <w:tmpl w:val="A7F0523A"/>
    <w:lvl w:ilvl="0">
      <w:start w:val="1"/>
      <w:numFmt w:val="upperRoman"/>
      <w:lvlText w:val="%1."/>
      <w:lvlJc w:val="left"/>
      <w:pPr>
        <w:ind w:left="900" w:hanging="72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nsid w:val="12487F8B"/>
    <w:multiLevelType w:val="hybridMultilevel"/>
    <w:tmpl w:val="B122D2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821C39"/>
    <w:multiLevelType w:val="hybridMultilevel"/>
    <w:tmpl w:val="B9E63DAC"/>
    <w:lvl w:ilvl="0">
      <w:start w:val="1"/>
      <w:numFmt w:val="upperLetter"/>
      <w:pStyle w:val="Heading2"/>
      <w:lvlText w:val="%1."/>
      <w:lvlJc w:val="left"/>
      <w:pPr>
        <w:ind w:left="144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2C13A1"/>
    <w:multiLevelType w:val="hybridMultilevel"/>
    <w:tmpl w:val="56183A62"/>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732ADC"/>
    <w:multiLevelType w:val="hybridMultilevel"/>
    <w:tmpl w:val="5198B63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D9A3994"/>
    <w:multiLevelType w:val="hybridMultilevel"/>
    <w:tmpl w:val="1D105682"/>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E8D13FB"/>
    <w:multiLevelType w:val="hybridMultilevel"/>
    <w:tmpl w:val="70946868"/>
    <w:lvl w:ilvl="0">
      <w:start w:val="632"/>
      <w:numFmt w:val="bullet"/>
      <w:lvlText w:val=""/>
      <w:lvlJc w:val="left"/>
      <w:pPr>
        <w:ind w:left="1080" w:hanging="360"/>
      </w:pPr>
      <w:rPr>
        <w:rFonts w:ascii="Wingdings" w:eastAsia="Times New Roman" w:hAnsi="Wingdings" w:cs="Times New Roman" w:hint="default"/>
        <w:color w:val="3D3D3D"/>
        <w:sz w:val="27"/>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B86D12"/>
    <w:multiLevelType w:val="hybridMultilevel"/>
    <w:tmpl w:val="9E00170E"/>
    <w:lvl w:ilvl="0">
      <w:start w:val="3"/>
      <w:numFmt w:val="upperLetter"/>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1">
    <w:nsid w:val="62E95B45"/>
    <w:multiLevelType w:val="hybridMultilevel"/>
    <w:tmpl w:val="0E18F16C"/>
    <w:lvl w:ilvl="0">
      <w:start w:val="1"/>
      <w:numFmt w:val="upperRoman"/>
      <w:lvlText w:val="%1."/>
      <w:lvlJc w:val="left"/>
      <w:pPr>
        <w:ind w:left="1620" w:hanging="72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64612D58"/>
    <w:multiLevelType w:val="hybridMultilevel"/>
    <w:tmpl w:val="190076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78A74AF"/>
    <w:multiLevelType w:val="hybridMultilevel"/>
    <w:tmpl w:val="903E379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AB6235"/>
    <w:multiLevelType w:val="hybridMultilevel"/>
    <w:tmpl w:val="E51A94B0"/>
    <w:lvl w:ilvl="0">
      <w:start w:val="7"/>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1854DCA"/>
    <w:multiLevelType w:val="hybridMultilevel"/>
    <w:tmpl w:val="E36898B4"/>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C6F0F6C"/>
    <w:multiLevelType w:val="hybridMultilevel"/>
    <w:tmpl w:val="7D32720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2"/>
  </w:num>
  <w:num w:numId="3">
    <w:abstractNumId w:val="16"/>
  </w:num>
  <w:num w:numId="4">
    <w:abstractNumId w:val="12"/>
  </w:num>
  <w:num w:numId="5">
    <w:abstractNumId w:val="9"/>
  </w:num>
  <w:num w:numId="6">
    <w:abstractNumId w:val="1"/>
  </w:num>
  <w:num w:numId="7">
    <w:abstractNumId w:val="13"/>
  </w:num>
  <w:num w:numId="8">
    <w:abstractNumId w:val="14"/>
  </w:num>
  <w:num w:numId="9">
    <w:abstractNumId w:val="3"/>
  </w:num>
  <w:num w:numId="10">
    <w:abstractNumId w:val="11"/>
  </w:num>
  <w:num w:numId="11">
    <w:abstractNumId w:val="4"/>
  </w:num>
  <w:num w:numId="12">
    <w:abstractNumId w:val="0"/>
  </w:num>
  <w:num w:numId="13">
    <w:abstractNumId w:val="8"/>
  </w:num>
  <w:num w:numId="14">
    <w:abstractNumId w:val="15"/>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0D"/>
    <w:rsid w:val="00006913"/>
    <w:rsid w:val="000119C3"/>
    <w:rsid w:val="00011F21"/>
    <w:rsid w:val="000128EE"/>
    <w:rsid w:val="00017129"/>
    <w:rsid w:val="00021105"/>
    <w:rsid w:val="00021C69"/>
    <w:rsid w:val="00022E30"/>
    <w:rsid w:val="0002391F"/>
    <w:rsid w:val="0002398C"/>
    <w:rsid w:val="00032098"/>
    <w:rsid w:val="000351B9"/>
    <w:rsid w:val="00041C2D"/>
    <w:rsid w:val="00042837"/>
    <w:rsid w:val="00042B1F"/>
    <w:rsid w:val="00044D79"/>
    <w:rsid w:val="00045C75"/>
    <w:rsid w:val="000466DC"/>
    <w:rsid w:val="00050071"/>
    <w:rsid w:val="000510E3"/>
    <w:rsid w:val="00051424"/>
    <w:rsid w:val="00054A24"/>
    <w:rsid w:val="00055408"/>
    <w:rsid w:val="00057556"/>
    <w:rsid w:val="000579D7"/>
    <w:rsid w:val="00060800"/>
    <w:rsid w:val="00060CC6"/>
    <w:rsid w:val="00062B54"/>
    <w:rsid w:val="00062B70"/>
    <w:rsid w:val="00064CF3"/>
    <w:rsid w:val="00066579"/>
    <w:rsid w:val="000674B8"/>
    <w:rsid w:val="0007126B"/>
    <w:rsid w:val="00073E7D"/>
    <w:rsid w:val="00082CD4"/>
    <w:rsid w:val="000841DD"/>
    <w:rsid w:val="000863D6"/>
    <w:rsid w:val="0008680E"/>
    <w:rsid w:val="00090269"/>
    <w:rsid w:val="000914EC"/>
    <w:rsid w:val="00091856"/>
    <w:rsid w:val="00091BD9"/>
    <w:rsid w:val="00091D82"/>
    <w:rsid w:val="000924EC"/>
    <w:rsid w:val="00097116"/>
    <w:rsid w:val="00097437"/>
    <w:rsid w:val="00097A1D"/>
    <w:rsid w:val="000A0A2D"/>
    <w:rsid w:val="000A154D"/>
    <w:rsid w:val="000A1F32"/>
    <w:rsid w:val="000A5B88"/>
    <w:rsid w:val="000B04E8"/>
    <w:rsid w:val="000B0B36"/>
    <w:rsid w:val="000B4298"/>
    <w:rsid w:val="000B4DE3"/>
    <w:rsid w:val="000B5CBB"/>
    <w:rsid w:val="000C0A81"/>
    <w:rsid w:val="000C243E"/>
    <w:rsid w:val="000C258B"/>
    <w:rsid w:val="000C3155"/>
    <w:rsid w:val="000C54DE"/>
    <w:rsid w:val="000C659C"/>
    <w:rsid w:val="000C66A6"/>
    <w:rsid w:val="000D100B"/>
    <w:rsid w:val="000D37A6"/>
    <w:rsid w:val="000D631D"/>
    <w:rsid w:val="000D6833"/>
    <w:rsid w:val="000E00FA"/>
    <w:rsid w:val="000E105A"/>
    <w:rsid w:val="000E3ECE"/>
    <w:rsid w:val="000E4FA3"/>
    <w:rsid w:val="000E6A02"/>
    <w:rsid w:val="000F3FBA"/>
    <w:rsid w:val="000F5122"/>
    <w:rsid w:val="0010015A"/>
    <w:rsid w:val="00100B54"/>
    <w:rsid w:val="00103285"/>
    <w:rsid w:val="00104F7C"/>
    <w:rsid w:val="00107CC4"/>
    <w:rsid w:val="0011157A"/>
    <w:rsid w:val="00113FBF"/>
    <w:rsid w:val="001148D6"/>
    <w:rsid w:val="00115021"/>
    <w:rsid w:val="0011657A"/>
    <w:rsid w:val="0011703B"/>
    <w:rsid w:val="001219D6"/>
    <w:rsid w:val="00122109"/>
    <w:rsid w:val="00123E89"/>
    <w:rsid w:val="00126133"/>
    <w:rsid w:val="001316AD"/>
    <w:rsid w:val="00133700"/>
    <w:rsid w:val="00137F6F"/>
    <w:rsid w:val="001402B4"/>
    <w:rsid w:val="0014373B"/>
    <w:rsid w:val="00145020"/>
    <w:rsid w:val="00151051"/>
    <w:rsid w:val="00151DDD"/>
    <w:rsid w:val="00157301"/>
    <w:rsid w:val="00157632"/>
    <w:rsid w:val="00161F43"/>
    <w:rsid w:val="00162FFF"/>
    <w:rsid w:val="001640EC"/>
    <w:rsid w:val="00165CE1"/>
    <w:rsid w:val="00167E7B"/>
    <w:rsid w:val="00170A09"/>
    <w:rsid w:val="0017155E"/>
    <w:rsid w:val="001722A6"/>
    <w:rsid w:val="00175001"/>
    <w:rsid w:val="00175D05"/>
    <w:rsid w:val="00176D71"/>
    <w:rsid w:val="001862B5"/>
    <w:rsid w:val="001868B8"/>
    <w:rsid w:val="00186D5A"/>
    <w:rsid w:val="00187552"/>
    <w:rsid w:val="001876F2"/>
    <w:rsid w:val="00187CB8"/>
    <w:rsid w:val="0019070E"/>
    <w:rsid w:val="001A15C9"/>
    <w:rsid w:val="001A1C89"/>
    <w:rsid w:val="001A3402"/>
    <w:rsid w:val="001A4BD1"/>
    <w:rsid w:val="001B309E"/>
    <w:rsid w:val="001B3C7B"/>
    <w:rsid w:val="001B4E69"/>
    <w:rsid w:val="001B4EE0"/>
    <w:rsid w:val="001B5698"/>
    <w:rsid w:val="001B6E4E"/>
    <w:rsid w:val="001B777E"/>
    <w:rsid w:val="001C4FEF"/>
    <w:rsid w:val="001D3C00"/>
    <w:rsid w:val="001D5A44"/>
    <w:rsid w:val="001D6FC4"/>
    <w:rsid w:val="001E02CE"/>
    <w:rsid w:val="001E1A18"/>
    <w:rsid w:val="001E4C22"/>
    <w:rsid w:val="001E544D"/>
    <w:rsid w:val="001E77CF"/>
    <w:rsid w:val="001F0C52"/>
    <w:rsid w:val="001F5DFA"/>
    <w:rsid w:val="002004D1"/>
    <w:rsid w:val="00206986"/>
    <w:rsid w:val="00207296"/>
    <w:rsid w:val="00215E2F"/>
    <w:rsid w:val="002254A6"/>
    <w:rsid w:val="002259BD"/>
    <w:rsid w:val="002263A0"/>
    <w:rsid w:val="0023276A"/>
    <w:rsid w:val="00234152"/>
    <w:rsid w:val="002346DC"/>
    <w:rsid w:val="002362A3"/>
    <w:rsid w:val="002376C7"/>
    <w:rsid w:val="00242074"/>
    <w:rsid w:val="00244E16"/>
    <w:rsid w:val="00246580"/>
    <w:rsid w:val="0025242B"/>
    <w:rsid w:val="002528CC"/>
    <w:rsid w:val="00261FFA"/>
    <w:rsid w:val="00272BF1"/>
    <w:rsid w:val="00273A7A"/>
    <w:rsid w:val="002750B7"/>
    <w:rsid w:val="002764BC"/>
    <w:rsid w:val="00280304"/>
    <w:rsid w:val="0028103A"/>
    <w:rsid w:val="002810B1"/>
    <w:rsid w:val="002822AB"/>
    <w:rsid w:val="00284707"/>
    <w:rsid w:val="00284DD8"/>
    <w:rsid w:val="002859FC"/>
    <w:rsid w:val="00285ADE"/>
    <w:rsid w:val="00286099"/>
    <w:rsid w:val="00291FA1"/>
    <w:rsid w:val="002926D3"/>
    <w:rsid w:val="00292C54"/>
    <w:rsid w:val="00295234"/>
    <w:rsid w:val="002A0B12"/>
    <w:rsid w:val="002B2ABA"/>
    <w:rsid w:val="002B647A"/>
    <w:rsid w:val="002C17F0"/>
    <w:rsid w:val="002C2DDB"/>
    <w:rsid w:val="002C5031"/>
    <w:rsid w:val="002C5640"/>
    <w:rsid w:val="002C5821"/>
    <w:rsid w:val="002C6424"/>
    <w:rsid w:val="002C7AFB"/>
    <w:rsid w:val="002D2EB2"/>
    <w:rsid w:val="002D311A"/>
    <w:rsid w:val="002D5FBC"/>
    <w:rsid w:val="002D60CE"/>
    <w:rsid w:val="002E404B"/>
    <w:rsid w:val="002F22C8"/>
    <w:rsid w:val="002F760C"/>
    <w:rsid w:val="003002E0"/>
    <w:rsid w:val="00304F1D"/>
    <w:rsid w:val="00305B25"/>
    <w:rsid w:val="00306793"/>
    <w:rsid w:val="00312D69"/>
    <w:rsid w:val="00314D2E"/>
    <w:rsid w:val="00314F48"/>
    <w:rsid w:val="003235B4"/>
    <w:rsid w:val="003238F7"/>
    <w:rsid w:val="0032563F"/>
    <w:rsid w:val="00325681"/>
    <w:rsid w:val="00326304"/>
    <w:rsid w:val="00326B4B"/>
    <w:rsid w:val="00327A43"/>
    <w:rsid w:val="00330A25"/>
    <w:rsid w:val="003326B7"/>
    <w:rsid w:val="00333BC8"/>
    <w:rsid w:val="00333D16"/>
    <w:rsid w:val="00335DA8"/>
    <w:rsid w:val="00340589"/>
    <w:rsid w:val="003431CC"/>
    <w:rsid w:val="0035050D"/>
    <w:rsid w:val="00352863"/>
    <w:rsid w:val="003550C8"/>
    <w:rsid w:val="00363695"/>
    <w:rsid w:val="0036423C"/>
    <w:rsid w:val="00371C0D"/>
    <w:rsid w:val="0037206C"/>
    <w:rsid w:val="00372660"/>
    <w:rsid w:val="00373210"/>
    <w:rsid w:val="0037392E"/>
    <w:rsid w:val="0037503A"/>
    <w:rsid w:val="00377C2D"/>
    <w:rsid w:val="00384753"/>
    <w:rsid w:val="00385798"/>
    <w:rsid w:val="003862CC"/>
    <w:rsid w:val="003873D6"/>
    <w:rsid w:val="00392230"/>
    <w:rsid w:val="00392F58"/>
    <w:rsid w:val="003949F2"/>
    <w:rsid w:val="00394FF5"/>
    <w:rsid w:val="003978FF"/>
    <w:rsid w:val="003A0B9C"/>
    <w:rsid w:val="003A2190"/>
    <w:rsid w:val="003A5F10"/>
    <w:rsid w:val="003B0022"/>
    <w:rsid w:val="003B3578"/>
    <w:rsid w:val="003B4667"/>
    <w:rsid w:val="003C69AE"/>
    <w:rsid w:val="003C7C4C"/>
    <w:rsid w:val="003D59E4"/>
    <w:rsid w:val="003D5C27"/>
    <w:rsid w:val="003E4D61"/>
    <w:rsid w:val="003E5682"/>
    <w:rsid w:val="003F1724"/>
    <w:rsid w:val="003F3D55"/>
    <w:rsid w:val="004203DC"/>
    <w:rsid w:val="00422972"/>
    <w:rsid w:val="00433922"/>
    <w:rsid w:val="00435189"/>
    <w:rsid w:val="00435343"/>
    <w:rsid w:val="004403AE"/>
    <w:rsid w:val="0044061D"/>
    <w:rsid w:val="00442AE6"/>
    <w:rsid w:val="004557AC"/>
    <w:rsid w:val="00456895"/>
    <w:rsid w:val="00460DC4"/>
    <w:rsid w:val="00466FE9"/>
    <w:rsid w:val="004676B0"/>
    <w:rsid w:val="00467E17"/>
    <w:rsid w:val="00470DDE"/>
    <w:rsid w:val="0047111F"/>
    <w:rsid w:val="00471DBF"/>
    <w:rsid w:val="00473428"/>
    <w:rsid w:val="0047382C"/>
    <w:rsid w:val="004763C7"/>
    <w:rsid w:val="00477BD9"/>
    <w:rsid w:val="004810F1"/>
    <w:rsid w:val="004831E4"/>
    <w:rsid w:val="00483637"/>
    <w:rsid w:val="004876A8"/>
    <w:rsid w:val="00487795"/>
    <w:rsid w:val="00487CFE"/>
    <w:rsid w:val="00492E47"/>
    <w:rsid w:val="00493CDB"/>
    <w:rsid w:val="00494A64"/>
    <w:rsid w:val="004953BF"/>
    <w:rsid w:val="0049581F"/>
    <w:rsid w:val="004A0C68"/>
    <w:rsid w:val="004A1F92"/>
    <w:rsid w:val="004A44C4"/>
    <w:rsid w:val="004A59FB"/>
    <w:rsid w:val="004A5BB7"/>
    <w:rsid w:val="004B0797"/>
    <w:rsid w:val="004B1B4D"/>
    <w:rsid w:val="004B44E7"/>
    <w:rsid w:val="004C24CC"/>
    <w:rsid w:val="004C720D"/>
    <w:rsid w:val="004D0DE7"/>
    <w:rsid w:val="004D37DF"/>
    <w:rsid w:val="004D588A"/>
    <w:rsid w:val="004D6049"/>
    <w:rsid w:val="004E6EC9"/>
    <w:rsid w:val="004E7BB2"/>
    <w:rsid w:val="004F1761"/>
    <w:rsid w:val="004F3F69"/>
    <w:rsid w:val="004F755A"/>
    <w:rsid w:val="00502149"/>
    <w:rsid w:val="0051178D"/>
    <w:rsid w:val="00513160"/>
    <w:rsid w:val="00513545"/>
    <w:rsid w:val="0052221D"/>
    <w:rsid w:val="00524C25"/>
    <w:rsid w:val="00524F5E"/>
    <w:rsid w:val="0052596D"/>
    <w:rsid w:val="005346C7"/>
    <w:rsid w:val="0053512B"/>
    <w:rsid w:val="00541678"/>
    <w:rsid w:val="00544633"/>
    <w:rsid w:val="0054508D"/>
    <w:rsid w:val="00545639"/>
    <w:rsid w:val="00550415"/>
    <w:rsid w:val="005544CB"/>
    <w:rsid w:val="005572DF"/>
    <w:rsid w:val="0056071A"/>
    <w:rsid w:val="0056300B"/>
    <w:rsid w:val="00565B97"/>
    <w:rsid w:val="00565C53"/>
    <w:rsid w:val="00566424"/>
    <w:rsid w:val="00566D20"/>
    <w:rsid w:val="005713E1"/>
    <w:rsid w:val="0057173C"/>
    <w:rsid w:val="00571FF2"/>
    <w:rsid w:val="00575DF8"/>
    <w:rsid w:val="005815E8"/>
    <w:rsid w:val="00581DDA"/>
    <w:rsid w:val="005854DB"/>
    <w:rsid w:val="0059003B"/>
    <w:rsid w:val="00596B81"/>
    <w:rsid w:val="0059735D"/>
    <w:rsid w:val="00597A9D"/>
    <w:rsid w:val="005A0E10"/>
    <w:rsid w:val="005A24FB"/>
    <w:rsid w:val="005A3C1F"/>
    <w:rsid w:val="005A4DAA"/>
    <w:rsid w:val="005A5E3D"/>
    <w:rsid w:val="005B1163"/>
    <w:rsid w:val="005B2EEF"/>
    <w:rsid w:val="005B4C0F"/>
    <w:rsid w:val="005B67C0"/>
    <w:rsid w:val="005B7C87"/>
    <w:rsid w:val="005C1DA1"/>
    <w:rsid w:val="005C210E"/>
    <w:rsid w:val="005C230F"/>
    <w:rsid w:val="005C5A21"/>
    <w:rsid w:val="005C70BF"/>
    <w:rsid w:val="005C7668"/>
    <w:rsid w:val="005D0C58"/>
    <w:rsid w:val="005D1D0E"/>
    <w:rsid w:val="005D1F2B"/>
    <w:rsid w:val="005D5479"/>
    <w:rsid w:val="005D57A4"/>
    <w:rsid w:val="005D7818"/>
    <w:rsid w:val="005E27E8"/>
    <w:rsid w:val="005E2A37"/>
    <w:rsid w:val="005E46C3"/>
    <w:rsid w:val="005E64F4"/>
    <w:rsid w:val="005E6604"/>
    <w:rsid w:val="005E7323"/>
    <w:rsid w:val="005E747B"/>
    <w:rsid w:val="005F17B3"/>
    <w:rsid w:val="005F5BD4"/>
    <w:rsid w:val="005F6668"/>
    <w:rsid w:val="005F68A7"/>
    <w:rsid w:val="005F74A1"/>
    <w:rsid w:val="0060302F"/>
    <w:rsid w:val="00603484"/>
    <w:rsid w:val="00605FC5"/>
    <w:rsid w:val="00607E57"/>
    <w:rsid w:val="006130E4"/>
    <w:rsid w:val="006161CB"/>
    <w:rsid w:val="00624E35"/>
    <w:rsid w:val="006256DD"/>
    <w:rsid w:val="006265D4"/>
    <w:rsid w:val="0063101D"/>
    <w:rsid w:val="00631AFC"/>
    <w:rsid w:val="00631B80"/>
    <w:rsid w:val="00632C06"/>
    <w:rsid w:val="006355BA"/>
    <w:rsid w:val="006404CC"/>
    <w:rsid w:val="006418EF"/>
    <w:rsid w:val="006467A2"/>
    <w:rsid w:val="00650389"/>
    <w:rsid w:val="006517A3"/>
    <w:rsid w:val="0065198A"/>
    <w:rsid w:val="006519A7"/>
    <w:rsid w:val="00652A3B"/>
    <w:rsid w:val="00653966"/>
    <w:rsid w:val="00655702"/>
    <w:rsid w:val="006664DC"/>
    <w:rsid w:val="0066651D"/>
    <w:rsid w:val="00666F49"/>
    <w:rsid w:val="006751BD"/>
    <w:rsid w:val="00685EB0"/>
    <w:rsid w:val="00690D0C"/>
    <w:rsid w:val="006A0FFB"/>
    <w:rsid w:val="006A1FE9"/>
    <w:rsid w:val="006A5473"/>
    <w:rsid w:val="006B07CB"/>
    <w:rsid w:val="006B1A49"/>
    <w:rsid w:val="006B47EB"/>
    <w:rsid w:val="006C2BD7"/>
    <w:rsid w:val="006C4B12"/>
    <w:rsid w:val="006C4CBE"/>
    <w:rsid w:val="006C6E51"/>
    <w:rsid w:val="006C72DE"/>
    <w:rsid w:val="006D0EBC"/>
    <w:rsid w:val="006D4D4F"/>
    <w:rsid w:val="006E1DA9"/>
    <w:rsid w:val="006E2AB4"/>
    <w:rsid w:val="006E2E93"/>
    <w:rsid w:val="006E70C6"/>
    <w:rsid w:val="006F24F5"/>
    <w:rsid w:val="006F2AFB"/>
    <w:rsid w:val="006F2DBE"/>
    <w:rsid w:val="006F528C"/>
    <w:rsid w:val="006F5EAF"/>
    <w:rsid w:val="00705172"/>
    <w:rsid w:val="00706625"/>
    <w:rsid w:val="007103EC"/>
    <w:rsid w:val="00711574"/>
    <w:rsid w:val="007150A4"/>
    <w:rsid w:val="00716171"/>
    <w:rsid w:val="00720487"/>
    <w:rsid w:val="00721DEC"/>
    <w:rsid w:val="00723BEB"/>
    <w:rsid w:val="007249A0"/>
    <w:rsid w:val="00731FE3"/>
    <w:rsid w:val="00743391"/>
    <w:rsid w:val="00743B00"/>
    <w:rsid w:val="00743B6C"/>
    <w:rsid w:val="007448B5"/>
    <w:rsid w:val="00744CF3"/>
    <w:rsid w:val="0074578D"/>
    <w:rsid w:val="00750038"/>
    <w:rsid w:val="00750338"/>
    <w:rsid w:val="0075284C"/>
    <w:rsid w:val="007632A2"/>
    <w:rsid w:val="0076412B"/>
    <w:rsid w:val="007654E4"/>
    <w:rsid w:val="007673E2"/>
    <w:rsid w:val="007703BF"/>
    <w:rsid w:val="00770F63"/>
    <w:rsid w:val="00772616"/>
    <w:rsid w:val="00773632"/>
    <w:rsid w:val="00775F1A"/>
    <w:rsid w:val="007763D0"/>
    <w:rsid w:val="00781A27"/>
    <w:rsid w:val="00784116"/>
    <w:rsid w:val="007866FA"/>
    <w:rsid w:val="00791317"/>
    <w:rsid w:val="0079192A"/>
    <w:rsid w:val="007934E2"/>
    <w:rsid w:val="00796629"/>
    <w:rsid w:val="007971B0"/>
    <w:rsid w:val="00797B41"/>
    <w:rsid w:val="007A24BB"/>
    <w:rsid w:val="007A26F4"/>
    <w:rsid w:val="007A56F3"/>
    <w:rsid w:val="007B12B3"/>
    <w:rsid w:val="007B357D"/>
    <w:rsid w:val="007B4425"/>
    <w:rsid w:val="007B50D5"/>
    <w:rsid w:val="007B7421"/>
    <w:rsid w:val="007C2325"/>
    <w:rsid w:val="007C64DB"/>
    <w:rsid w:val="007D369A"/>
    <w:rsid w:val="007D525A"/>
    <w:rsid w:val="007D77F5"/>
    <w:rsid w:val="007E217F"/>
    <w:rsid w:val="007E5F9A"/>
    <w:rsid w:val="007E72C1"/>
    <w:rsid w:val="007E7CC3"/>
    <w:rsid w:val="007F0A52"/>
    <w:rsid w:val="007F36BC"/>
    <w:rsid w:val="00800C8E"/>
    <w:rsid w:val="00802CE9"/>
    <w:rsid w:val="0080556C"/>
    <w:rsid w:val="008056EE"/>
    <w:rsid w:val="00806C7B"/>
    <w:rsid w:val="00807B66"/>
    <w:rsid w:val="008118F2"/>
    <w:rsid w:val="00812C72"/>
    <w:rsid w:val="00816B4A"/>
    <w:rsid w:val="008174AF"/>
    <w:rsid w:val="0082102F"/>
    <w:rsid w:val="00823129"/>
    <w:rsid w:val="00823365"/>
    <w:rsid w:val="00825043"/>
    <w:rsid w:val="008303E2"/>
    <w:rsid w:val="00832DCC"/>
    <w:rsid w:val="00834A03"/>
    <w:rsid w:val="00834F04"/>
    <w:rsid w:val="00835AA7"/>
    <w:rsid w:val="00840160"/>
    <w:rsid w:val="008408B9"/>
    <w:rsid w:val="008426EE"/>
    <w:rsid w:val="0085142C"/>
    <w:rsid w:val="00851CD5"/>
    <w:rsid w:val="00855A7A"/>
    <w:rsid w:val="00856106"/>
    <w:rsid w:val="00857264"/>
    <w:rsid w:val="00857A5E"/>
    <w:rsid w:val="008605CC"/>
    <w:rsid w:val="00862127"/>
    <w:rsid w:val="00863D51"/>
    <w:rsid w:val="00864D2A"/>
    <w:rsid w:val="008652F4"/>
    <w:rsid w:val="00865F98"/>
    <w:rsid w:val="0086654C"/>
    <w:rsid w:val="00866785"/>
    <w:rsid w:val="00866BA1"/>
    <w:rsid w:val="008671E7"/>
    <w:rsid w:val="008715D3"/>
    <w:rsid w:val="00873239"/>
    <w:rsid w:val="00873B5B"/>
    <w:rsid w:val="00874AAD"/>
    <w:rsid w:val="008754DF"/>
    <w:rsid w:val="00875C6E"/>
    <w:rsid w:val="008810BE"/>
    <w:rsid w:val="00883959"/>
    <w:rsid w:val="00892406"/>
    <w:rsid w:val="00892C51"/>
    <w:rsid w:val="00893316"/>
    <w:rsid w:val="00893478"/>
    <w:rsid w:val="00896F26"/>
    <w:rsid w:val="008A11E5"/>
    <w:rsid w:val="008A2519"/>
    <w:rsid w:val="008A567C"/>
    <w:rsid w:val="008A666A"/>
    <w:rsid w:val="008B1ACB"/>
    <w:rsid w:val="008B1D78"/>
    <w:rsid w:val="008B2DF2"/>
    <w:rsid w:val="008B4C92"/>
    <w:rsid w:val="008B519E"/>
    <w:rsid w:val="008B5CF5"/>
    <w:rsid w:val="008C0B32"/>
    <w:rsid w:val="008C0DC7"/>
    <w:rsid w:val="008C310C"/>
    <w:rsid w:val="008C512D"/>
    <w:rsid w:val="008D044C"/>
    <w:rsid w:val="008D6C67"/>
    <w:rsid w:val="008D7480"/>
    <w:rsid w:val="008E447C"/>
    <w:rsid w:val="008E64B4"/>
    <w:rsid w:val="008F0081"/>
    <w:rsid w:val="008F02E8"/>
    <w:rsid w:val="008F0454"/>
    <w:rsid w:val="008F18C4"/>
    <w:rsid w:val="008F1D72"/>
    <w:rsid w:val="008F3277"/>
    <w:rsid w:val="008F7635"/>
    <w:rsid w:val="00902CBA"/>
    <w:rsid w:val="00904537"/>
    <w:rsid w:val="0090457A"/>
    <w:rsid w:val="009074AE"/>
    <w:rsid w:val="009107BA"/>
    <w:rsid w:val="009143D1"/>
    <w:rsid w:val="00921C2E"/>
    <w:rsid w:val="00925A9C"/>
    <w:rsid w:val="009312F4"/>
    <w:rsid w:val="009333C0"/>
    <w:rsid w:val="00936C3B"/>
    <w:rsid w:val="00941736"/>
    <w:rsid w:val="009433FD"/>
    <w:rsid w:val="009440E6"/>
    <w:rsid w:val="00944EB2"/>
    <w:rsid w:val="009458C4"/>
    <w:rsid w:val="00945FE6"/>
    <w:rsid w:val="00946336"/>
    <w:rsid w:val="009506F3"/>
    <w:rsid w:val="00952369"/>
    <w:rsid w:val="009541BE"/>
    <w:rsid w:val="009561D0"/>
    <w:rsid w:val="0095625C"/>
    <w:rsid w:val="009563BF"/>
    <w:rsid w:val="00956794"/>
    <w:rsid w:val="0095714F"/>
    <w:rsid w:val="00960429"/>
    <w:rsid w:val="00966B76"/>
    <w:rsid w:val="00967263"/>
    <w:rsid w:val="0096740F"/>
    <w:rsid w:val="0096781C"/>
    <w:rsid w:val="009679EF"/>
    <w:rsid w:val="00967F87"/>
    <w:rsid w:val="00973062"/>
    <w:rsid w:val="0097387D"/>
    <w:rsid w:val="00977A8A"/>
    <w:rsid w:val="00982A66"/>
    <w:rsid w:val="00984F94"/>
    <w:rsid w:val="009854C1"/>
    <w:rsid w:val="009855F2"/>
    <w:rsid w:val="00986492"/>
    <w:rsid w:val="0099158E"/>
    <w:rsid w:val="0099214B"/>
    <w:rsid w:val="00994340"/>
    <w:rsid w:val="00994A4C"/>
    <w:rsid w:val="009A1819"/>
    <w:rsid w:val="009A5C97"/>
    <w:rsid w:val="009A7593"/>
    <w:rsid w:val="009B17A7"/>
    <w:rsid w:val="009C0F2F"/>
    <w:rsid w:val="009C1960"/>
    <w:rsid w:val="009C3421"/>
    <w:rsid w:val="009C3F28"/>
    <w:rsid w:val="009C4628"/>
    <w:rsid w:val="009C5C13"/>
    <w:rsid w:val="009C6B03"/>
    <w:rsid w:val="009D3CEA"/>
    <w:rsid w:val="009D4237"/>
    <w:rsid w:val="009D5472"/>
    <w:rsid w:val="009D799A"/>
    <w:rsid w:val="009E1D16"/>
    <w:rsid w:val="009E6E9B"/>
    <w:rsid w:val="009F1EB8"/>
    <w:rsid w:val="009F223C"/>
    <w:rsid w:val="009F6BE9"/>
    <w:rsid w:val="00A01DCE"/>
    <w:rsid w:val="00A023BF"/>
    <w:rsid w:val="00A040A1"/>
    <w:rsid w:val="00A04A9C"/>
    <w:rsid w:val="00A074EB"/>
    <w:rsid w:val="00A07962"/>
    <w:rsid w:val="00A1028C"/>
    <w:rsid w:val="00A1042E"/>
    <w:rsid w:val="00A11415"/>
    <w:rsid w:val="00A206B8"/>
    <w:rsid w:val="00A222CE"/>
    <w:rsid w:val="00A224D9"/>
    <w:rsid w:val="00A23323"/>
    <w:rsid w:val="00A24FA0"/>
    <w:rsid w:val="00A32877"/>
    <w:rsid w:val="00A33779"/>
    <w:rsid w:val="00A33B20"/>
    <w:rsid w:val="00A3403F"/>
    <w:rsid w:val="00A3553E"/>
    <w:rsid w:val="00A3620B"/>
    <w:rsid w:val="00A36409"/>
    <w:rsid w:val="00A37966"/>
    <w:rsid w:val="00A4206A"/>
    <w:rsid w:val="00A500AC"/>
    <w:rsid w:val="00A502F7"/>
    <w:rsid w:val="00A513C5"/>
    <w:rsid w:val="00A52167"/>
    <w:rsid w:val="00A529A0"/>
    <w:rsid w:val="00A531E5"/>
    <w:rsid w:val="00A5359C"/>
    <w:rsid w:val="00A536AD"/>
    <w:rsid w:val="00A55468"/>
    <w:rsid w:val="00A554E9"/>
    <w:rsid w:val="00A55982"/>
    <w:rsid w:val="00A60EEB"/>
    <w:rsid w:val="00A617C4"/>
    <w:rsid w:val="00A62406"/>
    <w:rsid w:val="00A65C75"/>
    <w:rsid w:val="00A71285"/>
    <w:rsid w:val="00A73014"/>
    <w:rsid w:val="00A81E8B"/>
    <w:rsid w:val="00A84D38"/>
    <w:rsid w:val="00A85C7A"/>
    <w:rsid w:val="00A867C5"/>
    <w:rsid w:val="00A8791D"/>
    <w:rsid w:val="00A923F5"/>
    <w:rsid w:val="00A96D86"/>
    <w:rsid w:val="00A972C0"/>
    <w:rsid w:val="00AA3632"/>
    <w:rsid w:val="00AA5BC9"/>
    <w:rsid w:val="00AA7C51"/>
    <w:rsid w:val="00AB1982"/>
    <w:rsid w:val="00AC0AE5"/>
    <w:rsid w:val="00AC20BE"/>
    <w:rsid w:val="00AC4560"/>
    <w:rsid w:val="00AC595D"/>
    <w:rsid w:val="00AC7196"/>
    <w:rsid w:val="00AD5A47"/>
    <w:rsid w:val="00AE210F"/>
    <w:rsid w:val="00AE3EAD"/>
    <w:rsid w:val="00AE3F7C"/>
    <w:rsid w:val="00AE49A8"/>
    <w:rsid w:val="00AE5A07"/>
    <w:rsid w:val="00AE7B89"/>
    <w:rsid w:val="00AE7F5A"/>
    <w:rsid w:val="00AF2AFC"/>
    <w:rsid w:val="00AF3CA6"/>
    <w:rsid w:val="00AF657E"/>
    <w:rsid w:val="00B0258D"/>
    <w:rsid w:val="00B02CA9"/>
    <w:rsid w:val="00B033AB"/>
    <w:rsid w:val="00B060E4"/>
    <w:rsid w:val="00B11122"/>
    <w:rsid w:val="00B113B1"/>
    <w:rsid w:val="00B1775B"/>
    <w:rsid w:val="00B17AD7"/>
    <w:rsid w:val="00B17BC9"/>
    <w:rsid w:val="00B21C01"/>
    <w:rsid w:val="00B32681"/>
    <w:rsid w:val="00B3363E"/>
    <w:rsid w:val="00B35AB4"/>
    <w:rsid w:val="00B36A97"/>
    <w:rsid w:val="00B37B17"/>
    <w:rsid w:val="00B40B5E"/>
    <w:rsid w:val="00B422BA"/>
    <w:rsid w:val="00B45396"/>
    <w:rsid w:val="00B47A88"/>
    <w:rsid w:val="00B520AF"/>
    <w:rsid w:val="00B536DC"/>
    <w:rsid w:val="00B546E2"/>
    <w:rsid w:val="00B54E3B"/>
    <w:rsid w:val="00B55BB5"/>
    <w:rsid w:val="00B56515"/>
    <w:rsid w:val="00B57609"/>
    <w:rsid w:val="00B70250"/>
    <w:rsid w:val="00B70720"/>
    <w:rsid w:val="00B7188D"/>
    <w:rsid w:val="00B718D7"/>
    <w:rsid w:val="00B770A2"/>
    <w:rsid w:val="00B8169A"/>
    <w:rsid w:val="00B81C00"/>
    <w:rsid w:val="00B82821"/>
    <w:rsid w:val="00B8454A"/>
    <w:rsid w:val="00B85290"/>
    <w:rsid w:val="00B93DF4"/>
    <w:rsid w:val="00BA63F4"/>
    <w:rsid w:val="00BB01BB"/>
    <w:rsid w:val="00BB498F"/>
    <w:rsid w:val="00BB67DD"/>
    <w:rsid w:val="00BC180F"/>
    <w:rsid w:val="00BD0839"/>
    <w:rsid w:val="00BD159E"/>
    <w:rsid w:val="00BD166E"/>
    <w:rsid w:val="00BD17E6"/>
    <w:rsid w:val="00BD2387"/>
    <w:rsid w:val="00BD2796"/>
    <w:rsid w:val="00BD30FF"/>
    <w:rsid w:val="00BD4185"/>
    <w:rsid w:val="00BD4A01"/>
    <w:rsid w:val="00BD4DDB"/>
    <w:rsid w:val="00BD5654"/>
    <w:rsid w:val="00BD5C25"/>
    <w:rsid w:val="00BD6081"/>
    <w:rsid w:val="00BE0994"/>
    <w:rsid w:val="00BE20C3"/>
    <w:rsid w:val="00BE4836"/>
    <w:rsid w:val="00BE5D0A"/>
    <w:rsid w:val="00BE7B50"/>
    <w:rsid w:val="00BF169F"/>
    <w:rsid w:val="00BF20D7"/>
    <w:rsid w:val="00C0222A"/>
    <w:rsid w:val="00C0347E"/>
    <w:rsid w:val="00C038A3"/>
    <w:rsid w:val="00C05542"/>
    <w:rsid w:val="00C074D3"/>
    <w:rsid w:val="00C10660"/>
    <w:rsid w:val="00C10B7D"/>
    <w:rsid w:val="00C14150"/>
    <w:rsid w:val="00C15F48"/>
    <w:rsid w:val="00C17F72"/>
    <w:rsid w:val="00C20B11"/>
    <w:rsid w:val="00C214C6"/>
    <w:rsid w:val="00C232FE"/>
    <w:rsid w:val="00C235C8"/>
    <w:rsid w:val="00C2367D"/>
    <w:rsid w:val="00C27B1E"/>
    <w:rsid w:val="00C27BF4"/>
    <w:rsid w:val="00C302E1"/>
    <w:rsid w:val="00C30CE3"/>
    <w:rsid w:val="00C30E38"/>
    <w:rsid w:val="00C34E43"/>
    <w:rsid w:val="00C35301"/>
    <w:rsid w:val="00C359B7"/>
    <w:rsid w:val="00C42463"/>
    <w:rsid w:val="00C44242"/>
    <w:rsid w:val="00C452B4"/>
    <w:rsid w:val="00C6067C"/>
    <w:rsid w:val="00C60C88"/>
    <w:rsid w:val="00C67D75"/>
    <w:rsid w:val="00C70778"/>
    <w:rsid w:val="00C70FB0"/>
    <w:rsid w:val="00C71DD6"/>
    <w:rsid w:val="00C71E94"/>
    <w:rsid w:val="00C76EA9"/>
    <w:rsid w:val="00C804FA"/>
    <w:rsid w:val="00C80AA2"/>
    <w:rsid w:val="00C80EB6"/>
    <w:rsid w:val="00C8136C"/>
    <w:rsid w:val="00C81D99"/>
    <w:rsid w:val="00C841BB"/>
    <w:rsid w:val="00C86E8B"/>
    <w:rsid w:val="00C90253"/>
    <w:rsid w:val="00C90716"/>
    <w:rsid w:val="00C911DF"/>
    <w:rsid w:val="00C94F50"/>
    <w:rsid w:val="00C9766A"/>
    <w:rsid w:val="00C97BDC"/>
    <w:rsid w:val="00CA19C6"/>
    <w:rsid w:val="00CA426D"/>
    <w:rsid w:val="00CA57E0"/>
    <w:rsid w:val="00CA65F1"/>
    <w:rsid w:val="00CA7151"/>
    <w:rsid w:val="00CB0C60"/>
    <w:rsid w:val="00CB482E"/>
    <w:rsid w:val="00CB7906"/>
    <w:rsid w:val="00CC091F"/>
    <w:rsid w:val="00CC100E"/>
    <w:rsid w:val="00CC39A6"/>
    <w:rsid w:val="00CC5358"/>
    <w:rsid w:val="00CC5481"/>
    <w:rsid w:val="00CC5DB9"/>
    <w:rsid w:val="00CC73F1"/>
    <w:rsid w:val="00CD1221"/>
    <w:rsid w:val="00CD2340"/>
    <w:rsid w:val="00CD4C92"/>
    <w:rsid w:val="00CD6033"/>
    <w:rsid w:val="00CD6A25"/>
    <w:rsid w:val="00CE0873"/>
    <w:rsid w:val="00CE5176"/>
    <w:rsid w:val="00CF147F"/>
    <w:rsid w:val="00CF34D5"/>
    <w:rsid w:val="00CF3E79"/>
    <w:rsid w:val="00CF3F59"/>
    <w:rsid w:val="00CF69DE"/>
    <w:rsid w:val="00D01C43"/>
    <w:rsid w:val="00D02E2B"/>
    <w:rsid w:val="00D03BE6"/>
    <w:rsid w:val="00D0537D"/>
    <w:rsid w:val="00D10826"/>
    <w:rsid w:val="00D11100"/>
    <w:rsid w:val="00D16A25"/>
    <w:rsid w:val="00D17682"/>
    <w:rsid w:val="00D179FF"/>
    <w:rsid w:val="00D20C18"/>
    <w:rsid w:val="00D2147D"/>
    <w:rsid w:val="00D21ECC"/>
    <w:rsid w:val="00D22280"/>
    <w:rsid w:val="00D22BDB"/>
    <w:rsid w:val="00D241FC"/>
    <w:rsid w:val="00D2534A"/>
    <w:rsid w:val="00D276C6"/>
    <w:rsid w:val="00D333A9"/>
    <w:rsid w:val="00D33AC8"/>
    <w:rsid w:val="00D3578B"/>
    <w:rsid w:val="00D35FDD"/>
    <w:rsid w:val="00D3797A"/>
    <w:rsid w:val="00D4245A"/>
    <w:rsid w:val="00D44622"/>
    <w:rsid w:val="00D505B0"/>
    <w:rsid w:val="00D50A49"/>
    <w:rsid w:val="00D51960"/>
    <w:rsid w:val="00D5247A"/>
    <w:rsid w:val="00D573BB"/>
    <w:rsid w:val="00D6190F"/>
    <w:rsid w:val="00D637D0"/>
    <w:rsid w:val="00D63913"/>
    <w:rsid w:val="00D64CF0"/>
    <w:rsid w:val="00D66061"/>
    <w:rsid w:val="00D66115"/>
    <w:rsid w:val="00D67F00"/>
    <w:rsid w:val="00D77C54"/>
    <w:rsid w:val="00D812E5"/>
    <w:rsid w:val="00D83150"/>
    <w:rsid w:val="00D841F1"/>
    <w:rsid w:val="00D84A6D"/>
    <w:rsid w:val="00D9064B"/>
    <w:rsid w:val="00D957C2"/>
    <w:rsid w:val="00DA092D"/>
    <w:rsid w:val="00DA27F3"/>
    <w:rsid w:val="00DA448F"/>
    <w:rsid w:val="00DA44CA"/>
    <w:rsid w:val="00DA4F15"/>
    <w:rsid w:val="00DA7631"/>
    <w:rsid w:val="00DA7712"/>
    <w:rsid w:val="00DB2488"/>
    <w:rsid w:val="00DB36AC"/>
    <w:rsid w:val="00DB4FF6"/>
    <w:rsid w:val="00DB60DF"/>
    <w:rsid w:val="00DB69E2"/>
    <w:rsid w:val="00DB6C1A"/>
    <w:rsid w:val="00DC0DE0"/>
    <w:rsid w:val="00DC4312"/>
    <w:rsid w:val="00DC446D"/>
    <w:rsid w:val="00DD03AC"/>
    <w:rsid w:val="00DD11B4"/>
    <w:rsid w:val="00DD31EE"/>
    <w:rsid w:val="00DD63E8"/>
    <w:rsid w:val="00DE3E58"/>
    <w:rsid w:val="00DE4086"/>
    <w:rsid w:val="00DE5FC3"/>
    <w:rsid w:val="00DE6949"/>
    <w:rsid w:val="00DF353F"/>
    <w:rsid w:val="00DF4A3C"/>
    <w:rsid w:val="00DF54BC"/>
    <w:rsid w:val="00E00381"/>
    <w:rsid w:val="00E00AD9"/>
    <w:rsid w:val="00E0348E"/>
    <w:rsid w:val="00E06B15"/>
    <w:rsid w:val="00E07803"/>
    <w:rsid w:val="00E10F03"/>
    <w:rsid w:val="00E133DE"/>
    <w:rsid w:val="00E15CCF"/>
    <w:rsid w:val="00E21B21"/>
    <w:rsid w:val="00E30DA8"/>
    <w:rsid w:val="00E3769C"/>
    <w:rsid w:val="00E43928"/>
    <w:rsid w:val="00E46950"/>
    <w:rsid w:val="00E46F36"/>
    <w:rsid w:val="00E512E9"/>
    <w:rsid w:val="00E52260"/>
    <w:rsid w:val="00E5408B"/>
    <w:rsid w:val="00E541FC"/>
    <w:rsid w:val="00E54B5F"/>
    <w:rsid w:val="00E54D30"/>
    <w:rsid w:val="00E55F61"/>
    <w:rsid w:val="00E61489"/>
    <w:rsid w:val="00E62BCE"/>
    <w:rsid w:val="00E65F62"/>
    <w:rsid w:val="00E70737"/>
    <w:rsid w:val="00E74359"/>
    <w:rsid w:val="00E7576E"/>
    <w:rsid w:val="00E76395"/>
    <w:rsid w:val="00E77C82"/>
    <w:rsid w:val="00E801F6"/>
    <w:rsid w:val="00E82314"/>
    <w:rsid w:val="00E82650"/>
    <w:rsid w:val="00E8440B"/>
    <w:rsid w:val="00E85026"/>
    <w:rsid w:val="00E85AF1"/>
    <w:rsid w:val="00E91E62"/>
    <w:rsid w:val="00E921ED"/>
    <w:rsid w:val="00E94BB0"/>
    <w:rsid w:val="00E9758E"/>
    <w:rsid w:val="00E977EC"/>
    <w:rsid w:val="00EA31AB"/>
    <w:rsid w:val="00EA3232"/>
    <w:rsid w:val="00EA364C"/>
    <w:rsid w:val="00EA550F"/>
    <w:rsid w:val="00EA7650"/>
    <w:rsid w:val="00EB0B21"/>
    <w:rsid w:val="00EB0F8F"/>
    <w:rsid w:val="00EB176D"/>
    <w:rsid w:val="00EB285B"/>
    <w:rsid w:val="00EB4BA6"/>
    <w:rsid w:val="00EB5783"/>
    <w:rsid w:val="00EB7E49"/>
    <w:rsid w:val="00EC0C84"/>
    <w:rsid w:val="00EC149A"/>
    <w:rsid w:val="00EC35E5"/>
    <w:rsid w:val="00EC36B0"/>
    <w:rsid w:val="00EC38D1"/>
    <w:rsid w:val="00EC41EE"/>
    <w:rsid w:val="00EC49B4"/>
    <w:rsid w:val="00ED53E0"/>
    <w:rsid w:val="00ED5C5C"/>
    <w:rsid w:val="00EE04AA"/>
    <w:rsid w:val="00EE05E9"/>
    <w:rsid w:val="00EE5D0C"/>
    <w:rsid w:val="00EF03B6"/>
    <w:rsid w:val="00EF1CDC"/>
    <w:rsid w:val="00EF3ACC"/>
    <w:rsid w:val="00EF3D98"/>
    <w:rsid w:val="00EF66EB"/>
    <w:rsid w:val="00F03953"/>
    <w:rsid w:val="00F110C9"/>
    <w:rsid w:val="00F14B5A"/>
    <w:rsid w:val="00F14CA1"/>
    <w:rsid w:val="00F150A5"/>
    <w:rsid w:val="00F20665"/>
    <w:rsid w:val="00F27991"/>
    <w:rsid w:val="00F30986"/>
    <w:rsid w:val="00F319D8"/>
    <w:rsid w:val="00F33C46"/>
    <w:rsid w:val="00F361B4"/>
    <w:rsid w:val="00F36511"/>
    <w:rsid w:val="00F369A5"/>
    <w:rsid w:val="00F41A86"/>
    <w:rsid w:val="00F427A0"/>
    <w:rsid w:val="00F44E82"/>
    <w:rsid w:val="00F50E56"/>
    <w:rsid w:val="00F518AF"/>
    <w:rsid w:val="00F527CB"/>
    <w:rsid w:val="00F53093"/>
    <w:rsid w:val="00F5725C"/>
    <w:rsid w:val="00F63B05"/>
    <w:rsid w:val="00F6750C"/>
    <w:rsid w:val="00F70488"/>
    <w:rsid w:val="00F71E47"/>
    <w:rsid w:val="00F7422D"/>
    <w:rsid w:val="00F75535"/>
    <w:rsid w:val="00F77E8B"/>
    <w:rsid w:val="00F83716"/>
    <w:rsid w:val="00F8384C"/>
    <w:rsid w:val="00F87847"/>
    <w:rsid w:val="00F921D5"/>
    <w:rsid w:val="00F92426"/>
    <w:rsid w:val="00F92E39"/>
    <w:rsid w:val="00F93C9E"/>
    <w:rsid w:val="00F94AC2"/>
    <w:rsid w:val="00FA0438"/>
    <w:rsid w:val="00FA2AA5"/>
    <w:rsid w:val="00FA4160"/>
    <w:rsid w:val="00FA42FA"/>
    <w:rsid w:val="00FA4A4A"/>
    <w:rsid w:val="00FA551C"/>
    <w:rsid w:val="00FA5EF2"/>
    <w:rsid w:val="00FA6191"/>
    <w:rsid w:val="00FB0ACE"/>
    <w:rsid w:val="00FB0C7C"/>
    <w:rsid w:val="00FB444E"/>
    <w:rsid w:val="00FB57F5"/>
    <w:rsid w:val="00FB7B3B"/>
    <w:rsid w:val="00FC144F"/>
    <w:rsid w:val="00FC4D34"/>
    <w:rsid w:val="00FC57CF"/>
    <w:rsid w:val="00FD03EE"/>
    <w:rsid w:val="00FD08C3"/>
    <w:rsid w:val="00FD238F"/>
    <w:rsid w:val="00FD2E66"/>
    <w:rsid w:val="00FD3C47"/>
    <w:rsid w:val="00FD4154"/>
    <w:rsid w:val="00FD61F2"/>
    <w:rsid w:val="00FD76D2"/>
    <w:rsid w:val="00FD77A5"/>
    <w:rsid w:val="00FE2447"/>
    <w:rsid w:val="00FE3BC7"/>
    <w:rsid w:val="00FE42A4"/>
    <w:rsid w:val="00FE5F41"/>
    <w:rsid w:val="00FE7461"/>
    <w:rsid w:val="00FF15B4"/>
    <w:rsid w:val="00FF19F4"/>
    <w:rsid w:val="00FF57B2"/>
    <w:rsid w:val="00FF6B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E6"/>
    <w:pPr>
      <w:spacing w:after="100" w:line="400" w:lineRule="exact"/>
      <w:jc w:val="both"/>
    </w:pPr>
    <w:rPr>
      <w:rFonts w:ascii="Century Schoolbook" w:hAnsi="Century Schoolbook"/>
      <w:sz w:val="27"/>
    </w:rPr>
  </w:style>
  <w:style w:type="paragraph" w:styleId="Heading1">
    <w:name w:val="heading 1"/>
    <w:basedOn w:val="ListParagraph"/>
    <w:next w:val="Normal"/>
    <w:qFormat/>
    <w:rsid w:val="009E1D16"/>
    <w:pPr>
      <w:keepNext/>
      <w:keepLines/>
      <w:numPr>
        <w:numId w:val="17"/>
      </w:numPr>
      <w:tabs>
        <w:tab w:val="left" w:pos="0"/>
      </w:tabs>
      <w:jc w:val="center"/>
      <w:outlineLvl w:val="0"/>
    </w:pPr>
    <w:rPr>
      <w:b/>
      <w:smallCaps/>
      <w:szCs w:val="26"/>
    </w:rPr>
  </w:style>
  <w:style w:type="paragraph" w:styleId="Heading2">
    <w:name w:val="heading 2"/>
    <w:basedOn w:val="ListParagraph"/>
    <w:next w:val="Normal"/>
    <w:qFormat/>
    <w:rsid w:val="00EC0C84"/>
    <w:pPr>
      <w:keepNext/>
      <w:keepLines/>
      <w:numPr>
        <w:numId w:val="16"/>
      </w:numPr>
      <w:tabs>
        <w:tab w:val="left" w:pos="1080"/>
      </w:tabs>
      <w:spacing w:before="140" w:line="240" w:lineRule="atLeast"/>
      <w:ind w:left="1080" w:hanging="360"/>
      <w:contextualSpacing w:val="0"/>
      <w:outlineLvl w:val="1"/>
    </w:pPr>
    <w:rPr>
      <w:b/>
      <w:bCs/>
      <w:szCs w:val="26"/>
    </w:rPr>
  </w:style>
  <w:style w:type="paragraph" w:styleId="Heading3">
    <w:name w:val="heading 3"/>
    <w:basedOn w:val="Normal"/>
    <w:next w:val="NormalIndent"/>
    <w:qFormat/>
    <w:rsid w:val="00945FE6"/>
    <w:pPr>
      <w:keepNext/>
      <w:tabs>
        <w:tab w:val="left" w:pos="1584"/>
      </w:tabs>
      <w:spacing w:before="140" w:line="240" w:lineRule="atLeast"/>
      <w:ind w:left="1584" w:hanging="432"/>
      <w:jc w:val="left"/>
      <w:outlineLvl w:val="2"/>
    </w:pPr>
    <w:rPr>
      <w:i/>
    </w:rPr>
  </w:style>
  <w:style w:type="paragraph" w:styleId="Heading4">
    <w:name w:val="heading 4"/>
    <w:basedOn w:val="Normal"/>
    <w:rsid w:val="00945FE6"/>
    <w:pPr>
      <w:keepNext/>
      <w:tabs>
        <w:tab w:val="left" w:pos="2016"/>
      </w:tabs>
      <w:spacing w:before="140" w:line="240" w:lineRule="atLeast"/>
      <w:ind w:left="2016" w:hanging="432"/>
      <w:jc w:val="left"/>
      <w:outlineLvl w:val="3"/>
    </w:pPr>
    <w:rPr>
      <w:i/>
    </w:rPr>
  </w:style>
  <w:style w:type="paragraph" w:styleId="Heading5">
    <w:name w:val="heading 5"/>
    <w:basedOn w:val="Normal"/>
    <w:rsid w:val="00945FE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45FE6"/>
    <w:pPr>
      <w:ind w:left="720"/>
    </w:pPr>
  </w:style>
  <w:style w:type="paragraph" w:styleId="Footer">
    <w:name w:val="footer"/>
    <w:basedOn w:val="Normal"/>
    <w:link w:val="FooterChar"/>
    <w:uiPriority w:val="99"/>
    <w:qFormat/>
    <w:rsid w:val="00945FE6"/>
    <w:pPr>
      <w:tabs>
        <w:tab w:val="center" w:pos="3960"/>
        <w:tab w:val="right" w:pos="10080"/>
      </w:tabs>
      <w:spacing w:after="0" w:line="240" w:lineRule="auto"/>
      <w:jc w:val="center"/>
    </w:pPr>
    <w:rPr>
      <w:sz w:val="22"/>
    </w:rPr>
  </w:style>
  <w:style w:type="paragraph" w:styleId="Header">
    <w:name w:val="header"/>
    <w:basedOn w:val="Normal"/>
    <w:qFormat/>
    <w:rsid w:val="00945FE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45FE6"/>
    <w:rPr>
      <w:rFonts w:ascii="Century Schoolbook" w:hAnsi="Century Schoolbook"/>
      <w:b/>
      <w:i w:val="0"/>
      <w:position w:val="4"/>
      <w:sz w:val="27"/>
      <w:vertAlign w:val="superscript"/>
    </w:rPr>
  </w:style>
  <w:style w:type="paragraph" w:styleId="FootnoteText">
    <w:name w:val="footnote text"/>
    <w:basedOn w:val="Normal"/>
    <w:rsid w:val="00945FE6"/>
    <w:pPr>
      <w:spacing w:line="300" w:lineRule="exact"/>
    </w:pPr>
  </w:style>
  <w:style w:type="paragraph" w:customStyle="1" w:styleId="Title1">
    <w:name w:val="Title1"/>
    <w:basedOn w:val="Normal"/>
    <w:rsid w:val="00945FE6"/>
    <w:pPr>
      <w:tabs>
        <w:tab w:val="left" w:pos="5760"/>
        <w:tab w:val="left" w:pos="6480"/>
      </w:tabs>
      <w:spacing w:line="240" w:lineRule="atLeast"/>
    </w:pPr>
  </w:style>
  <w:style w:type="paragraph" w:customStyle="1" w:styleId="Recommend">
    <w:name w:val="Recommend"/>
    <w:basedOn w:val="Normal"/>
    <w:rsid w:val="00945FE6"/>
  </w:style>
  <w:style w:type="paragraph" w:customStyle="1" w:styleId="Summary">
    <w:name w:val="Summary"/>
    <w:basedOn w:val="Normal"/>
    <w:rsid w:val="00945FE6"/>
    <w:pPr>
      <w:ind w:left="2160" w:hanging="2160"/>
    </w:pPr>
  </w:style>
  <w:style w:type="paragraph" w:customStyle="1" w:styleId="Text">
    <w:name w:val="Text"/>
    <w:basedOn w:val="Normal"/>
    <w:rsid w:val="00945FE6"/>
    <w:pPr>
      <w:tabs>
        <w:tab w:val="left" w:pos="720"/>
        <w:tab w:val="left" w:pos="1440"/>
        <w:tab w:val="left" w:pos="2160"/>
        <w:tab w:val="center" w:pos="4320"/>
      </w:tabs>
      <w:spacing w:line="480" w:lineRule="atLeast"/>
      <w:ind w:firstLine="540"/>
    </w:pPr>
  </w:style>
  <w:style w:type="paragraph" w:styleId="Date">
    <w:name w:val="Date"/>
    <w:basedOn w:val="Normal"/>
    <w:semiHidden/>
    <w:rsid w:val="00945FE6"/>
    <w:pPr>
      <w:jc w:val="right"/>
    </w:pPr>
  </w:style>
  <w:style w:type="character" w:styleId="PageNumber">
    <w:name w:val="page number"/>
    <w:basedOn w:val="DefaultParagraphFont"/>
    <w:semiHidden/>
    <w:rsid w:val="00945FE6"/>
  </w:style>
  <w:style w:type="paragraph" w:customStyle="1" w:styleId="subject">
    <w:name w:val="subject"/>
    <w:basedOn w:val="Normal"/>
    <w:rsid w:val="00945FE6"/>
    <w:pPr>
      <w:tabs>
        <w:tab w:val="left" w:pos="1008"/>
      </w:tabs>
      <w:ind w:left="990" w:hanging="990"/>
    </w:pPr>
    <w:rPr>
      <w:b/>
    </w:rPr>
  </w:style>
  <w:style w:type="paragraph" w:customStyle="1" w:styleId="Titles">
    <w:name w:val="Titles"/>
    <w:basedOn w:val="Normal"/>
    <w:rsid w:val="00945FE6"/>
    <w:pPr>
      <w:tabs>
        <w:tab w:val="left" w:pos="2160"/>
      </w:tabs>
      <w:ind w:left="2160" w:hanging="2160"/>
    </w:pPr>
    <w:rPr>
      <w:b/>
    </w:rPr>
  </w:style>
  <w:style w:type="paragraph" w:styleId="TOAHeading">
    <w:name w:val="toa heading"/>
    <w:basedOn w:val="Normal"/>
    <w:next w:val="Normal"/>
    <w:semiHidden/>
    <w:rsid w:val="00945FE6"/>
    <w:pPr>
      <w:spacing w:before="120"/>
    </w:pPr>
    <w:rPr>
      <w:b/>
    </w:rPr>
  </w:style>
  <w:style w:type="paragraph" w:styleId="TOC1">
    <w:name w:val="toc 1"/>
    <w:basedOn w:val="Normal"/>
    <w:next w:val="Normal"/>
    <w:autoRedefine/>
    <w:semiHidden/>
    <w:rsid w:val="00945FE6"/>
  </w:style>
  <w:style w:type="paragraph" w:styleId="TOC2">
    <w:name w:val="toc 2"/>
    <w:basedOn w:val="Normal"/>
    <w:next w:val="Normal"/>
    <w:autoRedefine/>
    <w:semiHidden/>
    <w:rsid w:val="00945FE6"/>
    <w:pPr>
      <w:ind w:left="259"/>
    </w:pPr>
  </w:style>
  <w:style w:type="paragraph" w:styleId="TOC3">
    <w:name w:val="toc 3"/>
    <w:basedOn w:val="Normal"/>
    <w:next w:val="Normal"/>
    <w:autoRedefine/>
    <w:semiHidden/>
    <w:rsid w:val="00945FE6"/>
    <w:pPr>
      <w:ind w:left="520"/>
    </w:pPr>
  </w:style>
  <w:style w:type="paragraph" w:styleId="TOC4">
    <w:name w:val="toc 4"/>
    <w:basedOn w:val="Normal"/>
    <w:next w:val="Normal"/>
    <w:autoRedefine/>
    <w:semiHidden/>
    <w:rsid w:val="00945FE6"/>
    <w:pPr>
      <w:ind w:left="780"/>
    </w:pPr>
  </w:style>
  <w:style w:type="paragraph" w:styleId="TOC5">
    <w:name w:val="toc 5"/>
    <w:basedOn w:val="Normal"/>
    <w:next w:val="Normal"/>
    <w:autoRedefine/>
    <w:semiHidden/>
    <w:rsid w:val="00945FE6"/>
    <w:pPr>
      <w:ind w:left="1040"/>
    </w:pPr>
  </w:style>
  <w:style w:type="paragraph" w:styleId="TOC6">
    <w:name w:val="toc 6"/>
    <w:basedOn w:val="Normal"/>
    <w:next w:val="Normal"/>
    <w:autoRedefine/>
    <w:semiHidden/>
    <w:rsid w:val="00945FE6"/>
    <w:pPr>
      <w:ind w:left="1300"/>
    </w:pPr>
  </w:style>
  <w:style w:type="paragraph" w:styleId="TOC7">
    <w:name w:val="toc 7"/>
    <w:basedOn w:val="Normal"/>
    <w:next w:val="Normal"/>
    <w:autoRedefine/>
    <w:semiHidden/>
    <w:rsid w:val="00945FE6"/>
    <w:pPr>
      <w:ind w:left="1560"/>
    </w:pPr>
  </w:style>
  <w:style w:type="paragraph" w:styleId="TOC8">
    <w:name w:val="toc 8"/>
    <w:basedOn w:val="Normal"/>
    <w:next w:val="Normal"/>
    <w:autoRedefine/>
    <w:semiHidden/>
    <w:rsid w:val="00945FE6"/>
    <w:pPr>
      <w:ind w:left="1820"/>
    </w:pPr>
  </w:style>
  <w:style w:type="paragraph" w:styleId="TOC9">
    <w:name w:val="toc 9"/>
    <w:basedOn w:val="Normal"/>
    <w:next w:val="Normal"/>
    <w:autoRedefine/>
    <w:semiHidden/>
    <w:rsid w:val="00945FE6"/>
    <w:pPr>
      <w:ind w:left="2080"/>
    </w:pPr>
  </w:style>
  <w:style w:type="paragraph" w:customStyle="1" w:styleId="Contents">
    <w:name w:val="Contents"/>
    <w:basedOn w:val="Normal"/>
    <w:rsid w:val="00945FE6"/>
    <w:pPr>
      <w:jc w:val="center"/>
    </w:pPr>
    <w:rPr>
      <w:b/>
      <w:spacing w:val="100"/>
    </w:rPr>
  </w:style>
  <w:style w:type="paragraph" w:styleId="ListParagraph">
    <w:name w:val="List Paragraph"/>
    <w:basedOn w:val="Normal"/>
    <w:uiPriority w:val="34"/>
    <w:qFormat/>
    <w:rsid w:val="00F53093"/>
    <w:pPr>
      <w:ind w:left="720"/>
      <w:contextualSpacing/>
    </w:pPr>
  </w:style>
  <w:style w:type="character" w:customStyle="1" w:styleId="costarpage">
    <w:name w:val="co_starpage"/>
    <w:basedOn w:val="DefaultParagraphFont"/>
    <w:rsid w:val="00BD0839"/>
  </w:style>
  <w:style w:type="character" w:styleId="Emphasis">
    <w:name w:val="Emphasis"/>
    <w:basedOn w:val="DefaultParagraphFont"/>
    <w:uiPriority w:val="20"/>
    <w:qFormat/>
    <w:rsid w:val="00BD0839"/>
    <w:rPr>
      <w:i/>
      <w:iCs/>
    </w:rPr>
  </w:style>
  <w:style w:type="character" w:styleId="Hyperlink">
    <w:name w:val="Hyperlink"/>
    <w:basedOn w:val="DefaultParagraphFont"/>
    <w:uiPriority w:val="99"/>
    <w:semiHidden/>
    <w:unhideWhenUsed/>
    <w:rsid w:val="007A24BB"/>
    <w:rPr>
      <w:color w:val="0000FF"/>
      <w:u w:val="single"/>
    </w:rPr>
  </w:style>
  <w:style w:type="paragraph" w:styleId="BalloonText">
    <w:name w:val="Balloon Text"/>
    <w:basedOn w:val="Normal"/>
    <w:link w:val="BalloonTextChar"/>
    <w:uiPriority w:val="99"/>
    <w:semiHidden/>
    <w:unhideWhenUsed/>
    <w:rsid w:val="0086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85"/>
    <w:rPr>
      <w:rFonts w:ascii="Segoe UI" w:hAnsi="Segoe UI" w:cs="Segoe UI"/>
      <w:sz w:val="18"/>
      <w:szCs w:val="18"/>
    </w:rPr>
  </w:style>
  <w:style w:type="character" w:customStyle="1" w:styleId="cosearchterm">
    <w:name w:val="co_searchterm"/>
    <w:basedOn w:val="DefaultParagraphFont"/>
    <w:rsid w:val="00994A4C"/>
  </w:style>
  <w:style w:type="character" w:customStyle="1" w:styleId="FooterChar">
    <w:name w:val="Footer Char"/>
    <w:basedOn w:val="DefaultParagraphFont"/>
    <w:link w:val="Footer"/>
    <w:uiPriority w:val="99"/>
    <w:rsid w:val="004676B0"/>
    <w:rPr>
      <w:rFonts w:ascii="Century Schoolbook" w:hAnsi="Century Schoolbook"/>
      <w:sz w:val="22"/>
    </w:rPr>
  </w:style>
  <w:style w:type="paragraph" w:styleId="BodyText">
    <w:name w:val="Body Text"/>
    <w:basedOn w:val="Normal"/>
    <w:link w:val="BodyTextChar"/>
    <w:qFormat/>
    <w:rsid w:val="00945FE6"/>
  </w:style>
  <w:style w:type="character" w:customStyle="1" w:styleId="BodyTextChar">
    <w:name w:val="Body Text Char"/>
    <w:basedOn w:val="DefaultParagraphFont"/>
    <w:link w:val="BodyText"/>
    <w:rsid w:val="00945FE6"/>
    <w:rPr>
      <w:rFonts w:ascii="Century Schoolbook" w:hAnsi="Century Schoolbook"/>
      <w:sz w:val="27"/>
    </w:rPr>
  </w:style>
  <w:style w:type="character" w:styleId="CommentReference">
    <w:name w:val="annotation reference"/>
    <w:basedOn w:val="DefaultParagraphFont"/>
    <w:uiPriority w:val="99"/>
    <w:semiHidden/>
    <w:unhideWhenUsed/>
    <w:rsid w:val="00456895"/>
    <w:rPr>
      <w:sz w:val="16"/>
      <w:szCs w:val="16"/>
    </w:rPr>
  </w:style>
  <w:style w:type="paragraph" w:styleId="CommentText">
    <w:name w:val="annotation text"/>
    <w:basedOn w:val="Normal"/>
    <w:link w:val="CommentTextChar"/>
    <w:uiPriority w:val="99"/>
    <w:semiHidden/>
    <w:unhideWhenUsed/>
    <w:rsid w:val="00456895"/>
    <w:pPr>
      <w:spacing w:line="240" w:lineRule="auto"/>
    </w:pPr>
    <w:rPr>
      <w:sz w:val="20"/>
    </w:rPr>
  </w:style>
  <w:style w:type="character" w:customStyle="1" w:styleId="CommentTextChar">
    <w:name w:val="Comment Text Char"/>
    <w:basedOn w:val="DefaultParagraphFont"/>
    <w:link w:val="CommentText"/>
    <w:uiPriority w:val="99"/>
    <w:semiHidden/>
    <w:rsid w:val="0045689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56895"/>
    <w:rPr>
      <w:b/>
      <w:bCs/>
    </w:rPr>
  </w:style>
  <w:style w:type="character" w:customStyle="1" w:styleId="CommentSubjectChar">
    <w:name w:val="Comment Subject Char"/>
    <w:basedOn w:val="CommentTextChar"/>
    <w:link w:val="CommentSubject"/>
    <w:uiPriority w:val="99"/>
    <w:semiHidden/>
    <w:rsid w:val="00456895"/>
    <w:rPr>
      <w:rFonts w:ascii="Century Schoolbook" w:hAnsi="Century Schoolbook"/>
      <w:b/>
      <w:bCs/>
    </w:rPr>
  </w:style>
  <w:style w:type="paragraph" w:styleId="Revision">
    <w:name w:val="Revision"/>
    <w:hidden/>
    <w:uiPriority w:val="99"/>
    <w:semiHidden/>
    <w:rsid w:val="00062B5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EC2E-3E82-4EA6-B64F-60DD9385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2021-04-01T15:43:40Z</dcterms:created>
  <dcterms:modified xsi:type="dcterms:W3CDTF">2021-04-01T15:43:40Z</dcterms:modified>
</cp:coreProperties>
</file>