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8E7FB9" w:rsidP="004945C9" w14:paraId="5147FEA6" w14:textId="55613491">
      <w:pPr>
        <w:tabs>
          <w:tab w:val="left" w:pos="1440"/>
          <w:tab w:val="left" w:pos="4680"/>
          <w:tab w:val="center" w:pos="7200"/>
        </w:tabs>
        <w:spacing w:after="0"/>
        <w:contextualSpacing/>
        <w:jc w:val="center"/>
        <w:rPr>
          <w:b/>
          <w:sz w:val="36"/>
        </w:rPr>
      </w:pPr>
      <w:r w:rsidRPr="00D16C7C">
        <w:rPr>
          <w:b/>
          <w:sz w:val="36"/>
        </w:rPr>
        <w:t>IN THE SUPREME COURT OF CALIFORNIA</w:t>
      </w:r>
    </w:p>
    <w:p w:rsidR="00D37A4F" w:rsidRPr="00D16C7C" w:rsidP="004945C9" w14:paraId="4E347E6F" w14:textId="77777777">
      <w:pPr>
        <w:tabs>
          <w:tab w:val="left" w:pos="1440"/>
          <w:tab w:val="left" w:pos="4680"/>
          <w:tab w:val="center" w:pos="7200"/>
        </w:tabs>
        <w:spacing w:after="0"/>
        <w:contextualSpacing/>
        <w:jc w:val="center"/>
        <w:rPr>
          <w:sz w:val="36"/>
        </w:rPr>
      </w:pPr>
    </w:p>
    <w:p w:rsidR="00D37A4F" w:rsidP="00D37A4F" w14:paraId="3159698F" w14:textId="75E43D01">
      <w:pPr>
        <w:tabs>
          <w:tab w:val="left" w:pos="1440"/>
          <w:tab w:val="left" w:pos="4680"/>
          <w:tab w:val="center" w:pos="7200"/>
        </w:tabs>
        <w:spacing w:after="0"/>
        <w:jc w:val="center"/>
      </w:pPr>
      <w:r>
        <w:t>In re E.F., a Person Coming Under the Juvenile Court Law.</w:t>
      </w:r>
    </w:p>
    <w:p w:rsidR="00D37A4F" w:rsidP="00D37A4F" w14:paraId="4E33660B" w14:textId="77777777">
      <w:pPr>
        <w:pBdr>
          <w:bottom w:val="single" w:sz="4" w:space="1" w:color="auto"/>
        </w:pBdr>
        <w:tabs>
          <w:tab w:val="left" w:pos="1440"/>
          <w:tab w:val="left" w:pos="4680"/>
          <w:tab w:val="center" w:pos="7200"/>
        </w:tabs>
        <w:spacing w:after="0"/>
        <w:jc w:val="center"/>
      </w:pPr>
    </w:p>
    <w:p w:rsidR="00CE1493" w:rsidRPr="00D16C7C" w:rsidP="004945C9" w14:paraId="6AC927DE" w14:textId="420B6FDA">
      <w:pPr>
        <w:tabs>
          <w:tab w:val="left" w:pos="1440"/>
          <w:tab w:val="left" w:pos="4680"/>
          <w:tab w:val="center" w:pos="7200"/>
        </w:tabs>
        <w:spacing w:after="0"/>
        <w:contextualSpacing/>
        <w:jc w:val="center"/>
      </w:pPr>
    </w:p>
    <w:p w:rsidR="00CE1493" w:rsidRPr="00D16C7C" w:rsidP="004945C9" w14:paraId="4BCECFF1" w14:textId="7A38AEF6">
      <w:pPr>
        <w:tabs>
          <w:tab w:val="left" w:pos="1440"/>
          <w:tab w:val="left" w:pos="4680"/>
          <w:tab w:val="center" w:pos="7200"/>
        </w:tabs>
        <w:spacing w:after="0"/>
        <w:contextualSpacing/>
        <w:jc w:val="center"/>
      </w:pPr>
      <w:r w:rsidRPr="00D16C7C">
        <w:t>THE PEOPLE</w:t>
      </w:r>
      <w:r>
        <w:t>,</w:t>
      </w:r>
    </w:p>
    <w:p w:rsidR="00CE1493" w:rsidRPr="00D16C7C" w:rsidP="004945C9" w14:paraId="0137A5E2" w14:textId="187A5578">
      <w:pPr>
        <w:tabs>
          <w:tab w:val="left" w:pos="1440"/>
          <w:tab w:val="left" w:pos="4680"/>
          <w:tab w:val="center" w:pos="7200"/>
        </w:tabs>
        <w:spacing w:after="0"/>
        <w:contextualSpacing/>
        <w:jc w:val="center"/>
      </w:pPr>
      <w:r w:rsidRPr="00D16C7C">
        <w:t>Plaintiff and Respondent</w:t>
      </w:r>
      <w:r w:rsidR="007302C6">
        <w:t>,</w:t>
      </w:r>
    </w:p>
    <w:p w:rsidR="00CE1493" w:rsidRPr="00D16C7C" w:rsidP="004945C9" w14:paraId="1E796BE9" w14:textId="746D9130">
      <w:pPr>
        <w:tabs>
          <w:tab w:val="left" w:pos="1440"/>
          <w:tab w:val="left" w:pos="4680"/>
          <w:tab w:val="center" w:pos="7200"/>
        </w:tabs>
        <w:spacing w:after="0"/>
        <w:contextualSpacing/>
        <w:jc w:val="center"/>
      </w:pPr>
      <w:r w:rsidRPr="00D16C7C">
        <w:t>v.</w:t>
      </w:r>
    </w:p>
    <w:p w:rsidR="00CE1493" w:rsidRPr="00D16C7C" w:rsidP="004945C9" w14:paraId="2A67D4C0" w14:textId="6B9D1584">
      <w:pPr>
        <w:tabs>
          <w:tab w:val="left" w:pos="1440"/>
          <w:tab w:val="left" w:pos="4680"/>
          <w:tab w:val="center" w:pos="7200"/>
        </w:tabs>
        <w:spacing w:after="0"/>
        <w:contextualSpacing/>
        <w:jc w:val="center"/>
      </w:pPr>
      <w:r w:rsidRPr="00D16C7C">
        <w:t>E.F.</w:t>
      </w:r>
      <w:r w:rsidR="007302C6">
        <w:t>,</w:t>
      </w:r>
    </w:p>
    <w:p w:rsidR="00CE1493" w:rsidRPr="00D16C7C" w:rsidP="004945C9" w14:paraId="3C3DC414" w14:textId="044F566D">
      <w:pPr>
        <w:tabs>
          <w:tab w:val="left" w:pos="1440"/>
          <w:tab w:val="left" w:pos="4680"/>
          <w:tab w:val="center" w:pos="7200"/>
        </w:tabs>
        <w:spacing w:after="0"/>
        <w:contextualSpacing/>
        <w:jc w:val="center"/>
      </w:pPr>
      <w:r w:rsidRPr="00D16C7C">
        <w:t>Defendant and Appellant</w:t>
      </w:r>
      <w:r w:rsidR="007302C6">
        <w:t>.</w:t>
      </w:r>
    </w:p>
    <w:p w:rsidR="00CE1493" w:rsidRPr="00D16C7C" w:rsidP="004945C9" w14:paraId="685CD52F" w14:textId="4C6B51E7">
      <w:pPr>
        <w:tabs>
          <w:tab w:val="left" w:pos="1440"/>
          <w:tab w:val="left" w:pos="4680"/>
          <w:tab w:val="center" w:pos="7200"/>
        </w:tabs>
        <w:spacing w:after="0"/>
        <w:contextualSpacing/>
        <w:jc w:val="center"/>
      </w:pPr>
    </w:p>
    <w:p w:rsidR="00CE1493" w:rsidRPr="00D16C7C" w:rsidP="004945C9" w14:paraId="4C31DEFD" w14:textId="4A74899D">
      <w:pPr>
        <w:tabs>
          <w:tab w:val="left" w:pos="1440"/>
          <w:tab w:val="left" w:pos="4680"/>
          <w:tab w:val="center" w:pos="7200"/>
        </w:tabs>
        <w:spacing w:after="0"/>
        <w:contextualSpacing/>
        <w:jc w:val="center"/>
      </w:pPr>
      <w:r w:rsidRPr="00D16C7C">
        <w:t>S260839</w:t>
      </w:r>
    </w:p>
    <w:p w:rsidR="00CE1493" w:rsidP="004945C9" w14:paraId="73D023C6" w14:textId="72B3559B">
      <w:pPr>
        <w:tabs>
          <w:tab w:val="left" w:pos="1440"/>
          <w:tab w:val="left" w:pos="4680"/>
          <w:tab w:val="center" w:pos="7200"/>
        </w:tabs>
        <w:spacing w:after="0"/>
        <w:contextualSpacing/>
        <w:jc w:val="center"/>
      </w:pPr>
    </w:p>
    <w:p w:rsidR="007302C6" w:rsidP="004945C9" w14:paraId="64E81C7C" w14:textId="0196DD81">
      <w:pPr>
        <w:tabs>
          <w:tab w:val="left" w:pos="1440"/>
          <w:tab w:val="left" w:pos="4680"/>
          <w:tab w:val="center" w:pos="7200"/>
        </w:tabs>
        <w:spacing w:after="0"/>
        <w:contextualSpacing/>
        <w:jc w:val="center"/>
      </w:pPr>
      <w:r>
        <w:t>Second Appellate District</w:t>
      </w:r>
      <w:r w:rsidR="00D37A4F">
        <w:t>, Division Two</w:t>
      </w:r>
    </w:p>
    <w:p w:rsidR="007302C6" w:rsidP="004945C9" w14:paraId="1C5241CF" w14:textId="5136967E">
      <w:pPr>
        <w:tabs>
          <w:tab w:val="left" w:pos="1440"/>
          <w:tab w:val="left" w:pos="4680"/>
          <w:tab w:val="center" w:pos="7200"/>
        </w:tabs>
        <w:spacing w:after="0"/>
        <w:contextualSpacing/>
        <w:jc w:val="center"/>
      </w:pPr>
      <w:r>
        <w:t>B295755</w:t>
      </w:r>
      <w:r w:rsidR="00D37A4F">
        <w:t xml:space="preserve"> and B297079</w:t>
      </w:r>
    </w:p>
    <w:p w:rsidR="007302C6" w:rsidRPr="00D16C7C" w:rsidP="004945C9" w14:paraId="1D8F5E73" w14:textId="77777777">
      <w:pPr>
        <w:tabs>
          <w:tab w:val="left" w:pos="1440"/>
          <w:tab w:val="left" w:pos="4680"/>
          <w:tab w:val="center" w:pos="7200"/>
        </w:tabs>
        <w:spacing w:after="0"/>
        <w:contextualSpacing/>
        <w:jc w:val="center"/>
      </w:pPr>
    </w:p>
    <w:p w:rsidR="00CE1493" w:rsidRPr="00D16C7C" w:rsidP="004945C9" w14:paraId="02A514F7" w14:textId="6BB808DC">
      <w:pPr>
        <w:tabs>
          <w:tab w:val="left" w:pos="1440"/>
          <w:tab w:val="left" w:pos="4680"/>
          <w:tab w:val="center" w:pos="7200"/>
        </w:tabs>
        <w:spacing w:after="0"/>
        <w:contextualSpacing/>
        <w:jc w:val="center"/>
      </w:pPr>
      <w:r w:rsidRPr="00D16C7C">
        <w:t>Los Angeles County</w:t>
      </w:r>
      <w:r w:rsidR="00D37A4F">
        <w:t xml:space="preserve"> Superior Court</w:t>
      </w:r>
    </w:p>
    <w:p w:rsidR="00CE1493" w:rsidRPr="00D16C7C" w:rsidP="004945C9" w14:paraId="2A88EB69" w14:textId="7F3A012D">
      <w:pPr>
        <w:tabs>
          <w:tab w:val="left" w:pos="1440"/>
          <w:tab w:val="left" w:pos="4680"/>
          <w:tab w:val="center" w:pos="7200"/>
        </w:tabs>
        <w:spacing w:after="0"/>
        <w:contextualSpacing/>
        <w:jc w:val="center"/>
      </w:pPr>
      <w:r w:rsidRPr="00D16C7C">
        <w:t>PJ53161</w:t>
      </w:r>
    </w:p>
    <w:p w:rsidR="00CE1493" w:rsidRPr="00D16C7C" w:rsidP="004945C9" w14:paraId="6F4C2284" w14:textId="56D515DE">
      <w:pPr>
        <w:pBdr>
          <w:bottom w:val="single" w:sz="4" w:space="1" w:color="auto"/>
        </w:pBdr>
        <w:tabs>
          <w:tab w:val="left" w:pos="1440"/>
          <w:tab w:val="left" w:pos="4680"/>
          <w:tab w:val="center" w:pos="7200"/>
        </w:tabs>
        <w:spacing w:after="0"/>
        <w:contextualSpacing/>
        <w:jc w:val="center"/>
      </w:pPr>
    </w:p>
    <w:p w:rsidR="00CE1493" w:rsidRPr="00D16C7C" w:rsidP="004945C9" w14:paraId="47B4BF7D" w14:textId="7C22F014">
      <w:pPr>
        <w:tabs>
          <w:tab w:val="left" w:pos="1440"/>
          <w:tab w:val="left" w:pos="4680"/>
          <w:tab w:val="center" w:pos="7200"/>
        </w:tabs>
        <w:spacing w:after="0"/>
        <w:contextualSpacing/>
        <w:jc w:val="center"/>
      </w:pPr>
    </w:p>
    <w:p w:rsidR="00CE1493" w:rsidRPr="00D16C7C" w:rsidP="004945C9" w14:paraId="63612F04" w14:textId="2A42B8F2">
      <w:pPr>
        <w:tabs>
          <w:tab w:val="left" w:pos="1440"/>
          <w:tab w:val="left" w:pos="4680"/>
          <w:tab w:val="center" w:pos="7200"/>
        </w:tabs>
        <w:spacing w:after="0"/>
        <w:contextualSpacing/>
        <w:jc w:val="center"/>
      </w:pPr>
      <w:r>
        <w:t>April</w:t>
      </w:r>
      <w:r w:rsidRPr="00D16C7C">
        <w:t xml:space="preserve"> </w:t>
      </w:r>
      <w:r>
        <w:t>19</w:t>
      </w:r>
      <w:r w:rsidRPr="00D16C7C">
        <w:t>, 2021</w:t>
      </w:r>
    </w:p>
    <w:p w:rsidR="00CE1493" w:rsidRPr="00D16C7C" w:rsidP="004945C9" w14:paraId="4E8D719E" w14:textId="234C9BA8">
      <w:pPr>
        <w:tabs>
          <w:tab w:val="left" w:pos="1440"/>
          <w:tab w:val="left" w:pos="4680"/>
          <w:tab w:val="center" w:pos="7200"/>
        </w:tabs>
        <w:spacing w:after="0"/>
        <w:contextualSpacing/>
        <w:jc w:val="center"/>
      </w:pPr>
    </w:p>
    <w:p w:rsidR="00CE1493" w:rsidRPr="00D16C7C" w:rsidP="004945C9" w14:paraId="4CFC4D07" w14:textId="1542348B">
      <w:pPr>
        <w:tabs>
          <w:tab w:val="left" w:pos="1440"/>
          <w:tab w:val="left" w:pos="4680"/>
          <w:tab w:val="center" w:pos="7200"/>
        </w:tabs>
        <w:spacing w:after="0"/>
        <w:contextualSpacing/>
        <w:jc w:val="left"/>
      </w:pPr>
      <w:r w:rsidRPr="00D16C7C">
        <w:t xml:space="preserve">Justice Liu authored the opinion of the </w:t>
      </w:r>
      <w:r w:rsidRPr="00D16C7C" w:rsidR="004340B7">
        <w:t>C</w:t>
      </w:r>
      <w:r w:rsidRPr="00D16C7C">
        <w:t xml:space="preserve">ourt, in which </w:t>
      </w:r>
      <w:r w:rsidRPr="006E53B2" w:rsidR="006E53B2">
        <w:t xml:space="preserve">Chief Justice Cantil-Sakauye and Justices Corrigan, Cuéllar, Kruger, Groban </w:t>
      </w:r>
      <w:r w:rsidR="006E53B2">
        <w:t xml:space="preserve">and Jenkins </w:t>
      </w:r>
      <w:r w:rsidRPr="006E53B2" w:rsidR="006E53B2">
        <w:t>concurred</w:t>
      </w:r>
      <w:r w:rsidRPr="00D16C7C">
        <w:t>.</w:t>
      </w:r>
    </w:p>
    <w:p w:rsidR="00CE1493" w:rsidRPr="00D16C7C" w:rsidP="004945C9" w14:paraId="0F76617F" w14:textId="77777777">
      <w:pPr>
        <w:pBdr>
          <w:bottom w:val="single" w:sz="4" w:space="1" w:color="auto"/>
        </w:pBdr>
        <w:tabs>
          <w:tab w:val="left" w:pos="1440"/>
          <w:tab w:val="left" w:pos="4680"/>
          <w:tab w:val="center" w:pos="7200"/>
        </w:tabs>
        <w:spacing w:line="480" w:lineRule="atLeast"/>
        <w:contextualSpacing/>
        <w:jc w:val="left"/>
      </w:pPr>
      <w:bookmarkStart w:id="0" w:name="Return"/>
      <w:bookmarkEnd w:id="0"/>
    </w:p>
    <w:p w:rsidR="00CE1493" w:rsidRPr="00D16C7C" w:rsidP="008E7FB9" w14:paraId="1C0CDDA0" w14:textId="77777777">
      <w:pPr>
        <w:tabs>
          <w:tab w:val="left" w:pos="1440"/>
          <w:tab w:val="left" w:pos="4680"/>
          <w:tab w:val="center" w:pos="7200"/>
        </w:tabs>
        <w:spacing w:line="480" w:lineRule="atLeast"/>
        <w:contextualSpacing/>
        <w:sectPr w:rsidSect="004945C9">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p>
    <w:p w:rsidR="00CE1493" w:rsidRPr="00D16C7C" w:rsidP="00CE1493" w14:paraId="1565CDAD" w14:textId="44CBB734">
      <w:pPr>
        <w:tabs>
          <w:tab w:val="left" w:pos="1440"/>
          <w:tab w:val="left" w:pos="4680"/>
          <w:tab w:val="center" w:pos="7200"/>
        </w:tabs>
        <w:contextualSpacing/>
        <w:jc w:val="center"/>
      </w:pPr>
      <w:r w:rsidRPr="00D16C7C">
        <w:t>In re E.F.</w:t>
      </w:r>
    </w:p>
    <w:p w:rsidR="00CE1493" w:rsidRPr="00D16C7C" w:rsidP="00CE1493" w14:paraId="49622994" w14:textId="551400F0">
      <w:pPr>
        <w:tabs>
          <w:tab w:val="left" w:pos="1440"/>
          <w:tab w:val="left" w:pos="4680"/>
          <w:tab w:val="center" w:pos="7200"/>
        </w:tabs>
        <w:contextualSpacing/>
        <w:jc w:val="center"/>
      </w:pPr>
      <w:r w:rsidRPr="00D16C7C">
        <w:t>S260839</w:t>
      </w:r>
    </w:p>
    <w:p w:rsidR="00CE1493" w:rsidRPr="00D16C7C" w:rsidP="00CE1493" w14:paraId="7B74ECAC" w14:textId="4FA87B7E">
      <w:pPr>
        <w:tabs>
          <w:tab w:val="left" w:pos="1440"/>
          <w:tab w:val="left" w:pos="4680"/>
          <w:tab w:val="center" w:pos="7200"/>
        </w:tabs>
        <w:contextualSpacing/>
        <w:jc w:val="center"/>
      </w:pPr>
    </w:p>
    <w:p w:rsidR="00CE1493" w:rsidRPr="00D16C7C" w:rsidP="00CE1493" w14:paraId="0D96781A" w14:textId="33499F77">
      <w:pPr>
        <w:tabs>
          <w:tab w:val="left" w:pos="1440"/>
          <w:tab w:val="left" w:pos="4680"/>
          <w:tab w:val="center" w:pos="7200"/>
        </w:tabs>
        <w:contextualSpacing/>
        <w:jc w:val="center"/>
      </w:pPr>
      <w:r w:rsidRPr="00D16C7C">
        <w:t>Opinion of the Court by Liu, J.</w:t>
      </w:r>
    </w:p>
    <w:p w:rsidR="00CE1493" w:rsidRPr="00D16C7C" w:rsidP="004945C9" w14:paraId="2A775D2B" w14:textId="77777777">
      <w:pPr>
        <w:tabs>
          <w:tab w:val="left" w:pos="1440"/>
          <w:tab w:val="left" w:pos="4680"/>
          <w:tab w:val="center" w:pos="7200"/>
        </w:tabs>
        <w:contextualSpacing/>
        <w:jc w:val="center"/>
      </w:pPr>
    </w:p>
    <w:p w:rsidR="000778EF" w:rsidRPr="00D16C7C" w:rsidP="004945C9" w14:paraId="6035BDBD" w14:textId="229C5DF2">
      <w:pPr>
        <w:tabs>
          <w:tab w:val="left" w:pos="1440"/>
        </w:tabs>
        <w:ind w:firstLine="720"/>
      </w:pPr>
      <w:bookmarkStart w:id="1" w:name="mainstory"/>
      <w:bookmarkEnd w:id="1"/>
      <w:r w:rsidRPr="00D16C7C">
        <w:t xml:space="preserve">When a </w:t>
      </w:r>
      <w:r w:rsidRPr="00D16C7C" w:rsidR="009B0310">
        <w:t>minor</w:t>
      </w:r>
      <w:r w:rsidRPr="00D16C7C">
        <w:t xml:space="preserve"> </w:t>
      </w:r>
      <w:r w:rsidRPr="00D16C7C" w:rsidR="009B0310">
        <w:t>is the subject of a juvenile wardship petition, the juvenile court may</w:t>
      </w:r>
      <w:r w:rsidRPr="00D16C7C" w:rsidR="0052133F">
        <w:t>, “upon application in the manner provided by Section 527 of the Code of Civil Procedure</w:t>
      </w:r>
      <w:r w:rsidRPr="00D16C7C" w:rsidR="00E57EFC">
        <w:t>,</w:t>
      </w:r>
      <w:r w:rsidRPr="00D16C7C" w:rsidR="0052133F">
        <w:t>”</w:t>
      </w:r>
      <w:r w:rsidRPr="00D16C7C" w:rsidR="009B0310">
        <w:t xml:space="preserve"> issue </w:t>
      </w:r>
      <w:r w:rsidRPr="00D16C7C" w:rsidR="005C4E53">
        <w:t>ex parte orders</w:t>
      </w:r>
      <w:r w:rsidRPr="00D16C7C" w:rsidR="00781D31">
        <w:t xml:space="preserve"> enjoining </w:t>
      </w:r>
      <w:r w:rsidRPr="00D16C7C" w:rsidR="00274C47">
        <w:t>the minor from “</w:t>
      </w:r>
      <w:r w:rsidRPr="00D16C7C" w:rsidR="0086437A">
        <w:t>contacting, threatening, stalking, or disturbing the peace of any person the court finds to be at risk from the conduct of the child, or with whom association would be detrimental to the child</w:t>
      </w:r>
      <w:r w:rsidRPr="00D16C7C" w:rsidR="00A24BE5">
        <w:t xml:space="preserve">.”  (Welf. &amp; Inst. Code, § 213.5, </w:t>
      </w:r>
      <w:r w:rsidRPr="00D16C7C" w:rsidR="00DB071E">
        <w:t xml:space="preserve">subd. </w:t>
      </w:r>
      <w:r w:rsidRPr="00D16C7C" w:rsidR="00A24BE5">
        <w:t>(b)</w:t>
      </w:r>
      <w:r w:rsidRPr="00D16C7C" w:rsidR="001E6FC0">
        <w:t xml:space="preserve">; </w:t>
      </w:r>
      <w:r w:rsidRPr="00D16C7C" w:rsidR="00C50C52">
        <w:t>all</w:t>
      </w:r>
      <w:r w:rsidRPr="00D16C7C" w:rsidR="001E6FC0">
        <w:t xml:space="preserve"> undesignated </w:t>
      </w:r>
      <w:r w:rsidRPr="00D16C7C" w:rsidR="00C50C52">
        <w:t>statutory</w:t>
      </w:r>
      <w:r w:rsidRPr="00D16C7C" w:rsidR="001E6FC0">
        <w:t xml:space="preserve"> references are to the Welf</w:t>
      </w:r>
      <w:r w:rsidRPr="00D16C7C" w:rsidR="0061050F">
        <w:t>are</w:t>
      </w:r>
      <w:r w:rsidRPr="00D16C7C" w:rsidR="001E6FC0">
        <w:t xml:space="preserve"> </w:t>
      </w:r>
      <w:r w:rsidRPr="00D16C7C" w:rsidR="00DB071E">
        <w:t xml:space="preserve">and </w:t>
      </w:r>
      <w:r w:rsidRPr="00D16C7C" w:rsidR="001E6FC0">
        <w:t>Inst</w:t>
      </w:r>
      <w:r w:rsidRPr="00D16C7C" w:rsidR="0061050F">
        <w:t>itutions</w:t>
      </w:r>
      <w:r w:rsidRPr="00D16C7C" w:rsidR="001E6FC0">
        <w:t xml:space="preserve"> Code</w:t>
      </w:r>
      <w:r w:rsidRPr="00D16C7C" w:rsidR="00A24BE5">
        <w:t xml:space="preserve">.)  </w:t>
      </w:r>
      <w:r w:rsidRPr="00D16C7C" w:rsidR="000A393B">
        <w:t xml:space="preserve">The </w:t>
      </w:r>
      <w:r w:rsidRPr="00D16C7C" w:rsidR="00007823">
        <w:t>C</w:t>
      </w:r>
      <w:r w:rsidRPr="00D16C7C" w:rsidR="000A393B">
        <w:t xml:space="preserve">ourts of </w:t>
      </w:r>
      <w:r w:rsidRPr="00D16C7C" w:rsidR="00007823">
        <w:t>A</w:t>
      </w:r>
      <w:r w:rsidRPr="00D16C7C" w:rsidR="000A393B">
        <w:t xml:space="preserve">ppeal have </w:t>
      </w:r>
      <w:r w:rsidRPr="00D16C7C" w:rsidR="0041430F">
        <w:t>divided</w:t>
      </w:r>
      <w:r w:rsidRPr="00D16C7C" w:rsidR="000A393B">
        <w:t xml:space="preserve"> on whether </w:t>
      </w:r>
      <w:r w:rsidRPr="00D16C7C" w:rsidR="007738AC">
        <w:t xml:space="preserve">the juvenile court may issue a temporary restraining order </w:t>
      </w:r>
      <w:r w:rsidRPr="00D16C7C" w:rsidR="00763284">
        <w:t xml:space="preserve">(TRO) </w:t>
      </w:r>
      <w:r w:rsidRPr="00D16C7C" w:rsidR="007738AC">
        <w:t xml:space="preserve">pursuant to </w:t>
      </w:r>
      <w:r w:rsidRPr="00D16C7C" w:rsidR="00763284">
        <w:t>this statute</w:t>
      </w:r>
      <w:r w:rsidRPr="00D16C7C" w:rsidR="007738AC">
        <w:t xml:space="preserve"> without advance notice to the minor.</w:t>
      </w:r>
    </w:p>
    <w:p w:rsidR="003A4B16" w:rsidRPr="00D16C7C" w:rsidP="004945C9" w14:paraId="6EA16AFD" w14:textId="5FA8C119">
      <w:pPr>
        <w:tabs>
          <w:tab w:val="left" w:pos="1440"/>
        </w:tabs>
        <w:ind w:firstLine="720"/>
        <w:rPr>
          <w:rFonts w:eastAsia="Arial Unicode MS" w:cs="Arial Unicode MS"/>
        </w:rPr>
      </w:pPr>
      <w:r w:rsidRPr="00D16C7C">
        <w:t>W</w:t>
      </w:r>
      <w:r w:rsidRPr="00D16C7C" w:rsidR="00694FFA">
        <w:t>e hold</w:t>
      </w:r>
      <w:r w:rsidRPr="00D16C7C" w:rsidR="001021D9">
        <w:t xml:space="preserve"> that </w:t>
      </w:r>
      <w:r w:rsidRPr="00D16C7C" w:rsidR="00FF7172">
        <w:t>section 213.5</w:t>
      </w:r>
      <w:r w:rsidRPr="00D16C7C" w:rsidR="0020163B">
        <w:t>, subdivision (b)</w:t>
      </w:r>
      <w:r w:rsidRPr="00D16C7C" w:rsidR="00FF7172">
        <w:t xml:space="preserve"> incorporates the notice requirements set forth in </w:t>
      </w:r>
      <w:r w:rsidRPr="00D16C7C" w:rsidR="00007823">
        <w:t xml:space="preserve">Code of Civil Procedure </w:t>
      </w:r>
      <w:r w:rsidRPr="00D16C7C" w:rsidR="00FF7172">
        <w:t>section 527</w:t>
      </w:r>
      <w:r w:rsidRPr="00D16C7C" w:rsidR="00EC5369">
        <w:t>,</w:t>
      </w:r>
      <w:r w:rsidRPr="00D16C7C" w:rsidR="00FF7172">
        <w:t xml:space="preserve"> subdivision (c)</w:t>
      </w:r>
      <w:r w:rsidR="009F712A">
        <w:t>.</w:t>
      </w:r>
      <w:r w:rsidR="000A0DF1">
        <w:t xml:space="preserve">  By the terms of t</w:t>
      </w:r>
      <w:r w:rsidR="009F712A">
        <w:t>hat provision</w:t>
      </w:r>
      <w:r w:rsidR="000A0DF1">
        <w:t xml:space="preserve">, “[n]o temporary restraining order shall be granted without notice” </w:t>
      </w:r>
      <w:r w:rsidR="00C76F1C">
        <w:t xml:space="preserve">(Code Civ. Proc., § 527, subd. (c)) </w:t>
      </w:r>
      <w:r w:rsidR="000A0DF1">
        <w:t xml:space="preserve">to the minor unless the prosecutor (1) </w:t>
      </w:r>
      <w:r w:rsidRPr="00D16C7C" w:rsidR="00FF7172">
        <w:t>show</w:t>
      </w:r>
      <w:r w:rsidR="000A0DF1">
        <w:t>s</w:t>
      </w:r>
      <w:r w:rsidRPr="00D16C7C" w:rsidR="00FF7172">
        <w:t xml:space="preserve"> </w:t>
      </w:r>
      <w:r w:rsidRPr="00D16C7C" w:rsidR="00FB6701">
        <w:t xml:space="preserve">that </w:t>
      </w:r>
      <w:r w:rsidRPr="00D16C7C" w:rsidR="00FB6701">
        <w:rPr>
          <w:rFonts w:eastAsia="Arial Unicode MS" w:cs="Arial Unicode MS"/>
        </w:rPr>
        <w:t>“great or irreparable injury will result”</w:t>
      </w:r>
      <w:r w:rsidR="00D37A4F">
        <w:rPr>
          <w:rFonts w:eastAsia="Arial Unicode MS" w:cs="Arial Unicode MS"/>
        </w:rPr>
        <w:t xml:space="preserve"> </w:t>
      </w:r>
      <w:r w:rsidRPr="00D16C7C" w:rsidR="00FB6701">
        <w:rPr>
          <w:rFonts w:eastAsia="Arial Unicode MS" w:cs="Arial Unicode MS"/>
        </w:rPr>
        <w:t xml:space="preserve">before the matter </w:t>
      </w:r>
      <w:r w:rsidRPr="00D16C7C" w:rsidR="00007823">
        <w:rPr>
          <w:rFonts w:eastAsia="Arial Unicode MS" w:cs="Arial Unicode MS"/>
        </w:rPr>
        <w:t xml:space="preserve">can </w:t>
      </w:r>
      <w:r w:rsidRPr="00D16C7C" w:rsidR="00FB6701">
        <w:rPr>
          <w:rFonts w:eastAsia="Arial Unicode MS" w:cs="Arial Unicode MS"/>
        </w:rPr>
        <w:t>be heard with proper notice</w:t>
      </w:r>
      <w:r w:rsidRPr="00D16C7C" w:rsidR="00D90D95">
        <w:rPr>
          <w:rFonts w:eastAsia="Arial Unicode MS" w:cs="Arial Unicode MS"/>
        </w:rPr>
        <w:t xml:space="preserve"> </w:t>
      </w:r>
      <w:r w:rsidR="000A0DF1">
        <w:rPr>
          <w:rFonts w:eastAsia="Arial Unicode MS" w:cs="Arial Unicode MS"/>
        </w:rPr>
        <w:t>(</w:t>
      </w:r>
      <w:r w:rsidR="000A0DF1">
        <w:rPr>
          <w:rFonts w:eastAsia="Arial Unicode MS" w:cs="Arial Unicode MS"/>
          <w:i/>
          <w:iCs/>
        </w:rPr>
        <w:t>id.</w:t>
      </w:r>
      <w:r w:rsidR="000A0DF1">
        <w:rPr>
          <w:rFonts w:eastAsia="Arial Unicode MS" w:cs="Arial Unicode MS"/>
        </w:rPr>
        <w:t>, subd. (c)(1))</w:t>
      </w:r>
      <w:r w:rsidRPr="00D16C7C" w:rsidR="000A0DF1">
        <w:rPr>
          <w:rFonts w:eastAsia="Arial Unicode MS" w:cs="Arial Unicode MS"/>
        </w:rPr>
        <w:t xml:space="preserve"> </w:t>
      </w:r>
      <w:r w:rsidRPr="00D16C7C" w:rsidR="00D90D95">
        <w:rPr>
          <w:rFonts w:eastAsia="Arial Unicode MS" w:cs="Arial Unicode MS"/>
        </w:rPr>
        <w:t xml:space="preserve">and </w:t>
      </w:r>
      <w:r w:rsidR="000A0DF1">
        <w:rPr>
          <w:rFonts w:eastAsia="Arial Unicode MS" w:cs="Arial Unicode MS"/>
        </w:rPr>
        <w:t xml:space="preserve">(2) </w:t>
      </w:r>
      <w:r w:rsidRPr="00D16C7C" w:rsidR="00D90D95">
        <w:rPr>
          <w:rFonts w:eastAsia="Arial Unicode MS" w:cs="Arial Unicode MS"/>
        </w:rPr>
        <w:t xml:space="preserve">previously informed the </w:t>
      </w:r>
      <w:r w:rsidR="000A0DF1">
        <w:rPr>
          <w:rFonts w:eastAsia="Arial Unicode MS" w:cs="Arial Unicode MS"/>
        </w:rPr>
        <w:t>minor of the time and place that the application will be made</w:t>
      </w:r>
      <w:r w:rsidRPr="00D16C7C" w:rsidR="00D90D95">
        <w:rPr>
          <w:rFonts w:eastAsia="Arial Unicode MS" w:cs="Arial Unicode MS"/>
        </w:rPr>
        <w:t xml:space="preserve">, made a good faith attempt but was unable to </w:t>
      </w:r>
      <w:r w:rsidR="000A0DF1">
        <w:rPr>
          <w:rFonts w:eastAsia="Arial Unicode MS" w:cs="Arial Unicode MS"/>
        </w:rPr>
        <w:t xml:space="preserve">so </w:t>
      </w:r>
      <w:r w:rsidRPr="00D16C7C" w:rsidR="00D90D95">
        <w:rPr>
          <w:rFonts w:eastAsia="Arial Unicode MS" w:cs="Arial Unicode MS"/>
        </w:rPr>
        <w:t xml:space="preserve">inform the </w:t>
      </w:r>
      <w:r w:rsidR="00C76F1C">
        <w:rPr>
          <w:rFonts w:eastAsia="Arial Unicode MS" w:cs="Arial Unicode MS"/>
        </w:rPr>
        <w:t>minor</w:t>
      </w:r>
      <w:r w:rsidRPr="00D16C7C" w:rsidR="00D90D95">
        <w:rPr>
          <w:rFonts w:eastAsia="Arial Unicode MS" w:cs="Arial Unicode MS"/>
        </w:rPr>
        <w:t xml:space="preserve">, or </w:t>
      </w:r>
      <w:r w:rsidRPr="00D16C7C" w:rsidR="00D8547E">
        <w:rPr>
          <w:rFonts w:eastAsia="Arial Unicode MS" w:cs="Arial Unicode MS"/>
        </w:rPr>
        <w:t>provide</w:t>
      </w:r>
      <w:r w:rsidR="00C76F1C">
        <w:rPr>
          <w:rFonts w:eastAsia="Arial Unicode MS" w:cs="Arial Unicode MS"/>
        </w:rPr>
        <w:t>s</w:t>
      </w:r>
      <w:r w:rsidRPr="00D16C7C" w:rsidR="00D8547E">
        <w:rPr>
          <w:rFonts w:eastAsia="Arial Unicode MS" w:cs="Arial Unicode MS"/>
        </w:rPr>
        <w:t xml:space="preserve"> </w:t>
      </w:r>
      <w:r w:rsidRPr="00D16C7C" w:rsidR="00D90D95">
        <w:rPr>
          <w:rFonts w:eastAsia="Arial Unicode MS" w:cs="Arial Unicode MS"/>
        </w:rPr>
        <w:t xml:space="preserve">specific reasons </w:t>
      </w:r>
      <w:r w:rsidRPr="00D16C7C" w:rsidR="00D8547E">
        <w:rPr>
          <w:rFonts w:eastAsia="Arial Unicode MS" w:cs="Arial Unicode MS"/>
        </w:rPr>
        <w:t xml:space="preserve">why </w:t>
      </w:r>
      <w:r w:rsidR="00382680">
        <w:rPr>
          <w:rFonts w:eastAsia="Arial Unicode MS" w:cs="Arial Unicode MS"/>
        </w:rPr>
        <w:t>the prosecutor should not be required to so inform the minor</w:t>
      </w:r>
      <w:r w:rsidR="000E4034">
        <w:rPr>
          <w:rFonts w:eastAsia="Arial Unicode MS" w:cs="Arial Unicode MS"/>
        </w:rPr>
        <w:t xml:space="preserve"> </w:t>
      </w:r>
      <w:r w:rsidR="00942B9C">
        <w:rPr>
          <w:rFonts w:eastAsia="Arial Unicode MS" w:cs="Arial Unicode MS"/>
        </w:rPr>
        <w:t>(</w:t>
      </w:r>
      <w:r w:rsidR="00942B9C">
        <w:rPr>
          <w:rFonts w:eastAsia="Arial Unicode MS" w:cs="Arial Unicode MS"/>
          <w:i/>
          <w:iCs/>
        </w:rPr>
        <w:t>id.</w:t>
      </w:r>
      <w:r w:rsidR="00942B9C">
        <w:rPr>
          <w:rFonts w:eastAsia="Arial Unicode MS" w:cs="Arial Unicode MS"/>
        </w:rPr>
        <w:t>, subd. (c)(2)</w:t>
      </w:r>
      <w:r w:rsidR="00760E14">
        <w:rPr>
          <w:rFonts w:eastAsia="Arial Unicode MS" w:cs="Arial Unicode MS"/>
        </w:rPr>
        <w:t>)</w:t>
      </w:r>
      <w:r w:rsidRPr="00D16C7C" w:rsidR="00FB6701">
        <w:rPr>
          <w:rFonts w:eastAsia="Arial Unicode MS" w:cs="Arial Unicode MS"/>
        </w:rPr>
        <w:t>.</w:t>
      </w:r>
      <w:r w:rsidRPr="00D16C7C" w:rsidR="00D95E91">
        <w:rPr>
          <w:rFonts w:eastAsia="Arial Unicode MS" w:cs="Arial Unicode MS"/>
        </w:rPr>
        <w:t xml:space="preserve">  </w:t>
      </w:r>
      <w:r w:rsidRPr="00D16C7C" w:rsidR="005E5135">
        <w:rPr>
          <w:rFonts w:eastAsia="Arial Unicode MS" w:cs="Arial Unicode MS"/>
        </w:rPr>
        <w:t>Where the prosecutor has not given advance notice and has not made an adequate showing to justify the lack of notice</w:t>
      </w:r>
      <w:r w:rsidRPr="00D16C7C" w:rsidR="00B576DF">
        <w:rPr>
          <w:rFonts w:eastAsia="Arial Unicode MS" w:cs="Arial Unicode MS"/>
        </w:rPr>
        <w:t xml:space="preserve">, the court must give sufficient time </w:t>
      </w:r>
      <w:r w:rsidRPr="00D16C7C" w:rsidR="00B576DF">
        <w:rPr>
          <w:rFonts w:eastAsia="Arial Unicode MS" w:cs="Arial Unicode MS"/>
        </w:rPr>
        <w:t>for counsel and the minor to prepare and respond to the application</w:t>
      </w:r>
      <w:r w:rsidRPr="00D16C7C" w:rsidR="00702680">
        <w:rPr>
          <w:rFonts w:eastAsia="Arial Unicode MS" w:cs="Arial Unicode MS"/>
        </w:rPr>
        <w:t xml:space="preserve"> before any order is issued</w:t>
      </w:r>
      <w:r w:rsidRPr="00D16C7C" w:rsidR="005D5F70">
        <w:rPr>
          <w:rFonts w:eastAsia="Arial Unicode MS" w:cs="Arial Unicode MS"/>
        </w:rPr>
        <w:t>.</w:t>
      </w:r>
    </w:p>
    <w:p w:rsidR="00AB719D" w:rsidRPr="00D16C7C" w:rsidP="00CE1493" w14:paraId="58136BC0" w14:textId="1B7FD35D">
      <w:pPr>
        <w:pStyle w:val="Heading1"/>
        <w:rPr>
          <w:rFonts w:eastAsia="Arial Unicode MS"/>
        </w:rPr>
      </w:pPr>
      <w:r w:rsidRPr="00D16C7C">
        <w:rPr>
          <w:rFonts w:eastAsia="Arial Unicode MS"/>
        </w:rPr>
        <w:t>I.</w:t>
      </w:r>
    </w:p>
    <w:p w:rsidR="00C05E74" w:rsidRPr="00D16C7C" w:rsidP="004945C9" w14:paraId="40E5DFC0" w14:textId="1CBA773F">
      <w:pPr>
        <w:tabs>
          <w:tab w:val="left" w:pos="1440"/>
        </w:tabs>
        <w:ind w:firstLine="720"/>
        <w:rPr>
          <w:rFonts w:eastAsia="Arial Unicode MS" w:cs="Arial Unicode MS"/>
        </w:rPr>
      </w:pPr>
      <w:r w:rsidRPr="00D16C7C">
        <w:rPr>
          <w:rFonts w:eastAsia="Arial Unicode MS" w:cs="Arial Unicode MS"/>
        </w:rPr>
        <w:t>In Dece</w:t>
      </w:r>
      <w:r w:rsidRPr="00D16C7C" w:rsidR="001A7EFE">
        <w:rPr>
          <w:rFonts w:eastAsia="Arial Unicode MS" w:cs="Arial Unicode MS"/>
        </w:rPr>
        <w:t xml:space="preserve">mber 2018, E.F. and L.S. were </w:t>
      </w:r>
      <w:r w:rsidRPr="00D16C7C" w:rsidR="00FA0D80">
        <w:rPr>
          <w:rFonts w:eastAsia="Arial Unicode MS" w:cs="Arial Unicode MS"/>
        </w:rPr>
        <w:t xml:space="preserve">ninth graders </w:t>
      </w:r>
      <w:r w:rsidRPr="00D16C7C" w:rsidR="001A7EFE">
        <w:rPr>
          <w:rFonts w:eastAsia="Arial Unicode MS" w:cs="Arial Unicode MS"/>
        </w:rPr>
        <w:t>enrolled in the same high school art class</w:t>
      </w:r>
      <w:r w:rsidRPr="00D16C7C" w:rsidR="00FA0D80">
        <w:rPr>
          <w:rFonts w:eastAsia="Arial Unicode MS" w:cs="Arial Unicode MS"/>
        </w:rPr>
        <w:t xml:space="preserve">.  </w:t>
      </w:r>
      <w:r w:rsidR="006E27FC">
        <w:rPr>
          <w:rFonts w:eastAsia="Arial Unicode MS" w:cs="Arial Unicode MS"/>
        </w:rPr>
        <w:t>A</w:t>
      </w:r>
      <w:r w:rsidRPr="00D16C7C" w:rsidR="00FA0D80">
        <w:rPr>
          <w:rFonts w:eastAsia="Arial Unicode MS" w:cs="Arial Unicode MS"/>
        </w:rPr>
        <w:t>t school</w:t>
      </w:r>
      <w:r w:rsidR="00AF2154">
        <w:rPr>
          <w:rFonts w:eastAsia="Arial Unicode MS" w:cs="Arial Unicode MS"/>
        </w:rPr>
        <w:t xml:space="preserve"> on December 7</w:t>
      </w:r>
      <w:r w:rsidRPr="00D16C7C" w:rsidR="00FA0D80">
        <w:rPr>
          <w:rFonts w:eastAsia="Arial Unicode MS" w:cs="Arial Unicode MS"/>
        </w:rPr>
        <w:t xml:space="preserve">, E.F. offered L.S. a </w:t>
      </w:r>
      <w:r w:rsidRPr="00D16C7C" w:rsidR="008E547B">
        <w:rPr>
          <w:rFonts w:eastAsia="Arial Unicode MS" w:cs="Arial Unicode MS"/>
        </w:rPr>
        <w:t xml:space="preserve">microwaved </w:t>
      </w:r>
      <w:r w:rsidRPr="00D16C7C" w:rsidR="00FA612F">
        <w:rPr>
          <w:rFonts w:eastAsia="Arial Unicode MS" w:cs="Arial Unicode MS"/>
        </w:rPr>
        <w:t>c</w:t>
      </w:r>
      <w:r w:rsidRPr="00D16C7C" w:rsidR="00FA0D80">
        <w:rPr>
          <w:rFonts w:eastAsia="Arial Unicode MS" w:cs="Arial Unicode MS"/>
        </w:rPr>
        <w:t xml:space="preserve">up of </w:t>
      </w:r>
      <w:r w:rsidRPr="00D16C7C" w:rsidR="00FA612F">
        <w:rPr>
          <w:rFonts w:eastAsia="Arial Unicode MS" w:cs="Arial Unicode MS"/>
        </w:rPr>
        <w:t>n</w:t>
      </w:r>
      <w:r w:rsidRPr="00D16C7C" w:rsidR="00FA0D80">
        <w:rPr>
          <w:rFonts w:eastAsia="Arial Unicode MS" w:cs="Arial Unicode MS"/>
        </w:rPr>
        <w:t>oodles</w:t>
      </w:r>
      <w:r w:rsidRPr="00D16C7C" w:rsidR="008E547B">
        <w:rPr>
          <w:rFonts w:eastAsia="Arial Unicode MS" w:cs="Arial Unicode MS"/>
        </w:rPr>
        <w:t>.  When L.S. went to drink the broth, he smelled bleach and thr</w:t>
      </w:r>
      <w:r w:rsidRPr="00D16C7C" w:rsidR="00522295">
        <w:rPr>
          <w:rFonts w:eastAsia="Arial Unicode MS" w:cs="Arial Unicode MS"/>
        </w:rPr>
        <w:t>ew</w:t>
      </w:r>
      <w:r w:rsidRPr="00D16C7C" w:rsidR="008E547B">
        <w:rPr>
          <w:rFonts w:eastAsia="Arial Unicode MS" w:cs="Arial Unicode MS"/>
        </w:rPr>
        <w:t xml:space="preserve"> the cup out.</w:t>
      </w:r>
      <w:r w:rsidRPr="00D16C7C">
        <w:rPr>
          <w:rFonts w:eastAsia="Arial Unicode MS" w:cs="Arial Unicode MS"/>
        </w:rPr>
        <w:t xml:space="preserve">  </w:t>
      </w:r>
      <w:r w:rsidR="006E27FC">
        <w:rPr>
          <w:rFonts w:eastAsia="Arial Unicode MS" w:cs="Arial Unicode MS"/>
        </w:rPr>
        <w:t>O</w:t>
      </w:r>
      <w:r w:rsidRPr="00D16C7C" w:rsidR="00EE7A32">
        <w:rPr>
          <w:rFonts w:eastAsia="Arial Unicode MS" w:cs="Arial Unicode MS"/>
        </w:rPr>
        <w:t xml:space="preserve">ne week later, a school </w:t>
      </w:r>
      <w:r w:rsidRPr="00D16C7C" w:rsidR="000778EF">
        <w:rPr>
          <w:rFonts w:eastAsia="Arial Unicode MS" w:cs="Arial Unicode MS"/>
        </w:rPr>
        <w:t xml:space="preserve">official contacted </w:t>
      </w:r>
      <w:r w:rsidRPr="00D16C7C" w:rsidR="007941AD">
        <w:rPr>
          <w:rFonts w:eastAsia="Arial Unicode MS" w:cs="Arial Unicode MS"/>
        </w:rPr>
        <w:t xml:space="preserve">officers from the </w:t>
      </w:r>
      <w:r w:rsidRPr="00D16C7C" w:rsidR="00B9422A">
        <w:rPr>
          <w:rFonts w:eastAsia="Arial Unicode MS" w:cs="Arial Unicode MS"/>
        </w:rPr>
        <w:t>Los Angeles School Police Department</w:t>
      </w:r>
      <w:r w:rsidRPr="00D16C7C" w:rsidR="000778EF">
        <w:rPr>
          <w:rFonts w:eastAsia="Arial Unicode MS" w:cs="Arial Unicode MS"/>
        </w:rPr>
        <w:t xml:space="preserve"> and</w:t>
      </w:r>
      <w:r w:rsidRPr="00D16C7C" w:rsidR="007941AD">
        <w:rPr>
          <w:rFonts w:eastAsia="Arial Unicode MS" w:cs="Arial Unicode MS"/>
        </w:rPr>
        <w:t xml:space="preserve"> recount</w:t>
      </w:r>
      <w:r w:rsidRPr="00D16C7C" w:rsidR="000778EF">
        <w:rPr>
          <w:rFonts w:eastAsia="Arial Unicode MS" w:cs="Arial Unicode MS"/>
        </w:rPr>
        <w:t>ed</w:t>
      </w:r>
      <w:r w:rsidRPr="00D16C7C" w:rsidR="007941AD">
        <w:rPr>
          <w:rFonts w:eastAsia="Arial Unicode MS" w:cs="Arial Unicode MS"/>
        </w:rPr>
        <w:t xml:space="preserve"> a report of the incident from an anonymous student</w:t>
      </w:r>
      <w:r w:rsidRPr="00D16C7C" w:rsidR="00200CB0">
        <w:rPr>
          <w:rFonts w:eastAsia="Arial Unicode MS" w:cs="Arial Unicode MS"/>
        </w:rPr>
        <w:t xml:space="preserve">.  </w:t>
      </w:r>
      <w:r w:rsidRPr="00D16C7C" w:rsidR="007941AD">
        <w:rPr>
          <w:rFonts w:eastAsia="Arial Unicode MS" w:cs="Arial Unicode MS"/>
        </w:rPr>
        <w:t>E.F. was arrested</w:t>
      </w:r>
      <w:r w:rsidRPr="00D16C7C" w:rsidR="000D2F42">
        <w:rPr>
          <w:rFonts w:eastAsia="Arial Unicode MS" w:cs="Arial Unicode MS"/>
        </w:rPr>
        <w:t xml:space="preserve"> but not detained</w:t>
      </w:r>
      <w:r w:rsidRPr="00D16C7C" w:rsidR="00125238">
        <w:rPr>
          <w:rFonts w:eastAsia="Arial Unicode MS" w:cs="Arial Unicode MS"/>
        </w:rPr>
        <w:t xml:space="preserve">.  </w:t>
      </w:r>
      <w:r w:rsidRPr="00D16C7C" w:rsidR="00200CB0">
        <w:rPr>
          <w:rFonts w:eastAsia="Arial Unicode MS" w:cs="Arial Unicode MS"/>
        </w:rPr>
        <w:t>In late January</w:t>
      </w:r>
      <w:r w:rsidR="00D37A4F">
        <w:rPr>
          <w:rFonts w:eastAsia="Arial Unicode MS" w:cs="Arial Unicode MS"/>
        </w:rPr>
        <w:t xml:space="preserve"> 2019</w:t>
      </w:r>
      <w:r w:rsidRPr="00D16C7C" w:rsidR="00200CB0">
        <w:rPr>
          <w:rFonts w:eastAsia="Arial Unicode MS" w:cs="Arial Unicode MS"/>
        </w:rPr>
        <w:t xml:space="preserve">, </w:t>
      </w:r>
      <w:r w:rsidRPr="00D16C7C" w:rsidR="0049344D">
        <w:rPr>
          <w:rFonts w:eastAsia="Arial Unicode MS" w:cs="Arial Unicode MS"/>
        </w:rPr>
        <w:t xml:space="preserve">the district attorney </w:t>
      </w:r>
      <w:r w:rsidRPr="00D16C7C" w:rsidR="00200CB0">
        <w:rPr>
          <w:rFonts w:eastAsia="Arial Unicode MS" w:cs="Arial Unicode MS"/>
        </w:rPr>
        <w:t>f</w:t>
      </w:r>
      <w:r w:rsidRPr="00D16C7C" w:rsidR="0036638D">
        <w:rPr>
          <w:rFonts w:eastAsia="Arial Unicode MS" w:cs="Arial Unicode MS"/>
        </w:rPr>
        <w:t xml:space="preserve">iled </w:t>
      </w:r>
      <w:r w:rsidRPr="00D16C7C" w:rsidR="00200CB0">
        <w:rPr>
          <w:rFonts w:eastAsia="Arial Unicode MS" w:cs="Arial Unicode MS"/>
        </w:rPr>
        <w:t xml:space="preserve">a </w:t>
      </w:r>
      <w:r w:rsidRPr="00D16C7C" w:rsidR="000778EF">
        <w:rPr>
          <w:rFonts w:eastAsia="Arial Unicode MS" w:cs="Arial Unicode MS"/>
        </w:rPr>
        <w:t xml:space="preserve">delinquency </w:t>
      </w:r>
      <w:r w:rsidRPr="00D16C7C" w:rsidR="00200CB0">
        <w:rPr>
          <w:rFonts w:eastAsia="Arial Unicode MS" w:cs="Arial Unicode MS"/>
        </w:rPr>
        <w:t xml:space="preserve">petition </w:t>
      </w:r>
      <w:r w:rsidRPr="00D16C7C" w:rsidR="00671B86">
        <w:rPr>
          <w:rFonts w:eastAsia="Arial Unicode MS" w:cs="Arial Unicode MS"/>
        </w:rPr>
        <w:t>under section 602</w:t>
      </w:r>
      <w:r w:rsidRPr="00D16C7C" w:rsidR="000778EF">
        <w:rPr>
          <w:rFonts w:eastAsia="Arial Unicode MS" w:cs="Arial Unicode MS"/>
        </w:rPr>
        <w:t xml:space="preserve"> alleging that</w:t>
      </w:r>
      <w:r w:rsidRPr="00D16C7C" w:rsidR="003B29FA">
        <w:rPr>
          <w:rFonts w:eastAsia="Arial Unicode MS" w:cs="Arial Unicode MS"/>
        </w:rPr>
        <w:t xml:space="preserve"> E.F. had committed the crime of poisoning, a felony.  (Pen. Code, §</w:t>
      </w:r>
      <w:r w:rsidRPr="00D16C7C" w:rsidR="008D246D">
        <w:rPr>
          <w:rFonts w:eastAsia="Arial Unicode MS" w:cs="Arial Unicode MS"/>
        </w:rPr>
        <w:t> </w:t>
      </w:r>
      <w:r w:rsidRPr="00D16C7C" w:rsidR="003B29FA">
        <w:rPr>
          <w:rFonts w:eastAsia="Arial Unicode MS" w:cs="Arial Unicode MS"/>
        </w:rPr>
        <w:t>347, subd. (a)</w:t>
      </w:r>
      <w:r w:rsidRPr="00D16C7C" w:rsidR="00107A10">
        <w:rPr>
          <w:rFonts w:eastAsia="Arial Unicode MS" w:cs="Arial Unicode MS"/>
        </w:rPr>
        <w:t>.</w:t>
      </w:r>
      <w:r w:rsidRPr="00D16C7C" w:rsidR="003B29FA">
        <w:rPr>
          <w:rFonts w:eastAsia="Arial Unicode MS" w:cs="Arial Unicode MS"/>
        </w:rPr>
        <w:t>)</w:t>
      </w:r>
      <w:r w:rsidRPr="00D16C7C" w:rsidR="00107A10">
        <w:rPr>
          <w:rFonts w:eastAsia="Arial Unicode MS" w:cs="Arial Unicode MS"/>
        </w:rPr>
        <w:t xml:space="preserve">  </w:t>
      </w:r>
      <w:r w:rsidRPr="00D16C7C" w:rsidR="00B3470C">
        <w:rPr>
          <w:rFonts w:eastAsia="Arial Unicode MS" w:cs="Arial Unicode MS"/>
        </w:rPr>
        <w:t>E.F. ha</w:t>
      </w:r>
      <w:r w:rsidRPr="00D16C7C" w:rsidR="000778EF">
        <w:rPr>
          <w:rFonts w:eastAsia="Arial Unicode MS" w:cs="Arial Unicode MS"/>
        </w:rPr>
        <w:t>d</w:t>
      </w:r>
      <w:r w:rsidRPr="00D16C7C" w:rsidR="00B3470C">
        <w:rPr>
          <w:rFonts w:eastAsia="Arial Unicode MS" w:cs="Arial Unicode MS"/>
        </w:rPr>
        <w:t xml:space="preserve"> no prior </w:t>
      </w:r>
      <w:r w:rsidRPr="00D16C7C" w:rsidR="007933B4">
        <w:rPr>
          <w:rFonts w:eastAsia="Arial Unicode MS" w:cs="Arial Unicode MS"/>
        </w:rPr>
        <w:t xml:space="preserve">history of </w:t>
      </w:r>
      <w:r w:rsidRPr="00D16C7C" w:rsidR="00B3470C">
        <w:rPr>
          <w:rFonts w:eastAsia="Arial Unicode MS" w:cs="Arial Unicode MS"/>
        </w:rPr>
        <w:t>arrest or involvement with the juvenile cour</w:t>
      </w:r>
      <w:r w:rsidRPr="00D16C7C" w:rsidR="007933B4">
        <w:rPr>
          <w:rFonts w:eastAsia="Arial Unicode MS" w:cs="Arial Unicode MS"/>
        </w:rPr>
        <w:t>t</w:t>
      </w:r>
      <w:r w:rsidRPr="00D16C7C" w:rsidR="00B3470C">
        <w:rPr>
          <w:rFonts w:eastAsia="Arial Unicode MS" w:cs="Arial Unicode MS"/>
        </w:rPr>
        <w:t>.</w:t>
      </w:r>
      <w:r w:rsidRPr="00D16C7C" w:rsidR="007933B4">
        <w:rPr>
          <w:rFonts w:eastAsia="Arial Unicode MS" w:cs="Arial Unicode MS"/>
        </w:rPr>
        <w:t xml:space="preserve">  </w:t>
      </w:r>
    </w:p>
    <w:p w:rsidR="00943173" w:rsidRPr="00D16C7C" w:rsidP="004945C9" w14:paraId="25749CD8" w14:textId="66089959">
      <w:pPr>
        <w:tabs>
          <w:tab w:val="left" w:pos="1440"/>
        </w:tabs>
        <w:ind w:firstLine="720"/>
        <w:rPr>
          <w:rFonts w:eastAsia="Arial Unicode MS" w:cs="Arial Unicode MS"/>
        </w:rPr>
      </w:pPr>
      <w:r w:rsidRPr="00D16C7C">
        <w:rPr>
          <w:rFonts w:eastAsia="Arial Unicode MS" w:cs="Arial Unicode MS"/>
        </w:rPr>
        <w:t>In February</w:t>
      </w:r>
      <w:r w:rsidRPr="00D16C7C" w:rsidR="00007823">
        <w:rPr>
          <w:rFonts w:eastAsia="Arial Unicode MS" w:cs="Arial Unicode MS"/>
        </w:rPr>
        <w:t xml:space="preserve"> 2019</w:t>
      </w:r>
      <w:r w:rsidRPr="00D16C7C" w:rsidR="004B2808">
        <w:rPr>
          <w:rFonts w:eastAsia="Arial Unicode MS" w:cs="Arial Unicode MS"/>
        </w:rPr>
        <w:t>,</w:t>
      </w:r>
      <w:r w:rsidRPr="00D16C7C">
        <w:rPr>
          <w:rFonts w:eastAsia="Arial Unicode MS" w:cs="Arial Unicode MS"/>
        </w:rPr>
        <w:t xml:space="preserve"> E.F. made her first appearance in </w:t>
      </w:r>
      <w:r w:rsidRPr="00D16C7C" w:rsidR="003E3E68">
        <w:rPr>
          <w:rFonts w:eastAsia="Arial Unicode MS" w:cs="Arial Unicode MS"/>
        </w:rPr>
        <w:t>juvenile court.  Appearing with counsel for arraignment, E.F. denied the allegation</w:t>
      </w:r>
      <w:r w:rsidRPr="00D16C7C" w:rsidR="00D95DF1">
        <w:rPr>
          <w:rFonts w:eastAsia="Arial Unicode MS" w:cs="Arial Unicode MS"/>
        </w:rPr>
        <w:t>s</w:t>
      </w:r>
      <w:r w:rsidRPr="00D16C7C" w:rsidR="003E3E68">
        <w:rPr>
          <w:rFonts w:eastAsia="Arial Unicode MS" w:cs="Arial Unicode MS"/>
        </w:rPr>
        <w:t xml:space="preserve">.  </w:t>
      </w:r>
      <w:r w:rsidRPr="00D16C7C" w:rsidR="00FD2488">
        <w:rPr>
          <w:rFonts w:eastAsia="Arial Unicode MS" w:cs="Arial Unicode MS"/>
        </w:rPr>
        <w:t>T</w:t>
      </w:r>
      <w:r w:rsidRPr="00D16C7C" w:rsidR="0095792C">
        <w:rPr>
          <w:rFonts w:eastAsia="Arial Unicode MS" w:cs="Arial Unicode MS"/>
        </w:rPr>
        <w:t xml:space="preserve">he </w:t>
      </w:r>
      <w:r w:rsidRPr="00D16C7C" w:rsidR="00CE041A">
        <w:rPr>
          <w:rFonts w:eastAsia="Arial Unicode MS" w:cs="Arial Unicode MS"/>
        </w:rPr>
        <w:t xml:space="preserve">prosecutor </w:t>
      </w:r>
      <w:r w:rsidRPr="00D16C7C" w:rsidR="0095792C">
        <w:rPr>
          <w:rFonts w:eastAsia="Arial Unicode MS" w:cs="Arial Unicode MS"/>
        </w:rPr>
        <w:t>asked the court to issue a TRO</w:t>
      </w:r>
      <w:r w:rsidRPr="00D16C7C" w:rsidR="00FB4325">
        <w:rPr>
          <w:rFonts w:eastAsia="Arial Unicode MS" w:cs="Arial Unicode MS"/>
        </w:rPr>
        <w:t xml:space="preserve"> </w:t>
      </w:r>
      <w:r w:rsidRPr="00D16C7C" w:rsidR="0095792C">
        <w:rPr>
          <w:rFonts w:eastAsia="Arial Unicode MS" w:cs="Arial Unicode MS"/>
        </w:rPr>
        <w:t xml:space="preserve">enjoining </w:t>
      </w:r>
      <w:r w:rsidRPr="00D16C7C" w:rsidR="00FB4325">
        <w:rPr>
          <w:rFonts w:eastAsia="Arial Unicode MS" w:cs="Arial Unicode MS"/>
        </w:rPr>
        <w:t>E.F.</w:t>
      </w:r>
      <w:r w:rsidRPr="00D16C7C" w:rsidR="0095792C">
        <w:rPr>
          <w:rFonts w:eastAsia="Arial Unicode MS" w:cs="Arial Unicode MS"/>
        </w:rPr>
        <w:t xml:space="preserve"> from having any contact with L.S. </w:t>
      </w:r>
      <w:r w:rsidRPr="00D16C7C" w:rsidR="00B15474">
        <w:rPr>
          <w:rFonts w:eastAsia="Arial Unicode MS" w:cs="Arial Unicode MS"/>
        </w:rPr>
        <w:t xml:space="preserve"> </w:t>
      </w:r>
      <w:r w:rsidRPr="00D16C7C" w:rsidR="0095792C">
        <w:rPr>
          <w:rFonts w:eastAsia="Arial Unicode MS" w:cs="Arial Unicode MS"/>
        </w:rPr>
        <w:t>E.F. objected on the ground that the</w:t>
      </w:r>
      <w:r w:rsidRPr="00D16C7C" w:rsidR="00E51AE5">
        <w:rPr>
          <w:rFonts w:eastAsia="Arial Unicode MS" w:cs="Arial Unicode MS"/>
        </w:rPr>
        <w:t xml:space="preserve"> application did not meet the</w:t>
      </w:r>
      <w:r w:rsidRPr="00D16C7C" w:rsidR="0095792C">
        <w:rPr>
          <w:rFonts w:eastAsia="Arial Unicode MS" w:cs="Arial Unicode MS"/>
        </w:rPr>
        <w:t xml:space="preserve"> procedural requirements set forth in </w:t>
      </w:r>
      <w:r w:rsidRPr="00D16C7C" w:rsidR="00007823">
        <w:rPr>
          <w:rFonts w:eastAsia="Arial Unicode MS" w:cs="Arial Unicode MS"/>
        </w:rPr>
        <w:t xml:space="preserve">Code of Civil Procedure </w:t>
      </w:r>
      <w:r w:rsidRPr="00D16C7C" w:rsidR="0095792C">
        <w:rPr>
          <w:rFonts w:eastAsia="Arial Unicode MS" w:cs="Arial Unicode MS"/>
        </w:rPr>
        <w:t>section 527</w:t>
      </w:r>
      <w:r w:rsidRPr="00D16C7C" w:rsidR="00FD2488">
        <w:rPr>
          <w:rFonts w:eastAsia="Arial Unicode MS" w:cs="Arial Unicode MS"/>
        </w:rPr>
        <w:t>.  S</w:t>
      </w:r>
      <w:r w:rsidRPr="00D16C7C" w:rsidR="00AF0FAD">
        <w:rPr>
          <w:rFonts w:eastAsia="Arial Unicode MS" w:cs="Arial Unicode MS"/>
        </w:rPr>
        <w:t>pecifically, she asserted that the application was not filed with</w:t>
      </w:r>
      <w:r w:rsidRPr="00D16C7C" w:rsidR="00E51AE5">
        <w:rPr>
          <w:rFonts w:eastAsia="Arial Unicode MS" w:cs="Arial Unicode MS"/>
        </w:rPr>
        <w:t xml:space="preserve"> advance notice</w:t>
      </w:r>
      <w:r w:rsidRPr="00D16C7C" w:rsidR="00AF0FAD">
        <w:rPr>
          <w:rFonts w:eastAsia="Arial Unicode MS" w:cs="Arial Unicode MS"/>
        </w:rPr>
        <w:t xml:space="preserve"> to her, nor was it accompanied by</w:t>
      </w:r>
      <w:r w:rsidRPr="00D16C7C" w:rsidR="003C2BDA">
        <w:rPr>
          <w:rFonts w:eastAsia="Arial Unicode MS" w:cs="Arial Unicode MS"/>
        </w:rPr>
        <w:t xml:space="preserve"> </w:t>
      </w:r>
      <w:r w:rsidRPr="00D16C7C" w:rsidR="0077457A">
        <w:rPr>
          <w:rFonts w:eastAsia="Arial Unicode MS" w:cs="Arial Unicode MS"/>
        </w:rPr>
        <w:t xml:space="preserve">an </w:t>
      </w:r>
      <w:r w:rsidRPr="00D16C7C" w:rsidR="003C2BDA">
        <w:rPr>
          <w:rFonts w:eastAsia="Arial Unicode MS" w:cs="Arial Unicode MS"/>
        </w:rPr>
        <w:t xml:space="preserve">affidavit or verified complaint </w:t>
      </w:r>
      <w:r w:rsidRPr="00D16C7C" w:rsidR="0077457A">
        <w:rPr>
          <w:rFonts w:eastAsia="Arial Unicode MS" w:cs="Arial Unicode MS"/>
        </w:rPr>
        <w:t>to establish that great or irreparable injury will result to the applicant before the matter could be heard with notice</w:t>
      </w:r>
      <w:r w:rsidRPr="00D16C7C" w:rsidR="0095792C">
        <w:rPr>
          <w:rFonts w:eastAsia="Arial Unicode MS" w:cs="Arial Unicode MS"/>
        </w:rPr>
        <w:t xml:space="preserve">. </w:t>
      </w:r>
      <w:r w:rsidRPr="00D16C7C" w:rsidR="00E51AE5">
        <w:rPr>
          <w:rFonts w:eastAsia="Arial Unicode MS" w:cs="Arial Unicode MS"/>
        </w:rPr>
        <w:t xml:space="preserve"> </w:t>
      </w:r>
      <w:r w:rsidRPr="00D16C7C" w:rsidR="00C46632">
        <w:rPr>
          <w:rFonts w:eastAsia="Arial Unicode MS" w:cs="Arial Unicode MS"/>
        </w:rPr>
        <w:t xml:space="preserve">The </w:t>
      </w:r>
      <w:r w:rsidRPr="00D16C7C" w:rsidR="00A456E8">
        <w:rPr>
          <w:rFonts w:eastAsia="Arial Unicode MS" w:cs="Arial Unicode MS"/>
        </w:rPr>
        <w:t xml:space="preserve">prosecutor acknowledged that no notice was provided </w:t>
      </w:r>
      <w:r w:rsidRPr="00D16C7C" w:rsidR="00AF0FAD">
        <w:rPr>
          <w:rFonts w:eastAsia="Arial Unicode MS" w:cs="Arial Unicode MS"/>
        </w:rPr>
        <w:t>before</w:t>
      </w:r>
      <w:r w:rsidRPr="00D16C7C" w:rsidR="00A456E8">
        <w:rPr>
          <w:rFonts w:eastAsia="Arial Unicode MS" w:cs="Arial Unicode MS"/>
        </w:rPr>
        <w:t xml:space="preserve"> the hearing</w:t>
      </w:r>
      <w:r w:rsidRPr="00D16C7C" w:rsidR="00AF0FAD">
        <w:rPr>
          <w:rFonts w:eastAsia="Arial Unicode MS" w:cs="Arial Unicode MS"/>
        </w:rPr>
        <w:t xml:space="preserve"> and explained</w:t>
      </w:r>
      <w:r w:rsidRPr="00D16C7C" w:rsidR="00D40C0B">
        <w:rPr>
          <w:rFonts w:eastAsia="Arial Unicode MS" w:cs="Arial Unicode MS"/>
        </w:rPr>
        <w:t xml:space="preserve"> that </w:t>
      </w:r>
      <w:r w:rsidR="00AC0E50">
        <w:rPr>
          <w:rFonts w:eastAsia="Arial Unicode MS" w:cs="Arial Unicode MS"/>
        </w:rPr>
        <w:t>he</w:t>
      </w:r>
      <w:r w:rsidRPr="00D16C7C" w:rsidR="00AC0E50">
        <w:rPr>
          <w:rFonts w:eastAsia="Arial Unicode MS" w:cs="Arial Unicode MS"/>
        </w:rPr>
        <w:t xml:space="preserve"> </w:t>
      </w:r>
      <w:r w:rsidRPr="00D16C7C" w:rsidR="00D40C0B">
        <w:rPr>
          <w:rFonts w:eastAsia="Arial Unicode MS" w:cs="Arial Unicode MS"/>
        </w:rPr>
        <w:t>did not know who was assigned to defend E.F. before the case was called</w:t>
      </w:r>
      <w:r w:rsidR="006E27FC">
        <w:rPr>
          <w:rFonts w:eastAsia="Arial Unicode MS" w:cs="Arial Unicode MS"/>
        </w:rPr>
        <w:t>.  He added</w:t>
      </w:r>
      <w:r w:rsidRPr="00D16C7C" w:rsidR="0019684A">
        <w:rPr>
          <w:rFonts w:eastAsia="Arial Unicode MS" w:cs="Arial Unicode MS"/>
        </w:rPr>
        <w:t xml:space="preserve"> that “a</w:t>
      </w:r>
      <w:r w:rsidRPr="00D16C7C" w:rsidR="00A456E8">
        <w:rPr>
          <w:rFonts w:eastAsia="Arial Unicode MS" w:cs="Arial Unicode MS"/>
        </w:rPr>
        <w:t xml:space="preserve">ny allegation that [the prosecutor] didn’t inform </w:t>
      </w:r>
      <w:r w:rsidRPr="00D16C7C" w:rsidR="00D40C0B">
        <w:rPr>
          <w:rFonts w:eastAsia="Arial Unicode MS" w:cs="Arial Unicode MS"/>
        </w:rPr>
        <w:t>[counsel for E.F.] in time</w:t>
      </w:r>
      <w:r w:rsidRPr="00D16C7C" w:rsidR="0019684A">
        <w:rPr>
          <w:rFonts w:eastAsia="Arial Unicode MS" w:cs="Arial Unicode MS"/>
        </w:rPr>
        <w:t xml:space="preserve">” was due in part </w:t>
      </w:r>
      <w:r w:rsidRPr="00D16C7C" w:rsidR="00F5790D">
        <w:rPr>
          <w:rFonts w:eastAsia="Arial Unicode MS" w:cs="Arial Unicode MS"/>
        </w:rPr>
        <w:t xml:space="preserve">to the deputy public defender’s failure to check in with the prosecutor sooner.  </w:t>
      </w:r>
      <w:r w:rsidRPr="00D16C7C" w:rsidR="00AF0FAD">
        <w:rPr>
          <w:rFonts w:eastAsia="Arial Unicode MS" w:cs="Arial Unicode MS"/>
        </w:rPr>
        <w:t>T</w:t>
      </w:r>
      <w:r w:rsidRPr="00D16C7C" w:rsidR="00CA3894">
        <w:rPr>
          <w:rFonts w:eastAsia="Arial Unicode MS" w:cs="Arial Unicode MS"/>
        </w:rPr>
        <w:t xml:space="preserve">he prosecutor did not have a copy of the application to share with E.F. </w:t>
      </w:r>
      <w:r w:rsidRPr="00D16C7C" w:rsidR="00AF0FAD">
        <w:rPr>
          <w:rFonts w:eastAsia="Arial Unicode MS" w:cs="Arial Unicode MS"/>
        </w:rPr>
        <w:t xml:space="preserve">or </w:t>
      </w:r>
      <w:r w:rsidRPr="00D16C7C" w:rsidR="00CA3894">
        <w:rPr>
          <w:rFonts w:eastAsia="Arial Unicode MS" w:cs="Arial Unicode MS"/>
        </w:rPr>
        <w:t>her counsel at the hearing, and the court call</w:t>
      </w:r>
      <w:r w:rsidRPr="00D16C7C" w:rsidR="00AF0FAD">
        <w:rPr>
          <w:rFonts w:eastAsia="Arial Unicode MS" w:cs="Arial Unicode MS"/>
        </w:rPr>
        <w:t>ed</w:t>
      </w:r>
      <w:r w:rsidRPr="00D16C7C" w:rsidR="00CA3894">
        <w:rPr>
          <w:rFonts w:eastAsia="Arial Unicode MS" w:cs="Arial Unicode MS"/>
        </w:rPr>
        <w:t xml:space="preserve"> a recess to allow time to make copies.  Nor did the </w:t>
      </w:r>
      <w:r w:rsidRPr="00D16C7C" w:rsidR="007A1288">
        <w:rPr>
          <w:rFonts w:eastAsia="Arial Unicode MS" w:cs="Arial Unicode MS"/>
        </w:rPr>
        <w:t>prosecutor provide an affidavit or verified complaint in support of the TRO request</w:t>
      </w:r>
      <w:r w:rsidRPr="00D16C7C" w:rsidR="00CA3894">
        <w:rPr>
          <w:rFonts w:eastAsia="Arial Unicode MS" w:cs="Arial Unicode MS"/>
        </w:rPr>
        <w:t xml:space="preserve">; </w:t>
      </w:r>
      <w:r w:rsidR="008B7D88">
        <w:rPr>
          <w:rFonts w:eastAsia="Arial Unicode MS" w:cs="Arial Unicode MS"/>
        </w:rPr>
        <w:t>he</w:t>
      </w:r>
      <w:r w:rsidRPr="00D16C7C" w:rsidR="008B7D88">
        <w:rPr>
          <w:rFonts w:eastAsia="Arial Unicode MS" w:cs="Arial Unicode MS"/>
        </w:rPr>
        <w:t xml:space="preserve"> </w:t>
      </w:r>
      <w:r w:rsidRPr="00D16C7C" w:rsidR="00CA3894">
        <w:rPr>
          <w:rFonts w:eastAsia="Arial Unicode MS" w:cs="Arial Unicode MS"/>
        </w:rPr>
        <w:t xml:space="preserve">instead </w:t>
      </w:r>
      <w:r w:rsidRPr="00D16C7C" w:rsidR="00AF0FAD">
        <w:rPr>
          <w:rFonts w:eastAsia="Arial Unicode MS" w:cs="Arial Unicode MS"/>
        </w:rPr>
        <w:t xml:space="preserve">referred </w:t>
      </w:r>
      <w:r w:rsidRPr="00D16C7C" w:rsidR="007A1288">
        <w:rPr>
          <w:rFonts w:eastAsia="Arial Unicode MS" w:cs="Arial Unicode MS"/>
        </w:rPr>
        <w:t>to</w:t>
      </w:r>
      <w:r w:rsidRPr="00D16C7C" w:rsidR="008E1E59">
        <w:rPr>
          <w:rFonts w:eastAsia="Arial Unicode MS" w:cs="Arial Unicode MS"/>
        </w:rPr>
        <w:t xml:space="preserve"> the police report attached to the petition to recount the facts of the December 2018 incident.</w:t>
      </w:r>
      <w:r w:rsidRPr="00D16C7C" w:rsidR="004C53CC">
        <w:rPr>
          <w:rFonts w:eastAsia="Arial Unicode MS" w:cs="Arial Unicode MS"/>
        </w:rPr>
        <w:t xml:space="preserve"> </w:t>
      </w:r>
      <w:r w:rsidRPr="00D16C7C" w:rsidR="001A48BB">
        <w:rPr>
          <w:rFonts w:eastAsia="Arial Unicode MS" w:cs="Arial Unicode MS"/>
        </w:rPr>
        <w:t xml:space="preserve"> </w:t>
      </w:r>
      <w:r w:rsidRPr="00D16C7C" w:rsidR="003F17EC">
        <w:rPr>
          <w:rFonts w:eastAsia="Arial Unicode MS" w:cs="Arial Unicode MS"/>
        </w:rPr>
        <w:t>T</w:t>
      </w:r>
      <w:r w:rsidRPr="00D16C7C" w:rsidR="0095792C">
        <w:rPr>
          <w:rFonts w:eastAsia="Arial Unicode MS" w:cs="Arial Unicode MS"/>
        </w:rPr>
        <w:t xml:space="preserve">he juvenile court overruled </w:t>
      </w:r>
      <w:r w:rsidRPr="00D16C7C" w:rsidR="00E51AE5">
        <w:rPr>
          <w:rFonts w:eastAsia="Arial Unicode MS" w:cs="Arial Unicode MS"/>
        </w:rPr>
        <w:t>E.F.’s</w:t>
      </w:r>
      <w:r w:rsidRPr="00D16C7C" w:rsidR="0095792C">
        <w:rPr>
          <w:rFonts w:eastAsia="Arial Unicode MS" w:cs="Arial Unicode MS"/>
        </w:rPr>
        <w:t xml:space="preserve"> objection</w:t>
      </w:r>
      <w:r w:rsidRPr="00D16C7C" w:rsidR="003F17EC">
        <w:rPr>
          <w:rFonts w:eastAsia="Arial Unicode MS" w:cs="Arial Unicode MS"/>
        </w:rPr>
        <w:t>, finding “substantial compliance,”</w:t>
      </w:r>
      <w:r w:rsidRPr="00D16C7C" w:rsidR="0095792C">
        <w:rPr>
          <w:rFonts w:eastAsia="Arial Unicode MS" w:cs="Arial Unicode MS"/>
        </w:rPr>
        <w:t xml:space="preserve"> and issued </w:t>
      </w:r>
      <w:r w:rsidRPr="00D16C7C" w:rsidR="008F30E9">
        <w:rPr>
          <w:rFonts w:eastAsia="Arial Unicode MS" w:cs="Arial Unicode MS"/>
        </w:rPr>
        <w:t>a</w:t>
      </w:r>
      <w:r w:rsidRPr="00D16C7C" w:rsidR="0095792C">
        <w:rPr>
          <w:rFonts w:eastAsia="Arial Unicode MS" w:cs="Arial Unicode MS"/>
        </w:rPr>
        <w:t xml:space="preserve"> TRO</w:t>
      </w:r>
      <w:r w:rsidRPr="00D16C7C" w:rsidR="008F30E9">
        <w:rPr>
          <w:rFonts w:eastAsia="Arial Unicode MS" w:cs="Arial Unicode MS"/>
        </w:rPr>
        <w:t xml:space="preserve"> </w:t>
      </w:r>
      <w:r w:rsidRPr="00D16C7C" w:rsidR="00390DE3">
        <w:rPr>
          <w:rFonts w:eastAsia="Arial Unicode MS" w:cs="Arial Unicode MS"/>
        </w:rPr>
        <w:t>prohibiting E.F. from contacting L.S. and requir</w:t>
      </w:r>
      <w:r w:rsidRPr="00D16C7C" w:rsidR="003F17EC">
        <w:rPr>
          <w:rFonts w:eastAsia="Arial Unicode MS" w:cs="Arial Unicode MS"/>
        </w:rPr>
        <w:t>ing</w:t>
      </w:r>
      <w:r w:rsidRPr="00D16C7C" w:rsidR="00390DE3">
        <w:rPr>
          <w:rFonts w:eastAsia="Arial Unicode MS" w:cs="Arial Unicode MS"/>
        </w:rPr>
        <w:t xml:space="preserve"> her to stay at least 100 yards from him.  </w:t>
      </w:r>
    </w:p>
    <w:p w:rsidR="00A76DE2" w:rsidRPr="00D16C7C" w:rsidP="004945C9" w14:paraId="39AECF46" w14:textId="60276CED">
      <w:pPr>
        <w:tabs>
          <w:tab w:val="left" w:pos="1440"/>
        </w:tabs>
        <w:ind w:firstLine="720"/>
        <w:rPr>
          <w:rFonts w:eastAsia="Arial Unicode MS" w:cs="Arial Unicode MS"/>
        </w:rPr>
      </w:pPr>
      <w:r w:rsidRPr="00D16C7C">
        <w:rPr>
          <w:rFonts w:eastAsia="Arial Unicode MS" w:cs="Arial Unicode MS"/>
        </w:rPr>
        <w:t xml:space="preserve">E.F. appealed the TRO.  </w:t>
      </w:r>
      <w:r w:rsidRPr="00D16C7C" w:rsidR="00E62459">
        <w:rPr>
          <w:rFonts w:eastAsia="Arial Unicode MS" w:cs="Arial Unicode MS"/>
        </w:rPr>
        <w:t>While that appeal was pending, the juvenile court held an evidentiary hearing and granted the prosecutor’s application for a three-year restraining order</w:t>
      </w:r>
      <w:r w:rsidRPr="00D16C7C" w:rsidR="00BB72EE">
        <w:rPr>
          <w:rFonts w:eastAsia="Arial Unicode MS" w:cs="Arial Unicode MS"/>
        </w:rPr>
        <w:t xml:space="preserve"> on the same basis and terms as the TRO.  </w:t>
      </w:r>
      <w:r w:rsidRPr="00D16C7C" w:rsidR="00C97B6F">
        <w:rPr>
          <w:rFonts w:eastAsia="Arial Unicode MS" w:cs="Arial Unicode MS"/>
        </w:rPr>
        <w:t>E.F.</w:t>
      </w:r>
      <w:r w:rsidRPr="00D16C7C" w:rsidR="000E4AFA">
        <w:rPr>
          <w:rFonts w:eastAsia="Arial Unicode MS" w:cs="Arial Unicode MS"/>
        </w:rPr>
        <w:t xml:space="preserve"> filed a second notice of appeal, this time </w:t>
      </w:r>
      <w:r w:rsidRPr="00D16C7C" w:rsidR="00AF0FAD">
        <w:rPr>
          <w:rFonts w:eastAsia="Arial Unicode MS" w:cs="Arial Unicode MS"/>
        </w:rPr>
        <w:t>challenging</w:t>
      </w:r>
      <w:r w:rsidRPr="00D16C7C" w:rsidR="000E4AFA">
        <w:rPr>
          <w:rFonts w:eastAsia="Arial Unicode MS" w:cs="Arial Unicode MS"/>
        </w:rPr>
        <w:t xml:space="preserve"> the three-year restraining order</w:t>
      </w:r>
      <w:r w:rsidRPr="00D16C7C" w:rsidR="000B130E">
        <w:rPr>
          <w:rFonts w:eastAsia="Arial Unicode MS" w:cs="Arial Unicode MS"/>
        </w:rPr>
        <w:t>.</w:t>
      </w:r>
      <w:r w:rsidRPr="00D16C7C" w:rsidR="000E4AFA">
        <w:rPr>
          <w:rFonts w:eastAsia="Arial Unicode MS" w:cs="Arial Unicode MS"/>
        </w:rPr>
        <w:t xml:space="preserve">  </w:t>
      </w:r>
    </w:p>
    <w:p w:rsidR="008B194F" w:rsidRPr="00D16C7C" w:rsidP="004945C9" w14:paraId="72B31FB4" w14:textId="0F48DA44">
      <w:pPr>
        <w:tabs>
          <w:tab w:val="left" w:pos="1440"/>
        </w:tabs>
        <w:ind w:firstLine="720"/>
        <w:rPr>
          <w:rFonts w:eastAsia="Arial Unicode MS" w:cs="Arial Unicode MS"/>
        </w:rPr>
      </w:pPr>
      <w:r w:rsidRPr="00D16C7C">
        <w:rPr>
          <w:rFonts w:eastAsia="Arial Unicode MS" w:cs="Arial Unicode MS"/>
        </w:rPr>
        <w:t>The two appeals were consolidated</w:t>
      </w:r>
      <w:r w:rsidRPr="00D16C7C" w:rsidR="009A05A5">
        <w:rPr>
          <w:rFonts w:eastAsia="Arial Unicode MS" w:cs="Arial Unicode MS"/>
        </w:rPr>
        <w:t xml:space="preserve">, with </w:t>
      </w:r>
      <w:r w:rsidRPr="00D16C7C" w:rsidR="00B77D38">
        <w:rPr>
          <w:rFonts w:eastAsia="Arial Unicode MS" w:cs="Arial Unicode MS"/>
        </w:rPr>
        <w:t>E.F. argu</w:t>
      </w:r>
      <w:r w:rsidRPr="00D16C7C" w:rsidR="009A05A5">
        <w:rPr>
          <w:rFonts w:eastAsia="Arial Unicode MS" w:cs="Arial Unicode MS"/>
        </w:rPr>
        <w:t>ing</w:t>
      </w:r>
      <w:r w:rsidRPr="00D16C7C" w:rsidR="0066726F">
        <w:rPr>
          <w:rFonts w:eastAsia="Arial Unicode MS" w:cs="Arial Unicode MS"/>
        </w:rPr>
        <w:t xml:space="preserve">, as relevant here, that </w:t>
      </w:r>
      <w:r w:rsidRPr="00D16C7C" w:rsidR="0062141C">
        <w:rPr>
          <w:rFonts w:eastAsia="Arial Unicode MS" w:cs="Arial Unicode MS"/>
        </w:rPr>
        <w:t xml:space="preserve">the TRO was procedurally defective and </w:t>
      </w:r>
      <w:r w:rsidRPr="00D16C7C" w:rsidR="0066726F">
        <w:rPr>
          <w:rFonts w:eastAsia="Arial Unicode MS" w:cs="Arial Unicode MS"/>
        </w:rPr>
        <w:t>thus invalid</w:t>
      </w:r>
      <w:r w:rsidRPr="00D16C7C" w:rsidR="0062141C">
        <w:rPr>
          <w:rFonts w:eastAsia="Arial Unicode MS" w:cs="Arial Unicode MS"/>
        </w:rPr>
        <w:t>.</w:t>
      </w:r>
      <w:r w:rsidRPr="00D16C7C" w:rsidR="000F7FA2">
        <w:rPr>
          <w:rFonts w:eastAsia="Arial Unicode MS" w:cs="Arial Unicode MS"/>
        </w:rPr>
        <w:t xml:space="preserve">  </w:t>
      </w:r>
      <w:r w:rsidRPr="00D16C7C" w:rsidR="002F3599">
        <w:rPr>
          <w:rFonts w:eastAsia="Arial Unicode MS" w:cs="Arial Unicode MS"/>
        </w:rPr>
        <w:t>The Court of Appeal disagreed</w:t>
      </w:r>
      <w:r w:rsidRPr="00D16C7C" w:rsidR="00D77F75">
        <w:rPr>
          <w:rFonts w:eastAsia="Arial Unicode MS" w:cs="Arial Unicode MS"/>
        </w:rPr>
        <w:t xml:space="preserve">, holding that </w:t>
      </w:r>
      <w:r w:rsidRPr="00D16C7C" w:rsidR="00F865C9">
        <w:rPr>
          <w:rFonts w:eastAsia="Arial Unicode MS" w:cs="Arial Unicode MS"/>
        </w:rPr>
        <w:t>section 213.5</w:t>
      </w:r>
      <w:r w:rsidRPr="00D16C7C" w:rsidR="00694FFA">
        <w:rPr>
          <w:rFonts w:eastAsia="Arial Unicode MS" w:cs="Arial Unicode MS"/>
        </w:rPr>
        <w:t xml:space="preserve">, subdivision (b) provides for the issuance of an ex parte TRO and that section 213.5, </w:t>
      </w:r>
      <w:r w:rsidRPr="00D16C7C" w:rsidR="005D4B9D">
        <w:rPr>
          <w:rFonts w:eastAsia="Arial Unicode MS" w:cs="Arial Unicode MS"/>
        </w:rPr>
        <w:t>subdivision (c)</w:t>
      </w:r>
      <w:r w:rsidRPr="00D16C7C" w:rsidR="00F865C9">
        <w:rPr>
          <w:rFonts w:eastAsia="Arial Unicode MS" w:cs="Arial Unicode MS"/>
        </w:rPr>
        <w:t xml:space="preserve"> </w:t>
      </w:r>
      <w:r w:rsidRPr="00D16C7C" w:rsidR="0066726F">
        <w:rPr>
          <w:rFonts w:eastAsia="Arial Unicode MS" w:cs="Arial Unicode MS"/>
        </w:rPr>
        <w:t xml:space="preserve">expressly </w:t>
      </w:r>
      <w:r w:rsidRPr="00D16C7C" w:rsidR="006218BF">
        <w:rPr>
          <w:rFonts w:eastAsia="Arial Unicode MS" w:cs="Arial Unicode MS"/>
        </w:rPr>
        <w:t>provides for</w:t>
      </w:r>
      <w:r w:rsidRPr="00D16C7C" w:rsidR="00F318BD">
        <w:rPr>
          <w:rFonts w:eastAsia="Arial Unicode MS" w:cs="Arial Unicode MS"/>
        </w:rPr>
        <w:t xml:space="preserve"> </w:t>
      </w:r>
      <w:r w:rsidRPr="00D16C7C" w:rsidR="0066726F">
        <w:rPr>
          <w:rFonts w:eastAsia="Arial Unicode MS" w:cs="Arial Unicode MS"/>
        </w:rPr>
        <w:t xml:space="preserve">a TRO </w:t>
      </w:r>
      <w:r w:rsidRPr="00D16C7C" w:rsidR="00747F97">
        <w:rPr>
          <w:rFonts w:eastAsia="Arial Unicode MS" w:cs="Arial Unicode MS"/>
        </w:rPr>
        <w:t xml:space="preserve">effective up to 21 or 25 days </w:t>
      </w:r>
      <w:r w:rsidRPr="00D16C7C" w:rsidR="0066726F">
        <w:rPr>
          <w:rFonts w:eastAsia="Arial Unicode MS" w:cs="Arial Unicode MS"/>
        </w:rPr>
        <w:t xml:space="preserve">to be </w:t>
      </w:r>
      <w:r w:rsidRPr="00D16C7C" w:rsidR="006C3678">
        <w:rPr>
          <w:rFonts w:eastAsia="Arial Unicode MS" w:cs="Arial Unicode MS"/>
        </w:rPr>
        <w:t>“</w:t>
      </w:r>
      <w:r w:rsidR="008854EF">
        <w:rPr>
          <w:rFonts w:eastAsia="Arial Unicode MS" w:cs="Arial Unicode MS"/>
        </w:rPr>
        <w:t> </w:t>
      </w:r>
      <w:r w:rsidR="00D37A4F">
        <w:rPr>
          <w:rFonts w:eastAsia="Arial Unicode MS" w:cs="Arial Unicode MS"/>
        </w:rPr>
        <w:t>‘</w:t>
      </w:r>
      <w:r w:rsidRPr="00D16C7C" w:rsidR="006C3678">
        <w:rPr>
          <w:rFonts w:eastAsia="Arial Unicode MS" w:cs="Arial Unicode MS"/>
        </w:rPr>
        <w:t>granted without notice</w:t>
      </w:r>
      <w:r w:rsidR="00D37A4F">
        <w:rPr>
          <w:rFonts w:eastAsia="Arial Unicode MS" w:cs="Arial Unicode MS"/>
        </w:rPr>
        <w:t>,’</w:t>
      </w:r>
      <w:r w:rsidR="008854EF">
        <w:rPr>
          <w:rFonts w:eastAsia="Arial Unicode MS" w:cs="Arial Unicode MS"/>
        </w:rPr>
        <w:t> </w:t>
      </w:r>
      <w:r w:rsidRPr="00D16C7C" w:rsidR="006C3678">
        <w:rPr>
          <w:rFonts w:eastAsia="Arial Unicode MS" w:cs="Arial Unicode MS"/>
        </w:rPr>
        <w:t>”</w:t>
      </w:r>
      <w:r w:rsidRPr="00D16C7C" w:rsidR="0066726F">
        <w:rPr>
          <w:rFonts w:eastAsia="Arial Unicode MS" w:cs="Arial Unicode MS"/>
        </w:rPr>
        <w:t xml:space="preserve"> notwithstanding the </w:t>
      </w:r>
      <w:r w:rsidRPr="00D16C7C" w:rsidR="00694FFA">
        <w:rPr>
          <w:rFonts w:eastAsia="Arial Unicode MS" w:cs="Arial Unicode MS"/>
        </w:rPr>
        <w:t xml:space="preserve">notice </w:t>
      </w:r>
      <w:r w:rsidRPr="00D16C7C" w:rsidR="0066726F">
        <w:rPr>
          <w:rFonts w:eastAsia="Arial Unicode MS" w:cs="Arial Unicode MS"/>
        </w:rPr>
        <w:t xml:space="preserve">requirements </w:t>
      </w:r>
      <w:r w:rsidRPr="00D16C7C" w:rsidR="00694FFA">
        <w:rPr>
          <w:rFonts w:eastAsia="Arial Unicode MS" w:cs="Arial Unicode MS"/>
        </w:rPr>
        <w:t>of</w:t>
      </w:r>
      <w:r w:rsidRPr="00D16C7C" w:rsidR="0066726F">
        <w:rPr>
          <w:rFonts w:eastAsia="Arial Unicode MS" w:cs="Arial Unicode MS"/>
        </w:rPr>
        <w:t xml:space="preserve"> Code of Civil Procedure section 527.</w:t>
      </w:r>
      <w:r w:rsidRPr="00D16C7C" w:rsidR="006218BF">
        <w:rPr>
          <w:rFonts w:eastAsia="Arial Unicode MS" w:cs="Arial Unicode MS"/>
        </w:rPr>
        <w:t xml:space="preserve">  </w:t>
      </w:r>
      <w:r w:rsidRPr="00D16C7C" w:rsidR="003428E0">
        <w:rPr>
          <w:rFonts w:eastAsia="Arial Unicode MS" w:cs="Arial Unicode MS"/>
        </w:rPr>
        <w:t>(</w:t>
      </w:r>
      <w:r w:rsidRPr="00D16C7C" w:rsidR="003428E0">
        <w:rPr>
          <w:rFonts w:eastAsia="Arial Unicode MS" w:cs="Arial Unicode MS"/>
          <w:i/>
          <w:iCs/>
        </w:rPr>
        <w:t>In re E.F.</w:t>
      </w:r>
      <w:r w:rsidRPr="00D16C7C" w:rsidR="003428E0">
        <w:rPr>
          <w:rFonts w:eastAsia="Arial Unicode MS" w:cs="Arial Unicode MS"/>
        </w:rPr>
        <w:t xml:space="preserve"> (2020) 45 Cal.App.5th 216, 220.)  </w:t>
      </w:r>
      <w:r w:rsidRPr="00D16C7C" w:rsidR="00747F97">
        <w:rPr>
          <w:rFonts w:eastAsia="Arial Unicode MS" w:cs="Arial Unicode MS"/>
        </w:rPr>
        <w:t>T</w:t>
      </w:r>
      <w:r w:rsidRPr="00D16C7C" w:rsidR="003428E0">
        <w:rPr>
          <w:rFonts w:eastAsia="Arial Unicode MS" w:cs="Arial Unicode MS"/>
        </w:rPr>
        <w:t xml:space="preserve">he Court of Appeal disagreed with </w:t>
      </w:r>
      <w:r w:rsidRPr="00D16C7C" w:rsidR="0061402F">
        <w:rPr>
          <w:rFonts w:eastAsia="Arial Unicode MS" w:cs="Arial Unicode MS"/>
          <w:i/>
          <w:iCs/>
        </w:rPr>
        <w:t>In re L.W.</w:t>
      </w:r>
      <w:r w:rsidRPr="00D16C7C" w:rsidR="0061402F">
        <w:rPr>
          <w:rFonts w:eastAsia="Arial Unicode MS" w:cs="Arial Unicode MS"/>
        </w:rPr>
        <w:t> (2020) 44 Cal.App.5th 44, 4</w:t>
      </w:r>
      <w:r w:rsidRPr="00D16C7C" w:rsidR="00694FFA">
        <w:rPr>
          <w:rFonts w:eastAsia="Arial Unicode MS" w:cs="Arial Unicode MS"/>
        </w:rPr>
        <w:t>9–51</w:t>
      </w:r>
      <w:r w:rsidRPr="00D16C7C" w:rsidR="0061402F">
        <w:rPr>
          <w:rFonts w:eastAsia="Arial Unicode MS" w:cs="Arial Unicode MS"/>
        </w:rPr>
        <w:t xml:space="preserve">, which </w:t>
      </w:r>
      <w:r w:rsidRPr="00D16C7C" w:rsidR="0066726F">
        <w:rPr>
          <w:rFonts w:eastAsia="Arial Unicode MS" w:cs="Arial Unicode MS"/>
        </w:rPr>
        <w:t>held that a TRO application under section 213.5</w:t>
      </w:r>
      <w:r w:rsidRPr="00D16C7C" w:rsidR="00694FFA">
        <w:rPr>
          <w:rFonts w:eastAsia="Arial Unicode MS" w:cs="Arial Unicode MS"/>
        </w:rPr>
        <w:t>, subdivision (b)</w:t>
      </w:r>
      <w:r w:rsidRPr="00D16C7C" w:rsidR="0066726F">
        <w:rPr>
          <w:rFonts w:eastAsia="Arial Unicode MS" w:cs="Arial Unicode MS"/>
        </w:rPr>
        <w:t xml:space="preserve"> must comply with the notice requirements of Code of Civil Procedure section 527</w:t>
      </w:r>
      <w:r w:rsidRPr="00D16C7C" w:rsidR="00694FFA">
        <w:rPr>
          <w:rFonts w:eastAsia="Arial Unicode MS" w:cs="Arial Unicode MS"/>
        </w:rPr>
        <w:t>.</w:t>
      </w:r>
    </w:p>
    <w:p w:rsidR="008B194F" w:rsidRPr="00D16C7C" w:rsidP="004945C9" w14:paraId="2F6A502A" w14:textId="4A1C34F5">
      <w:pPr>
        <w:tabs>
          <w:tab w:val="left" w:pos="1440"/>
        </w:tabs>
        <w:ind w:firstLine="720"/>
        <w:rPr>
          <w:rFonts w:eastAsia="Arial Unicode MS" w:cs="Arial Unicode MS"/>
          <w:b/>
          <w:bCs/>
        </w:rPr>
      </w:pPr>
      <w:r w:rsidRPr="00D16C7C">
        <w:rPr>
          <w:rFonts w:eastAsia="Arial Unicode MS" w:cs="Arial Unicode MS"/>
        </w:rPr>
        <w:t xml:space="preserve">We granted review </w:t>
      </w:r>
      <w:r w:rsidRPr="00D16C7C" w:rsidR="00694FFA">
        <w:rPr>
          <w:rFonts w:eastAsia="Arial Unicode MS" w:cs="Arial Unicode MS"/>
        </w:rPr>
        <w:t>to resolve this conflict.</w:t>
      </w:r>
      <w:r w:rsidRPr="00D16C7C">
        <w:rPr>
          <w:rFonts w:eastAsia="Arial Unicode MS" w:cs="Arial Unicode MS"/>
        </w:rPr>
        <w:t xml:space="preserve">  Although E.F.’s appeal of the TRO was rendered moot by the juvenile court’s subsequent order granting a three-year restraining order,</w:t>
      </w:r>
      <w:r w:rsidRPr="00D16C7C">
        <w:t xml:space="preserve"> the limited duration of a TRO in this context calls for the exercise of our discretion to resolve an issue that is “</w:t>
      </w:r>
      <w:r w:rsidR="008854EF">
        <w:t> </w:t>
      </w:r>
      <w:r w:rsidRPr="00D16C7C">
        <w:t>‘</w:t>
      </w:r>
      <w:r w:rsidR="008854EF">
        <w:t> </w:t>
      </w:r>
      <w:r w:rsidRPr="00D16C7C">
        <w:t>“capable of repetition, yet evading review.” ’ ”  (</w:t>
      </w:r>
      <w:r w:rsidRPr="00D16C7C">
        <w:rPr>
          <w:i/>
          <w:iCs/>
        </w:rPr>
        <w:t>United Farm Workers v. Superior Court of Santa Cruz County</w:t>
      </w:r>
      <w:r w:rsidRPr="00D16C7C">
        <w:t xml:space="preserve"> (1975) 14 Cal.3d 902, 907.)  </w:t>
      </w:r>
    </w:p>
    <w:p w:rsidR="00AD1BAE" w:rsidRPr="00D16C7C" w:rsidP="00CE1493" w14:paraId="0B236CB5" w14:textId="541B67F9">
      <w:pPr>
        <w:pStyle w:val="Heading1"/>
        <w:rPr>
          <w:rFonts w:eastAsia="Arial Unicode MS"/>
        </w:rPr>
      </w:pPr>
      <w:r w:rsidRPr="00D16C7C">
        <w:rPr>
          <w:rFonts w:eastAsia="Arial Unicode MS"/>
        </w:rPr>
        <w:t>II.</w:t>
      </w:r>
    </w:p>
    <w:p w:rsidR="008B194F" w:rsidRPr="00D16C7C" w:rsidP="003C73DB" w14:paraId="6F340B2C" w14:textId="5B9F91D9">
      <w:pPr>
        <w:tabs>
          <w:tab w:val="left" w:pos="1440"/>
        </w:tabs>
        <w:ind w:firstLine="720"/>
        <w:rPr>
          <w:rFonts w:eastAsia="Arial Unicode MS" w:cs="Arial Unicode MS"/>
        </w:rPr>
      </w:pPr>
      <w:r w:rsidRPr="00D16C7C">
        <w:rPr>
          <w:rFonts w:eastAsia="Arial Unicode MS" w:cs="Arial Unicode MS"/>
        </w:rPr>
        <w:t xml:space="preserve">The question </w:t>
      </w:r>
      <w:r w:rsidRPr="00D16C7C">
        <w:rPr>
          <w:rFonts w:eastAsia="Arial Unicode MS" w:cs="Arial Unicode MS"/>
        </w:rPr>
        <w:t>presented</w:t>
      </w:r>
      <w:r w:rsidRPr="00D16C7C">
        <w:rPr>
          <w:rFonts w:eastAsia="Arial Unicode MS" w:cs="Arial Unicode MS"/>
        </w:rPr>
        <w:t xml:space="preserve"> is one of statutory interpretation</w:t>
      </w:r>
      <w:r w:rsidRPr="00D16C7C">
        <w:rPr>
          <w:rFonts w:eastAsia="Arial Unicode MS" w:cs="Arial Unicode MS"/>
        </w:rPr>
        <w:t xml:space="preserve"> and is thus subject to de novo review</w:t>
      </w:r>
      <w:r w:rsidRPr="00D16C7C">
        <w:rPr>
          <w:rFonts w:eastAsia="Arial Unicode MS" w:cs="Arial Unicode MS"/>
        </w:rPr>
        <w:t xml:space="preserve">.  </w:t>
      </w:r>
      <w:r w:rsidRPr="00D16C7C">
        <w:rPr>
          <w:rFonts w:eastAsia="Arial Unicode MS" w:cs="Arial Unicode MS"/>
        </w:rPr>
        <w:t>(</w:t>
      </w:r>
      <w:r w:rsidRPr="00D16C7C" w:rsidR="00771337">
        <w:rPr>
          <w:rFonts w:eastAsia="Arial Unicode MS" w:cs="Arial Unicode MS"/>
          <w:i/>
          <w:iCs/>
        </w:rPr>
        <w:t>Christensen v. Lightbourne</w:t>
      </w:r>
      <w:r w:rsidRPr="00D16C7C" w:rsidR="00771337">
        <w:rPr>
          <w:rFonts w:eastAsia="Arial Unicode MS" w:cs="Arial Unicode MS"/>
        </w:rPr>
        <w:t xml:space="preserve"> (2019) 7 Cal.5th 761, 771</w:t>
      </w:r>
      <w:r w:rsidRPr="00D16C7C">
        <w:rPr>
          <w:rFonts w:eastAsia="Arial Unicode MS" w:cs="Arial Unicode MS"/>
        </w:rPr>
        <w:t>.)</w:t>
      </w:r>
    </w:p>
    <w:p w:rsidR="00AD1D59" w:rsidRPr="00D16C7C" w:rsidP="003C73DB" w14:paraId="04586C6C" w14:textId="5B7DBC17">
      <w:pPr>
        <w:tabs>
          <w:tab w:val="left" w:pos="1440"/>
        </w:tabs>
        <w:ind w:firstLine="720"/>
        <w:rPr>
          <w:rFonts w:eastAsia="Arial Unicode MS" w:cs="Arial Unicode MS"/>
        </w:rPr>
      </w:pPr>
      <w:r w:rsidRPr="00D16C7C">
        <w:rPr>
          <w:rFonts w:eastAsia="Arial Unicode MS" w:cs="Arial Unicode MS"/>
        </w:rPr>
        <w:t>Section 213.5, subdivision (b) provides</w:t>
      </w:r>
      <w:r w:rsidRPr="00D16C7C" w:rsidR="0068514E">
        <w:rPr>
          <w:rFonts w:eastAsia="Arial Unicode MS" w:cs="Arial Unicode MS"/>
        </w:rPr>
        <w:t xml:space="preserve"> in relevant part</w:t>
      </w:r>
      <w:r w:rsidRPr="00D16C7C">
        <w:rPr>
          <w:rFonts w:eastAsia="Arial Unicode MS" w:cs="Arial Unicode MS"/>
        </w:rPr>
        <w:t>:</w:t>
      </w:r>
      <w:r w:rsidRPr="00D16C7C" w:rsidR="0068514E">
        <w:t xml:space="preserve">  </w:t>
      </w:r>
      <w:r w:rsidRPr="00D16C7C" w:rsidR="0068514E">
        <w:rPr>
          <w:rFonts w:eastAsia="Arial Unicode MS" w:cs="Arial Unicode MS"/>
        </w:rPr>
        <w:t>“After a petition has been filed pursuant to Section 601 or 602 to declare a child a ward of the juvenile court, and until the time that the petition is dismissed or wardship is terminated, upon application in the manner provided by Section 527 of the Code of Civil Procedure</w:t>
      </w:r>
      <w:r w:rsidRPr="00D16C7C" w:rsidR="00443372">
        <w:rPr>
          <w:rFonts w:eastAsia="Arial Unicode MS" w:cs="Arial Unicode MS"/>
        </w:rPr>
        <w:t> </w:t>
      </w:r>
      <w:r w:rsidRPr="00D16C7C" w:rsidR="0068514E">
        <w:rPr>
          <w:rFonts w:eastAsia="Arial Unicode MS" w:cs="Arial Unicode MS"/>
        </w:rPr>
        <w:t>.</w:t>
      </w:r>
      <w:r w:rsidRPr="00D16C7C" w:rsidR="00060CF3">
        <w:rPr>
          <w:rFonts w:eastAsia="Arial Unicode MS" w:cs="Arial Unicode MS"/>
        </w:rPr>
        <w:t> </w:t>
      </w:r>
      <w:r w:rsidRPr="00D16C7C" w:rsidR="0068514E">
        <w:rPr>
          <w:rFonts w:eastAsia="Arial Unicode MS" w:cs="Arial Unicode MS"/>
        </w:rPr>
        <w:t>.</w:t>
      </w:r>
      <w:r w:rsidRPr="00D16C7C" w:rsidR="00060CF3">
        <w:rPr>
          <w:rFonts w:eastAsia="Arial Unicode MS" w:cs="Arial Unicode MS"/>
        </w:rPr>
        <w:t> </w:t>
      </w:r>
      <w:r w:rsidRPr="00D16C7C" w:rsidR="0068514E">
        <w:rPr>
          <w:rFonts w:eastAsia="Arial Unicode MS" w:cs="Arial Unicode MS"/>
        </w:rPr>
        <w:t>.</w:t>
      </w:r>
      <w:r w:rsidRPr="00D16C7C" w:rsidR="00060CF3">
        <w:rPr>
          <w:rFonts w:eastAsia="Arial Unicode MS" w:cs="Arial Unicode MS"/>
        </w:rPr>
        <w:t> </w:t>
      </w:r>
      <w:r w:rsidRPr="00D16C7C" w:rsidR="0068514E">
        <w:rPr>
          <w:rFonts w:eastAsia="Arial Unicode MS" w:cs="Arial Unicode MS"/>
        </w:rPr>
        <w:t>, the juvenile court may issue ex parte orders .</w:t>
      </w:r>
      <w:r w:rsidRPr="00D16C7C" w:rsidR="00060CF3">
        <w:rPr>
          <w:rFonts w:eastAsia="Arial Unicode MS" w:cs="Arial Unicode MS"/>
        </w:rPr>
        <w:t> </w:t>
      </w:r>
      <w:r w:rsidRPr="00D16C7C" w:rsidR="0068514E">
        <w:rPr>
          <w:rFonts w:eastAsia="Arial Unicode MS" w:cs="Arial Unicode MS"/>
        </w:rPr>
        <w:t>.</w:t>
      </w:r>
      <w:r w:rsidRPr="00D16C7C" w:rsidR="00060CF3">
        <w:rPr>
          <w:rFonts w:eastAsia="Arial Unicode MS" w:cs="Arial Unicode MS"/>
        </w:rPr>
        <w:t> </w:t>
      </w:r>
      <w:r w:rsidRPr="00D16C7C" w:rsidR="0068514E">
        <w:rPr>
          <w:rFonts w:eastAsia="Arial Unicode MS" w:cs="Arial Unicode MS"/>
        </w:rPr>
        <w:t>. enjoining the child from contacting, threatening, stalking, or disturbing the peace of any person the court finds to be at risk from the conduct of the child, or with whom association would be detrimental to the child.”</w:t>
      </w:r>
    </w:p>
    <w:p w:rsidR="00EA1618" w:rsidRPr="00D16C7C" w:rsidP="003C73DB" w14:paraId="23C8F7E8" w14:textId="33FE180F">
      <w:pPr>
        <w:tabs>
          <w:tab w:val="left" w:pos="1440"/>
        </w:tabs>
        <w:ind w:firstLine="720"/>
        <w:rPr>
          <w:rFonts w:eastAsia="Arial Unicode MS" w:cs="Arial Unicode MS"/>
        </w:rPr>
      </w:pPr>
      <w:r w:rsidRPr="00D16C7C">
        <w:rPr>
          <w:rFonts w:eastAsia="Arial Unicode MS" w:cs="Arial Unicode MS"/>
        </w:rPr>
        <w:t>Section</w:t>
      </w:r>
      <w:r w:rsidRPr="00D16C7C" w:rsidR="000A4192">
        <w:rPr>
          <w:rFonts w:eastAsia="Arial Unicode MS" w:cs="Arial Unicode MS"/>
        </w:rPr>
        <w:t xml:space="preserve"> 213.5 goes on to provide a process </w:t>
      </w:r>
      <w:r w:rsidRPr="00D16C7C" w:rsidR="00FD2488">
        <w:rPr>
          <w:rFonts w:eastAsia="Arial Unicode MS" w:cs="Arial Unicode MS"/>
        </w:rPr>
        <w:t xml:space="preserve">that applies </w:t>
      </w:r>
      <w:r w:rsidRPr="00D16C7C" w:rsidR="000A4192">
        <w:rPr>
          <w:rFonts w:eastAsia="Arial Unicode MS" w:cs="Arial Unicode MS"/>
        </w:rPr>
        <w:t>when a TRO is issued without notice</w:t>
      </w:r>
      <w:r w:rsidRPr="00D16C7C" w:rsidR="001A6F94">
        <w:rPr>
          <w:rFonts w:eastAsia="Arial Unicode MS" w:cs="Arial Unicode MS"/>
        </w:rPr>
        <w:t xml:space="preserve">:  </w:t>
      </w:r>
      <w:r w:rsidRPr="00D16C7C" w:rsidR="00F2181F">
        <w:rPr>
          <w:rFonts w:eastAsia="Arial Unicode MS" w:cs="Arial Unicode MS"/>
        </w:rPr>
        <w:t>“</w:t>
      </w:r>
      <w:r w:rsidRPr="00D16C7C" w:rsidR="003904EA">
        <w:rPr>
          <w:rFonts w:eastAsia="Arial Unicode MS" w:cs="Arial Unicode MS"/>
        </w:rPr>
        <w:t xml:space="preserve">If a temporary restraining order is granted without notice, the matter shall be made returnable on an order requiring cause to be shown why the order should not be granted, on the earliest day that the business of the court will permit, but not later than 21 days or, if good cause appears to the court, 25 days from the date the temporary restraining order is granted. </w:t>
      </w:r>
      <w:r w:rsidRPr="00D16C7C" w:rsidR="00F2181F">
        <w:rPr>
          <w:rFonts w:eastAsia="Arial Unicode MS" w:cs="Arial Unicode MS"/>
        </w:rPr>
        <w:t xml:space="preserve"> </w:t>
      </w:r>
      <w:r w:rsidRPr="00D16C7C" w:rsidR="003904EA">
        <w:rPr>
          <w:rFonts w:eastAsia="Arial Unicode MS" w:cs="Arial Unicode MS"/>
        </w:rPr>
        <w:t>The court may, on the motion of the person seeking the restraining order, or on its own motion, shorten the time for the service of the order to show cause on the person to be restrained.</w:t>
      </w:r>
      <w:r w:rsidRPr="00D16C7C" w:rsidR="00F2181F">
        <w:rPr>
          <w:rFonts w:eastAsia="Arial Unicode MS" w:cs="Arial Unicode MS"/>
        </w:rPr>
        <w:t>”</w:t>
      </w:r>
      <w:r w:rsidRPr="00D16C7C">
        <w:rPr>
          <w:rFonts w:eastAsia="Arial Unicode MS" w:cs="Arial Unicode MS"/>
        </w:rPr>
        <w:t xml:space="preserve">  (</w:t>
      </w:r>
      <w:r w:rsidRPr="000E4034" w:rsidR="00F97912">
        <w:rPr>
          <w:rFonts w:eastAsia="Arial Unicode MS" w:cs="Arial Unicode MS"/>
          <w:i/>
          <w:iCs/>
        </w:rPr>
        <w:t>Id.</w:t>
      </w:r>
      <w:r w:rsidRPr="00D16C7C">
        <w:rPr>
          <w:rFonts w:eastAsia="Arial Unicode MS" w:cs="Arial Unicode MS"/>
        </w:rPr>
        <w:t>, subd.</w:t>
      </w:r>
      <w:r w:rsidRPr="00D16C7C" w:rsidR="00747F97">
        <w:rPr>
          <w:rFonts w:eastAsia="Arial Unicode MS" w:cs="Arial Unicode MS"/>
        </w:rPr>
        <w:t> </w:t>
      </w:r>
      <w:r w:rsidRPr="00D16C7C">
        <w:rPr>
          <w:rFonts w:eastAsia="Arial Unicode MS" w:cs="Arial Unicode MS"/>
        </w:rPr>
        <w:t>(c)</w:t>
      </w:r>
      <w:r w:rsidRPr="00D16C7C" w:rsidR="00747F97">
        <w:rPr>
          <w:rFonts w:eastAsia="Arial Unicode MS" w:cs="Arial Unicode MS"/>
        </w:rPr>
        <w:t>(1)</w:t>
      </w:r>
      <w:r w:rsidRPr="00D16C7C">
        <w:rPr>
          <w:rFonts w:eastAsia="Arial Unicode MS" w:cs="Arial Unicode MS"/>
        </w:rPr>
        <w:t xml:space="preserve">.)  </w:t>
      </w:r>
      <w:r w:rsidRPr="00D16C7C" w:rsidR="00C25D56">
        <w:rPr>
          <w:rFonts w:eastAsia="Arial Unicode MS" w:cs="Arial Unicode MS"/>
        </w:rPr>
        <w:t>In the alternative</w:t>
      </w:r>
      <w:r w:rsidRPr="00D16C7C" w:rsidR="00907C6A">
        <w:rPr>
          <w:rFonts w:eastAsia="Arial Unicode MS" w:cs="Arial Unicode MS"/>
        </w:rPr>
        <w:t>,</w:t>
      </w:r>
      <w:r w:rsidRPr="00D16C7C" w:rsidR="00C25D56">
        <w:rPr>
          <w:rFonts w:eastAsia="Arial Unicode MS" w:cs="Arial Unicode MS"/>
        </w:rPr>
        <w:t xml:space="preserve"> or following the expiration of a TRO granted without notice</w:t>
      </w:r>
      <w:r w:rsidRPr="00D16C7C" w:rsidR="00907C6A">
        <w:rPr>
          <w:rFonts w:eastAsia="Arial Unicode MS" w:cs="Arial Unicode MS"/>
        </w:rPr>
        <w:t>,</w:t>
      </w:r>
      <w:r w:rsidRPr="00D16C7C" w:rsidR="00BC5EAD">
        <w:rPr>
          <w:rFonts w:eastAsia="Arial Unicode MS" w:cs="Arial Unicode MS"/>
        </w:rPr>
        <w:t xml:space="preserve"> </w:t>
      </w:r>
      <w:r w:rsidRPr="00D16C7C" w:rsidR="00C25D56">
        <w:rPr>
          <w:rFonts w:eastAsia="Arial Unicode MS" w:cs="Arial Unicode MS"/>
        </w:rPr>
        <w:t xml:space="preserve">the juvenile court may, upon notice and hearing, issue </w:t>
      </w:r>
      <w:r w:rsidRPr="00D16C7C" w:rsidR="006F0E50">
        <w:rPr>
          <w:rFonts w:eastAsia="Arial Unicode MS" w:cs="Arial Unicode MS"/>
        </w:rPr>
        <w:t xml:space="preserve">a restraining order that may </w:t>
      </w:r>
      <w:r w:rsidRPr="00D16C7C" w:rsidR="005A5BF3">
        <w:rPr>
          <w:rFonts w:eastAsia="Arial Unicode MS" w:cs="Arial Unicode MS"/>
        </w:rPr>
        <w:t>“remain in effect, in the discretion of the court, no more than three years, unless otherwise terminated by the court, extended by mutual consent of all parties to the restraining order, or extended by further order of the court on the motion of any party to the restraining order.”  (</w:t>
      </w:r>
      <w:r w:rsidR="00C45E78">
        <w:rPr>
          <w:rFonts w:eastAsia="Arial Unicode MS" w:cs="Arial Unicode MS"/>
          <w:i/>
          <w:iCs/>
        </w:rPr>
        <w:t>Id.</w:t>
      </w:r>
      <w:r w:rsidRPr="00D16C7C" w:rsidR="001A6F94">
        <w:rPr>
          <w:rFonts w:eastAsia="Arial Unicode MS" w:cs="Arial Unicode MS"/>
        </w:rPr>
        <w:t>, subd.</w:t>
      </w:r>
      <w:r w:rsidRPr="00D16C7C" w:rsidR="00907C6A">
        <w:rPr>
          <w:rFonts w:eastAsia="Arial Unicode MS" w:cs="Arial Unicode MS"/>
        </w:rPr>
        <w:t> </w:t>
      </w:r>
      <w:r w:rsidRPr="00D16C7C" w:rsidR="005A5BF3">
        <w:rPr>
          <w:rFonts w:eastAsia="Arial Unicode MS" w:cs="Arial Unicode MS"/>
        </w:rPr>
        <w:t>(d)(1).)</w:t>
      </w:r>
    </w:p>
    <w:p w:rsidR="00CA3894" w:rsidRPr="00D16C7C" w:rsidP="003C73DB" w14:paraId="0717A3AA" w14:textId="3BC73C2A">
      <w:pPr>
        <w:tabs>
          <w:tab w:val="left" w:pos="1440"/>
        </w:tabs>
        <w:ind w:firstLine="720"/>
        <w:rPr>
          <w:rFonts w:eastAsia="Arial Unicode MS" w:cs="Arial Unicode MS"/>
        </w:rPr>
      </w:pPr>
      <w:r w:rsidRPr="00D16C7C">
        <w:rPr>
          <w:rFonts w:eastAsia="Arial Unicode MS" w:cs="Arial Unicode MS"/>
        </w:rPr>
        <w:t>By its terms, section 213.5, s</w:t>
      </w:r>
      <w:r w:rsidRPr="00D16C7C">
        <w:rPr>
          <w:rFonts w:eastAsia="Arial Unicode MS" w:cs="Arial Unicode MS"/>
        </w:rPr>
        <w:t xml:space="preserve">ubdivision (b) </w:t>
      </w:r>
      <w:r w:rsidRPr="00D16C7C">
        <w:rPr>
          <w:rFonts w:eastAsia="Arial Unicode MS" w:cs="Arial Unicode MS"/>
        </w:rPr>
        <w:t>says that a court may issue a</w:t>
      </w:r>
      <w:r w:rsidRPr="00D16C7C" w:rsidR="004C03D9">
        <w:rPr>
          <w:rFonts w:eastAsia="Arial Unicode MS" w:cs="Arial Unicode MS"/>
        </w:rPr>
        <w:t>n ex parte order for injunctive relief</w:t>
      </w:r>
      <w:r w:rsidRPr="00D16C7C">
        <w:rPr>
          <w:rFonts w:eastAsia="Arial Unicode MS" w:cs="Arial Unicode MS"/>
        </w:rPr>
        <w:t xml:space="preserve"> “upon application in the manner provided by Section 527 of the Code of Civil Procedure.”  </w:t>
      </w:r>
      <w:r w:rsidRPr="00D16C7C">
        <w:rPr>
          <w:rFonts w:eastAsia="Arial Unicode MS" w:cs="Arial Unicode MS"/>
        </w:rPr>
        <w:t xml:space="preserve">Code of Civil Procedure section 527 </w:t>
      </w:r>
      <w:r w:rsidRPr="00D16C7C">
        <w:rPr>
          <w:rFonts w:eastAsia="Arial Unicode MS" w:cs="Arial Unicode MS"/>
        </w:rPr>
        <w:t>states in relevant part</w:t>
      </w:r>
      <w:r w:rsidRPr="00D16C7C">
        <w:rPr>
          <w:rFonts w:eastAsia="Arial Unicode MS"/>
          <w:szCs w:val="26"/>
        </w:rPr>
        <w:t>:</w:t>
      </w:r>
      <w:r w:rsidRPr="00D16C7C">
        <w:rPr>
          <w:szCs w:val="26"/>
          <w:bdr w:val="none" w:sz="0" w:space="0" w:color="auto" w:frame="1"/>
        </w:rPr>
        <w:t xml:space="preserve">  “</w:t>
      </w:r>
      <w:r w:rsidRPr="00D16C7C">
        <w:rPr>
          <w:rFonts w:eastAsia="Arial Unicode MS"/>
          <w:szCs w:val="26"/>
        </w:rPr>
        <w:t>N</w:t>
      </w:r>
      <w:r w:rsidRPr="00D16C7C">
        <w:rPr>
          <w:rFonts w:eastAsia="Arial Unicode MS" w:cs="Arial Unicode MS"/>
        </w:rPr>
        <w:t xml:space="preserve">o temporary restraining order shall be granted without notice to the opposing party, unless both of the following requirements are satisfied: </w:t>
      </w:r>
      <w:r w:rsidR="00F97912">
        <w:rPr>
          <w:rFonts w:eastAsia="Arial Unicode MS" w:cs="Arial Unicode MS"/>
        </w:rPr>
        <w:t xml:space="preserve"> [¶]</w:t>
      </w:r>
      <w:r w:rsidRPr="00D16C7C">
        <w:rPr>
          <w:rFonts w:eastAsia="Arial Unicode MS" w:cs="Arial Unicode MS"/>
        </w:rPr>
        <w:t xml:space="preserve"> </w:t>
      </w:r>
      <w:r w:rsidRPr="00D16C7C">
        <w:rPr>
          <w:rFonts w:eastAsia="Arial Unicode MS" w:cs="Arial Unicode MS"/>
        </w:rPr>
        <w:t xml:space="preserve">(1) It appears from facts shown by affidavit or by the verified complaint that great or irreparable injury will result to the applicant before the matter can be heard on notice.  </w:t>
      </w:r>
      <w:r w:rsidR="00F97912">
        <w:rPr>
          <w:rFonts w:eastAsia="Arial Unicode MS" w:cs="Arial Unicode MS"/>
        </w:rPr>
        <w:t>[¶]</w:t>
      </w:r>
      <w:r w:rsidRPr="00D16C7C" w:rsidR="00F97912">
        <w:rPr>
          <w:rFonts w:eastAsia="Arial Unicode MS" w:cs="Arial Unicode MS"/>
        </w:rPr>
        <w:t xml:space="preserve"> </w:t>
      </w:r>
      <w:r w:rsidRPr="00D16C7C">
        <w:rPr>
          <w:rFonts w:eastAsia="Arial Unicode MS" w:cs="Arial Unicode MS"/>
        </w:rPr>
        <w:t xml:space="preserve">(2) The applicant or the applicant’s attorney certifies one of the following to the court under oath:  </w:t>
      </w:r>
      <w:r w:rsidR="00F97912">
        <w:rPr>
          <w:rFonts w:eastAsia="Arial Unicode MS" w:cs="Arial Unicode MS"/>
        </w:rPr>
        <w:t>[¶]</w:t>
      </w:r>
      <w:r w:rsidRPr="00D16C7C" w:rsidR="00F97912">
        <w:rPr>
          <w:rFonts w:eastAsia="Arial Unicode MS" w:cs="Arial Unicode MS"/>
        </w:rPr>
        <w:t xml:space="preserve"> </w:t>
      </w:r>
      <w:r w:rsidRPr="00D16C7C">
        <w:rPr>
          <w:rFonts w:eastAsia="Arial Unicode MS" w:cs="Arial Unicode MS"/>
        </w:rPr>
        <w:t xml:space="preserve">(A) That within a reasonable time prior to the application the applicant informed the opposing party or the opposing party’s attorney at what time and where the application would be made.  </w:t>
      </w:r>
      <w:r w:rsidR="00F97912">
        <w:rPr>
          <w:rFonts w:eastAsia="Arial Unicode MS" w:cs="Arial Unicode MS"/>
        </w:rPr>
        <w:t>[¶]</w:t>
      </w:r>
      <w:r w:rsidRPr="00D16C7C" w:rsidR="00F97912">
        <w:rPr>
          <w:rFonts w:eastAsia="Arial Unicode MS" w:cs="Arial Unicode MS"/>
        </w:rPr>
        <w:t xml:space="preserve"> </w:t>
      </w:r>
      <w:r w:rsidRPr="00D16C7C">
        <w:rPr>
          <w:rFonts w:eastAsia="Arial Unicode MS" w:cs="Arial Unicode MS"/>
        </w:rPr>
        <w:t xml:space="preserve">(B) That the applicant in good faith attempted but was unable to inform the opposing party and the opposing party’s attorney, specifying the efforts made to contact them.  </w:t>
      </w:r>
      <w:r w:rsidR="00F97912">
        <w:rPr>
          <w:rFonts w:eastAsia="Arial Unicode MS" w:cs="Arial Unicode MS"/>
        </w:rPr>
        <w:t>[¶]</w:t>
      </w:r>
      <w:r w:rsidRPr="00D16C7C" w:rsidR="00F97912">
        <w:rPr>
          <w:rFonts w:eastAsia="Arial Unicode MS" w:cs="Arial Unicode MS"/>
        </w:rPr>
        <w:t xml:space="preserve"> </w:t>
      </w:r>
      <w:r w:rsidRPr="00D16C7C">
        <w:rPr>
          <w:rFonts w:eastAsia="Arial Unicode MS" w:cs="Arial Unicode MS"/>
        </w:rPr>
        <w:t xml:space="preserve">(C) That for reasons specified the applicant should not be required to so inform the opposing party or the opposing party’s attorney.”  </w:t>
      </w:r>
      <w:r w:rsidRPr="00F97912">
        <w:rPr>
          <w:rFonts w:eastAsia="Arial Unicode MS" w:cs="Arial Unicode MS"/>
        </w:rPr>
        <w:t>(</w:t>
      </w:r>
      <w:r w:rsidR="00F97912">
        <w:rPr>
          <w:rFonts w:eastAsia="Arial Unicode MS" w:cs="Arial Unicode MS"/>
          <w:i/>
          <w:iCs/>
        </w:rPr>
        <w:t>Id.</w:t>
      </w:r>
      <w:r w:rsidRPr="000E4034" w:rsidR="000F2C2C">
        <w:rPr>
          <w:rFonts w:eastAsia="Arial Unicode MS" w:cs="Arial Unicode MS"/>
          <w:i/>
          <w:iCs/>
        </w:rPr>
        <w:t>,</w:t>
      </w:r>
      <w:r w:rsidRPr="00D16C7C" w:rsidR="000F2C2C">
        <w:rPr>
          <w:rFonts w:eastAsia="Arial Unicode MS" w:cs="Arial Unicode MS"/>
          <w:iCs/>
        </w:rPr>
        <w:t xml:space="preserve"> </w:t>
      </w:r>
      <w:r w:rsidRPr="00D16C7C">
        <w:rPr>
          <w:rFonts w:eastAsia="Arial Unicode MS" w:cs="Arial Unicode MS"/>
        </w:rPr>
        <w:t>subd.</w:t>
      </w:r>
      <w:r w:rsidRPr="00D16C7C" w:rsidR="000F2C2C">
        <w:rPr>
          <w:rFonts w:eastAsia="Arial Unicode MS" w:cs="Arial Unicode MS"/>
        </w:rPr>
        <w:t> </w:t>
      </w:r>
      <w:r w:rsidRPr="00D16C7C">
        <w:rPr>
          <w:rFonts w:eastAsia="Arial Unicode MS" w:cs="Arial Unicode MS"/>
        </w:rPr>
        <w:t>(c).)</w:t>
      </w:r>
    </w:p>
    <w:p w:rsidR="002732DA" w:rsidRPr="00D16C7C" w:rsidP="003C73DB" w14:paraId="1F915A17" w14:textId="73F5F472">
      <w:pPr>
        <w:tabs>
          <w:tab w:val="left" w:pos="1440"/>
        </w:tabs>
        <w:ind w:firstLine="720"/>
        <w:rPr>
          <w:rFonts w:eastAsia="Arial Unicode MS" w:cs="Arial Unicode MS"/>
        </w:rPr>
      </w:pPr>
      <w:r w:rsidRPr="00D16C7C">
        <w:rPr>
          <w:rFonts w:eastAsia="Arial Unicode MS" w:cs="Arial Unicode MS"/>
        </w:rPr>
        <w:t>The district attorney</w:t>
      </w:r>
      <w:r w:rsidR="00BE6713">
        <w:rPr>
          <w:rFonts w:eastAsia="Arial Unicode MS" w:cs="Arial Unicode MS"/>
        </w:rPr>
        <w:t xml:space="preserve"> contends</w:t>
      </w:r>
      <w:r w:rsidRPr="00D16C7C">
        <w:rPr>
          <w:rFonts w:eastAsia="Arial Unicode MS" w:cs="Arial Unicode MS"/>
        </w:rPr>
        <w:t xml:space="preserve">, </w:t>
      </w:r>
      <w:r w:rsidR="00BE6713">
        <w:rPr>
          <w:rFonts w:eastAsia="Arial Unicode MS" w:cs="Arial Unicode MS"/>
        </w:rPr>
        <w:t>as</w:t>
      </w:r>
      <w:r w:rsidRPr="00D16C7C" w:rsidR="00BE6713">
        <w:rPr>
          <w:rFonts w:eastAsia="Arial Unicode MS" w:cs="Arial Unicode MS"/>
        </w:rPr>
        <w:t xml:space="preserve"> </w:t>
      </w:r>
      <w:r w:rsidRPr="00D16C7C">
        <w:rPr>
          <w:rFonts w:eastAsia="Arial Unicode MS" w:cs="Arial Unicode MS"/>
        </w:rPr>
        <w:t xml:space="preserve">the </w:t>
      </w:r>
      <w:r w:rsidRPr="00D16C7C" w:rsidR="000F2C2C">
        <w:rPr>
          <w:rFonts w:eastAsia="Arial Unicode MS" w:cs="Arial Unicode MS"/>
        </w:rPr>
        <w:t xml:space="preserve">Court of Appeal </w:t>
      </w:r>
      <w:r w:rsidR="00BE6713">
        <w:rPr>
          <w:rFonts w:eastAsia="Arial Unicode MS" w:cs="Arial Unicode MS"/>
        </w:rPr>
        <w:t xml:space="preserve">held </w:t>
      </w:r>
      <w:r w:rsidRPr="00D16C7C">
        <w:rPr>
          <w:rFonts w:eastAsia="Arial Unicode MS" w:cs="Arial Unicode MS"/>
        </w:rPr>
        <w:t xml:space="preserve">below, </w:t>
      </w:r>
      <w:r w:rsidRPr="00D16C7C" w:rsidR="00684CD5">
        <w:rPr>
          <w:rFonts w:eastAsia="Arial Unicode MS" w:cs="Arial Unicode MS"/>
        </w:rPr>
        <w:t>that</w:t>
      </w:r>
      <w:r w:rsidRPr="00D16C7C" w:rsidR="00D10690">
        <w:rPr>
          <w:rFonts w:eastAsia="Arial Unicode MS" w:cs="Arial Unicode MS"/>
        </w:rPr>
        <w:t xml:space="preserve"> </w:t>
      </w:r>
      <w:r w:rsidRPr="00D16C7C" w:rsidR="000F2C2C">
        <w:rPr>
          <w:rFonts w:eastAsia="Arial Unicode MS" w:cs="Arial Unicode MS"/>
        </w:rPr>
        <w:t xml:space="preserve">section 213.5, </w:t>
      </w:r>
      <w:r w:rsidRPr="00D16C7C" w:rsidR="00D10690">
        <w:rPr>
          <w:rFonts w:eastAsia="Arial Unicode MS" w:cs="Arial Unicode MS"/>
        </w:rPr>
        <w:t>subdivision (c)</w:t>
      </w:r>
      <w:r w:rsidR="004E23BD">
        <w:rPr>
          <w:rFonts w:eastAsia="Arial Unicode MS" w:cs="Arial Unicode MS"/>
        </w:rPr>
        <w:t>(1)</w:t>
      </w:r>
      <w:r w:rsidRPr="00D16C7C" w:rsidR="00684CD5">
        <w:rPr>
          <w:rFonts w:eastAsia="Arial Unicode MS" w:cs="Arial Unicode MS"/>
        </w:rPr>
        <w:t xml:space="preserve">’s reference to </w:t>
      </w:r>
      <w:r w:rsidRPr="00D16C7C" w:rsidR="00D10690">
        <w:rPr>
          <w:rFonts w:eastAsia="Arial Unicode MS" w:cs="Arial Unicode MS"/>
        </w:rPr>
        <w:t xml:space="preserve">a TRO </w:t>
      </w:r>
      <w:r w:rsidRPr="00D16C7C" w:rsidR="000F2C2C">
        <w:rPr>
          <w:rFonts w:eastAsia="Arial Unicode MS" w:cs="Arial Unicode MS"/>
        </w:rPr>
        <w:t>“</w:t>
      </w:r>
      <w:r w:rsidRPr="00D16C7C" w:rsidR="00684CD5">
        <w:rPr>
          <w:rFonts w:eastAsia="Arial Unicode MS" w:cs="Arial Unicode MS"/>
        </w:rPr>
        <w:t xml:space="preserve">granted </w:t>
      </w:r>
      <w:r w:rsidRPr="00D16C7C" w:rsidR="00D10690">
        <w:rPr>
          <w:rFonts w:eastAsia="Arial Unicode MS" w:cs="Arial Unicode MS"/>
        </w:rPr>
        <w:t>without notice</w:t>
      </w:r>
      <w:r w:rsidRPr="00D16C7C" w:rsidR="000F2C2C">
        <w:rPr>
          <w:rFonts w:eastAsia="Arial Unicode MS" w:cs="Arial Unicode MS"/>
        </w:rPr>
        <w:t xml:space="preserve">” </w:t>
      </w:r>
      <w:r w:rsidRPr="00D16C7C" w:rsidR="00684CD5">
        <w:rPr>
          <w:rFonts w:eastAsia="Arial Unicode MS" w:cs="Arial Unicode MS"/>
        </w:rPr>
        <w:t xml:space="preserve">suggests </w:t>
      </w:r>
      <w:r w:rsidRPr="00D16C7C" w:rsidR="00B61F29">
        <w:rPr>
          <w:rFonts w:eastAsia="Arial Unicode MS" w:cs="Arial Unicode MS"/>
        </w:rPr>
        <w:t xml:space="preserve">that notice and </w:t>
      </w:r>
      <w:r w:rsidRPr="00D16C7C" w:rsidR="00747F97">
        <w:rPr>
          <w:rFonts w:eastAsia="Arial Unicode MS" w:cs="Arial Unicode MS"/>
        </w:rPr>
        <w:t xml:space="preserve">a </w:t>
      </w:r>
      <w:r w:rsidRPr="00D16C7C" w:rsidR="00B61F29">
        <w:rPr>
          <w:rFonts w:eastAsia="Arial Unicode MS" w:cs="Arial Unicode MS"/>
        </w:rPr>
        <w:t xml:space="preserve">hearing are required </w:t>
      </w:r>
      <w:r w:rsidRPr="00D16C7C" w:rsidR="008C3B42">
        <w:rPr>
          <w:rFonts w:eastAsia="Arial Unicode MS" w:cs="Arial Unicode MS"/>
          <w:iCs/>
        </w:rPr>
        <w:t>only</w:t>
      </w:r>
      <w:r w:rsidRPr="00D16C7C" w:rsidR="008C3B42">
        <w:rPr>
          <w:rFonts w:eastAsia="Arial Unicode MS" w:cs="Arial Unicode MS"/>
        </w:rPr>
        <w:t xml:space="preserve"> </w:t>
      </w:r>
      <w:r w:rsidRPr="00D16C7C" w:rsidR="00B61F29">
        <w:rPr>
          <w:rFonts w:eastAsia="Arial Unicode MS" w:cs="Arial Unicode MS"/>
        </w:rPr>
        <w:t xml:space="preserve">for a restraining order extending beyond the </w:t>
      </w:r>
      <w:r w:rsidRPr="00D16C7C" w:rsidR="00747F97">
        <w:rPr>
          <w:rFonts w:eastAsia="Arial Unicode MS" w:cs="Arial Unicode MS"/>
        </w:rPr>
        <w:t>21 or</w:t>
      </w:r>
      <w:r w:rsidRPr="00D16C7C" w:rsidR="008C3B42">
        <w:rPr>
          <w:rFonts w:eastAsia="Arial Unicode MS" w:cs="Arial Unicode MS"/>
        </w:rPr>
        <w:t xml:space="preserve"> </w:t>
      </w:r>
      <w:r w:rsidRPr="00D16C7C" w:rsidR="00B61F29">
        <w:rPr>
          <w:rFonts w:eastAsia="Arial Unicode MS" w:cs="Arial Unicode MS"/>
        </w:rPr>
        <w:t xml:space="preserve">25 days provided for in </w:t>
      </w:r>
      <w:r w:rsidR="000E4034">
        <w:rPr>
          <w:rFonts w:eastAsia="Arial Unicode MS" w:cs="Arial Unicode MS"/>
        </w:rPr>
        <w:t>that subdivision</w:t>
      </w:r>
      <w:r w:rsidRPr="00D16C7C" w:rsidR="00B61F29">
        <w:rPr>
          <w:rFonts w:eastAsia="Arial Unicode MS" w:cs="Arial Unicode MS"/>
        </w:rPr>
        <w:t xml:space="preserve">.  </w:t>
      </w:r>
      <w:r w:rsidRPr="00D16C7C">
        <w:rPr>
          <w:rFonts w:eastAsia="Arial Unicode MS" w:cs="Arial Unicode MS"/>
        </w:rPr>
        <w:t xml:space="preserve">According to the district attorney, it is the absence of notice and a formal hearing that </w:t>
      </w:r>
      <w:r w:rsidRPr="00D16C7C" w:rsidR="00684CD5">
        <w:rPr>
          <w:rFonts w:eastAsia="Arial Unicode MS" w:cs="Arial Unicode MS"/>
        </w:rPr>
        <w:t xml:space="preserve">differentiates </w:t>
      </w:r>
      <w:r w:rsidRPr="00D16C7C" w:rsidR="00747F97">
        <w:rPr>
          <w:rFonts w:eastAsia="Arial Unicode MS" w:cs="Arial Unicode MS"/>
        </w:rPr>
        <w:t xml:space="preserve">the process for issuing </w:t>
      </w:r>
      <w:r w:rsidRPr="00D16C7C">
        <w:rPr>
          <w:rFonts w:eastAsia="Arial Unicode MS" w:cs="Arial Unicode MS"/>
        </w:rPr>
        <w:t>a</w:t>
      </w:r>
      <w:r w:rsidRPr="00D16C7C" w:rsidR="00747F97">
        <w:rPr>
          <w:rFonts w:eastAsia="Arial Unicode MS" w:cs="Arial Unicode MS"/>
        </w:rPr>
        <w:t xml:space="preserve"> 21- or 25-day</w:t>
      </w:r>
      <w:r w:rsidRPr="00D16C7C">
        <w:rPr>
          <w:rFonts w:eastAsia="Arial Unicode MS" w:cs="Arial Unicode MS"/>
        </w:rPr>
        <w:t xml:space="preserve"> TRO from </w:t>
      </w:r>
      <w:r w:rsidRPr="00D16C7C" w:rsidR="00747F97">
        <w:rPr>
          <w:rFonts w:eastAsia="Arial Unicode MS" w:cs="Arial Unicode MS"/>
        </w:rPr>
        <w:t xml:space="preserve">the process for issuing </w:t>
      </w:r>
      <w:r w:rsidRPr="00D16C7C">
        <w:rPr>
          <w:rFonts w:eastAsia="Arial Unicode MS" w:cs="Arial Unicode MS"/>
        </w:rPr>
        <w:t>a restraining order</w:t>
      </w:r>
      <w:r w:rsidRPr="00D16C7C" w:rsidR="00747F97">
        <w:rPr>
          <w:rFonts w:eastAsia="Arial Unicode MS" w:cs="Arial Unicode MS"/>
        </w:rPr>
        <w:t xml:space="preserve"> of longer duration</w:t>
      </w:r>
      <w:r w:rsidRPr="00D16C7C">
        <w:rPr>
          <w:rFonts w:eastAsia="Arial Unicode MS" w:cs="Arial Unicode MS"/>
        </w:rPr>
        <w:t xml:space="preserve">.  </w:t>
      </w:r>
      <w:r w:rsidRPr="00D16C7C" w:rsidR="00747F97">
        <w:rPr>
          <w:rFonts w:eastAsia="Arial Unicode MS" w:cs="Arial Unicode MS"/>
        </w:rPr>
        <w:t>Echoing</w:t>
      </w:r>
      <w:r w:rsidRPr="00D16C7C" w:rsidR="00CA3894">
        <w:rPr>
          <w:rFonts w:eastAsia="Arial Unicode MS" w:cs="Arial Unicode MS"/>
        </w:rPr>
        <w:t xml:space="preserve"> the Court of Appeal</w:t>
      </w:r>
      <w:r w:rsidRPr="00D16C7C" w:rsidR="00747F97">
        <w:rPr>
          <w:rFonts w:eastAsia="Arial Unicode MS" w:cs="Arial Unicode MS"/>
        </w:rPr>
        <w:t>, the district attorney reads</w:t>
      </w:r>
      <w:r w:rsidRPr="00D16C7C" w:rsidR="00684CD5">
        <w:rPr>
          <w:rFonts w:eastAsia="Arial Unicode MS" w:cs="Arial Unicode MS"/>
        </w:rPr>
        <w:t xml:space="preserve"> </w:t>
      </w:r>
      <w:r w:rsidRPr="00D16C7C" w:rsidR="00CA3894">
        <w:rPr>
          <w:rFonts w:eastAsia="Arial Unicode MS" w:cs="Arial Unicode MS"/>
        </w:rPr>
        <w:t>section 213.5</w:t>
      </w:r>
      <w:r w:rsidRPr="00D16C7C" w:rsidR="00747F97">
        <w:rPr>
          <w:rFonts w:eastAsia="Arial Unicode MS" w:cs="Arial Unicode MS"/>
        </w:rPr>
        <w:t xml:space="preserve"> as distinguishing between a TRO “granted without notice” (§ 213.5, subd. (c)(1)) and a longer-term restraining order granted “upon notice and a hearing” (</w:t>
      </w:r>
      <w:r w:rsidRPr="00D16C7C" w:rsidR="00747F97">
        <w:rPr>
          <w:rFonts w:eastAsia="Arial Unicode MS" w:cs="Arial Unicode MS"/>
          <w:i/>
        </w:rPr>
        <w:t>id.</w:t>
      </w:r>
      <w:r w:rsidRPr="00D16C7C" w:rsidR="00747F97">
        <w:rPr>
          <w:rFonts w:eastAsia="Arial Unicode MS" w:cs="Arial Unicode MS"/>
        </w:rPr>
        <w:t>, subd. (d)(1)).</w:t>
      </w:r>
    </w:p>
    <w:p w:rsidR="003058F5" w:rsidRPr="00D16C7C" w:rsidP="003C73DB" w14:paraId="1CC7FAAE" w14:textId="11BF990E">
      <w:pPr>
        <w:tabs>
          <w:tab w:val="left" w:pos="1440"/>
        </w:tabs>
        <w:ind w:firstLine="720"/>
        <w:rPr>
          <w:rFonts w:eastAsia="Arial Unicode MS" w:cs="Arial Unicode MS"/>
        </w:rPr>
      </w:pPr>
      <w:r w:rsidRPr="00D16C7C">
        <w:rPr>
          <w:rFonts w:eastAsia="Arial Unicode MS" w:cs="Arial Unicode MS"/>
        </w:rPr>
        <w:t xml:space="preserve">But this reading confuses the process for </w:t>
      </w:r>
      <w:r w:rsidRPr="00D16C7C">
        <w:rPr>
          <w:rFonts w:eastAsia="Arial Unicode MS" w:cs="Arial Unicode MS"/>
          <w:iCs/>
        </w:rPr>
        <w:t>obtaining</w:t>
      </w:r>
      <w:r w:rsidRPr="00D16C7C">
        <w:rPr>
          <w:rFonts w:eastAsia="Arial Unicode MS" w:cs="Arial Unicode MS" w:hint="eastAsia"/>
        </w:rPr>
        <w:t>‌</w:t>
      </w:r>
      <w:r w:rsidRPr="00D16C7C">
        <w:rPr>
          <w:rFonts w:eastAsia="Arial Unicode MS" w:cs="Arial Unicode MS" w:hint="eastAsia"/>
        </w:rPr>
        <w:t xml:space="preserve"> </w:t>
      </w:r>
      <w:r w:rsidRPr="00D16C7C" w:rsidR="00684CD5">
        <w:rPr>
          <w:rFonts w:eastAsia="Arial Unicode MS" w:cs="Arial Unicode MS"/>
        </w:rPr>
        <w:t>a TRO</w:t>
      </w:r>
      <w:r w:rsidRPr="00D16C7C">
        <w:rPr>
          <w:rFonts w:eastAsia="Arial Unicode MS" w:cs="Arial Unicode MS"/>
        </w:rPr>
        <w:t xml:space="preserve">, which is set forth in subdivision (b) of section 213.5, </w:t>
      </w:r>
      <w:r w:rsidRPr="00D16C7C" w:rsidR="003E5550">
        <w:rPr>
          <w:rFonts w:eastAsia="Arial Unicode MS" w:cs="Arial Unicode MS"/>
        </w:rPr>
        <w:t xml:space="preserve">with </w:t>
      </w:r>
      <w:r w:rsidRPr="00D16C7C">
        <w:rPr>
          <w:rFonts w:eastAsia="Arial Unicode MS" w:cs="Arial Unicode MS"/>
        </w:rPr>
        <w:t xml:space="preserve">the </w:t>
      </w:r>
      <w:r w:rsidRPr="00D16C7C" w:rsidR="000B2608">
        <w:rPr>
          <w:rFonts w:eastAsia="Arial Unicode MS" w:cs="Arial Unicode MS"/>
        </w:rPr>
        <w:t>process set forth in subdivision (c) that follows</w:t>
      </w:r>
      <w:r w:rsidRPr="00D16C7C" w:rsidR="00684CD5">
        <w:rPr>
          <w:rFonts w:eastAsia="Arial Unicode MS" w:cs="Arial Unicode MS"/>
        </w:rPr>
        <w:t xml:space="preserve"> “[</w:t>
      </w:r>
      <w:r w:rsidRPr="00E0226A" w:rsidR="00684CD5">
        <w:rPr>
          <w:rFonts w:eastAsia="Arial Unicode MS" w:cs="Arial Unicode MS"/>
        </w:rPr>
        <w:t>i</w:t>
      </w:r>
      <w:r w:rsidRPr="00382680" w:rsidR="00684CD5">
        <w:rPr>
          <w:rFonts w:eastAsia="Arial Unicode MS" w:cs="Arial Unicode MS"/>
        </w:rPr>
        <w:t>]</w:t>
      </w:r>
      <w:r w:rsidRPr="00E0226A" w:rsidR="00684CD5">
        <w:rPr>
          <w:rFonts w:eastAsia="Arial Unicode MS" w:cs="Arial Unicode MS"/>
        </w:rPr>
        <w:t>f</w:t>
      </w:r>
      <w:r w:rsidRPr="00D16C7C" w:rsidR="00684CD5">
        <w:rPr>
          <w:rFonts w:eastAsia="Arial Unicode MS" w:cs="Arial Unicode MS"/>
        </w:rPr>
        <w:t xml:space="preserve"> a temporary restraining order is granted without notice” (</w:t>
      </w:r>
      <w:r w:rsidRPr="000E4034" w:rsidR="004E23BD">
        <w:rPr>
          <w:rFonts w:eastAsia="Arial Unicode MS" w:cs="Arial Unicode MS"/>
          <w:i/>
          <w:iCs/>
        </w:rPr>
        <w:t>id.</w:t>
      </w:r>
      <w:r w:rsidRPr="00E0226A" w:rsidR="00684CD5">
        <w:rPr>
          <w:rFonts w:eastAsia="Arial Unicode MS" w:cs="Arial Unicode MS"/>
          <w:iCs/>
        </w:rPr>
        <w:t>,</w:t>
      </w:r>
      <w:r w:rsidRPr="00382680" w:rsidR="00684CD5">
        <w:rPr>
          <w:rFonts w:eastAsia="Arial Unicode MS" w:cs="Arial Unicode MS"/>
        </w:rPr>
        <w:t xml:space="preserve"> </w:t>
      </w:r>
      <w:r w:rsidRPr="00D16C7C" w:rsidR="00684CD5">
        <w:rPr>
          <w:rFonts w:eastAsia="Arial Unicode MS" w:cs="Arial Unicode MS"/>
        </w:rPr>
        <w:t>subd. (c)</w:t>
      </w:r>
      <w:r w:rsidR="004E23BD">
        <w:rPr>
          <w:rFonts w:eastAsia="Arial Unicode MS" w:cs="Arial Unicode MS"/>
        </w:rPr>
        <w:t>(1)</w:t>
      </w:r>
      <w:r w:rsidRPr="00D16C7C" w:rsidR="00684CD5">
        <w:rPr>
          <w:rFonts w:eastAsia="Arial Unicode MS" w:cs="Arial Unicode MS"/>
        </w:rPr>
        <w:t xml:space="preserve">).  </w:t>
      </w:r>
      <w:r w:rsidRPr="00D16C7C">
        <w:rPr>
          <w:rFonts w:eastAsia="Arial Unicode MS" w:cs="Arial Unicode MS"/>
        </w:rPr>
        <w:t xml:space="preserve">In specifying what happens </w:t>
      </w:r>
      <w:r w:rsidRPr="00D16C7C">
        <w:rPr>
          <w:rFonts w:eastAsia="Arial Unicode MS" w:cs="Arial Unicode MS"/>
          <w:i/>
        </w:rPr>
        <w:t>if</w:t>
      </w:r>
      <w:r w:rsidRPr="00D16C7C">
        <w:rPr>
          <w:rFonts w:eastAsia="Arial Unicode MS" w:cs="Arial Unicode MS"/>
        </w:rPr>
        <w:t xml:space="preserve"> a TRO is granted without notice, subdivision (c) says nothing about what procedures must be followed before a TRO may be granted without notice.  That issue is addressed by subdivision (b), which says the court may issue an ex parte order “upon application in the manner provided by Section 527 of the Code of Civil Procedure.”</w:t>
      </w:r>
    </w:p>
    <w:p w:rsidR="00CA3894" w:rsidRPr="00D16C7C" w:rsidP="003C73DB" w14:paraId="38DEB08B" w14:textId="43DAC8C2">
      <w:pPr>
        <w:tabs>
          <w:tab w:val="left" w:pos="1440"/>
        </w:tabs>
        <w:ind w:firstLine="720"/>
      </w:pPr>
      <w:r w:rsidRPr="00D16C7C">
        <w:rPr>
          <w:rFonts w:eastAsia="Arial Unicode MS" w:cs="Arial Unicode MS"/>
        </w:rPr>
        <w:t>The district attorney</w:t>
      </w:r>
      <w:r w:rsidRPr="00D16C7C" w:rsidR="00CF3CD9">
        <w:rPr>
          <w:rFonts w:eastAsia="Arial Unicode MS" w:cs="Arial Unicode MS"/>
        </w:rPr>
        <w:t>, like the court below,</w:t>
      </w:r>
      <w:r w:rsidRPr="00D16C7C">
        <w:rPr>
          <w:rFonts w:eastAsia="Arial Unicode MS" w:cs="Arial Unicode MS"/>
        </w:rPr>
        <w:t xml:space="preserve"> </w:t>
      </w:r>
      <w:r w:rsidRPr="00D16C7C" w:rsidR="00CF3CD9">
        <w:rPr>
          <w:rFonts w:eastAsia="Arial Unicode MS" w:cs="Arial Unicode MS"/>
        </w:rPr>
        <w:t xml:space="preserve">contends </w:t>
      </w:r>
      <w:r w:rsidRPr="00D16C7C">
        <w:rPr>
          <w:rFonts w:eastAsia="Arial Unicode MS" w:cs="Arial Unicode MS"/>
        </w:rPr>
        <w:t xml:space="preserve">that requiring the applicant to comply with the notice requirements of </w:t>
      </w:r>
      <w:r w:rsidRPr="00D16C7C" w:rsidR="00CF3CD9">
        <w:rPr>
          <w:rFonts w:eastAsia="Arial Unicode MS" w:cs="Arial Unicode MS"/>
        </w:rPr>
        <w:t xml:space="preserve">Code of Civil Procedure </w:t>
      </w:r>
      <w:r w:rsidRPr="00D16C7C">
        <w:rPr>
          <w:rFonts w:eastAsia="Arial Unicode MS" w:cs="Arial Unicode MS"/>
        </w:rPr>
        <w:t>section 527</w:t>
      </w:r>
      <w:r w:rsidRPr="00D16C7C" w:rsidR="0009229C">
        <w:rPr>
          <w:rFonts w:eastAsia="Arial Unicode MS" w:cs="Arial Unicode MS"/>
        </w:rPr>
        <w:t xml:space="preserve"> would </w:t>
      </w:r>
      <w:r w:rsidRPr="00D16C7C" w:rsidR="00E70F1E">
        <w:rPr>
          <w:rFonts w:eastAsia="Arial Unicode MS" w:cs="Arial Unicode MS"/>
        </w:rPr>
        <w:t xml:space="preserve">conflict with or </w:t>
      </w:r>
      <w:r w:rsidRPr="00D16C7C" w:rsidR="0009229C">
        <w:rPr>
          <w:rFonts w:eastAsia="Arial Unicode MS" w:cs="Arial Unicode MS"/>
        </w:rPr>
        <w:t xml:space="preserve">render </w:t>
      </w:r>
      <w:r w:rsidRPr="00D16C7C" w:rsidR="00CF3CD9">
        <w:rPr>
          <w:rFonts w:eastAsia="Arial Unicode MS" w:cs="Arial Unicode MS"/>
        </w:rPr>
        <w:t xml:space="preserve">superfluous section </w:t>
      </w:r>
      <w:r w:rsidRPr="00D16C7C" w:rsidR="00B30D2E">
        <w:rPr>
          <w:rFonts w:eastAsia="Arial Unicode MS" w:cs="Arial Unicode MS"/>
        </w:rPr>
        <w:t>213</w:t>
      </w:r>
      <w:r w:rsidRPr="00D16C7C" w:rsidR="00CF3CD9">
        <w:rPr>
          <w:rFonts w:eastAsia="Arial Unicode MS" w:cs="Arial Unicode MS"/>
        </w:rPr>
        <w:t xml:space="preserve">.5, </w:t>
      </w:r>
      <w:r w:rsidRPr="00D16C7C" w:rsidR="0009229C">
        <w:rPr>
          <w:rFonts w:eastAsia="Arial Unicode MS" w:cs="Arial Unicode MS"/>
        </w:rPr>
        <w:t>subdivision (c)(1)</w:t>
      </w:r>
      <w:r w:rsidRPr="00D16C7C" w:rsidR="00CF3CD9">
        <w:rPr>
          <w:rFonts w:eastAsia="Arial Unicode MS" w:cs="Arial Unicode MS"/>
        </w:rPr>
        <w:t>’s language</w:t>
      </w:r>
      <w:r w:rsidRPr="00D16C7C" w:rsidR="0009229C">
        <w:rPr>
          <w:rFonts w:eastAsia="Arial Unicode MS" w:cs="Arial Unicode MS"/>
        </w:rPr>
        <w:t xml:space="preserve"> that TROs may be “</w:t>
      </w:r>
      <w:r w:rsidR="008854EF">
        <w:rPr>
          <w:rFonts w:eastAsia="Arial Unicode MS" w:cs="Arial Unicode MS"/>
        </w:rPr>
        <w:t> </w:t>
      </w:r>
      <w:r w:rsidR="004E23BD">
        <w:rPr>
          <w:rFonts w:eastAsia="Arial Unicode MS" w:cs="Arial Unicode MS"/>
        </w:rPr>
        <w:t>‘</w:t>
      </w:r>
      <w:r w:rsidRPr="00D16C7C" w:rsidR="00CF3CD9">
        <w:rPr>
          <w:rFonts w:eastAsia="Arial Unicode MS" w:cs="Arial Unicode MS"/>
        </w:rPr>
        <w:t xml:space="preserve">granted </w:t>
      </w:r>
      <w:r w:rsidRPr="00D16C7C" w:rsidR="0009229C">
        <w:rPr>
          <w:rFonts w:eastAsia="Arial Unicode MS" w:cs="Arial Unicode MS"/>
        </w:rPr>
        <w:t>without notice</w:t>
      </w:r>
      <w:r w:rsidRPr="00D16C7C" w:rsidR="00CF3CD9">
        <w:rPr>
          <w:rFonts w:eastAsia="Arial Unicode MS" w:cs="Arial Unicode MS"/>
        </w:rPr>
        <w:t>.</w:t>
      </w:r>
      <w:r w:rsidR="004E23BD">
        <w:rPr>
          <w:rFonts w:eastAsia="Arial Unicode MS" w:cs="Arial Unicode MS"/>
        </w:rPr>
        <w:t>’</w:t>
      </w:r>
      <w:r w:rsidR="008854EF">
        <w:rPr>
          <w:rFonts w:eastAsia="Arial Unicode MS" w:cs="Arial Unicode MS"/>
        </w:rPr>
        <w:t> </w:t>
      </w:r>
      <w:r w:rsidRPr="00D16C7C" w:rsidR="0009229C">
        <w:rPr>
          <w:rFonts w:eastAsia="Arial Unicode MS" w:cs="Arial Unicode MS"/>
        </w:rPr>
        <w:t xml:space="preserve">” </w:t>
      </w:r>
      <w:r w:rsidRPr="00D16C7C" w:rsidR="00CF3CD9">
        <w:rPr>
          <w:rFonts w:eastAsia="Arial Unicode MS" w:cs="Arial Unicode MS"/>
        </w:rPr>
        <w:t xml:space="preserve"> </w:t>
      </w:r>
      <w:r w:rsidRPr="00D16C7C" w:rsidR="00873D6B">
        <w:rPr>
          <w:rFonts w:eastAsia="Arial Unicode MS" w:cs="Arial Unicode MS"/>
        </w:rPr>
        <w:t>(</w:t>
      </w:r>
      <w:r w:rsidRPr="00D16C7C" w:rsidR="00CF3CD9">
        <w:rPr>
          <w:rFonts w:eastAsia="Arial Unicode MS" w:cs="Arial Unicode MS"/>
        </w:rPr>
        <w:t xml:space="preserve">See </w:t>
      </w:r>
      <w:r w:rsidRPr="00D16C7C" w:rsidR="00873D6B">
        <w:rPr>
          <w:rFonts w:eastAsia="Arial Unicode MS" w:cs="Arial Unicode MS"/>
          <w:i/>
          <w:iCs/>
        </w:rPr>
        <w:t>In re E.F.</w:t>
      </w:r>
      <w:r w:rsidRPr="00D16C7C" w:rsidR="00873D6B">
        <w:rPr>
          <w:rFonts w:eastAsia="Arial Unicode MS" w:cs="Arial Unicode MS"/>
        </w:rPr>
        <w:t xml:space="preserve">, </w:t>
      </w:r>
      <w:r w:rsidRPr="00D16C7C" w:rsidR="00873D6B">
        <w:rPr>
          <w:rFonts w:eastAsia="Arial Unicode MS" w:cs="Arial Unicode MS"/>
          <w:i/>
          <w:iCs/>
        </w:rPr>
        <w:t>supra</w:t>
      </w:r>
      <w:r w:rsidRPr="00D16C7C" w:rsidR="00873D6B">
        <w:rPr>
          <w:rFonts w:eastAsia="Arial Unicode MS" w:cs="Arial Unicode MS"/>
        </w:rPr>
        <w:t xml:space="preserve">, 45 Cal.App.5th at </w:t>
      </w:r>
      <w:r w:rsidRPr="00D16C7C" w:rsidR="00CF3CD9">
        <w:rPr>
          <w:rFonts w:eastAsia="Arial Unicode MS" w:cs="Arial Unicode MS"/>
        </w:rPr>
        <w:t>p. </w:t>
      </w:r>
      <w:r w:rsidRPr="00D16C7C" w:rsidR="00873D6B">
        <w:rPr>
          <w:rFonts w:eastAsia="Arial Unicode MS" w:cs="Arial Unicode MS"/>
        </w:rPr>
        <w:t>221</w:t>
      </w:r>
      <w:r w:rsidRPr="00D16C7C" w:rsidR="000B2608">
        <w:rPr>
          <w:rFonts w:eastAsia="Arial Unicode MS" w:cs="Arial Unicode MS"/>
        </w:rPr>
        <w:t>.</w:t>
      </w:r>
      <w:r w:rsidRPr="00D16C7C" w:rsidR="00873D6B">
        <w:t xml:space="preserve">)  </w:t>
      </w:r>
      <w:r w:rsidRPr="00D16C7C">
        <w:t xml:space="preserve">But </w:t>
      </w:r>
      <w:r w:rsidRPr="00D16C7C" w:rsidR="00E70F1E">
        <w:t xml:space="preserve">section 213.5, </w:t>
      </w:r>
      <w:r w:rsidRPr="00D16C7C" w:rsidR="00CF3CD9">
        <w:t>subdivision (c)(1)’s recognition that TROs may be “granted without notice” is not itself an authorization for courts to grant TROs without notice.  S</w:t>
      </w:r>
      <w:r w:rsidRPr="00D16C7C" w:rsidR="00E70F1E">
        <w:t>ection 213.5, s</w:t>
      </w:r>
      <w:r w:rsidRPr="00D16C7C" w:rsidR="00CF3CD9">
        <w:t xml:space="preserve">ubdivision (c)(1) sets forth the procedure to be followed </w:t>
      </w:r>
      <w:r w:rsidRPr="00D16C7C" w:rsidR="00CF3CD9">
        <w:rPr>
          <w:i/>
        </w:rPr>
        <w:t>in the event that</w:t>
      </w:r>
      <w:r w:rsidRPr="00D16C7C" w:rsidR="00CF3CD9">
        <w:t xml:space="preserve"> a court grants a TRO without notice, whereas </w:t>
      </w:r>
      <w:r w:rsidRPr="00D16C7C" w:rsidR="00E70F1E">
        <w:t xml:space="preserve">section 213.5, </w:t>
      </w:r>
      <w:r w:rsidRPr="00D16C7C" w:rsidR="00CF3CD9">
        <w:t xml:space="preserve">subdivision (b) </w:t>
      </w:r>
      <w:r w:rsidRPr="00D16C7C" w:rsidR="00E70F1E">
        <w:t xml:space="preserve">makes clear that </w:t>
      </w:r>
      <w:r w:rsidRPr="00D16C7C" w:rsidR="00CF3CD9">
        <w:t xml:space="preserve">an application for a TRO must proceed </w:t>
      </w:r>
      <w:r w:rsidRPr="00D16C7C" w:rsidR="00E70F1E">
        <w:t xml:space="preserve">“in the </w:t>
      </w:r>
      <w:r w:rsidRPr="00D16C7C" w:rsidR="00E70F1E">
        <w:rPr>
          <w:rFonts w:eastAsia="Arial Unicode MS" w:cs="Arial Unicode MS"/>
        </w:rPr>
        <w:t>manner provided by Section 527 of the Code of Civil Procedure,” which authorizes a TRO without notice only under certain conditions (Code Civ. Proc., § </w:t>
      </w:r>
      <w:r w:rsidRPr="00D16C7C" w:rsidR="007F0BFF">
        <w:rPr>
          <w:rFonts w:eastAsia="Arial Unicode MS" w:cs="Arial Unicode MS"/>
        </w:rPr>
        <w:t>527</w:t>
      </w:r>
      <w:r w:rsidRPr="00D16C7C" w:rsidR="00E70F1E">
        <w:rPr>
          <w:rFonts w:eastAsia="Arial Unicode MS" w:cs="Arial Unicode MS"/>
        </w:rPr>
        <w:t xml:space="preserve">, subd. (c)(1), (2)).  </w:t>
      </w:r>
      <w:r w:rsidRPr="00D16C7C" w:rsidR="000B2608">
        <w:t xml:space="preserve">There is no </w:t>
      </w:r>
      <w:r w:rsidRPr="00D16C7C" w:rsidR="00E70F1E">
        <w:t xml:space="preserve">conflict or </w:t>
      </w:r>
      <w:r w:rsidRPr="00D16C7C" w:rsidR="000B2608">
        <w:t>surplusage.</w:t>
      </w:r>
    </w:p>
    <w:p w:rsidR="00A157D8" w:rsidRPr="00D16C7C" w:rsidP="003C73DB" w14:paraId="1F824616" w14:textId="2BC8A581">
      <w:pPr>
        <w:tabs>
          <w:tab w:val="left" w:pos="1440"/>
        </w:tabs>
        <w:ind w:firstLine="720"/>
      </w:pPr>
      <w:r w:rsidRPr="00D16C7C">
        <w:t xml:space="preserve">The </w:t>
      </w:r>
      <w:r w:rsidRPr="00D16C7C" w:rsidR="00700751">
        <w:t>d</w:t>
      </w:r>
      <w:r w:rsidRPr="00D16C7C">
        <w:t xml:space="preserve">istrict </w:t>
      </w:r>
      <w:r w:rsidRPr="00D16C7C" w:rsidR="00700751">
        <w:t>a</w:t>
      </w:r>
      <w:r w:rsidRPr="00D16C7C">
        <w:t xml:space="preserve">ttorney further argues that even if notice is required, </w:t>
      </w:r>
      <w:r w:rsidRPr="00576B4B" w:rsidR="00576B4B">
        <w:t>courtroom notice — in other words, notice first provided at the hearing itself — suffices</w:t>
      </w:r>
      <w:r w:rsidRPr="00D16C7C" w:rsidR="0084309B">
        <w:t xml:space="preserve"> to satisfy </w:t>
      </w:r>
      <w:r w:rsidR="00B81E9A">
        <w:t>the relevant statutes</w:t>
      </w:r>
      <w:r w:rsidRPr="00D16C7C" w:rsidR="0084309B">
        <w:t xml:space="preserve">.  </w:t>
      </w:r>
      <w:r w:rsidR="008A3633">
        <w:t>C</w:t>
      </w:r>
      <w:r w:rsidRPr="00D16C7C" w:rsidR="009852BD">
        <w:t xml:space="preserve">ourts have rejected </w:t>
      </w:r>
      <w:r w:rsidR="008A3633">
        <w:t xml:space="preserve">this position, </w:t>
      </w:r>
      <w:r w:rsidRPr="00D16C7C" w:rsidR="009852BD">
        <w:t>explaining that “[w]hile the specific amount of time necessary to satisfy the ‘notice’ requirement is not delineated in section 213.5, more than courtroom notice is required.”  (</w:t>
      </w:r>
      <w:r w:rsidRPr="00D16C7C" w:rsidR="0061764A">
        <w:rPr>
          <w:rFonts w:eastAsia="Arial Unicode MS" w:cs="Arial Unicode MS"/>
          <w:i/>
          <w:iCs/>
        </w:rPr>
        <w:t>In re Jonathan V.</w:t>
      </w:r>
      <w:r w:rsidRPr="00D16C7C" w:rsidR="0061764A">
        <w:rPr>
          <w:rFonts w:eastAsia="Arial Unicode MS" w:cs="Arial Unicode MS"/>
        </w:rPr>
        <w:t xml:space="preserve"> (2018) 19 Cal.App.5th 236, </w:t>
      </w:r>
      <w:r w:rsidRPr="00D16C7C" w:rsidR="009852BD">
        <w:t xml:space="preserve">245; see </w:t>
      </w:r>
      <w:r w:rsidRPr="00D16C7C" w:rsidR="009852BD">
        <w:rPr>
          <w:i/>
          <w:iCs/>
        </w:rPr>
        <w:t>In re L.W.</w:t>
      </w:r>
      <w:r w:rsidRPr="00D16C7C" w:rsidR="009852BD">
        <w:t xml:space="preserve"> (2020) 44 Cal.App.5th 44, 51; cf. </w:t>
      </w:r>
      <w:r w:rsidRPr="00D16C7C" w:rsidR="009852BD">
        <w:rPr>
          <w:i/>
          <w:iCs/>
        </w:rPr>
        <w:t>Babalola v. Superior Court</w:t>
      </w:r>
      <w:r w:rsidRPr="00D16C7C" w:rsidR="009852BD">
        <w:t xml:space="preserve"> (2011) 192 Cal.App.4th 948, 965 [requiring notice in advance of hearing for criminal protective order]</w:t>
      </w:r>
      <w:r w:rsidRPr="00D16C7C" w:rsidR="0061764A">
        <w:t xml:space="preserve">; Cal. Rules of Court, </w:t>
      </w:r>
      <w:r w:rsidR="001E69A4">
        <w:t>r</w:t>
      </w:r>
      <w:r w:rsidRPr="00D16C7C" w:rsidR="0061764A">
        <w:t>ule 3.1203(a) [“A party seeking an ex parte order must notify all parties no later than 10:00 a.m. the court day before the ex parte appearance, absent a showing of exceptional circumstances that justify a shorter time for notice.”]</w:t>
      </w:r>
      <w:r w:rsidRPr="00D16C7C" w:rsidR="009852BD">
        <w:t>.)</w:t>
      </w:r>
      <w:r w:rsidRPr="00D16C7C" w:rsidR="00026B61">
        <w:t xml:space="preserve"> </w:t>
      </w:r>
      <w:r w:rsidR="0072389B">
        <w:t xml:space="preserve"> </w:t>
      </w:r>
      <w:r w:rsidRPr="0072389B" w:rsidR="0072389B">
        <w:t>We agree with these courts that under the statutory scheme, courtroom notice is not enough to avoid the affidavit requirement specified by Code of Civil Procedure section 527, subdivision (c).</w:t>
      </w:r>
    </w:p>
    <w:p w:rsidR="0042728F" w:rsidRPr="00D16C7C" w:rsidP="003C73DB" w14:paraId="6B762C9D" w14:textId="4CCCAA39">
      <w:pPr>
        <w:tabs>
          <w:tab w:val="left" w:pos="1440"/>
        </w:tabs>
        <w:ind w:firstLine="720"/>
      </w:pPr>
      <w:r w:rsidRPr="00D16C7C">
        <w:rPr>
          <w:rFonts w:eastAsia="Arial Unicode MS" w:cs="Arial Unicode MS"/>
        </w:rPr>
        <w:t>T</w:t>
      </w:r>
      <w:r w:rsidRPr="00D16C7C" w:rsidR="00A51A00">
        <w:rPr>
          <w:rFonts w:eastAsia="Arial Unicode MS" w:cs="Arial Unicode MS"/>
        </w:rPr>
        <w:t xml:space="preserve">he </w:t>
      </w:r>
      <w:r w:rsidRPr="00D16C7C" w:rsidR="00704D0A">
        <w:rPr>
          <w:rFonts w:eastAsia="Arial Unicode MS" w:cs="Arial Unicode MS"/>
        </w:rPr>
        <w:t xml:space="preserve">Court of Appeal </w:t>
      </w:r>
      <w:r w:rsidRPr="00D16C7C" w:rsidR="00A51A00">
        <w:rPr>
          <w:rFonts w:eastAsia="Arial Unicode MS" w:cs="Arial Unicode MS"/>
        </w:rPr>
        <w:t>suggested</w:t>
      </w:r>
      <w:r w:rsidR="00382680">
        <w:rPr>
          <w:rFonts w:eastAsia="Arial Unicode MS" w:cs="Arial Unicode MS"/>
        </w:rPr>
        <w:t xml:space="preserve"> that</w:t>
      </w:r>
      <w:r w:rsidRPr="00D16C7C" w:rsidR="00A51A00">
        <w:rPr>
          <w:rFonts w:eastAsia="Arial Unicode MS" w:cs="Arial Unicode MS"/>
        </w:rPr>
        <w:t xml:space="preserve"> </w:t>
      </w:r>
      <w:r w:rsidRPr="00D16C7C" w:rsidR="00746CBB">
        <w:rPr>
          <w:rFonts w:eastAsia="Arial Unicode MS" w:cs="Arial Unicode MS"/>
        </w:rPr>
        <w:t>“</w:t>
      </w:r>
      <w:r w:rsidRPr="00D16C7C" w:rsidR="00372D6A">
        <w:t>TROs do not need advance notice because they are typically issued under more emergency circumstances, while longer</w:t>
      </w:r>
      <w:r w:rsidR="001E69A4">
        <w:t xml:space="preserve"> </w:t>
      </w:r>
      <w:r w:rsidRPr="00D16C7C" w:rsidR="00372D6A">
        <w:t>lasting restraining orders do need advance notice because they are typically issued under less pressing circumstances (usually because a TRO is already in place</w:t>
      </w:r>
      <w:r w:rsidRPr="00D16C7C" w:rsidR="0013206C">
        <w:t>)</w:t>
      </w:r>
      <w:r w:rsidRPr="00D16C7C" w:rsidR="00372D6A">
        <w:t>.”</w:t>
      </w:r>
      <w:r w:rsidRPr="00D16C7C" w:rsidR="00746CBB">
        <w:t xml:space="preserve"> </w:t>
      </w:r>
      <w:r w:rsidRPr="00D16C7C" w:rsidR="00746CBB">
        <w:rPr>
          <w:i/>
          <w:iCs/>
        </w:rPr>
        <w:t xml:space="preserve"> </w:t>
      </w:r>
      <w:r w:rsidRPr="00D16C7C" w:rsidR="00746CBB">
        <w:t>(</w:t>
      </w:r>
      <w:r w:rsidRPr="00D16C7C" w:rsidR="00746CBB">
        <w:rPr>
          <w:i/>
          <w:iCs/>
        </w:rPr>
        <w:t>In re E.F.</w:t>
      </w:r>
      <w:r w:rsidRPr="00D16C7C" w:rsidR="00746CBB">
        <w:t xml:space="preserve">, </w:t>
      </w:r>
      <w:r w:rsidRPr="00D16C7C" w:rsidR="00746CBB">
        <w:rPr>
          <w:i/>
          <w:iCs/>
        </w:rPr>
        <w:t>supra</w:t>
      </w:r>
      <w:r w:rsidRPr="00D16C7C" w:rsidR="00746CBB">
        <w:t>, 45 Cal.App.5th at p. 221</w:t>
      </w:r>
      <w:r w:rsidRPr="00D16C7C" w:rsidR="007C5AA4">
        <w:t xml:space="preserve">.)  </w:t>
      </w:r>
      <w:r w:rsidRPr="00D16C7C" w:rsidR="00F15800">
        <w:t>But Code of Civil Procedure section 527</w:t>
      </w:r>
      <w:r w:rsidRPr="00D16C7C" w:rsidR="0068444D">
        <w:t>, subdivision (c)</w:t>
      </w:r>
      <w:r w:rsidRPr="00D16C7C" w:rsidR="00F15800">
        <w:t xml:space="preserve"> </w:t>
      </w:r>
      <w:r w:rsidRPr="00D16C7C" w:rsidR="0068444D">
        <w:t xml:space="preserve">makes clear that </w:t>
      </w:r>
      <w:r w:rsidR="00C2100B">
        <w:t xml:space="preserve">advance </w:t>
      </w:r>
      <w:r w:rsidRPr="00D16C7C" w:rsidR="00F15800">
        <w:t xml:space="preserve">notice or </w:t>
      </w:r>
      <w:r w:rsidRPr="00D16C7C" w:rsidR="0068444D">
        <w:t xml:space="preserve">a showing of justification for lack of </w:t>
      </w:r>
      <w:r w:rsidR="00C2100B">
        <w:t xml:space="preserve">such </w:t>
      </w:r>
      <w:r w:rsidRPr="00D16C7C" w:rsidR="0068444D">
        <w:t xml:space="preserve">notice </w:t>
      </w:r>
      <w:r w:rsidRPr="00D16C7C" w:rsidR="00F15800">
        <w:t xml:space="preserve">is required for </w:t>
      </w:r>
      <w:r w:rsidRPr="00D16C7C" w:rsidR="0068444D">
        <w:t>issuance of a TRO</w:t>
      </w:r>
      <w:r w:rsidRPr="00D16C7C" w:rsidR="00F15800">
        <w:t xml:space="preserve">.  </w:t>
      </w:r>
      <w:r w:rsidRPr="00D16C7C" w:rsidR="0068444D">
        <w:t>T</w:t>
      </w:r>
      <w:r w:rsidRPr="00D16C7C" w:rsidR="001D7FB4">
        <w:t>he limited duration of a TRO under section 213.5</w:t>
      </w:r>
      <w:r w:rsidRPr="00D16C7C">
        <w:t>, subdivision (c)(1)</w:t>
      </w:r>
      <w:r w:rsidRPr="00D16C7C" w:rsidR="001D7FB4">
        <w:t xml:space="preserve"> provides </w:t>
      </w:r>
      <w:r w:rsidRPr="00D16C7C" w:rsidR="00462056">
        <w:t xml:space="preserve">no reason to </w:t>
      </w:r>
      <w:r w:rsidRPr="00D16C7C">
        <w:t xml:space="preserve">infer — contrary to section 213.5, subdivision (b)’s express </w:t>
      </w:r>
      <w:r w:rsidRPr="00D16C7C" w:rsidR="00462056">
        <w:t xml:space="preserve">incorporation of the notice requirements in </w:t>
      </w:r>
      <w:r w:rsidRPr="00D16C7C">
        <w:t>Code of Civil Procedure</w:t>
      </w:r>
      <w:r w:rsidRPr="00D16C7C" w:rsidR="00EC5369">
        <w:t xml:space="preserve"> </w:t>
      </w:r>
      <w:r w:rsidRPr="00D16C7C" w:rsidR="00462056">
        <w:t>section 527</w:t>
      </w:r>
      <w:r w:rsidRPr="00D16C7C">
        <w:t xml:space="preserve"> — that the Legislature intended </w:t>
      </w:r>
      <w:r w:rsidRPr="00D16C7C">
        <w:rPr>
          <w:i/>
          <w:iCs/>
        </w:rPr>
        <w:t xml:space="preserve">no </w:t>
      </w:r>
      <w:r w:rsidR="00C2100B">
        <w:t xml:space="preserve">advance </w:t>
      </w:r>
      <w:r w:rsidRPr="00D16C7C">
        <w:t>notice be given to the juvenile</w:t>
      </w:r>
      <w:r w:rsidRPr="00D16C7C" w:rsidR="0068444D">
        <w:t>, especially when a TRO in this context may have serious consequences for the juvenile who is restrained</w:t>
      </w:r>
      <w:r w:rsidRPr="00D16C7C">
        <w:t>.</w:t>
      </w:r>
      <w:r w:rsidRPr="00D16C7C" w:rsidR="002078AC">
        <w:t xml:space="preserve"> </w:t>
      </w:r>
    </w:p>
    <w:p w:rsidR="003E5550" w:rsidRPr="00D16C7C" w:rsidP="003C73DB" w14:paraId="3B523BD9" w14:textId="041AE407">
      <w:pPr>
        <w:tabs>
          <w:tab w:val="left" w:pos="1440"/>
        </w:tabs>
        <w:ind w:firstLine="720"/>
      </w:pPr>
      <w:r w:rsidRPr="00D16C7C">
        <w:t>A</w:t>
      </w:r>
      <w:r w:rsidRPr="00D16C7C" w:rsidR="00C32A7D">
        <w:t xml:space="preserve"> willful and knowing violation of a restraining order issued under section 213.5 is a misdemeanor</w:t>
      </w:r>
      <w:r w:rsidRPr="00D16C7C" w:rsidR="0068444D">
        <w:t xml:space="preserve"> and may</w:t>
      </w:r>
      <w:r w:rsidRPr="00D16C7C" w:rsidR="00C32A7D">
        <w:t xml:space="preserve"> subject a juvenile to a new delinquency proceeding. </w:t>
      </w:r>
      <w:r w:rsidR="002A1A59">
        <w:t xml:space="preserve"> </w:t>
      </w:r>
      <w:r w:rsidRPr="00D16C7C" w:rsidR="00C32A7D">
        <w:t>(§</w:t>
      </w:r>
      <w:r w:rsidRPr="00D16C7C" w:rsidR="0068444D">
        <w:t> </w:t>
      </w:r>
      <w:r w:rsidRPr="00D16C7C" w:rsidR="00C32A7D">
        <w:t xml:space="preserve">213.5, subd. (h); </w:t>
      </w:r>
      <w:r w:rsidRPr="00D16C7C" w:rsidR="0068444D">
        <w:t xml:space="preserve">see </w:t>
      </w:r>
      <w:r w:rsidRPr="00D16C7C" w:rsidR="00C32A7D">
        <w:t>Pen</w:t>
      </w:r>
      <w:r w:rsidRPr="00D16C7C" w:rsidR="0068444D">
        <w:t>.</w:t>
      </w:r>
      <w:r w:rsidRPr="00D16C7C" w:rsidR="00C32A7D">
        <w:t xml:space="preserve"> Code, §</w:t>
      </w:r>
      <w:r w:rsidRPr="00D16C7C" w:rsidR="0068444D">
        <w:t> </w:t>
      </w:r>
      <w:r w:rsidRPr="00D16C7C" w:rsidR="00C32A7D">
        <w:t xml:space="preserve">273.65.)  </w:t>
      </w:r>
      <w:r w:rsidRPr="00D16C7C" w:rsidR="002078AC">
        <w:t xml:space="preserve">Section 213.5 orders </w:t>
      </w:r>
      <w:r w:rsidRPr="00D16C7C" w:rsidR="00B756E4">
        <w:t xml:space="preserve">can be </w:t>
      </w:r>
      <w:r w:rsidRPr="00D16C7C" w:rsidR="002078AC">
        <w:t xml:space="preserve">entered into the </w:t>
      </w:r>
      <w:r w:rsidRPr="00D16C7C" w:rsidR="001677A4">
        <w:t xml:space="preserve">California Law Enforcement Telecommunications System (CLETS) database </w:t>
      </w:r>
      <w:r w:rsidRPr="00D16C7C" w:rsidR="002078AC">
        <w:t>system</w:t>
      </w:r>
      <w:r w:rsidRPr="00D16C7C" w:rsidR="00C32A7D">
        <w:t>.  (</w:t>
      </w:r>
      <w:r w:rsidRPr="00BB10E0" w:rsidR="005D7960">
        <w:t>§</w:t>
      </w:r>
      <w:r w:rsidR="005D7960">
        <w:t> 213.5, subd. (g)</w:t>
      </w:r>
      <w:r w:rsidRPr="00D16C7C" w:rsidR="00C32A7D">
        <w:rPr>
          <w:i/>
          <w:iCs/>
        </w:rPr>
        <w:t>.</w:t>
      </w:r>
      <w:r w:rsidRPr="00D16C7C" w:rsidR="008E4212">
        <w:t xml:space="preserve">)  And the issuance of an order enjoining a juvenile’s contact with a fellow student or other member of the school community, even for just a few weeks, creates additional difficulties for the juvenile.  </w:t>
      </w:r>
      <w:r w:rsidRPr="00D16C7C" w:rsidR="00B125F3">
        <w:t xml:space="preserve">These potential </w:t>
      </w:r>
      <w:r w:rsidRPr="00D16C7C" w:rsidR="002078AC">
        <w:t xml:space="preserve">consequences </w:t>
      </w:r>
      <w:r w:rsidRPr="00D16C7C" w:rsidR="00B125F3">
        <w:t>of</w:t>
      </w:r>
      <w:r w:rsidRPr="00D16C7C" w:rsidR="00E23362">
        <w:t xml:space="preserve"> a TRO </w:t>
      </w:r>
      <w:r w:rsidRPr="00D16C7C" w:rsidR="00B125F3">
        <w:t xml:space="preserve">counsel against an inference that the Legislature intended to eliminate the standard </w:t>
      </w:r>
      <w:r w:rsidRPr="00D16C7C" w:rsidR="004A14EA">
        <w:t>notice</w:t>
      </w:r>
      <w:r w:rsidRPr="00D16C7C" w:rsidR="00B125F3">
        <w:t xml:space="preserve"> requirement that afford</w:t>
      </w:r>
      <w:r w:rsidRPr="00D16C7C" w:rsidR="004A14EA">
        <w:t>s</w:t>
      </w:r>
      <w:r w:rsidRPr="00D16C7C" w:rsidR="00B125F3">
        <w:t xml:space="preserve"> the juvenile an adequate</w:t>
      </w:r>
      <w:r w:rsidRPr="00D16C7C" w:rsidR="002078AC">
        <w:t xml:space="preserve"> opportunity to </w:t>
      </w:r>
      <w:r w:rsidRPr="00D16C7C" w:rsidR="00B125F3">
        <w:t>contest an application for a TRO</w:t>
      </w:r>
      <w:r w:rsidRPr="00D16C7C" w:rsidR="00E204CE">
        <w:t>.</w:t>
      </w:r>
    </w:p>
    <w:p w:rsidR="00A157D8" w:rsidRPr="00D16C7C" w:rsidP="003C73DB" w14:paraId="3387382D" w14:textId="62AB18AF">
      <w:pPr>
        <w:tabs>
          <w:tab w:val="left" w:pos="1440"/>
        </w:tabs>
        <w:ind w:firstLine="720"/>
        <w:rPr>
          <w:rFonts w:eastAsia="Arial Unicode MS" w:cs="Arial Unicode MS"/>
        </w:rPr>
      </w:pPr>
      <w:r w:rsidRPr="00D16C7C">
        <w:t>We see nothing in</w:t>
      </w:r>
      <w:r w:rsidRPr="00D16C7C" w:rsidR="00B226A7">
        <w:t xml:space="preserve"> the</w:t>
      </w:r>
      <w:r w:rsidRPr="00D16C7C">
        <w:t xml:space="preserve"> l</w:t>
      </w:r>
      <w:r w:rsidRPr="00D16C7C">
        <w:t xml:space="preserve">egislative history </w:t>
      </w:r>
      <w:r w:rsidRPr="00D16C7C">
        <w:t xml:space="preserve">that casts doubt on </w:t>
      </w:r>
      <w:r w:rsidRPr="00D16C7C" w:rsidR="006F5AAF">
        <w:t xml:space="preserve">our </w:t>
      </w:r>
      <w:r w:rsidRPr="00D16C7C">
        <w:t xml:space="preserve">straightforward </w:t>
      </w:r>
      <w:r w:rsidRPr="00D16C7C" w:rsidR="006F5AAF">
        <w:t>reading of the statutes</w:t>
      </w:r>
      <w:r w:rsidRPr="00D16C7C">
        <w:t>.</w:t>
      </w:r>
      <w:r w:rsidRPr="00D16C7C" w:rsidR="003E5550">
        <w:t xml:space="preserve">  </w:t>
      </w:r>
      <w:r w:rsidRPr="00D16C7C" w:rsidR="006F5AAF">
        <w:t xml:space="preserve">The Legislature enacted </w:t>
      </w:r>
      <w:r w:rsidRPr="00D16C7C" w:rsidR="006F5AAF">
        <w:rPr>
          <w:rFonts w:eastAsia="Arial Unicode MS" w:cs="Arial Unicode MS"/>
        </w:rPr>
        <w:t>s</w:t>
      </w:r>
      <w:r w:rsidRPr="00D16C7C" w:rsidR="00BC5EAD">
        <w:rPr>
          <w:rFonts w:eastAsia="Arial Unicode MS" w:cs="Arial Unicode MS"/>
        </w:rPr>
        <w:t xml:space="preserve">ection 213.5 in </w:t>
      </w:r>
      <w:r w:rsidRPr="00D16C7C" w:rsidR="00A91D5A">
        <w:rPr>
          <w:rFonts w:eastAsia="Arial Unicode MS" w:cs="Arial Unicode MS"/>
        </w:rPr>
        <w:t>1989</w:t>
      </w:r>
      <w:r w:rsidRPr="00D16C7C" w:rsidR="00BC5EAD">
        <w:rPr>
          <w:rFonts w:eastAsia="Arial Unicode MS" w:cs="Arial Unicode MS"/>
        </w:rPr>
        <w:t xml:space="preserve"> to provide </w:t>
      </w:r>
      <w:r w:rsidRPr="00D16C7C" w:rsidR="005777C5">
        <w:rPr>
          <w:rFonts w:eastAsia="Arial Unicode MS" w:cs="Arial Unicode MS"/>
        </w:rPr>
        <w:t>a means</w:t>
      </w:r>
      <w:r w:rsidRPr="00D16C7C" w:rsidR="00BC5EAD">
        <w:rPr>
          <w:rFonts w:eastAsia="Arial Unicode MS" w:cs="Arial Unicode MS"/>
        </w:rPr>
        <w:t xml:space="preserve"> by which a juvenile court could enter TROs and protective orders in connection with a dependency petition</w:t>
      </w:r>
      <w:r w:rsidRPr="00D16C7C" w:rsidR="004C066A">
        <w:rPr>
          <w:rFonts w:eastAsia="Arial Unicode MS" w:cs="Arial Unicode MS"/>
        </w:rPr>
        <w:t>, similar to the</w:t>
      </w:r>
      <w:r w:rsidRPr="00D16C7C" w:rsidR="00010157">
        <w:rPr>
          <w:rFonts w:eastAsia="Arial Unicode MS" w:cs="Arial Unicode MS"/>
        </w:rPr>
        <w:t xml:space="preserve"> injunctive powers of the family law courts.  (</w:t>
      </w:r>
      <w:r w:rsidRPr="00D16C7C" w:rsidR="006E4328">
        <w:rPr>
          <w:rFonts w:eastAsia="Arial Unicode MS" w:cs="Arial Unicode MS"/>
        </w:rPr>
        <w:t xml:space="preserve">Stats. </w:t>
      </w:r>
      <w:r w:rsidRPr="00D16C7C" w:rsidR="00D030AF">
        <w:rPr>
          <w:rFonts w:eastAsia="Arial Unicode MS" w:cs="Arial Unicode MS"/>
        </w:rPr>
        <w:t>1989, ch. 1409, § 2</w:t>
      </w:r>
      <w:r w:rsidRPr="00D16C7C" w:rsidR="00C45687">
        <w:rPr>
          <w:rFonts w:eastAsia="Arial Unicode MS" w:cs="Arial Unicode MS"/>
        </w:rPr>
        <w:t>, p. 6203</w:t>
      </w:r>
      <w:r w:rsidRPr="00D16C7C" w:rsidR="00D030AF">
        <w:rPr>
          <w:rFonts w:eastAsia="Arial Unicode MS" w:cs="Arial Unicode MS"/>
        </w:rPr>
        <w:t xml:space="preserve">; </w:t>
      </w:r>
      <w:r w:rsidR="002A1A59">
        <w:rPr>
          <w:rFonts w:eastAsia="Arial Unicode MS" w:cs="Arial Unicode MS"/>
        </w:rPr>
        <w:t xml:space="preserve">Sen. Rules Com., </w:t>
      </w:r>
      <w:r w:rsidRPr="00D16C7C" w:rsidR="0027607A">
        <w:rPr>
          <w:rFonts w:eastAsia="Arial Unicode MS" w:cs="Arial Unicode MS"/>
        </w:rPr>
        <w:t>Off. of Sen. Floor Analyses,</w:t>
      </w:r>
      <w:r w:rsidRPr="00D16C7C" w:rsidR="006E4328">
        <w:rPr>
          <w:rFonts w:eastAsia="Arial Unicode MS" w:cs="Arial Unicode MS"/>
        </w:rPr>
        <w:t xml:space="preserve"> 3d </w:t>
      </w:r>
      <w:r w:rsidRPr="00D16C7C" w:rsidR="0027607A">
        <w:rPr>
          <w:rFonts w:eastAsia="Arial Unicode MS" w:cs="Arial Unicode MS"/>
        </w:rPr>
        <w:t>r</w:t>
      </w:r>
      <w:r w:rsidRPr="00D16C7C" w:rsidR="006E4328">
        <w:rPr>
          <w:rFonts w:eastAsia="Arial Unicode MS" w:cs="Arial Unicode MS"/>
        </w:rPr>
        <w:t xml:space="preserve">eading </w:t>
      </w:r>
      <w:r w:rsidRPr="00D16C7C" w:rsidR="0027607A">
        <w:rPr>
          <w:rFonts w:eastAsia="Arial Unicode MS" w:cs="Arial Unicode MS"/>
        </w:rPr>
        <w:t>a</w:t>
      </w:r>
      <w:r w:rsidRPr="00D16C7C" w:rsidR="006E4328">
        <w:rPr>
          <w:rFonts w:eastAsia="Arial Unicode MS" w:cs="Arial Unicode MS"/>
        </w:rPr>
        <w:t>nalysis</w:t>
      </w:r>
      <w:r w:rsidRPr="00D16C7C" w:rsidR="0027607A">
        <w:rPr>
          <w:rFonts w:eastAsia="Arial Unicode MS" w:cs="Arial Unicode MS"/>
        </w:rPr>
        <w:t xml:space="preserve"> of</w:t>
      </w:r>
      <w:r w:rsidRPr="00D16C7C" w:rsidR="006E4328">
        <w:rPr>
          <w:rFonts w:eastAsia="Arial Unicode MS" w:cs="Arial Unicode MS"/>
        </w:rPr>
        <w:t xml:space="preserve"> Sen. Bill No. 221 (1989–1990 Reg. Sess.) </w:t>
      </w:r>
      <w:r w:rsidRPr="00D16C7C" w:rsidR="00763FAA">
        <w:rPr>
          <w:rFonts w:eastAsia="Arial Unicode MS" w:cs="Arial Unicode MS"/>
        </w:rPr>
        <w:t>as amended</w:t>
      </w:r>
      <w:r w:rsidRPr="00D16C7C" w:rsidR="00D94DCA">
        <w:rPr>
          <w:rFonts w:eastAsia="Arial Unicode MS" w:cs="Arial Unicode MS"/>
        </w:rPr>
        <w:t xml:space="preserve"> Sep</w:t>
      </w:r>
      <w:r w:rsidR="002A1A59">
        <w:rPr>
          <w:rFonts w:eastAsia="Arial Unicode MS" w:cs="Arial Unicode MS"/>
        </w:rPr>
        <w:t>t</w:t>
      </w:r>
      <w:r w:rsidRPr="00D16C7C" w:rsidR="00D94DCA">
        <w:rPr>
          <w:rFonts w:eastAsia="Arial Unicode MS" w:cs="Arial Unicode MS"/>
        </w:rPr>
        <w:t xml:space="preserve">. 11, 1989, </w:t>
      </w:r>
      <w:r w:rsidRPr="00D16C7C" w:rsidR="006E4328">
        <w:rPr>
          <w:rFonts w:eastAsia="Arial Unicode MS" w:cs="Arial Unicode MS"/>
        </w:rPr>
        <w:t>p. 3</w:t>
      </w:r>
      <w:r w:rsidRPr="00D16C7C" w:rsidR="002B7F4C">
        <w:rPr>
          <w:rFonts w:eastAsia="Arial Unicode MS" w:cs="Arial Unicode MS"/>
        </w:rPr>
        <w:t xml:space="preserve">.) </w:t>
      </w:r>
      <w:r w:rsidRPr="00D16C7C" w:rsidR="00BC5EAD">
        <w:rPr>
          <w:rFonts w:eastAsia="Arial Unicode MS" w:cs="Arial Unicode MS"/>
        </w:rPr>
        <w:t xml:space="preserve"> </w:t>
      </w:r>
      <w:r w:rsidRPr="00D16C7C" w:rsidR="00D04647">
        <w:rPr>
          <w:rFonts w:eastAsia="Arial Unicode MS" w:cs="Arial Unicode MS"/>
        </w:rPr>
        <w:t xml:space="preserve">The primary purpose </w:t>
      </w:r>
      <w:r w:rsidRPr="00D16C7C" w:rsidR="00D030AF">
        <w:rPr>
          <w:rFonts w:eastAsia="Arial Unicode MS" w:cs="Arial Unicode MS"/>
        </w:rPr>
        <w:t xml:space="preserve">of the legislation </w:t>
      </w:r>
      <w:r w:rsidRPr="00D16C7C" w:rsidR="00D04647">
        <w:rPr>
          <w:rFonts w:eastAsia="Arial Unicode MS" w:cs="Arial Unicode MS"/>
        </w:rPr>
        <w:t>was to provide a tool by which a</w:t>
      </w:r>
      <w:r w:rsidRPr="00D16C7C" w:rsidR="003D6480">
        <w:rPr>
          <w:rFonts w:eastAsia="Arial Unicode MS" w:cs="Arial Unicode MS"/>
        </w:rPr>
        <w:t xml:space="preserve"> person committing</w:t>
      </w:r>
      <w:r w:rsidRPr="00D16C7C" w:rsidR="00D04647">
        <w:rPr>
          <w:rFonts w:eastAsia="Arial Unicode MS" w:cs="Arial Unicode MS"/>
        </w:rPr>
        <w:t xml:space="preserve"> abuse, rather than </w:t>
      </w:r>
      <w:r w:rsidRPr="00D16C7C" w:rsidR="00937744">
        <w:rPr>
          <w:rFonts w:eastAsia="Arial Unicode MS" w:cs="Arial Unicode MS"/>
        </w:rPr>
        <w:t xml:space="preserve">the child suffering the </w:t>
      </w:r>
      <w:r w:rsidRPr="00D16C7C" w:rsidR="00D04647">
        <w:rPr>
          <w:rFonts w:eastAsia="Arial Unicode MS" w:cs="Arial Unicode MS"/>
        </w:rPr>
        <w:t>abuse, could be removed from the home in situations of domestic violence.  (</w:t>
      </w:r>
      <w:r w:rsidR="002A1A59">
        <w:rPr>
          <w:rFonts w:eastAsia="Arial Unicode MS" w:cs="Arial Unicode MS"/>
        </w:rPr>
        <w:t xml:space="preserve">Sen. Rules Com., </w:t>
      </w:r>
      <w:r w:rsidRPr="00D16C7C" w:rsidR="003C3C5F">
        <w:rPr>
          <w:rFonts w:eastAsia="Arial Unicode MS" w:cs="Arial Unicode MS"/>
        </w:rPr>
        <w:t xml:space="preserve">Off. of </w:t>
      </w:r>
      <w:r w:rsidRPr="00D16C7C" w:rsidR="00EF4CD3">
        <w:rPr>
          <w:rFonts w:eastAsia="Arial Unicode MS" w:cs="Arial Unicode MS"/>
        </w:rPr>
        <w:t>Sen.</w:t>
      </w:r>
      <w:r w:rsidRPr="00D16C7C" w:rsidR="003C3C5F">
        <w:rPr>
          <w:rFonts w:eastAsia="Arial Unicode MS" w:cs="Arial Unicode MS"/>
        </w:rPr>
        <w:t xml:space="preserve"> Floor Analyses,</w:t>
      </w:r>
      <w:r w:rsidRPr="00D16C7C" w:rsidR="00EF4CD3">
        <w:rPr>
          <w:rFonts w:eastAsia="Arial Unicode MS" w:cs="Arial Unicode MS"/>
        </w:rPr>
        <w:t xml:space="preserve"> 3d </w:t>
      </w:r>
      <w:r w:rsidRPr="00D16C7C" w:rsidR="003C3C5F">
        <w:rPr>
          <w:rFonts w:eastAsia="Arial Unicode MS" w:cs="Arial Unicode MS"/>
        </w:rPr>
        <w:t>r</w:t>
      </w:r>
      <w:r w:rsidRPr="00D16C7C" w:rsidR="00EF4CD3">
        <w:rPr>
          <w:rFonts w:eastAsia="Arial Unicode MS" w:cs="Arial Unicode MS"/>
        </w:rPr>
        <w:t xml:space="preserve">eading </w:t>
      </w:r>
      <w:r w:rsidRPr="00D16C7C" w:rsidR="003C3C5F">
        <w:rPr>
          <w:rFonts w:eastAsia="Arial Unicode MS" w:cs="Arial Unicode MS"/>
        </w:rPr>
        <w:t>a</w:t>
      </w:r>
      <w:r w:rsidRPr="00D16C7C" w:rsidR="00EF4CD3">
        <w:rPr>
          <w:rFonts w:eastAsia="Arial Unicode MS" w:cs="Arial Unicode MS"/>
        </w:rPr>
        <w:t>nalysis</w:t>
      </w:r>
      <w:r w:rsidRPr="00D16C7C" w:rsidR="003C3C5F">
        <w:rPr>
          <w:rFonts w:eastAsia="Arial Unicode MS" w:cs="Arial Unicode MS"/>
        </w:rPr>
        <w:t xml:space="preserve"> of</w:t>
      </w:r>
      <w:r w:rsidRPr="00D16C7C" w:rsidR="00EF4CD3">
        <w:rPr>
          <w:rFonts w:eastAsia="Arial Unicode MS" w:cs="Arial Unicode MS"/>
        </w:rPr>
        <w:t xml:space="preserve"> Sen. Bill No. 221 (1989–1990 Reg. Sess.) </w:t>
      </w:r>
      <w:r w:rsidRPr="00D16C7C" w:rsidR="00537860">
        <w:rPr>
          <w:rFonts w:eastAsia="Arial Unicode MS" w:cs="Arial Unicode MS"/>
        </w:rPr>
        <w:t>as amended Sep</w:t>
      </w:r>
      <w:r w:rsidR="002A1A59">
        <w:rPr>
          <w:rFonts w:eastAsia="Arial Unicode MS" w:cs="Arial Unicode MS"/>
        </w:rPr>
        <w:t>t</w:t>
      </w:r>
      <w:r w:rsidRPr="00D16C7C" w:rsidR="00537860">
        <w:rPr>
          <w:rFonts w:eastAsia="Arial Unicode MS" w:cs="Arial Unicode MS"/>
        </w:rPr>
        <w:t xml:space="preserve">. 11, 1989, </w:t>
      </w:r>
      <w:r w:rsidRPr="00D16C7C" w:rsidR="00EF4CD3">
        <w:rPr>
          <w:rFonts w:eastAsia="Arial Unicode MS" w:cs="Arial Unicode MS"/>
        </w:rPr>
        <w:t>p. </w:t>
      </w:r>
      <w:r w:rsidRPr="00D16C7C" w:rsidR="00B564A2">
        <w:rPr>
          <w:rFonts w:eastAsia="Arial Unicode MS" w:cs="Arial Unicode MS"/>
        </w:rPr>
        <w:t>2</w:t>
      </w:r>
      <w:r w:rsidRPr="00D16C7C" w:rsidR="00D030AF">
        <w:rPr>
          <w:rFonts w:eastAsia="Arial Unicode MS" w:cs="Arial Unicode MS"/>
          <w:i/>
          <w:iCs/>
        </w:rPr>
        <w:t>.</w:t>
      </w:r>
      <w:r w:rsidRPr="00D16C7C" w:rsidR="00D04647">
        <w:rPr>
          <w:rFonts w:eastAsia="Arial Unicode MS" w:cs="Arial Unicode MS"/>
        </w:rPr>
        <w:t xml:space="preserve">)  </w:t>
      </w:r>
      <w:r w:rsidRPr="00D16C7C" w:rsidR="00D030AF">
        <w:rPr>
          <w:rFonts w:eastAsia="Arial Unicode MS" w:cs="Arial Unicode MS"/>
        </w:rPr>
        <w:t>Section 213.5</w:t>
      </w:r>
      <w:r w:rsidRPr="00D16C7C" w:rsidR="00BC5EAD">
        <w:rPr>
          <w:rFonts w:eastAsia="Arial Unicode MS" w:cs="Arial Unicode MS"/>
        </w:rPr>
        <w:t xml:space="preserve"> was amended in </w:t>
      </w:r>
      <w:r w:rsidRPr="00D16C7C" w:rsidR="00C038CC">
        <w:rPr>
          <w:rFonts w:eastAsia="Arial Unicode MS" w:cs="Arial Unicode MS"/>
        </w:rPr>
        <w:t>1998</w:t>
      </w:r>
      <w:r w:rsidRPr="00D16C7C" w:rsidR="00BC5EAD">
        <w:rPr>
          <w:rFonts w:eastAsia="Arial Unicode MS" w:cs="Arial Unicode MS"/>
        </w:rPr>
        <w:t xml:space="preserve"> to extend the same authority in connection with delinquency petitions</w:t>
      </w:r>
      <w:r w:rsidRPr="00D16C7C" w:rsidR="000D2C08">
        <w:rPr>
          <w:rFonts w:eastAsia="Arial Unicode MS" w:cs="Arial Unicode MS"/>
        </w:rPr>
        <w:t xml:space="preserve">.  </w:t>
      </w:r>
      <w:r w:rsidRPr="00D16C7C" w:rsidR="00CE4284">
        <w:rPr>
          <w:rFonts w:eastAsia="Arial Unicode MS" w:cs="Arial Unicode MS"/>
        </w:rPr>
        <w:t>(Stats. 1998, ch. 390, § 1</w:t>
      </w:r>
      <w:r w:rsidRPr="00D16C7C" w:rsidR="00A039F1">
        <w:rPr>
          <w:rFonts w:eastAsia="Arial Unicode MS" w:cs="Arial Unicode MS"/>
        </w:rPr>
        <w:t>, p. 2909</w:t>
      </w:r>
      <w:r w:rsidRPr="00D16C7C" w:rsidR="00CE4284">
        <w:rPr>
          <w:rFonts w:eastAsia="Arial Unicode MS" w:cs="Arial Unicode MS"/>
        </w:rPr>
        <w:t>.)</w:t>
      </w:r>
      <w:r w:rsidRPr="00D16C7C" w:rsidR="009F3D16">
        <w:rPr>
          <w:rFonts w:eastAsia="Arial Unicode MS" w:cs="Arial Unicode MS"/>
        </w:rPr>
        <w:t xml:space="preserve">  </w:t>
      </w:r>
      <w:r w:rsidRPr="00D16C7C" w:rsidR="000D2C08">
        <w:rPr>
          <w:rFonts w:eastAsia="Arial Unicode MS" w:cs="Arial Unicode MS"/>
        </w:rPr>
        <w:t xml:space="preserve">According to the bill sponsor, </w:t>
      </w:r>
      <w:r w:rsidRPr="00D16C7C" w:rsidR="00941EDF">
        <w:rPr>
          <w:rFonts w:eastAsia="Arial Unicode MS" w:cs="Arial Unicode MS"/>
        </w:rPr>
        <w:t>“it is common in delinquency cases to encounter a family situation in which a member of the household either poses a threat to a child or is contributing to the anti-social behavior of the child</w:t>
      </w:r>
      <w:r w:rsidRPr="00D16C7C" w:rsidR="000D2C08">
        <w:rPr>
          <w:rFonts w:eastAsia="Arial Unicode MS" w:cs="Arial Unicode MS"/>
        </w:rPr>
        <w:t>.”</w:t>
      </w:r>
      <w:r w:rsidRPr="00D16C7C" w:rsidR="00941EDF">
        <w:rPr>
          <w:rFonts w:eastAsia="Arial Unicode MS" w:cs="Arial Unicode MS"/>
        </w:rPr>
        <w:t xml:space="preserve"> </w:t>
      </w:r>
      <w:r w:rsidRPr="00D16C7C" w:rsidR="00B853D7">
        <w:rPr>
          <w:rFonts w:eastAsia="Arial Unicode MS" w:cs="Arial Unicode MS"/>
        </w:rPr>
        <w:t xml:space="preserve"> (Sen. </w:t>
      </w:r>
      <w:r w:rsidRPr="00D16C7C" w:rsidR="003C3C5F">
        <w:rPr>
          <w:rFonts w:eastAsia="Arial Unicode MS" w:cs="Arial Unicode MS"/>
        </w:rPr>
        <w:t xml:space="preserve">Com. on </w:t>
      </w:r>
      <w:r w:rsidRPr="00D16C7C" w:rsidR="00B853D7">
        <w:rPr>
          <w:rFonts w:eastAsia="Arial Unicode MS" w:cs="Arial Unicode MS"/>
        </w:rPr>
        <w:t>Jud</w:t>
      </w:r>
      <w:r w:rsidRPr="00D16C7C" w:rsidR="003C3C5F">
        <w:rPr>
          <w:rFonts w:eastAsia="Arial Unicode MS" w:cs="Arial Unicode MS"/>
        </w:rPr>
        <w:t>iciary</w:t>
      </w:r>
      <w:r w:rsidRPr="00D16C7C" w:rsidR="00B853D7">
        <w:rPr>
          <w:rFonts w:eastAsia="Arial Unicode MS" w:cs="Arial Unicode MS"/>
        </w:rPr>
        <w:t xml:space="preserve">, Analysis of Sen. Bill No. 2017 (1997–1998 Reg. Sess.) </w:t>
      </w:r>
      <w:r w:rsidRPr="00D16C7C" w:rsidR="00DC3DF6">
        <w:rPr>
          <w:rFonts w:eastAsia="Arial Unicode MS" w:cs="Arial Unicode MS"/>
        </w:rPr>
        <w:t>as introduced</w:t>
      </w:r>
      <w:r w:rsidR="002A1A59">
        <w:rPr>
          <w:rFonts w:eastAsia="Arial Unicode MS" w:cs="Arial Unicode MS"/>
        </w:rPr>
        <w:t xml:space="preserve"> Feb. 20, 1998</w:t>
      </w:r>
      <w:r w:rsidRPr="00D16C7C" w:rsidR="00DC3DF6">
        <w:rPr>
          <w:rFonts w:eastAsia="Arial Unicode MS" w:cs="Arial Unicode MS"/>
        </w:rPr>
        <w:t xml:space="preserve">, </w:t>
      </w:r>
      <w:r w:rsidRPr="00D16C7C" w:rsidR="00B853D7">
        <w:rPr>
          <w:rFonts w:eastAsia="Arial Unicode MS" w:cs="Arial Unicode MS"/>
        </w:rPr>
        <w:t>p. </w:t>
      </w:r>
      <w:r w:rsidR="002A1A59">
        <w:rPr>
          <w:rFonts w:eastAsia="Arial Unicode MS" w:cs="Arial Unicode MS"/>
        </w:rPr>
        <w:t>3</w:t>
      </w:r>
      <w:r w:rsidRPr="00D16C7C" w:rsidR="00B853D7">
        <w:rPr>
          <w:rFonts w:eastAsia="Arial Unicode MS" w:cs="Arial Unicode MS"/>
        </w:rPr>
        <w:t xml:space="preserve">.)  </w:t>
      </w:r>
      <w:r w:rsidRPr="00D16C7C" w:rsidR="006D1E78">
        <w:rPr>
          <w:rFonts w:eastAsia="Arial Unicode MS" w:cs="Arial Unicode MS"/>
        </w:rPr>
        <w:t xml:space="preserve">The same </w:t>
      </w:r>
      <w:r w:rsidRPr="00D16C7C" w:rsidR="00B853D7">
        <w:rPr>
          <w:rFonts w:eastAsia="Arial Unicode MS" w:cs="Arial Unicode MS"/>
        </w:rPr>
        <w:t xml:space="preserve">amendment </w:t>
      </w:r>
      <w:r w:rsidRPr="00D16C7C" w:rsidR="006D1E78">
        <w:rPr>
          <w:rFonts w:eastAsia="Arial Unicode MS" w:cs="Arial Unicode MS"/>
        </w:rPr>
        <w:t xml:space="preserve">also </w:t>
      </w:r>
      <w:r w:rsidRPr="00D16C7C" w:rsidR="00566B5D">
        <w:rPr>
          <w:rFonts w:eastAsia="Arial Unicode MS" w:cs="Arial Unicode MS"/>
        </w:rPr>
        <w:t>authorized</w:t>
      </w:r>
      <w:r w:rsidRPr="00D16C7C" w:rsidR="006D1E78">
        <w:rPr>
          <w:rFonts w:eastAsia="Arial Unicode MS" w:cs="Arial Unicode MS"/>
        </w:rPr>
        <w:t xml:space="preserve"> the </w:t>
      </w:r>
      <w:r w:rsidRPr="00D16C7C" w:rsidR="00373537">
        <w:rPr>
          <w:rFonts w:eastAsia="Arial Unicode MS" w:cs="Arial Unicode MS"/>
        </w:rPr>
        <w:t xml:space="preserve">juvenile </w:t>
      </w:r>
      <w:r w:rsidRPr="00D16C7C" w:rsidR="006D1E78">
        <w:rPr>
          <w:rFonts w:eastAsia="Arial Unicode MS" w:cs="Arial Unicode MS"/>
        </w:rPr>
        <w:t xml:space="preserve">court </w:t>
      </w:r>
      <w:r w:rsidRPr="00D16C7C" w:rsidR="00B853D7">
        <w:rPr>
          <w:rFonts w:eastAsia="Arial Unicode MS" w:cs="Arial Unicode MS"/>
        </w:rPr>
        <w:t xml:space="preserve">to enjoin the minor subject to the </w:t>
      </w:r>
      <w:r w:rsidRPr="00D16C7C" w:rsidR="00373537">
        <w:rPr>
          <w:rFonts w:eastAsia="Arial Unicode MS" w:cs="Arial Unicode MS"/>
        </w:rPr>
        <w:t xml:space="preserve">delinquency </w:t>
      </w:r>
      <w:r w:rsidRPr="00D16C7C" w:rsidR="00B853D7">
        <w:rPr>
          <w:rFonts w:eastAsia="Arial Unicode MS" w:cs="Arial Unicode MS"/>
        </w:rPr>
        <w:t xml:space="preserve">petition </w:t>
      </w:r>
      <w:r w:rsidRPr="00A60A1A" w:rsidR="00B853D7">
        <w:rPr>
          <w:rFonts w:eastAsia="Arial Unicode MS" w:cs="Arial Unicode MS"/>
        </w:rPr>
        <w:t xml:space="preserve">“from contacting, threatening, stalking, or disturbing the peace of any person the court finds to be at risk from the conduct of the child, or with whom association would be detrimental to the child.”  </w:t>
      </w:r>
      <w:r w:rsidRPr="00A60A1A" w:rsidR="00687A17">
        <w:rPr>
          <w:rFonts w:eastAsia="Arial Unicode MS" w:cs="Arial Unicode MS"/>
        </w:rPr>
        <w:t>(Stats. 1998, ch.</w:t>
      </w:r>
      <w:r w:rsidR="00BD4238">
        <w:rPr>
          <w:rFonts w:eastAsia="Arial Unicode MS" w:cs="Arial Unicode MS"/>
        </w:rPr>
        <w:t> </w:t>
      </w:r>
      <w:r w:rsidRPr="00A60A1A" w:rsidR="00687A17">
        <w:rPr>
          <w:rFonts w:eastAsia="Arial Unicode MS" w:cs="Arial Unicode MS"/>
        </w:rPr>
        <w:t>390, § 1</w:t>
      </w:r>
      <w:r w:rsidRPr="00A60A1A" w:rsidR="00D715DA">
        <w:rPr>
          <w:rFonts w:eastAsia="Arial Unicode MS" w:cs="Arial Unicode MS"/>
        </w:rPr>
        <w:t>, p. 2909</w:t>
      </w:r>
      <w:r w:rsidRPr="00A60A1A" w:rsidR="00687A17">
        <w:rPr>
          <w:rFonts w:eastAsia="Arial Unicode MS" w:cs="Arial Unicode MS"/>
        </w:rPr>
        <w:t>.)</w:t>
      </w:r>
      <w:r w:rsidRPr="00D16C7C" w:rsidR="00687A17">
        <w:rPr>
          <w:rFonts w:eastAsia="Arial Unicode MS" w:cs="Arial Unicode MS"/>
        </w:rPr>
        <w:t xml:space="preserve">  </w:t>
      </w:r>
      <w:r w:rsidRPr="00D16C7C" w:rsidR="002444CC">
        <w:rPr>
          <w:rFonts w:eastAsia="Arial Unicode MS" w:cs="Arial Unicode MS"/>
        </w:rPr>
        <w:t>T</w:t>
      </w:r>
      <w:r w:rsidRPr="00D16C7C" w:rsidR="00DF7CA8">
        <w:rPr>
          <w:rFonts w:eastAsia="Arial Unicode MS" w:cs="Arial Unicode MS"/>
        </w:rPr>
        <w:t>he Judicial Council, which sponsored the bill, explained that</w:t>
      </w:r>
      <w:r w:rsidRPr="00D16C7C" w:rsidR="002444CC">
        <w:rPr>
          <w:rFonts w:eastAsia="Arial Unicode MS" w:cs="Arial Unicode MS"/>
        </w:rPr>
        <w:t xml:space="preserve"> </w:t>
      </w:r>
      <w:r w:rsidRPr="00D16C7C" w:rsidR="002D3C33">
        <w:rPr>
          <w:rFonts w:eastAsia="Arial Unicode MS" w:cs="Arial Unicode MS"/>
        </w:rPr>
        <w:t>“</w:t>
      </w:r>
      <w:r w:rsidRPr="00D16C7C" w:rsidR="002444CC">
        <w:rPr>
          <w:rFonts w:eastAsia="Arial Unicode MS" w:cs="Arial Unicode MS"/>
        </w:rPr>
        <w:t xml:space="preserve">expressly </w:t>
      </w:r>
      <w:r w:rsidRPr="00D16C7C" w:rsidR="002D3C33">
        <w:rPr>
          <w:rFonts w:eastAsia="Arial Unicode MS" w:cs="Arial Unicode MS"/>
        </w:rPr>
        <w:t xml:space="preserve">authorizing the juvenile court to issue restraining orders would </w:t>
      </w:r>
      <w:r w:rsidRPr="00D16C7C" w:rsidR="00687A17">
        <w:rPr>
          <w:rFonts w:eastAsia="Arial Unicode MS" w:cs="Arial Unicode MS"/>
        </w:rPr>
        <w:t>increase efficiency and expedite the</w:t>
      </w:r>
      <w:r w:rsidRPr="00D16C7C" w:rsidR="00093D1F">
        <w:rPr>
          <w:rFonts w:eastAsia="Arial Unicode MS" w:cs="Arial Unicode MS"/>
        </w:rPr>
        <w:t xml:space="preserve"> </w:t>
      </w:r>
      <w:r w:rsidRPr="00D16C7C" w:rsidR="00687A17">
        <w:rPr>
          <w:rFonts w:eastAsia="Arial Unicode MS" w:cs="Arial Unicode MS"/>
        </w:rPr>
        <w:t>resolution of many cases</w:t>
      </w:r>
      <w:r w:rsidRPr="00D16C7C" w:rsidR="00093D1F">
        <w:rPr>
          <w:rFonts w:eastAsia="Arial Unicode MS" w:cs="Arial Unicode MS"/>
        </w:rPr>
        <w:t xml:space="preserve">” </w:t>
      </w:r>
      <w:r w:rsidRPr="00D16C7C" w:rsidR="00656E4F">
        <w:rPr>
          <w:rFonts w:eastAsia="Arial Unicode MS" w:cs="Arial Unicode MS"/>
        </w:rPr>
        <w:t xml:space="preserve">— for example, </w:t>
      </w:r>
      <w:r w:rsidRPr="00D16C7C" w:rsidR="00093D1F">
        <w:rPr>
          <w:rFonts w:eastAsia="Arial Unicode MS" w:cs="Arial Unicode MS"/>
        </w:rPr>
        <w:t xml:space="preserve">by enabling “victims of juvenile crime </w:t>
      </w:r>
      <w:r w:rsidRPr="00D16C7C" w:rsidR="002E1331">
        <w:rPr>
          <w:rFonts w:eastAsia="Arial Unicode MS" w:cs="Arial Unicode MS"/>
        </w:rPr>
        <w:t>. . .</w:t>
      </w:r>
      <w:r w:rsidRPr="00D16C7C" w:rsidR="00093D1F">
        <w:rPr>
          <w:rFonts w:eastAsia="Arial Unicode MS" w:cs="Arial Unicode MS"/>
        </w:rPr>
        <w:t xml:space="preserve"> to seek protection from the juvenile court, rather than having to pursue a civil harassment protection order in a separate forum.”  (Sen. </w:t>
      </w:r>
      <w:r w:rsidRPr="00D16C7C" w:rsidR="00C67ADE">
        <w:rPr>
          <w:rFonts w:eastAsia="Arial Unicode MS" w:cs="Arial Unicode MS"/>
        </w:rPr>
        <w:t xml:space="preserve">Com. on </w:t>
      </w:r>
      <w:r w:rsidRPr="00D16C7C" w:rsidR="00093D1F">
        <w:rPr>
          <w:rFonts w:eastAsia="Arial Unicode MS" w:cs="Arial Unicode MS"/>
        </w:rPr>
        <w:t>Jud</w:t>
      </w:r>
      <w:r w:rsidRPr="00D16C7C" w:rsidR="00C67ADE">
        <w:rPr>
          <w:rFonts w:eastAsia="Arial Unicode MS" w:cs="Arial Unicode MS"/>
        </w:rPr>
        <w:t>iciary</w:t>
      </w:r>
      <w:r w:rsidRPr="00D16C7C" w:rsidR="00093D1F">
        <w:rPr>
          <w:rFonts w:eastAsia="Arial Unicode MS" w:cs="Arial Unicode MS"/>
        </w:rPr>
        <w:t xml:space="preserve">, Analysis of Sen. Bill No. 2017 (1997–1998 Reg. Sess.) </w:t>
      </w:r>
      <w:r w:rsidRPr="00D16C7C" w:rsidR="00DC3DF6">
        <w:rPr>
          <w:rFonts w:eastAsia="Arial Unicode MS" w:cs="Arial Unicode MS"/>
        </w:rPr>
        <w:t>as introduced</w:t>
      </w:r>
      <w:r w:rsidR="002A1A59">
        <w:rPr>
          <w:rFonts w:eastAsia="Arial Unicode MS" w:cs="Arial Unicode MS"/>
        </w:rPr>
        <w:t xml:space="preserve"> Feb. 20, 1998</w:t>
      </w:r>
      <w:r w:rsidRPr="00D16C7C" w:rsidR="00DC3DF6">
        <w:rPr>
          <w:rFonts w:eastAsia="Arial Unicode MS" w:cs="Arial Unicode MS"/>
        </w:rPr>
        <w:t xml:space="preserve">, </w:t>
      </w:r>
      <w:r w:rsidRPr="00D16C7C" w:rsidR="00093D1F">
        <w:rPr>
          <w:rFonts w:eastAsia="Arial Unicode MS" w:cs="Arial Unicode MS"/>
        </w:rPr>
        <w:t>p. 3.)</w:t>
      </w:r>
    </w:p>
    <w:p w:rsidR="004A14EA" w:rsidRPr="00D16C7C" w:rsidP="003C73DB" w14:paraId="0B1412B8" w14:textId="58DED275">
      <w:pPr>
        <w:tabs>
          <w:tab w:val="left" w:pos="1440"/>
        </w:tabs>
        <w:ind w:firstLine="720"/>
      </w:pPr>
      <w:r w:rsidRPr="00D16C7C">
        <w:rPr>
          <w:rFonts w:eastAsia="Arial Unicode MS" w:cs="Arial Unicode MS"/>
        </w:rPr>
        <w:t xml:space="preserve">Although </w:t>
      </w:r>
      <w:r w:rsidRPr="00D16C7C" w:rsidR="00A157D8">
        <w:rPr>
          <w:rFonts w:eastAsia="Arial Unicode MS" w:cs="Arial Unicode MS"/>
        </w:rPr>
        <w:t xml:space="preserve">efficiency was a guiding purpose of the legislation, the Legislature chose a specific means of </w:t>
      </w:r>
      <w:r w:rsidRPr="00D16C7C" w:rsidR="00407A58">
        <w:rPr>
          <w:rFonts w:eastAsia="Arial Unicode MS" w:cs="Arial Unicode MS"/>
        </w:rPr>
        <w:t xml:space="preserve">achieving </w:t>
      </w:r>
      <w:r w:rsidRPr="00D16C7C" w:rsidR="00A157D8">
        <w:rPr>
          <w:rFonts w:eastAsia="Arial Unicode MS" w:cs="Arial Unicode MS"/>
        </w:rPr>
        <w:t xml:space="preserve">that end:  providing a single forum </w:t>
      </w:r>
      <w:r w:rsidRPr="00D16C7C">
        <w:rPr>
          <w:rFonts w:eastAsia="Arial Unicode MS" w:cs="Arial Unicode MS"/>
        </w:rPr>
        <w:t>for</w:t>
      </w:r>
      <w:r w:rsidRPr="00D16C7C" w:rsidR="00A157D8">
        <w:rPr>
          <w:rFonts w:eastAsia="Arial Unicode MS" w:cs="Arial Unicode MS"/>
        </w:rPr>
        <w:t xml:space="preserve"> resolv</w:t>
      </w:r>
      <w:r w:rsidRPr="00D16C7C">
        <w:rPr>
          <w:rFonts w:eastAsia="Arial Unicode MS" w:cs="Arial Unicode MS"/>
        </w:rPr>
        <w:t>ing</w:t>
      </w:r>
      <w:r w:rsidRPr="00D16C7C" w:rsidR="00A157D8">
        <w:rPr>
          <w:rFonts w:eastAsia="Arial Unicode MS" w:cs="Arial Unicode MS"/>
        </w:rPr>
        <w:t xml:space="preserve"> a delinquency petition</w:t>
      </w:r>
      <w:r w:rsidRPr="00D16C7C">
        <w:rPr>
          <w:rFonts w:eastAsia="Arial Unicode MS" w:cs="Arial Unicode MS"/>
        </w:rPr>
        <w:t xml:space="preserve"> along</w:t>
      </w:r>
      <w:r w:rsidRPr="00D16C7C" w:rsidR="00A157D8">
        <w:rPr>
          <w:rFonts w:eastAsia="Arial Unicode MS" w:cs="Arial Unicode MS"/>
        </w:rPr>
        <w:t xml:space="preserve"> with any associated restraining or protective orders </w:t>
      </w:r>
      <w:r w:rsidRPr="00D16C7C">
        <w:rPr>
          <w:rFonts w:eastAsia="Arial Unicode MS" w:cs="Arial Unicode MS"/>
        </w:rPr>
        <w:t>instead of</w:t>
      </w:r>
      <w:r w:rsidRPr="00D16C7C" w:rsidR="00A157D8">
        <w:rPr>
          <w:rFonts w:eastAsia="Arial Unicode MS" w:cs="Arial Unicode MS"/>
        </w:rPr>
        <w:t xml:space="preserve"> requiring two separate proceedings.  </w:t>
      </w:r>
      <w:r w:rsidRPr="00D16C7C" w:rsidR="007F3CF8">
        <w:rPr>
          <w:rFonts w:eastAsia="Arial Unicode MS" w:cs="Arial Unicode MS"/>
        </w:rPr>
        <w:t>Toward</w:t>
      </w:r>
      <w:r w:rsidRPr="00D16C7C">
        <w:rPr>
          <w:rFonts w:eastAsia="Arial Unicode MS" w:cs="Arial Unicode MS"/>
        </w:rPr>
        <w:t xml:space="preserve"> that end</w:t>
      </w:r>
      <w:r w:rsidRPr="00D16C7C" w:rsidR="00A157D8">
        <w:rPr>
          <w:rFonts w:eastAsia="Arial Unicode MS" w:cs="Arial Unicode MS"/>
        </w:rPr>
        <w:t>, the Legislature largely imported rather than amended the procedure</w:t>
      </w:r>
      <w:r w:rsidRPr="00D16C7C">
        <w:rPr>
          <w:rFonts w:eastAsia="Arial Unicode MS" w:cs="Arial Unicode MS"/>
        </w:rPr>
        <w:t>s</w:t>
      </w:r>
      <w:r w:rsidRPr="00D16C7C" w:rsidR="00A157D8">
        <w:rPr>
          <w:rFonts w:eastAsia="Arial Unicode MS" w:cs="Arial Unicode MS"/>
        </w:rPr>
        <w:t xml:space="preserve"> and standards for obtaining preliminary relief set forth in </w:t>
      </w:r>
      <w:r w:rsidRPr="00D16C7C">
        <w:rPr>
          <w:rFonts w:eastAsia="Arial Unicode MS" w:cs="Arial Unicode MS"/>
        </w:rPr>
        <w:t xml:space="preserve">Code of Civil Procedure </w:t>
      </w:r>
      <w:r w:rsidRPr="00D16C7C" w:rsidR="00A157D8">
        <w:rPr>
          <w:rFonts w:eastAsia="Arial Unicode MS" w:cs="Arial Unicode MS"/>
        </w:rPr>
        <w:t>section 527</w:t>
      </w:r>
      <w:r w:rsidRPr="00D16C7C" w:rsidR="00F150BF">
        <w:rPr>
          <w:rFonts w:eastAsia="Arial Unicode MS" w:cs="Arial Unicode MS"/>
        </w:rPr>
        <w:t>, subdivisions (a) and (c)</w:t>
      </w:r>
      <w:r w:rsidRPr="00D16C7C" w:rsidR="00A157D8">
        <w:rPr>
          <w:rFonts w:eastAsia="Arial Unicode MS" w:cs="Arial Unicode MS"/>
        </w:rPr>
        <w:t>.</w:t>
      </w:r>
      <w:r w:rsidRPr="00D16C7C" w:rsidR="00172E86">
        <w:rPr>
          <w:rFonts w:eastAsia="Arial Unicode MS" w:cs="Arial Unicode MS"/>
        </w:rPr>
        <w:t xml:space="preserve">  </w:t>
      </w:r>
      <w:r w:rsidRPr="00D16C7C" w:rsidR="00A157D8">
        <w:t xml:space="preserve">Section 213.5 does authorize the juvenile court to take a number of steps to protect the safety of the minor and the public, including </w:t>
      </w:r>
      <w:r w:rsidRPr="00D16C7C">
        <w:t xml:space="preserve">issuing </w:t>
      </w:r>
      <w:r w:rsidRPr="00D16C7C" w:rsidR="00A157D8">
        <w:t>orders regarding custody, parental rights, and the minor’s freedom of movement</w:t>
      </w:r>
      <w:r w:rsidRPr="00D16C7C">
        <w:t xml:space="preserve"> and</w:t>
      </w:r>
      <w:r w:rsidRPr="00D16C7C" w:rsidR="00A157D8">
        <w:t xml:space="preserve"> access to school.  </w:t>
      </w:r>
      <w:r w:rsidRPr="00D16C7C">
        <w:t>T</w:t>
      </w:r>
      <w:r w:rsidRPr="00D16C7C" w:rsidR="00A157D8">
        <w:t>he Legislature recognized</w:t>
      </w:r>
      <w:r w:rsidRPr="00D16C7C">
        <w:t xml:space="preserve"> that</w:t>
      </w:r>
      <w:r w:rsidRPr="00D16C7C" w:rsidR="00A157D8">
        <w:t xml:space="preserve"> such steps may be necessary</w:t>
      </w:r>
      <w:r w:rsidRPr="00D16C7C">
        <w:t xml:space="preserve">, </w:t>
      </w:r>
      <w:r w:rsidRPr="00D16C7C" w:rsidR="00A157D8">
        <w:t>sometimes with little or no notice</w:t>
      </w:r>
      <w:r w:rsidRPr="00D16C7C">
        <w:t>,</w:t>
      </w:r>
      <w:r w:rsidRPr="00D16C7C" w:rsidR="00A157D8">
        <w:t xml:space="preserve"> to ensure the safety of the minor and the public.  </w:t>
      </w:r>
      <w:r w:rsidR="00BD4238">
        <w:t>But</w:t>
      </w:r>
      <w:r w:rsidRPr="00D16C7C" w:rsidR="00894109">
        <w:t xml:space="preserve"> the Legislature did not </w:t>
      </w:r>
      <w:r w:rsidRPr="00D16C7C" w:rsidR="00445336">
        <w:t xml:space="preserve">do away with notice in all instances.  Instead, it </w:t>
      </w:r>
      <w:r w:rsidRPr="00D16C7C">
        <w:t xml:space="preserve">authorized issuance of a TRO </w:t>
      </w:r>
      <w:r w:rsidRPr="00D16C7C" w:rsidR="00A157D8">
        <w:t>without notice when the applicant show</w:t>
      </w:r>
      <w:r w:rsidRPr="00D16C7C">
        <w:t>s</w:t>
      </w:r>
      <w:r w:rsidRPr="00D16C7C" w:rsidR="00A157D8">
        <w:t xml:space="preserve"> a need</w:t>
      </w:r>
      <w:r w:rsidRPr="00D16C7C">
        <w:t xml:space="preserve"> to avoid “great or irreparable injury” </w:t>
      </w:r>
      <w:r w:rsidRPr="00D16C7C" w:rsidR="00A157D8">
        <w:t xml:space="preserve">and </w:t>
      </w:r>
      <w:r w:rsidRPr="00D16C7C" w:rsidR="00172E86">
        <w:t xml:space="preserve">otherwise </w:t>
      </w:r>
      <w:r w:rsidRPr="00D16C7C" w:rsidR="00A157D8">
        <w:t>complies with applicable procedures.</w:t>
      </w:r>
      <w:r w:rsidRPr="00D16C7C" w:rsidR="00172E86">
        <w:t xml:space="preserve">  (Code Civ. Proc., § 527, subd. (c)(1).)</w:t>
      </w:r>
    </w:p>
    <w:p w:rsidR="007F3CF8" w:rsidRPr="00D16C7C" w:rsidP="003C73DB" w14:paraId="1B1CF0E4" w14:textId="2696852C">
      <w:pPr>
        <w:tabs>
          <w:tab w:val="left" w:pos="1440"/>
        </w:tabs>
        <w:ind w:firstLine="720"/>
        <w:rPr>
          <w:rFonts w:eastAsia="Arial Unicode MS"/>
          <w:szCs w:val="26"/>
        </w:rPr>
      </w:pPr>
      <w:r w:rsidRPr="00D16C7C">
        <w:rPr>
          <w:rFonts w:eastAsia="Arial Unicode MS"/>
          <w:szCs w:val="26"/>
        </w:rPr>
        <w:t>Finally, t</w:t>
      </w:r>
      <w:r w:rsidRPr="00D16C7C" w:rsidR="00FE0E57">
        <w:rPr>
          <w:rFonts w:eastAsia="Arial Unicode MS"/>
          <w:szCs w:val="26"/>
        </w:rPr>
        <w:t xml:space="preserve">he district attorney </w:t>
      </w:r>
      <w:r w:rsidRPr="00D16C7C" w:rsidR="00445336">
        <w:rPr>
          <w:rFonts w:eastAsia="Arial Unicode MS"/>
          <w:szCs w:val="26"/>
        </w:rPr>
        <w:t>cites</w:t>
      </w:r>
      <w:r w:rsidRPr="00D16C7C" w:rsidR="00AE609C">
        <w:rPr>
          <w:rFonts w:eastAsia="Arial Unicode MS"/>
          <w:szCs w:val="26"/>
        </w:rPr>
        <w:t xml:space="preserve"> </w:t>
      </w:r>
      <w:r w:rsidRPr="00D16C7C" w:rsidR="009B6BA9">
        <w:rPr>
          <w:rFonts w:eastAsia="Arial Unicode MS"/>
          <w:szCs w:val="26"/>
        </w:rPr>
        <w:t>rule 5.630</w:t>
      </w:r>
      <w:r w:rsidRPr="00D16C7C" w:rsidR="004A15CA">
        <w:rPr>
          <w:rFonts w:eastAsia="Arial Unicode MS"/>
          <w:szCs w:val="26"/>
        </w:rPr>
        <w:t xml:space="preserve"> </w:t>
      </w:r>
      <w:r w:rsidRPr="00D16C7C" w:rsidR="009B6BA9">
        <w:rPr>
          <w:rFonts w:eastAsia="Arial Unicode MS"/>
          <w:szCs w:val="26"/>
        </w:rPr>
        <w:t>of the California Rules of Court</w:t>
      </w:r>
      <w:r w:rsidRPr="00D16C7C" w:rsidR="00445336">
        <w:rPr>
          <w:rFonts w:eastAsia="Arial Unicode MS"/>
          <w:szCs w:val="26"/>
        </w:rPr>
        <w:t xml:space="preserve"> — which provides that an application for a restraining order in a delinquency case “</w:t>
      </w:r>
      <w:r w:rsidRPr="00D16C7C" w:rsidR="00445336">
        <w:rPr>
          <w:szCs w:val="26"/>
          <w:shd w:val="clear" w:color="auto" w:fill="FFFFFF"/>
        </w:rPr>
        <w:t>may be submitted without notice, and the court may grant the petition and issue a temporary order” (</w:t>
      </w:r>
      <w:r w:rsidRPr="00D16C7C" w:rsidR="00445336">
        <w:rPr>
          <w:rFonts w:eastAsia="Arial Unicode MS"/>
          <w:szCs w:val="26"/>
        </w:rPr>
        <w:t>Cal. R</w:t>
      </w:r>
      <w:r w:rsidRPr="00D16C7C" w:rsidR="00A33FF8">
        <w:rPr>
          <w:rFonts w:eastAsia="Arial Unicode MS"/>
          <w:szCs w:val="26"/>
        </w:rPr>
        <w:t>ules of</w:t>
      </w:r>
      <w:r w:rsidRPr="00D16C7C" w:rsidR="00445336">
        <w:rPr>
          <w:rFonts w:eastAsia="Arial Unicode MS"/>
          <w:szCs w:val="26"/>
        </w:rPr>
        <w:t xml:space="preserve"> C</w:t>
      </w:r>
      <w:r w:rsidRPr="00D16C7C" w:rsidR="00AF42ED">
        <w:rPr>
          <w:rFonts w:eastAsia="Arial Unicode MS"/>
          <w:szCs w:val="26"/>
        </w:rPr>
        <w:t>our</w:t>
      </w:r>
      <w:r w:rsidRPr="00D16C7C" w:rsidR="00445336">
        <w:rPr>
          <w:rFonts w:eastAsia="Arial Unicode MS"/>
          <w:szCs w:val="26"/>
        </w:rPr>
        <w:t>t</w:t>
      </w:r>
      <w:r w:rsidRPr="00D16C7C" w:rsidR="00AF42ED">
        <w:rPr>
          <w:rFonts w:eastAsia="Arial Unicode MS"/>
          <w:szCs w:val="26"/>
        </w:rPr>
        <w:t>,</w:t>
      </w:r>
      <w:r w:rsidRPr="00D16C7C" w:rsidR="00445336">
        <w:rPr>
          <w:rFonts w:eastAsia="Arial Unicode MS"/>
          <w:szCs w:val="26"/>
        </w:rPr>
        <w:t xml:space="preserve"> rule 5.630(d)) — </w:t>
      </w:r>
      <w:r w:rsidRPr="00D16C7C" w:rsidR="004A15CA">
        <w:rPr>
          <w:rFonts w:eastAsia="Arial Unicode MS"/>
          <w:szCs w:val="26"/>
        </w:rPr>
        <w:t xml:space="preserve">as confirmation that </w:t>
      </w:r>
      <w:r w:rsidRPr="00D16C7C" w:rsidR="001C1311">
        <w:rPr>
          <w:rFonts w:eastAsia="Arial Unicode MS"/>
          <w:szCs w:val="26"/>
        </w:rPr>
        <w:t xml:space="preserve">a TRO in a juvenile proceeding may be </w:t>
      </w:r>
      <w:r w:rsidRPr="00D16C7C" w:rsidR="00445336">
        <w:rPr>
          <w:rFonts w:eastAsia="Arial Unicode MS"/>
          <w:szCs w:val="26"/>
        </w:rPr>
        <w:t xml:space="preserve">issued </w:t>
      </w:r>
      <w:r w:rsidRPr="00D16C7C" w:rsidR="001C1311">
        <w:rPr>
          <w:rFonts w:eastAsia="Arial Unicode MS"/>
          <w:szCs w:val="26"/>
        </w:rPr>
        <w:t>without notice.</w:t>
      </w:r>
      <w:r w:rsidRPr="00D16C7C" w:rsidR="002B077C">
        <w:rPr>
          <w:rFonts w:eastAsia="Arial Unicode MS"/>
          <w:szCs w:val="26"/>
        </w:rPr>
        <w:t xml:space="preserve">  </w:t>
      </w:r>
      <w:r w:rsidRPr="00D16C7C" w:rsidR="00425DEB">
        <w:rPr>
          <w:rFonts w:eastAsia="Arial Unicode MS"/>
          <w:szCs w:val="26"/>
        </w:rPr>
        <w:t>T</w:t>
      </w:r>
      <w:r w:rsidRPr="00D16C7C" w:rsidR="004A15CA">
        <w:rPr>
          <w:rFonts w:eastAsia="Arial Unicode MS"/>
          <w:szCs w:val="26"/>
        </w:rPr>
        <w:t>he question</w:t>
      </w:r>
      <w:r w:rsidRPr="00D16C7C" w:rsidR="00425DEB">
        <w:rPr>
          <w:rFonts w:eastAsia="Arial Unicode MS"/>
          <w:szCs w:val="26"/>
        </w:rPr>
        <w:t>, however,</w:t>
      </w:r>
      <w:r w:rsidRPr="00D16C7C" w:rsidR="004A15CA">
        <w:rPr>
          <w:rFonts w:eastAsia="Arial Unicode MS"/>
          <w:szCs w:val="26"/>
        </w:rPr>
        <w:t xml:space="preserve"> is not </w:t>
      </w:r>
      <w:r w:rsidRPr="00D16C7C" w:rsidR="00445336">
        <w:rPr>
          <w:rFonts w:eastAsia="Arial Unicode MS"/>
          <w:szCs w:val="26"/>
        </w:rPr>
        <w:t xml:space="preserve">simply </w:t>
      </w:r>
      <w:r w:rsidRPr="00D16C7C" w:rsidR="004A15CA">
        <w:rPr>
          <w:rFonts w:eastAsia="Arial Unicode MS"/>
          <w:szCs w:val="26"/>
        </w:rPr>
        <w:t>whether a TRO</w:t>
      </w:r>
      <w:r w:rsidRPr="00D16C7C" w:rsidR="00445336">
        <w:rPr>
          <w:rFonts w:eastAsia="Arial Unicode MS"/>
          <w:szCs w:val="26"/>
        </w:rPr>
        <w:t xml:space="preserve"> application</w:t>
      </w:r>
      <w:r w:rsidRPr="00D16C7C" w:rsidR="004A15CA">
        <w:rPr>
          <w:rFonts w:eastAsia="Arial Unicode MS"/>
          <w:szCs w:val="26"/>
        </w:rPr>
        <w:t xml:space="preserve"> may be </w:t>
      </w:r>
      <w:r w:rsidRPr="00D16C7C" w:rsidR="00445336">
        <w:rPr>
          <w:rFonts w:eastAsia="Arial Unicode MS"/>
          <w:szCs w:val="26"/>
        </w:rPr>
        <w:t xml:space="preserve">submitted </w:t>
      </w:r>
      <w:r w:rsidRPr="00D16C7C" w:rsidR="00055368">
        <w:rPr>
          <w:rFonts w:eastAsia="Arial Unicode MS"/>
          <w:szCs w:val="26"/>
        </w:rPr>
        <w:t xml:space="preserve">and granted </w:t>
      </w:r>
      <w:r w:rsidRPr="00D16C7C" w:rsidR="004A15CA">
        <w:rPr>
          <w:rFonts w:eastAsia="Arial Unicode MS"/>
          <w:szCs w:val="26"/>
        </w:rPr>
        <w:t xml:space="preserve">without notice, but </w:t>
      </w:r>
      <w:r w:rsidRPr="00D16C7C" w:rsidR="00445336">
        <w:rPr>
          <w:rFonts w:eastAsia="Arial Unicode MS"/>
          <w:szCs w:val="26"/>
        </w:rPr>
        <w:t xml:space="preserve">under what circumstances </w:t>
      </w:r>
      <w:r w:rsidRPr="00D16C7C" w:rsidR="00055368">
        <w:rPr>
          <w:rFonts w:eastAsia="Arial Unicode MS"/>
          <w:szCs w:val="26"/>
        </w:rPr>
        <w:t>this may occur</w:t>
      </w:r>
      <w:r w:rsidR="004B2FC7">
        <w:rPr>
          <w:rFonts w:eastAsia="Arial Unicode MS"/>
          <w:szCs w:val="26"/>
        </w:rPr>
        <w:t>.</w:t>
      </w:r>
    </w:p>
    <w:p w:rsidR="00AE609C" w:rsidRPr="00D16C7C" w:rsidP="004B2FC7" w14:paraId="17EB83C4" w14:textId="141A5A56">
      <w:pPr>
        <w:tabs>
          <w:tab w:val="left" w:pos="1440"/>
        </w:tabs>
        <w:ind w:firstLine="720"/>
        <w:rPr>
          <w:rFonts w:eastAsia="Arial Unicode MS"/>
          <w:szCs w:val="26"/>
        </w:rPr>
      </w:pPr>
      <w:r>
        <w:rPr>
          <w:rFonts w:eastAsia="Arial Unicode MS"/>
          <w:szCs w:val="26"/>
        </w:rPr>
        <w:t>California Rules of Court, r</w:t>
      </w:r>
      <w:r w:rsidRPr="00D16C7C" w:rsidR="005F2BBA">
        <w:rPr>
          <w:rFonts w:eastAsia="Arial Unicode MS"/>
          <w:szCs w:val="26"/>
        </w:rPr>
        <w:t>ule 5.6</w:t>
      </w:r>
      <w:r w:rsidRPr="00D16C7C" w:rsidR="00137B26">
        <w:rPr>
          <w:rFonts w:eastAsia="Arial Unicode MS"/>
          <w:szCs w:val="26"/>
        </w:rPr>
        <w:t>3</w:t>
      </w:r>
      <w:r w:rsidRPr="00D16C7C" w:rsidR="005F2BBA">
        <w:rPr>
          <w:rFonts w:eastAsia="Arial Unicode MS"/>
          <w:szCs w:val="26"/>
        </w:rPr>
        <w:t>0</w:t>
      </w:r>
      <w:r w:rsidRPr="00D16C7C" w:rsidR="00FD594C">
        <w:rPr>
          <w:rFonts w:eastAsia="Arial Unicode MS"/>
          <w:szCs w:val="26"/>
        </w:rPr>
        <w:t>(a)</w:t>
      </w:r>
      <w:r w:rsidRPr="00D16C7C" w:rsidR="005F2BBA">
        <w:rPr>
          <w:rFonts w:eastAsia="Arial Unicode MS"/>
          <w:szCs w:val="26"/>
        </w:rPr>
        <w:t xml:space="preserve"> explains</w:t>
      </w:r>
      <w:r w:rsidRPr="00D16C7C" w:rsidR="002D54D2">
        <w:rPr>
          <w:rFonts w:eastAsia="Arial Unicode MS"/>
          <w:szCs w:val="26"/>
        </w:rPr>
        <w:t>:</w:t>
      </w:r>
      <w:r w:rsidRPr="00D16C7C" w:rsidR="005F2BBA">
        <w:rPr>
          <w:rFonts w:eastAsia="Arial Unicode MS"/>
          <w:szCs w:val="26"/>
        </w:rPr>
        <w:t xml:space="preserve"> </w:t>
      </w:r>
      <w:r w:rsidRPr="00D16C7C" w:rsidR="00425DEB">
        <w:rPr>
          <w:rFonts w:eastAsia="Arial Unicode MS"/>
          <w:szCs w:val="26"/>
        </w:rPr>
        <w:t xml:space="preserve"> </w:t>
      </w:r>
      <w:r w:rsidRPr="00D16C7C" w:rsidR="00F335D2">
        <w:rPr>
          <w:rFonts w:eastAsia="Arial Unicode MS"/>
          <w:szCs w:val="26"/>
        </w:rPr>
        <w:t>“</w:t>
      </w:r>
      <w:r w:rsidRPr="00D16C7C" w:rsidR="0092316E">
        <w:rPr>
          <w:rFonts w:eastAsia="Arial Unicode MS"/>
          <w:szCs w:val="26"/>
        </w:rPr>
        <w:t>A</w:t>
      </w:r>
      <w:r w:rsidRPr="00D16C7C" w:rsidR="00F335D2">
        <w:rPr>
          <w:rFonts w:eastAsia="Arial Unicode MS"/>
          <w:szCs w:val="26"/>
        </w:rPr>
        <w:t xml:space="preserve">fter a petition has been filed under section 300, 601, or 602, and until the petition is dismissed or dependency or wardship is terminated, or the ward is no longer on probation, the court may issue restraining orders as provided in section 213.5.”  </w:t>
      </w:r>
      <w:r w:rsidRPr="00D16C7C" w:rsidR="00445336">
        <w:rPr>
          <w:rFonts w:eastAsia="Arial Unicode MS"/>
          <w:szCs w:val="26"/>
        </w:rPr>
        <w:t>T</w:t>
      </w:r>
      <w:r w:rsidRPr="00D16C7C" w:rsidR="00FF3C92">
        <w:rPr>
          <w:rFonts w:eastAsia="Arial Unicode MS"/>
          <w:szCs w:val="26"/>
        </w:rPr>
        <w:t>he phrase</w:t>
      </w:r>
      <w:r w:rsidRPr="00D16C7C" w:rsidR="003D5BEC">
        <w:rPr>
          <w:rFonts w:eastAsia="Arial Unicode MS"/>
          <w:szCs w:val="26"/>
        </w:rPr>
        <w:t xml:space="preserve"> </w:t>
      </w:r>
      <w:r w:rsidRPr="00D16C7C" w:rsidR="00C2422B">
        <w:rPr>
          <w:rFonts w:eastAsia="Arial Unicode MS"/>
          <w:szCs w:val="26"/>
        </w:rPr>
        <w:t>“as provided in section 213.5”</w:t>
      </w:r>
      <w:r>
        <w:rPr>
          <w:rFonts w:eastAsia="Arial Unicode MS"/>
          <w:szCs w:val="26"/>
        </w:rPr>
        <w:t xml:space="preserve"> </w:t>
      </w:r>
      <w:r w:rsidRPr="00D16C7C" w:rsidR="00C2422B">
        <w:rPr>
          <w:rFonts w:eastAsia="Arial Unicode MS"/>
          <w:szCs w:val="26"/>
        </w:rPr>
        <w:t xml:space="preserve">necessarily incorporates the procedural requirements set forth in section 527.  </w:t>
      </w:r>
      <w:r w:rsidRPr="00D16C7C" w:rsidR="00055368">
        <w:rPr>
          <w:rFonts w:eastAsia="Arial Unicode MS"/>
          <w:szCs w:val="26"/>
        </w:rPr>
        <w:t xml:space="preserve">Further, although </w:t>
      </w:r>
      <w:r>
        <w:rPr>
          <w:rFonts w:eastAsia="Arial Unicode MS"/>
          <w:szCs w:val="26"/>
        </w:rPr>
        <w:t xml:space="preserve">California Rules of Court, </w:t>
      </w:r>
      <w:r w:rsidRPr="00D16C7C" w:rsidR="00055368">
        <w:rPr>
          <w:rFonts w:eastAsia="Arial Unicode MS"/>
          <w:szCs w:val="26"/>
        </w:rPr>
        <w:t>rule 5.360</w:t>
      </w:r>
      <w:r w:rsidRPr="00D16C7C" w:rsidR="002D54D2">
        <w:rPr>
          <w:rFonts w:eastAsia="Arial Unicode MS"/>
          <w:szCs w:val="26"/>
        </w:rPr>
        <w:t>(d)</w:t>
      </w:r>
      <w:r w:rsidRPr="00D16C7C" w:rsidR="00FB72A2">
        <w:rPr>
          <w:rFonts w:eastAsia="Arial Unicode MS"/>
          <w:szCs w:val="26"/>
        </w:rPr>
        <w:t>(1)</w:t>
      </w:r>
      <w:r w:rsidRPr="00D16C7C" w:rsidR="00055368">
        <w:rPr>
          <w:rFonts w:eastAsia="Arial Unicode MS"/>
          <w:szCs w:val="26"/>
        </w:rPr>
        <w:t xml:space="preserve"> provides </w:t>
      </w:r>
      <w:r w:rsidRPr="00D16C7C" w:rsidR="002A3D4A">
        <w:rPr>
          <w:rFonts w:eastAsia="Arial Unicode MS"/>
          <w:szCs w:val="26"/>
        </w:rPr>
        <w:t>that “[i]</w:t>
      </w:r>
      <w:r w:rsidRPr="00D16C7C" w:rsidR="002F0716">
        <w:rPr>
          <w:rFonts w:eastAsia="Arial Unicode MS"/>
          <w:szCs w:val="26"/>
        </w:rPr>
        <w:t>n determining whether or not to issue the temporary restraining order without notice, the court must consider all documents submitted with the application and may review the contents of the juvenile court file regarding the child</w:t>
      </w:r>
      <w:r w:rsidRPr="00D16C7C" w:rsidR="00055368">
        <w:rPr>
          <w:rFonts w:eastAsia="Arial Unicode MS"/>
          <w:szCs w:val="26"/>
        </w:rPr>
        <w:t>,</w:t>
      </w:r>
      <w:r w:rsidRPr="00D16C7C" w:rsidR="002F0716">
        <w:rPr>
          <w:rFonts w:eastAsia="Arial Unicode MS"/>
          <w:szCs w:val="26"/>
        </w:rPr>
        <w:t>”</w:t>
      </w:r>
      <w:r w:rsidRPr="00D16C7C" w:rsidR="00055368">
        <w:rPr>
          <w:rFonts w:eastAsia="Arial Unicode MS"/>
          <w:szCs w:val="26"/>
        </w:rPr>
        <w:t xml:space="preserve"> nothing in the rule specifies under what circumstances it is permissible </w:t>
      </w:r>
      <w:r w:rsidRPr="00D16C7C" w:rsidR="009B0794">
        <w:rPr>
          <w:rFonts w:eastAsia="Arial Unicode MS"/>
          <w:szCs w:val="26"/>
        </w:rPr>
        <w:t xml:space="preserve">for a court </w:t>
      </w:r>
      <w:r w:rsidRPr="00D16C7C" w:rsidR="00055368">
        <w:rPr>
          <w:rFonts w:eastAsia="Arial Unicode MS"/>
          <w:szCs w:val="26"/>
        </w:rPr>
        <w:t>to issue</w:t>
      </w:r>
      <w:r w:rsidRPr="00D16C7C" w:rsidR="003D5BEC">
        <w:rPr>
          <w:rFonts w:eastAsia="Arial Unicode MS"/>
          <w:szCs w:val="26"/>
        </w:rPr>
        <w:t xml:space="preserve"> a TRO without notice.  </w:t>
      </w:r>
      <w:r w:rsidRPr="00D16C7C" w:rsidR="00055368">
        <w:rPr>
          <w:rFonts w:eastAsia="Arial Unicode MS"/>
          <w:szCs w:val="26"/>
        </w:rPr>
        <w:t xml:space="preserve">Code of Civil Procedure </w:t>
      </w:r>
      <w:r w:rsidRPr="00D16C7C" w:rsidR="00E42189">
        <w:rPr>
          <w:rFonts w:eastAsia="Arial Unicode MS"/>
          <w:szCs w:val="26"/>
        </w:rPr>
        <w:t>section 527</w:t>
      </w:r>
      <w:r w:rsidRPr="00D16C7C" w:rsidR="00055368">
        <w:rPr>
          <w:rFonts w:eastAsia="Arial Unicode MS"/>
          <w:szCs w:val="26"/>
        </w:rPr>
        <w:t xml:space="preserve"> makes clear that the court must find that </w:t>
      </w:r>
      <w:r w:rsidRPr="00D16C7C" w:rsidR="001E13DD">
        <w:rPr>
          <w:rFonts w:eastAsia="Arial Unicode MS"/>
          <w:szCs w:val="26"/>
        </w:rPr>
        <w:t xml:space="preserve">“great or irreparable injury will result </w:t>
      </w:r>
      <w:r w:rsidRPr="00D16C7C" w:rsidR="009B0794">
        <w:rPr>
          <w:rFonts w:eastAsia="Arial Unicode MS"/>
          <w:szCs w:val="26"/>
        </w:rPr>
        <w:t xml:space="preserve">to the applicant </w:t>
      </w:r>
      <w:r w:rsidRPr="00D16C7C" w:rsidR="001E13DD">
        <w:rPr>
          <w:rFonts w:eastAsia="Arial Unicode MS"/>
          <w:szCs w:val="26"/>
        </w:rPr>
        <w:t>before the matter can be heard on notice</w:t>
      </w:r>
      <w:r w:rsidRPr="00D16C7C" w:rsidR="009B0794">
        <w:rPr>
          <w:rFonts w:eastAsia="Arial Unicode MS"/>
          <w:szCs w:val="26"/>
        </w:rPr>
        <w:t xml:space="preserve">” </w:t>
      </w:r>
      <w:r w:rsidR="008F72BF">
        <w:rPr>
          <w:rFonts w:eastAsia="Arial Unicode MS"/>
          <w:szCs w:val="26"/>
        </w:rPr>
        <w:t>(</w:t>
      </w:r>
      <w:r w:rsidR="00760E14">
        <w:rPr>
          <w:rFonts w:eastAsia="Arial Unicode MS"/>
          <w:i/>
          <w:iCs/>
          <w:szCs w:val="26"/>
        </w:rPr>
        <w:t>id</w:t>
      </w:r>
      <w:r w:rsidR="008F72BF">
        <w:rPr>
          <w:rFonts w:eastAsia="Arial Unicode MS"/>
          <w:i/>
          <w:iCs/>
          <w:szCs w:val="26"/>
        </w:rPr>
        <w:t>.</w:t>
      </w:r>
      <w:r w:rsidR="008F72BF">
        <w:rPr>
          <w:rFonts w:eastAsia="Arial Unicode MS"/>
          <w:szCs w:val="26"/>
        </w:rPr>
        <w:t xml:space="preserve">, subd. (c)(1)) </w:t>
      </w:r>
      <w:r w:rsidRPr="00D16C7C" w:rsidR="009B0794">
        <w:rPr>
          <w:rFonts w:eastAsia="Arial Unicode MS"/>
          <w:szCs w:val="26"/>
        </w:rPr>
        <w:t xml:space="preserve">and that the applicant has made efforts or has given reasons why no effort need be made, to inform the opposing party when and where the application would be made </w:t>
      </w:r>
      <w:r w:rsidRPr="002A1A59" w:rsidR="009B0794">
        <w:rPr>
          <w:rFonts w:eastAsia="Arial Unicode MS"/>
          <w:szCs w:val="26"/>
        </w:rPr>
        <w:t>(</w:t>
      </w:r>
      <w:r w:rsidR="00760E14">
        <w:rPr>
          <w:rFonts w:eastAsia="Arial Unicode MS"/>
          <w:i/>
          <w:iCs/>
          <w:szCs w:val="26"/>
        </w:rPr>
        <w:t>i</w:t>
      </w:r>
      <w:r w:rsidR="008F72BF">
        <w:rPr>
          <w:rFonts w:eastAsia="Arial Unicode MS"/>
          <w:i/>
          <w:iCs/>
          <w:szCs w:val="26"/>
        </w:rPr>
        <w:t>d.</w:t>
      </w:r>
      <w:r w:rsidR="008F72BF">
        <w:rPr>
          <w:rFonts w:eastAsia="Arial Unicode MS"/>
          <w:szCs w:val="26"/>
        </w:rPr>
        <w:t>, subd. (c)(2)</w:t>
      </w:r>
      <w:r w:rsidRPr="00D16C7C" w:rsidR="009B0794">
        <w:rPr>
          <w:rFonts w:eastAsia="Arial Unicode MS"/>
          <w:szCs w:val="26"/>
        </w:rPr>
        <w:t>)</w:t>
      </w:r>
      <w:r w:rsidR="00760E14">
        <w:rPr>
          <w:rFonts w:eastAsia="Arial Unicode MS"/>
          <w:szCs w:val="26"/>
        </w:rPr>
        <w:t>.</w:t>
      </w:r>
      <w:r w:rsidRPr="00D16C7C" w:rsidR="00F03BF6">
        <w:rPr>
          <w:rFonts w:eastAsia="Arial Unicode MS"/>
          <w:szCs w:val="26"/>
        </w:rPr>
        <w:t xml:space="preserve">  </w:t>
      </w:r>
      <w:r w:rsidRPr="00D16C7C" w:rsidR="009B0794">
        <w:rPr>
          <w:rFonts w:eastAsia="Arial Unicode MS"/>
          <w:szCs w:val="26"/>
        </w:rPr>
        <w:t xml:space="preserve">To the extent the district attorney claims there is tension or </w:t>
      </w:r>
      <w:r w:rsidRPr="00D16C7C" w:rsidR="008D7698">
        <w:rPr>
          <w:rFonts w:eastAsia="Arial Unicode MS"/>
          <w:szCs w:val="26"/>
        </w:rPr>
        <w:t xml:space="preserve">inconsistency between </w:t>
      </w:r>
      <w:r w:rsidRPr="00D16C7C" w:rsidR="009B0794">
        <w:rPr>
          <w:rFonts w:eastAsia="Arial Unicode MS"/>
          <w:szCs w:val="26"/>
        </w:rPr>
        <w:t xml:space="preserve">what </w:t>
      </w:r>
      <w:r>
        <w:rPr>
          <w:rFonts w:eastAsia="Arial Unicode MS"/>
          <w:szCs w:val="26"/>
        </w:rPr>
        <w:t xml:space="preserve">California Rules of Court, </w:t>
      </w:r>
      <w:r w:rsidRPr="00D16C7C" w:rsidR="00BC5EC6">
        <w:rPr>
          <w:rFonts w:eastAsia="Arial Unicode MS"/>
          <w:szCs w:val="26"/>
        </w:rPr>
        <w:t xml:space="preserve">rule 5.630 </w:t>
      </w:r>
      <w:r w:rsidRPr="00D16C7C" w:rsidR="009B0794">
        <w:rPr>
          <w:rFonts w:eastAsia="Arial Unicode MS"/>
          <w:szCs w:val="26"/>
        </w:rPr>
        <w:t xml:space="preserve">authorizes </w:t>
      </w:r>
      <w:r w:rsidRPr="00D16C7C" w:rsidR="00BC5EC6">
        <w:rPr>
          <w:rFonts w:eastAsia="Arial Unicode MS"/>
          <w:szCs w:val="26"/>
        </w:rPr>
        <w:t xml:space="preserve">and </w:t>
      </w:r>
      <w:r w:rsidRPr="00D16C7C" w:rsidR="009B0794">
        <w:rPr>
          <w:rFonts w:eastAsia="Arial Unicode MS"/>
          <w:szCs w:val="26"/>
        </w:rPr>
        <w:t xml:space="preserve">what </w:t>
      </w:r>
      <w:r w:rsidRPr="00D16C7C" w:rsidR="00BC5EC6">
        <w:rPr>
          <w:rFonts w:eastAsia="Arial Unicode MS"/>
          <w:szCs w:val="26"/>
        </w:rPr>
        <w:t>section 213.5</w:t>
      </w:r>
      <w:r w:rsidRPr="00D16C7C" w:rsidR="009B0794">
        <w:rPr>
          <w:rFonts w:eastAsia="Arial Unicode MS"/>
          <w:szCs w:val="26"/>
        </w:rPr>
        <w:t xml:space="preserve"> or Code of Civil Procedure section 527 says, it is settled</w:t>
      </w:r>
      <w:r w:rsidRPr="00D16C7C" w:rsidR="00BC5EC6">
        <w:rPr>
          <w:rFonts w:eastAsia="Arial Unicode MS"/>
          <w:szCs w:val="26"/>
        </w:rPr>
        <w:t xml:space="preserve"> that </w:t>
      </w:r>
      <w:r w:rsidRPr="00D16C7C" w:rsidR="00F03BF6">
        <w:rPr>
          <w:rFonts w:eastAsia="Arial Unicode MS"/>
          <w:szCs w:val="26"/>
        </w:rPr>
        <w:t>“</w:t>
      </w:r>
      <w:r w:rsidRPr="00D16C7C" w:rsidR="009B0794">
        <w:rPr>
          <w:rFonts w:eastAsia="Arial Unicode MS"/>
          <w:szCs w:val="26"/>
        </w:rPr>
        <w:t> </w:t>
      </w:r>
      <w:r w:rsidRPr="00D16C7C" w:rsidR="00F03BF6">
        <w:rPr>
          <w:rFonts w:eastAsia="Arial Unicode MS"/>
          <w:szCs w:val="26"/>
        </w:rPr>
        <w:t>‘</w:t>
      </w:r>
      <w:r w:rsidRPr="00D16C7C" w:rsidR="00BC5EC6">
        <w:rPr>
          <w:rFonts w:eastAsia="Arial Unicode MS"/>
          <w:szCs w:val="26"/>
        </w:rPr>
        <w:t>[r]</w:t>
      </w:r>
      <w:r w:rsidRPr="00D16C7C" w:rsidR="00F03BF6">
        <w:rPr>
          <w:rFonts w:eastAsia="Arial Unicode MS"/>
          <w:szCs w:val="26"/>
        </w:rPr>
        <w:t>ules promulgated by the Judicial Council may not conflict with governing statutes</w:t>
      </w:r>
      <w:r w:rsidRPr="00D16C7C" w:rsidR="00215EE2">
        <w:rPr>
          <w:rFonts w:eastAsia="Arial Unicode MS"/>
          <w:szCs w:val="26"/>
        </w:rPr>
        <w:t>’</w:t>
      </w:r>
      <w:r w:rsidRPr="00D16C7C" w:rsidR="009B0794">
        <w:rPr>
          <w:rFonts w:eastAsia="Arial Unicode MS"/>
          <w:szCs w:val="26"/>
        </w:rPr>
        <w:t> </w:t>
      </w:r>
      <w:r w:rsidRPr="00D16C7C" w:rsidR="00215EE2">
        <w:rPr>
          <w:rFonts w:eastAsia="Arial Unicode MS"/>
          <w:szCs w:val="26"/>
        </w:rPr>
        <w:t>” and that “</w:t>
      </w:r>
      <w:r w:rsidRPr="00D16C7C" w:rsidR="009B0794">
        <w:rPr>
          <w:rFonts w:eastAsia="Arial Unicode MS"/>
          <w:szCs w:val="26"/>
        </w:rPr>
        <w:t> </w:t>
      </w:r>
      <w:r w:rsidRPr="00D16C7C" w:rsidR="00215EE2">
        <w:rPr>
          <w:rFonts w:eastAsia="Arial Unicode MS"/>
          <w:szCs w:val="26"/>
        </w:rPr>
        <w:t>‘[i]</w:t>
      </w:r>
      <w:r w:rsidRPr="00D16C7C" w:rsidR="00F03BF6">
        <w:rPr>
          <w:rFonts w:eastAsia="Arial Unicode MS"/>
          <w:szCs w:val="26"/>
        </w:rPr>
        <w:t>f a rule is inconsistent with a statute, the statute controls.</w:t>
      </w:r>
      <w:r w:rsidRPr="00D16C7C" w:rsidR="00215EE2">
        <w:rPr>
          <w:rFonts w:eastAsia="Arial Unicode MS"/>
          <w:szCs w:val="26"/>
        </w:rPr>
        <w:t>’</w:t>
      </w:r>
      <w:r w:rsidRPr="00D16C7C" w:rsidR="009B0794">
        <w:rPr>
          <w:rFonts w:eastAsia="Arial Unicode MS"/>
          <w:szCs w:val="26"/>
        </w:rPr>
        <w:t> </w:t>
      </w:r>
      <w:r w:rsidRPr="00D16C7C" w:rsidR="00F03BF6">
        <w:rPr>
          <w:rFonts w:eastAsia="Arial Unicode MS"/>
          <w:szCs w:val="26"/>
        </w:rPr>
        <w:t xml:space="preserve">” </w:t>
      </w:r>
      <w:r w:rsidRPr="00D16C7C" w:rsidR="009B0794">
        <w:rPr>
          <w:rFonts w:eastAsia="Arial Unicode MS"/>
          <w:szCs w:val="26"/>
        </w:rPr>
        <w:t xml:space="preserve"> </w:t>
      </w:r>
      <w:r w:rsidRPr="00D16C7C" w:rsidR="00F03BF6">
        <w:rPr>
          <w:rFonts w:eastAsia="Arial Unicode MS"/>
          <w:szCs w:val="26"/>
        </w:rPr>
        <w:t>(</w:t>
      </w:r>
      <w:r w:rsidRPr="00D16C7C" w:rsidR="00F03BF6">
        <w:rPr>
          <w:rFonts w:eastAsia="Arial Unicode MS"/>
          <w:i/>
          <w:iCs/>
          <w:szCs w:val="26"/>
        </w:rPr>
        <w:t>People v. Guerra</w:t>
      </w:r>
      <w:r w:rsidRPr="00D16C7C" w:rsidR="00F03BF6">
        <w:rPr>
          <w:rFonts w:eastAsia="Arial Unicode MS"/>
          <w:szCs w:val="26"/>
        </w:rPr>
        <w:t> (2016) 5 Cal.App.5th 961, 966.)</w:t>
      </w:r>
    </w:p>
    <w:p w:rsidR="00522A69" w:rsidRPr="00D16C7C" w:rsidP="001C2F93" w14:paraId="1D0FA341" w14:textId="2D5B9629">
      <w:pPr>
        <w:tabs>
          <w:tab w:val="left" w:pos="1440"/>
        </w:tabs>
        <w:ind w:firstLine="720"/>
        <w:rPr>
          <w:rFonts w:eastAsia="Arial Unicode MS" w:cs="Arial Unicode MS"/>
        </w:rPr>
      </w:pPr>
      <w:r w:rsidRPr="00D16C7C">
        <w:rPr>
          <w:rFonts w:eastAsia="Arial Unicode MS" w:cs="Arial Unicode MS"/>
        </w:rPr>
        <w:t xml:space="preserve">In sum, we hold that a TRO application under section 213.5 must satisfy the procedural requirements of </w:t>
      </w:r>
      <w:r w:rsidRPr="00D16C7C" w:rsidR="00A84D0C">
        <w:rPr>
          <w:rFonts w:eastAsia="Arial Unicode MS" w:cs="Arial Unicode MS"/>
        </w:rPr>
        <w:t xml:space="preserve">Code of Civil Procedure section 527.  This means that an applicant who seeks the issuance of a TRO without notice must show </w:t>
      </w:r>
      <w:r w:rsidRPr="00D16C7C" w:rsidR="009318A4">
        <w:rPr>
          <w:rFonts w:eastAsia="Arial Unicode MS" w:cs="Arial Unicode MS"/>
        </w:rPr>
        <w:t>“great or irreparable injury”</w:t>
      </w:r>
      <w:r w:rsidRPr="00D16C7C" w:rsidR="00A84D0C">
        <w:rPr>
          <w:rFonts w:eastAsia="Arial Unicode MS" w:cs="Arial Unicode MS"/>
        </w:rPr>
        <w:t xml:space="preserve"> justifying the absence of notice</w:t>
      </w:r>
      <w:r w:rsidR="00D72124">
        <w:rPr>
          <w:rFonts w:eastAsia="Arial Unicode MS" w:cs="Arial Unicode MS"/>
        </w:rPr>
        <w:t xml:space="preserve"> (</w:t>
      </w:r>
      <w:r w:rsidRPr="00D16C7C" w:rsidR="00D72124">
        <w:rPr>
          <w:rFonts w:eastAsia="Arial Unicode MS"/>
          <w:szCs w:val="26"/>
        </w:rPr>
        <w:t>Code Civ. Proc., § 527, subd. (c)(1)</w:t>
      </w:r>
      <w:r w:rsidR="00D72124">
        <w:rPr>
          <w:rFonts w:eastAsia="Arial Unicode MS"/>
          <w:szCs w:val="26"/>
        </w:rPr>
        <w:t>)</w:t>
      </w:r>
      <w:r w:rsidRPr="00D16C7C" w:rsidR="00A84D0C">
        <w:rPr>
          <w:rFonts w:eastAsia="Arial Unicode MS" w:cs="Arial Unicode MS"/>
        </w:rPr>
        <w:t>, as well as a good</w:t>
      </w:r>
      <w:r w:rsidR="005C369A">
        <w:rPr>
          <w:rFonts w:eastAsia="Arial Unicode MS" w:cs="Arial Unicode MS"/>
        </w:rPr>
        <w:t xml:space="preserve"> </w:t>
      </w:r>
      <w:r w:rsidRPr="00D16C7C" w:rsidR="00A84D0C">
        <w:rPr>
          <w:rFonts w:eastAsia="Arial Unicode MS" w:cs="Arial Unicode MS"/>
        </w:rPr>
        <w:t>faith effort to inform, or reasons why no effort need be made to inform, the opposing party when and where the application would be made</w:t>
      </w:r>
      <w:r w:rsidR="00627EC2">
        <w:rPr>
          <w:rFonts w:eastAsia="Arial Unicode MS" w:cs="Arial Unicode MS"/>
        </w:rPr>
        <w:t xml:space="preserve"> (</w:t>
      </w:r>
      <w:r w:rsidR="00627EC2">
        <w:rPr>
          <w:rFonts w:eastAsia="Arial Unicode MS" w:cs="Arial Unicode MS"/>
          <w:i/>
          <w:iCs/>
        </w:rPr>
        <w:t>id.</w:t>
      </w:r>
      <w:r w:rsidR="00627EC2">
        <w:rPr>
          <w:rFonts w:eastAsia="Arial Unicode MS" w:cs="Arial Unicode MS"/>
        </w:rPr>
        <w:t>, subd. (c)(2)</w:t>
      </w:r>
      <w:r w:rsidRPr="00D16C7C" w:rsidR="00A84D0C">
        <w:rPr>
          <w:rFonts w:eastAsia="Arial Unicode MS" w:cs="Arial Unicode MS"/>
        </w:rPr>
        <w:t xml:space="preserve">.  </w:t>
      </w:r>
      <w:r w:rsidRPr="00D16C7C" w:rsidR="001C2F93">
        <w:rPr>
          <w:rFonts w:eastAsia="Arial Unicode MS"/>
          <w:szCs w:val="26"/>
        </w:rPr>
        <w:t>In light of our holding</w:t>
      </w:r>
      <w:r w:rsidRPr="00D16C7C" w:rsidR="001C2F93">
        <w:rPr>
          <w:rFonts w:eastAsia="Arial Unicode MS" w:cs="Arial Unicode MS"/>
        </w:rPr>
        <w:t xml:space="preserve">, we need not decide whether notice in this context is required as a matter of due process.  </w:t>
      </w:r>
      <w:r w:rsidRPr="00D16C7C" w:rsidR="007F3CF8">
        <w:rPr>
          <w:rFonts w:eastAsia="Arial Unicode MS"/>
          <w:szCs w:val="26"/>
        </w:rPr>
        <w:t>Where the prosecutor neither provides notice nor makes</w:t>
      </w:r>
      <w:r w:rsidRPr="00D16C7C" w:rsidR="00F147DA">
        <w:rPr>
          <w:rFonts w:eastAsia="Arial Unicode MS"/>
          <w:szCs w:val="26"/>
        </w:rPr>
        <w:t xml:space="preserve"> a showing</w:t>
      </w:r>
      <w:r w:rsidRPr="00D16C7C" w:rsidR="007F3CF8">
        <w:rPr>
          <w:rFonts w:eastAsia="Arial Unicode MS"/>
          <w:szCs w:val="26"/>
        </w:rPr>
        <w:t xml:space="preserve"> of justification for lack of notice</w:t>
      </w:r>
      <w:r w:rsidRPr="00D16C7C" w:rsidR="00F147DA">
        <w:rPr>
          <w:rFonts w:eastAsia="Arial Unicode MS"/>
          <w:szCs w:val="26"/>
        </w:rPr>
        <w:t xml:space="preserve">, the juvenile court must provide counsel and the minor </w:t>
      </w:r>
      <w:r w:rsidRPr="00D16C7C" w:rsidR="002176D9">
        <w:rPr>
          <w:rFonts w:eastAsia="Arial Unicode MS"/>
          <w:szCs w:val="26"/>
        </w:rPr>
        <w:t xml:space="preserve">with sufficient time </w:t>
      </w:r>
      <w:r w:rsidRPr="00D16C7C" w:rsidR="001C2F93">
        <w:rPr>
          <w:rFonts w:eastAsia="Arial Unicode MS"/>
          <w:szCs w:val="26"/>
        </w:rPr>
        <w:t xml:space="preserve">to </w:t>
      </w:r>
      <w:r w:rsidRPr="00D16C7C" w:rsidR="002176D9">
        <w:rPr>
          <w:rFonts w:eastAsia="Arial Unicode MS"/>
          <w:szCs w:val="26"/>
        </w:rPr>
        <w:t xml:space="preserve">prepare and respond before any TRO may issue.  </w:t>
      </w:r>
      <w:r w:rsidRPr="00D16C7C" w:rsidR="00BC43DE">
        <w:rPr>
          <w:rFonts w:eastAsia="Arial Unicode MS"/>
          <w:szCs w:val="26"/>
        </w:rPr>
        <w:t xml:space="preserve">How much time is required </w:t>
      </w:r>
      <w:r w:rsidRPr="00D16C7C" w:rsidR="001C2F93">
        <w:rPr>
          <w:rFonts w:eastAsia="Arial Unicode MS"/>
          <w:szCs w:val="26"/>
        </w:rPr>
        <w:t>will depend</w:t>
      </w:r>
      <w:r w:rsidRPr="00D16C7C" w:rsidR="002176D9">
        <w:rPr>
          <w:rFonts w:eastAsia="Arial Unicode MS"/>
          <w:szCs w:val="26"/>
        </w:rPr>
        <w:t xml:space="preserve"> on </w:t>
      </w:r>
      <w:r w:rsidRPr="00D16C7C" w:rsidR="00BC43DE">
        <w:rPr>
          <w:rFonts w:eastAsia="Arial Unicode MS"/>
          <w:szCs w:val="26"/>
        </w:rPr>
        <w:t xml:space="preserve">the </w:t>
      </w:r>
      <w:r w:rsidRPr="00D16C7C" w:rsidR="007F3CF8">
        <w:rPr>
          <w:rFonts w:eastAsia="Arial Unicode MS"/>
          <w:szCs w:val="26"/>
        </w:rPr>
        <w:t xml:space="preserve">totality of the circumstances, including the </w:t>
      </w:r>
      <w:r w:rsidRPr="00D16C7C" w:rsidR="002176D9">
        <w:rPr>
          <w:rFonts w:eastAsia="Arial Unicode MS"/>
          <w:szCs w:val="26"/>
        </w:rPr>
        <w:t>complexity of the incident</w:t>
      </w:r>
      <w:r w:rsidRPr="00D16C7C" w:rsidR="00BC43DE">
        <w:rPr>
          <w:rFonts w:eastAsia="Arial Unicode MS"/>
          <w:szCs w:val="26"/>
        </w:rPr>
        <w:t xml:space="preserve"> that gave rise to the </w:t>
      </w:r>
      <w:r w:rsidRPr="00D16C7C" w:rsidR="00B42A41">
        <w:rPr>
          <w:rFonts w:eastAsia="Arial Unicode MS"/>
          <w:szCs w:val="26"/>
        </w:rPr>
        <w:t xml:space="preserve">juvenile petition, the number of witnesses </w:t>
      </w:r>
      <w:r w:rsidRPr="00D16C7C" w:rsidR="001C2F93">
        <w:rPr>
          <w:rFonts w:eastAsia="Arial Unicode MS"/>
          <w:szCs w:val="26"/>
        </w:rPr>
        <w:t>relevant to the matter</w:t>
      </w:r>
      <w:r w:rsidRPr="00D16C7C" w:rsidR="001F4558">
        <w:rPr>
          <w:rFonts w:eastAsia="Arial Unicode MS"/>
          <w:szCs w:val="26"/>
        </w:rPr>
        <w:t xml:space="preserve">, and the scope and type of restrictions </w:t>
      </w:r>
      <w:r w:rsidRPr="00D16C7C" w:rsidR="001C2F93">
        <w:rPr>
          <w:rFonts w:eastAsia="Arial Unicode MS"/>
          <w:szCs w:val="26"/>
        </w:rPr>
        <w:t>requested</w:t>
      </w:r>
      <w:r w:rsidRPr="00D16C7C" w:rsidR="002176D9">
        <w:rPr>
          <w:rFonts w:eastAsia="Arial Unicode MS"/>
          <w:szCs w:val="26"/>
        </w:rPr>
        <w:t xml:space="preserve"> in the TRO</w:t>
      </w:r>
      <w:r w:rsidRPr="00D16C7C" w:rsidR="001C2F93">
        <w:rPr>
          <w:rFonts w:eastAsia="Arial Unicode MS"/>
          <w:szCs w:val="26"/>
        </w:rPr>
        <w:t xml:space="preserve"> application</w:t>
      </w:r>
      <w:r w:rsidRPr="00D16C7C" w:rsidR="001F4558">
        <w:rPr>
          <w:rFonts w:eastAsia="Arial Unicode MS"/>
          <w:szCs w:val="26"/>
        </w:rPr>
        <w:t>.</w:t>
      </w:r>
    </w:p>
    <w:p w:rsidR="00694FFA" w:rsidRPr="00D16C7C" w:rsidP="003C73DB" w14:paraId="6B93A8FB" w14:textId="2D9C631C">
      <w:pPr>
        <w:tabs>
          <w:tab w:val="left" w:pos="1440"/>
        </w:tabs>
        <w:ind w:firstLine="720"/>
        <w:rPr>
          <w:rFonts w:eastAsia="Arial Unicode MS" w:cs="Arial Unicode MS"/>
        </w:rPr>
      </w:pPr>
      <w:r w:rsidRPr="00D16C7C">
        <w:rPr>
          <w:rFonts w:eastAsia="Arial Unicode MS" w:cs="Arial Unicode MS"/>
        </w:rPr>
        <w:t xml:space="preserve">In this matter, the </w:t>
      </w:r>
      <w:r w:rsidRPr="00D16C7C" w:rsidR="002D6751">
        <w:rPr>
          <w:rFonts w:eastAsia="Arial Unicode MS" w:cs="Arial Unicode MS"/>
        </w:rPr>
        <w:t>district attorney concedes that no notice was provided</w:t>
      </w:r>
      <w:r w:rsidRPr="00D16C7C" w:rsidR="00365F20">
        <w:rPr>
          <w:rFonts w:eastAsia="Arial Unicode MS" w:cs="Arial Unicode MS"/>
        </w:rPr>
        <w:t xml:space="preserve"> before </w:t>
      </w:r>
      <w:r w:rsidRPr="00D16C7C" w:rsidR="00A84D0C">
        <w:rPr>
          <w:rFonts w:eastAsia="Arial Unicode MS" w:cs="Arial Unicode MS"/>
        </w:rPr>
        <w:t xml:space="preserve">the </w:t>
      </w:r>
      <w:r w:rsidRPr="00D16C7C" w:rsidR="00365F20">
        <w:rPr>
          <w:rFonts w:eastAsia="Arial Unicode MS" w:cs="Arial Unicode MS"/>
        </w:rPr>
        <w:t xml:space="preserve">hearing, and no attempt was made to show “great or irreparable injury” </w:t>
      </w:r>
      <w:r w:rsidR="0077798C">
        <w:rPr>
          <w:rFonts w:eastAsia="Arial Unicode MS" w:cs="Arial Unicode MS"/>
        </w:rPr>
        <w:t xml:space="preserve">(Code Civ. Proc., </w:t>
      </w:r>
      <w:r w:rsidRPr="0077798C" w:rsidR="0077798C">
        <w:rPr>
          <w:rFonts w:eastAsia="Arial Unicode MS" w:cs="Arial Unicode MS"/>
        </w:rPr>
        <w:t>§</w:t>
      </w:r>
      <w:r w:rsidR="0077798C">
        <w:rPr>
          <w:rFonts w:eastAsia="Arial Unicode MS" w:cs="Arial Unicode MS"/>
        </w:rPr>
        <w:t xml:space="preserve"> 527, subd. (c)(1)) </w:t>
      </w:r>
      <w:r w:rsidRPr="00D16C7C" w:rsidR="00A84D0C">
        <w:rPr>
          <w:rFonts w:eastAsia="Arial Unicode MS" w:cs="Arial Unicode MS"/>
        </w:rPr>
        <w:t>or otherwise to comply with Code of Civil Procedure section 527, subdivision (c).  T</w:t>
      </w:r>
      <w:r w:rsidRPr="00D16C7C">
        <w:rPr>
          <w:rFonts w:eastAsia="Arial Unicode MS" w:cs="Arial Unicode MS"/>
        </w:rPr>
        <w:t xml:space="preserve">he </w:t>
      </w:r>
      <w:r w:rsidRPr="00D16C7C" w:rsidR="006B7E0C">
        <w:rPr>
          <w:rFonts w:eastAsia="Arial Unicode MS" w:cs="Arial Unicode MS"/>
        </w:rPr>
        <w:t>juvenile court’s issu</w:t>
      </w:r>
      <w:r w:rsidRPr="00D16C7C" w:rsidR="00A84D0C">
        <w:rPr>
          <w:rFonts w:eastAsia="Arial Unicode MS" w:cs="Arial Unicode MS"/>
        </w:rPr>
        <w:t>ance of the</w:t>
      </w:r>
      <w:r w:rsidRPr="00D16C7C" w:rsidR="006B7E0C">
        <w:rPr>
          <w:rFonts w:eastAsia="Arial Unicode MS" w:cs="Arial Unicode MS"/>
        </w:rPr>
        <w:t xml:space="preserve"> TRO </w:t>
      </w:r>
      <w:r w:rsidRPr="00D16C7C" w:rsidR="00A84D0C">
        <w:rPr>
          <w:rFonts w:eastAsia="Arial Unicode MS" w:cs="Arial Unicode MS"/>
        </w:rPr>
        <w:t xml:space="preserve">thus </w:t>
      </w:r>
      <w:r w:rsidRPr="00D16C7C" w:rsidR="008A2E1C">
        <w:rPr>
          <w:rFonts w:eastAsia="Arial Unicode MS" w:cs="Arial Unicode MS"/>
        </w:rPr>
        <w:t>exceeded its authority under section 213.5.</w:t>
      </w:r>
      <w:r w:rsidRPr="00D16C7C" w:rsidR="00522A69">
        <w:rPr>
          <w:rFonts w:eastAsia="Arial Unicode MS" w:cs="Arial Unicode MS"/>
        </w:rPr>
        <w:t xml:space="preserve">  </w:t>
      </w:r>
      <w:r w:rsidRPr="00D16C7C" w:rsidR="00A84D0C">
        <w:rPr>
          <w:rFonts w:eastAsia="Arial Unicode MS" w:cs="Arial Unicode MS"/>
        </w:rPr>
        <w:t xml:space="preserve">We </w:t>
      </w:r>
      <w:r w:rsidRPr="00D16C7C">
        <w:rPr>
          <w:rFonts w:eastAsia="Arial Unicode MS" w:cs="Arial Unicode MS"/>
        </w:rPr>
        <w:t>express no view</w:t>
      </w:r>
      <w:r w:rsidRPr="00D16C7C" w:rsidR="00A84D0C">
        <w:rPr>
          <w:rFonts w:eastAsia="Arial Unicode MS" w:cs="Arial Unicode MS"/>
        </w:rPr>
        <w:t xml:space="preserve"> on the Court of Appeal’s </w:t>
      </w:r>
      <w:r w:rsidRPr="00D16C7C" w:rsidR="00155ABF">
        <w:rPr>
          <w:rFonts w:eastAsia="Arial Unicode MS" w:cs="Arial Unicode MS"/>
        </w:rPr>
        <w:t>determination that substantial evidence supports the juvenile court’s issuance of the restraining order in this case</w:t>
      </w:r>
      <w:r w:rsidRPr="00D16C7C">
        <w:rPr>
          <w:rFonts w:eastAsia="Arial Unicode MS" w:cs="Arial Unicode MS"/>
        </w:rPr>
        <w:t>.</w:t>
      </w:r>
    </w:p>
    <w:p w:rsidR="00710477" w:rsidRPr="00D16C7C" w:rsidP="00CE1493" w14:paraId="261BC2FB" w14:textId="04EE476C">
      <w:pPr>
        <w:pStyle w:val="Heading1"/>
        <w:rPr>
          <w:rFonts w:eastAsia="Arial Unicode MS"/>
        </w:rPr>
      </w:pPr>
      <w:r w:rsidRPr="00D16C7C">
        <w:rPr>
          <w:rFonts w:eastAsia="Arial Unicode MS"/>
        </w:rPr>
        <w:t>CONCLUSION</w:t>
      </w:r>
    </w:p>
    <w:p w:rsidR="00B161F0" w:rsidRPr="00D16C7C" w:rsidP="00F305F6" w14:paraId="7D73B3EE" w14:textId="7BF4176E">
      <w:pPr>
        <w:tabs>
          <w:tab w:val="left" w:pos="1440"/>
        </w:tabs>
        <w:ind w:firstLine="720"/>
        <w:rPr>
          <w:rFonts w:eastAsia="Arial Unicode MS" w:cs="Arial Unicode MS"/>
        </w:rPr>
      </w:pPr>
      <w:r w:rsidRPr="00D16C7C">
        <w:rPr>
          <w:rFonts w:eastAsia="Arial Unicode MS" w:cs="Arial Unicode MS"/>
        </w:rPr>
        <w:t>W</w:t>
      </w:r>
      <w:r w:rsidRPr="00D16C7C" w:rsidR="00155ABF">
        <w:rPr>
          <w:rFonts w:eastAsia="Arial Unicode MS" w:cs="Arial Unicode MS"/>
        </w:rPr>
        <w:t xml:space="preserve">e </w:t>
      </w:r>
      <w:r w:rsidRPr="00D16C7C" w:rsidR="00710477">
        <w:rPr>
          <w:rFonts w:eastAsia="Arial Unicode MS" w:cs="Arial Unicode MS"/>
        </w:rPr>
        <w:t xml:space="preserve">reverse the </w:t>
      </w:r>
      <w:r w:rsidRPr="00D16C7C" w:rsidR="00155ABF">
        <w:rPr>
          <w:rFonts w:eastAsia="Arial Unicode MS" w:cs="Arial Unicode MS"/>
        </w:rPr>
        <w:t xml:space="preserve">Court of Appeal’s </w:t>
      </w:r>
      <w:r w:rsidRPr="00D16C7C" w:rsidR="00075F2D">
        <w:rPr>
          <w:rFonts w:eastAsia="Arial Unicode MS" w:cs="Arial Unicode MS"/>
        </w:rPr>
        <w:t xml:space="preserve">judgment </w:t>
      </w:r>
      <w:r w:rsidRPr="00D16C7C" w:rsidR="00155ABF">
        <w:rPr>
          <w:rFonts w:eastAsia="Arial Unicode MS" w:cs="Arial Unicode MS"/>
        </w:rPr>
        <w:t>affirming the issuance of the temporary restraining order.</w:t>
      </w:r>
    </w:p>
    <w:p w:rsidR="00A565B2" w:rsidRPr="00D16C7C" w:rsidP="00F305F6" w14:paraId="3B6DA507" w14:textId="77777777">
      <w:pPr>
        <w:tabs>
          <w:tab w:val="left" w:pos="1440"/>
        </w:tabs>
        <w:ind w:firstLine="720"/>
        <w:rPr>
          <w:rFonts w:eastAsia="Arial Unicode MS" w:cs="Arial Unicode MS"/>
        </w:rPr>
      </w:pPr>
    </w:p>
    <w:p w:rsidR="00B161F0" w:rsidRPr="00D16C7C" w:rsidP="00F305F6" w14:paraId="5869B33E" w14:textId="5C3B5079">
      <w:pPr>
        <w:tabs>
          <w:tab w:val="left" w:pos="1440"/>
        </w:tabs>
        <w:rPr>
          <w:rFonts w:eastAsia="Arial Unicode MS" w:cs="Arial Unicode MS"/>
          <w:b/>
          <w:bCs/>
        </w:rPr>
      </w:pPr>
      <w:r w:rsidRPr="00D16C7C">
        <w:rPr>
          <w:rFonts w:eastAsia="Arial Unicode MS" w:cs="Arial Unicode MS"/>
          <w:b/>
          <w:bCs/>
        </w:rPr>
        <w:tab/>
      </w:r>
      <w:r w:rsidRPr="00D16C7C">
        <w:rPr>
          <w:rFonts w:eastAsia="Arial Unicode MS" w:cs="Arial Unicode MS"/>
          <w:b/>
          <w:bCs/>
        </w:rPr>
        <w:tab/>
      </w:r>
      <w:r w:rsidRPr="00D16C7C">
        <w:rPr>
          <w:rFonts w:eastAsia="Arial Unicode MS" w:cs="Arial Unicode MS"/>
          <w:b/>
          <w:bCs/>
        </w:rPr>
        <w:tab/>
      </w:r>
      <w:r w:rsidRPr="00D16C7C">
        <w:rPr>
          <w:rFonts w:eastAsia="Arial Unicode MS" w:cs="Arial Unicode MS"/>
          <w:b/>
          <w:bCs/>
        </w:rPr>
        <w:tab/>
      </w:r>
      <w:r w:rsidRPr="00D16C7C">
        <w:rPr>
          <w:rFonts w:eastAsia="Arial Unicode MS" w:cs="Arial Unicode MS"/>
          <w:b/>
          <w:bCs/>
        </w:rPr>
        <w:tab/>
      </w:r>
      <w:r w:rsidRPr="00D16C7C">
        <w:rPr>
          <w:rFonts w:eastAsia="Arial Unicode MS" w:cs="Arial Unicode MS"/>
          <w:b/>
          <w:bCs/>
        </w:rPr>
        <w:tab/>
      </w:r>
      <w:r w:rsidR="00D37A4F">
        <w:rPr>
          <w:rFonts w:eastAsia="Arial Unicode MS" w:cs="Arial Unicode MS"/>
          <w:b/>
          <w:bCs/>
        </w:rPr>
        <w:tab/>
      </w:r>
      <w:r w:rsidR="00D37A4F">
        <w:rPr>
          <w:rFonts w:eastAsia="Arial Unicode MS" w:cs="Arial Unicode MS"/>
          <w:b/>
          <w:bCs/>
        </w:rPr>
        <w:tab/>
      </w:r>
      <w:r w:rsidRPr="00D16C7C" w:rsidR="000B603C">
        <w:rPr>
          <w:rFonts w:eastAsia="Arial Unicode MS" w:cs="Arial Unicode MS"/>
          <w:b/>
          <w:bCs/>
        </w:rPr>
        <w:t>LIU</w:t>
      </w:r>
      <w:r w:rsidRPr="00D16C7C">
        <w:rPr>
          <w:rFonts w:eastAsia="Arial Unicode MS" w:cs="Arial Unicode MS"/>
          <w:b/>
          <w:bCs/>
        </w:rPr>
        <w:t>, J.</w:t>
      </w:r>
    </w:p>
    <w:p w:rsidR="006F1CD0" w:rsidRPr="00D16C7C" w:rsidP="006F1CD0" w14:paraId="4D6B1ACC" w14:textId="77777777">
      <w:pPr>
        <w:tabs>
          <w:tab w:val="left" w:pos="1440"/>
        </w:tabs>
        <w:rPr>
          <w:rFonts w:eastAsia="Arial Unicode MS" w:cs="Arial Unicode MS"/>
          <w:b/>
          <w:bCs/>
        </w:rPr>
      </w:pPr>
    </w:p>
    <w:p w:rsidR="00BB4C68" w:rsidP="006F1CD0" w14:paraId="4F5C38A2" w14:textId="77777777">
      <w:pPr>
        <w:tabs>
          <w:tab w:val="left" w:pos="1440"/>
        </w:tabs>
        <w:rPr>
          <w:rFonts w:eastAsia="Arial Unicode MS" w:cs="Arial Unicode MS"/>
          <w:b/>
          <w:bCs/>
        </w:rPr>
      </w:pPr>
    </w:p>
    <w:p w:rsidR="006E53B2" w:rsidP="006E53B2" w14:paraId="7030E9D4" w14:textId="77777777">
      <w:pPr>
        <w:spacing w:line="240" w:lineRule="auto"/>
        <w:rPr>
          <w:b/>
        </w:rPr>
      </w:pPr>
      <w:r>
        <w:rPr>
          <w:b/>
        </w:rPr>
        <w:t>We Concur:</w:t>
      </w:r>
    </w:p>
    <w:p w:rsidR="006E53B2" w:rsidRPr="00146FD3" w:rsidP="006E53B2" w14:paraId="1F876A25" w14:textId="77777777">
      <w:pPr>
        <w:spacing w:after="0" w:line="240" w:lineRule="auto"/>
        <w:rPr>
          <w:rFonts w:ascii="Calibri" w:hAnsi="Calibri"/>
          <w:b/>
          <w:sz w:val="22"/>
          <w:lang w:val="it-IT"/>
        </w:rPr>
      </w:pPr>
      <w:r w:rsidRPr="00146FD3">
        <w:rPr>
          <w:b/>
          <w:lang w:val="it-IT"/>
        </w:rPr>
        <w:t>CANTIL-SAKAUYE, C.J.</w:t>
      </w:r>
    </w:p>
    <w:p w:rsidR="006E53B2" w:rsidRPr="00146FD3" w:rsidP="006E53B2" w14:paraId="28FFD84C" w14:textId="77777777">
      <w:pPr>
        <w:spacing w:after="0" w:line="240" w:lineRule="auto"/>
        <w:rPr>
          <w:b/>
          <w:lang w:val="it-IT"/>
        </w:rPr>
      </w:pPr>
      <w:r w:rsidRPr="00146FD3">
        <w:rPr>
          <w:b/>
          <w:lang w:val="it-IT"/>
        </w:rPr>
        <w:t>CORRIGAN, J.</w:t>
      </w:r>
    </w:p>
    <w:p w:rsidR="006E53B2" w:rsidRPr="00146FD3" w:rsidP="006E53B2" w14:paraId="7A19A0B1" w14:textId="77777777">
      <w:pPr>
        <w:spacing w:after="0" w:line="240" w:lineRule="auto"/>
        <w:rPr>
          <w:b/>
          <w:lang w:val="it-IT"/>
        </w:rPr>
      </w:pPr>
      <w:r w:rsidRPr="00146FD3">
        <w:rPr>
          <w:b/>
          <w:lang w:val="it-IT"/>
        </w:rPr>
        <w:t>CUÉLLAR, J.</w:t>
      </w:r>
    </w:p>
    <w:p w:rsidR="006E53B2" w:rsidP="006E53B2" w14:paraId="44369246" w14:textId="77777777">
      <w:pPr>
        <w:spacing w:after="0" w:line="240" w:lineRule="auto"/>
        <w:jc w:val="left"/>
        <w:rPr>
          <w:b/>
          <w:lang w:val="it-IT"/>
        </w:rPr>
      </w:pPr>
      <w:r w:rsidRPr="00146FD3">
        <w:rPr>
          <w:b/>
          <w:lang w:val="it-IT"/>
        </w:rPr>
        <w:t>KRUGER, J.</w:t>
      </w:r>
    </w:p>
    <w:p w:rsidR="006E53B2" w:rsidP="006E53B2" w14:paraId="7C965786" w14:textId="77777777">
      <w:pPr>
        <w:spacing w:after="0" w:line="240" w:lineRule="auto"/>
        <w:jc w:val="left"/>
        <w:rPr>
          <w:b/>
        </w:rPr>
      </w:pPr>
      <w:r>
        <w:rPr>
          <w:b/>
        </w:rPr>
        <w:t>GROBAN, J.</w:t>
      </w:r>
    </w:p>
    <w:p w:rsidR="006E53B2" w:rsidP="006E53B2" w14:paraId="2EA8B68D" w14:textId="2EFB720D">
      <w:pPr>
        <w:spacing w:after="0" w:line="240" w:lineRule="auto"/>
        <w:jc w:val="left"/>
        <w:rPr>
          <w:b/>
        </w:rPr>
      </w:pPr>
      <w:r>
        <w:rPr>
          <w:b/>
        </w:rPr>
        <w:t>JENKINS, J.</w:t>
      </w:r>
    </w:p>
    <w:p w:rsidR="0023577A" w:rsidP="006E53B2" w14:paraId="545CC9A5" w14:textId="77777777">
      <w:pPr>
        <w:spacing w:after="0" w:line="240" w:lineRule="auto"/>
        <w:jc w:val="left"/>
        <w:rPr>
          <w:b/>
        </w:rPr>
        <w:sectPr w:rsidSect="004945C9">
          <w:footerReference w:type="first" r:id="rId11"/>
          <w:pgSz w:w="12240" w:h="15840"/>
          <w:pgMar w:top="1800" w:right="2160" w:bottom="1440" w:left="2160" w:header="720" w:footer="720" w:gutter="0"/>
          <w:pgNumType w:start="1"/>
          <w:cols w:space="720"/>
          <w:titlePg/>
          <w:docGrid w:linePitch="367"/>
        </w:sectPr>
      </w:pPr>
    </w:p>
    <w:p w:rsidR="00272B0C" w:rsidRPr="00272B0C" w:rsidP="00272B0C" w14:paraId="3F01EE87" w14:textId="77777777">
      <w:pPr>
        <w:spacing w:after="0" w:line="240" w:lineRule="auto"/>
        <w:jc w:val="left"/>
        <w:rPr>
          <w:i/>
          <w:sz w:val="24"/>
          <w:szCs w:val="24"/>
        </w:rPr>
      </w:pPr>
      <w:r w:rsidRPr="00272B0C">
        <w:rPr>
          <w:i/>
          <w:sz w:val="24"/>
          <w:szCs w:val="24"/>
        </w:rPr>
        <w:t>See next page for addresses and telephone numbers for counsel who argued in Supreme Court.</w:t>
      </w:r>
    </w:p>
    <w:p w:rsidR="00272B0C" w:rsidRPr="00272B0C" w:rsidP="00272B0C" w14:paraId="4828869C" w14:textId="77777777">
      <w:pPr>
        <w:spacing w:after="0" w:line="240" w:lineRule="auto"/>
        <w:jc w:val="left"/>
        <w:rPr>
          <w:i/>
          <w:sz w:val="24"/>
          <w:szCs w:val="24"/>
        </w:rPr>
      </w:pPr>
    </w:p>
    <w:p w:rsidR="00272B0C" w:rsidRPr="00272B0C" w:rsidP="00272B0C" w14:paraId="55C0F925" w14:textId="77777777">
      <w:pPr>
        <w:spacing w:after="0" w:line="240" w:lineRule="auto"/>
        <w:jc w:val="left"/>
        <w:rPr>
          <w:b/>
          <w:sz w:val="24"/>
          <w:szCs w:val="24"/>
        </w:rPr>
      </w:pPr>
      <w:r w:rsidRPr="00272B0C">
        <w:rPr>
          <w:b/>
          <w:sz w:val="24"/>
          <w:szCs w:val="24"/>
        </w:rPr>
        <w:t xml:space="preserve">Name of Opinion </w:t>
      </w:r>
      <w:r w:rsidRPr="00272B0C">
        <w:rPr>
          <w:bCs/>
          <w:sz w:val="24"/>
          <w:szCs w:val="24"/>
        </w:rPr>
        <w:t xml:space="preserve"> In re E.F.</w:t>
      </w:r>
    </w:p>
    <w:p w:rsidR="00272B0C" w:rsidRPr="00272B0C" w:rsidP="00272B0C" w14:paraId="6722DE8D" w14:textId="77777777">
      <w:pPr>
        <w:spacing w:after="0" w:line="240" w:lineRule="auto"/>
        <w:jc w:val="left"/>
        <w:rPr>
          <w:b/>
          <w:sz w:val="24"/>
          <w:szCs w:val="24"/>
        </w:rPr>
      </w:pPr>
      <w:r w:rsidRPr="00272B0C">
        <w:rPr>
          <w:b/>
          <w:sz w:val="24"/>
          <w:szCs w:val="24"/>
        </w:rPr>
        <w:t>__________________________________________________________________</w:t>
      </w:r>
    </w:p>
    <w:p w:rsidR="00272B0C" w:rsidRPr="00272B0C" w:rsidP="00272B0C" w14:paraId="3FC0A675" w14:textId="77777777">
      <w:pPr>
        <w:spacing w:after="0" w:line="240" w:lineRule="auto"/>
        <w:jc w:val="left"/>
        <w:rPr>
          <w:b/>
          <w:sz w:val="24"/>
          <w:szCs w:val="24"/>
        </w:rPr>
      </w:pPr>
    </w:p>
    <w:p w:rsidR="00272B0C" w:rsidRPr="00272B0C" w:rsidP="00272B0C" w14:paraId="5CBEAB2C" w14:textId="77777777">
      <w:pPr>
        <w:spacing w:after="0" w:line="240" w:lineRule="auto"/>
        <w:jc w:val="left"/>
        <w:rPr>
          <w:sz w:val="24"/>
          <w:szCs w:val="24"/>
        </w:rPr>
      </w:pPr>
      <w:r w:rsidRPr="00272B0C">
        <w:rPr>
          <w:b/>
          <w:bCs/>
          <w:sz w:val="24"/>
          <w:szCs w:val="24"/>
          <w:u w:val="single"/>
        </w:rPr>
        <w:t>Procedural Posture</w:t>
      </w:r>
      <w:r w:rsidRPr="00272B0C">
        <w:rPr>
          <w:b/>
          <w:bCs/>
          <w:sz w:val="24"/>
          <w:szCs w:val="24"/>
        </w:rPr>
        <w:t xml:space="preserve"> </w:t>
      </w:r>
      <w:r w:rsidRPr="00272B0C">
        <w:rPr>
          <w:sz w:val="24"/>
          <w:szCs w:val="24"/>
        </w:rPr>
        <w:t>(see XX below)</w:t>
      </w:r>
    </w:p>
    <w:p w:rsidR="00272B0C" w:rsidRPr="00272B0C" w:rsidP="00272B0C" w14:paraId="19B99A91" w14:textId="77777777">
      <w:pPr>
        <w:spacing w:after="0" w:line="240" w:lineRule="auto"/>
        <w:jc w:val="left"/>
        <w:rPr>
          <w:b/>
          <w:bCs/>
          <w:sz w:val="24"/>
          <w:szCs w:val="24"/>
        </w:rPr>
      </w:pPr>
      <w:r w:rsidRPr="00272B0C">
        <w:rPr>
          <w:b/>
          <w:bCs/>
          <w:sz w:val="24"/>
          <w:szCs w:val="24"/>
        </w:rPr>
        <w:t>Original Appeal</w:t>
      </w:r>
    </w:p>
    <w:p w:rsidR="00272B0C" w:rsidRPr="00272B0C" w:rsidP="00272B0C" w14:paraId="006B6F84" w14:textId="77777777">
      <w:pPr>
        <w:spacing w:after="0" w:line="240" w:lineRule="auto"/>
        <w:jc w:val="left"/>
        <w:rPr>
          <w:b/>
          <w:bCs/>
          <w:sz w:val="24"/>
          <w:szCs w:val="24"/>
        </w:rPr>
      </w:pPr>
      <w:r w:rsidRPr="00272B0C">
        <w:rPr>
          <w:b/>
          <w:bCs/>
          <w:sz w:val="24"/>
          <w:szCs w:val="24"/>
        </w:rPr>
        <w:t>Original Proceeding</w:t>
      </w:r>
    </w:p>
    <w:p w:rsidR="00272B0C" w:rsidRPr="00272B0C" w:rsidP="00272B0C" w14:paraId="34A1CF54" w14:textId="77777777">
      <w:pPr>
        <w:spacing w:after="0" w:line="240" w:lineRule="auto"/>
        <w:jc w:val="left"/>
        <w:rPr>
          <w:sz w:val="24"/>
          <w:szCs w:val="24"/>
        </w:rPr>
      </w:pPr>
      <w:r w:rsidRPr="00272B0C">
        <w:rPr>
          <w:b/>
          <w:bCs/>
          <w:sz w:val="24"/>
          <w:szCs w:val="24"/>
        </w:rPr>
        <w:t>Review Granted</w:t>
      </w:r>
      <w:r w:rsidRPr="00272B0C">
        <w:rPr>
          <w:sz w:val="24"/>
          <w:szCs w:val="24"/>
        </w:rPr>
        <w:t xml:space="preserve"> </w:t>
      </w:r>
      <w:r w:rsidRPr="00272B0C">
        <w:rPr>
          <w:b/>
          <w:bCs/>
          <w:sz w:val="24"/>
          <w:szCs w:val="24"/>
        </w:rPr>
        <w:t xml:space="preserve">(published) </w:t>
      </w:r>
      <w:r w:rsidRPr="00272B0C">
        <w:rPr>
          <w:sz w:val="24"/>
          <w:szCs w:val="24"/>
        </w:rPr>
        <w:t>XX 45 Cal.App.5th 216</w:t>
      </w:r>
      <w:r w:rsidRPr="00272B0C">
        <w:rPr>
          <w:b/>
          <w:bCs/>
          <w:sz w:val="24"/>
          <w:szCs w:val="24"/>
        </w:rPr>
        <w:t xml:space="preserve"> </w:t>
      </w:r>
    </w:p>
    <w:p w:rsidR="00272B0C" w:rsidRPr="00272B0C" w:rsidP="00272B0C" w14:paraId="3E9BA215" w14:textId="77777777">
      <w:pPr>
        <w:spacing w:after="0" w:line="240" w:lineRule="auto"/>
        <w:jc w:val="left"/>
        <w:rPr>
          <w:sz w:val="24"/>
          <w:szCs w:val="24"/>
        </w:rPr>
      </w:pPr>
      <w:r w:rsidRPr="00272B0C">
        <w:rPr>
          <w:b/>
          <w:bCs/>
          <w:sz w:val="24"/>
          <w:szCs w:val="24"/>
        </w:rPr>
        <w:t xml:space="preserve">Review Granted (unpublished) </w:t>
      </w:r>
    </w:p>
    <w:p w:rsidR="00272B0C" w:rsidRPr="00272B0C" w:rsidP="00272B0C" w14:paraId="73A5D96D" w14:textId="77777777">
      <w:pPr>
        <w:spacing w:after="0" w:line="240" w:lineRule="auto"/>
        <w:jc w:val="left"/>
        <w:rPr>
          <w:b/>
          <w:bCs/>
          <w:sz w:val="24"/>
          <w:szCs w:val="24"/>
        </w:rPr>
      </w:pPr>
      <w:r w:rsidRPr="00272B0C">
        <w:rPr>
          <w:b/>
          <w:bCs/>
          <w:sz w:val="24"/>
          <w:szCs w:val="24"/>
        </w:rPr>
        <w:t>Rehearing Granted</w:t>
      </w:r>
    </w:p>
    <w:p w:rsidR="00272B0C" w:rsidRPr="00272B0C" w:rsidP="00272B0C" w14:paraId="3C93325E" w14:textId="77777777">
      <w:pPr>
        <w:spacing w:after="0" w:line="240" w:lineRule="auto"/>
        <w:jc w:val="left"/>
        <w:rPr>
          <w:b/>
          <w:sz w:val="24"/>
          <w:szCs w:val="24"/>
        </w:rPr>
      </w:pPr>
      <w:r w:rsidRPr="00272B0C">
        <w:rPr>
          <w:b/>
          <w:sz w:val="24"/>
          <w:szCs w:val="24"/>
        </w:rPr>
        <w:t>__________________________________________________________________</w:t>
      </w:r>
    </w:p>
    <w:p w:rsidR="00272B0C" w:rsidRPr="00272B0C" w:rsidP="00272B0C" w14:paraId="76001F14" w14:textId="77777777">
      <w:pPr>
        <w:spacing w:after="0" w:line="240" w:lineRule="auto"/>
        <w:jc w:val="left"/>
        <w:rPr>
          <w:b/>
          <w:sz w:val="24"/>
          <w:szCs w:val="24"/>
        </w:rPr>
      </w:pPr>
    </w:p>
    <w:p w:rsidR="00272B0C" w:rsidRPr="00272B0C" w:rsidP="00272B0C" w14:paraId="7DB547C9" w14:textId="77777777">
      <w:pPr>
        <w:spacing w:after="0" w:line="240" w:lineRule="auto"/>
        <w:jc w:val="left"/>
        <w:rPr>
          <w:bCs/>
          <w:sz w:val="24"/>
          <w:szCs w:val="24"/>
        </w:rPr>
      </w:pPr>
      <w:r w:rsidRPr="00272B0C">
        <w:rPr>
          <w:b/>
          <w:sz w:val="24"/>
          <w:szCs w:val="24"/>
        </w:rPr>
        <w:t>Opinion No.</w:t>
      </w:r>
      <w:r w:rsidRPr="00272B0C">
        <w:rPr>
          <w:sz w:val="24"/>
          <w:szCs w:val="24"/>
        </w:rPr>
        <w:t xml:space="preserve"> S260839 </w:t>
      </w:r>
    </w:p>
    <w:p w:rsidR="00272B0C" w:rsidRPr="00272B0C" w:rsidP="00272B0C" w14:paraId="2E8FDE3C" w14:textId="77777777">
      <w:pPr>
        <w:spacing w:after="0" w:line="240" w:lineRule="auto"/>
        <w:jc w:val="left"/>
        <w:rPr>
          <w:bCs/>
          <w:sz w:val="24"/>
          <w:szCs w:val="24"/>
        </w:rPr>
      </w:pPr>
      <w:r w:rsidRPr="00272B0C">
        <w:rPr>
          <w:b/>
          <w:sz w:val="24"/>
          <w:szCs w:val="24"/>
        </w:rPr>
        <w:t>Date Filed:</w:t>
      </w:r>
      <w:r w:rsidRPr="00272B0C">
        <w:rPr>
          <w:sz w:val="24"/>
          <w:szCs w:val="24"/>
        </w:rPr>
        <w:t xml:space="preserve">  April 19, 2021</w:t>
      </w:r>
    </w:p>
    <w:p w:rsidR="00272B0C" w:rsidRPr="00272B0C" w:rsidP="00272B0C" w14:paraId="604D7325" w14:textId="77777777">
      <w:pPr>
        <w:spacing w:after="0" w:line="240" w:lineRule="auto"/>
        <w:jc w:val="left"/>
        <w:rPr>
          <w:b/>
          <w:sz w:val="24"/>
          <w:szCs w:val="24"/>
        </w:rPr>
      </w:pPr>
      <w:r w:rsidRPr="00272B0C">
        <w:rPr>
          <w:b/>
          <w:sz w:val="24"/>
          <w:szCs w:val="24"/>
        </w:rPr>
        <w:t>__________________________________________________________________</w:t>
      </w:r>
    </w:p>
    <w:p w:rsidR="00272B0C" w:rsidRPr="00272B0C" w:rsidP="00272B0C" w14:paraId="164739FF" w14:textId="77777777">
      <w:pPr>
        <w:spacing w:after="0" w:line="240" w:lineRule="auto"/>
        <w:jc w:val="left"/>
        <w:rPr>
          <w:b/>
          <w:sz w:val="24"/>
          <w:szCs w:val="24"/>
        </w:rPr>
      </w:pPr>
    </w:p>
    <w:p w:rsidR="00272B0C" w:rsidRPr="00272B0C" w:rsidP="00272B0C" w14:paraId="4588A029" w14:textId="77777777">
      <w:pPr>
        <w:spacing w:after="0" w:line="240" w:lineRule="auto"/>
        <w:jc w:val="left"/>
        <w:rPr>
          <w:bCs/>
          <w:sz w:val="24"/>
          <w:szCs w:val="24"/>
        </w:rPr>
      </w:pPr>
      <w:r w:rsidRPr="00272B0C">
        <w:rPr>
          <w:b/>
          <w:sz w:val="24"/>
          <w:szCs w:val="24"/>
        </w:rPr>
        <w:t>Court:</w:t>
      </w:r>
      <w:r w:rsidRPr="00272B0C">
        <w:rPr>
          <w:bCs/>
          <w:sz w:val="24"/>
          <w:szCs w:val="24"/>
        </w:rPr>
        <w:t xml:space="preserve">  Superior</w:t>
      </w:r>
      <w:r w:rsidRPr="00272B0C">
        <w:rPr>
          <w:b/>
          <w:sz w:val="24"/>
          <w:szCs w:val="24"/>
        </w:rPr>
        <w:t xml:space="preserve">   </w:t>
      </w:r>
    </w:p>
    <w:p w:rsidR="00272B0C" w:rsidRPr="00272B0C" w:rsidP="00272B0C" w14:paraId="25752B66" w14:textId="77777777">
      <w:pPr>
        <w:spacing w:after="0" w:line="240" w:lineRule="auto"/>
        <w:jc w:val="left"/>
        <w:rPr>
          <w:bCs/>
          <w:sz w:val="24"/>
          <w:szCs w:val="24"/>
        </w:rPr>
      </w:pPr>
      <w:r w:rsidRPr="00272B0C">
        <w:rPr>
          <w:b/>
          <w:sz w:val="24"/>
          <w:szCs w:val="24"/>
        </w:rPr>
        <w:t>County:</w:t>
      </w:r>
      <w:r w:rsidRPr="00272B0C">
        <w:rPr>
          <w:bCs/>
          <w:sz w:val="24"/>
          <w:szCs w:val="24"/>
        </w:rPr>
        <w:t xml:space="preserve">  Los Angeles</w:t>
      </w:r>
      <w:r w:rsidRPr="00272B0C">
        <w:rPr>
          <w:b/>
          <w:sz w:val="24"/>
          <w:szCs w:val="24"/>
        </w:rPr>
        <w:t xml:space="preserve">  </w:t>
      </w:r>
      <w:r w:rsidRPr="00272B0C">
        <w:rPr>
          <w:bCs/>
          <w:sz w:val="24"/>
          <w:szCs w:val="24"/>
        </w:rPr>
        <w:t xml:space="preserve"> </w:t>
      </w:r>
    </w:p>
    <w:p w:rsidR="00272B0C" w:rsidRPr="00272B0C" w:rsidP="00272B0C" w14:paraId="1B0EAE1D" w14:textId="77777777">
      <w:pPr>
        <w:spacing w:after="0" w:line="240" w:lineRule="auto"/>
        <w:ind w:left="720" w:hanging="720"/>
        <w:jc w:val="left"/>
        <w:rPr>
          <w:bCs/>
          <w:sz w:val="24"/>
          <w:szCs w:val="24"/>
        </w:rPr>
      </w:pPr>
      <w:r w:rsidRPr="00272B0C">
        <w:rPr>
          <w:b/>
          <w:sz w:val="24"/>
          <w:szCs w:val="24"/>
        </w:rPr>
        <w:t>Judge:</w:t>
      </w:r>
      <w:r w:rsidRPr="00272B0C">
        <w:rPr>
          <w:bCs/>
          <w:sz w:val="24"/>
          <w:szCs w:val="24"/>
        </w:rPr>
        <w:t xml:space="preserve">  Morton Rochman</w:t>
      </w:r>
      <w:r w:rsidRPr="00272B0C">
        <w:rPr>
          <w:b/>
          <w:sz w:val="24"/>
          <w:szCs w:val="24"/>
        </w:rPr>
        <w:t xml:space="preserve">  </w:t>
      </w:r>
      <w:r w:rsidRPr="00272B0C">
        <w:rPr>
          <w:bCs/>
          <w:sz w:val="24"/>
          <w:szCs w:val="24"/>
        </w:rPr>
        <w:t xml:space="preserve"> </w:t>
      </w:r>
    </w:p>
    <w:p w:rsidR="00272B0C" w:rsidRPr="00272B0C" w:rsidP="00272B0C" w14:paraId="1D3A6202" w14:textId="77777777">
      <w:pPr>
        <w:spacing w:after="0" w:line="240" w:lineRule="auto"/>
        <w:jc w:val="left"/>
        <w:rPr>
          <w:b/>
          <w:sz w:val="24"/>
          <w:szCs w:val="24"/>
        </w:rPr>
      </w:pPr>
      <w:r w:rsidRPr="00272B0C">
        <w:rPr>
          <w:b/>
          <w:sz w:val="24"/>
          <w:szCs w:val="24"/>
        </w:rPr>
        <w:t>__________________________________________________________________</w:t>
      </w:r>
    </w:p>
    <w:p w:rsidR="00272B0C" w:rsidRPr="00272B0C" w:rsidP="00272B0C" w14:paraId="63CEA78A" w14:textId="77777777">
      <w:pPr>
        <w:spacing w:after="0" w:line="240" w:lineRule="auto"/>
        <w:jc w:val="left"/>
        <w:rPr>
          <w:b/>
          <w:sz w:val="24"/>
          <w:szCs w:val="24"/>
        </w:rPr>
      </w:pPr>
    </w:p>
    <w:p w:rsidR="00272B0C" w:rsidRPr="00272B0C" w:rsidP="00272B0C" w14:paraId="09FE378C" w14:textId="77777777">
      <w:pPr>
        <w:spacing w:after="0" w:line="240" w:lineRule="auto"/>
        <w:jc w:val="left"/>
        <w:rPr>
          <w:b/>
          <w:sz w:val="24"/>
          <w:szCs w:val="24"/>
        </w:rPr>
      </w:pPr>
      <w:r w:rsidRPr="00272B0C">
        <w:rPr>
          <w:b/>
          <w:sz w:val="24"/>
          <w:szCs w:val="24"/>
        </w:rPr>
        <w:t>Counsel:</w:t>
      </w:r>
    </w:p>
    <w:p w:rsidR="00272B0C" w:rsidRPr="00272B0C" w:rsidP="00272B0C" w14:paraId="78A5A43D" w14:textId="77777777">
      <w:pPr>
        <w:spacing w:after="0" w:line="240" w:lineRule="auto"/>
        <w:jc w:val="left"/>
        <w:rPr>
          <w:b/>
          <w:sz w:val="24"/>
          <w:szCs w:val="24"/>
        </w:rPr>
      </w:pPr>
    </w:p>
    <w:p w:rsidR="00272B0C" w:rsidRPr="00272B0C" w:rsidP="00272B0C" w14:paraId="059AA2B6" w14:textId="77777777">
      <w:pPr>
        <w:spacing w:after="0" w:line="240" w:lineRule="auto"/>
        <w:jc w:val="left"/>
        <w:rPr>
          <w:color w:val="212121"/>
          <w:sz w:val="24"/>
          <w:szCs w:val="24"/>
          <w:shd w:val="clear" w:color="auto" w:fill="FFFFFF"/>
        </w:rPr>
      </w:pPr>
      <w:bookmarkStart w:id="2" w:name="PAGE_3103"/>
      <w:bookmarkEnd w:id="2"/>
      <w:r w:rsidRPr="00272B0C">
        <w:rPr>
          <w:color w:val="212121"/>
          <w:sz w:val="24"/>
          <w:szCs w:val="24"/>
          <w:shd w:val="clear" w:color="auto" w:fill="FFFFFF"/>
        </w:rPr>
        <w:t>Courtney M. Selan, under appointment by the Supreme Court, for Defendant and Appellant.</w:t>
      </w:r>
      <w:r w:rsidRPr="00272B0C">
        <w:rPr>
          <w:color w:val="212121"/>
          <w:sz w:val="24"/>
          <w:szCs w:val="24"/>
        </w:rPr>
        <w:br/>
      </w:r>
      <w:r w:rsidRPr="00272B0C">
        <w:rPr>
          <w:color w:val="212121"/>
          <w:sz w:val="24"/>
          <w:szCs w:val="24"/>
        </w:rPr>
        <w:br/>
      </w:r>
      <w:r w:rsidRPr="00272B0C">
        <w:rPr>
          <w:color w:val="212121"/>
          <w:sz w:val="24"/>
          <w:szCs w:val="24"/>
          <w:shd w:val="clear" w:color="auto" w:fill="FFFFFF"/>
        </w:rPr>
        <w:t xml:space="preserve">Jackie Lacey, District Attorney, John Pomeroy, </w:t>
      </w:r>
      <w:r w:rsidRPr="00272B0C">
        <w:rPr>
          <w:sz w:val="24"/>
          <w:szCs w:val="24"/>
          <w:bdr w:val="none" w:sz="0" w:space="0" w:color="auto" w:frame="1"/>
        </w:rPr>
        <w:t>Phyllis Asayama</w:t>
      </w:r>
      <w:r w:rsidRPr="00272B0C">
        <w:rPr>
          <w:color w:val="212121"/>
          <w:sz w:val="24"/>
          <w:szCs w:val="24"/>
          <w:shd w:val="clear" w:color="auto" w:fill="FFFFFF"/>
        </w:rPr>
        <w:t xml:space="preserve"> and Grace Shin, Deputy District Attorneys, for Plaintiff and Respondent.</w:t>
      </w:r>
    </w:p>
    <w:p w:rsidR="00272B0C" w:rsidRPr="00272B0C" w:rsidP="00272B0C" w14:paraId="1860DEFC" w14:textId="77777777">
      <w:pPr>
        <w:spacing w:after="0" w:line="240" w:lineRule="auto"/>
        <w:jc w:val="left"/>
        <w:rPr>
          <w:b/>
          <w:sz w:val="24"/>
          <w:szCs w:val="24"/>
        </w:rPr>
      </w:pPr>
      <w:r w:rsidRPr="00272B0C">
        <w:rPr>
          <w:b/>
          <w:sz w:val="24"/>
          <w:szCs w:val="24"/>
        </w:rPr>
        <w:t xml:space="preserve"> </w:t>
      </w:r>
      <w:r w:rsidRPr="00272B0C">
        <w:rPr>
          <w:b/>
          <w:sz w:val="24"/>
          <w:szCs w:val="24"/>
        </w:rPr>
        <w:br w:type="page"/>
      </w:r>
    </w:p>
    <w:p w:rsidR="00272B0C" w:rsidRPr="00272B0C" w:rsidP="00272B0C" w14:paraId="57572C3B" w14:textId="77777777">
      <w:pPr>
        <w:spacing w:after="0" w:line="240" w:lineRule="auto"/>
        <w:jc w:val="left"/>
        <w:rPr>
          <w:b/>
          <w:sz w:val="24"/>
          <w:szCs w:val="24"/>
        </w:rPr>
      </w:pPr>
      <w:r w:rsidRPr="00272B0C">
        <w:rPr>
          <w:b/>
          <w:sz w:val="24"/>
          <w:szCs w:val="24"/>
        </w:rPr>
        <w:t>Counsel who argued in Supreme Court (not intended for publication with opinion):</w:t>
      </w:r>
    </w:p>
    <w:p w:rsidR="00272B0C" w:rsidRPr="00272B0C" w:rsidP="00272B0C" w14:paraId="4648C699" w14:textId="77777777">
      <w:pPr>
        <w:spacing w:after="0" w:line="240" w:lineRule="auto"/>
        <w:jc w:val="left"/>
        <w:rPr>
          <w:b/>
          <w:sz w:val="24"/>
          <w:szCs w:val="24"/>
        </w:rPr>
      </w:pPr>
    </w:p>
    <w:p w:rsidR="00272B0C" w:rsidRPr="00272B0C" w:rsidP="00272B0C" w14:paraId="70F7BC63" w14:textId="77777777">
      <w:pPr>
        <w:spacing w:after="0" w:line="240" w:lineRule="auto"/>
        <w:jc w:val="left"/>
        <w:rPr>
          <w:sz w:val="24"/>
          <w:szCs w:val="24"/>
        </w:rPr>
      </w:pPr>
      <w:r w:rsidRPr="00272B0C">
        <w:rPr>
          <w:sz w:val="24"/>
          <w:szCs w:val="24"/>
        </w:rPr>
        <w:t>Courtney M. Selan</w:t>
      </w:r>
    </w:p>
    <w:p w:rsidR="00272B0C" w:rsidRPr="00272B0C" w:rsidP="00272B0C" w14:paraId="6B0315E0" w14:textId="77777777">
      <w:pPr>
        <w:spacing w:after="0" w:line="240" w:lineRule="auto"/>
        <w:jc w:val="left"/>
        <w:rPr>
          <w:sz w:val="24"/>
          <w:szCs w:val="24"/>
        </w:rPr>
      </w:pPr>
      <w:r w:rsidRPr="00272B0C">
        <w:rPr>
          <w:sz w:val="24"/>
          <w:szCs w:val="24"/>
        </w:rPr>
        <w:t>Attorney at Law</w:t>
      </w:r>
    </w:p>
    <w:p w:rsidR="00272B0C" w:rsidRPr="00272B0C" w:rsidP="00272B0C" w14:paraId="706B3293" w14:textId="77777777">
      <w:pPr>
        <w:spacing w:after="0" w:line="240" w:lineRule="auto"/>
        <w:jc w:val="left"/>
        <w:rPr>
          <w:sz w:val="24"/>
          <w:szCs w:val="24"/>
        </w:rPr>
      </w:pPr>
      <w:r w:rsidRPr="00272B0C">
        <w:rPr>
          <w:sz w:val="24"/>
          <w:szCs w:val="24"/>
        </w:rPr>
        <w:t>11664 National Blvd., Suite 258</w:t>
      </w:r>
    </w:p>
    <w:p w:rsidR="00272B0C" w:rsidRPr="00272B0C" w:rsidP="00272B0C" w14:paraId="5B802983" w14:textId="77777777">
      <w:pPr>
        <w:spacing w:after="0" w:line="240" w:lineRule="auto"/>
        <w:jc w:val="left"/>
        <w:rPr>
          <w:sz w:val="24"/>
          <w:szCs w:val="24"/>
        </w:rPr>
      </w:pPr>
      <w:r w:rsidRPr="00272B0C">
        <w:rPr>
          <w:sz w:val="24"/>
          <w:szCs w:val="24"/>
        </w:rPr>
        <w:t>Los Angeles, CA 90064</w:t>
      </w:r>
    </w:p>
    <w:p w:rsidR="00272B0C" w:rsidRPr="00272B0C" w:rsidP="00272B0C" w14:paraId="5EC56705" w14:textId="77777777">
      <w:pPr>
        <w:spacing w:after="0" w:line="240" w:lineRule="auto"/>
        <w:jc w:val="left"/>
        <w:rPr>
          <w:sz w:val="24"/>
          <w:szCs w:val="24"/>
        </w:rPr>
      </w:pPr>
      <w:r w:rsidRPr="00272B0C">
        <w:rPr>
          <w:sz w:val="24"/>
          <w:szCs w:val="24"/>
        </w:rPr>
        <w:t>(310) 452-6870</w:t>
      </w:r>
    </w:p>
    <w:p w:rsidR="00272B0C" w:rsidRPr="00272B0C" w:rsidP="00272B0C" w14:paraId="560E2240" w14:textId="77777777">
      <w:pPr>
        <w:spacing w:after="0" w:line="240" w:lineRule="auto"/>
        <w:jc w:val="left"/>
        <w:rPr>
          <w:sz w:val="24"/>
          <w:szCs w:val="24"/>
        </w:rPr>
      </w:pPr>
    </w:p>
    <w:p w:rsidR="00272B0C" w:rsidRPr="00272B0C" w:rsidP="00272B0C" w14:paraId="7744DF9E" w14:textId="77777777">
      <w:pPr>
        <w:spacing w:after="0" w:line="240" w:lineRule="auto"/>
        <w:jc w:val="left"/>
        <w:rPr>
          <w:sz w:val="24"/>
          <w:szCs w:val="24"/>
        </w:rPr>
      </w:pPr>
      <w:r w:rsidRPr="00272B0C">
        <w:rPr>
          <w:sz w:val="24"/>
          <w:szCs w:val="24"/>
        </w:rPr>
        <w:t>Grace Shin</w:t>
      </w:r>
    </w:p>
    <w:p w:rsidR="00272B0C" w:rsidRPr="00272B0C" w:rsidP="00272B0C" w14:paraId="28439F98" w14:textId="77777777">
      <w:pPr>
        <w:spacing w:after="0" w:line="240" w:lineRule="auto"/>
        <w:jc w:val="left"/>
        <w:rPr>
          <w:sz w:val="24"/>
          <w:szCs w:val="24"/>
        </w:rPr>
      </w:pPr>
      <w:r w:rsidRPr="00272B0C">
        <w:rPr>
          <w:sz w:val="24"/>
          <w:szCs w:val="24"/>
        </w:rPr>
        <w:t>Deputy District Attorney</w:t>
      </w:r>
    </w:p>
    <w:p w:rsidR="00272B0C" w:rsidRPr="00272B0C" w:rsidP="00272B0C" w14:paraId="454E52F9" w14:textId="77777777">
      <w:pPr>
        <w:spacing w:after="0" w:line="240" w:lineRule="auto"/>
        <w:jc w:val="left"/>
        <w:rPr>
          <w:sz w:val="24"/>
          <w:szCs w:val="24"/>
        </w:rPr>
      </w:pPr>
      <w:r w:rsidRPr="00272B0C">
        <w:rPr>
          <w:sz w:val="24"/>
          <w:szCs w:val="24"/>
        </w:rPr>
        <w:t>320 West Temple St., Room 540</w:t>
      </w:r>
    </w:p>
    <w:p w:rsidR="00272B0C" w:rsidRPr="00272B0C" w:rsidP="00272B0C" w14:paraId="68D2029B" w14:textId="77777777">
      <w:pPr>
        <w:spacing w:after="0" w:line="240" w:lineRule="auto"/>
        <w:jc w:val="left"/>
        <w:rPr>
          <w:sz w:val="24"/>
          <w:szCs w:val="24"/>
        </w:rPr>
      </w:pPr>
      <w:r w:rsidRPr="00272B0C">
        <w:rPr>
          <w:sz w:val="24"/>
          <w:szCs w:val="24"/>
        </w:rPr>
        <w:t>Los Angeles, CA 90012</w:t>
      </w:r>
    </w:p>
    <w:p w:rsidR="00272B0C" w:rsidRPr="00272B0C" w:rsidP="00272B0C" w14:paraId="5BBAE094" w14:textId="77777777">
      <w:pPr>
        <w:spacing w:after="0" w:line="240" w:lineRule="auto"/>
        <w:jc w:val="left"/>
        <w:rPr>
          <w:sz w:val="24"/>
          <w:szCs w:val="24"/>
        </w:rPr>
      </w:pPr>
      <w:r w:rsidRPr="00272B0C">
        <w:rPr>
          <w:sz w:val="24"/>
          <w:szCs w:val="24"/>
        </w:rPr>
        <w:t>(213) 974-5911</w:t>
      </w:r>
    </w:p>
    <w:p w:rsidR="0023577A" w:rsidP="006E53B2" w14:paraId="7F531DFB" w14:textId="78AB07F2">
      <w:pPr>
        <w:spacing w:after="0" w:line="240" w:lineRule="auto"/>
        <w:jc w:val="left"/>
        <w:rPr>
          <w:b/>
        </w:rPr>
      </w:pPr>
    </w:p>
    <w:sectPr w:rsidSect="002479FE">
      <w:headerReference w:type="even" r:id="rId12"/>
      <w:headerReference w:type="default" r:id="rId13"/>
      <w:footerReference w:type="even" r:id="rId14"/>
      <w:footerReference w:type="default" r:id="rId15"/>
      <w:headerReference w:type="first" r:id="rId16"/>
      <w:footerReference w:type="first" r:id="rId17"/>
      <w:pgSz w:w="12240" w:h="15840"/>
      <w:pgMar w:top="1800" w:right="2160" w:bottom="1440" w:left="2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240B" w14:paraId="04D3EB9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7744" w14:paraId="39B12B4A" w14:textId="77777777">
    <w:pPr>
      <w:pStyle w:val="Footer"/>
    </w:pPr>
    <w:r>
      <w:fldChar w:fldCharType="begin"/>
    </w:r>
    <w:r>
      <w:instrText>PAGE</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240B" w14:paraId="77965D21"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1493" w14:paraId="061C7652" w14:textId="77777777">
    <w:pPr>
      <w:pStyle w:val="Footer"/>
    </w:pPr>
    <w: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4DA7" w14:paraId="4EC9013E"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4DA7" w14:paraId="3E3A455E"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4DA7" w14:paraId="6CB5B7F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240B" w14:paraId="6C37D52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1493" w14:paraId="4004E735" w14:textId="4A85C4ED">
    <w:pPr>
      <w:pStyle w:val="Header"/>
    </w:pPr>
    <w:r>
      <w:t>In re E.F.</w:t>
    </w:r>
  </w:p>
  <w:p w:rsidR="00CE1493" w14:paraId="404B1D61" w14:textId="187EDCC6">
    <w:pPr>
      <w:pStyle w:val="Header"/>
    </w:pPr>
    <w:r>
      <w:t>Opinion of the Court by Liu, J.</w:t>
    </w:r>
  </w:p>
  <w:p w:rsidR="00CE1493" w14:paraId="55E860E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240B" w14:paraId="77DA1D3C"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4DA7" w14:paraId="2B4679AA"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4DA7" w14:paraId="6E880438"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4DA7" w14:paraId="500131C1"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printFractionalCharacterWidth/>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749"/>
    <w:rsid w:val="0000631E"/>
    <w:rsid w:val="0000640F"/>
    <w:rsid w:val="00006C60"/>
    <w:rsid w:val="00007823"/>
    <w:rsid w:val="00010157"/>
    <w:rsid w:val="0001356D"/>
    <w:rsid w:val="0001524C"/>
    <w:rsid w:val="00015B62"/>
    <w:rsid w:val="000234AA"/>
    <w:rsid w:val="0002470E"/>
    <w:rsid w:val="00025A0C"/>
    <w:rsid w:val="00026B61"/>
    <w:rsid w:val="00031890"/>
    <w:rsid w:val="00031D23"/>
    <w:rsid w:val="00047FCB"/>
    <w:rsid w:val="0005050A"/>
    <w:rsid w:val="00050D2D"/>
    <w:rsid w:val="00055368"/>
    <w:rsid w:val="00060CF3"/>
    <w:rsid w:val="00070C71"/>
    <w:rsid w:val="00073A4D"/>
    <w:rsid w:val="000757A9"/>
    <w:rsid w:val="00075A0A"/>
    <w:rsid w:val="00075F2D"/>
    <w:rsid w:val="00076084"/>
    <w:rsid w:val="000778AB"/>
    <w:rsid w:val="000778EF"/>
    <w:rsid w:val="00087760"/>
    <w:rsid w:val="0009229C"/>
    <w:rsid w:val="00093D1F"/>
    <w:rsid w:val="00096066"/>
    <w:rsid w:val="00096CD8"/>
    <w:rsid w:val="000A0DF1"/>
    <w:rsid w:val="000A393B"/>
    <w:rsid w:val="000A4192"/>
    <w:rsid w:val="000A5107"/>
    <w:rsid w:val="000B130E"/>
    <w:rsid w:val="000B2608"/>
    <w:rsid w:val="000B3F3C"/>
    <w:rsid w:val="000B603C"/>
    <w:rsid w:val="000C57EB"/>
    <w:rsid w:val="000C73A4"/>
    <w:rsid w:val="000D153C"/>
    <w:rsid w:val="000D29B7"/>
    <w:rsid w:val="000D2C08"/>
    <w:rsid w:val="000D2F42"/>
    <w:rsid w:val="000D5D3C"/>
    <w:rsid w:val="000D7299"/>
    <w:rsid w:val="000E4034"/>
    <w:rsid w:val="000E4AFA"/>
    <w:rsid w:val="000E4FB2"/>
    <w:rsid w:val="000F2C2C"/>
    <w:rsid w:val="000F2E3C"/>
    <w:rsid w:val="000F7FA2"/>
    <w:rsid w:val="001021D9"/>
    <w:rsid w:val="00102C81"/>
    <w:rsid w:val="001048AC"/>
    <w:rsid w:val="001051C2"/>
    <w:rsid w:val="00105B10"/>
    <w:rsid w:val="00107A10"/>
    <w:rsid w:val="00111B24"/>
    <w:rsid w:val="001163E4"/>
    <w:rsid w:val="00116519"/>
    <w:rsid w:val="00120A3E"/>
    <w:rsid w:val="00125238"/>
    <w:rsid w:val="00125849"/>
    <w:rsid w:val="00131D28"/>
    <w:rsid w:val="0013206C"/>
    <w:rsid w:val="001338FC"/>
    <w:rsid w:val="00136964"/>
    <w:rsid w:val="00137B26"/>
    <w:rsid w:val="00145DEE"/>
    <w:rsid w:val="0014643A"/>
    <w:rsid w:val="00146FD3"/>
    <w:rsid w:val="00150DE0"/>
    <w:rsid w:val="00152AEC"/>
    <w:rsid w:val="001538DC"/>
    <w:rsid w:val="00155ABF"/>
    <w:rsid w:val="001606EF"/>
    <w:rsid w:val="001637DB"/>
    <w:rsid w:val="0016738F"/>
    <w:rsid w:val="001677A4"/>
    <w:rsid w:val="001703E2"/>
    <w:rsid w:val="00170628"/>
    <w:rsid w:val="00170F3C"/>
    <w:rsid w:val="0017107A"/>
    <w:rsid w:val="00172E86"/>
    <w:rsid w:val="00186580"/>
    <w:rsid w:val="00186747"/>
    <w:rsid w:val="00186861"/>
    <w:rsid w:val="00194A28"/>
    <w:rsid w:val="00195F55"/>
    <w:rsid w:val="0019684A"/>
    <w:rsid w:val="00197CB1"/>
    <w:rsid w:val="001A0DD4"/>
    <w:rsid w:val="001A0FFF"/>
    <w:rsid w:val="001A2407"/>
    <w:rsid w:val="001A2639"/>
    <w:rsid w:val="001A3986"/>
    <w:rsid w:val="001A48BB"/>
    <w:rsid w:val="001A693B"/>
    <w:rsid w:val="001A6A4D"/>
    <w:rsid w:val="001A6F94"/>
    <w:rsid w:val="001A7EFE"/>
    <w:rsid w:val="001B26E5"/>
    <w:rsid w:val="001C1311"/>
    <w:rsid w:val="001C13D3"/>
    <w:rsid w:val="001C2A12"/>
    <w:rsid w:val="001C2F93"/>
    <w:rsid w:val="001C5245"/>
    <w:rsid w:val="001C5869"/>
    <w:rsid w:val="001D297B"/>
    <w:rsid w:val="001D7FB4"/>
    <w:rsid w:val="001E13DD"/>
    <w:rsid w:val="001E54D3"/>
    <w:rsid w:val="001E5DA0"/>
    <w:rsid w:val="001E69A4"/>
    <w:rsid w:val="001E6FC0"/>
    <w:rsid w:val="001F4558"/>
    <w:rsid w:val="001F576E"/>
    <w:rsid w:val="00200CB0"/>
    <w:rsid w:val="0020163B"/>
    <w:rsid w:val="00202286"/>
    <w:rsid w:val="002038EA"/>
    <w:rsid w:val="002078AC"/>
    <w:rsid w:val="00215EE2"/>
    <w:rsid w:val="002176D9"/>
    <w:rsid w:val="00217CBE"/>
    <w:rsid w:val="00223F9D"/>
    <w:rsid w:val="002265E7"/>
    <w:rsid w:val="0023577A"/>
    <w:rsid w:val="00236A15"/>
    <w:rsid w:val="002424B5"/>
    <w:rsid w:val="002444CC"/>
    <w:rsid w:val="00245C47"/>
    <w:rsid w:val="00245E8C"/>
    <w:rsid w:val="0026312A"/>
    <w:rsid w:val="00272AB5"/>
    <w:rsid w:val="00272B0C"/>
    <w:rsid w:val="00272C6A"/>
    <w:rsid w:val="002732DA"/>
    <w:rsid w:val="00273A54"/>
    <w:rsid w:val="00274C47"/>
    <w:rsid w:val="0027574F"/>
    <w:rsid w:val="0027607A"/>
    <w:rsid w:val="0028182B"/>
    <w:rsid w:val="002851DD"/>
    <w:rsid w:val="00287775"/>
    <w:rsid w:val="002940C0"/>
    <w:rsid w:val="00295BCB"/>
    <w:rsid w:val="0029729A"/>
    <w:rsid w:val="002A1A59"/>
    <w:rsid w:val="002A2368"/>
    <w:rsid w:val="002A3D4A"/>
    <w:rsid w:val="002A4A15"/>
    <w:rsid w:val="002B077C"/>
    <w:rsid w:val="002B7F4C"/>
    <w:rsid w:val="002C081E"/>
    <w:rsid w:val="002C0EAF"/>
    <w:rsid w:val="002C479F"/>
    <w:rsid w:val="002D05F0"/>
    <w:rsid w:val="002D23F9"/>
    <w:rsid w:val="002D3C33"/>
    <w:rsid w:val="002D499F"/>
    <w:rsid w:val="002D5453"/>
    <w:rsid w:val="002D54D2"/>
    <w:rsid w:val="002D6751"/>
    <w:rsid w:val="002E1331"/>
    <w:rsid w:val="002E2F77"/>
    <w:rsid w:val="002F0716"/>
    <w:rsid w:val="002F3115"/>
    <w:rsid w:val="002F3599"/>
    <w:rsid w:val="002F3CB5"/>
    <w:rsid w:val="002F62AC"/>
    <w:rsid w:val="002F790C"/>
    <w:rsid w:val="003058F5"/>
    <w:rsid w:val="003207A9"/>
    <w:rsid w:val="00330753"/>
    <w:rsid w:val="00333356"/>
    <w:rsid w:val="003412A4"/>
    <w:rsid w:val="003428E0"/>
    <w:rsid w:val="00351CC6"/>
    <w:rsid w:val="003550ED"/>
    <w:rsid w:val="00365B86"/>
    <w:rsid w:val="00365F20"/>
    <w:rsid w:val="0036638D"/>
    <w:rsid w:val="00367237"/>
    <w:rsid w:val="00371A86"/>
    <w:rsid w:val="00372D6A"/>
    <w:rsid w:val="00373537"/>
    <w:rsid w:val="00373AEC"/>
    <w:rsid w:val="00382680"/>
    <w:rsid w:val="003864A5"/>
    <w:rsid w:val="00386B95"/>
    <w:rsid w:val="003904EA"/>
    <w:rsid w:val="00390DE3"/>
    <w:rsid w:val="003A4B16"/>
    <w:rsid w:val="003A76A2"/>
    <w:rsid w:val="003B29FA"/>
    <w:rsid w:val="003C1A9E"/>
    <w:rsid w:val="003C2BDA"/>
    <w:rsid w:val="003C3C5F"/>
    <w:rsid w:val="003C692C"/>
    <w:rsid w:val="003C73DB"/>
    <w:rsid w:val="003D1D63"/>
    <w:rsid w:val="003D5BEC"/>
    <w:rsid w:val="003D6480"/>
    <w:rsid w:val="003D7A36"/>
    <w:rsid w:val="003E00C0"/>
    <w:rsid w:val="003E376B"/>
    <w:rsid w:val="003E3E68"/>
    <w:rsid w:val="003E5550"/>
    <w:rsid w:val="003F17EC"/>
    <w:rsid w:val="003F4877"/>
    <w:rsid w:val="00404BA6"/>
    <w:rsid w:val="004059AF"/>
    <w:rsid w:val="00406C6B"/>
    <w:rsid w:val="00407A58"/>
    <w:rsid w:val="0041430F"/>
    <w:rsid w:val="0042217E"/>
    <w:rsid w:val="00422FD8"/>
    <w:rsid w:val="00425DEB"/>
    <w:rsid w:val="0042728F"/>
    <w:rsid w:val="004339D1"/>
    <w:rsid w:val="004340B7"/>
    <w:rsid w:val="00437BA0"/>
    <w:rsid w:val="00442671"/>
    <w:rsid w:val="00443372"/>
    <w:rsid w:val="00445336"/>
    <w:rsid w:val="00451DB7"/>
    <w:rsid w:val="004528CB"/>
    <w:rsid w:val="00452FC1"/>
    <w:rsid w:val="004561E8"/>
    <w:rsid w:val="004601D6"/>
    <w:rsid w:val="00462056"/>
    <w:rsid w:val="00463320"/>
    <w:rsid w:val="00470C1E"/>
    <w:rsid w:val="00480D18"/>
    <w:rsid w:val="004826ED"/>
    <w:rsid w:val="004875A9"/>
    <w:rsid w:val="0049344D"/>
    <w:rsid w:val="004945C9"/>
    <w:rsid w:val="00495987"/>
    <w:rsid w:val="004A02CC"/>
    <w:rsid w:val="004A14EA"/>
    <w:rsid w:val="004A15CA"/>
    <w:rsid w:val="004A3F85"/>
    <w:rsid w:val="004A4431"/>
    <w:rsid w:val="004A6701"/>
    <w:rsid w:val="004B2808"/>
    <w:rsid w:val="004B2FC7"/>
    <w:rsid w:val="004C03D9"/>
    <w:rsid w:val="004C066A"/>
    <w:rsid w:val="004C1289"/>
    <w:rsid w:val="004C3608"/>
    <w:rsid w:val="004C442B"/>
    <w:rsid w:val="004C53CC"/>
    <w:rsid w:val="004C5DD9"/>
    <w:rsid w:val="004C7D53"/>
    <w:rsid w:val="004E0107"/>
    <w:rsid w:val="004E23BD"/>
    <w:rsid w:val="004F198E"/>
    <w:rsid w:val="004F2A17"/>
    <w:rsid w:val="004F3F14"/>
    <w:rsid w:val="00504D8A"/>
    <w:rsid w:val="0052133F"/>
    <w:rsid w:val="00522295"/>
    <w:rsid w:val="00522A69"/>
    <w:rsid w:val="00530101"/>
    <w:rsid w:val="00531265"/>
    <w:rsid w:val="00532F3E"/>
    <w:rsid w:val="00536132"/>
    <w:rsid w:val="00537860"/>
    <w:rsid w:val="005421C7"/>
    <w:rsid w:val="00546B3C"/>
    <w:rsid w:val="00547A08"/>
    <w:rsid w:val="005511E2"/>
    <w:rsid w:val="005529CE"/>
    <w:rsid w:val="005552FC"/>
    <w:rsid w:val="00560A6E"/>
    <w:rsid w:val="00566B5D"/>
    <w:rsid w:val="00571763"/>
    <w:rsid w:val="005729C4"/>
    <w:rsid w:val="005739DB"/>
    <w:rsid w:val="0057565E"/>
    <w:rsid w:val="00576B4B"/>
    <w:rsid w:val="005777C5"/>
    <w:rsid w:val="005804D8"/>
    <w:rsid w:val="0058110D"/>
    <w:rsid w:val="005830C1"/>
    <w:rsid w:val="0059001C"/>
    <w:rsid w:val="005944EB"/>
    <w:rsid w:val="005A2125"/>
    <w:rsid w:val="005A5BF3"/>
    <w:rsid w:val="005C369A"/>
    <w:rsid w:val="005C4E53"/>
    <w:rsid w:val="005C5EA5"/>
    <w:rsid w:val="005C7A24"/>
    <w:rsid w:val="005D05D0"/>
    <w:rsid w:val="005D0BAD"/>
    <w:rsid w:val="005D4B9D"/>
    <w:rsid w:val="005D5F70"/>
    <w:rsid w:val="005D7960"/>
    <w:rsid w:val="005E2F25"/>
    <w:rsid w:val="005E4C84"/>
    <w:rsid w:val="005E5135"/>
    <w:rsid w:val="005E5A1D"/>
    <w:rsid w:val="005E7240"/>
    <w:rsid w:val="005F2BBA"/>
    <w:rsid w:val="005F58A7"/>
    <w:rsid w:val="005F6CB5"/>
    <w:rsid w:val="005F6DAB"/>
    <w:rsid w:val="00600F2B"/>
    <w:rsid w:val="00601A96"/>
    <w:rsid w:val="00601D5A"/>
    <w:rsid w:val="0061050F"/>
    <w:rsid w:val="0061402F"/>
    <w:rsid w:val="0061487E"/>
    <w:rsid w:val="0061764A"/>
    <w:rsid w:val="0062102D"/>
    <w:rsid w:val="006211CA"/>
    <w:rsid w:val="00621342"/>
    <w:rsid w:val="0062141C"/>
    <w:rsid w:val="006218BF"/>
    <w:rsid w:val="00624DA7"/>
    <w:rsid w:val="006265C5"/>
    <w:rsid w:val="00627EC2"/>
    <w:rsid w:val="006319DC"/>
    <w:rsid w:val="00632957"/>
    <w:rsid w:val="00637191"/>
    <w:rsid w:val="00642A5C"/>
    <w:rsid w:val="0065082B"/>
    <w:rsid w:val="00656C26"/>
    <w:rsid w:val="00656E4F"/>
    <w:rsid w:val="00657A12"/>
    <w:rsid w:val="006616B5"/>
    <w:rsid w:val="00664606"/>
    <w:rsid w:val="0066726F"/>
    <w:rsid w:val="00667553"/>
    <w:rsid w:val="0067147A"/>
    <w:rsid w:val="00671B86"/>
    <w:rsid w:val="00680167"/>
    <w:rsid w:val="0068444D"/>
    <w:rsid w:val="00684626"/>
    <w:rsid w:val="00684CD5"/>
    <w:rsid w:val="00684FAC"/>
    <w:rsid w:val="0068514E"/>
    <w:rsid w:val="00687A17"/>
    <w:rsid w:val="00693903"/>
    <w:rsid w:val="00694FFA"/>
    <w:rsid w:val="006A16BD"/>
    <w:rsid w:val="006A3E55"/>
    <w:rsid w:val="006A4781"/>
    <w:rsid w:val="006A5296"/>
    <w:rsid w:val="006A7324"/>
    <w:rsid w:val="006B3BD9"/>
    <w:rsid w:val="006B717A"/>
    <w:rsid w:val="006B7DE7"/>
    <w:rsid w:val="006B7E0C"/>
    <w:rsid w:val="006C3678"/>
    <w:rsid w:val="006C46AF"/>
    <w:rsid w:val="006D1644"/>
    <w:rsid w:val="006D1E78"/>
    <w:rsid w:val="006E0512"/>
    <w:rsid w:val="006E0F7B"/>
    <w:rsid w:val="006E16A7"/>
    <w:rsid w:val="006E26CF"/>
    <w:rsid w:val="006E27FC"/>
    <w:rsid w:val="006E4328"/>
    <w:rsid w:val="006E53B2"/>
    <w:rsid w:val="006F0E50"/>
    <w:rsid w:val="006F1CD0"/>
    <w:rsid w:val="006F5AAF"/>
    <w:rsid w:val="006F7E74"/>
    <w:rsid w:val="00700751"/>
    <w:rsid w:val="00702680"/>
    <w:rsid w:val="00704965"/>
    <w:rsid w:val="00704D0A"/>
    <w:rsid w:val="00710477"/>
    <w:rsid w:val="0072389B"/>
    <w:rsid w:val="00724735"/>
    <w:rsid w:val="00727656"/>
    <w:rsid w:val="007302C6"/>
    <w:rsid w:val="007319F0"/>
    <w:rsid w:val="007439A6"/>
    <w:rsid w:val="00743B47"/>
    <w:rsid w:val="00746CBB"/>
    <w:rsid w:val="00747F97"/>
    <w:rsid w:val="00751587"/>
    <w:rsid w:val="00753CFB"/>
    <w:rsid w:val="00754715"/>
    <w:rsid w:val="00756A4E"/>
    <w:rsid w:val="00760181"/>
    <w:rsid w:val="00760E14"/>
    <w:rsid w:val="007610C3"/>
    <w:rsid w:val="00761AEC"/>
    <w:rsid w:val="00763284"/>
    <w:rsid w:val="007637D4"/>
    <w:rsid w:val="00763FAA"/>
    <w:rsid w:val="00764793"/>
    <w:rsid w:val="007707B9"/>
    <w:rsid w:val="00770CC0"/>
    <w:rsid w:val="00771082"/>
    <w:rsid w:val="00771337"/>
    <w:rsid w:val="00773405"/>
    <w:rsid w:val="007738AC"/>
    <w:rsid w:val="0077457A"/>
    <w:rsid w:val="0077798C"/>
    <w:rsid w:val="00781D31"/>
    <w:rsid w:val="00786A09"/>
    <w:rsid w:val="00792ADA"/>
    <w:rsid w:val="007933B4"/>
    <w:rsid w:val="007941AD"/>
    <w:rsid w:val="007948CE"/>
    <w:rsid w:val="00796BAC"/>
    <w:rsid w:val="007A1288"/>
    <w:rsid w:val="007A3BC9"/>
    <w:rsid w:val="007B0804"/>
    <w:rsid w:val="007B31AC"/>
    <w:rsid w:val="007B31F5"/>
    <w:rsid w:val="007B3217"/>
    <w:rsid w:val="007B4CD6"/>
    <w:rsid w:val="007C22F0"/>
    <w:rsid w:val="007C5AA4"/>
    <w:rsid w:val="007D1160"/>
    <w:rsid w:val="007E5CFE"/>
    <w:rsid w:val="007F0BFF"/>
    <w:rsid w:val="007F0F97"/>
    <w:rsid w:val="007F3CF8"/>
    <w:rsid w:val="00804155"/>
    <w:rsid w:val="00813936"/>
    <w:rsid w:val="00813B8C"/>
    <w:rsid w:val="008159DF"/>
    <w:rsid w:val="00826EF8"/>
    <w:rsid w:val="00827B74"/>
    <w:rsid w:val="008305A2"/>
    <w:rsid w:val="00831885"/>
    <w:rsid w:val="00833B6C"/>
    <w:rsid w:val="0083418B"/>
    <w:rsid w:val="00840C07"/>
    <w:rsid w:val="0084309B"/>
    <w:rsid w:val="00850457"/>
    <w:rsid w:val="00850AD1"/>
    <w:rsid w:val="00851681"/>
    <w:rsid w:val="008639D2"/>
    <w:rsid w:val="0086437A"/>
    <w:rsid w:val="008648B7"/>
    <w:rsid w:val="00871B3A"/>
    <w:rsid w:val="0087250C"/>
    <w:rsid w:val="00872E4C"/>
    <w:rsid w:val="00873D6B"/>
    <w:rsid w:val="00873F9F"/>
    <w:rsid w:val="008854EF"/>
    <w:rsid w:val="00885F2C"/>
    <w:rsid w:val="00894109"/>
    <w:rsid w:val="00894C1B"/>
    <w:rsid w:val="008A2E1C"/>
    <w:rsid w:val="008A3633"/>
    <w:rsid w:val="008B194F"/>
    <w:rsid w:val="008B3ECF"/>
    <w:rsid w:val="008B4997"/>
    <w:rsid w:val="008B5F8E"/>
    <w:rsid w:val="008B7A4F"/>
    <w:rsid w:val="008B7D88"/>
    <w:rsid w:val="008C29DD"/>
    <w:rsid w:val="008C3B42"/>
    <w:rsid w:val="008D246D"/>
    <w:rsid w:val="008D448D"/>
    <w:rsid w:val="008D4547"/>
    <w:rsid w:val="008D7698"/>
    <w:rsid w:val="008D7C83"/>
    <w:rsid w:val="008E08D1"/>
    <w:rsid w:val="008E1E59"/>
    <w:rsid w:val="008E4212"/>
    <w:rsid w:val="008E547B"/>
    <w:rsid w:val="008E75DB"/>
    <w:rsid w:val="008E7FB9"/>
    <w:rsid w:val="008F2D8E"/>
    <w:rsid w:val="008F30E9"/>
    <w:rsid w:val="008F4B92"/>
    <w:rsid w:val="008F72BF"/>
    <w:rsid w:val="008F7484"/>
    <w:rsid w:val="008F7642"/>
    <w:rsid w:val="00902033"/>
    <w:rsid w:val="0090269F"/>
    <w:rsid w:val="0090769C"/>
    <w:rsid w:val="00907C6A"/>
    <w:rsid w:val="0092316E"/>
    <w:rsid w:val="009238B6"/>
    <w:rsid w:val="009244E3"/>
    <w:rsid w:val="009316E5"/>
    <w:rsid w:val="009318A4"/>
    <w:rsid w:val="0093575A"/>
    <w:rsid w:val="00937744"/>
    <w:rsid w:val="00941C58"/>
    <w:rsid w:val="00941EDF"/>
    <w:rsid w:val="00942B9C"/>
    <w:rsid w:val="00943173"/>
    <w:rsid w:val="00947AC1"/>
    <w:rsid w:val="009502DE"/>
    <w:rsid w:val="009517AD"/>
    <w:rsid w:val="0095792C"/>
    <w:rsid w:val="00964617"/>
    <w:rsid w:val="00965B52"/>
    <w:rsid w:val="009852BD"/>
    <w:rsid w:val="00990B2F"/>
    <w:rsid w:val="009934C0"/>
    <w:rsid w:val="009962DB"/>
    <w:rsid w:val="00996E1B"/>
    <w:rsid w:val="009A05A5"/>
    <w:rsid w:val="009A5327"/>
    <w:rsid w:val="009A5B80"/>
    <w:rsid w:val="009A6067"/>
    <w:rsid w:val="009B0310"/>
    <w:rsid w:val="009B0794"/>
    <w:rsid w:val="009B6BA9"/>
    <w:rsid w:val="009C47CB"/>
    <w:rsid w:val="009D069D"/>
    <w:rsid w:val="009D441D"/>
    <w:rsid w:val="009D4F98"/>
    <w:rsid w:val="009D72F2"/>
    <w:rsid w:val="009D7C97"/>
    <w:rsid w:val="009E1E9F"/>
    <w:rsid w:val="009E28D6"/>
    <w:rsid w:val="009E3675"/>
    <w:rsid w:val="009E49A0"/>
    <w:rsid w:val="009E7885"/>
    <w:rsid w:val="009F2F07"/>
    <w:rsid w:val="009F2FB4"/>
    <w:rsid w:val="009F3D16"/>
    <w:rsid w:val="009F401C"/>
    <w:rsid w:val="009F6469"/>
    <w:rsid w:val="009F6E01"/>
    <w:rsid w:val="009F712A"/>
    <w:rsid w:val="00A039F1"/>
    <w:rsid w:val="00A04164"/>
    <w:rsid w:val="00A157D8"/>
    <w:rsid w:val="00A20DDD"/>
    <w:rsid w:val="00A24BE5"/>
    <w:rsid w:val="00A2795A"/>
    <w:rsid w:val="00A33152"/>
    <w:rsid w:val="00A33FF8"/>
    <w:rsid w:val="00A34744"/>
    <w:rsid w:val="00A40EC1"/>
    <w:rsid w:val="00A456E8"/>
    <w:rsid w:val="00A46DD5"/>
    <w:rsid w:val="00A51A00"/>
    <w:rsid w:val="00A52CF3"/>
    <w:rsid w:val="00A565B2"/>
    <w:rsid w:val="00A60905"/>
    <w:rsid w:val="00A60A1A"/>
    <w:rsid w:val="00A6590B"/>
    <w:rsid w:val="00A71305"/>
    <w:rsid w:val="00A74665"/>
    <w:rsid w:val="00A74EF4"/>
    <w:rsid w:val="00A76DE2"/>
    <w:rsid w:val="00A815E6"/>
    <w:rsid w:val="00A8282A"/>
    <w:rsid w:val="00A84D0C"/>
    <w:rsid w:val="00A8594C"/>
    <w:rsid w:val="00A90C92"/>
    <w:rsid w:val="00A91D5A"/>
    <w:rsid w:val="00AA2A71"/>
    <w:rsid w:val="00AA3B4C"/>
    <w:rsid w:val="00AA5B84"/>
    <w:rsid w:val="00AA6E87"/>
    <w:rsid w:val="00AB719D"/>
    <w:rsid w:val="00AC0E50"/>
    <w:rsid w:val="00AC58E5"/>
    <w:rsid w:val="00AD1BAE"/>
    <w:rsid w:val="00AD1D59"/>
    <w:rsid w:val="00AD4641"/>
    <w:rsid w:val="00AD6174"/>
    <w:rsid w:val="00AE609C"/>
    <w:rsid w:val="00AF0FAD"/>
    <w:rsid w:val="00AF2154"/>
    <w:rsid w:val="00AF2E54"/>
    <w:rsid w:val="00AF42ED"/>
    <w:rsid w:val="00AF674B"/>
    <w:rsid w:val="00AF75B3"/>
    <w:rsid w:val="00B125F3"/>
    <w:rsid w:val="00B15474"/>
    <w:rsid w:val="00B161F0"/>
    <w:rsid w:val="00B170DD"/>
    <w:rsid w:val="00B21F2D"/>
    <w:rsid w:val="00B226A7"/>
    <w:rsid w:val="00B25CC6"/>
    <w:rsid w:val="00B30D2E"/>
    <w:rsid w:val="00B314B0"/>
    <w:rsid w:val="00B3470C"/>
    <w:rsid w:val="00B35C80"/>
    <w:rsid w:val="00B35F22"/>
    <w:rsid w:val="00B36079"/>
    <w:rsid w:val="00B42A41"/>
    <w:rsid w:val="00B45A52"/>
    <w:rsid w:val="00B52C00"/>
    <w:rsid w:val="00B53AB7"/>
    <w:rsid w:val="00B53F3D"/>
    <w:rsid w:val="00B564A2"/>
    <w:rsid w:val="00B576DF"/>
    <w:rsid w:val="00B57C1B"/>
    <w:rsid w:val="00B618F4"/>
    <w:rsid w:val="00B61F29"/>
    <w:rsid w:val="00B676E4"/>
    <w:rsid w:val="00B725A7"/>
    <w:rsid w:val="00B72FF5"/>
    <w:rsid w:val="00B75220"/>
    <w:rsid w:val="00B756E4"/>
    <w:rsid w:val="00B77D38"/>
    <w:rsid w:val="00B81E9A"/>
    <w:rsid w:val="00B853D7"/>
    <w:rsid w:val="00B86602"/>
    <w:rsid w:val="00B8754C"/>
    <w:rsid w:val="00B9422A"/>
    <w:rsid w:val="00B95A03"/>
    <w:rsid w:val="00BA46CE"/>
    <w:rsid w:val="00BB10E0"/>
    <w:rsid w:val="00BB4C68"/>
    <w:rsid w:val="00BB72EE"/>
    <w:rsid w:val="00BB7D35"/>
    <w:rsid w:val="00BC14B3"/>
    <w:rsid w:val="00BC42FF"/>
    <w:rsid w:val="00BC43DE"/>
    <w:rsid w:val="00BC4A0B"/>
    <w:rsid w:val="00BC5EAD"/>
    <w:rsid w:val="00BC5EC6"/>
    <w:rsid w:val="00BD4238"/>
    <w:rsid w:val="00BD776F"/>
    <w:rsid w:val="00BE1033"/>
    <w:rsid w:val="00BE1F10"/>
    <w:rsid w:val="00BE231A"/>
    <w:rsid w:val="00BE6713"/>
    <w:rsid w:val="00BF5579"/>
    <w:rsid w:val="00C01831"/>
    <w:rsid w:val="00C038CC"/>
    <w:rsid w:val="00C041EA"/>
    <w:rsid w:val="00C05E74"/>
    <w:rsid w:val="00C0690E"/>
    <w:rsid w:val="00C12018"/>
    <w:rsid w:val="00C2100B"/>
    <w:rsid w:val="00C2422B"/>
    <w:rsid w:val="00C253B5"/>
    <w:rsid w:val="00C25D56"/>
    <w:rsid w:val="00C265D5"/>
    <w:rsid w:val="00C27477"/>
    <w:rsid w:val="00C32A7D"/>
    <w:rsid w:val="00C36226"/>
    <w:rsid w:val="00C36E75"/>
    <w:rsid w:val="00C433B2"/>
    <w:rsid w:val="00C45687"/>
    <w:rsid w:val="00C45E78"/>
    <w:rsid w:val="00C46632"/>
    <w:rsid w:val="00C50959"/>
    <w:rsid w:val="00C50C52"/>
    <w:rsid w:val="00C60A84"/>
    <w:rsid w:val="00C67ADE"/>
    <w:rsid w:val="00C70732"/>
    <w:rsid w:val="00C75DB7"/>
    <w:rsid w:val="00C766EC"/>
    <w:rsid w:val="00C76F1C"/>
    <w:rsid w:val="00C80288"/>
    <w:rsid w:val="00C82212"/>
    <w:rsid w:val="00C83C4B"/>
    <w:rsid w:val="00C87A4F"/>
    <w:rsid w:val="00C97B6F"/>
    <w:rsid w:val="00CA06F2"/>
    <w:rsid w:val="00CA154E"/>
    <w:rsid w:val="00CA37B8"/>
    <w:rsid w:val="00CA3894"/>
    <w:rsid w:val="00CA3C99"/>
    <w:rsid w:val="00CB2B0A"/>
    <w:rsid w:val="00CB5100"/>
    <w:rsid w:val="00CC4DDD"/>
    <w:rsid w:val="00CC5D89"/>
    <w:rsid w:val="00CD09C5"/>
    <w:rsid w:val="00CD1EB1"/>
    <w:rsid w:val="00CD337B"/>
    <w:rsid w:val="00CE041A"/>
    <w:rsid w:val="00CE0827"/>
    <w:rsid w:val="00CE1493"/>
    <w:rsid w:val="00CE29A1"/>
    <w:rsid w:val="00CE2C64"/>
    <w:rsid w:val="00CE4284"/>
    <w:rsid w:val="00CF0EFC"/>
    <w:rsid w:val="00CF3CD9"/>
    <w:rsid w:val="00D0185F"/>
    <w:rsid w:val="00D030AF"/>
    <w:rsid w:val="00D03F67"/>
    <w:rsid w:val="00D04647"/>
    <w:rsid w:val="00D10690"/>
    <w:rsid w:val="00D1222D"/>
    <w:rsid w:val="00D1246E"/>
    <w:rsid w:val="00D16C7C"/>
    <w:rsid w:val="00D22A5B"/>
    <w:rsid w:val="00D2383F"/>
    <w:rsid w:val="00D27382"/>
    <w:rsid w:val="00D3054A"/>
    <w:rsid w:val="00D31141"/>
    <w:rsid w:val="00D3265C"/>
    <w:rsid w:val="00D34F96"/>
    <w:rsid w:val="00D37A4F"/>
    <w:rsid w:val="00D40C0B"/>
    <w:rsid w:val="00D434A7"/>
    <w:rsid w:val="00D61A56"/>
    <w:rsid w:val="00D61D0F"/>
    <w:rsid w:val="00D623DA"/>
    <w:rsid w:val="00D66930"/>
    <w:rsid w:val="00D67B63"/>
    <w:rsid w:val="00D715DA"/>
    <w:rsid w:val="00D72124"/>
    <w:rsid w:val="00D75D32"/>
    <w:rsid w:val="00D77F75"/>
    <w:rsid w:val="00D801D0"/>
    <w:rsid w:val="00D8547E"/>
    <w:rsid w:val="00D90D95"/>
    <w:rsid w:val="00D92E5D"/>
    <w:rsid w:val="00D94DCA"/>
    <w:rsid w:val="00D95DF1"/>
    <w:rsid w:val="00D95E91"/>
    <w:rsid w:val="00DA3076"/>
    <w:rsid w:val="00DA42DD"/>
    <w:rsid w:val="00DA73B6"/>
    <w:rsid w:val="00DB06AA"/>
    <w:rsid w:val="00DB071E"/>
    <w:rsid w:val="00DB16B9"/>
    <w:rsid w:val="00DC2319"/>
    <w:rsid w:val="00DC24A9"/>
    <w:rsid w:val="00DC2F4F"/>
    <w:rsid w:val="00DC3CDD"/>
    <w:rsid w:val="00DC3DF6"/>
    <w:rsid w:val="00DC7A1A"/>
    <w:rsid w:val="00DE3FAB"/>
    <w:rsid w:val="00DE4FA6"/>
    <w:rsid w:val="00DF6FDD"/>
    <w:rsid w:val="00DF7CA8"/>
    <w:rsid w:val="00E0226A"/>
    <w:rsid w:val="00E055F2"/>
    <w:rsid w:val="00E06D20"/>
    <w:rsid w:val="00E06EF4"/>
    <w:rsid w:val="00E204CE"/>
    <w:rsid w:val="00E23362"/>
    <w:rsid w:val="00E3217D"/>
    <w:rsid w:val="00E36122"/>
    <w:rsid w:val="00E40C5B"/>
    <w:rsid w:val="00E42189"/>
    <w:rsid w:val="00E44660"/>
    <w:rsid w:val="00E46721"/>
    <w:rsid w:val="00E50F41"/>
    <w:rsid w:val="00E51AE5"/>
    <w:rsid w:val="00E55D63"/>
    <w:rsid w:val="00E56C9D"/>
    <w:rsid w:val="00E57EFC"/>
    <w:rsid w:val="00E62459"/>
    <w:rsid w:val="00E646BE"/>
    <w:rsid w:val="00E65455"/>
    <w:rsid w:val="00E6650C"/>
    <w:rsid w:val="00E70F1E"/>
    <w:rsid w:val="00E71206"/>
    <w:rsid w:val="00E771E3"/>
    <w:rsid w:val="00E800E2"/>
    <w:rsid w:val="00E81358"/>
    <w:rsid w:val="00E826F2"/>
    <w:rsid w:val="00E8524E"/>
    <w:rsid w:val="00EA1618"/>
    <w:rsid w:val="00EA2F4E"/>
    <w:rsid w:val="00EA5131"/>
    <w:rsid w:val="00EA5266"/>
    <w:rsid w:val="00EA662E"/>
    <w:rsid w:val="00EB1D04"/>
    <w:rsid w:val="00EB225F"/>
    <w:rsid w:val="00EB4912"/>
    <w:rsid w:val="00EB52C0"/>
    <w:rsid w:val="00EC37A8"/>
    <w:rsid w:val="00EC5369"/>
    <w:rsid w:val="00EC6334"/>
    <w:rsid w:val="00ED1985"/>
    <w:rsid w:val="00ED240B"/>
    <w:rsid w:val="00ED4D99"/>
    <w:rsid w:val="00ED7BA5"/>
    <w:rsid w:val="00EE0F7B"/>
    <w:rsid w:val="00EE10A3"/>
    <w:rsid w:val="00EE426D"/>
    <w:rsid w:val="00EE7A32"/>
    <w:rsid w:val="00EF4CD3"/>
    <w:rsid w:val="00EF5978"/>
    <w:rsid w:val="00F03BF6"/>
    <w:rsid w:val="00F07BA1"/>
    <w:rsid w:val="00F147DA"/>
    <w:rsid w:val="00F150BF"/>
    <w:rsid w:val="00F15800"/>
    <w:rsid w:val="00F17D19"/>
    <w:rsid w:val="00F2181F"/>
    <w:rsid w:val="00F219A5"/>
    <w:rsid w:val="00F305F6"/>
    <w:rsid w:val="00F318BD"/>
    <w:rsid w:val="00F32C69"/>
    <w:rsid w:val="00F335D2"/>
    <w:rsid w:val="00F36BB1"/>
    <w:rsid w:val="00F44B23"/>
    <w:rsid w:val="00F44B67"/>
    <w:rsid w:val="00F45A04"/>
    <w:rsid w:val="00F56A3A"/>
    <w:rsid w:val="00F5790D"/>
    <w:rsid w:val="00F63AA2"/>
    <w:rsid w:val="00F64191"/>
    <w:rsid w:val="00F7127D"/>
    <w:rsid w:val="00F7382E"/>
    <w:rsid w:val="00F7535A"/>
    <w:rsid w:val="00F75BEE"/>
    <w:rsid w:val="00F76376"/>
    <w:rsid w:val="00F77749"/>
    <w:rsid w:val="00F84D0E"/>
    <w:rsid w:val="00F865C9"/>
    <w:rsid w:val="00F9331E"/>
    <w:rsid w:val="00F9389C"/>
    <w:rsid w:val="00F97912"/>
    <w:rsid w:val="00FA071C"/>
    <w:rsid w:val="00FA0D80"/>
    <w:rsid w:val="00FA12C2"/>
    <w:rsid w:val="00FA612F"/>
    <w:rsid w:val="00FA7D77"/>
    <w:rsid w:val="00FB4325"/>
    <w:rsid w:val="00FB6701"/>
    <w:rsid w:val="00FB72A2"/>
    <w:rsid w:val="00FB7EC9"/>
    <w:rsid w:val="00FC0B59"/>
    <w:rsid w:val="00FC2584"/>
    <w:rsid w:val="00FC44F3"/>
    <w:rsid w:val="00FD2488"/>
    <w:rsid w:val="00FD380B"/>
    <w:rsid w:val="00FD42D4"/>
    <w:rsid w:val="00FD4828"/>
    <w:rsid w:val="00FD594C"/>
    <w:rsid w:val="00FD5F80"/>
    <w:rsid w:val="00FD6638"/>
    <w:rsid w:val="00FD7F5C"/>
    <w:rsid w:val="00FE0E57"/>
    <w:rsid w:val="00FE2302"/>
    <w:rsid w:val="00FE5084"/>
    <w:rsid w:val="00FE7404"/>
    <w:rsid w:val="00FF0512"/>
    <w:rsid w:val="00FF1C28"/>
    <w:rsid w:val="00FF381C"/>
    <w:rsid w:val="00FF3C92"/>
    <w:rsid w:val="00FF717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493"/>
    <w:pPr>
      <w:spacing w:after="100" w:line="400" w:lineRule="exact"/>
      <w:jc w:val="both"/>
    </w:pPr>
    <w:rPr>
      <w:rFonts w:ascii="Century Schoolbook" w:hAnsi="Century Schoolbook"/>
      <w:sz w:val="27"/>
    </w:rPr>
  </w:style>
  <w:style w:type="paragraph" w:styleId="Heading1">
    <w:name w:val="heading 1"/>
    <w:basedOn w:val="Normal"/>
    <w:next w:val="Normal"/>
    <w:qFormat/>
    <w:rsid w:val="00CE1493"/>
    <w:pPr>
      <w:keepNext/>
      <w:spacing w:before="140" w:line="240" w:lineRule="atLeast"/>
      <w:jc w:val="center"/>
      <w:outlineLvl w:val="0"/>
    </w:pPr>
    <w:rPr>
      <w:b/>
      <w:smallCaps/>
    </w:rPr>
  </w:style>
  <w:style w:type="paragraph" w:styleId="Heading2">
    <w:name w:val="heading 2"/>
    <w:basedOn w:val="Normal"/>
    <w:next w:val="Normal"/>
    <w:qFormat/>
    <w:rsid w:val="00CE1493"/>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CE1493"/>
    <w:pPr>
      <w:keepNext/>
      <w:tabs>
        <w:tab w:val="left" w:pos="1584"/>
      </w:tabs>
      <w:spacing w:before="140" w:line="240" w:lineRule="atLeast"/>
      <w:ind w:left="1584" w:hanging="432"/>
      <w:jc w:val="left"/>
      <w:outlineLvl w:val="2"/>
    </w:pPr>
    <w:rPr>
      <w:i/>
    </w:rPr>
  </w:style>
  <w:style w:type="paragraph" w:styleId="Heading4">
    <w:name w:val="heading 4"/>
    <w:basedOn w:val="Normal"/>
    <w:rsid w:val="00CE1493"/>
    <w:pPr>
      <w:keepNext/>
      <w:tabs>
        <w:tab w:val="left" w:pos="2016"/>
      </w:tabs>
      <w:spacing w:before="140" w:line="240" w:lineRule="atLeast"/>
      <w:ind w:left="2016" w:hanging="432"/>
      <w:jc w:val="left"/>
      <w:outlineLvl w:val="3"/>
    </w:pPr>
    <w:rPr>
      <w:i/>
    </w:rPr>
  </w:style>
  <w:style w:type="paragraph" w:styleId="Heading5">
    <w:name w:val="heading 5"/>
    <w:basedOn w:val="Normal"/>
    <w:rsid w:val="00CE1493"/>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CE1493"/>
    <w:pPr>
      <w:ind w:left="720"/>
    </w:pPr>
  </w:style>
  <w:style w:type="paragraph" w:styleId="Footer">
    <w:name w:val="footer"/>
    <w:basedOn w:val="Normal"/>
    <w:qFormat/>
    <w:rsid w:val="00CE1493"/>
    <w:pPr>
      <w:tabs>
        <w:tab w:val="center" w:pos="3960"/>
        <w:tab w:val="right" w:pos="10080"/>
      </w:tabs>
      <w:spacing w:after="0" w:line="240" w:lineRule="auto"/>
      <w:jc w:val="center"/>
    </w:pPr>
    <w:rPr>
      <w:sz w:val="22"/>
    </w:rPr>
  </w:style>
  <w:style w:type="paragraph" w:styleId="Header">
    <w:name w:val="header"/>
    <w:basedOn w:val="Normal"/>
    <w:qFormat/>
    <w:rsid w:val="00CE1493"/>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CE1493"/>
    <w:rPr>
      <w:rFonts w:ascii="Century Schoolbook" w:hAnsi="Century Schoolbook"/>
      <w:b/>
      <w:i w:val="0"/>
      <w:position w:val="4"/>
      <w:sz w:val="27"/>
      <w:vertAlign w:val="superscript"/>
    </w:rPr>
  </w:style>
  <w:style w:type="paragraph" w:styleId="FootnoteText">
    <w:name w:val="footnote text"/>
    <w:basedOn w:val="Normal"/>
    <w:rsid w:val="00CE1493"/>
    <w:pPr>
      <w:spacing w:line="300" w:lineRule="exact"/>
    </w:pPr>
  </w:style>
  <w:style w:type="paragraph" w:customStyle="1" w:styleId="Title1">
    <w:name w:val="Title1"/>
    <w:basedOn w:val="Normal"/>
    <w:rsid w:val="00CE1493"/>
    <w:pPr>
      <w:tabs>
        <w:tab w:val="left" w:pos="5760"/>
        <w:tab w:val="left" w:pos="6480"/>
      </w:tabs>
      <w:spacing w:line="240" w:lineRule="atLeast"/>
    </w:pPr>
  </w:style>
  <w:style w:type="paragraph" w:customStyle="1" w:styleId="Recommend">
    <w:name w:val="Recommend"/>
    <w:basedOn w:val="Normal"/>
    <w:rsid w:val="00CE1493"/>
  </w:style>
  <w:style w:type="paragraph" w:customStyle="1" w:styleId="Summary">
    <w:name w:val="Summary"/>
    <w:basedOn w:val="Normal"/>
    <w:rsid w:val="00CE1493"/>
    <w:pPr>
      <w:ind w:left="2160" w:hanging="2160"/>
    </w:pPr>
  </w:style>
  <w:style w:type="paragraph" w:customStyle="1" w:styleId="Text">
    <w:name w:val="Text"/>
    <w:basedOn w:val="Normal"/>
    <w:rsid w:val="00CE1493"/>
    <w:pPr>
      <w:tabs>
        <w:tab w:val="left" w:pos="720"/>
        <w:tab w:val="left" w:pos="1440"/>
        <w:tab w:val="left" w:pos="2160"/>
        <w:tab w:val="center" w:pos="4320"/>
      </w:tabs>
      <w:spacing w:line="480" w:lineRule="atLeast"/>
      <w:ind w:firstLine="540"/>
    </w:pPr>
  </w:style>
  <w:style w:type="paragraph" w:styleId="Date">
    <w:name w:val="Date"/>
    <w:basedOn w:val="Normal"/>
    <w:semiHidden/>
    <w:rsid w:val="00CE1493"/>
    <w:pPr>
      <w:jc w:val="right"/>
    </w:pPr>
  </w:style>
  <w:style w:type="character" w:styleId="PageNumber">
    <w:name w:val="page number"/>
    <w:basedOn w:val="DefaultParagraphFont"/>
    <w:rsid w:val="00CE1493"/>
  </w:style>
  <w:style w:type="paragraph" w:customStyle="1" w:styleId="subject">
    <w:name w:val="subject"/>
    <w:basedOn w:val="Normal"/>
    <w:rsid w:val="00CE1493"/>
    <w:pPr>
      <w:tabs>
        <w:tab w:val="left" w:pos="1008"/>
      </w:tabs>
      <w:ind w:left="990" w:hanging="990"/>
    </w:pPr>
    <w:rPr>
      <w:b/>
    </w:rPr>
  </w:style>
  <w:style w:type="paragraph" w:customStyle="1" w:styleId="Titles">
    <w:name w:val="Titles"/>
    <w:basedOn w:val="Normal"/>
    <w:rsid w:val="00CE1493"/>
    <w:pPr>
      <w:tabs>
        <w:tab w:val="left" w:pos="2160"/>
      </w:tabs>
      <w:ind w:left="2160" w:hanging="2160"/>
    </w:pPr>
    <w:rPr>
      <w:b/>
    </w:rPr>
  </w:style>
  <w:style w:type="paragraph" w:styleId="TOAHeading">
    <w:name w:val="toa heading"/>
    <w:basedOn w:val="Normal"/>
    <w:next w:val="Normal"/>
    <w:semiHidden/>
    <w:rsid w:val="00CE1493"/>
    <w:pPr>
      <w:spacing w:before="120"/>
    </w:pPr>
    <w:rPr>
      <w:b/>
    </w:rPr>
  </w:style>
  <w:style w:type="paragraph" w:styleId="TOC1">
    <w:name w:val="toc 1"/>
    <w:basedOn w:val="Normal"/>
    <w:next w:val="Normal"/>
    <w:autoRedefine/>
    <w:semiHidden/>
    <w:rsid w:val="00CE1493"/>
  </w:style>
  <w:style w:type="paragraph" w:styleId="TOC2">
    <w:name w:val="toc 2"/>
    <w:basedOn w:val="Normal"/>
    <w:next w:val="Normal"/>
    <w:autoRedefine/>
    <w:semiHidden/>
    <w:rsid w:val="00CE1493"/>
    <w:pPr>
      <w:ind w:left="259"/>
    </w:pPr>
  </w:style>
  <w:style w:type="paragraph" w:styleId="TOC3">
    <w:name w:val="toc 3"/>
    <w:basedOn w:val="Normal"/>
    <w:next w:val="Normal"/>
    <w:autoRedefine/>
    <w:semiHidden/>
    <w:rsid w:val="00CE1493"/>
    <w:pPr>
      <w:ind w:left="520"/>
    </w:pPr>
  </w:style>
  <w:style w:type="paragraph" w:styleId="TOC4">
    <w:name w:val="toc 4"/>
    <w:basedOn w:val="Normal"/>
    <w:next w:val="Normal"/>
    <w:autoRedefine/>
    <w:semiHidden/>
    <w:rsid w:val="00CE1493"/>
    <w:pPr>
      <w:ind w:left="780"/>
    </w:pPr>
  </w:style>
  <w:style w:type="paragraph" w:styleId="TOC5">
    <w:name w:val="toc 5"/>
    <w:basedOn w:val="Normal"/>
    <w:next w:val="Normal"/>
    <w:autoRedefine/>
    <w:semiHidden/>
    <w:rsid w:val="00CE1493"/>
    <w:pPr>
      <w:ind w:left="1040"/>
    </w:pPr>
  </w:style>
  <w:style w:type="paragraph" w:styleId="TOC6">
    <w:name w:val="toc 6"/>
    <w:basedOn w:val="Normal"/>
    <w:next w:val="Normal"/>
    <w:autoRedefine/>
    <w:semiHidden/>
    <w:rsid w:val="00CE1493"/>
    <w:pPr>
      <w:ind w:left="1300"/>
    </w:pPr>
  </w:style>
  <w:style w:type="paragraph" w:styleId="TOC7">
    <w:name w:val="toc 7"/>
    <w:basedOn w:val="Normal"/>
    <w:next w:val="Normal"/>
    <w:autoRedefine/>
    <w:semiHidden/>
    <w:rsid w:val="00CE1493"/>
    <w:pPr>
      <w:ind w:left="1560"/>
    </w:pPr>
  </w:style>
  <w:style w:type="paragraph" w:styleId="TOC8">
    <w:name w:val="toc 8"/>
    <w:basedOn w:val="Normal"/>
    <w:next w:val="Normal"/>
    <w:autoRedefine/>
    <w:semiHidden/>
    <w:rsid w:val="00CE1493"/>
    <w:pPr>
      <w:ind w:left="1820"/>
    </w:pPr>
  </w:style>
  <w:style w:type="paragraph" w:styleId="TOC9">
    <w:name w:val="toc 9"/>
    <w:basedOn w:val="Normal"/>
    <w:next w:val="Normal"/>
    <w:autoRedefine/>
    <w:semiHidden/>
    <w:rsid w:val="00CE1493"/>
    <w:pPr>
      <w:ind w:left="2080"/>
    </w:pPr>
  </w:style>
  <w:style w:type="paragraph" w:customStyle="1" w:styleId="Contents">
    <w:name w:val="Contents"/>
    <w:basedOn w:val="Normal"/>
    <w:rsid w:val="00CE1493"/>
    <w:pPr>
      <w:jc w:val="center"/>
    </w:pPr>
    <w:rPr>
      <w:b/>
      <w:spacing w:val="100"/>
    </w:rPr>
  </w:style>
  <w:style w:type="paragraph" w:styleId="BalloonText">
    <w:name w:val="Balloon Text"/>
    <w:basedOn w:val="Normal"/>
    <w:link w:val="BalloonTextChar"/>
    <w:uiPriority w:val="99"/>
    <w:semiHidden/>
    <w:unhideWhenUsed/>
    <w:rsid w:val="00B25C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CC6"/>
    <w:rPr>
      <w:rFonts w:ascii="Segoe UI" w:hAnsi="Segoe UI" w:cs="Segoe UI"/>
      <w:sz w:val="18"/>
      <w:szCs w:val="18"/>
    </w:rPr>
  </w:style>
  <w:style w:type="character" w:styleId="Hyperlink">
    <w:name w:val="Hyperlink"/>
    <w:basedOn w:val="DefaultParagraphFont"/>
    <w:uiPriority w:val="99"/>
    <w:unhideWhenUsed/>
    <w:rsid w:val="003B29FA"/>
    <w:rPr>
      <w:color w:val="0000FF" w:themeColor="hyperlink"/>
      <w:u w:val="single"/>
    </w:rPr>
  </w:style>
  <w:style w:type="character" w:customStyle="1" w:styleId="UnresolvedMention">
    <w:name w:val="Unresolved Mention"/>
    <w:basedOn w:val="DefaultParagraphFont"/>
    <w:uiPriority w:val="99"/>
    <w:semiHidden/>
    <w:unhideWhenUsed/>
    <w:rsid w:val="003B29FA"/>
    <w:rPr>
      <w:color w:val="605E5C"/>
      <w:shd w:val="clear" w:color="auto" w:fill="E1DFDD"/>
    </w:rPr>
  </w:style>
  <w:style w:type="character" w:styleId="CommentReference">
    <w:name w:val="annotation reference"/>
    <w:basedOn w:val="DefaultParagraphFont"/>
    <w:uiPriority w:val="99"/>
    <w:semiHidden/>
    <w:unhideWhenUsed/>
    <w:rsid w:val="00FC44F3"/>
    <w:rPr>
      <w:sz w:val="16"/>
      <w:szCs w:val="16"/>
    </w:rPr>
  </w:style>
  <w:style w:type="paragraph" w:styleId="CommentText">
    <w:name w:val="annotation text"/>
    <w:basedOn w:val="Normal"/>
    <w:link w:val="CommentTextChar"/>
    <w:uiPriority w:val="99"/>
    <w:unhideWhenUsed/>
    <w:rsid w:val="00FC44F3"/>
    <w:rPr>
      <w:sz w:val="20"/>
    </w:rPr>
  </w:style>
  <w:style w:type="character" w:customStyle="1" w:styleId="CommentTextChar">
    <w:name w:val="Comment Text Char"/>
    <w:basedOn w:val="DefaultParagraphFont"/>
    <w:link w:val="CommentText"/>
    <w:uiPriority w:val="99"/>
    <w:rsid w:val="00FC44F3"/>
  </w:style>
  <w:style w:type="paragraph" w:styleId="CommentSubject">
    <w:name w:val="annotation subject"/>
    <w:basedOn w:val="CommentText"/>
    <w:next w:val="CommentText"/>
    <w:link w:val="CommentSubjectChar"/>
    <w:uiPriority w:val="99"/>
    <w:semiHidden/>
    <w:unhideWhenUsed/>
    <w:rsid w:val="00FC44F3"/>
    <w:rPr>
      <w:b/>
      <w:bCs/>
    </w:rPr>
  </w:style>
  <w:style w:type="character" w:customStyle="1" w:styleId="CommentSubjectChar">
    <w:name w:val="Comment Subject Char"/>
    <w:basedOn w:val="CommentTextChar"/>
    <w:link w:val="CommentSubject"/>
    <w:uiPriority w:val="99"/>
    <w:semiHidden/>
    <w:rsid w:val="00FC44F3"/>
    <w:rPr>
      <w:b/>
      <w:bCs/>
    </w:rPr>
  </w:style>
  <w:style w:type="character" w:customStyle="1" w:styleId="Heading3Char">
    <w:name w:val="Heading 3 Char"/>
    <w:basedOn w:val="DefaultParagraphFont"/>
    <w:link w:val="Heading3"/>
    <w:rsid w:val="006E16A7"/>
    <w:rPr>
      <w:rFonts w:ascii="Century Schoolbook" w:hAnsi="Century Schoolbook"/>
      <w:i/>
      <w:sz w:val="27"/>
    </w:rPr>
  </w:style>
  <w:style w:type="paragraph" w:styleId="Revision">
    <w:name w:val="Revision"/>
    <w:hidden/>
    <w:uiPriority w:val="99"/>
    <w:semiHidden/>
    <w:rsid w:val="002C479F"/>
    <w:rPr>
      <w:sz w:val="26"/>
    </w:rPr>
  </w:style>
  <w:style w:type="paragraph" w:styleId="BodyText">
    <w:name w:val="Body Text"/>
    <w:basedOn w:val="Normal"/>
    <w:link w:val="BodyTextChar"/>
    <w:qFormat/>
    <w:rsid w:val="00CE1493"/>
  </w:style>
  <w:style w:type="character" w:customStyle="1" w:styleId="BodyTextChar">
    <w:name w:val="Body Text Char"/>
    <w:basedOn w:val="DefaultParagraphFont"/>
    <w:link w:val="BodyText"/>
    <w:rsid w:val="00CE1493"/>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header" Target="header6.xml" /><Relationship Id="rId17" Type="http://schemas.openxmlformats.org/officeDocument/2006/relationships/footer" Target="footer7.xml" /><Relationship Id="rId18" Type="http://schemas.openxmlformats.org/officeDocument/2006/relationships/theme" Target="theme/theme1.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ED579-2DC8-4922-87C3-A2F088127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3439</Words>
  <Characters>19603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2021-04-19T15:28:05Z</dcterms:created>
  <dcterms:modified xsi:type="dcterms:W3CDTF">2021-04-19T15:28:05Z</dcterms:modified>
</cp:coreProperties>
</file>