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037B" w14:textId="388A942C" w:rsidR="00D87414" w:rsidRDefault="00D87414" w:rsidP="00D87414">
      <w:pPr>
        <w:spacing w:after="0"/>
        <w:jc w:val="center"/>
        <w:rPr>
          <w:rFonts w:cstheme="minorHAnsi"/>
          <w:sz w:val="36"/>
        </w:rPr>
      </w:pPr>
      <w:bookmarkStart w:id="0" w:name="_Hlk90999342"/>
      <w:r>
        <w:rPr>
          <w:rFonts w:cstheme="minorHAnsi"/>
          <w:b/>
          <w:sz w:val="36"/>
        </w:rPr>
        <w:t>IN THE SUPREME COURT OF CALIFORNIA</w:t>
      </w:r>
    </w:p>
    <w:p w14:paraId="76CA0A60" w14:textId="3FFCEFA6" w:rsidR="00D87414" w:rsidRDefault="00D87414" w:rsidP="00D87414">
      <w:pPr>
        <w:spacing w:after="0"/>
        <w:jc w:val="center"/>
        <w:rPr>
          <w:rFonts w:cstheme="minorHAnsi"/>
        </w:rPr>
      </w:pPr>
    </w:p>
    <w:p w14:paraId="658286FF" w14:textId="40CA1C5F" w:rsidR="00D87414" w:rsidRDefault="003A1965" w:rsidP="00D87414">
      <w:pPr>
        <w:spacing w:after="0"/>
        <w:jc w:val="center"/>
        <w:rPr>
          <w:rFonts w:cstheme="minorHAnsi"/>
        </w:rPr>
      </w:pPr>
      <w:r>
        <w:rPr>
          <w:rFonts w:cstheme="minorHAnsi"/>
        </w:rPr>
        <w:t>MARISOL LOPEZ,</w:t>
      </w:r>
    </w:p>
    <w:p w14:paraId="530C34B2" w14:textId="10A7709D" w:rsidR="00D87414" w:rsidRDefault="00D87414" w:rsidP="00D87414">
      <w:pPr>
        <w:spacing w:after="0"/>
        <w:jc w:val="center"/>
        <w:rPr>
          <w:rFonts w:cstheme="minorHAnsi"/>
        </w:rPr>
      </w:pPr>
      <w:r>
        <w:rPr>
          <w:rFonts w:cstheme="minorHAnsi"/>
        </w:rPr>
        <w:t>Plaintiff and Appellant</w:t>
      </w:r>
      <w:r w:rsidR="003A1965">
        <w:rPr>
          <w:rFonts w:cstheme="minorHAnsi"/>
        </w:rPr>
        <w:t>,</w:t>
      </w:r>
    </w:p>
    <w:p w14:paraId="0BD45432" w14:textId="2B582546" w:rsidR="00D87414" w:rsidRDefault="00D87414" w:rsidP="00D87414">
      <w:pPr>
        <w:spacing w:after="0"/>
        <w:jc w:val="center"/>
        <w:rPr>
          <w:rFonts w:cstheme="minorHAnsi"/>
        </w:rPr>
      </w:pPr>
      <w:r>
        <w:rPr>
          <w:rFonts w:cstheme="minorHAnsi"/>
        </w:rPr>
        <w:t>v.</w:t>
      </w:r>
    </w:p>
    <w:p w14:paraId="6F9AB8D5" w14:textId="396AAEAC" w:rsidR="00D87414" w:rsidRDefault="003A1965" w:rsidP="00D87414">
      <w:pPr>
        <w:spacing w:after="0"/>
        <w:jc w:val="center"/>
        <w:rPr>
          <w:rFonts w:cstheme="minorHAnsi"/>
        </w:rPr>
      </w:pPr>
      <w:r>
        <w:rPr>
          <w:rFonts w:cstheme="minorHAnsi"/>
        </w:rPr>
        <w:t>GLENN LEDESMA</w:t>
      </w:r>
      <w:r w:rsidR="0055058D">
        <w:rPr>
          <w:rFonts w:cstheme="minorHAnsi"/>
        </w:rPr>
        <w:t xml:space="preserve"> et al.</w:t>
      </w:r>
      <w:r>
        <w:rPr>
          <w:rFonts w:cstheme="minorHAnsi"/>
        </w:rPr>
        <w:t>,</w:t>
      </w:r>
    </w:p>
    <w:p w14:paraId="65AE3BA0" w14:textId="7525305C" w:rsidR="0055058D" w:rsidRDefault="00D87414" w:rsidP="00D87414">
      <w:pPr>
        <w:spacing w:after="0"/>
        <w:jc w:val="center"/>
        <w:rPr>
          <w:rFonts w:cstheme="minorHAnsi"/>
        </w:rPr>
      </w:pPr>
      <w:r>
        <w:rPr>
          <w:rFonts w:cstheme="minorHAnsi"/>
        </w:rPr>
        <w:t>Defendant</w:t>
      </w:r>
      <w:r w:rsidR="0055058D">
        <w:rPr>
          <w:rFonts w:cstheme="minorHAnsi"/>
        </w:rPr>
        <w:t>s</w:t>
      </w:r>
      <w:r>
        <w:rPr>
          <w:rFonts w:cstheme="minorHAnsi"/>
        </w:rPr>
        <w:t xml:space="preserve"> and </w:t>
      </w:r>
      <w:r w:rsidR="0055058D">
        <w:rPr>
          <w:rFonts w:cstheme="minorHAnsi"/>
        </w:rPr>
        <w:t>Appellants;</w:t>
      </w:r>
    </w:p>
    <w:p w14:paraId="7EE13AA6" w14:textId="2B500CC5" w:rsidR="004D5469" w:rsidRDefault="004D31F1" w:rsidP="004D5469">
      <w:pPr>
        <w:spacing w:after="0"/>
        <w:jc w:val="center"/>
        <w:rPr>
          <w:rFonts w:cstheme="minorHAnsi"/>
        </w:rPr>
      </w:pPr>
      <w:r>
        <w:rPr>
          <w:rFonts w:cstheme="minorHAnsi"/>
        </w:rPr>
        <w:t>BERNARD KOIRE</w:t>
      </w:r>
      <w:r w:rsidR="004D5469">
        <w:rPr>
          <w:rFonts w:cstheme="minorHAnsi"/>
        </w:rPr>
        <w:t>,</w:t>
      </w:r>
    </w:p>
    <w:p w14:paraId="161F832E" w14:textId="2193E0AD" w:rsidR="00D87414" w:rsidRDefault="004D5469" w:rsidP="004D5469">
      <w:pPr>
        <w:spacing w:after="0"/>
        <w:jc w:val="center"/>
        <w:rPr>
          <w:rFonts w:cstheme="minorHAnsi"/>
        </w:rPr>
      </w:pPr>
      <w:r>
        <w:rPr>
          <w:rFonts w:cstheme="minorHAnsi"/>
        </w:rPr>
        <w:t>Defendant and Respondent</w:t>
      </w:r>
      <w:r w:rsidR="00D87414">
        <w:rPr>
          <w:rFonts w:cstheme="minorHAnsi"/>
        </w:rPr>
        <w:t>.</w:t>
      </w:r>
      <w:r w:rsidR="00D87414">
        <w:rPr>
          <w:rFonts w:cstheme="minorHAnsi"/>
        </w:rPr>
        <w:tab/>
      </w:r>
    </w:p>
    <w:p w14:paraId="51CF072A" w14:textId="0E52BFE9" w:rsidR="00D87414" w:rsidRDefault="00D87414" w:rsidP="00D87414">
      <w:pPr>
        <w:spacing w:after="0"/>
        <w:jc w:val="center"/>
        <w:rPr>
          <w:rFonts w:cstheme="minorHAnsi"/>
        </w:rPr>
      </w:pPr>
    </w:p>
    <w:p w14:paraId="17990578" w14:textId="3FDF4EDF" w:rsidR="00D87414" w:rsidRDefault="00D87414" w:rsidP="00D87414">
      <w:pPr>
        <w:spacing w:after="0"/>
        <w:jc w:val="center"/>
        <w:rPr>
          <w:rFonts w:cstheme="minorHAnsi"/>
        </w:rPr>
      </w:pPr>
      <w:r>
        <w:rPr>
          <w:rFonts w:cstheme="minorHAnsi"/>
        </w:rPr>
        <w:t>S262487</w:t>
      </w:r>
    </w:p>
    <w:p w14:paraId="74E1A4F7" w14:textId="0F827D69" w:rsidR="00D87414" w:rsidRDefault="00D87414" w:rsidP="00D87414">
      <w:pPr>
        <w:spacing w:after="0"/>
        <w:jc w:val="center"/>
        <w:rPr>
          <w:rFonts w:cstheme="minorHAnsi"/>
        </w:rPr>
      </w:pPr>
    </w:p>
    <w:p w14:paraId="1C11EB5B" w14:textId="77296D60" w:rsidR="00D87414" w:rsidRDefault="00D87414" w:rsidP="00D87414">
      <w:pPr>
        <w:spacing w:after="0"/>
        <w:jc w:val="center"/>
        <w:rPr>
          <w:rFonts w:cstheme="minorHAnsi"/>
        </w:rPr>
      </w:pPr>
      <w:r>
        <w:rPr>
          <w:rFonts w:cstheme="minorHAnsi"/>
        </w:rPr>
        <w:t>Second Appellate District, Division Two</w:t>
      </w:r>
    </w:p>
    <w:p w14:paraId="0B56017A" w14:textId="322EE494" w:rsidR="00D87414" w:rsidRDefault="00D87414" w:rsidP="00D87414">
      <w:pPr>
        <w:spacing w:after="0"/>
        <w:jc w:val="center"/>
        <w:rPr>
          <w:rFonts w:cstheme="minorHAnsi"/>
        </w:rPr>
      </w:pPr>
      <w:r>
        <w:rPr>
          <w:rFonts w:cstheme="minorHAnsi"/>
        </w:rPr>
        <w:t>B284452</w:t>
      </w:r>
    </w:p>
    <w:p w14:paraId="4C03C0A1" w14:textId="4701C98A" w:rsidR="00D87414" w:rsidRDefault="00D87414" w:rsidP="00D87414">
      <w:pPr>
        <w:spacing w:after="0"/>
        <w:jc w:val="center"/>
        <w:rPr>
          <w:rFonts w:cstheme="minorHAnsi"/>
        </w:rPr>
      </w:pPr>
    </w:p>
    <w:p w14:paraId="2A9D7FF0" w14:textId="01F20CC3" w:rsidR="00D87414" w:rsidRDefault="00D87414" w:rsidP="00D87414">
      <w:pPr>
        <w:spacing w:after="0"/>
        <w:jc w:val="center"/>
        <w:rPr>
          <w:rFonts w:cstheme="minorHAnsi"/>
        </w:rPr>
      </w:pPr>
      <w:r>
        <w:rPr>
          <w:rFonts w:cstheme="minorHAnsi"/>
        </w:rPr>
        <w:t>Los Angeles County</w:t>
      </w:r>
      <w:r w:rsidR="003A1965">
        <w:rPr>
          <w:rFonts w:cstheme="minorHAnsi"/>
        </w:rPr>
        <w:t xml:space="preserve"> Superior Court</w:t>
      </w:r>
    </w:p>
    <w:p w14:paraId="60C00141" w14:textId="47C143B2" w:rsidR="00D87414" w:rsidRDefault="00D87414" w:rsidP="00D87414">
      <w:pPr>
        <w:spacing w:after="0"/>
        <w:jc w:val="center"/>
        <w:rPr>
          <w:rFonts w:cstheme="minorHAnsi"/>
        </w:rPr>
      </w:pPr>
      <w:r>
        <w:rPr>
          <w:rFonts w:cstheme="minorHAnsi"/>
        </w:rPr>
        <w:t>BC519180</w:t>
      </w:r>
    </w:p>
    <w:p w14:paraId="5C4ED1E3" w14:textId="56D6E394" w:rsidR="00D87414" w:rsidRDefault="00D87414" w:rsidP="00D87414">
      <w:pPr>
        <w:pBdr>
          <w:bottom w:val="single" w:sz="4" w:space="1" w:color="auto"/>
        </w:pBdr>
        <w:spacing w:after="0"/>
        <w:jc w:val="center"/>
        <w:rPr>
          <w:rFonts w:cstheme="minorHAnsi"/>
        </w:rPr>
      </w:pPr>
    </w:p>
    <w:p w14:paraId="0CE5971C" w14:textId="5EE2C7B0" w:rsidR="00D87414" w:rsidRDefault="00D87414" w:rsidP="00D87414">
      <w:pPr>
        <w:spacing w:after="0"/>
        <w:jc w:val="center"/>
        <w:rPr>
          <w:rFonts w:cstheme="minorHAnsi"/>
        </w:rPr>
      </w:pPr>
    </w:p>
    <w:p w14:paraId="3D13A5D2" w14:textId="15EFF61D" w:rsidR="00D87414" w:rsidRDefault="00ED630B" w:rsidP="00D87414">
      <w:pPr>
        <w:spacing w:after="0"/>
        <w:jc w:val="center"/>
        <w:rPr>
          <w:rFonts w:cstheme="minorHAnsi"/>
        </w:rPr>
      </w:pPr>
      <w:r>
        <w:rPr>
          <w:rFonts w:cstheme="minorHAnsi"/>
        </w:rPr>
        <w:t>February 24</w:t>
      </w:r>
      <w:r w:rsidR="00D87414">
        <w:rPr>
          <w:rFonts w:cstheme="minorHAnsi"/>
        </w:rPr>
        <w:t>, 202</w:t>
      </w:r>
      <w:r w:rsidR="00C251B0">
        <w:rPr>
          <w:rFonts w:cstheme="minorHAnsi"/>
        </w:rPr>
        <w:t>2</w:t>
      </w:r>
      <w:r w:rsidR="00BC68F6">
        <w:rPr>
          <w:rFonts w:cstheme="minorHAnsi"/>
        </w:rPr>
        <w:t xml:space="preserve"> (reposting corrected version)</w:t>
      </w:r>
    </w:p>
    <w:p w14:paraId="39C574E8" w14:textId="6722C7E3" w:rsidR="00D87414" w:rsidRDefault="00D87414" w:rsidP="00D87414">
      <w:pPr>
        <w:spacing w:after="0"/>
        <w:jc w:val="center"/>
        <w:rPr>
          <w:rFonts w:cstheme="minorHAnsi"/>
        </w:rPr>
      </w:pPr>
    </w:p>
    <w:p w14:paraId="3C5B46FA" w14:textId="1CC133AE" w:rsidR="00D87414" w:rsidRDefault="0013246E" w:rsidP="00D87414">
      <w:pPr>
        <w:spacing w:after="0"/>
        <w:jc w:val="left"/>
        <w:rPr>
          <w:rFonts w:cstheme="minorHAnsi"/>
        </w:rPr>
      </w:pPr>
      <w:r>
        <w:rPr>
          <w:rFonts w:cstheme="minorHAnsi"/>
        </w:rPr>
        <w:t xml:space="preserve">Justice Liu authored the opinion of the </w:t>
      </w:r>
      <w:r w:rsidR="0055058D">
        <w:rPr>
          <w:rFonts w:cstheme="minorHAnsi"/>
        </w:rPr>
        <w:t>C</w:t>
      </w:r>
      <w:r>
        <w:rPr>
          <w:rFonts w:cstheme="minorHAnsi"/>
        </w:rPr>
        <w:t xml:space="preserve">ourt, in which </w:t>
      </w:r>
      <w:r w:rsidR="00ED630B" w:rsidRPr="00ED630B">
        <w:rPr>
          <w:rFonts w:cstheme="minorHAnsi"/>
        </w:rPr>
        <w:t xml:space="preserve">Chief Justice Cantil-Sakauye and Justices Corrigan, Kruger, Groban, </w:t>
      </w:r>
      <w:r w:rsidR="00ED630B">
        <w:rPr>
          <w:rFonts w:cstheme="minorHAnsi"/>
        </w:rPr>
        <w:t>Jenkins</w:t>
      </w:r>
      <w:r w:rsidR="00B74061">
        <w:rPr>
          <w:rFonts w:cstheme="minorHAnsi"/>
        </w:rPr>
        <w:t>,</w:t>
      </w:r>
      <w:r w:rsidR="00ED630B">
        <w:rPr>
          <w:rFonts w:cstheme="minorHAnsi"/>
        </w:rPr>
        <w:t xml:space="preserve"> </w:t>
      </w:r>
      <w:r w:rsidR="00ED630B" w:rsidRPr="00ED630B">
        <w:rPr>
          <w:rFonts w:cstheme="minorHAnsi"/>
        </w:rPr>
        <w:t xml:space="preserve">and </w:t>
      </w:r>
      <w:r w:rsidR="00ED630B">
        <w:rPr>
          <w:rFonts w:cstheme="minorHAnsi"/>
        </w:rPr>
        <w:t>Meehan</w:t>
      </w:r>
      <w:r w:rsidR="00ED630B" w:rsidRPr="00ED630B">
        <w:rPr>
          <w:rFonts w:cstheme="minorHAnsi"/>
          <w:b/>
          <w:vertAlign w:val="superscript"/>
        </w:rPr>
        <w:footnoteReference w:customMarkFollows="1" w:id="2"/>
        <w:t>*</w:t>
      </w:r>
      <w:r w:rsidR="00ED630B" w:rsidRPr="00ED630B">
        <w:rPr>
          <w:rFonts w:cstheme="minorHAnsi"/>
        </w:rPr>
        <w:t xml:space="preserve"> concurred</w:t>
      </w:r>
      <w:r>
        <w:rPr>
          <w:rFonts w:cstheme="minorHAnsi"/>
        </w:rPr>
        <w:t>.</w:t>
      </w:r>
    </w:p>
    <w:p w14:paraId="73045DD1" w14:textId="09900A6C" w:rsidR="00D87414" w:rsidRDefault="00D87414" w:rsidP="00D87414">
      <w:pPr>
        <w:pBdr>
          <w:bottom w:val="single" w:sz="4" w:space="1" w:color="auto"/>
        </w:pBdr>
        <w:spacing w:after="0"/>
        <w:jc w:val="left"/>
        <w:rPr>
          <w:rFonts w:cstheme="minorHAnsi"/>
        </w:rPr>
      </w:pPr>
    </w:p>
    <w:p w14:paraId="75EC8F7F" w14:textId="77777777" w:rsidR="00D87414" w:rsidRPr="00D87414" w:rsidRDefault="00D87414" w:rsidP="00D87414">
      <w:pPr>
        <w:pBdr>
          <w:bottom w:val="single" w:sz="4" w:space="1" w:color="auto"/>
        </w:pBdr>
        <w:spacing w:line="480" w:lineRule="atLeast"/>
        <w:jc w:val="left"/>
        <w:rPr>
          <w:rFonts w:cstheme="minorHAnsi"/>
        </w:rPr>
      </w:pPr>
      <w:bookmarkStart w:id="1" w:name="Return"/>
      <w:bookmarkEnd w:id="1"/>
    </w:p>
    <w:p w14:paraId="2F810F2C" w14:textId="77777777" w:rsidR="00D87414" w:rsidRDefault="00D87414" w:rsidP="003B49A5">
      <w:pPr>
        <w:spacing w:line="480" w:lineRule="atLeast"/>
        <w:ind w:firstLine="720"/>
        <w:rPr>
          <w:rFonts w:cstheme="minorHAnsi"/>
        </w:rPr>
        <w:sectPr w:rsidR="00D87414" w:rsidSect="00D87414">
          <w:headerReference w:type="default" r:id="rId8"/>
          <w:footerReference w:type="default" r:id="rId9"/>
          <w:pgSz w:w="12240" w:h="15840"/>
          <w:pgMar w:top="1800" w:right="2160" w:bottom="1440" w:left="2160" w:header="720" w:footer="720" w:gutter="0"/>
          <w:cols w:space="720"/>
          <w:titlePg/>
          <w:docGrid w:linePitch="367"/>
        </w:sectPr>
      </w:pPr>
    </w:p>
    <w:p w14:paraId="649ABC6E" w14:textId="6DC7098A" w:rsidR="00D87414" w:rsidRDefault="003A1965" w:rsidP="00D87414">
      <w:pPr>
        <w:jc w:val="center"/>
        <w:rPr>
          <w:rFonts w:cstheme="minorHAnsi"/>
        </w:rPr>
      </w:pPr>
      <w:r>
        <w:rPr>
          <w:rFonts w:cstheme="minorHAnsi"/>
        </w:rPr>
        <w:lastRenderedPageBreak/>
        <w:t xml:space="preserve">LOPEZ </w:t>
      </w:r>
      <w:r w:rsidR="00D87414">
        <w:rPr>
          <w:rFonts w:cstheme="minorHAnsi"/>
        </w:rPr>
        <w:t xml:space="preserve">v. </w:t>
      </w:r>
      <w:r>
        <w:rPr>
          <w:rFonts w:cstheme="minorHAnsi"/>
        </w:rPr>
        <w:t>LEDESMA</w:t>
      </w:r>
    </w:p>
    <w:p w14:paraId="7F748E14" w14:textId="77777777" w:rsidR="00D87414" w:rsidRDefault="00D87414" w:rsidP="00D87414">
      <w:pPr>
        <w:jc w:val="center"/>
        <w:rPr>
          <w:rFonts w:cstheme="minorHAnsi"/>
        </w:rPr>
      </w:pPr>
      <w:r>
        <w:rPr>
          <w:rFonts w:cstheme="minorHAnsi"/>
        </w:rPr>
        <w:t>S262487</w:t>
      </w:r>
    </w:p>
    <w:p w14:paraId="604A57F7" w14:textId="77777777" w:rsidR="00D87414" w:rsidRDefault="00D87414" w:rsidP="00D87414">
      <w:pPr>
        <w:jc w:val="center"/>
        <w:rPr>
          <w:rFonts w:cstheme="minorHAnsi"/>
        </w:rPr>
      </w:pPr>
    </w:p>
    <w:p w14:paraId="3D3D84FE" w14:textId="3CEADA9D" w:rsidR="00D87414" w:rsidRDefault="00D87414" w:rsidP="00D87414">
      <w:pPr>
        <w:jc w:val="center"/>
        <w:rPr>
          <w:rFonts w:cstheme="minorHAnsi"/>
        </w:rPr>
      </w:pPr>
      <w:r>
        <w:rPr>
          <w:rFonts w:cstheme="minorHAnsi"/>
        </w:rPr>
        <w:t>Opinion of the Court by Liu, J.</w:t>
      </w:r>
    </w:p>
    <w:p w14:paraId="18D18265" w14:textId="77777777" w:rsidR="00D87414" w:rsidRDefault="00D87414" w:rsidP="00D87414">
      <w:pPr>
        <w:ind w:firstLine="720"/>
        <w:jc w:val="center"/>
        <w:rPr>
          <w:rFonts w:cstheme="minorHAnsi"/>
        </w:rPr>
      </w:pPr>
    </w:p>
    <w:p w14:paraId="45F50BD4" w14:textId="66673886" w:rsidR="003B49A5" w:rsidRPr="00D87414" w:rsidRDefault="003B49A5" w:rsidP="00D87414">
      <w:pPr>
        <w:ind w:firstLine="720"/>
        <w:rPr>
          <w:rFonts w:cstheme="minorHAnsi"/>
        </w:rPr>
      </w:pPr>
      <w:r w:rsidRPr="00D87414">
        <w:rPr>
          <w:rFonts w:cstheme="minorHAnsi"/>
        </w:rPr>
        <w:t xml:space="preserve">Under </w:t>
      </w:r>
      <w:r w:rsidR="00880B42">
        <w:rPr>
          <w:rFonts w:cstheme="minorHAnsi"/>
        </w:rPr>
        <w:t xml:space="preserve">a provision of </w:t>
      </w:r>
      <w:r w:rsidRPr="00D87414">
        <w:rPr>
          <w:rFonts w:cstheme="minorHAnsi"/>
        </w:rPr>
        <w:t xml:space="preserve">the </w:t>
      </w:r>
      <w:bookmarkStart w:id="2" w:name="_Hlk91063032"/>
      <w:r w:rsidRPr="00D87414">
        <w:rPr>
          <w:rFonts w:cstheme="minorHAnsi"/>
        </w:rPr>
        <w:t xml:space="preserve">Medical Injury Compensation Reform Act </w:t>
      </w:r>
      <w:bookmarkEnd w:id="2"/>
      <w:r w:rsidRPr="00D87414">
        <w:rPr>
          <w:rFonts w:cstheme="minorHAnsi"/>
        </w:rPr>
        <w:t xml:space="preserve">(MICRA), damages for noneconomic losses shall not exceed $250,000 in “any action for injury against a health care provider based on professional negligence.”  (Civ. Code, </w:t>
      </w:r>
      <w:r w:rsidRPr="00D87414">
        <w:t>§</w:t>
      </w:r>
      <w:r w:rsidRPr="00D87414">
        <w:rPr>
          <w:rFonts w:cstheme="minorHAnsi"/>
        </w:rPr>
        <w:t> 3333.2, subds. (a)</w:t>
      </w:r>
      <w:r w:rsidR="00982179" w:rsidRPr="00D87414">
        <w:rPr>
          <w:rFonts w:cstheme="minorHAnsi"/>
        </w:rPr>
        <w:t>, </w:t>
      </w:r>
      <w:r w:rsidRPr="00D87414">
        <w:rPr>
          <w:rFonts w:cstheme="minorHAnsi"/>
        </w:rPr>
        <w:t>(b); all undesignated statutory references are to the Civil Code.)  An action is based on “professional negligence” and thereby subject to section 3333.2’s cap on noneconomic damages only if a health care provider’s services are “</w:t>
      </w:r>
      <w:r w:rsidRPr="00D87414">
        <w:rPr>
          <w:szCs w:val="26"/>
          <w:shd w:val="clear" w:color="auto" w:fill="FFFFFF"/>
        </w:rPr>
        <w:t>within the scope of services for which the provider is licensed” and “are not within any restriction imposed by the licensing agency or licensed hospital.”  (§ 3333.2, subd. (c)(2).)</w:t>
      </w:r>
    </w:p>
    <w:p w14:paraId="64D3959C" w14:textId="7F7DC359" w:rsidR="003B49A5" w:rsidRPr="00D87414" w:rsidRDefault="003B49A5" w:rsidP="00D87414">
      <w:pPr>
        <w:ind w:firstLine="720"/>
        <w:rPr>
          <w:szCs w:val="26"/>
          <w:shd w:val="clear" w:color="auto" w:fill="FFFFFF"/>
        </w:rPr>
      </w:pPr>
      <w:r w:rsidRPr="00D87414">
        <w:rPr>
          <w:szCs w:val="26"/>
          <w:shd w:val="clear" w:color="auto" w:fill="FFFFFF"/>
        </w:rPr>
        <w:t xml:space="preserve">We granted review to determine whether section 3333.2 applies to actions against physician assistants who are nominally supervised by a doctor but receive minimal or no actual supervision when performing medical services.  Construing the statute in light of its purposes and our precedent, we hold that section 3333.2 applies to a physician assistant who has a legally enforceable agency relationship with a supervising physician and provides services </w:t>
      </w:r>
      <w:r w:rsidR="00AC184E" w:rsidRPr="00D87414">
        <w:rPr>
          <w:szCs w:val="26"/>
          <w:shd w:val="clear" w:color="auto" w:fill="FFFFFF"/>
        </w:rPr>
        <w:t>within the scope of that agency relationship</w:t>
      </w:r>
      <w:r w:rsidRPr="00D87414">
        <w:rPr>
          <w:szCs w:val="26"/>
          <w:shd w:val="clear" w:color="auto" w:fill="FFFFFF"/>
        </w:rPr>
        <w:t>, even if the physician violates his or her obligation to provide adequate supervision.</w:t>
      </w:r>
    </w:p>
    <w:p w14:paraId="241F7A75" w14:textId="4D2C1E01" w:rsidR="003B49A5" w:rsidRPr="00D87414" w:rsidRDefault="003B49A5" w:rsidP="00D87414">
      <w:pPr>
        <w:ind w:firstLine="720"/>
        <w:rPr>
          <w:szCs w:val="26"/>
          <w:shd w:val="clear" w:color="auto" w:fill="FFFFFF"/>
        </w:rPr>
      </w:pPr>
      <w:r w:rsidRPr="00D87414">
        <w:rPr>
          <w:szCs w:val="26"/>
          <w:shd w:val="clear" w:color="auto" w:fill="FFFFFF"/>
        </w:rPr>
        <w:t xml:space="preserve">We also granted review on a second issue:  whether a </w:t>
      </w:r>
      <w:bookmarkStart w:id="3" w:name="_Hlk91063049"/>
      <w:r w:rsidRPr="00D87414">
        <w:rPr>
          <w:szCs w:val="26"/>
          <w:shd w:val="clear" w:color="auto" w:fill="FFFFFF"/>
        </w:rPr>
        <w:t xml:space="preserve">delegation of services agreement (DSA) </w:t>
      </w:r>
      <w:bookmarkEnd w:id="3"/>
      <w:r w:rsidRPr="00D87414">
        <w:rPr>
          <w:szCs w:val="26"/>
          <w:shd w:val="clear" w:color="auto" w:fill="FFFFFF"/>
        </w:rPr>
        <w:t xml:space="preserve">between a supervising physician and a physician assistant is legally effective where the </w:t>
      </w:r>
      <w:r w:rsidRPr="00D87414">
        <w:rPr>
          <w:szCs w:val="26"/>
          <w:shd w:val="clear" w:color="auto" w:fill="FFFFFF"/>
        </w:rPr>
        <w:lastRenderedPageBreak/>
        <w:t xml:space="preserve">physician is disabled </w:t>
      </w:r>
      <w:r w:rsidR="00081447">
        <w:rPr>
          <w:szCs w:val="26"/>
          <w:shd w:val="clear" w:color="auto" w:fill="FFFFFF"/>
        </w:rPr>
        <w:t>and unable to</w:t>
      </w:r>
      <w:r w:rsidRPr="00D87414">
        <w:rPr>
          <w:szCs w:val="26"/>
          <w:shd w:val="clear" w:color="auto" w:fill="FFFFFF"/>
        </w:rPr>
        <w:t xml:space="preserve"> practice medicine.  On closer examination, we decline to decide this issue, which was not considered by the trial court or by the Court of Appeal.</w:t>
      </w:r>
    </w:p>
    <w:p w14:paraId="66A9ACD9" w14:textId="77777777" w:rsidR="003B49A5" w:rsidRPr="00D87414" w:rsidRDefault="003B49A5" w:rsidP="00D87414">
      <w:pPr>
        <w:pStyle w:val="Heading1"/>
      </w:pPr>
      <w:r w:rsidRPr="00D87414">
        <w:t>I.</w:t>
      </w:r>
    </w:p>
    <w:p w14:paraId="1658F293" w14:textId="3CCFC3F2" w:rsidR="003B49A5" w:rsidRPr="00D87414" w:rsidRDefault="003B49A5" w:rsidP="00D87414">
      <w:pPr>
        <w:ind w:firstLine="720"/>
      </w:pPr>
      <w:r w:rsidRPr="00D87414">
        <w:t xml:space="preserve">Because no party disputes the trial court’s factual findings, we rely on the trial court’s statement of decision to summarize the pertinent facts in this case.  (See </w:t>
      </w:r>
      <w:r w:rsidRPr="00D87414">
        <w:rPr>
          <w:i/>
          <w:iCs/>
        </w:rPr>
        <w:t>In re Marriage of Fink</w:t>
      </w:r>
      <w:r w:rsidRPr="00D87414">
        <w:t xml:space="preserve"> (1979) 25 Cal.3d 877, 887.)</w:t>
      </w:r>
    </w:p>
    <w:p w14:paraId="6D5EC0E6" w14:textId="3087F736" w:rsidR="003B49A5" w:rsidRPr="00D87414" w:rsidRDefault="003B49A5" w:rsidP="00D87414">
      <w:pPr>
        <w:ind w:firstLine="720"/>
      </w:pPr>
      <w:r w:rsidRPr="00D87414">
        <w:t xml:space="preserve">Dr. Glenn Ledesma, a dermatologist, owned and operated a dermatology clinic in </w:t>
      </w:r>
      <w:r w:rsidR="009E39A1">
        <w:t>S</w:t>
      </w:r>
      <w:r w:rsidRPr="00D87414">
        <w:t>outhern California.</w:t>
      </w:r>
      <w:r w:rsidR="00AC184E" w:rsidRPr="00D87414">
        <w:t xml:space="preserve">  </w:t>
      </w:r>
      <w:r w:rsidRPr="00D87414">
        <w:t>Dr. Bernard Koire, a plastic surgeon, contracted with the clinic to provide physician services, physician assistant supervisor services, and consulting services.</w:t>
      </w:r>
      <w:r w:rsidR="00AC184E" w:rsidRPr="00D87414">
        <w:t xml:space="preserve">  </w:t>
      </w:r>
      <w:r w:rsidRPr="00D87414">
        <w:t>Suzanne Freesemann and Brian Hughes worked as physician assistants at the clinic.</w:t>
      </w:r>
      <w:r w:rsidR="00AC184E" w:rsidRPr="00D87414">
        <w:t xml:space="preserve">  </w:t>
      </w:r>
      <w:r w:rsidRPr="00D87414">
        <w:t>In 2009, Freesemann and Dr. Ledesma signed a DSA designating Dr. Ledesma as Freesemann’s supervising physician.</w:t>
      </w:r>
      <w:r w:rsidR="00AC184E" w:rsidRPr="00D87414">
        <w:t xml:space="preserve">  </w:t>
      </w:r>
      <w:r w:rsidR="009E39A1">
        <w:t xml:space="preserve">According to the trial court, </w:t>
      </w:r>
      <w:r w:rsidRPr="00D87414">
        <w:t>“Neither party formally revoked the DSA and it was thus nominally . . . in effect” at the time of the events giving rise to this case.  Hughes and Dr. Koire signed a DSA designating Dr. Koire as Hughes’s supervising physician.</w:t>
      </w:r>
      <w:r w:rsidR="00AC184E" w:rsidRPr="00D87414">
        <w:t xml:space="preserve">  </w:t>
      </w:r>
      <w:r w:rsidRPr="00D87414">
        <w:t xml:space="preserve">Although the DSA </w:t>
      </w:r>
      <w:r w:rsidR="004437BA" w:rsidRPr="00D87414">
        <w:t xml:space="preserve">between Hughes and Dr. Koire </w:t>
      </w:r>
      <w:r w:rsidRPr="00D87414">
        <w:t>was undated, the trial court found that it established a supervising physician</w:t>
      </w:r>
      <w:r w:rsidRPr="00D87414">
        <w:noBreakHyphen/>
        <w:t>physician assistant relationship.</w:t>
      </w:r>
    </w:p>
    <w:p w14:paraId="671B2D0A" w14:textId="5582DE94" w:rsidR="003B49A5" w:rsidRPr="00D87414" w:rsidRDefault="00AC184E" w:rsidP="00D87414">
      <w:pPr>
        <w:ind w:firstLine="720"/>
      </w:pPr>
      <w:r w:rsidRPr="00D87414">
        <w:t>O.S.</w:t>
      </w:r>
      <w:r w:rsidR="003B49A5" w:rsidRPr="00D87414">
        <w:t xml:space="preserve"> was a patient at Dr. Ledesma’s dermatology clinic who received treatment from Freesemann and Hughes on several occasions </w:t>
      </w:r>
      <w:r w:rsidR="00A0019A">
        <w:t>in</w:t>
      </w:r>
      <w:r w:rsidR="00A0019A" w:rsidRPr="00D87414">
        <w:t xml:space="preserve"> </w:t>
      </w:r>
      <w:r w:rsidR="003B49A5" w:rsidRPr="00D87414">
        <w:t xml:space="preserve">2010 and 2011.  </w:t>
      </w:r>
      <w:r w:rsidRPr="00D87414">
        <w:t>O.S.</w:t>
      </w:r>
      <w:r w:rsidR="003B49A5" w:rsidRPr="00D87414">
        <w:t xml:space="preserve"> first visited the clinic on December 8, 2010</w:t>
      </w:r>
      <w:r w:rsidR="001F76AF">
        <w:t>,</w:t>
      </w:r>
      <w:r w:rsidR="003B49A5" w:rsidRPr="00D87414">
        <w:t xml:space="preserve"> after her mother, Marisol Lopez, noticed a dark spot on </w:t>
      </w:r>
      <w:r w:rsidRPr="00D87414">
        <w:t>O.S.</w:t>
      </w:r>
      <w:r w:rsidR="003B49A5" w:rsidRPr="00D87414">
        <w:t xml:space="preserve">’s scalp when she was seven or eight months of age.  During this appointment, Freesemann obtained a medical history, examined </w:t>
      </w:r>
      <w:r w:rsidRPr="00D87414">
        <w:t>O.S.</w:t>
      </w:r>
      <w:r w:rsidR="003B49A5" w:rsidRPr="00D87414">
        <w:t xml:space="preserve">’s scalp, and recommended an </w:t>
      </w:r>
      <w:r w:rsidR="003B49A5" w:rsidRPr="00D87414">
        <w:lastRenderedPageBreak/>
        <w:t xml:space="preserve">“excision and biopsy” treatment plan.  On January 3, 2011, Hughes performed a “shave biopsy” of </w:t>
      </w:r>
      <w:r w:rsidRPr="00D87414">
        <w:t>O.S.</w:t>
      </w:r>
      <w:r w:rsidR="003B49A5" w:rsidRPr="00D87414">
        <w:t xml:space="preserve">’s lesion and sent the biopsied tissue to be reviewed by a physician.  </w:t>
      </w:r>
      <w:r w:rsidRPr="00D87414">
        <w:t>O.S.</w:t>
      </w:r>
      <w:r w:rsidR="003B49A5" w:rsidRPr="00D87414">
        <w:t xml:space="preserve"> attended a followup appointment with Hughes on January 17, 2011, during which Hughes reviewed the biopsy report and found that the biopsied lesion was “benign” and that “everything [was] normal.”</w:t>
      </w:r>
    </w:p>
    <w:p w14:paraId="189BD1A5" w14:textId="4F208F25" w:rsidR="003B49A5" w:rsidRPr="00D87414" w:rsidRDefault="003B49A5" w:rsidP="00D87414">
      <w:pPr>
        <w:ind w:firstLine="720"/>
      </w:pPr>
      <w:r w:rsidRPr="00D87414">
        <w:t xml:space="preserve">Lopez returned to Ledesma’s clinic on June 11, 2011, after noticing that </w:t>
      </w:r>
      <w:r w:rsidR="00AC184E" w:rsidRPr="00D87414">
        <w:t>O.S.</w:t>
      </w:r>
      <w:r w:rsidRPr="00D87414">
        <w:t xml:space="preserve">’s lesion was growing back.  Freesemann assessed the lesion as “wart(s)” and recommended that it be burned off with liquid nitrogen.  </w:t>
      </w:r>
      <w:r w:rsidR="00AC184E" w:rsidRPr="00D87414">
        <w:t>O.S.</w:t>
      </w:r>
      <w:r w:rsidRPr="00D87414">
        <w:t xml:space="preserve"> received the liquid nitrogen treatment at the clinic on July 27, 2011.  She returned to the clinic on September 9, 2011, after the lesion grew back yet again.  During this visit, Hughes assessed the lesion as “warts” and prepared a treatment plan referring </w:t>
      </w:r>
      <w:r w:rsidR="00AC184E" w:rsidRPr="00D87414">
        <w:t>O.S.</w:t>
      </w:r>
      <w:r w:rsidRPr="00D87414">
        <w:t xml:space="preserve"> to a general surgeon to remove the “large growth.”  Dr. Koire reviewed and countersigned the treatment plan 88 days later.  In December 2011, a general surgeon removed the lesion and diagnosed it as “benign pigmented intradermal intermediate congenital nevus.”</w:t>
      </w:r>
    </w:p>
    <w:p w14:paraId="2CC667D5" w14:textId="6DE51DC5" w:rsidR="003B49A5" w:rsidRPr="00D87414" w:rsidRDefault="003B49A5" w:rsidP="00D87414">
      <w:pPr>
        <w:ind w:firstLine="720"/>
      </w:pPr>
      <w:r w:rsidRPr="00D87414">
        <w:t xml:space="preserve">In early 2013, Lopez noticed a bump on </w:t>
      </w:r>
      <w:r w:rsidR="00AC184E" w:rsidRPr="00D87414">
        <w:t>O.S.</w:t>
      </w:r>
      <w:r w:rsidRPr="00D87414">
        <w:t xml:space="preserve">’s neck.  A doctor excised the neck mass and referred </w:t>
      </w:r>
      <w:r w:rsidR="00AC184E" w:rsidRPr="00D87414">
        <w:t>O.S.</w:t>
      </w:r>
      <w:r w:rsidRPr="00D87414">
        <w:t xml:space="preserve"> to an oncologist, who diagnosed </w:t>
      </w:r>
      <w:r w:rsidR="00AC184E" w:rsidRPr="00D87414">
        <w:t>O.S.</w:t>
      </w:r>
      <w:r w:rsidRPr="00D87414">
        <w:t xml:space="preserve"> with “metastatic malignant melanoma.”  </w:t>
      </w:r>
      <w:r w:rsidR="00AC184E" w:rsidRPr="00D87414">
        <w:t>O.S.</w:t>
      </w:r>
      <w:r w:rsidRPr="00D87414">
        <w:t xml:space="preserve"> died on February 27, 2014.</w:t>
      </w:r>
    </w:p>
    <w:p w14:paraId="528A1565" w14:textId="326DE7EF" w:rsidR="003B49A5" w:rsidRPr="00D87414" w:rsidRDefault="003B49A5" w:rsidP="00D87414">
      <w:pPr>
        <w:ind w:firstLine="720"/>
      </w:pPr>
      <w:r w:rsidRPr="00D87414">
        <w:t xml:space="preserve">At the time of Freesemann’s clinical encounters with </w:t>
      </w:r>
      <w:r w:rsidR="00AC184E" w:rsidRPr="00D87414">
        <w:t>O.S.</w:t>
      </w:r>
      <w:r w:rsidRPr="00D87414">
        <w:t xml:space="preserve">, Dr. Ledesma was no longer fulfilling any </w:t>
      </w:r>
      <w:r w:rsidR="00BB6F0A">
        <w:t>of his</w:t>
      </w:r>
      <w:r w:rsidRPr="00D87414">
        <w:t xml:space="preserve"> supervisory obligations under the 2009 DSA.</w:t>
      </w:r>
      <w:r w:rsidR="00F919E7" w:rsidRPr="00D87414">
        <w:t xml:space="preserve">  </w:t>
      </w:r>
      <w:r w:rsidR="00BB6F0A">
        <w:t xml:space="preserve">According to the trial court, </w:t>
      </w:r>
      <w:r w:rsidRPr="00D87414">
        <w:t>Dr. Ledesma was “involved in operating the clinic facilities in a business sense,” but “he was no longer in active practice as a physician.”</w:t>
      </w:r>
      <w:r w:rsidR="00F919E7" w:rsidRPr="00D87414">
        <w:t xml:space="preserve">  </w:t>
      </w:r>
      <w:r w:rsidRPr="00D87414">
        <w:t xml:space="preserve">During Hughes’s clinical encounters with </w:t>
      </w:r>
      <w:r w:rsidR="00AC184E" w:rsidRPr="00D87414">
        <w:t>O.S.</w:t>
      </w:r>
      <w:r w:rsidRPr="00D87414">
        <w:t xml:space="preserve">, “Dr. Koire was not available in person or by electronic </w:t>
      </w:r>
      <w:r w:rsidRPr="00D87414">
        <w:lastRenderedPageBreak/>
        <w:t>communications at all times.”  Dr. Koire also “was no longer engaged in active practice.”</w:t>
      </w:r>
      <w:r w:rsidR="00880B42">
        <w:t xml:space="preserve">  </w:t>
      </w:r>
    </w:p>
    <w:p w14:paraId="16639451" w14:textId="18A1B22E" w:rsidR="003B49A5" w:rsidRPr="00D87414" w:rsidRDefault="003B49A5" w:rsidP="00D87414">
      <w:pPr>
        <w:ind w:firstLine="720"/>
      </w:pPr>
      <w:r w:rsidRPr="00D87414">
        <w:t xml:space="preserve">In 2013, Lopez filed a medical malpractice action </w:t>
      </w:r>
      <w:r w:rsidR="00A0019A">
        <w:t>asserting</w:t>
      </w:r>
      <w:r w:rsidR="00A0019A" w:rsidRPr="00D87414">
        <w:t xml:space="preserve"> </w:t>
      </w:r>
      <w:r w:rsidRPr="00D87414">
        <w:t xml:space="preserve">negligence claims against Hughes, Freesemann, Dr. Ledesma, Dr. Koire, and others.  </w:t>
      </w:r>
      <w:r w:rsidR="009E39A1">
        <w:t>After O.S. d</w:t>
      </w:r>
      <w:r w:rsidR="00C77273">
        <w:t>ied</w:t>
      </w:r>
      <w:r w:rsidR="009E39A1">
        <w:t xml:space="preserve">, </w:t>
      </w:r>
      <w:r w:rsidR="00C77273">
        <w:t>Lopez</w:t>
      </w:r>
      <w:r w:rsidR="009E39A1">
        <w:t xml:space="preserve"> amended the complaint to assert a wrongful death claim.  </w:t>
      </w:r>
      <w:r w:rsidRPr="00D87414">
        <w:t xml:space="preserve">The trial court found in favor of Lopez on her negligence claims against Freesemann and Hughes, holding that they did not take adequate steps to diagnose </w:t>
      </w:r>
      <w:r w:rsidR="00AC184E" w:rsidRPr="00D87414">
        <w:t>O.S.</w:t>
      </w:r>
      <w:r w:rsidRPr="00D87414">
        <w:t>’s condition and did not seek guidance from a physician.  The court held that Dr. Ledesma was vicariously liable for the negligent actions of Freesemann and that Dr. Koire was vicariously liable for the negligent actions of Hughes.  The court awarded Lopez $11,200 in economic damages.</w:t>
      </w:r>
      <w:r w:rsidR="00F919E7" w:rsidRPr="00D87414">
        <w:t xml:space="preserve">  </w:t>
      </w:r>
      <w:r w:rsidRPr="00D87414">
        <w:t xml:space="preserve">It also awarded Lopez $4.25 million in noneconomic damages but reduced this amount to $250,000 pursuant to MICRA’s cap on noneconomic damages.  (§ 3333.2, subd. (b).) </w:t>
      </w:r>
    </w:p>
    <w:p w14:paraId="053DABFD" w14:textId="34046782" w:rsidR="003B49A5" w:rsidRPr="00D87414" w:rsidRDefault="003B49A5" w:rsidP="00D87414">
      <w:pPr>
        <w:ind w:firstLine="720"/>
        <w:rPr>
          <w:szCs w:val="26"/>
          <w:shd w:val="clear" w:color="auto" w:fill="FFFFFF"/>
        </w:rPr>
      </w:pPr>
      <w:r w:rsidRPr="00D87414">
        <w:t>On appeal, Lopez argued that the trial court’s reduction in damages was improper because Freesemann’s and Hughes’s conduct fell within the proviso that excludes from section 3333.2’s coverage conduct that is outside “</w:t>
      </w:r>
      <w:r w:rsidRPr="00D87414">
        <w:rPr>
          <w:szCs w:val="26"/>
          <w:shd w:val="clear" w:color="auto" w:fill="FFFFFF"/>
        </w:rPr>
        <w:t xml:space="preserve">the scope of services for which the provider is licensed” </w:t>
      </w:r>
      <w:r w:rsidRPr="00307544">
        <w:rPr>
          <w:szCs w:val="26"/>
          <w:shd w:val="clear" w:color="auto" w:fill="FFFFFF"/>
        </w:rPr>
        <w:t>or</w:t>
      </w:r>
      <w:r w:rsidRPr="00D87414">
        <w:rPr>
          <w:szCs w:val="26"/>
          <w:shd w:val="clear" w:color="auto" w:fill="FFFFFF"/>
        </w:rPr>
        <w:t xml:space="preserve"> “within any restriction imposed by the licensing agency or licensed hospital.”  (§ 3333.2, subd. (c)(2); </w:t>
      </w:r>
      <w:bookmarkStart w:id="4" w:name="_Hlk91071688"/>
      <w:r w:rsidR="00A0019A">
        <w:rPr>
          <w:szCs w:val="26"/>
          <w:shd w:val="clear" w:color="auto" w:fill="FFFFFF"/>
        </w:rPr>
        <w:t xml:space="preserve">see </w:t>
      </w:r>
      <w:r w:rsidRPr="00D87414">
        <w:rPr>
          <w:i/>
          <w:iCs/>
          <w:szCs w:val="26"/>
          <w:shd w:val="clear" w:color="auto" w:fill="FFFFFF"/>
        </w:rPr>
        <w:t>Lopez v. Ledesma</w:t>
      </w:r>
      <w:r w:rsidRPr="00D87414">
        <w:rPr>
          <w:szCs w:val="26"/>
          <w:shd w:val="clear" w:color="auto" w:fill="FFFFFF"/>
        </w:rPr>
        <w:t xml:space="preserve"> (2020) 46 Cal.App.5th 980, 985 (</w:t>
      </w:r>
      <w:r w:rsidRPr="00D87414">
        <w:rPr>
          <w:i/>
          <w:iCs/>
          <w:szCs w:val="26"/>
          <w:shd w:val="clear" w:color="auto" w:fill="FFFFFF"/>
        </w:rPr>
        <w:t>Lopez</w:t>
      </w:r>
      <w:r w:rsidRPr="00D87414">
        <w:rPr>
          <w:szCs w:val="26"/>
          <w:shd w:val="clear" w:color="auto" w:fill="FFFFFF"/>
        </w:rPr>
        <w:t>)</w:t>
      </w:r>
      <w:bookmarkEnd w:id="4"/>
      <w:r w:rsidRPr="00D87414">
        <w:rPr>
          <w:szCs w:val="26"/>
          <w:shd w:val="clear" w:color="auto" w:fill="FFFFFF"/>
        </w:rPr>
        <w:t>.)  The Court of Appeal rejected this argument and affirmed the trial court’s reduction in damages.  (</w:t>
      </w:r>
      <w:r w:rsidRPr="00D87414">
        <w:rPr>
          <w:i/>
          <w:iCs/>
          <w:szCs w:val="26"/>
          <w:shd w:val="clear" w:color="auto" w:fill="FFFFFF"/>
        </w:rPr>
        <w:t>Lopez</w:t>
      </w:r>
      <w:r w:rsidRPr="00D87414">
        <w:rPr>
          <w:szCs w:val="26"/>
          <w:shd w:val="clear" w:color="auto" w:fill="FFFFFF"/>
        </w:rPr>
        <w:t>, at pp. 985, 999.)  It held that “a physician assistant acts within the scope of his or her license for purposes of </w:t>
      </w:r>
      <w:r w:rsidRPr="00D87414">
        <w:rPr>
          <w:szCs w:val="26"/>
          <w:bdr w:val="none" w:sz="0" w:space="0" w:color="auto" w:frame="1"/>
          <w:shd w:val="clear" w:color="auto" w:fill="FFFFFF"/>
        </w:rPr>
        <w:t>section 3333.2, subdivision (c)(2)</w:t>
      </w:r>
      <w:r w:rsidRPr="00D87414">
        <w:rPr>
          <w:szCs w:val="26"/>
          <w:shd w:val="clear" w:color="auto" w:fill="FFFFFF"/>
        </w:rPr>
        <w:t> if he or she has a legally enforceable agency agreement with a supervising physician, regardless of the quality of actual supervision.”  (</w:t>
      </w:r>
      <w:r w:rsidRPr="00D87414">
        <w:rPr>
          <w:i/>
          <w:iCs/>
          <w:szCs w:val="26"/>
          <w:shd w:val="clear" w:color="auto" w:fill="FFFFFF"/>
        </w:rPr>
        <w:t>Id.</w:t>
      </w:r>
      <w:r w:rsidRPr="00D87414">
        <w:rPr>
          <w:szCs w:val="26"/>
          <w:shd w:val="clear" w:color="auto" w:fill="FFFFFF"/>
        </w:rPr>
        <w:t xml:space="preserve"> at p. 985.)  Justice </w:t>
      </w:r>
      <w:r w:rsidRPr="00D87414">
        <w:rPr>
          <w:szCs w:val="26"/>
          <w:shd w:val="clear" w:color="auto" w:fill="FFFFFF"/>
        </w:rPr>
        <w:lastRenderedPageBreak/>
        <w:t>Ashmann</w:t>
      </w:r>
      <w:r w:rsidRPr="00D87414">
        <w:rPr>
          <w:szCs w:val="26"/>
          <w:shd w:val="clear" w:color="auto" w:fill="FFFFFF"/>
        </w:rPr>
        <w:noBreakHyphen/>
        <w:t>Gerst dissented on the ground that Freesemann and Hughes were not permitted to provide care to patients without receiving actual supervision and thus acted outside the scope of services for which they were licensed.  (</w:t>
      </w:r>
      <w:r w:rsidRPr="00D87414">
        <w:rPr>
          <w:i/>
          <w:iCs/>
          <w:szCs w:val="26"/>
          <w:shd w:val="clear" w:color="auto" w:fill="FFFFFF"/>
        </w:rPr>
        <w:t xml:space="preserve">Id. </w:t>
      </w:r>
      <w:r w:rsidRPr="00D87414">
        <w:rPr>
          <w:szCs w:val="26"/>
          <w:shd w:val="clear" w:color="auto" w:fill="FFFFFF"/>
        </w:rPr>
        <w:t>at pp. 1005–1006 (dis. opn. of Ashmann</w:t>
      </w:r>
      <w:r w:rsidRPr="00D87414">
        <w:rPr>
          <w:szCs w:val="26"/>
          <w:shd w:val="clear" w:color="auto" w:fill="FFFFFF"/>
        </w:rPr>
        <w:noBreakHyphen/>
        <w:t>Gerst, J.).)  We granted review.</w:t>
      </w:r>
    </w:p>
    <w:p w14:paraId="29FBC41B" w14:textId="77777777" w:rsidR="003B49A5" w:rsidRPr="00D87414" w:rsidRDefault="003B49A5" w:rsidP="00D87414">
      <w:pPr>
        <w:pStyle w:val="Heading1"/>
        <w:rPr>
          <w:shd w:val="clear" w:color="auto" w:fill="FFFFFF"/>
        </w:rPr>
      </w:pPr>
      <w:r w:rsidRPr="00D87414">
        <w:rPr>
          <w:shd w:val="clear" w:color="auto" w:fill="FFFFFF"/>
        </w:rPr>
        <w:t>II.</w:t>
      </w:r>
    </w:p>
    <w:p w14:paraId="3A9F0651" w14:textId="76BC023C" w:rsidR="003B49A5" w:rsidRPr="00D87414" w:rsidRDefault="003B49A5" w:rsidP="00D87414">
      <w:pPr>
        <w:rPr>
          <w:szCs w:val="26"/>
          <w:bdr w:val="none" w:sz="0" w:space="0" w:color="auto" w:frame="1"/>
          <w:shd w:val="clear" w:color="auto" w:fill="FFFFFF"/>
        </w:rPr>
      </w:pPr>
      <w:r w:rsidRPr="00D87414">
        <w:tab/>
        <w:t xml:space="preserve">The Legislature enacted MICRA in 1975 </w:t>
      </w:r>
      <w:r w:rsidR="00331A95">
        <w:t>(</w:t>
      </w:r>
      <w:r w:rsidR="00331A95">
        <w:rPr>
          <w:rFonts w:cstheme="minorHAnsi"/>
        </w:rPr>
        <w:t xml:space="preserve">Stats. 1975, 2d Ex. Sess., ch. 1, </w:t>
      </w:r>
      <w:r w:rsidR="00331A95" w:rsidRPr="00D87414">
        <w:t>§</w:t>
      </w:r>
      <w:r w:rsidR="00331A95">
        <w:t xml:space="preserve"> 1, p. 3949; see </w:t>
      </w:r>
      <w:r w:rsidR="00331A95">
        <w:rPr>
          <w:i/>
          <w:iCs/>
        </w:rPr>
        <w:t>id.</w:t>
      </w:r>
      <w:r w:rsidR="00331A95">
        <w:t xml:space="preserve">, </w:t>
      </w:r>
      <w:r w:rsidR="00331A95" w:rsidRPr="00D87414">
        <w:t>§</w:t>
      </w:r>
      <w:r w:rsidR="00331A95">
        <w:t xml:space="preserve"> 24.6, p. 3969) </w:t>
      </w:r>
      <w:r w:rsidRPr="00D87414">
        <w:t>to address a statewide “crisis regarding the availability of medical malpractice insurance.”  (</w:t>
      </w:r>
      <w:r w:rsidRPr="00D87414">
        <w:rPr>
          <w:i/>
          <w:iCs/>
        </w:rPr>
        <w:t>Reigelsperger v. Siller</w:t>
      </w:r>
      <w:r w:rsidRPr="00D87414">
        <w:t xml:space="preserve"> (2007) 40 Cal.4th 574, 577.)  </w:t>
      </w:r>
      <w:r w:rsidRPr="00D87414">
        <w:rPr>
          <w:szCs w:val="26"/>
          <w:shd w:val="clear" w:color="auto" w:fill="FFFFFF"/>
        </w:rPr>
        <w:t>“The problem . . . arose when the insurance companies which issued virtually all of the medical malpractice insurance policies in California determined that the costs of affording such coverage were so high that they would no longer continue to provide such coverage as they had in the past.  Some of the insurers withdrew from the medical malpractice field entirely, while others raised the premiums which they charged to doctors and hospitals to what were frequently referred to as ‘skyrocketing’ rates.  As a consequence, many doctors decided either to stop providing medical care with respect to certain high risk procedures or treatment, to terminate their practice in this state altogether, or to ‘go bare,’ i.e., to practice without malpractice insurance.  The result was that in parts of the state medical care was not fully available, and patients who were treated by uninsured doctors faced the prospect of obtaining only unenforceable judgments if they should suffer serious injury as a result of malpractice.”  (</w:t>
      </w:r>
      <w:r w:rsidRPr="00D87414">
        <w:rPr>
          <w:i/>
          <w:iCs/>
          <w:szCs w:val="26"/>
          <w:shd w:val="clear" w:color="auto" w:fill="FFFFFF"/>
        </w:rPr>
        <w:t xml:space="preserve">American </w:t>
      </w:r>
      <w:r w:rsidRPr="00D87414">
        <w:rPr>
          <w:rStyle w:val="Emphasis"/>
          <w:szCs w:val="26"/>
          <w:bdr w:val="none" w:sz="0" w:space="0" w:color="auto" w:frame="1"/>
          <w:shd w:val="clear" w:color="auto" w:fill="FFFFFF"/>
        </w:rPr>
        <w:t xml:space="preserve">Bank &amp; Trust Co. v. Community Hospital </w:t>
      </w:r>
      <w:r w:rsidRPr="00D87414">
        <w:rPr>
          <w:rStyle w:val="Emphasis"/>
          <w:i w:val="0"/>
          <w:iCs w:val="0"/>
          <w:szCs w:val="26"/>
          <w:bdr w:val="none" w:sz="0" w:space="0" w:color="auto" w:frame="1"/>
          <w:shd w:val="clear" w:color="auto" w:fill="FFFFFF"/>
        </w:rPr>
        <w:t>(1984)</w:t>
      </w:r>
      <w:r w:rsidRPr="00D87414">
        <w:rPr>
          <w:szCs w:val="26"/>
          <w:bdr w:val="none" w:sz="0" w:space="0" w:color="auto" w:frame="1"/>
          <w:shd w:val="clear" w:color="auto" w:fill="FFFFFF"/>
        </w:rPr>
        <w:t xml:space="preserve"> 36 Cal.3d 359, 371.)  </w:t>
      </w:r>
    </w:p>
    <w:p w14:paraId="01C22859" w14:textId="475F58C6" w:rsidR="003B49A5" w:rsidRPr="00D87414" w:rsidRDefault="003B49A5" w:rsidP="00D87414">
      <w:pPr>
        <w:rPr>
          <w:szCs w:val="26"/>
          <w:shd w:val="clear" w:color="auto" w:fill="FFFFFF"/>
        </w:rPr>
      </w:pPr>
      <w:r w:rsidRPr="00D87414">
        <w:rPr>
          <w:szCs w:val="26"/>
          <w:bdr w:val="none" w:sz="0" w:space="0" w:color="auto" w:frame="1"/>
          <w:shd w:val="clear" w:color="auto" w:fill="FFFFFF"/>
        </w:rPr>
        <w:tab/>
      </w:r>
      <w:r w:rsidR="00C92FDF">
        <w:rPr>
          <w:szCs w:val="26"/>
          <w:bdr w:val="none" w:sz="0" w:space="0" w:color="auto" w:frame="1"/>
          <w:shd w:val="clear" w:color="auto" w:fill="FFFFFF"/>
        </w:rPr>
        <w:t>In the Legislature’s view,</w:t>
      </w:r>
      <w:r w:rsidRPr="00D87414">
        <w:rPr>
          <w:szCs w:val="26"/>
          <w:bdr w:val="none" w:sz="0" w:space="0" w:color="auto" w:frame="1"/>
          <w:shd w:val="clear" w:color="auto" w:fill="FFFFFF"/>
        </w:rPr>
        <w:t xml:space="preserve"> “[t]he </w:t>
      </w:r>
      <w:r w:rsidRPr="00D87414">
        <w:rPr>
          <w:szCs w:val="26"/>
          <w:shd w:val="clear" w:color="auto" w:fill="FFFFFF"/>
        </w:rPr>
        <w:t xml:space="preserve">continuing availability of adequate medical care depends directly on the availability of </w:t>
      </w:r>
      <w:r w:rsidRPr="00D87414">
        <w:rPr>
          <w:szCs w:val="26"/>
          <w:shd w:val="clear" w:color="auto" w:fill="FFFFFF"/>
        </w:rPr>
        <w:lastRenderedPageBreak/>
        <w:t>adequate insurance coverage, which in turn operates as a function of costs associated with medical malpractice litigation.”  (</w:t>
      </w:r>
      <w:r w:rsidRPr="00D87414">
        <w:rPr>
          <w:i/>
          <w:iCs/>
          <w:szCs w:val="26"/>
          <w:shd w:val="clear" w:color="auto" w:fill="FFFFFF"/>
        </w:rPr>
        <w:t>Western Steamship Lines, Inc. v. San Pedro Peninsula Hospital</w:t>
      </w:r>
      <w:r w:rsidRPr="00D87414">
        <w:rPr>
          <w:szCs w:val="26"/>
          <w:shd w:val="clear" w:color="auto" w:fill="FFFFFF"/>
        </w:rPr>
        <w:t xml:space="preserve"> (1994) 8 Cal.4th 100, 111 (</w:t>
      </w:r>
      <w:r w:rsidRPr="00D87414">
        <w:rPr>
          <w:i/>
          <w:iCs/>
          <w:szCs w:val="26"/>
          <w:shd w:val="clear" w:color="auto" w:fill="FFFFFF"/>
        </w:rPr>
        <w:t>Western Steamship</w:t>
      </w:r>
      <w:r w:rsidRPr="00D87414">
        <w:rPr>
          <w:szCs w:val="26"/>
          <w:shd w:val="clear" w:color="auto" w:fill="FFFFFF"/>
        </w:rPr>
        <w:t>).)  “Accordingly, MICRA includes a variety of provisions all of which are calculated to reduce the cost of insurance by limiting the amount and timing of recovery in cases of professional negligence.”  (</w:t>
      </w:r>
      <w:r w:rsidRPr="00D87414">
        <w:rPr>
          <w:i/>
          <w:iCs/>
          <w:szCs w:val="26"/>
          <w:shd w:val="clear" w:color="auto" w:fill="FFFFFF"/>
        </w:rPr>
        <w:t>Ibid.</w:t>
      </w:r>
      <w:r w:rsidRPr="00D87414">
        <w:rPr>
          <w:szCs w:val="26"/>
          <w:shd w:val="clear" w:color="auto" w:fill="FFFFFF"/>
        </w:rPr>
        <w:t>)</w:t>
      </w:r>
    </w:p>
    <w:p w14:paraId="1092866C" w14:textId="7107C1D3" w:rsidR="003B49A5" w:rsidRPr="00D87414" w:rsidRDefault="003B49A5" w:rsidP="00D87414">
      <w:pPr>
        <w:ind w:firstLine="720"/>
        <w:rPr>
          <w:szCs w:val="26"/>
          <w:shd w:val="clear" w:color="auto" w:fill="FFFFFF"/>
        </w:rPr>
      </w:pPr>
      <w:bookmarkStart w:id="5" w:name="_Hlk91083305"/>
      <w:r w:rsidRPr="00D87414">
        <w:rPr>
          <w:szCs w:val="26"/>
          <w:shd w:val="clear" w:color="auto" w:fill="FFFFFF"/>
        </w:rPr>
        <w:t>Section 3333.2 is one such provision</w:t>
      </w:r>
      <w:r w:rsidRPr="005A530F">
        <w:rPr>
          <w:szCs w:val="26"/>
          <w:shd w:val="clear" w:color="auto" w:fill="FFFFFF"/>
        </w:rPr>
        <w:t>.</w:t>
      </w:r>
      <w:r w:rsidRPr="002C3F88">
        <w:rPr>
          <w:szCs w:val="26"/>
          <w:shd w:val="clear" w:color="auto" w:fill="FFFFFF"/>
        </w:rPr>
        <w:t xml:space="preserve">  </w:t>
      </w:r>
      <w:r w:rsidRPr="005A530F">
        <w:rPr>
          <w:szCs w:val="26"/>
          <w:shd w:val="clear" w:color="auto" w:fill="FFFFFF"/>
        </w:rPr>
        <w:t>I</w:t>
      </w:r>
      <w:r w:rsidRPr="00D87414">
        <w:rPr>
          <w:szCs w:val="26"/>
          <w:shd w:val="clear" w:color="auto" w:fill="FFFFFF"/>
        </w:rPr>
        <w:t xml:space="preserve">t provides:  “(a) In any action for injury against a health care provider based on </w:t>
      </w:r>
      <w:r w:rsidRPr="00D87414">
        <w:rPr>
          <w:iCs/>
          <w:szCs w:val="26"/>
          <w:shd w:val="clear" w:color="auto" w:fill="FFFFFF"/>
        </w:rPr>
        <w:t>professional negligence</w:t>
      </w:r>
      <w:r w:rsidRPr="00D87414">
        <w:rPr>
          <w:szCs w:val="26"/>
          <w:shd w:val="clear" w:color="auto" w:fill="FFFFFF"/>
        </w:rPr>
        <w:t xml:space="preserve">, the injured plaintiff shall be entitled to recover noneconomic losses to compensate for pain, suffering, . . . and other nonpecuniary damage.  [¶] (b) In no action shall the amount of damages for noneconomic losses exceed two hundred fifty thousand dollars ($250,000).”  </w:t>
      </w:r>
      <w:bookmarkEnd w:id="5"/>
      <w:r w:rsidRPr="00D87414">
        <w:rPr>
          <w:szCs w:val="26"/>
          <w:shd w:val="clear" w:color="auto" w:fill="FFFFFF"/>
        </w:rPr>
        <w:t>It defines “professional negligence” as “a negligent act or omission to act by a health care provider in the rendering of professional services, which act or omission is the proximate cause of a personal injury or wrongful death, provided that such services are within the scope of services for which the provider is licensed and which are not within any restriction imposed by the licensing agency or licensed hospital.”  (§ 3333.2, subd. (c)(2).)</w:t>
      </w:r>
    </w:p>
    <w:p w14:paraId="603B9787" w14:textId="77AA9E33" w:rsidR="003B49A5" w:rsidRPr="00D87414" w:rsidRDefault="00232372" w:rsidP="00C77273">
      <w:pPr>
        <w:ind w:firstLine="720"/>
        <w:rPr>
          <w:szCs w:val="26"/>
          <w:shd w:val="clear" w:color="auto" w:fill="FFFFFF"/>
        </w:rPr>
      </w:pPr>
      <w:r w:rsidRPr="00D87414">
        <w:rPr>
          <w:szCs w:val="26"/>
          <w:shd w:val="clear" w:color="auto" w:fill="FFFFFF"/>
        </w:rPr>
        <w:t>In t</w:t>
      </w:r>
      <w:r w:rsidR="003B49A5" w:rsidRPr="00D87414">
        <w:rPr>
          <w:szCs w:val="26"/>
          <w:shd w:val="clear" w:color="auto" w:fill="FFFFFF"/>
        </w:rPr>
        <w:t>he</w:t>
      </w:r>
      <w:r w:rsidR="004437BA" w:rsidRPr="00D87414">
        <w:rPr>
          <w:szCs w:val="26"/>
          <w:shd w:val="clear" w:color="auto" w:fill="FFFFFF"/>
        </w:rPr>
        <w:t xml:space="preserve"> same year it passed MICRA, the</w:t>
      </w:r>
      <w:r w:rsidR="003B49A5" w:rsidRPr="00D87414">
        <w:rPr>
          <w:szCs w:val="26"/>
          <w:shd w:val="clear" w:color="auto" w:fill="FFFFFF"/>
        </w:rPr>
        <w:t xml:space="preserve"> Legislature enacted</w:t>
      </w:r>
      <w:r w:rsidR="00C77273">
        <w:rPr>
          <w:szCs w:val="26"/>
          <w:shd w:val="clear" w:color="auto" w:fill="FFFFFF"/>
        </w:rPr>
        <w:t xml:space="preserve"> </w:t>
      </w:r>
      <w:r w:rsidR="003B49A5" w:rsidRPr="00D87414">
        <w:rPr>
          <w:szCs w:val="26"/>
          <w:shd w:val="clear" w:color="auto" w:fill="FFFFFF"/>
        </w:rPr>
        <w:t>the Physician Assistant</w:t>
      </w:r>
      <w:r w:rsidR="005A530F">
        <w:rPr>
          <w:szCs w:val="26"/>
          <w:shd w:val="clear" w:color="auto" w:fill="FFFFFF"/>
        </w:rPr>
        <w:t>’s</w:t>
      </w:r>
      <w:r w:rsidR="003B49A5" w:rsidRPr="00D87414">
        <w:rPr>
          <w:szCs w:val="26"/>
          <w:shd w:val="clear" w:color="auto" w:fill="FFFFFF"/>
        </w:rPr>
        <w:t xml:space="preserve"> Practice Act </w:t>
      </w:r>
      <w:r w:rsidR="005A530F">
        <w:rPr>
          <w:szCs w:val="26"/>
          <w:shd w:val="clear" w:color="auto" w:fill="FFFFFF"/>
        </w:rPr>
        <w:t>(PAPA)</w:t>
      </w:r>
      <w:r w:rsidR="00C77273">
        <w:rPr>
          <w:szCs w:val="26"/>
          <w:shd w:val="clear" w:color="auto" w:fill="FFFFFF"/>
        </w:rPr>
        <w:t>.  This latter act</w:t>
      </w:r>
      <w:r w:rsidR="003B49A5" w:rsidRPr="00D87414">
        <w:rPr>
          <w:szCs w:val="26"/>
          <w:shd w:val="clear" w:color="auto" w:fill="FFFFFF"/>
        </w:rPr>
        <w:t xml:space="preserve"> established the position of “physician assistant” to address “the growing shortage and geographic maldistribution of health care services in California.”  (</w:t>
      </w:r>
      <w:bookmarkStart w:id="6" w:name="_Hlk91079019"/>
      <w:r w:rsidR="003B49A5" w:rsidRPr="00D87414">
        <w:rPr>
          <w:szCs w:val="26"/>
          <w:shd w:val="clear" w:color="auto" w:fill="FFFFFF"/>
        </w:rPr>
        <w:t>Bus. &amp; Prof. Code, § 3500</w:t>
      </w:r>
      <w:bookmarkEnd w:id="6"/>
      <w:r w:rsidR="003B49A5" w:rsidRPr="00D87414">
        <w:rPr>
          <w:szCs w:val="26"/>
          <w:shd w:val="clear" w:color="auto" w:fill="FFFFFF"/>
        </w:rPr>
        <w:t xml:space="preserve">.)  The </w:t>
      </w:r>
      <w:r w:rsidR="00C77273">
        <w:rPr>
          <w:szCs w:val="26"/>
          <w:shd w:val="clear" w:color="auto" w:fill="FFFFFF"/>
        </w:rPr>
        <w:t>a</w:t>
      </w:r>
      <w:r w:rsidR="003B49A5" w:rsidRPr="00D87414">
        <w:rPr>
          <w:szCs w:val="26"/>
          <w:shd w:val="clear" w:color="auto" w:fill="FFFFFF"/>
        </w:rPr>
        <w:t>ct aims “to encourage the</w:t>
      </w:r>
      <w:r w:rsidR="00F03082" w:rsidRPr="00D87414">
        <w:rPr>
          <w:szCs w:val="26"/>
          <w:shd w:val="clear" w:color="auto" w:fill="FFFFFF"/>
        </w:rPr>
        <w:t xml:space="preserve"> </w:t>
      </w:r>
      <w:r w:rsidR="003B49A5" w:rsidRPr="00D87414">
        <w:rPr>
          <w:szCs w:val="26"/>
          <w:shd w:val="clear" w:color="auto" w:fill="FFFFFF"/>
        </w:rPr>
        <w:t xml:space="preserve">effective utilization of the skills of physicians . . . by enabling them to </w:t>
      </w:r>
      <w:r w:rsidR="00F1170A" w:rsidRPr="00D87414">
        <w:rPr>
          <w:szCs w:val="26"/>
          <w:shd w:val="clear" w:color="auto" w:fill="FFFFFF"/>
        </w:rPr>
        <w:t>work with</w:t>
      </w:r>
      <w:r w:rsidR="003B49A5" w:rsidRPr="00D87414">
        <w:rPr>
          <w:szCs w:val="26"/>
          <w:shd w:val="clear" w:color="auto" w:fill="FFFFFF"/>
        </w:rPr>
        <w:t xml:space="preserve"> qualified physician assistants</w:t>
      </w:r>
      <w:r w:rsidR="00F1170A" w:rsidRPr="00D87414">
        <w:rPr>
          <w:szCs w:val="26"/>
          <w:shd w:val="clear" w:color="auto" w:fill="FFFFFF"/>
        </w:rPr>
        <w:t xml:space="preserve"> to provide quality care</w:t>
      </w:r>
      <w:r w:rsidR="003B49A5" w:rsidRPr="00D87414">
        <w:rPr>
          <w:szCs w:val="26"/>
          <w:shd w:val="clear" w:color="auto" w:fill="FFFFFF"/>
        </w:rPr>
        <w:t>.”  (</w:t>
      </w:r>
      <w:r w:rsidR="003B49A5" w:rsidRPr="00D87414">
        <w:rPr>
          <w:i/>
          <w:iCs/>
          <w:szCs w:val="26"/>
          <w:shd w:val="clear" w:color="auto" w:fill="FFFFFF"/>
        </w:rPr>
        <w:t>Ibid.</w:t>
      </w:r>
      <w:r w:rsidR="00C77273">
        <w:rPr>
          <w:szCs w:val="26"/>
          <w:shd w:val="clear" w:color="auto" w:fill="FFFFFF"/>
        </w:rPr>
        <w:t xml:space="preserve">, </w:t>
      </w:r>
      <w:bookmarkStart w:id="7" w:name="_Hlk91079009"/>
      <w:r w:rsidR="00C77273">
        <w:rPr>
          <w:szCs w:val="26"/>
          <w:shd w:val="clear" w:color="auto" w:fill="FFFFFF"/>
        </w:rPr>
        <w:t xml:space="preserve">as amended by Stats. 2019, ch. 707, </w:t>
      </w:r>
      <w:r w:rsidR="00C77273" w:rsidRPr="00D87414">
        <w:rPr>
          <w:szCs w:val="26"/>
          <w:shd w:val="clear" w:color="auto" w:fill="FFFFFF"/>
        </w:rPr>
        <w:t>§</w:t>
      </w:r>
      <w:r w:rsidR="00C77273">
        <w:rPr>
          <w:szCs w:val="26"/>
          <w:shd w:val="clear" w:color="auto" w:fill="FFFFFF"/>
        </w:rPr>
        <w:t xml:space="preserve"> 1</w:t>
      </w:r>
      <w:bookmarkEnd w:id="7"/>
      <w:r w:rsidR="00C77273">
        <w:rPr>
          <w:szCs w:val="26"/>
          <w:shd w:val="clear" w:color="auto" w:fill="FFFFFF"/>
        </w:rPr>
        <w:t xml:space="preserve">. </w:t>
      </w:r>
      <w:r w:rsidR="003B49A5" w:rsidRPr="00D87414">
        <w:rPr>
          <w:szCs w:val="26"/>
          <w:shd w:val="clear" w:color="auto" w:fill="FFFFFF"/>
        </w:rPr>
        <w:t>)</w:t>
      </w:r>
      <w:r w:rsidR="00332215" w:rsidRPr="00D87414">
        <w:rPr>
          <w:szCs w:val="26"/>
          <w:shd w:val="clear" w:color="auto" w:fill="FFFFFF"/>
        </w:rPr>
        <w:t xml:space="preserve">  </w:t>
      </w:r>
      <w:r w:rsidR="00332215" w:rsidRPr="00D87414">
        <w:t xml:space="preserve">It defines </w:t>
      </w:r>
      <w:r w:rsidR="00332215" w:rsidRPr="00D87414">
        <w:lastRenderedPageBreak/>
        <w:t>a “physician assistant” as “a person who meets the requirements of this chapter and is licensed by the [Physician Assistant B]oard.”  (Bus. &amp; Prof. Code, § 3501, subd. (d).)</w:t>
      </w:r>
      <w:r w:rsidR="003B49A5" w:rsidRPr="00D87414">
        <w:rPr>
          <w:szCs w:val="26"/>
          <w:shd w:val="clear" w:color="auto" w:fill="FFFFFF"/>
        </w:rPr>
        <w:t xml:space="preserve">  To practice as a physician assistant, an individual must complete an approved training program and pass a licensing examination.  (</w:t>
      </w:r>
      <w:r w:rsidR="003B49A5" w:rsidRPr="00D87414">
        <w:rPr>
          <w:i/>
          <w:iCs/>
          <w:szCs w:val="26"/>
          <w:shd w:val="clear" w:color="auto" w:fill="FFFFFF"/>
        </w:rPr>
        <w:t>Id.</w:t>
      </w:r>
      <w:r w:rsidR="003B49A5" w:rsidRPr="00D87414">
        <w:rPr>
          <w:szCs w:val="26"/>
          <w:shd w:val="clear" w:color="auto" w:fill="FFFFFF"/>
        </w:rPr>
        <w:t>, § 3519,</w:t>
      </w:r>
      <w:r w:rsidR="00A66C05" w:rsidRPr="00D87414">
        <w:rPr>
          <w:szCs w:val="26"/>
          <w:shd w:val="clear" w:color="auto" w:fill="FFFFFF"/>
        </w:rPr>
        <w:t xml:space="preserve"> </w:t>
      </w:r>
      <w:r w:rsidR="003B49A5" w:rsidRPr="00D87414">
        <w:rPr>
          <w:szCs w:val="26"/>
          <w:shd w:val="clear" w:color="auto" w:fill="FFFFFF"/>
        </w:rPr>
        <w:t>subds. (a)</w:t>
      </w:r>
      <w:r w:rsidR="00A66C05" w:rsidRPr="00D87414">
        <w:rPr>
          <w:szCs w:val="26"/>
          <w:shd w:val="clear" w:color="auto" w:fill="FFFFFF"/>
        </w:rPr>
        <w:t xml:space="preserve">, </w:t>
      </w:r>
      <w:r w:rsidR="003B49A5" w:rsidRPr="00D87414">
        <w:rPr>
          <w:szCs w:val="26"/>
          <w:shd w:val="clear" w:color="auto" w:fill="FFFFFF"/>
        </w:rPr>
        <w:t>(b).)  Once licensed, a physician assistant may perform medical services “under the supervision of a licensed physician.</w:t>
      </w:r>
      <w:r w:rsidR="00C77273">
        <w:rPr>
          <w:szCs w:val="26"/>
          <w:shd w:val="clear" w:color="auto" w:fill="FFFFFF"/>
        </w:rPr>
        <w:t>”</w:t>
      </w:r>
      <w:r w:rsidR="003B49A5" w:rsidRPr="00D87414">
        <w:rPr>
          <w:szCs w:val="26"/>
          <w:shd w:val="clear" w:color="auto" w:fill="FFFFFF"/>
        </w:rPr>
        <w:t xml:space="preserve">  (</w:t>
      </w:r>
      <w:r w:rsidR="003B49A5" w:rsidRPr="00D87414">
        <w:rPr>
          <w:i/>
          <w:iCs/>
          <w:szCs w:val="26"/>
          <w:shd w:val="clear" w:color="auto" w:fill="FFFFFF"/>
        </w:rPr>
        <w:t>Id.</w:t>
      </w:r>
      <w:r w:rsidR="003B49A5" w:rsidRPr="00D87414">
        <w:rPr>
          <w:szCs w:val="26"/>
          <w:shd w:val="clear" w:color="auto" w:fill="FFFFFF"/>
        </w:rPr>
        <w:t>, § 3502, subd. (a)(1).)  Several sections of the</w:t>
      </w:r>
      <w:r w:rsidR="00664F59">
        <w:rPr>
          <w:szCs w:val="26"/>
          <w:shd w:val="clear" w:color="auto" w:fill="FFFFFF"/>
        </w:rPr>
        <w:t xml:space="preserve"> PAPA</w:t>
      </w:r>
      <w:r w:rsidR="003B49A5" w:rsidRPr="00D87414">
        <w:rPr>
          <w:szCs w:val="26"/>
          <w:shd w:val="clear" w:color="auto" w:fill="FFFFFF"/>
        </w:rPr>
        <w:t xml:space="preserve"> were amended effective January 1, 2020, pursuant to Senate Bill No. 697 (2019–2020 Reg. Sess.).  (See Stats. 2019, ch. 707.)  We apply the law as it existed at the time of the relevant events. </w:t>
      </w:r>
    </w:p>
    <w:p w14:paraId="69311305" w14:textId="44398830" w:rsidR="003B49A5" w:rsidRPr="00D87414" w:rsidRDefault="003B49A5" w:rsidP="00D87414">
      <w:pPr>
        <w:ind w:firstLine="720"/>
        <w:rPr>
          <w:szCs w:val="26"/>
          <w:shd w:val="clear" w:color="auto" w:fill="FFFFFF"/>
        </w:rPr>
      </w:pPr>
      <w:r w:rsidRPr="00D87414">
        <w:rPr>
          <w:szCs w:val="26"/>
          <w:shd w:val="clear" w:color="auto" w:fill="FFFFFF"/>
        </w:rPr>
        <w:t xml:space="preserve">The issue in this case is whether section 3333.2’s cap on noneconomic damages applies to actions against physician assistants where a licensed physician </w:t>
      </w:r>
      <w:r w:rsidR="00625373">
        <w:rPr>
          <w:szCs w:val="26"/>
          <w:shd w:val="clear" w:color="auto" w:fill="FFFFFF"/>
        </w:rPr>
        <w:t>has</w:t>
      </w:r>
      <w:r w:rsidR="00625373" w:rsidRPr="00D87414">
        <w:rPr>
          <w:szCs w:val="26"/>
          <w:shd w:val="clear" w:color="auto" w:fill="FFFFFF"/>
        </w:rPr>
        <w:t xml:space="preserve"> </w:t>
      </w:r>
      <w:r w:rsidRPr="00D87414">
        <w:rPr>
          <w:szCs w:val="26"/>
          <w:shd w:val="clear" w:color="auto" w:fill="FFFFFF"/>
        </w:rPr>
        <w:t xml:space="preserve">legal responsibility </w:t>
      </w:r>
      <w:r w:rsidR="00625373">
        <w:rPr>
          <w:szCs w:val="26"/>
          <w:shd w:val="clear" w:color="auto" w:fill="FFFFFF"/>
        </w:rPr>
        <w:t>for</w:t>
      </w:r>
      <w:r w:rsidR="00625373" w:rsidRPr="00D87414">
        <w:rPr>
          <w:szCs w:val="26"/>
          <w:shd w:val="clear" w:color="auto" w:fill="FFFFFF"/>
        </w:rPr>
        <w:t xml:space="preserve"> </w:t>
      </w:r>
      <w:r w:rsidRPr="00D87414">
        <w:rPr>
          <w:szCs w:val="26"/>
          <w:shd w:val="clear" w:color="auto" w:fill="FFFFFF"/>
        </w:rPr>
        <w:t>supervising the physician assistant but provides minimal or no actual supervision.  We review this question of statutory interpretation de novo.  (</w:t>
      </w:r>
      <w:r w:rsidRPr="00D87414">
        <w:rPr>
          <w:i/>
          <w:iCs/>
          <w:szCs w:val="26"/>
          <w:shd w:val="clear" w:color="auto" w:fill="FFFFFF"/>
        </w:rPr>
        <w:t>People v. Prunty</w:t>
      </w:r>
      <w:r w:rsidRPr="00D87414">
        <w:rPr>
          <w:szCs w:val="26"/>
          <w:shd w:val="clear" w:color="auto" w:fill="FFFFFF"/>
        </w:rPr>
        <w:t xml:space="preserve"> (2015) 62 Cal.4th 59, 71; </w:t>
      </w:r>
      <w:r w:rsidRPr="00D87414">
        <w:rPr>
          <w:i/>
          <w:iCs/>
          <w:szCs w:val="26"/>
          <w:shd w:val="clear" w:color="auto" w:fill="FFFFFF"/>
        </w:rPr>
        <w:t>Ghirardo v. Antonioli</w:t>
      </w:r>
      <w:r w:rsidRPr="00D87414">
        <w:rPr>
          <w:szCs w:val="26"/>
          <w:shd w:val="clear" w:color="auto" w:fill="FFFFFF"/>
        </w:rPr>
        <w:t xml:space="preserve"> (1994) 8 Cal.4th 791, 801.)  </w:t>
      </w:r>
    </w:p>
    <w:p w14:paraId="1AB3A61F" w14:textId="6E0B5928" w:rsidR="003B49A5" w:rsidRPr="00D87414" w:rsidRDefault="003B49A5" w:rsidP="00D87414">
      <w:pPr>
        <w:ind w:firstLine="720"/>
        <w:rPr>
          <w:strike/>
          <w:szCs w:val="26"/>
          <w:shd w:val="clear" w:color="auto" w:fill="FFFFFF"/>
        </w:rPr>
      </w:pPr>
      <w:r w:rsidRPr="00D87414">
        <w:rPr>
          <w:szCs w:val="26"/>
          <w:shd w:val="clear" w:color="auto" w:fill="FFFFFF"/>
        </w:rPr>
        <w:t xml:space="preserve">We turn first to the language of the statute.  As noted, section 3333.2 applies only to actions “based on professional negligence.”  (§ 3333.2, subd. (a).)  </w:t>
      </w:r>
      <w:bookmarkStart w:id="8" w:name="_Hlk91083353"/>
      <w:r w:rsidRPr="00D87414">
        <w:rPr>
          <w:szCs w:val="26"/>
          <w:shd w:val="clear" w:color="auto" w:fill="FFFFFF"/>
        </w:rPr>
        <w:t>The definition of “professional negligence” in </w:t>
      </w:r>
      <w:r w:rsidRPr="00D87414">
        <w:rPr>
          <w:szCs w:val="26"/>
          <w:bdr w:val="none" w:sz="0" w:space="0" w:color="auto" w:frame="1"/>
          <w:shd w:val="clear" w:color="auto" w:fill="FFFFFF"/>
        </w:rPr>
        <w:t>section 3333.2</w:t>
      </w:r>
      <w:r w:rsidRPr="00D87414">
        <w:rPr>
          <w:szCs w:val="26"/>
          <w:shd w:val="clear" w:color="auto" w:fill="FFFFFF"/>
        </w:rPr>
        <w:t xml:space="preserve"> has four elements:  (1) “a negligent act or omission to act by a health care provider in the rendering of professional services,” (2) “which act or omission is the proximate cause of a personal injury or wrongful death,” (3) “provided that such services are within the scope of services for which the provider is licensed,” and (4) “which are not within any restriction imposed by the licensing agency or licensed hospital.”  (§ 3333.2, subd. (c)(2).)  </w:t>
      </w:r>
      <w:bookmarkEnd w:id="8"/>
      <w:r w:rsidRPr="00D87414">
        <w:rPr>
          <w:szCs w:val="26"/>
          <w:shd w:val="clear" w:color="auto" w:fill="FFFFFF"/>
        </w:rPr>
        <w:t xml:space="preserve">The parties do not dispute that the first two elements are satisfied.  The question is </w:t>
      </w:r>
      <w:r w:rsidRPr="00D87414">
        <w:rPr>
          <w:szCs w:val="26"/>
          <w:shd w:val="clear" w:color="auto" w:fill="FFFFFF"/>
        </w:rPr>
        <w:lastRenderedPageBreak/>
        <w:t>whether a physician assistant who receives negligible supervision from his or her supervising physician provides services outside “the scope of services for which the provider is licensed” or “within [a] restriction imposed by the licensing agency or licensed hospital.”  (</w:t>
      </w:r>
      <w:r w:rsidRPr="00D87414">
        <w:rPr>
          <w:i/>
          <w:iCs/>
          <w:szCs w:val="26"/>
          <w:shd w:val="clear" w:color="auto" w:fill="FFFFFF"/>
        </w:rPr>
        <w:t>Ibid.</w:t>
      </w:r>
      <w:r w:rsidRPr="00D87414">
        <w:rPr>
          <w:szCs w:val="26"/>
          <w:shd w:val="clear" w:color="auto" w:fill="FFFFFF"/>
        </w:rPr>
        <w:t>)  We address these elements in turn.</w:t>
      </w:r>
    </w:p>
    <w:p w14:paraId="78F8BE09" w14:textId="77777777" w:rsidR="003B49A5" w:rsidRPr="00D87414" w:rsidRDefault="003B49A5" w:rsidP="008258EC">
      <w:pPr>
        <w:pStyle w:val="Heading2"/>
        <w:ind w:left="0" w:firstLine="0"/>
        <w:jc w:val="center"/>
        <w:rPr>
          <w:shd w:val="clear" w:color="auto" w:fill="FFFFFF"/>
        </w:rPr>
      </w:pPr>
      <w:r w:rsidRPr="00D87414">
        <w:rPr>
          <w:shd w:val="clear" w:color="auto" w:fill="FFFFFF"/>
        </w:rPr>
        <w:t>A.</w:t>
      </w:r>
    </w:p>
    <w:p w14:paraId="799F6A1C" w14:textId="77777777" w:rsidR="003B49A5" w:rsidRPr="00D87414" w:rsidRDefault="003B49A5" w:rsidP="00D87414">
      <w:pPr>
        <w:ind w:firstLine="720"/>
        <w:rPr>
          <w:szCs w:val="26"/>
        </w:rPr>
      </w:pPr>
      <w:r w:rsidRPr="00D87414">
        <w:rPr>
          <w:szCs w:val="26"/>
          <w:shd w:val="clear" w:color="auto" w:fill="FFFFFF"/>
        </w:rPr>
        <w:t xml:space="preserve">The language “scope of services for which the provider is licensed” (§ 3333.2, subd. (c)(2)) is naturally understood as the general range of activities encompassed by the provider’s license.  </w:t>
      </w:r>
      <w:r w:rsidRPr="00D87414">
        <w:rPr>
          <w:szCs w:val="26"/>
        </w:rPr>
        <w:t xml:space="preserve">A psychiatrist, for instance, is licensed to provide psychiatric treatment.  Thus, a psychiatrist’s conduct arising out of the course of psychiatric treatment falls within the scope of services for which the psychiatrist is licensed.  (See </w:t>
      </w:r>
      <w:r w:rsidRPr="00D87414">
        <w:rPr>
          <w:i/>
          <w:iCs/>
          <w:szCs w:val="26"/>
          <w:shd w:val="clear" w:color="auto" w:fill="FFFFFF"/>
        </w:rPr>
        <w:t>Waters v. Bourhis</w:t>
      </w:r>
      <w:r w:rsidRPr="00D87414">
        <w:rPr>
          <w:szCs w:val="26"/>
          <w:shd w:val="clear" w:color="auto" w:fill="FFFFFF"/>
        </w:rPr>
        <w:t xml:space="preserve"> (1985) 40 Cal.3d 424, 436 (</w:t>
      </w:r>
      <w:r w:rsidRPr="00D87414">
        <w:rPr>
          <w:i/>
          <w:iCs/>
          <w:szCs w:val="26"/>
          <w:shd w:val="clear" w:color="auto" w:fill="FFFFFF"/>
        </w:rPr>
        <w:t>Bourhis</w:t>
      </w:r>
      <w:r w:rsidRPr="00D87414">
        <w:rPr>
          <w:szCs w:val="26"/>
          <w:shd w:val="clear" w:color="auto" w:fill="FFFFFF"/>
        </w:rPr>
        <w:t>)</w:t>
      </w:r>
      <w:r w:rsidRPr="00D87414">
        <w:rPr>
          <w:szCs w:val="26"/>
        </w:rPr>
        <w:t xml:space="preserve"> [“</w:t>
      </w:r>
      <w:r w:rsidRPr="00D87414">
        <w:rPr>
          <w:szCs w:val="26"/>
          <w:shd w:val="clear" w:color="auto" w:fill="FFFFFF"/>
        </w:rPr>
        <w:t>it is clear that the psychiatrist’s conduct arose out of the course of the psychiatric treatment he was licensed to provide”].)</w:t>
      </w:r>
      <w:r w:rsidRPr="00D87414">
        <w:rPr>
          <w:szCs w:val="26"/>
        </w:rPr>
        <w:t xml:space="preserve">  </w:t>
      </w:r>
      <w:r w:rsidRPr="00D87414">
        <w:rPr>
          <w:szCs w:val="26"/>
          <w:shd w:val="clear" w:color="auto" w:fill="FFFFFF"/>
        </w:rPr>
        <w:t>By contrast, a “psychologist perform[ing] heart surgery” does not provide services within the scope of his or her license.  (</w:t>
      </w:r>
      <w:r w:rsidRPr="00D87414">
        <w:rPr>
          <w:i/>
          <w:iCs/>
          <w:szCs w:val="26"/>
          <w:shd w:val="clear" w:color="auto" w:fill="FFFFFF"/>
        </w:rPr>
        <w:t>Ibid.</w:t>
      </w:r>
      <w:r w:rsidRPr="00D87414">
        <w:rPr>
          <w:szCs w:val="26"/>
          <w:shd w:val="clear" w:color="auto" w:fill="FFFFFF"/>
        </w:rPr>
        <w:t>)</w:t>
      </w:r>
    </w:p>
    <w:p w14:paraId="73B6A456" w14:textId="6E2A6650" w:rsidR="003B49A5" w:rsidRPr="00D87414" w:rsidRDefault="003B49A5" w:rsidP="00D87414">
      <w:pPr>
        <w:ind w:firstLine="720"/>
        <w:rPr>
          <w:szCs w:val="26"/>
          <w:shd w:val="clear" w:color="auto" w:fill="FFFFFF"/>
        </w:rPr>
      </w:pPr>
      <w:r w:rsidRPr="00D87414">
        <w:rPr>
          <w:szCs w:val="26"/>
          <w:shd w:val="clear" w:color="auto" w:fill="FFFFFF"/>
        </w:rPr>
        <w:t xml:space="preserve">The </w:t>
      </w:r>
      <w:r w:rsidR="00664F59">
        <w:rPr>
          <w:szCs w:val="26"/>
          <w:shd w:val="clear" w:color="auto" w:fill="FFFFFF"/>
        </w:rPr>
        <w:t>PAPA</w:t>
      </w:r>
      <w:r w:rsidRPr="00D87414">
        <w:rPr>
          <w:szCs w:val="26"/>
          <w:shd w:val="clear" w:color="auto" w:fill="FFFFFF"/>
        </w:rPr>
        <w:t xml:space="preserve"> and the regulations promulgated by the Physician Assistant Board set forth the medical services that a licensed physician assistant “may perform.”  (Bus. &amp; Prof. Code, </w:t>
      </w:r>
      <w:r w:rsidR="0055058D">
        <w:rPr>
          <w:szCs w:val="26"/>
          <w:shd w:val="clear" w:color="auto" w:fill="FFFFFF"/>
        </w:rPr>
        <w:t xml:space="preserve">former </w:t>
      </w:r>
      <w:r w:rsidRPr="00D87414">
        <w:rPr>
          <w:szCs w:val="26"/>
          <w:shd w:val="clear" w:color="auto" w:fill="FFFFFF"/>
        </w:rPr>
        <w:t xml:space="preserve">§ 3502, subd. (a); </w:t>
      </w:r>
      <w:r w:rsidR="00FA3FCF">
        <w:rPr>
          <w:szCs w:val="26"/>
          <w:shd w:val="clear" w:color="auto" w:fill="FFFFFF"/>
        </w:rPr>
        <w:t xml:space="preserve">see </w:t>
      </w:r>
      <w:r w:rsidRPr="00D87414">
        <w:rPr>
          <w:szCs w:val="26"/>
          <w:bdr w:val="none" w:sz="0" w:space="0" w:color="auto" w:frame="1"/>
          <w:shd w:val="clear" w:color="auto" w:fill="FFFFFF"/>
        </w:rPr>
        <w:t>Cal. Code Regs., tit. 16, §</w:t>
      </w:r>
      <w:r w:rsidR="00625373">
        <w:rPr>
          <w:szCs w:val="26"/>
          <w:bdr w:val="none" w:sz="0" w:space="0" w:color="auto" w:frame="1"/>
          <w:shd w:val="clear" w:color="auto" w:fill="FFFFFF"/>
        </w:rPr>
        <w:t> </w:t>
      </w:r>
      <w:r w:rsidRPr="00D87414">
        <w:rPr>
          <w:szCs w:val="26"/>
          <w:bdr w:val="none" w:sz="0" w:space="0" w:color="auto" w:frame="1"/>
          <w:shd w:val="clear" w:color="auto" w:fill="FFFFFF"/>
        </w:rPr>
        <w:t xml:space="preserve">1399.540, subd. (a).)  </w:t>
      </w:r>
      <w:r w:rsidRPr="00D87414">
        <w:rPr>
          <w:szCs w:val="26"/>
          <w:shd w:val="clear" w:color="auto" w:fill="FFFFFF"/>
        </w:rPr>
        <w:t>“A physician assistant may only provide those medical services which he or she is competent to perform and which are consistent with the physician assistant’s education, training, and experience, and which are delegated in writing by a supervising physician who is responsible for the patients cared for by that physician assistant.”  (</w:t>
      </w:r>
      <w:r w:rsidRPr="00D87414">
        <w:rPr>
          <w:szCs w:val="26"/>
          <w:bdr w:val="none" w:sz="0" w:space="0" w:color="auto" w:frame="1"/>
          <w:shd w:val="clear" w:color="auto" w:fill="FFFFFF"/>
        </w:rPr>
        <w:t xml:space="preserve">Cal. Code Regs., tit. 16, § 1399.540, subd. (a).)  During the relevant time period, </w:t>
      </w:r>
      <w:r w:rsidRPr="00D87414">
        <w:rPr>
          <w:szCs w:val="26"/>
          <w:bdr w:val="none" w:sz="0" w:space="0" w:color="auto" w:frame="1"/>
          <w:shd w:val="clear" w:color="auto" w:fill="FFFFFF"/>
        </w:rPr>
        <w:lastRenderedPageBreak/>
        <w:t>the writing that delegated medical services to a physician assistant was called a DSA.  (</w:t>
      </w:r>
      <w:r w:rsidRPr="00D87414">
        <w:rPr>
          <w:i/>
          <w:iCs/>
          <w:szCs w:val="26"/>
          <w:bdr w:val="none" w:sz="0" w:space="0" w:color="auto" w:frame="1"/>
          <w:shd w:val="clear" w:color="auto" w:fill="FFFFFF"/>
        </w:rPr>
        <w:t>Id.</w:t>
      </w:r>
      <w:r w:rsidRPr="00D87414">
        <w:rPr>
          <w:szCs w:val="26"/>
          <w:bdr w:val="none" w:sz="0" w:space="0" w:color="auto" w:frame="1"/>
          <w:shd w:val="clear" w:color="auto" w:fill="FFFFFF"/>
        </w:rPr>
        <w:t>, § 1399.540, subd. (b).)  A physician assistant “may perform” the services delegated in the DSA when the services are rendered “under the supervision of a licensed physician and surgeon.”  (</w:t>
      </w:r>
      <w:r w:rsidRPr="00D87414">
        <w:rPr>
          <w:szCs w:val="26"/>
          <w:shd w:val="clear" w:color="auto" w:fill="FFFFFF"/>
        </w:rPr>
        <w:t xml:space="preserve">Bus. &amp; Prof. Code, </w:t>
      </w:r>
      <w:r w:rsidR="0055058D">
        <w:rPr>
          <w:szCs w:val="26"/>
          <w:shd w:val="clear" w:color="auto" w:fill="FFFFFF"/>
        </w:rPr>
        <w:t xml:space="preserve">former </w:t>
      </w:r>
      <w:r w:rsidRPr="00D87414">
        <w:rPr>
          <w:szCs w:val="26"/>
          <w:shd w:val="clear" w:color="auto" w:fill="FFFFFF"/>
        </w:rPr>
        <w:t xml:space="preserve">§ 3502, subd. (a).)  </w:t>
      </w:r>
      <w:r w:rsidR="00B06D5C" w:rsidRPr="00D87414">
        <w:rPr>
          <w:szCs w:val="26"/>
          <w:shd w:val="clear" w:color="auto" w:fill="FFFFFF"/>
        </w:rPr>
        <w:t xml:space="preserve">In addition to </w:t>
      </w:r>
      <w:r w:rsidRPr="00D87414">
        <w:rPr>
          <w:szCs w:val="26"/>
          <w:shd w:val="clear" w:color="auto" w:fill="FFFFFF"/>
        </w:rPr>
        <w:t xml:space="preserve">these general rules, the </w:t>
      </w:r>
      <w:r w:rsidR="00664F59">
        <w:rPr>
          <w:szCs w:val="26"/>
          <w:shd w:val="clear" w:color="auto" w:fill="FFFFFF"/>
        </w:rPr>
        <w:t>PAPA</w:t>
      </w:r>
      <w:r w:rsidRPr="00D87414">
        <w:rPr>
          <w:szCs w:val="26"/>
          <w:shd w:val="clear" w:color="auto" w:fill="FFFFFF"/>
        </w:rPr>
        <w:t xml:space="preserve"> specifies particular areas of practice, such as “[t]he practice of dentistry,” that physician assistants may not perform even under the supervision of a licensed physician.  (</w:t>
      </w:r>
      <w:r w:rsidRPr="00D87414">
        <w:rPr>
          <w:i/>
          <w:iCs/>
          <w:szCs w:val="26"/>
          <w:shd w:val="clear" w:color="auto" w:fill="FFFFFF"/>
        </w:rPr>
        <w:t>Id.</w:t>
      </w:r>
      <w:r w:rsidRPr="00D87414">
        <w:rPr>
          <w:szCs w:val="26"/>
          <w:shd w:val="clear" w:color="auto" w:fill="FFFFFF"/>
        </w:rPr>
        <w:t>, former § 3502, subd. (d).)</w:t>
      </w:r>
    </w:p>
    <w:p w14:paraId="4072B3FA" w14:textId="171E384E" w:rsidR="00B06D5C" w:rsidRPr="00D87414" w:rsidRDefault="003B49A5" w:rsidP="00D87414">
      <w:pPr>
        <w:ind w:firstLine="720"/>
        <w:rPr>
          <w:shd w:val="clear" w:color="auto" w:fill="FFFFFF"/>
        </w:rPr>
      </w:pPr>
      <w:r w:rsidRPr="00D87414">
        <w:rPr>
          <w:szCs w:val="26"/>
        </w:rPr>
        <w:t>The question here is whether a physician assistant who establishes a legal relationship with a supervising physician through a DSA, but in practice receives minimal or no supervision, is nonetheless practicing within “</w:t>
      </w:r>
      <w:r w:rsidRPr="00D87414">
        <w:rPr>
          <w:szCs w:val="26"/>
          <w:shd w:val="clear" w:color="auto" w:fill="FFFFFF"/>
        </w:rPr>
        <w:t xml:space="preserve">the scope of services for which the provider is licensed.”  </w:t>
      </w:r>
      <w:r w:rsidRPr="00D87414">
        <w:rPr>
          <w:szCs w:val="26"/>
        </w:rPr>
        <w:t>(</w:t>
      </w:r>
      <w:r w:rsidRPr="00D87414">
        <w:rPr>
          <w:szCs w:val="26"/>
          <w:bdr w:val="none" w:sz="0" w:space="0" w:color="auto" w:frame="1"/>
        </w:rPr>
        <w:t>§ 3333.2, subd. (c)(2)</w:t>
      </w:r>
      <w:r w:rsidRPr="00D87414">
        <w:rPr>
          <w:szCs w:val="26"/>
        </w:rPr>
        <w:t>.)</w:t>
      </w:r>
      <w:r w:rsidR="00B06D5C" w:rsidRPr="00D87414">
        <w:rPr>
          <w:szCs w:val="26"/>
          <w:shd w:val="clear" w:color="auto" w:fill="FFFFFF"/>
        </w:rPr>
        <w:t xml:space="preserve">  </w:t>
      </w:r>
      <w:r w:rsidR="00BB26FA" w:rsidRPr="00D87414">
        <w:rPr>
          <w:szCs w:val="26"/>
        </w:rPr>
        <w:t xml:space="preserve">Because a physician assistant </w:t>
      </w:r>
      <w:r w:rsidR="0067637E" w:rsidRPr="00D87414">
        <w:rPr>
          <w:szCs w:val="26"/>
        </w:rPr>
        <w:t>is only authorized to perform services “when the services are rendered under the supervision of a licensed physician and surgeon,” t</w:t>
      </w:r>
      <w:r w:rsidR="0013652E" w:rsidRPr="00D87414">
        <w:rPr>
          <w:szCs w:val="26"/>
        </w:rPr>
        <w:t>his</w:t>
      </w:r>
      <w:r w:rsidR="00B06D5C" w:rsidRPr="00D87414">
        <w:rPr>
          <w:szCs w:val="26"/>
          <w:shd w:val="clear" w:color="auto" w:fill="FFFFFF"/>
        </w:rPr>
        <w:t xml:space="preserve"> boils down to a</w:t>
      </w:r>
      <w:r w:rsidRPr="00D87414">
        <w:rPr>
          <w:szCs w:val="26"/>
          <w:shd w:val="clear" w:color="auto" w:fill="FFFFFF"/>
        </w:rPr>
        <w:t xml:space="preserve"> </w:t>
      </w:r>
      <w:r w:rsidR="00C85A38" w:rsidRPr="00D87414">
        <w:rPr>
          <w:szCs w:val="26"/>
          <w:shd w:val="clear" w:color="auto" w:fill="FFFFFF"/>
        </w:rPr>
        <w:t>question of</w:t>
      </w:r>
      <w:r w:rsidRPr="00D87414">
        <w:rPr>
          <w:szCs w:val="26"/>
          <w:shd w:val="clear" w:color="auto" w:fill="FFFFFF"/>
        </w:rPr>
        <w:t xml:space="preserve"> what it means for a physician assistant to be “under the supervision” of a licensed physician.  </w:t>
      </w:r>
      <w:r w:rsidR="00B06D5C" w:rsidRPr="00D87414">
        <w:rPr>
          <w:szCs w:val="26"/>
          <w:bdr w:val="none" w:sz="0" w:space="0" w:color="auto" w:frame="1"/>
          <w:shd w:val="clear" w:color="auto" w:fill="FFFFFF"/>
        </w:rPr>
        <w:t>(</w:t>
      </w:r>
      <w:r w:rsidR="00B06D5C" w:rsidRPr="00D87414">
        <w:rPr>
          <w:szCs w:val="26"/>
          <w:shd w:val="clear" w:color="auto" w:fill="FFFFFF"/>
        </w:rPr>
        <w:t xml:space="preserve">Bus. &amp; Prof. Code, </w:t>
      </w:r>
      <w:r w:rsidR="0055058D">
        <w:rPr>
          <w:szCs w:val="26"/>
          <w:shd w:val="clear" w:color="auto" w:fill="FFFFFF"/>
        </w:rPr>
        <w:t xml:space="preserve">former </w:t>
      </w:r>
      <w:r w:rsidR="00B06D5C" w:rsidRPr="00D87414">
        <w:rPr>
          <w:szCs w:val="26"/>
          <w:shd w:val="clear" w:color="auto" w:fill="FFFFFF"/>
        </w:rPr>
        <w:t>§ 3502, subd. (a</w:t>
      </w:r>
      <w:r w:rsidR="00B06D5C" w:rsidRPr="00D87414">
        <w:rPr>
          <w:shd w:val="clear" w:color="auto" w:fill="FFFFFF"/>
        </w:rPr>
        <w:t>).)</w:t>
      </w:r>
    </w:p>
    <w:p w14:paraId="58396797" w14:textId="406C4708" w:rsidR="003B49A5" w:rsidRPr="00D87414" w:rsidRDefault="003B49A5" w:rsidP="00D87414">
      <w:pPr>
        <w:ind w:firstLine="720"/>
        <w:rPr>
          <w:szCs w:val="26"/>
          <w:shd w:val="clear" w:color="auto" w:fill="FFFFFF"/>
        </w:rPr>
      </w:pPr>
      <w:r w:rsidRPr="00D87414">
        <w:rPr>
          <w:szCs w:val="26"/>
          <w:shd w:val="clear" w:color="auto" w:fill="FFFFFF"/>
        </w:rPr>
        <w:t>According to Lopez, th</w:t>
      </w:r>
      <w:r w:rsidR="00154306" w:rsidRPr="00D87414">
        <w:rPr>
          <w:szCs w:val="26"/>
          <w:shd w:val="clear" w:color="auto" w:fill="FFFFFF"/>
        </w:rPr>
        <w:t>at phrase</w:t>
      </w:r>
      <w:r w:rsidRPr="00D87414">
        <w:rPr>
          <w:szCs w:val="26"/>
          <w:shd w:val="clear" w:color="auto" w:fill="FFFFFF"/>
        </w:rPr>
        <w:t xml:space="preserve"> means that the level of supervision provided by the assigned supervising physician must be </w:t>
      </w:r>
      <w:r w:rsidRPr="00D87414">
        <w:rPr>
          <w:i/>
          <w:iCs/>
          <w:szCs w:val="26"/>
          <w:shd w:val="clear" w:color="auto" w:fill="FFFFFF"/>
        </w:rPr>
        <w:t>adequate</w:t>
      </w:r>
      <w:r w:rsidRPr="00D87414">
        <w:rPr>
          <w:szCs w:val="26"/>
          <w:shd w:val="clear" w:color="auto" w:fill="FFFFFF"/>
        </w:rPr>
        <w:t xml:space="preserve"> under the governing statutes and regulations.  By contrast, Freesemann and Hughes contend that a physician assistant is “under the supervision” of a licensed physician so long as the physician has taken on the </w:t>
      </w:r>
      <w:r w:rsidRPr="00D87414">
        <w:rPr>
          <w:i/>
          <w:iCs/>
          <w:szCs w:val="26"/>
          <w:shd w:val="clear" w:color="auto" w:fill="FFFFFF"/>
        </w:rPr>
        <w:t>legal responsibility</w:t>
      </w:r>
      <w:r w:rsidRPr="00D87414">
        <w:rPr>
          <w:szCs w:val="26"/>
          <w:shd w:val="clear" w:color="auto" w:fill="FFFFFF"/>
        </w:rPr>
        <w:t xml:space="preserve"> to supervise the physician assistant through the formation of a DSA, regardless of the adequacy of supervision at any given time.  Both are </w:t>
      </w:r>
      <w:r w:rsidR="000B77A2" w:rsidRPr="00D87414">
        <w:rPr>
          <w:szCs w:val="26"/>
          <w:shd w:val="clear" w:color="auto" w:fill="FFFFFF"/>
        </w:rPr>
        <w:t xml:space="preserve">reasonable </w:t>
      </w:r>
      <w:r w:rsidRPr="00D87414">
        <w:rPr>
          <w:szCs w:val="26"/>
          <w:shd w:val="clear" w:color="auto" w:fill="FFFFFF"/>
        </w:rPr>
        <w:t>interpretations of the statut</w:t>
      </w:r>
      <w:r w:rsidR="000B77A2" w:rsidRPr="00D87414">
        <w:rPr>
          <w:szCs w:val="26"/>
          <w:shd w:val="clear" w:color="auto" w:fill="FFFFFF"/>
        </w:rPr>
        <w:t>e’s ambiguous</w:t>
      </w:r>
      <w:r w:rsidRPr="00D87414">
        <w:rPr>
          <w:szCs w:val="26"/>
          <w:shd w:val="clear" w:color="auto" w:fill="FFFFFF"/>
        </w:rPr>
        <w:t xml:space="preserve"> text.  But we do not read the text in a vacuum; our </w:t>
      </w:r>
      <w:r w:rsidRPr="00D87414">
        <w:rPr>
          <w:szCs w:val="26"/>
          <w:shd w:val="clear" w:color="auto" w:fill="FFFFFF"/>
        </w:rPr>
        <w:lastRenderedPageBreak/>
        <w:t xml:space="preserve">task is to construe </w:t>
      </w:r>
      <w:r w:rsidR="00EC7C93" w:rsidRPr="00D87414">
        <w:rPr>
          <w:szCs w:val="26"/>
          <w:shd w:val="clear" w:color="auto" w:fill="FFFFFF"/>
        </w:rPr>
        <w:t>the statutory language</w:t>
      </w:r>
      <w:r w:rsidRPr="00D87414">
        <w:rPr>
          <w:szCs w:val="26"/>
          <w:shd w:val="clear" w:color="auto" w:fill="FFFFFF"/>
        </w:rPr>
        <w:t xml:space="preserve"> in a manner that “comports most closely with the apparent intent of the Legislature, with a view to promoting rather than defeating the general purpose of the statute, and avoid an interpretation that would lead to absurd consequences.”  (</w:t>
      </w:r>
      <w:r w:rsidRPr="00D87414">
        <w:rPr>
          <w:rStyle w:val="Emphasis"/>
          <w:szCs w:val="26"/>
          <w:bdr w:val="none" w:sz="0" w:space="0" w:color="auto" w:frame="1"/>
          <w:shd w:val="clear" w:color="auto" w:fill="FFFFFF"/>
        </w:rPr>
        <w:t>People v. Jenkins</w:t>
      </w:r>
      <w:r w:rsidRPr="00D87414">
        <w:rPr>
          <w:szCs w:val="26"/>
          <w:bdr w:val="none" w:sz="0" w:space="0" w:color="auto" w:frame="1"/>
          <w:shd w:val="clear" w:color="auto" w:fill="FFFFFF"/>
        </w:rPr>
        <w:t> (1995) 10 Cal.4th 234, 246</w:t>
      </w:r>
      <w:r w:rsidRPr="00D87414">
        <w:rPr>
          <w:szCs w:val="26"/>
          <w:shd w:val="clear" w:color="auto" w:fill="FFFFFF"/>
        </w:rPr>
        <w:t>.)</w:t>
      </w:r>
    </w:p>
    <w:p w14:paraId="0B4C535D" w14:textId="7D62C699" w:rsidR="005F31C9" w:rsidRPr="00D87414" w:rsidRDefault="007F5D7F" w:rsidP="00D87414">
      <w:pPr>
        <w:ind w:firstLine="720"/>
        <w:rPr>
          <w:szCs w:val="26"/>
          <w:shd w:val="clear" w:color="auto" w:fill="FFFFFF"/>
        </w:rPr>
      </w:pPr>
      <w:r w:rsidRPr="00D87414">
        <w:rPr>
          <w:szCs w:val="26"/>
          <w:shd w:val="clear" w:color="auto" w:fill="FFFFFF"/>
        </w:rPr>
        <w:t>The version of Business and Professions Code section 3501 that applies to this case defined “supervision” to mean that a licensed physician “oversees the activities of, and accepts responsibility for, the services rendered by the physician assistant.”</w:t>
      </w:r>
      <w:r w:rsidRPr="00D87414">
        <w:rPr>
          <w:shd w:val="clear" w:color="auto" w:fill="FFFFFF"/>
        </w:rPr>
        <w:t xml:space="preserve">  </w:t>
      </w:r>
      <w:r w:rsidRPr="00D87414">
        <w:rPr>
          <w:szCs w:val="26"/>
          <w:shd w:val="clear" w:color="auto" w:fill="FFFFFF"/>
        </w:rPr>
        <w:t xml:space="preserve">(Bus. &amp; Prof. Code, </w:t>
      </w:r>
      <w:r w:rsidR="005C1B16">
        <w:rPr>
          <w:szCs w:val="26"/>
          <w:shd w:val="clear" w:color="auto" w:fill="FFFFFF"/>
        </w:rPr>
        <w:t xml:space="preserve">former </w:t>
      </w:r>
      <w:r w:rsidRPr="00D87414">
        <w:rPr>
          <w:szCs w:val="26"/>
          <w:shd w:val="clear" w:color="auto" w:fill="FFFFFF"/>
        </w:rPr>
        <w:t xml:space="preserve">§ 3501, subd. </w:t>
      </w:r>
      <w:r w:rsidR="00712144">
        <w:rPr>
          <w:szCs w:val="26"/>
          <w:shd w:val="clear" w:color="auto" w:fill="FFFFFF"/>
        </w:rPr>
        <w:t xml:space="preserve">(a)(6) [now subd. </w:t>
      </w:r>
      <w:r w:rsidRPr="00D87414">
        <w:rPr>
          <w:szCs w:val="26"/>
          <w:shd w:val="clear" w:color="auto" w:fill="FFFFFF"/>
        </w:rPr>
        <w:t>(f)</w:t>
      </w:r>
      <w:r w:rsidR="00712144">
        <w:rPr>
          <w:szCs w:val="26"/>
          <w:shd w:val="clear" w:color="auto" w:fill="FFFFFF"/>
        </w:rPr>
        <w:t>(1)]</w:t>
      </w:r>
      <w:r w:rsidRPr="00D87414">
        <w:rPr>
          <w:szCs w:val="26"/>
          <w:shd w:val="clear" w:color="auto" w:fill="FFFFFF"/>
        </w:rPr>
        <w:t xml:space="preserve">.)  This language suggests that </w:t>
      </w:r>
      <w:r w:rsidR="00D837EF" w:rsidRPr="00D87414">
        <w:rPr>
          <w:szCs w:val="26"/>
          <w:shd w:val="clear" w:color="auto" w:fill="FFFFFF"/>
        </w:rPr>
        <w:t xml:space="preserve">a </w:t>
      </w:r>
      <w:r w:rsidRPr="00D87414">
        <w:rPr>
          <w:szCs w:val="26"/>
          <w:shd w:val="clear" w:color="auto" w:fill="FFFFFF"/>
        </w:rPr>
        <w:t>physician</w:t>
      </w:r>
      <w:r w:rsidR="00D837EF" w:rsidRPr="00D87414">
        <w:rPr>
          <w:szCs w:val="26"/>
          <w:shd w:val="clear" w:color="auto" w:fill="FFFFFF"/>
        </w:rPr>
        <w:t xml:space="preserve"> “supervis[es]” a physician assistant when the physician </w:t>
      </w:r>
      <w:r w:rsidRPr="00D87414">
        <w:rPr>
          <w:szCs w:val="26"/>
          <w:shd w:val="clear" w:color="auto" w:fill="FFFFFF"/>
        </w:rPr>
        <w:t>undertake</w:t>
      </w:r>
      <w:r w:rsidR="00D837EF" w:rsidRPr="00D87414">
        <w:rPr>
          <w:szCs w:val="26"/>
          <w:shd w:val="clear" w:color="auto" w:fill="FFFFFF"/>
        </w:rPr>
        <w:t>s</w:t>
      </w:r>
      <w:r w:rsidRPr="00D87414">
        <w:rPr>
          <w:szCs w:val="26"/>
          <w:shd w:val="clear" w:color="auto" w:fill="FFFFFF"/>
        </w:rPr>
        <w:t xml:space="preserve"> legal responsibility for the physician assistant’s conduct</w:t>
      </w:r>
      <w:r w:rsidR="00D837EF" w:rsidRPr="00D87414">
        <w:rPr>
          <w:szCs w:val="26"/>
          <w:shd w:val="clear" w:color="auto" w:fill="FFFFFF"/>
        </w:rPr>
        <w:t xml:space="preserve">.  While that provision has recently been amended to </w:t>
      </w:r>
      <w:r w:rsidR="00712144">
        <w:rPr>
          <w:szCs w:val="26"/>
          <w:shd w:val="clear" w:color="auto" w:fill="FFFFFF"/>
        </w:rPr>
        <w:t xml:space="preserve">additionally specify that supervision </w:t>
      </w:r>
      <w:r w:rsidR="00D837EF" w:rsidRPr="00D87414">
        <w:rPr>
          <w:szCs w:val="26"/>
          <w:shd w:val="clear" w:color="auto" w:fill="FFFFFF"/>
        </w:rPr>
        <w:t>require</w:t>
      </w:r>
      <w:r w:rsidR="00712144">
        <w:rPr>
          <w:szCs w:val="26"/>
          <w:shd w:val="clear" w:color="auto" w:fill="FFFFFF"/>
        </w:rPr>
        <w:t>s</w:t>
      </w:r>
      <w:r w:rsidR="00D837EF" w:rsidRPr="00D87414">
        <w:rPr>
          <w:szCs w:val="26"/>
          <w:shd w:val="clear" w:color="auto" w:fill="FFFFFF"/>
        </w:rPr>
        <w:t xml:space="preserve"> “[a]dherence to adequate supervision as agreed to in the </w:t>
      </w:r>
      <w:r w:rsidR="00D837EF" w:rsidRPr="00B81DA7">
        <w:rPr>
          <w:szCs w:val="26"/>
          <w:shd w:val="clear" w:color="auto" w:fill="FFFFFF"/>
        </w:rPr>
        <w:t>practice agreement</w:t>
      </w:r>
      <w:r w:rsidR="00D837EF" w:rsidRPr="00D87414">
        <w:rPr>
          <w:szCs w:val="26"/>
          <w:shd w:val="clear" w:color="auto" w:fill="FFFFFF"/>
        </w:rPr>
        <w:t xml:space="preserve">,” the </w:t>
      </w:r>
      <w:r w:rsidR="00EC7C93" w:rsidRPr="00D87414">
        <w:rPr>
          <w:szCs w:val="26"/>
          <w:shd w:val="clear" w:color="auto" w:fill="FFFFFF"/>
        </w:rPr>
        <w:t>amended</w:t>
      </w:r>
      <w:r w:rsidR="00D837EF" w:rsidRPr="00D87414">
        <w:rPr>
          <w:szCs w:val="26"/>
          <w:shd w:val="clear" w:color="auto" w:fill="FFFFFF"/>
        </w:rPr>
        <w:t xml:space="preserve"> law is not before us today.  (Bus. &amp; Prof. Code, § 3501, subd. (f)(1)(A).)</w:t>
      </w:r>
    </w:p>
    <w:p w14:paraId="3E2EE234" w14:textId="64CE2397" w:rsidR="003B49A5" w:rsidRPr="00D87414" w:rsidRDefault="00232372" w:rsidP="00D87414">
      <w:pPr>
        <w:ind w:firstLine="720"/>
        <w:rPr>
          <w:szCs w:val="26"/>
          <w:shd w:val="clear" w:color="auto" w:fill="FFFFFF"/>
        </w:rPr>
      </w:pPr>
      <w:r w:rsidRPr="00D87414">
        <w:rPr>
          <w:szCs w:val="26"/>
          <w:shd w:val="clear" w:color="auto" w:fill="FFFFFF"/>
        </w:rPr>
        <w:t>Further</w:t>
      </w:r>
      <w:r w:rsidR="00D837EF" w:rsidRPr="00D87414">
        <w:rPr>
          <w:szCs w:val="26"/>
          <w:shd w:val="clear" w:color="auto" w:fill="FFFFFF"/>
        </w:rPr>
        <w:t>, a</w:t>
      </w:r>
      <w:r w:rsidR="003B49A5" w:rsidRPr="00D87414">
        <w:rPr>
          <w:szCs w:val="26"/>
          <w:shd w:val="clear" w:color="auto" w:fill="FFFFFF"/>
        </w:rPr>
        <w:t xml:space="preserve">s noted, the Legislature enacted MICRA “in response to rapidly increasing premiums for medical malpractice insurance” that threatened </w:t>
      </w:r>
      <w:r w:rsidR="003B49A5" w:rsidRPr="00D87414">
        <w:rPr>
          <w:szCs w:val="26"/>
          <w:bdr w:val="none" w:sz="0" w:space="0" w:color="auto" w:frame="1"/>
          <w:shd w:val="clear" w:color="auto" w:fill="FFFFFF"/>
        </w:rPr>
        <w:t xml:space="preserve">the </w:t>
      </w:r>
      <w:r w:rsidR="003B49A5" w:rsidRPr="00D87414">
        <w:rPr>
          <w:szCs w:val="26"/>
          <w:shd w:val="clear" w:color="auto" w:fill="FFFFFF"/>
        </w:rPr>
        <w:t>availability of adequate medical care in California.  (</w:t>
      </w:r>
      <w:r w:rsidR="003B49A5" w:rsidRPr="00D87414">
        <w:rPr>
          <w:i/>
          <w:iCs/>
          <w:szCs w:val="26"/>
          <w:shd w:val="clear" w:color="auto" w:fill="FFFFFF"/>
        </w:rPr>
        <w:t>Preferred Risk</w:t>
      </w:r>
      <w:r w:rsidR="003B49A5" w:rsidRPr="00D87414">
        <w:rPr>
          <w:szCs w:val="26"/>
          <w:shd w:val="clear" w:color="auto" w:fill="FFFFFF"/>
        </w:rPr>
        <w:t xml:space="preserve"> </w:t>
      </w:r>
      <w:r w:rsidR="003B49A5" w:rsidRPr="00D87414">
        <w:rPr>
          <w:i/>
          <w:iCs/>
          <w:szCs w:val="26"/>
          <w:shd w:val="clear" w:color="auto" w:fill="FFFFFF"/>
        </w:rPr>
        <w:t>Mutual Ins</w:t>
      </w:r>
      <w:r w:rsidR="00712144">
        <w:rPr>
          <w:i/>
          <w:iCs/>
          <w:szCs w:val="26"/>
          <w:shd w:val="clear" w:color="auto" w:fill="FFFFFF"/>
        </w:rPr>
        <w:t>.</w:t>
      </w:r>
      <w:r w:rsidR="003B49A5" w:rsidRPr="00D87414">
        <w:rPr>
          <w:i/>
          <w:iCs/>
          <w:szCs w:val="26"/>
          <w:shd w:val="clear" w:color="auto" w:fill="FFFFFF"/>
        </w:rPr>
        <w:t xml:space="preserve"> Co. v. Reiswig</w:t>
      </w:r>
      <w:r w:rsidR="003B49A5" w:rsidRPr="00D87414">
        <w:rPr>
          <w:szCs w:val="26"/>
          <w:shd w:val="clear" w:color="auto" w:fill="FFFFFF"/>
        </w:rPr>
        <w:t xml:space="preserve"> (1999) 21 Cal.4th 208, 214; </w:t>
      </w:r>
      <w:r w:rsidR="00712144">
        <w:rPr>
          <w:szCs w:val="26"/>
          <w:shd w:val="clear" w:color="auto" w:fill="FFFFFF"/>
        </w:rPr>
        <w:t xml:space="preserve">see </w:t>
      </w:r>
      <w:r w:rsidR="003B49A5" w:rsidRPr="00D87414">
        <w:rPr>
          <w:i/>
          <w:iCs/>
          <w:szCs w:val="26"/>
          <w:shd w:val="clear" w:color="auto" w:fill="FFFFFF"/>
        </w:rPr>
        <w:t>Western Steamship</w:t>
      </w:r>
      <w:r w:rsidR="003B49A5" w:rsidRPr="00D87414">
        <w:rPr>
          <w:szCs w:val="26"/>
          <w:shd w:val="clear" w:color="auto" w:fill="FFFFFF"/>
        </w:rPr>
        <w:t xml:space="preserve">, </w:t>
      </w:r>
      <w:r w:rsidR="003B49A5" w:rsidRPr="00D87414">
        <w:rPr>
          <w:i/>
          <w:iCs/>
          <w:szCs w:val="26"/>
          <w:shd w:val="clear" w:color="auto" w:fill="FFFFFF"/>
        </w:rPr>
        <w:t>supra</w:t>
      </w:r>
      <w:r w:rsidR="003B49A5" w:rsidRPr="00D87414">
        <w:rPr>
          <w:szCs w:val="26"/>
          <w:shd w:val="clear" w:color="auto" w:fill="FFFFFF"/>
        </w:rPr>
        <w:t>, 8 Cal.4th at p. 111.)  “MICRA provisions should be construed liberally in order to promote the legislative interest . . . to reduce [these] premiums.”  (</w:t>
      </w:r>
      <w:r w:rsidR="003B49A5" w:rsidRPr="00D87414">
        <w:rPr>
          <w:i/>
          <w:iCs/>
          <w:szCs w:val="26"/>
          <w:shd w:val="clear" w:color="auto" w:fill="FFFFFF"/>
        </w:rPr>
        <w:t>Preferred Risk</w:t>
      </w:r>
      <w:r w:rsidR="003B49A5" w:rsidRPr="00D87414">
        <w:rPr>
          <w:szCs w:val="26"/>
          <w:shd w:val="clear" w:color="auto" w:fill="FFFFFF"/>
        </w:rPr>
        <w:t>, at p. 215.)</w:t>
      </w:r>
      <w:r w:rsidR="00104A27" w:rsidRPr="00D87414">
        <w:rPr>
          <w:szCs w:val="26"/>
          <w:shd w:val="clear" w:color="auto" w:fill="FFFFFF"/>
        </w:rPr>
        <w:t xml:space="preserve">  The </w:t>
      </w:r>
      <w:r w:rsidR="005C1B16">
        <w:rPr>
          <w:szCs w:val="26"/>
          <w:shd w:val="clear" w:color="auto" w:fill="FFFFFF"/>
        </w:rPr>
        <w:t>a</w:t>
      </w:r>
      <w:r w:rsidR="00104A27" w:rsidRPr="00D87414">
        <w:rPr>
          <w:szCs w:val="26"/>
          <w:shd w:val="clear" w:color="auto" w:fill="FFFFFF"/>
        </w:rPr>
        <w:t>ct</w:t>
      </w:r>
      <w:r w:rsidR="003B49A5" w:rsidRPr="00D87414">
        <w:rPr>
          <w:szCs w:val="26"/>
          <w:shd w:val="clear" w:color="auto" w:fill="FFFFFF"/>
        </w:rPr>
        <w:t xml:space="preserve"> aims “to contain the costs of malpractice insurance by controlling or redistributing liability for damages, thereby maximizing the availability of medical services to meet the state’s health care needs.”  (</w:t>
      </w:r>
      <w:r w:rsidR="003B49A5" w:rsidRPr="00D87414">
        <w:rPr>
          <w:i/>
          <w:iCs/>
          <w:szCs w:val="26"/>
          <w:shd w:val="clear" w:color="auto" w:fill="FFFFFF"/>
        </w:rPr>
        <w:t>Western Steamship</w:t>
      </w:r>
      <w:r w:rsidR="003B49A5" w:rsidRPr="00D87414">
        <w:rPr>
          <w:szCs w:val="26"/>
          <w:shd w:val="clear" w:color="auto" w:fill="FFFFFF"/>
        </w:rPr>
        <w:t xml:space="preserve">, at p. 112.)  </w:t>
      </w:r>
      <w:r w:rsidR="003B49A5" w:rsidRPr="00D87414">
        <w:rPr>
          <w:szCs w:val="26"/>
          <w:shd w:val="clear" w:color="auto" w:fill="FFFFFF"/>
        </w:rPr>
        <w:lastRenderedPageBreak/>
        <w:t>“Section 3333.2 constitutes a key component of this program.”  (</w:t>
      </w:r>
      <w:r w:rsidR="00584286" w:rsidRPr="00D87414">
        <w:rPr>
          <w:i/>
          <w:iCs/>
          <w:szCs w:val="26"/>
          <w:shd w:val="clear" w:color="auto" w:fill="FFFFFF"/>
        </w:rPr>
        <w:t>Western Steamship</w:t>
      </w:r>
      <w:r w:rsidR="00584286" w:rsidRPr="00D87414">
        <w:rPr>
          <w:szCs w:val="26"/>
          <w:shd w:val="clear" w:color="auto" w:fill="FFFFFF"/>
        </w:rPr>
        <w:t>,</w:t>
      </w:r>
      <w:r w:rsidR="003B49A5" w:rsidRPr="00D87414">
        <w:rPr>
          <w:szCs w:val="26"/>
          <w:shd w:val="clear" w:color="auto" w:fill="FFFFFF"/>
        </w:rPr>
        <w:t xml:space="preserve"> at p. 114.)  The $250,000 cap was designed “to control and reduce medical malpractice insurance costs by placing a predictable, uniform limit on the defendant’s liability for noneconomic damages.”  (</w:t>
      </w:r>
      <w:r w:rsidR="003B49A5" w:rsidRPr="00D87414">
        <w:rPr>
          <w:i/>
          <w:iCs/>
          <w:szCs w:val="26"/>
          <w:shd w:val="clear" w:color="auto" w:fill="FFFFFF"/>
        </w:rPr>
        <w:t>Salgado v. County of Los Angeles</w:t>
      </w:r>
      <w:r w:rsidR="003B49A5" w:rsidRPr="00D87414">
        <w:rPr>
          <w:szCs w:val="26"/>
          <w:shd w:val="clear" w:color="auto" w:fill="FFFFFF"/>
        </w:rPr>
        <w:t xml:space="preserve"> (1998) 19 Cal.4th 629, 641 (</w:t>
      </w:r>
      <w:r w:rsidR="003B49A5" w:rsidRPr="00D87414">
        <w:rPr>
          <w:i/>
          <w:iCs/>
          <w:szCs w:val="26"/>
          <w:shd w:val="clear" w:color="auto" w:fill="FFFFFF"/>
        </w:rPr>
        <w:t>Salgado</w:t>
      </w:r>
      <w:r w:rsidR="003B49A5" w:rsidRPr="00D87414">
        <w:rPr>
          <w:szCs w:val="26"/>
          <w:shd w:val="clear" w:color="auto" w:fill="FFFFFF"/>
        </w:rPr>
        <w:t>).)  An interpretation of the “scope of services” proviso based on adequacy of supervision “would threaten not only this goal but also the broader purpose of MICRA” (</w:t>
      </w:r>
      <w:r w:rsidR="003B49A5" w:rsidRPr="00D87414">
        <w:rPr>
          <w:i/>
          <w:iCs/>
          <w:szCs w:val="26"/>
          <w:shd w:val="clear" w:color="auto" w:fill="FFFFFF"/>
        </w:rPr>
        <w:t>Western Steamship</w:t>
      </w:r>
      <w:r w:rsidR="003B49A5" w:rsidRPr="00D87414">
        <w:rPr>
          <w:szCs w:val="26"/>
          <w:shd w:val="clear" w:color="auto" w:fill="FFFFFF"/>
        </w:rPr>
        <w:t>, at p. 112)</w:t>
      </w:r>
      <w:r w:rsidRPr="00D87414">
        <w:rPr>
          <w:szCs w:val="26"/>
          <w:shd w:val="clear" w:color="auto" w:fill="FFFFFF"/>
        </w:rPr>
        <w:t xml:space="preserve"> for several reasons.</w:t>
      </w:r>
    </w:p>
    <w:p w14:paraId="4DF70ECC" w14:textId="39A81500" w:rsidR="003B49A5" w:rsidRPr="00D87414" w:rsidRDefault="003B49A5" w:rsidP="00D87414">
      <w:pPr>
        <w:ind w:firstLine="720"/>
        <w:rPr>
          <w:szCs w:val="26"/>
          <w:shd w:val="clear" w:color="auto" w:fill="FFFFFF"/>
        </w:rPr>
      </w:pPr>
      <w:r w:rsidRPr="00D87414">
        <w:rPr>
          <w:szCs w:val="26"/>
          <w:shd w:val="clear" w:color="auto" w:fill="FFFFFF"/>
        </w:rPr>
        <w:t>First, a standard</w:t>
      </w:r>
      <w:r w:rsidRPr="00D87414">
        <w:rPr>
          <w:shd w:val="clear" w:color="auto" w:fill="FFFFFF"/>
        </w:rPr>
        <w:t xml:space="preserve"> based on adequacy of supervision </w:t>
      </w:r>
      <w:r w:rsidRPr="00D87414">
        <w:rPr>
          <w:szCs w:val="26"/>
          <w:bdr w:val="none" w:sz="0" w:space="0" w:color="auto" w:frame="1"/>
          <w:shd w:val="clear" w:color="auto" w:fill="FFFFFF"/>
        </w:rPr>
        <w:t xml:space="preserve">could create inconsistencies in damages depending on whether a plaintiff sues the supervising physician or the physician assistant.  A supervising physician who provides inadequate supervision to a physician assistant may be directly liable for his or her own negligence.  </w:t>
      </w:r>
      <w:r w:rsidRPr="00D87414">
        <w:rPr>
          <w:szCs w:val="26"/>
          <w:shd w:val="clear" w:color="auto" w:fill="FFFFFF"/>
        </w:rPr>
        <w:t xml:space="preserve">(See </w:t>
      </w:r>
      <w:r w:rsidRPr="00D87414">
        <w:rPr>
          <w:rStyle w:val="Emphasis"/>
          <w:szCs w:val="26"/>
          <w:bdr w:val="none" w:sz="0" w:space="0" w:color="auto" w:frame="1"/>
          <w:shd w:val="clear" w:color="auto" w:fill="FFFFFF"/>
        </w:rPr>
        <w:t>Delfino v. Agilent Technologies, Inc.</w:t>
      </w:r>
      <w:r w:rsidRPr="00D87414">
        <w:rPr>
          <w:szCs w:val="26"/>
          <w:bdr w:val="none" w:sz="0" w:space="0" w:color="auto" w:frame="1"/>
          <w:shd w:val="clear" w:color="auto" w:fill="FFFFFF"/>
        </w:rPr>
        <w:t xml:space="preserve"> (2006) 145 Cal.App.4th 790, 815 </w:t>
      </w:r>
      <w:r w:rsidRPr="00D87414">
        <w:rPr>
          <w:szCs w:val="26"/>
          <w:shd w:val="clear" w:color="auto" w:fill="FFFFFF"/>
        </w:rPr>
        <w:t>[“Liability for negligent supervision and/or retention of an employee is one of direct liability for negligence, not vicarious liability.”].)  Under such a theory of liability, any noneconomic damages would be subject to the cap in section 3333.2 because a supervising physician who negligently supervises a physician assistant who commits malpractice acts “within the scope of services for which the provider is licensed.”  (§ 3333.2, subd. (c)(2</w:t>
      </w:r>
      <w:r w:rsidRPr="00896743">
        <w:rPr>
          <w:szCs w:val="26"/>
          <w:shd w:val="clear" w:color="auto" w:fill="FFFFFF"/>
        </w:rPr>
        <w:t>).)</w:t>
      </w:r>
      <w:r w:rsidRPr="002C3F88">
        <w:rPr>
          <w:szCs w:val="26"/>
          <w:shd w:val="clear" w:color="auto" w:fill="FFFFFF"/>
        </w:rPr>
        <w:t xml:space="preserve">  </w:t>
      </w:r>
      <w:r w:rsidRPr="00896743">
        <w:rPr>
          <w:szCs w:val="26"/>
          <w:shd w:val="clear" w:color="auto" w:fill="FFFFFF"/>
        </w:rPr>
        <w:t>Bu</w:t>
      </w:r>
      <w:r w:rsidRPr="00D87414">
        <w:rPr>
          <w:szCs w:val="26"/>
          <w:shd w:val="clear" w:color="auto" w:fill="FFFFFF"/>
        </w:rPr>
        <w:t xml:space="preserve">t, </w:t>
      </w:r>
      <w:r w:rsidR="008D621B" w:rsidRPr="00D87414">
        <w:rPr>
          <w:szCs w:val="26"/>
          <w:shd w:val="clear" w:color="auto" w:fill="FFFFFF"/>
        </w:rPr>
        <w:t>in</w:t>
      </w:r>
      <w:r w:rsidRPr="00D87414">
        <w:rPr>
          <w:szCs w:val="26"/>
          <w:shd w:val="clear" w:color="auto" w:fill="FFFFFF"/>
        </w:rPr>
        <w:t xml:space="preserve"> Lopez’s view, if the plaintiff pursued a negligence claim against the physician assistant, the limit on noneconomic damages would not apply because the inadequate supervision would render the physician assistant outside the scope of his or her license.  “Permitting an unlimited award of noneconomic damages against the physician assistant and only a limited award against the supervising physician based upon the same harm would be both irrational and inconsistent with MICRA’s goal of </w:t>
      </w:r>
      <w:r w:rsidRPr="00D87414">
        <w:rPr>
          <w:szCs w:val="26"/>
          <w:shd w:val="clear" w:color="auto" w:fill="FFFFFF"/>
        </w:rPr>
        <w:lastRenderedPageBreak/>
        <w:t>predictability in damage awards.”  (</w:t>
      </w:r>
      <w:r w:rsidRPr="00D87414">
        <w:rPr>
          <w:i/>
          <w:iCs/>
          <w:szCs w:val="26"/>
          <w:shd w:val="clear" w:color="auto" w:fill="FFFFFF"/>
        </w:rPr>
        <w:t>Lopez</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46 Cal.App.5th at p. 998.)</w:t>
      </w:r>
    </w:p>
    <w:p w14:paraId="19FF8925" w14:textId="6EFCA490" w:rsidR="003B49A5" w:rsidRPr="00D87414" w:rsidRDefault="006347D8" w:rsidP="00D87414">
      <w:pPr>
        <w:ind w:firstLine="720"/>
        <w:rPr>
          <w:b/>
          <w:szCs w:val="26"/>
          <w:bdr w:val="none" w:sz="0" w:space="0" w:color="auto" w:frame="1"/>
          <w:shd w:val="clear" w:color="auto" w:fill="FFFFFF"/>
        </w:rPr>
      </w:pPr>
      <w:r w:rsidRPr="00D87414">
        <w:rPr>
          <w:szCs w:val="26"/>
          <w:shd w:val="clear" w:color="auto" w:fill="FFFFFF"/>
        </w:rPr>
        <w:t>Second</w:t>
      </w:r>
      <w:r w:rsidR="003B49A5" w:rsidRPr="00D87414">
        <w:rPr>
          <w:szCs w:val="26"/>
          <w:shd w:val="clear" w:color="auto" w:fill="FFFFFF"/>
        </w:rPr>
        <w:t xml:space="preserve">, the </w:t>
      </w:r>
      <w:r w:rsidR="003B49A5" w:rsidRPr="00D87414">
        <w:rPr>
          <w:szCs w:val="26"/>
          <w:bdr w:val="none" w:sz="0" w:space="0" w:color="auto" w:frame="1"/>
          <w:shd w:val="clear" w:color="auto" w:fill="FFFFFF"/>
        </w:rPr>
        <w:t>regulations governing physician assistants place most of the onus of ensuring compliance with day</w:t>
      </w:r>
      <w:r w:rsidR="003B49A5" w:rsidRPr="00D87414">
        <w:rPr>
          <w:szCs w:val="26"/>
          <w:bdr w:val="none" w:sz="0" w:space="0" w:color="auto" w:frame="1"/>
          <w:shd w:val="clear" w:color="auto" w:fill="FFFFFF"/>
        </w:rPr>
        <w:noBreakHyphen/>
        <w:t>to</w:t>
      </w:r>
      <w:r w:rsidR="003B49A5" w:rsidRPr="00D87414">
        <w:rPr>
          <w:szCs w:val="26"/>
          <w:bdr w:val="none" w:sz="0" w:space="0" w:color="auto" w:frame="1"/>
          <w:shd w:val="clear" w:color="auto" w:fill="FFFFFF"/>
        </w:rPr>
        <w:noBreakHyphen/>
        <w:t xml:space="preserve">day supervisory obligations on the supervising physician, not the physician assistant. </w:t>
      </w:r>
      <w:r w:rsidR="003B49A5" w:rsidRPr="00D87414">
        <w:rPr>
          <w:szCs w:val="26"/>
          <w:shd w:val="clear" w:color="auto" w:fill="FFFFFF"/>
        </w:rPr>
        <w:t xml:space="preserve"> Those regulations provide that a “</w:t>
      </w:r>
      <w:r w:rsidR="003B49A5" w:rsidRPr="00D87414">
        <w:rPr>
          <w:iCs/>
          <w:szCs w:val="26"/>
          <w:shd w:val="clear" w:color="auto" w:fill="FFFFFF"/>
        </w:rPr>
        <w:t>supervising physician</w:t>
      </w:r>
      <w:r w:rsidR="003B49A5" w:rsidRPr="00D87414">
        <w:rPr>
          <w:szCs w:val="26"/>
          <w:shd w:val="clear" w:color="auto" w:fill="FFFFFF"/>
        </w:rPr>
        <w:t xml:space="preserve"> shall be available in person or by electronic communication at all times when the physician assistant is caring for patients,” a “</w:t>
      </w:r>
      <w:r w:rsidR="003B49A5" w:rsidRPr="00D87414">
        <w:rPr>
          <w:iCs/>
          <w:szCs w:val="26"/>
          <w:shd w:val="clear" w:color="auto" w:fill="FFFFFF"/>
        </w:rPr>
        <w:t>supervising physician</w:t>
      </w:r>
      <w:r w:rsidR="003B49A5" w:rsidRPr="00D87414">
        <w:rPr>
          <w:szCs w:val="26"/>
          <w:shd w:val="clear" w:color="auto" w:fill="FFFFFF"/>
        </w:rPr>
        <w:t xml:space="preserve"> shall observe or review evidence of the physician assistant’s performance” of all delegated tasks and procedures, and a “</w:t>
      </w:r>
      <w:r w:rsidR="003B49A5" w:rsidRPr="00D87414">
        <w:rPr>
          <w:iCs/>
          <w:szCs w:val="26"/>
          <w:shd w:val="clear" w:color="auto" w:fill="FFFFFF"/>
        </w:rPr>
        <w:t>supervising physician</w:t>
      </w:r>
      <w:r w:rsidR="003B49A5" w:rsidRPr="00D87414">
        <w:rPr>
          <w:szCs w:val="26"/>
          <w:shd w:val="clear" w:color="auto" w:fill="FFFFFF"/>
        </w:rPr>
        <w:t xml:space="preserve"> has continuing responsibility to . . . make sure that the physician assistant does not function autonomously.”  (</w:t>
      </w:r>
      <w:r w:rsidR="003B49A5" w:rsidRPr="00D87414">
        <w:rPr>
          <w:szCs w:val="26"/>
          <w:bdr w:val="none" w:sz="0" w:space="0" w:color="auto" w:frame="1"/>
          <w:shd w:val="clear" w:color="auto" w:fill="FFFFFF"/>
        </w:rPr>
        <w:t>Cal. Code Regs., tit. 16, § 1399.545, subds. (a), (c), (f).)  As a practical matter, a physician assistant may have little ability to monitor or control whether a supervising physician complies with his or her supervisory obligations, such as the obligation to be available at all times.</w:t>
      </w:r>
    </w:p>
    <w:p w14:paraId="1CDFA7B7" w14:textId="41679259" w:rsidR="00636B7A" w:rsidRPr="00D87414" w:rsidRDefault="003B49A5" w:rsidP="00D87414">
      <w:pPr>
        <w:ind w:firstLine="720"/>
        <w:rPr>
          <w:bCs/>
          <w:szCs w:val="26"/>
          <w:bdr w:val="none" w:sz="0" w:space="0" w:color="auto" w:frame="1"/>
          <w:shd w:val="clear" w:color="auto" w:fill="FFFFFF"/>
        </w:rPr>
      </w:pPr>
      <w:r w:rsidRPr="00D87414">
        <w:rPr>
          <w:bCs/>
          <w:szCs w:val="26"/>
          <w:bdr w:val="none" w:sz="0" w:space="0" w:color="auto" w:frame="1"/>
          <w:shd w:val="clear" w:color="auto" w:fill="FFFFFF"/>
        </w:rPr>
        <w:t>The trial court in this case found it likely that Freesemann and Hughes knew they were not adequately supervised.  To take into account a physician assistant’s knowledge, one could craft a rule that deems a physician assistant’s services to be outside the scope of his or her license when the physician assistant knows that the supervising physician violated a supervisory obligation and the physician assistant proceeds to treat patients nonetheless.  It may be that such a rule would protect the health and welfare of some patients by disincentivizing physician assistants from acting autonomously in the face of known supervisory violations.</w:t>
      </w:r>
    </w:p>
    <w:p w14:paraId="7B3D0C88" w14:textId="4792CE95" w:rsidR="003B49A5" w:rsidRPr="00D87414" w:rsidRDefault="007F5E2C" w:rsidP="00D87414">
      <w:pPr>
        <w:ind w:firstLine="720"/>
        <w:rPr>
          <w:bCs/>
          <w:szCs w:val="26"/>
          <w:bdr w:val="none" w:sz="0" w:space="0" w:color="auto" w:frame="1"/>
          <w:shd w:val="clear" w:color="auto" w:fill="FFFFFF"/>
        </w:rPr>
      </w:pPr>
      <w:r w:rsidRPr="00D87414">
        <w:rPr>
          <w:bCs/>
          <w:szCs w:val="26"/>
          <w:bdr w:val="none" w:sz="0" w:space="0" w:color="auto" w:frame="1"/>
          <w:shd w:val="clear" w:color="auto" w:fill="FFFFFF"/>
        </w:rPr>
        <w:lastRenderedPageBreak/>
        <w:t>But</w:t>
      </w:r>
      <w:r w:rsidR="00636B7A" w:rsidRPr="00D87414">
        <w:rPr>
          <w:bCs/>
          <w:szCs w:val="26"/>
          <w:bdr w:val="none" w:sz="0" w:space="0" w:color="auto" w:frame="1"/>
          <w:shd w:val="clear" w:color="auto" w:fill="FFFFFF"/>
        </w:rPr>
        <w:t xml:space="preserve"> </w:t>
      </w:r>
      <w:r w:rsidR="003B49A5" w:rsidRPr="00D87414">
        <w:rPr>
          <w:bCs/>
          <w:szCs w:val="26"/>
          <w:bdr w:val="none" w:sz="0" w:space="0" w:color="auto" w:frame="1"/>
          <w:shd w:val="clear" w:color="auto" w:fill="FFFFFF"/>
        </w:rPr>
        <w:t>such a rule, which no party urges us to adopt, would require case</w:t>
      </w:r>
      <w:r w:rsidR="003B49A5" w:rsidRPr="00D87414">
        <w:rPr>
          <w:bCs/>
          <w:szCs w:val="26"/>
          <w:bdr w:val="none" w:sz="0" w:space="0" w:color="auto" w:frame="1"/>
          <w:shd w:val="clear" w:color="auto" w:fill="FFFFFF"/>
        </w:rPr>
        <w:noBreakHyphen/>
        <w:t>by</w:t>
      </w:r>
      <w:r w:rsidR="003B49A5" w:rsidRPr="00D87414">
        <w:rPr>
          <w:bCs/>
          <w:szCs w:val="26"/>
          <w:bdr w:val="none" w:sz="0" w:space="0" w:color="auto" w:frame="1"/>
          <w:shd w:val="clear" w:color="auto" w:fill="FFFFFF"/>
        </w:rPr>
        <w:noBreakHyphen/>
        <w:t>case inquiry into the nature, timing, and extent of a physician assistant’s knowledge of lapses in supervision.  In circumstances where an injury is attributable to multiple lapses, would it be enough to take a physician assistant’s activities outside the scope of his or her license if the physician assistant knows of some but not all of the lapses?  And for what period of time in relation to the injury must the physician assistant know of the lapses?  The latter question may be especially relevant in the context of a missed diagnosis or failure to provide appropriate treatment over several months or years.  Detailed inquiry into and potential litigation over these fact-intensive questions would be at odds with MICRA’s goal of ensuring predictability in damage awards.</w:t>
      </w:r>
      <w:r w:rsidRPr="00D87414">
        <w:rPr>
          <w:bCs/>
          <w:szCs w:val="26"/>
          <w:bdr w:val="none" w:sz="0" w:space="0" w:color="auto" w:frame="1"/>
          <w:shd w:val="clear" w:color="auto" w:fill="FFFFFF"/>
        </w:rPr>
        <w:t xml:space="preserve">  Moreover, it remains the case </w:t>
      </w:r>
      <w:r w:rsidR="00A60036" w:rsidRPr="00D87414">
        <w:rPr>
          <w:bCs/>
          <w:szCs w:val="26"/>
          <w:bdr w:val="none" w:sz="0" w:space="0" w:color="auto" w:frame="1"/>
          <w:shd w:val="clear" w:color="auto" w:fill="FFFFFF"/>
        </w:rPr>
        <w:t>that</w:t>
      </w:r>
      <w:r w:rsidRPr="00D87414">
        <w:rPr>
          <w:bCs/>
          <w:szCs w:val="26"/>
          <w:bdr w:val="none" w:sz="0" w:space="0" w:color="auto" w:frame="1"/>
          <w:shd w:val="clear" w:color="auto" w:fill="FFFFFF"/>
        </w:rPr>
        <w:t xml:space="preserve"> such </w:t>
      </w:r>
      <w:r w:rsidR="00A60036" w:rsidRPr="00D87414">
        <w:rPr>
          <w:bCs/>
          <w:szCs w:val="26"/>
          <w:bdr w:val="none" w:sz="0" w:space="0" w:color="auto" w:frame="1"/>
          <w:shd w:val="clear" w:color="auto" w:fill="FFFFFF"/>
        </w:rPr>
        <w:t>knowingly autonomous conduct by physician assistants</w:t>
      </w:r>
      <w:r w:rsidRPr="00D87414">
        <w:rPr>
          <w:bCs/>
          <w:szCs w:val="26"/>
          <w:bdr w:val="none" w:sz="0" w:space="0" w:color="auto" w:frame="1"/>
          <w:shd w:val="clear" w:color="auto" w:fill="FFFFFF"/>
        </w:rPr>
        <w:t xml:space="preserve"> </w:t>
      </w:r>
      <w:r w:rsidR="00A60036" w:rsidRPr="00D87414">
        <w:rPr>
          <w:bCs/>
          <w:szCs w:val="26"/>
          <w:bdr w:val="none" w:sz="0" w:space="0" w:color="auto" w:frame="1"/>
          <w:shd w:val="clear" w:color="auto" w:fill="FFFFFF"/>
        </w:rPr>
        <w:t>constitutes</w:t>
      </w:r>
      <w:r w:rsidRPr="00D87414">
        <w:rPr>
          <w:bCs/>
          <w:szCs w:val="26"/>
          <w:bdr w:val="none" w:sz="0" w:space="0" w:color="auto" w:frame="1"/>
          <w:shd w:val="clear" w:color="auto" w:fill="FFFFFF"/>
        </w:rPr>
        <w:t xml:space="preserve"> professional negligence that may </w:t>
      </w:r>
      <w:r w:rsidR="00A60036" w:rsidRPr="00D87414">
        <w:rPr>
          <w:bCs/>
          <w:szCs w:val="26"/>
          <w:bdr w:val="none" w:sz="0" w:space="0" w:color="auto" w:frame="1"/>
          <w:shd w:val="clear" w:color="auto" w:fill="FFFFFF"/>
        </w:rPr>
        <w:t>result in</w:t>
      </w:r>
      <w:r w:rsidRPr="00D87414">
        <w:rPr>
          <w:bCs/>
          <w:szCs w:val="26"/>
          <w:bdr w:val="none" w:sz="0" w:space="0" w:color="auto" w:frame="1"/>
          <w:shd w:val="clear" w:color="auto" w:fill="FFFFFF"/>
        </w:rPr>
        <w:t xml:space="preserve"> legal liability (albeit limited by MICRA) and professional discipline.  </w:t>
      </w:r>
      <w:r w:rsidR="00A60036" w:rsidRPr="00D87414">
        <w:rPr>
          <w:bCs/>
          <w:szCs w:val="26"/>
          <w:bdr w:val="none" w:sz="0" w:space="0" w:color="auto" w:frame="1"/>
          <w:shd w:val="clear" w:color="auto" w:fill="FFFFFF"/>
        </w:rPr>
        <w:t>Although t</w:t>
      </w:r>
      <w:r w:rsidRPr="00D87414">
        <w:rPr>
          <w:bCs/>
          <w:szCs w:val="26"/>
          <w:bdr w:val="none" w:sz="0" w:space="0" w:color="auto" w:frame="1"/>
          <w:shd w:val="clear" w:color="auto" w:fill="FFFFFF"/>
        </w:rPr>
        <w:t xml:space="preserve">hese consequences </w:t>
      </w:r>
      <w:r w:rsidR="00A60036" w:rsidRPr="00D87414">
        <w:rPr>
          <w:bCs/>
          <w:szCs w:val="26"/>
          <w:bdr w:val="none" w:sz="0" w:space="0" w:color="auto" w:frame="1"/>
          <w:shd w:val="clear" w:color="auto" w:fill="FFFFFF"/>
        </w:rPr>
        <w:t xml:space="preserve">do not go as far as Lopez would like, they do </w:t>
      </w:r>
      <w:r w:rsidRPr="00D87414">
        <w:rPr>
          <w:bCs/>
          <w:szCs w:val="26"/>
          <w:bdr w:val="none" w:sz="0" w:space="0" w:color="auto" w:frame="1"/>
          <w:shd w:val="clear" w:color="auto" w:fill="FFFFFF"/>
        </w:rPr>
        <w:t>disincentiv</w:t>
      </w:r>
      <w:r w:rsidR="00A60036" w:rsidRPr="00D87414">
        <w:rPr>
          <w:bCs/>
          <w:szCs w:val="26"/>
          <w:bdr w:val="none" w:sz="0" w:space="0" w:color="auto" w:frame="1"/>
          <w:shd w:val="clear" w:color="auto" w:fill="FFFFFF"/>
        </w:rPr>
        <w:t>ize</w:t>
      </w:r>
      <w:r w:rsidRPr="00D87414">
        <w:rPr>
          <w:bCs/>
          <w:szCs w:val="26"/>
          <w:bdr w:val="none" w:sz="0" w:space="0" w:color="auto" w:frame="1"/>
          <w:shd w:val="clear" w:color="auto" w:fill="FFFFFF"/>
        </w:rPr>
        <w:t xml:space="preserve"> rogue conduct in the known absence of meaningful supervision.</w:t>
      </w:r>
    </w:p>
    <w:p w14:paraId="7016B12B" w14:textId="30864C6E" w:rsidR="003B49A5" w:rsidRPr="00D87414" w:rsidRDefault="003B49A5" w:rsidP="00D87414">
      <w:pPr>
        <w:ind w:firstLine="720"/>
        <w:rPr>
          <w:szCs w:val="26"/>
          <w:shd w:val="clear" w:color="auto" w:fill="FFFFFF"/>
        </w:rPr>
      </w:pPr>
      <w:r w:rsidRPr="00D87414">
        <w:rPr>
          <w:szCs w:val="26"/>
          <w:shd w:val="clear" w:color="auto" w:fill="FFFFFF"/>
        </w:rPr>
        <w:t xml:space="preserve">An interpretation of the “scope of services” proviso based on the legal agency relationship between the supervising physician and physician assistant </w:t>
      </w:r>
      <w:r w:rsidRPr="00D87414">
        <w:rPr>
          <w:szCs w:val="26"/>
          <w:bdr w:val="none" w:sz="0" w:space="0" w:color="auto" w:frame="1"/>
          <w:shd w:val="clear" w:color="auto" w:fill="FFFFFF"/>
        </w:rPr>
        <w:t xml:space="preserve">avoids the </w:t>
      </w:r>
      <w:r w:rsidR="00A60036" w:rsidRPr="00D87414">
        <w:rPr>
          <w:szCs w:val="26"/>
          <w:bdr w:val="none" w:sz="0" w:space="0" w:color="auto" w:frame="1"/>
          <w:shd w:val="clear" w:color="auto" w:fill="FFFFFF"/>
        </w:rPr>
        <w:t xml:space="preserve">unpredictability discussed </w:t>
      </w:r>
      <w:r w:rsidRPr="00D87414">
        <w:rPr>
          <w:szCs w:val="26"/>
          <w:bdr w:val="none" w:sz="0" w:space="0" w:color="auto" w:frame="1"/>
          <w:shd w:val="clear" w:color="auto" w:fill="FFFFFF"/>
        </w:rPr>
        <w:t xml:space="preserve">above.  Under this interpretation, a physician assistant acts within the scope of his or her license as long as </w:t>
      </w:r>
      <w:r w:rsidR="006347D8" w:rsidRPr="00D87414">
        <w:rPr>
          <w:szCs w:val="26"/>
          <w:bdr w:val="none" w:sz="0" w:space="0" w:color="auto" w:frame="1"/>
          <w:shd w:val="clear" w:color="auto" w:fill="FFFFFF"/>
        </w:rPr>
        <w:t xml:space="preserve">he or </w:t>
      </w:r>
      <w:r w:rsidRPr="00D87414">
        <w:rPr>
          <w:szCs w:val="26"/>
          <w:bdr w:val="none" w:sz="0" w:space="0" w:color="auto" w:frame="1"/>
          <w:shd w:val="clear" w:color="auto" w:fill="FFFFFF"/>
        </w:rPr>
        <w:t>she</w:t>
      </w:r>
      <w:r w:rsidR="006347D8" w:rsidRPr="00D87414">
        <w:rPr>
          <w:szCs w:val="26"/>
          <w:bdr w:val="none" w:sz="0" w:space="0" w:color="auto" w:frame="1"/>
          <w:shd w:val="clear" w:color="auto" w:fill="FFFFFF"/>
        </w:rPr>
        <w:t xml:space="preserve"> acts under an established agency relationship </w:t>
      </w:r>
      <w:r w:rsidRPr="00D87414">
        <w:rPr>
          <w:szCs w:val="26"/>
          <w:bdr w:val="none" w:sz="0" w:space="0" w:color="auto" w:frame="1"/>
          <w:shd w:val="clear" w:color="auto" w:fill="FFFFFF"/>
        </w:rPr>
        <w:t xml:space="preserve">with a licensed physician, provides the type of medical services </w:t>
      </w:r>
      <w:r w:rsidR="006347D8" w:rsidRPr="00D87414">
        <w:rPr>
          <w:szCs w:val="26"/>
          <w:bdr w:val="none" w:sz="0" w:space="0" w:color="auto" w:frame="1"/>
          <w:shd w:val="clear" w:color="auto" w:fill="FFFFFF"/>
        </w:rPr>
        <w:t>he or she is authorized to provide as the physician’s agent</w:t>
      </w:r>
      <w:r w:rsidRPr="00D87414">
        <w:rPr>
          <w:szCs w:val="26"/>
          <w:bdr w:val="none" w:sz="0" w:space="0" w:color="auto" w:frame="1"/>
          <w:shd w:val="clear" w:color="auto" w:fill="FFFFFF"/>
        </w:rPr>
        <w:t xml:space="preserve">, and does not engage in an area of practice prohibited by the </w:t>
      </w:r>
      <w:r w:rsidR="00896743">
        <w:rPr>
          <w:szCs w:val="26"/>
          <w:bdr w:val="none" w:sz="0" w:space="0" w:color="auto" w:frame="1"/>
          <w:shd w:val="clear" w:color="auto" w:fill="FFFFFF"/>
        </w:rPr>
        <w:t>PAPA</w:t>
      </w:r>
      <w:r w:rsidRPr="00D87414">
        <w:rPr>
          <w:szCs w:val="26"/>
          <w:bdr w:val="none" w:sz="0" w:space="0" w:color="auto" w:frame="1"/>
          <w:shd w:val="clear" w:color="auto" w:fill="FFFFFF"/>
        </w:rPr>
        <w:t>.</w:t>
      </w:r>
    </w:p>
    <w:p w14:paraId="3197B0E3" w14:textId="1DA824AE" w:rsidR="003B49A5" w:rsidRPr="00D87414" w:rsidRDefault="003B49A5" w:rsidP="00D87414">
      <w:pPr>
        <w:ind w:firstLine="720"/>
        <w:rPr>
          <w:szCs w:val="26"/>
          <w:bdr w:val="none" w:sz="0" w:space="0" w:color="auto" w:frame="1"/>
          <w:shd w:val="clear" w:color="auto" w:fill="FFFFFF"/>
        </w:rPr>
      </w:pPr>
      <w:r w:rsidRPr="00D87414">
        <w:rPr>
          <w:szCs w:val="26"/>
          <w:shd w:val="clear" w:color="auto" w:fill="FFFFFF"/>
        </w:rPr>
        <w:t xml:space="preserve">A standard based on the formation of a legal agency relationship also comports with </w:t>
      </w:r>
      <w:r w:rsidRPr="00D87414">
        <w:rPr>
          <w:szCs w:val="26"/>
          <w:bdr w:val="none" w:sz="0" w:space="0" w:color="auto" w:frame="1"/>
          <w:shd w:val="clear" w:color="auto" w:fill="FFFFFF"/>
        </w:rPr>
        <w:t xml:space="preserve">MICRA’s goal </w:t>
      </w:r>
      <w:r w:rsidRPr="00D87414">
        <w:rPr>
          <w:szCs w:val="26"/>
          <w:shd w:val="clear" w:color="auto" w:fill="FFFFFF"/>
        </w:rPr>
        <w:t xml:space="preserve">“to control and </w:t>
      </w:r>
      <w:r w:rsidRPr="00D87414">
        <w:rPr>
          <w:szCs w:val="26"/>
          <w:shd w:val="clear" w:color="auto" w:fill="FFFFFF"/>
        </w:rPr>
        <w:lastRenderedPageBreak/>
        <w:t>reduce medical malpractice insurance costs.”  (</w:t>
      </w:r>
      <w:r w:rsidRPr="00D87414">
        <w:rPr>
          <w:i/>
          <w:iCs/>
          <w:szCs w:val="26"/>
          <w:shd w:val="clear" w:color="auto" w:fill="FFFFFF"/>
        </w:rPr>
        <w:t>Salgado</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xml:space="preserve">, 19 Cal.4th at p. 641.)  </w:t>
      </w:r>
      <w:r w:rsidRPr="00D87414">
        <w:rPr>
          <w:szCs w:val="26"/>
          <w:bdr w:val="none" w:sz="0" w:space="0" w:color="auto" w:frame="1"/>
          <w:shd w:val="clear" w:color="auto" w:fill="FFFFFF"/>
        </w:rPr>
        <w:t>“</w:t>
      </w:r>
      <w:r w:rsidRPr="00D87414">
        <w:rPr>
          <w:szCs w:val="26"/>
          <w:shd w:val="clear" w:color="auto" w:fill="FFFFFF"/>
        </w:rPr>
        <w:t>In medical malpractice litigation, noneconomic damages typically account for a large part of a total damage award and, therefore, a large part of the insurance carriers’ expense.”  (</w:t>
      </w:r>
      <w:r w:rsidR="000B77A2" w:rsidRPr="00D87414">
        <w:rPr>
          <w:i/>
          <w:shd w:val="clear" w:color="auto" w:fill="FFFFFF"/>
        </w:rPr>
        <w:t>Perry</w:t>
      </w:r>
      <w:r w:rsidR="000B77A2" w:rsidRPr="00D87414">
        <w:rPr>
          <w:i/>
          <w:iCs/>
          <w:szCs w:val="26"/>
          <w:shd w:val="clear" w:color="auto" w:fill="FFFFFF"/>
        </w:rPr>
        <w:t xml:space="preserve"> v. Shaw</w:t>
      </w:r>
      <w:r w:rsidR="000B77A2" w:rsidRPr="00D87414">
        <w:rPr>
          <w:szCs w:val="26"/>
          <w:shd w:val="clear" w:color="auto" w:fill="FFFFFF"/>
        </w:rPr>
        <w:t xml:space="preserve"> (2001)</w:t>
      </w:r>
      <w:r w:rsidR="000B77A2" w:rsidRPr="00D87414">
        <w:rPr>
          <w:shd w:val="clear" w:color="auto" w:fill="FFFFFF"/>
        </w:rPr>
        <w:t xml:space="preserve"> 88</w:t>
      </w:r>
      <w:r w:rsidR="000B77A2" w:rsidRPr="00D87414">
        <w:rPr>
          <w:szCs w:val="26"/>
          <w:shd w:val="clear" w:color="auto" w:fill="FFFFFF"/>
        </w:rPr>
        <w:t> </w:t>
      </w:r>
      <w:r w:rsidR="000B77A2" w:rsidRPr="00D87414">
        <w:rPr>
          <w:shd w:val="clear" w:color="auto" w:fill="FFFFFF"/>
        </w:rPr>
        <w:t xml:space="preserve">Cal.App.4th </w:t>
      </w:r>
      <w:r w:rsidR="000B77A2" w:rsidRPr="00D87414">
        <w:rPr>
          <w:szCs w:val="26"/>
          <w:shd w:val="clear" w:color="auto" w:fill="FFFFFF"/>
        </w:rPr>
        <w:t xml:space="preserve">658, </w:t>
      </w:r>
      <w:r w:rsidR="000B77A2" w:rsidRPr="00D87414">
        <w:rPr>
          <w:shd w:val="clear" w:color="auto" w:fill="FFFFFF"/>
        </w:rPr>
        <w:t>668</w:t>
      </w:r>
      <w:r w:rsidR="000B77A2" w:rsidRPr="00D87414">
        <w:rPr>
          <w:szCs w:val="26"/>
          <w:shd w:val="clear" w:color="auto" w:fill="FFFFFF"/>
        </w:rPr>
        <w:t xml:space="preserve"> (</w:t>
      </w:r>
      <w:r w:rsidR="000B77A2" w:rsidRPr="00D87414">
        <w:rPr>
          <w:i/>
          <w:iCs/>
          <w:szCs w:val="26"/>
          <w:shd w:val="clear" w:color="auto" w:fill="FFFFFF"/>
        </w:rPr>
        <w:t>Perry</w:t>
      </w:r>
      <w:r w:rsidR="000B77A2" w:rsidRPr="00D87414">
        <w:rPr>
          <w:szCs w:val="26"/>
          <w:shd w:val="clear" w:color="auto" w:fill="FFFFFF"/>
        </w:rPr>
        <w:t>)</w:t>
      </w:r>
      <w:r w:rsidRPr="00D87414">
        <w:rPr>
          <w:szCs w:val="26"/>
          <w:bdr w:val="none" w:sz="0" w:space="0" w:color="auto" w:frame="1"/>
          <w:shd w:val="clear" w:color="auto" w:fill="FFFFFF"/>
        </w:rPr>
        <w:t>.)</w:t>
      </w:r>
      <w:r w:rsidRPr="00D87414">
        <w:rPr>
          <w:szCs w:val="26"/>
          <w:shd w:val="clear" w:color="auto" w:fill="FFFFFF"/>
        </w:rPr>
        <w:t xml:space="preserve">  The size of noneconomic damage awards against a physician assistant affects the supervising physician’s insurance premiums because after an agency relationship is formed, the supervising physician is legally responsible for any malpractice committed by the physician assistant.  (See </w:t>
      </w:r>
      <w:r w:rsidRPr="00D87414">
        <w:rPr>
          <w:szCs w:val="26"/>
          <w:bdr w:val="none" w:sz="0" w:space="0" w:color="auto" w:frame="1"/>
          <w:shd w:val="clear" w:color="auto" w:fill="FFFFFF"/>
        </w:rPr>
        <w:t xml:space="preserve">Cal. Code Regs., tit. 16, § 1399.545, subd. (f) [“The supervising physician shall be responsible for all medical services provided by a physician assistant under his or her supervision.”].)  The risk of unpredictable, large noneconomic damage awards against a physician assistant therefore may impact the malpractice insurance premiums of both the physician assistant and the supervising physician.  </w:t>
      </w:r>
    </w:p>
    <w:p w14:paraId="2369CE75" w14:textId="3F0E248A" w:rsidR="003B49A5" w:rsidRPr="00D87414" w:rsidRDefault="003B49A5" w:rsidP="00D87414">
      <w:pPr>
        <w:ind w:firstLine="720"/>
        <w:rPr>
          <w:szCs w:val="26"/>
          <w:bdr w:val="none" w:sz="0" w:space="0" w:color="auto" w:frame="1"/>
          <w:shd w:val="clear" w:color="auto" w:fill="FFFFFF"/>
        </w:rPr>
      </w:pPr>
      <w:r w:rsidRPr="00D87414">
        <w:rPr>
          <w:szCs w:val="26"/>
          <w:bdr w:val="none" w:sz="0" w:space="0" w:color="auto" w:frame="1"/>
          <w:shd w:val="clear" w:color="auto" w:fill="FFFFFF"/>
        </w:rPr>
        <w:t xml:space="preserve">To be sure, there are reasonable policy arguments for excluding physician assistants who perform medical services without actual supervision from a cap on noneconomic damages, and the Legislature is </w:t>
      </w:r>
      <w:r w:rsidRPr="00D87414">
        <w:rPr>
          <w:bCs/>
          <w:szCs w:val="26"/>
          <w:bdr w:val="none" w:sz="0" w:space="0" w:color="auto" w:frame="1"/>
          <w:shd w:val="clear" w:color="auto" w:fill="FFFFFF"/>
        </w:rPr>
        <w:t>well equipped to weigh and reweigh the competing policy considerations.  But our role is confined to interpreting the statute</w:t>
      </w:r>
      <w:r w:rsidR="000B77A2" w:rsidRPr="00D87414">
        <w:rPr>
          <w:bCs/>
          <w:szCs w:val="26"/>
          <w:bdr w:val="none" w:sz="0" w:space="0" w:color="auto" w:frame="1"/>
          <w:shd w:val="clear" w:color="auto" w:fill="FFFFFF"/>
        </w:rPr>
        <w:t xml:space="preserve"> before us</w:t>
      </w:r>
      <w:r w:rsidRPr="00D87414">
        <w:rPr>
          <w:bCs/>
          <w:szCs w:val="26"/>
          <w:bdr w:val="none" w:sz="0" w:space="0" w:color="auto" w:frame="1"/>
          <w:shd w:val="clear" w:color="auto" w:fill="FFFFFF"/>
        </w:rPr>
        <w:t xml:space="preserve"> in the manner that comports most closely with the Legislature’s purpose in enacting MICRA. </w:t>
      </w:r>
      <w:r w:rsidRPr="00D87414">
        <w:rPr>
          <w:szCs w:val="26"/>
          <w:bdr w:val="none" w:sz="0" w:space="0" w:color="auto" w:frame="1"/>
          <w:shd w:val="clear" w:color="auto" w:fill="FFFFFF"/>
        </w:rPr>
        <w:t xml:space="preserve"> </w:t>
      </w:r>
      <w:r w:rsidR="00A60036" w:rsidRPr="00D87414">
        <w:rPr>
          <w:szCs w:val="26"/>
          <w:bdr w:val="none" w:sz="0" w:space="0" w:color="auto" w:frame="1"/>
          <w:shd w:val="clear" w:color="auto" w:fill="FFFFFF"/>
        </w:rPr>
        <w:t>W</w:t>
      </w:r>
      <w:r w:rsidRPr="00D87414">
        <w:rPr>
          <w:szCs w:val="26"/>
          <w:shd w:val="clear" w:color="auto" w:fill="FFFFFF"/>
        </w:rPr>
        <w:t xml:space="preserve">e hold that a physician assistant practices within the scope of his or her license for purposes of MICRA’s cap on noneconomic damages when </w:t>
      </w:r>
      <w:r w:rsidR="00621B2B" w:rsidRPr="00D87414">
        <w:rPr>
          <w:szCs w:val="26"/>
          <w:shd w:val="clear" w:color="auto" w:fill="FFFFFF"/>
        </w:rPr>
        <w:t>the physician assistant acts as the agent of a</w:t>
      </w:r>
      <w:r w:rsidRPr="00D87414">
        <w:rPr>
          <w:szCs w:val="26"/>
          <w:shd w:val="clear" w:color="auto" w:fill="FFFFFF"/>
        </w:rPr>
        <w:t xml:space="preserve"> licensed physician</w:t>
      </w:r>
      <w:r w:rsidR="00621B2B" w:rsidRPr="00D87414">
        <w:rPr>
          <w:szCs w:val="26"/>
          <w:shd w:val="clear" w:color="auto" w:fill="FFFFFF"/>
        </w:rPr>
        <w:t>,</w:t>
      </w:r>
      <w:r w:rsidRPr="00D87414">
        <w:rPr>
          <w:szCs w:val="26"/>
          <w:shd w:val="clear" w:color="auto" w:fill="FFFFFF"/>
        </w:rPr>
        <w:t xml:space="preserve"> performs the type of services authorized </w:t>
      </w:r>
      <w:r w:rsidR="00621B2B" w:rsidRPr="00D87414">
        <w:rPr>
          <w:szCs w:val="26"/>
          <w:shd w:val="clear" w:color="auto" w:fill="FFFFFF"/>
        </w:rPr>
        <w:t>by that agency relationship</w:t>
      </w:r>
      <w:r w:rsidRPr="00D87414">
        <w:rPr>
          <w:szCs w:val="26"/>
          <w:bdr w:val="none" w:sz="0" w:space="0" w:color="auto" w:frame="1"/>
          <w:shd w:val="clear" w:color="auto" w:fill="FFFFFF"/>
        </w:rPr>
        <w:t xml:space="preserve">, and does not engage in an area of practice prohibited by the </w:t>
      </w:r>
      <w:r w:rsidR="00896743">
        <w:rPr>
          <w:szCs w:val="26"/>
          <w:bdr w:val="none" w:sz="0" w:space="0" w:color="auto" w:frame="1"/>
          <w:shd w:val="clear" w:color="auto" w:fill="FFFFFF"/>
        </w:rPr>
        <w:t>PAPA</w:t>
      </w:r>
      <w:r w:rsidRPr="00D87414">
        <w:rPr>
          <w:szCs w:val="26"/>
          <w:bdr w:val="none" w:sz="0" w:space="0" w:color="auto" w:frame="1"/>
          <w:shd w:val="clear" w:color="auto" w:fill="FFFFFF"/>
        </w:rPr>
        <w:t xml:space="preserve">. </w:t>
      </w:r>
      <w:r w:rsidRPr="00D87414">
        <w:rPr>
          <w:szCs w:val="26"/>
          <w:shd w:val="clear" w:color="auto" w:fill="FFFFFF"/>
        </w:rPr>
        <w:t xml:space="preserve"> (Bus. &amp; Prof. Code, </w:t>
      </w:r>
      <w:r w:rsidR="0055058D">
        <w:rPr>
          <w:szCs w:val="26"/>
          <w:shd w:val="clear" w:color="auto" w:fill="FFFFFF"/>
        </w:rPr>
        <w:t xml:space="preserve">former </w:t>
      </w:r>
      <w:r w:rsidRPr="00D87414">
        <w:rPr>
          <w:szCs w:val="26"/>
          <w:shd w:val="clear" w:color="auto" w:fill="FFFFFF"/>
        </w:rPr>
        <w:t>§ 3502, subd. (d).)</w:t>
      </w:r>
    </w:p>
    <w:p w14:paraId="2D2217C0" w14:textId="77777777" w:rsidR="003B49A5" w:rsidRPr="00D87414" w:rsidRDefault="003B49A5" w:rsidP="008258EC">
      <w:pPr>
        <w:pStyle w:val="Heading2"/>
        <w:ind w:left="0" w:firstLine="0"/>
        <w:jc w:val="center"/>
        <w:rPr>
          <w:shd w:val="clear" w:color="auto" w:fill="FFFFFF"/>
        </w:rPr>
      </w:pPr>
      <w:r w:rsidRPr="00D87414">
        <w:rPr>
          <w:shd w:val="clear" w:color="auto" w:fill="FFFFFF"/>
        </w:rPr>
        <w:lastRenderedPageBreak/>
        <w:t>B.</w:t>
      </w:r>
    </w:p>
    <w:p w14:paraId="0FF5F1E7" w14:textId="73849FA0" w:rsidR="003B49A5" w:rsidRPr="00D87414" w:rsidRDefault="003B49A5" w:rsidP="00D87414">
      <w:pPr>
        <w:rPr>
          <w:szCs w:val="26"/>
          <w:shd w:val="clear" w:color="auto" w:fill="FFFFFF"/>
        </w:rPr>
      </w:pPr>
      <w:r w:rsidRPr="00D87414">
        <w:rPr>
          <w:szCs w:val="26"/>
          <w:shd w:val="clear" w:color="auto" w:fill="FFFFFF"/>
        </w:rPr>
        <w:tab/>
        <w:t xml:space="preserve">Next, we turn to the proviso exempting from section 3333.2 services that are “within any restriction imposed by the licensing agency or licensed hospital.”  (§ 3333.2, subd. (c)(2).)  In </w:t>
      </w:r>
      <w:r w:rsidRPr="00D87414">
        <w:rPr>
          <w:i/>
          <w:iCs/>
          <w:szCs w:val="26"/>
          <w:shd w:val="clear" w:color="auto" w:fill="FFFFFF"/>
        </w:rPr>
        <w:t>Bourhis</w:t>
      </w:r>
      <w:r w:rsidRPr="00D87414">
        <w:rPr>
          <w:szCs w:val="26"/>
          <w:shd w:val="clear" w:color="auto" w:fill="FFFFFF"/>
        </w:rPr>
        <w:t>, we interpreted an identical provision in another section of MICRA.  (</w:t>
      </w:r>
      <w:r w:rsidR="0055058D">
        <w:rPr>
          <w:i/>
          <w:iCs/>
          <w:szCs w:val="26"/>
          <w:shd w:val="clear" w:color="auto" w:fill="FFFFFF"/>
        </w:rPr>
        <w:t>Bourhis</w:t>
      </w:r>
      <w:r w:rsidR="0055058D">
        <w:rPr>
          <w:szCs w:val="26"/>
          <w:shd w:val="clear" w:color="auto" w:fill="FFFFFF"/>
        </w:rPr>
        <w:t>,</w:t>
      </w:r>
      <w:r w:rsidRPr="00D87414">
        <w:rPr>
          <w:szCs w:val="26"/>
          <w:shd w:val="clear" w:color="auto" w:fill="FFFFFF"/>
        </w:rPr>
        <w:t xml:space="preserve"> </w:t>
      </w:r>
      <w:r w:rsidR="00C92FDF" w:rsidRPr="00D87414">
        <w:rPr>
          <w:i/>
          <w:iCs/>
          <w:szCs w:val="26"/>
          <w:shd w:val="clear" w:color="auto" w:fill="FFFFFF"/>
        </w:rPr>
        <w:t>supra</w:t>
      </w:r>
      <w:r w:rsidR="00C92FDF" w:rsidRPr="00D87414">
        <w:rPr>
          <w:szCs w:val="26"/>
          <w:shd w:val="clear" w:color="auto" w:fill="FFFFFF"/>
        </w:rPr>
        <w:t xml:space="preserve">, 40 Cal.3d </w:t>
      </w:r>
      <w:r w:rsidRPr="00D87414">
        <w:rPr>
          <w:szCs w:val="26"/>
          <w:shd w:val="clear" w:color="auto" w:fill="FFFFFF"/>
        </w:rPr>
        <w:t xml:space="preserve">at pp. 435–436; see Bus. &amp; Prof. Code, § 6146, subd. (c)(3).)  </w:t>
      </w:r>
      <w:r w:rsidRPr="00D87414">
        <w:rPr>
          <w:i/>
          <w:iCs/>
          <w:szCs w:val="26"/>
          <w:shd w:val="clear" w:color="auto" w:fill="FFFFFF"/>
        </w:rPr>
        <w:t>Bourhis</w:t>
      </w:r>
      <w:r w:rsidRPr="00D87414">
        <w:rPr>
          <w:szCs w:val="26"/>
          <w:shd w:val="clear" w:color="auto" w:fill="FFFFFF"/>
        </w:rPr>
        <w:t xml:space="preserve"> involved a psychiatrist who allegedly induced the plaintiff “to participate in sexual conduct by suggesting that it was part of the therapy designed to alleviate her sexual inhibitions, and at other times he coerced her to participate by threatening to have her institutionalized if she did not cooperate.”  (</w:t>
      </w:r>
      <w:r w:rsidRPr="00D87414">
        <w:rPr>
          <w:i/>
          <w:iCs/>
          <w:szCs w:val="26"/>
          <w:shd w:val="clear" w:color="auto" w:fill="FFFFFF"/>
        </w:rPr>
        <w:t>Bourhis</w:t>
      </w:r>
      <w:r w:rsidRPr="00D87414">
        <w:rPr>
          <w:szCs w:val="26"/>
          <w:shd w:val="clear" w:color="auto" w:fill="FFFFFF"/>
        </w:rPr>
        <w:t>, at p. 428.)  The case settled before trial, and the attorney retained a higher percentage of the settlement amount than he would have been permitted to retain under the MICRA contingen</w:t>
      </w:r>
      <w:r w:rsidR="00307544">
        <w:rPr>
          <w:szCs w:val="26"/>
          <w:shd w:val="clear" w:color="auto" w:fill="FFFFFF"/>
        </w:rPr>
        <w:t>cy</w:t>
      </w:r>
      <w:r w:rsidRPr="00D87414">
        <w:rPr>
          <w:szCs w:val="26"/>
          <w:shd w:val="clear" w:color="auto" w:fill="FFFFFF"/>
        </w:rPr>
        <w:t xml:space="preserve"> fee limitation in Business and Professions Code section 6146.  (</w:t>
      </w:r>
      <w:r w:rsidRPr="00D87414">
        <w:rPr>
          <w:i/>
          <w:iCs/>
          <w:szCs w:val="26"/>
          <w:shd w:val="clear" w:color="auto" w:fill="FFFFFF"/>
        </w:rPr>
        <w:t>Bourhis</w:t>
      </w:r>
      <w:r w:rsidRPr="00D87414">
        <w:rPr>
          <w:iCs/>
          <w:szCs w:val="26"/>
          <w:shd w:val="clear" w:color="auto" w:fill="FFFFFF"/>
        </w:rPr>
        <w:t>,</w:t>
      </w:r>
      <w:r w:rsidRPr="00D87414">
        <w:rPr>
          <w:szCs w:val="26"/>
          <w:shd w:val="clear" w:color="auto" w:fill="FFFFFF"/>
        </w:rPr>
        <w:t xml:space="preserve"> at pp. 427–428.)</w:t>
      </w:r>
    </w:p>
    <w:p w14:paraId="694DD387" w14:textId="1446CB48" w:rsidR="003B49A5" w:rsidRPr="00D87414" w:rsidRDefault="003B49A5" w:rsidP="00D87414">
      <w:pPr>
        <w:ind w:firstLine="720"/>
        <w:rPr>
          <w:szCs w:val="26"/>
          <w:shd w:val="clear" w:color="auto" w:fill="FFFFFF"/>
        </w:rPr>
      </w:pPr>
      <w:r w:rsidRPr="00D87414">
        <w:rPr>
          <w:szCs w:val="26"/>
          <w:shd w:val="clear" w:color="auto" w:fill="FFFFFF"/>
        </w:rPr>
        <w:t>The attorney argued on appeal that “because sexual misconduct by a psychiatrist toward a patient has long been a basis for disciplinary action by the state’s licensing agency [citation], any cause of action which is based on such misconduct falls within the proviso, as a ‘restriction imposed by the licensing agency.’ ”  (</w:t>
      </w:r>
      <w:r w:rsidRPr="00D87414">
        <w:rPr>
          <w:i/>
          <w:iCs/>
          <w:szCs w:val="26"/>
          <w:shd w:val="clear" w:color="auto" w:fill="FFFFFF"/>
        </w:rPr>
        <w:t>Bourhis</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40 Cal.3d at p. 436</w:t>
      </w:r>
      <w:r w:rsidR="00307544">
        <w:rPr>
          <w:szCs w:val="26"/>
          <w:shd w:val="clear" w:color="auto" w:fill="FFFFFF"/>
        </w:rPr>
        <w:t>, fn. omitted</w:t>
      </w:r>
      <w:r w:rsidRPr="00D87414">
        <w:rPr>
          <w:szCs w:val="26"/>
          <w:shd w:val="clear" w:color="auto" w:fill="FFFFFF"/>
        </w:rPr>
        <w:t>.)  We rejected this argument, explaining that the proviso “obviously was not intended to exclude an action from </w:t>
      </w:r>
      <w:r w:rsidRPr="00D87414">
        <w:rPr>
          <w:szCs w:val="26"/>
          <w:bdr w:val="none" w:sz="0" w:space="0" w:color="auto" w:frame="1"/>
          <w:shd w:val="clear" w:color="auto" w:fill="FFFFFF"/>
        </w:rPr>
        <w:t>section 6146 </w:t>
      </w:r>
      <w:r w:rsidRPr="00D87414">
        <w:rPr>
          <w:szCs w:val="26"/>
          <w:shd w:val="clear" w:color="auto" w:fill="FFFFFF"/>
        </w:rPr>
        <w:t>— or the rest of MICRA — simply because a health care provider acts contrary to professional standards or engages in one of the many specified instances of ‘unprofessional conduct.’  Instead, it was simply intended to render MICRA inapplicable when a provider operates in a capacity for which he is not licensed — for example, when a psychologist performs heart surgery.”  (</w:t>
      </w:r>
      <w:r w:rsidRPr="00D87414">
        <w:rPr>
          <w:i/>
          <w:iCs/>
          <w:szCs w:val="26"/>
          <w:shd w:val="clear" w:color="auto" w:fill="FFFFFF"/>
        </w:rPr>
        <w:t>Ibid.</w:t>
      </w:r>
      <w:r w:rsidRPr="00D87414">
        <w:rPr>
          <w:szCs w:val="26"/>
          <w:shd w:val="clear" w:color="auto" w:fill="FFFFFF"/>
        </w:rPr>
        <w:t xml:space="preserve">)  </w:t>
      </w:r>
      <w:r w:rsidRPr="00D87414">
        <w:rPr>
          <w:szCs w:val="26"/>
          <w:shd w:val="clear" w:color="auto" w:fill="FFFFFF"/>
        </w:rPr>
        <w:lastRenderedPageBreak/>
        <w:t>We held that “the psychiatrist’s conduct arose out of the course of the psychiatric treatment he was licensed to provide.”  (</w:t>
      </w:r>
      <w:r w:rsidRPr="00D87414">
        <w:rPr>
          <w:i/>
          <w:iCs/>
          <w:szCs w:val="26"/>
          <w:shd w:val="clear" w:color="auto" w:fill="FFFFFF"/>
        </w:rPr>
        <w:t>Ibid.</w:t>
      </w:r>
      <w:r w:rsidRPr="00D87414">
        <w:rPr>
          <w:szCs w:val="26"/>
          <w:shd w:val="clear" w:color="auto" w:fill="FFFFFF"/>
        </w:rPr>
        <w:t>)</w:t>
      </w:r>
    </w:p>
    <w:p w14:paraId="69B8CD1D" w14:textId="0FA0ECCE" w:rsidR="003B49A5" w:rsidRPr="00D87414" w:rsidRDefault="003B49A5" w:rsidP="00D87414">
      <w:pPr>
        <w:rPr>
          <w:szCs w:val="26"/>
          <w:shd w:val="clear" w:color="auto" w:fill="FFFFFF"/>
        </w:rPr>
      </w:pPr>
      <w:r w:rsidRPr="00D87414">
        <w:rPr>
          <w:szCs w:val="26"/>
          <w:shd w:val="clear" w:color="auto" w:fill="FFFFFF"/>
        </w:rPr>
        <w:tab/>
        <w:t xml:space="preserve">Lopez argues that a physician assistant who treats patients without adequate supervision renders services “within [a] restriction imposed by the licensing agency.”  (§ 3333.2, subd. (c)(2).)  </w:t>
      </w:r>
      <w:r w:rsidR="00621B2B" w:rsidRPr="00D87414">
        <w:rPr>
          <w:szCs w:val="26"/>
          <w:shd w:val="clear" w:color="auto" w:fill="FFFFFF"/>
        </w:rPr>
        <w:t>We</w:t>
      </w:r>
      <w:r w:rsidRPr="00D87414">
        <w:rPr>
          <w:szCs w:val="26"/>
          <w:shd w:val="clear" w:color="auto" w:fill="FFFFFF"/>
        </w:rPr>
        <w:t xml:space="preserve"> disagree.  The trial court found that the negligible supervision in this case violated several regulations governing the conduct of supervising physicians and physician assistants.  (See, e.g., </w:t>
      </w:r>
      <w:r w:rsidRPr="00D87414">
        <w:rPr>
          <w:szCs w:val="26"/>
          <w:bdr w:val="none" w:sz="0" w:space="0" w:color="auto" w:frame="1"/>
          <w:shd w:val="clear" w:color="auto" w:fill="FFFFFF"/>
        </w:rPr>
        <w:t xml:space="preserve">Cal. Code Regs., tit. 16, </w:t>
      </w:r>
      <w:r w:rsidR="0055058D" w:rsidRPr="00D87414">
        <w:rPr>
          <w:szCs w:val="26"/>
          <w:bdr w:val="none" w:sz="0" w:space="0" w:color="auto" w:frame="1"/>
          <w:shd w:val="clear" w:color="auto" w:fill="FFFFFF"/>
        </w:rPr>
        <w:t>§</w:t>
      </w:r>
      <w:r w:rsidRPr="00D87414">
        <w:rPr>
          <w:szCs w:val="26"/>
          <w:bdr w:val="none" w:sz="0" w:space="0" w:color="auto" w:frame="1"/>
          <w:shd w:val="clear" w:color="auto" w:fill="FFFFFF"/>
        </w:rPr>
        <w:t>§ 1399.545, subd</w:t>
      </w:r>
      <w:r w:rsidR="00307544">
        <w:rPr>
          <w:szCs w:val="26"/>
          <w:bdr w:val="none" w:sz="0" w:space="0" w:color="auto" w:frame="1"/>
          <w:shd w:val="clear" w:color="auto" w:fill="FFFFFF"/>
        </w:rPr>
        <w:t>s</w:t>
      </w:r>
      <w:r w:rsidRPr="00D87414">
        <w:rPr>
          <w:szCs w:val="26"/>
          <w:bdr w:val="none" w:sz="0" w:space="0" w:color="auto" w:frame="1"/>
          <w:shd w:val="clear" w:color="auto" w:fill="FFFFFF"/>
        </w:rPr>
        <w:t>. (a) [“</w:t>
      </w:r>
      <w:r w:rsidRPr="00D87414">
        <w:rPr>
          <w:szCs w:val="26"/>
          <w:shd w:val="clear" w:color="auto" w:fill="FFFFFF"/>
        </w:rPr>
        <w:t>A supervising physician shall be available in person or by electronic communication at all times when the physician assistant is caring for patients.”]</w:t>
      </w:r>
      <w:r w:rsidR="00307544">
        <w:rPr>
          <w:szCs w:val="26"/>
          <w:shd w:val="clear" w:color="auto" w:fill="FFFFFF"/>
        </w:rPr>
        <w:t>,</w:t>
      </w:r>
      <w:r w:rsidR="00307544" w:rsidRPr="00D87414" w:rsidDel="00307544">
        <w:rPr>
          <w:szCs w:val="26"/>
          <w:bdr w:val="none" w:sz="0" w:space="0" w:color="auto" w:frame="1"/>
          <w:shd w:val="clear" w:color="auto" w:fill="FFFFFF"/>
        </w:rPr>
        <w:t xml:space="preserve"> </w:t>
      </w:r>
      <w:r w:rsidRPr="00D87414">
        <w:rPr>
          <w:szCs w:val="26"/>
          <w:bdr w:val="none" w:sz="0" w:space="0" w:color="auto" w:frame="1"/>
          <w:shd w:val="clear" w:color="auto" w:fill="FFFFFF"/>
        </w:rPr>
        <w:t>(f) [“</w:t>
      </w:r>
      <w:r w:rsidRPr="00D87414">
        <w:rPr>
          <w:szCs w:val="26"/>
          <w:shd w:val="clear" w:color="auto" w:fill="FFFFFF"/>
        </w:rPr>
        <w:t>The supervising physician has continuing responsibility to follow the progress of the patient and to make sure that the physician assistant does not function autonomously.”]</w:t>
      </w:r>
      <w:r w:rsidR="0055058D">
        <w:rPr>
          <w:szCs w:val="26"/>
          <w:shd w:val="clear" w:color="auto" w:fill="FFFFFF"/>
        </w:rPr>
        <w:t>,</w:t>
      </w:r>
      <w:r w:rsidRPr="00D87414">
        <w:rPr>
          <w:szCs w:val="26"/>
          <w:bdr w:val="none" w:sz="0" w:space="0" w:color="auto" w:frame="1"/>
          <w:shd w:val="clear" w:color="auto" w:fill="FFFFFF"/>
        </w:rPr>
        <w:t xml:space="preserve"> 1399.540, subd. (d) [“</w:t>
      </w:r>
      <w:r w:rsidRPr="00D87414">
        <w:rPr>
          <w:szCs w:val="26"/>
          <w:shd w:val="clear" w:color="auto" w:fill="FFFFFF"/>
        </w:rPr>
        <w:t>A physician assistant shall consult with a physician regarding any task, procedure or diagnostic problem which the physician assistant determines exceeds his or her level of competence or shall refer such cases to a physician.”].)  But these regulations</w:t>
      </w:r>
      <w:r w:rsidR="00694412" w:rsidRPr="00D87414">
        <w:rPr>
          <w:szCs w:val="26"/>
          <w:shd w:val="clear" w:color="auto" w:fill="FFFFFF"/>
        </w:rPr>
        <w:t xml:space="preserve">, which </w:t>
      </w:r>
      <w:r w:rsidRPr="00D87414">
        <w:rPr>
          <w:szCs w:val="26"/>
          <w:shd w:val="clear" w:color="auto" w:fill="FFFFFF"/>
        </w:rPr>
        <w:t xml:space="preserve">describe </w:t>
      </w:r>
      <w:r w:rsidR="00694412" w:rsidRPr="00D87414">
        <w:rPr>
          <w:szCs w:val="26"/>
          <w:shd w:val="clear" w:color="auto" w:fill="FFFFFF"/>
        </w:rPr>
        <w:t>various</w:t>
      </w:r>
      <w:r w:rsidRPr="00D87414">
        <w:rPr>
          <w:szCs w:val="26"/>
          <w:shd w:val="clear" w:color="auto" w:fill="FFFFFF"/>
        </w:rPr>
        <w:t xml:space="preserve"> requirements of appropriate supervision, are not restrictions imposed by a physician assistant’s licensing agency.  As we explained in </w:t>
      </w:r>
      <w:r w:rsidRPr="00D87414">
        <w:rPr>
          <w:i/>
          <w:iCs/>
          <w:szCs w:val="26"/>
          <w:shd w:val="clear" w:color="auto" w:fill="FFFFFF"/>
        </w:rPr>
        <w:t>Bourhis</w:t>
      </w:r>
      <w:r w:rsidRPr="00D87414">
        <w:rPr>
          <w:szCs w:val="26"/>
          <w:shd w:val="clear" w:color="auto" w:fill="FFFFFF"/>
        </w:rPr>
        <w:t>, the proviso was not intended to exclude an action from MICRA “simply because a health care provider acts contrary to professional standards or engages in one of the many specified instances of ‘unprofessional conduct.’  Instead, it was simply intended to render MICRA inapplicable when a provider operates in a capacity for which he is not licensed</w:t>
      </w:r>
      <w:r w:rsidR="00307544">
        <w:rPr>
          <w:szCs w:val="26"/>
          <w:shd w:val="clear" w:color="auto" w:fill="FFFFFF"/>
        </w:rPr>
        <w:t> . . . </w:t>
      </w:r>
      <w:r w:rsidRPr="00D87414">
        <w:rPr>
          <w:szCs w:val="26"/>
          <w:shd w:val="clear" w:color="auto" w:fill="FFFFFF"/>
        </w:rPr>
        <w:t>.”  (</w:t>
      </w:r>
      <w:r w:rsidRPr="00D87414">
        <w:rPr>
          <w:i/>
          <w:iCs/>
          <w:szCs w:val="26"/>
          <w:shd w:val="clear" w:color="auto" w:fill="FFFFFF"/>
        </w:rPr>
        <w:t>Bourhis</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40 Cal.3d at p. 436.)</w:t>
      </w:r>
    </w:p>
    <w:p w14:paraId="71A1C107" w14:textId="7D4E6D97" w:rsidR="003B49A5" w:rsidRPr="00D87414" w:rsidRDefault="003B49A5" w:rsidP="00D87414">
      <w:pPr>
        <w:rPr>
          <w:szCs w:val="26"/>
          <w:shd w:val="clear" w:color="auto" w:fill="FFFFFF"/>
        </w:rPr>
      </w:pPr>
      <w:r w:rsidRPr="00D87414">
        <w:rPr>
          <w:szCs w:val="26"/>
          <w:shd w:val="clear" w:color="auto" w:fill="FFFFFF"/>
        </w:rPr>
        <w:tab/>
        <w:t xml:space="preserve">The </w:t>
      </w:r>
      <w:r w:rsidR="00896743">
        <w:rPr>
          <w:szCs w:val="26"/>
          <w:shd w:val="clear" w:color="auto" w:fill="FFFFFF"/>
        </w:rPr>
        <w:t xml:space="preserve">PAPA </w:t>
      </w:r>
      <w:r w:rsidRPr="00D87414">
        <w:rPr>
          <w:szCs w:val="26"/>
          <w:shd w:val="clear" w:color="auto" w:fill="FFFFFF"/>
        </w:rPr>
        <w:t xml:space="preserve">provides several examples of restrictions that, if imposed by the licensing agency, would limit a physician assistant’s license and place particular services outside the </w:t>
      </w:r>
      <w:r w:rsidRPr="00D87414">
        <w:rPr>
          <w:szCs w:val="26"/>
          <w:shd w:val="clear" w:color="auto" w:fill="FFFFFF"/>
        </w:rPr>
        <w:lastRenderedPageBreak/>
        <w:t xml:space="preserve">ambits of MICRA.  The Physician Assistant Board may issue a probationary license that imposes “[r]estrictions against engaging in certain types of medical services” or “restrictions on issuing a drug order for controlled substances.”  (Bus. &amp; Prof. Code, </w:t>
      </w:r>
      <w:r w:rsidR="0055058D">
        <w:rPr>
          <w:szCs w:val="26"/>
          <w:shd w:val="clear" w:color="auto" w:fill="FFFFFF"/>
        </w:rPr>
        <w:t xml:space="preserve">former </w:t>
      </w:r>
      <w:r w:rsidRPr="00D87414">
        <w:rPr>
          <w:szCs w:val="26"/>
          <w:shd w:val="clear" w:color="auto" w:fill="FFFFFF"/>
        </w:rPr>
        <w:t>§ 3519.5, subd. (a)(</w:t>
      </w:r>
      <w:r w:rsidR="00307544">
        <w:rPr>
          <w:szCs w:val="26"/>
          <w:shd w:val="clear" w:color="auto" w:fill="FFFFFF"/>
        </w:rPr>
        <w:t>7</w:t>
      </w:r>
      <w:r w:rsidRPr="00D87414">
        <w:rPr>
          <w:szCs w:val="26"/>
          <w:shd w:val="clear" w:color="auto" w:fill="FFFFFF"/>
        </w:rPr>
        <w:t>), (</w:t>
      </w:r>
      <w:r w:rsidR="00307544">
        <w:rPr>
          <w:szCs w:val="26"/>
          <w:shd w:val="clear" w:color="auto" w:fill="FFFFFF"/>
        </w:rPr>
        <w:t>2</w:t>
      </w:r>
      <w:r w:rsidRPr="00D87414">
        <w:rPr>
          <w:szCs w:val="26"/>
          <w:shd w:val="clear" w:color="auto" w:fill="FFFFFF"/>
        </w:rPr>
        <w:t xml:space="preserve">).)  And when a physician assistant is accused of engaging in “unprofessional conduct,” including the violation of the supervisory regulations at issue here, the Physician Assistant Board may, after a hearing, impose “probationary conditions upon a </w:t>
      </w:r>
      <w:r w:rsidR="00307544">
        <w:rPr>
          <w:szCs w:val="26"/>
          <w:shd w:val="clear" w:color="auto" w:fill="FFFFFF"/>
        </w:rPr>
        <w:t>[</w:t>
      </w:r>
      <w:r w:rsidRPr="00D87414">
        <w:rPr>
          <w:szCs w:val="26"/>
          <w:shd w:val="clear" w:color="auto" w:fill="FFFFFF"/>
        </w:rPr>
        <w:t>physician assistant</w:t>
      </w:r>
      <w:r w:rsidR="00307544">
        <w:rPr>
          <w:szCs w:val="26"/>
          <w:shd w:val="clear" w:color="auto" w:fill="FFFFFF"/>
        </w:rPr>
        <w:t>]</w:t>
      </w:r>
      <w:r w:rsidRPr="00D87414">
        <w:rPr>
          <w:szCs w:val="26"/>
          <w:shd w:val="clear" w:color="auto" w:fill="FFFFFF"/>
        </w:rPr>
        <w:t xml:space="preserve"> license.”  (</w:t>
      </w:r>
      <w:r w:rsidRPr="00D87414">
        <w:rPr>
          <w:i/>
          <w:iCs/>
          <w:szCs w:val="26"/>
          <w:shd w:val="clear" w:color="auto" w:fill="FFFFFF"/>
        </w:rPr>
        <w:t>Id.</w:t>
      </w:r>
      <w:r w:rsidRPr="00D87414">
        <w:rPr>
          <w:szCs w:val="26"/>
          <w:shd w:val="clear" w:color="auto" w:fill="FFFFFF"/>
        </w:rPr>
        <w:t>, § 3527, subd. (a).)</w:t>
      </w:r>
      <w:r w:rsidR="004A441B" w:rsidRPr="00D87414">
        <w:rPr>
          <w:szCs w:val="26"/>
          <w:shd w:val="clear" w:color="auto" w:fill="FFFFFF"/>
        </w:rPr>
        <w:t xml:space="preserve">  Such probationary conditions would by definition </w:t>
      </w:r>
      <w:r w:rsidRPr="00D87414">
        <w:rPr>
          <w:szCs w:val="26"/>
          <w:shd w:val="clear" w:color="auto" w:fill="FFFFFF"/>
        </w:rPr>
        <w:t xml:space="preserve">amount to a “restriction imposed by the licensing agency.”  </w:t>
      </w:r>
      <w:r w:rsidRPr="00D87414">
        <w:rPr>
          <w:shd w:val="clear" w:color="auto" w:fill="FFFFFF"/>
        </w:rPr>
        <w:t>(</w:t>
      </w:r>
      <w:r w:rsidR="00307544">
        <w:rPr>
          <w:shd w:val="clear" w:color="auto" w:fill="FFFFFF"/>
        </w:rPr>
        <w:t xml:space="preserve">Civ. Code, </w:t>
      </w:r>
      <w:r w:rsidRPr="00D87414">
        <w:rPr>
          <w:shd w:val="clear" w:color="auto" w:fill="FFFFFF"/>
        </w:rPr>
        <w:t>§ 3333.2, subd. (c)(2</w:t>
      </w:r>
      <w:r w:rsidRPr="00D87414">
        <w:rPr>
          <w:szCs w:val="26"/>
          <w:shd w:val="clear" w:color="auto" w:fill="FFFFFF"/>
        </w:rPr>
        <w:t xml:space="preserve">).)  </w:t>
      </w:r>
      <w:r w:rsidR="004A441B" w:rsidRPr="00D87414">
        <w:rPr>
          <w:szCs w:val="26"/>
          <w:shd w:val="clear" w:color="auto" w:fill="FFFFFF"/>
        </w:rPr>
        <w:t xml:space="preserve">But unprofessional conduct, without more, does not.  </w:t>
      </w:r>
      <w:r w:rsidRPr="00D87414">
        <w:rPr>
          <w:szCs w:val="26"/>
          <w:shd w:val="clear" w:color="auto" w:fill="FFFFFF"/>
        </w:rPr>
        <w:t xml:space="preserve">We agree with the Court of Appeal that “the ‘restriction’ mentioned </w:t>
      </w:r>
      <w:r w:rsidRPr="00D87414">
        <w:rPr>
          <w:szCs w:val="26"/>
        </w:rPr>
        <w:t>in this clause must be a limitation on the scope of a provider’s practice beyond simply the obligation to adhere to standards of professional conduct.”  (</w:t>
      </w:r>
      <w:r w:rsidRPr="00D87414">
        <w:rPr>
          <w:i/>
          <w:iCs/>
          <w:szCs w:val="26"/>
          <w:shd w:val="clear" w:color="auto" w:fill="FFFFFF"/>
        </w:rPr>
        <w:t>Lopez</w:t>
      </w:r>
      <w:r w:rsidR="00CC190C" w:rsidRPr="00D87414">
        <w:rPr>
          <w:szCs w:val="26"/>
          <w:shd w:val="clear" w:color="auto" w:fill="FFFFFF"/>
        </w:rPr>
        <w:t xml:space="preserve">, </w:t>
      </w:r>
      <w:r w:rsidR="00CC190C" w:rsidRPr="00D87414">
        <w:rPr>
          <w:i/>
          <w:iCs/>
          <w:szCs w:val="26"/>
          <w:shd w:val="clear" w:color="auto" w:fill="FFFFFF"/>
        </w:rPr>
        <w:t>supra</w:t>
      </w:r>
      <w:r w:rsidR="00CC190C" w:rsidRPr="00D87414">
        <w:rPr>
          <w:szCs w:val="26"/>
          <w:shd w:val="clear" w:color="auto" w:fill="FFFFFF"/>
        </w:rPr>
        <w:t xml:space="preserve">, </w:t>
      </w:r>
      <w:r w:rsidRPr="00D87414">
        <w:rPr>
          <w:szCs w:val="26"/>
          <w:shd w:val="clear" w:color="auto" w:fill="FFFFFF"/>
        </w:rPr>
        <w:t xml:space="preserve">46 Cal.App.5th </w:t>
      </w:r>
      <w:r w:rsidR="00CC190C" w:rsidRPr="00D87414">
        <w:rPr>
          <w:szCs w:val="26"/>
          <w:shd w:val="clear" w:color="auto" w:fill="FFFFFF"/>
        </w:rPr>
        <w:t>at p.</w:t>
      </w:r>
      <w:r w:rsidR="00CC190C" w:rsidRPr="00D87414">
        <w:rPr>
          <w:szCs w:val="26"/>
        </w:rPr>
        <w:t> </w:t>
      </w:r>
      <w:r w:rsidRPr="00D87414">
        <w:rPr>
          <w:szCs w:val="26"/>
        </w:rPr>
        <w:t>997, fn. 17.)</w:t>
      </w:r>
    </w:p>
    <w:p w14:paraId="65770E2B" w14:textId="5FFB44D7" w:rsidR="003B49A5" w:rsidRPr="00D87414" w:rsidRDefault="003B49A5" w:rsidP="00D87414">
      <w:pPr>
        <w:ind w:firstLine="720"/>
        <w:rPr>
          <w:szCs w:val="26"/>
          <w:shd w:val="clear" w:color="auto" w:fill="FFFFFF"/>
        </w:rPr>
      </w:pPr>
      <w:r w:rsidRPr="00D87414">
        <w:rPr>
          <w:szCs w:val="26"/>
          <w:shd w:val="clear" w:color="auto" w:fill="FFFFFF"/>
        </w:rPr>
        <w:t>If unprofessional conduct of the kind at issue here were alone sufficient to trigger the “within any restriction imposed by the licensing agency” proviso</w:t>
      </w:r>
      <w:r w:rsidR="00307544">
        <w:rPr>
          <w:szCs w:val="26"/>
          <w:shd w:val="clear" w:color="auto" w:fill="FFFFFF"/>
        </w:rPr>
        <w:t xml:space="preserve"> in section </w:t>
      </w:r>
      <w:r w:rsidR="00307544" w:rsidRPr="00D87414">
        <w:rPr>
          <w:shd w:val="clear" w:color="auto" w:fill="FFFFFF"/>
        </w:rPr>
        <w:t>§ 3333.2, subd</w:t>
      </w:r>
      <w:r w:rsidR="00307544">
        <w:rPr>
          <w:shd w:val="clear" w:color="auto" w:fill="FFFFFF"/>
        </w:rPr>
        <w:t>ivision</w:t>
      </w:r>
      <w:r w:rsidR="00307544" w:rsidRPr="00D87414">
        <w:rPr>
          <w:shd w:val="clear" w:color="auto" w:fill="FFFFFF"/>
        </w:rPr>
        <w:t> (c)(2</w:t>
      </w:r>
      <w:r w:rsidR="00307544" w:rsidRPr="00D87414">
        <w:rPr>
          <w:szCs w:val="26"/>
          <w:shd w:val="clear" w:color="auto" w:fill="FFFFFF"/>
        </w:rPr>
        <w:t>)</w:t>
      </w:r>
      <w:r w:rsidRPr="00D87414">
        <w:rPr>
          <w:szCs w:val="26"/>
          <w:shd w:val="clear" w:color="auto" w:fill="FFFFFF"/>
        </w:rPr>
        <w:t>, then medical malpractice plaintiffs could avoid MICRA’s damages cap by identifying one member of a health care team who violates a single regulation governing that team.  That individual, and potentially the supervising physician under a theory of vicarious liability, would then be subject to unlimited liability for noneconomic damages.</w:t>
      </w:r>
      <w:r w:rsidR="004E6919" w:rsidRPr="00D87414">
        <w:rPr>
          <w:szCs w:val="26"/>
          <w:shd w:val="clear" w:color="auto" w:fill="FFFFFF"/>
        </w:rPr>
        <w:t xml:space="preserve">  </w:t>
      </w:r>
      <w:r w:rsidRPr="00D87414">
        <w:rPr>
          <w:szCs w:val="26"/>
          <w:shd w:val="clear" w:color="auto" w:fill="FFFFFF"/>
        </w:rPr>
        <w:t xml:space="preserve">Allowing medical malpractice plaintiffs to avoid the MICRA cap in this way would be at odds with MICRA’s purpose to “control and reduce medical malpractice insurance costs by placing a predictable, uniform limit on a defendant’s liability for </w:t>
      </w:r>
      <w:r w:rsidRPr="00D87414">
        <w:rPr>
          <w:szCs w:val="26"/>
          <w:shd w:val="clear" w:color="auto" w:fill="FFFFFF"/>
        </w:rPr>
        <w:lastRenderedPageBreak/>
        <w:t>noneconomic damages.”  (</w:t>
      </w:r>
      <w:r w:rsidRPr="00D87414">
        <w:rPr>
          <w:i/>
          <w:iCs/>
          <w:szCs w:val="26"/>
          <w:shd w:val="clear" w:color="auto" w:fill="FFFFFF"/>
        </w:rPr>
        <w:t>Salgado</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19 Cal.4th at p. 641.)  Neither the language of MICRA nor the legislative history provide</w:t>
      </w:r>
      <w:r w:rsidR="00154306" w:rsidRPr="00D87414">
        <w:rPr>
          <w:szCs w:val="26"/>
          <w:shd w:val="clear" w:color="auto" w:fill="FFFFFF"/>
        </w:rPr>
        <w:t>s</w:t>
      </w:r>
      <w:r w:rsidRPr="00D87414">
        <w:rPr>
          <w:szCs w:val="26"/>
          <w:shd w:val="clear" w:color="auto" w:fill="FFFFFF"/>
        </w:rPr>
        <w:t xml:space="preserve"> any indication that the Legislature intended to enact such a broad exemption from the cap.  </w:t>
      </w:r>
      <w:r w:rsidR="00694412" w:rsidRPr="00D87414">
        <w:rPr>
          <w:szCs w:val="26"/>
          <w:shd w:val="clear" w:color="auto" w:fill="FFFFFF"/>
        </w:rPr>
        <w:t>W</w:t>
      </w:r>
      <w:r w:rsidRPr="00D87414">
        <w:rPr>
          <w:szCs w:val="26"/>
          <w:shd w:val="clear" w:color="auto" w:fill="FFFFFF"/>
        </w:rPr>
        <w:t>e hold that a physician assistant does not render services “within [a] restriction imposed by the licensing agency” (§ 3333.2, subd. (c)(2)) simply by engaging in unprofessional conduct, such as the noncompliance with supervisory regulations at issue in this case.</w:t>
      </w:r>
    </w:p>
    <w:p w14:paraId="236785BA" w14:textId="77777777" w:rsidR="003B49A5" w:rsidRPr="00D87414" w:rsidRDefault="003B49A5" w:rsidP="008258EC">
      <w:pPr>
        <w:pStyle w:val="Heading2"/>
        <w:ind w:left="0" w:firstLine="0"/>
        <w:jc w:val="center"/>
        <w:rPr>
          <w:shd w:val="clear" w:color="auto" w:fill="FFFFFF"/>
        </w:rPr>
      </w:pPr>
      <w:r w:rsidRPr="00D87414">
        <w:rPr>
          <w:shd w:val="clear" w:color="auto" w:fill="FFFFFF"/>
        </w:rPr>
        <w:t>C.</w:t>
      </w:r>
    </w:p>
    <w:p w14:paraId="64498113" w14:textId="6CF12608" w:rsidR="00104A27" w:rsidRPr="00D87414" w:rsidRDefault="00104A27" w:rsidP="00D87414">
      <w:pPr>
        <w:ind w:firstLine="720"/>
        <w:rPr>
          <w:szCs w:val="26"/>
          <w:shd w:val="clear" w:color="auto" w:fill="FFFFFF"/>
        </w:rPr>
      </w:pPr>
      <w:r w:rsidRPr="00D87414">
        <w:rPr>
          <w:szCs w:val="26"/>
          <w:shd w:val="clear" w:color="auto" w:fill="FFFFFF"/>
        </w:rPr>
        <w:t xml:space="preserve">Lopez cites </w:t>
      </w:r>
      <w:r w:rsidRPr="00D87414">
        <w:rPr>
          <w:i/>
          <w:iCs/>
          <w:szCs w:val="26"/>
          <w:shd w:val="clear" w:color="auto" w:fill="FFFFFF"/>
        </w:rPr>
        <w:t xml:space="preserve">Perry </w:t>
      </w:r>
      <w:r w:rsidRPr="00D87414">
        <w:rPr>
          <w:szCs w:val="26"/>
          <w:shd w:val="clear" w:color="auto" w:fill="FFFFFF"/>
        </w:rPr>
        <w:t>for the proposition that MICRA’s cap on noneconomic damages should be construed narrowly.  But the</w:t>
      </w:r>
      <w:r w:rsidR="00694412" w:rsidRPr="00D87414">
        <w:rPr>
          <w:szCs w:val="26"/>
          <w:shd w:val="clear" w:color="auto" w:fill="FFFFFF"/>
        </w:rPr>
        <w:t xml:space="preserve"> Court of Appeal in</w:t>
      </w:r>
      <w:r w:rsidRPr="00D87414">
        <w:rPr>
          <w:szCs w:val="26"/>
          <w:shd w:val="clear" w:color="auto" w:fill="FFFFFF"/>
        </w:rPr>
        <w:t xml:space="preserve"> </w:t>
      </w:r>
      <w:r w:rsidRPr="00D87414">
        <w:rPr>
          <w:i/>
          <w:iCs/>
          <w:szCs w:val="26"/>
          <w:shd w:val="clear" w:color="auto" w:fill="FFFFFF"/>
        </w:rPr>
        <w:t>Perry</w:t>
      </w:r>
      <w:r w:rsidRPr="00D87414">
        <w:rPr>
          <w:szCs w:val="26"/>
          <w:shd w:val="clear" w:color="auto" w:fill="FFFFFF"/>
        </w:rPr>
        <w:t xml:space="preserve"> reached no such conclusion.  Instead, the </w:t>
      </w:r>
      <w:r w:rsidR="00694412" w:rsidRPr="00D87414">
        <w:rPr>
          <w:szCs w:val="26"/>
          <w:shd w:val="clear" w:color="auto" w:fill="FFFFFF"/>
        </w:rPr>
        <w:t>c</w:t>
      </w:r>
      <w:r w:rsidRPr="00D87414">
        <w:rPr>
          <w:szCs w:val="26"/>
          <w:shd w:val="clear" w:color="auto" w:fill="FFFFFF"/>
        </w:rPr>
        <w:t>ourt declined to apply MICRA’s cap on noneconomic damages to intentional torts because “section 3333.2 applies only in actions ‘based on professional negligence,’ ” and nothing in the legislative history “suggest[s] the Legislature intended to exempt intentional wrongdoers from liability by treating such conduct as though it had been nothing more than mere negligence.”  (</w:t>
      </w:r>
      <w:r w:rsidRPr="00D87414">
        <w:rPr>
          <w:i/>
          <w:iCs/>
          <w:szCs w:val="26"/>
          <w:shd w:val="clear" w:color="auto" w:fill="FFFFFF"/>
        </w:rPr>
        <w:t>Perry</w:t>
      </w:r>
      <w:r w:rsidRPr="00D87414">
        <w:rPr>
          <w:szCs w:val="26"/>
          <w:shd w:val="clear" w:color="auto" w:fill="FFFFFF"/>
        </w:rPr>
        <w:t>,</w:t>
      </w:r>
      <w:r w:rsidR="000B77A2" w:rsidRPr="00D87414">
        <w:rPr>
          <w:szCs w:val="26"/>
          <w:shd w:val="clear" w:color="auto" w:fill="FFFFFF"/>
        </w:rPr>
        <w:t xml:space="preserve"> </w:t>
      </w:r>
      <w:r w:rsidR="000B77A2" w:rsidRPr="00D87414">
        <w:rPr>
          <w:i/>
          <w:iCs/>
          <w:szCs w:val="26"/>
          <w:shd w:val="clear" w:color="auto" w:fill="FFFFFF"/>
        </w:rPr>
        <w:t>supra</w:t>
      </w:r>
      <w:r w:rsidR="000B77A2" w:rsidRPr="00D87414">
        <w:rPr>
          <w:szCs w:val="26"/>
          <w:shd w:val="clear" w:color="auto" w:fill="FFFFFF"/>
        </w:rPr>
        <w:t>, 88 Cal.App.4th</w:t>
      </w:r>
      <w:r w:rsidRPr="00D87414">
        <w:rPr>
          <w:szCs w:val="26"/>
          <w:shd w:val="clear" w:color="auto" w:fill="FFFFFF"/>
        </w:rPr>
        <w:t xml:space="preserve"> at p. 669.)  No intentional wrongdoing is at issue here.</w:t>
      </w:r>
    </w:p>
    <w:p w14:paraId="5581FEF2" w14:textId="14EDC9F6" w:rsidR="003B49A5" w:rsidRPr="002C3F88" w:rsidRDefault="003B49A5" w:rsidP="00D87414">
      <w:pPr>
        <w:ind w:firstLine="720"/>
        <w:rPr>
          <w:szCs w:val="26"/>
          <w:shd w:val="clear" w:color="auto" w:fill="FFFFFF"/>
        </w:rPr>
      </w:pPr>
      <w:r w:rsidRPr="00D87414">
        <w:rPr>
          <w:szCs w:val="26"/>
          <w:shd w:val="clear" w:color="auto" w:fill="FFFFFF"/>
        </w:rPr>
        <w:t xml:space="preserve">Lopez </w:t>
      </w:r>
      <w:r w:rsidR="00104A27" w:rsidRPr="00D87414">
        <w:rPr>
          <w:szCs w:val="26"/>
          <w:shd w:val="clear" w:color="auto" w:fill="FFFFFF"/>
        </w:rPr>
        <w:t xml:space="preserve">also </w:t>
      </w:r>
      <w:r w:rsidRPr="00D87414">
        <w:rPr>
          <w:szCs w:val="26"/>
          <w:shd w:val="clear" w:color="auto" w:fill="FFFFFF"/>
        </w:rPr>
        <w:t>argues that the “</w:t>
      </w:r>
      <w:r w:rsidRPr="00D87414">
        <w:rPr>
          <w:szCs w:val="26"/>
        </w:rPr>
        <w:t>purpose of [s]ection 3333.2 is to provide a benefit to health care</w:t>
      </w:r>
      <w:r w:rsidRPr="00D87414">
        <w:rPr>
          <w:szCs w:val="26"/>
          <w:shd w:val="clear" w:color="auto" w:fill="FFFFFF"/>
        </w:rPr>
        <w:t xml:space="preserve"> </w:t>
      </w:r>
      <w:r w:rsidRPr="00D87414">
        <w:rPr>
          <w:szCs w:val="26"/>
        </w:rPr>
        <w:t xml:space="preserve">professionals” by limiting their liability for noneconomic damages and that physician assistants who act without adequate supervision should not “reap the benefits” of MICRA’s “protections.”  But this misapprehends the purpose of the noneconomic damages cap.  “ ‘[T]he $250,000 limitation . . . </w:t>
      </w:r>
      <w:r w:rsidRPr="00D87414">
        <w:rPr>
          <w:szCs w:val="26"/>
          <w:shd w:val="clear" w:color="auto" w:fill="FFFFFF"/>
        </w:rPr>
        <w:t xml:space="preserve">does not reflect a legislative determination that a person injured as a result of medical malpractice does not suffer such damages’ ” and “is not a </w:t>
      </w:r>
      <w:r w:rsidRPr="00D87414">
        <w:rPr>
          <w:szCs w:val="26"/>
          <w:shd w:val="clear" w:color="auto" w:fill="FFFFFF"/>
        </w:rPr>
        <w:lastRenderedPageBreak/>
        <w:t>legislative attempt to estimate the true damages suffered by plaintiffs.”  (</w:t>
      </w:r>
      <w:r w:rsidRPr="00D87414">
        <w:rPr>
          <w:i/>
          <w:iCs/>
          <w:szCs w:val="26"/>
          <w:shd w:val="clear" w:color="auto" w:fill="FFFFFF"/>
        </w:rPr>
        <w:t>Salgado</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19 Cal.4th at p. 641.)  Nor is it a licensing provision or part of a code of professional standards designed to protect health care providers who adhere to certain standards or comply with particular statutes and regulations.  Rather, the $250,000 cap is an “attempt to control and reduce medical malpractice insurance costs</w:t>
      </w:r>
      <w:r w:rsidR="00CC2E38" w:rsidRPr="00D87414">
        <w:rPr>
          <w:szCs w:val="26"/>
          <w:shd w:val="clear" w:color="auto" w:fill="FFFFFF"/>
        </w:rPr>
        <w:t>.</w:t>
      </w:r>
      <w:r w:rsidRPr="00D87414">
        <w:rPr>
          <w:szCs w:val="26"/>
          <w:shd w:val="clear" w:color="auto" w:fill="FFFFFF"/>
        </w:rPr>
        <w:t>”</w:t>
      </w:r>
      <w:r w:rsidR="00CC2E38" w:rsidRPr="00D87414">
        <w:rPr>
          <w:szCs w:val="26"/>
          <w:shd w:val="clear" w:color="auto" w:fill="FFFFFF"/>
        </w:rPr>
        <w:t xml:space="preserve"> </w:t>
      </w:r>
      <w:r w:rsidRPr="00D87414">
        <w:rPr>
          <w:szCs w:val="26"/>
          <w:shd w:val="clear" w:color="auto" w:fill="FFFFFF"/>
        </w:rPr>
        <w:t xml:space="preserve"> (</w:t>
      </w:r>
      <w:r w:rsidR="00CC2E38" w:rsidRPr="00D87414">
        <w:rPr>
          <w:i/>
          <w:iCs/>
          <w:szCs w:val="26"/>
          <w:shd w:val="clear" w:color="auto" w:fill="FFFFFF"/>
        </w:rPr>
        <w:t>I</w:t>
      </w:r>
      <w:r w:rsidRPr="00D87414">
        <w:rPr>
          <w:i/>
          <w:iCs/>
          <w:szCs w:val="26"/>
          <w:shd w:val="clear" w:color="auto" w:fill="FFFFFF"/>
        </w:rPr>
        <w:t>bid.</w:t>
      </w:r>
      <w:r w:rsidRPr="00D87414">
        <w:rPr>
          <w:szCs w:val="26"/>
          <w:shd w:val="clear" w:color="auto" w:fill="FFFFFF"/>
        </w:rPr>
        <w:t>)</w:t>
      </w:r>
      <w:r w:rsidRPr="00D87414">
        <w:rPr>
          <w:shd w:val="clear" w:color="auto" w:fill="FFFFFF"/>
        </w:rPr>
        <w:t xml:space="preserve"> </w:t>
      </w:r>
      <w:r w:rsidR="00CC2E38" w:rsidRPr="00D87414">
        <w:rPr>
          <w:shd w:val="clear" w:color="auto" w:fill="FFFFFF"/>
        </w:rPr>
        <w:t xml:space="preserve"> </w:t>
      </w:r>
      <w:r w:rsidRPr="00D87414">
        <w:rPr>
          <w:szCs w:val="26"/>
          <w:bdr w:val="none" w:sz="0" w:space="0" w:color="auto" w:frame="1"/>
          <w:shd w:val="clear" w:color="auto" w:fill="FFFFFF"/>
        </w:rPr>
        <w:t xml:space="preserve">The damages cap inherently concerns health care providers alleged or proven to have engaged in negligent conduct; it is not designed </w:t>
      </w:r>
      <w:r w:rsidRPr="00D87414">
        <w:rPr>
          <w:szCs w:val="26"/>
          <w:shd w:val="clear" w:color="auto" w:fill="FFFFFF"/>
        </w:rPr>
        <w:t>to reward or protect health care providers who, acting within the scope of their education and training, adhere to professional standards while exempting those who do</w:t>
      </w:r>
      <w:r w:rsidR="00307544">
        <w:rPr>
          <w:szCs w:val="26"/>
          <w:shd w:val="clear" w:color="auto" w:fill="FFFFFF"/>
        </w:rPr>
        <w:t xml:space="preserve"> </w:t>
      </w:r>
      <w:r w:rsidRPr="00D87414">
        <w:rPr>
          <w:szCs w:val="26"/>
          <w:shd w:val="clear" w:color="auto" w:fill="FFFFFF"/>
        </w:rPr>
        <w:t>n</w:t>
      </w:r>
      <w:r w:rsidR="00307544">
        <w:rPr>
          <w:szCs w:val="26"/>
          <w:shd w:val="clear" w:color="auto" w:fill="FFFFFF"/>
        </w:rPr>
        <w:t>o</w:t>
      </w:r>
      <w:r w:rsidRPr="00D87414">
        <w:rPr>
          <w:szCs w:val="26"/>
          <w:shd w:val="clear" w:color="auto" w:fill="FFFFFF"/>
        </w:rPr>
        <w:t>t.</w:t>
      </w:r>
    </w:p>
    <w:p w14:paraId="771E639A" w14:textId="6D66AA8C" w:rsidR="003B49A5" w:rsidRPr="00D87414" w:rsidRDefault="003B49A5" w:rsidP="00D87414">
      <w:pPr>
        <w:ind w:firstLine="720"/>
        <w:rPr>
          <w:szCs w:val="26"/>
          <w:shd w:val="clear" w:color="auto" w:fill="FFFFFF"/>
        </w:rPr>
      </w:pPr>
      <w:r w:rsidRPr="00D87414">
        <w:rPr>
          <w:szCs w:val="26"/>
          <w:shd w:val="clear" w:color="auto" w:fill="FFFFFF"/>
        </w:rPr>
        <w:t xml:space="preserve">Lopez </w:t>
      </w:r>
      <w:r w:rsidR="00396455" w:rsidRPr="00D87414">
        <w:rPr>
          <w:szCs w:val="26"/>
          <w:shd w:val="clear" w:color="auto" w:fill="FFFFFF"/>
        </w:rPr>
        <w:t>further</w:t>
      </w:r>
      <w:r w:rsidRPr="00D87414">
        <w:rPr>
          <w:szCs w:val="26"/>
          <w:shd w:val="clear" w:color="auto" w:fill="FFFFFF"/>
        </w:rPr>
        <w:t xml:space="preserve"> argues that because Freesemann’s and Hughes’s conduct could subject them to professional discipline or criminal liability, the conduct is not “professional negligence” under section 3333.2.  But the question of whether a physician assistant’s conduct provides a basis for professional discipline or criminal liability is distinct from the question of whether such conduct constitutes “professional negligence” within the meaning of section 3333.2.  As we have held, MICRA may apply to the misconduct of a health care provider even if the misconduct could serve as the basis for professional discipline.  (</w:t>
      </w:r>
      <w:r w:rsidRPr="00D87414">
        <w:rPr>
          <w:i/>
          <w:iCs/>
          <w:szCs w:val="26"/>
          <w:shd w:val="clear" w:color="auto" w:fill="FFFFFF"/>
        </w:rPr>
        <w:t>Bourhis</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40 Cal.3d at p. 436 [rejecting defendant’s argument that MICRA does not apply because “sexual misconduct by a psychiatrist toward a patient has long been a basis for disciplinary action by the state’s licensing agency”].)</w:t>
      </w:r>
    </w:p>
    <w:p w14:paraId="63DFF50B" w14:textId="0169A3DC" w:rsidR="003B49A5" w:rsidRPr="00D87414" w:rsidRDefault="003B49A5" w:rsidP="00D87414">
      <w:pPr>
        <w:ind w:firstLine="720"/>
        <w:rPr>
          <w:szCs w:val="26"/>
          <w:shd w:val="clear" w:color="auto" w:fill="FFFFFF"/>
        </w:rPr>
      </w:pPr>
      <w:r w:rsidRPr="00D87414">
        <w:rPr>
          <w:szCs w:val="26"/>
          <w:shd w:val="clear" w:color="auto" w:fill="FFFFFF"/>
        </w:rPr>
        <w:t xml:space="preserve">Likewise, the possibility that criminal liability could attach to a health care provider’s conduct does not necessarily render MICRA inapplicable.  In </w:t>
      </w:r>
      <w:r w:rsidRPr="00D87414">
        <w:rPr>
          <w:i/>
          <w:iCs/>
          <w:szCs w:val="26"/>
          <w:shd w:val="clear" w:color="auto" w:fill="FFFFFF"/>
        </w:rPr>
        <w:t>Bourhis</w:t>
      </w:r>
      <w:r w:rsidRPr="00D87414">
        <w:rPr>
          <w:szCs w:val="26"/>
          <w:shd w:val="clear" w:color="auto" w:fill="FFFFFF"/>
        </w:rPr>
        <w:t xml:space="preserve">, we held that MICRA applied to an action against a psychiatrist who compelled his patient to submit to sexual intercourse by “threatening to have </w:t>
      </w:r>
      <w:r w:rsidRPr="00D87414">
        <w:rPr>
          <w:szCs w:val="26"/>
          <w:shd w:val="clear" w:color="auto" w:fill="FFFFFF"/>
        </w:rPr>
        <w:lastRenderedPageBreak/>
        <w:t>her institutionalized if she did not cooperate.”  (</w:t>
      </w:r>
      <w:r w:rsidRPr="00D87414">
        <w:rPr>
          <w:i/>
          <w:iCs/>
          <w:szCs w:val="26"/>
          <w:shd w:val="clear" w:color="auto" w:fill="FFFFFF"/>
        </w:rPr>
        <w:t>Bourhis</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xml:space="preserve">, 40 Cal.3d at p. 428.)  </w:t>
      </w:r>
      <w:r w:rsidR="003E39CC" w:rsidRPr="00D87414">
        <w:rPr>
          <w:szCs w:val="26"/>
          <w:shd w:val="clear" w:color="auto" w:fill="FFFFFF"/>
        </w:rPr>
        <w:t xml:space="preserve">It is possible that </w:t>
      </w:r>
      <w:r w:rsidRPr="00D87414">
        <w:rPr>
          <w:szCs w:val="26"/>
          <w:shd w:val="clear" w:color="auto" w:fill="FFFFFF"/>
        </w:rPr>
        <w:t>such conduct could give rise to criminal liability</w:t>
      </w:r>
      <w:r w:rsidR="003E39CC" w:rsidRPr="00D87414">
        <w:rPr>
          <w:szCs w:val="26"/>
          <w:shd w:val="clear" w:color="auto" w:fill="FFFFFF"/>
        </w:rPr>
        <w:t xml:space="preserve">. </w:t>
      </w:r>
      <w:r w:rsidRPr="00D87414">
        <w:rPr>
          <w:szCs w:val="26"/>
          <w:shd w:val="clear" w:color="auto" w:fill="FFFFFF"/>
        </w:rPr>
        <w:t xml:space="preserve"> (Pen. Code, § 261</w:t>
      </w:r>
      <w:r w:rsidR="003E39CC" w:rsidRPr="00D87414">
        <w:rPr>
          <w:szCs w:val="26"/>
          <w:shd w:val="clear" w:color="auto" w:fill="FFFFFF"/>
        </w:rPr>
        <w:t>.</w:t>
      </w:r>
      <w:r w:rsidRPr="00D87414">
        <w:rPr>
          <w:szCs w:val="26"/>
          <w:shd w:val="clear" w:color="auto" w:fill="FFFFFF"/>
        </w:rPr>
        <w:t>)</w:t>
      </w:r>
      <w:r w:rsidR="003E39CC" w:rsidRPr="00D87414">
        <w:rPr>
          <w:szCs w:val="26"/>
          <w:shd w:val="clear" w:color="auto" w:fill="FFFFFF"/>
        </w:rPr>
        <w:t xml:space="preserve">  But</w:t>
      </w:r>
      <w:r w:rsidRPr="00D87414">
        <w:rPr>
          <w:szCs w:val="26"/>
          <w:shd w:val="clear" w:color="auto" w:fill="FFFFFF"/>
        </w:rPr>
        <w:t xml:space="preserve"> we </w:t>
      </w:r>
      <w:r w:rsidR="003E39CC" w:rsidRPr="00D87414">
        <w:rPr>
          <w:szCs w:val="26"/>
          <w:shd w:val="clear" w:color="auto" w:fill="FFFFFF"/>
        </w:rPr>
        <w:t xml:space="preserve">held that the limitation on damages </w:t>
      </w:r>
      <w:r w:rsidR="00CC6C8A" w:rsidRPr="00D87414">
        <w:rPr>
          <w:szCs w:val="26"/>
          <w:shd w:val="clear" w:color="auto" w:fill="FFFFFF"/>
        </w:rPr>
        <w:t xml:space="preserve">still </w:t>
      </w:r>
      <w:r w:rsidR="003E39CC" w:rsidRPr="00D87414">
        <w:rPr>
          <w:szCs w:val="26"/>
          <w:shd w:val="clear" w:color="auto" w:fill="FFFFFF"/>
        </w:rPr>
        <w:t>governed</w:t>
      </w:r>
      <w:r w:rsidRPr="00D87414">
        <w:rPr>
          <w:szCs w:val="26"/>
          <w:shd w:val="clear" w:color="auto" w:fill="FFFFFF"/>
        </w:rPr>
        <w:t xml:space="preserve"> because “the psychiatrist’s conduct arose out of the course of the psychiatric treatment he was licensed to provide.”  (</w:t>
      </w:r>
      <w:r w:rsidRPr="00D87414">
        <w:rPr>
          <w:i/>
          <w:iCs/>
          <w:szCs w:val="26"/>
          <w:shd w:val="clear" w:color="auto" w:fill="FFFFFF"/>
        </w:rPr>
        <w:t>Bourhis</w:t>
      </w:r>
      <w:r w:rsidRPr="00D87414">
        <w:rPr>
          <w:szCs w:val="26"/>
          <w:shd w:val="clear" w:color="auto" w:fill="FFFFFF"/>
        </w:rPr>
        <w:t>, at p. 436; see</w:t>
      </w:r>
      <w:r w:rsidR="003E39CC" w:rsidRPr="00D87414">
        <w:rPr>
          <w:szCs w:val="26"/>
          <w:shd w:val="clear" w:color="auto" w:fill="FFFFFF"/>
        </w:rPr>
        <w:t xml:space="preserve"> also</w:t>
      </w:r>
      <w:r w:rsidRPr="00D87414">
        <w:rPr>
          <w:szCs w:val="26"/>
          <w:shd w:val="clear" w:color="auto" w:fill="FFFFFF"/>
        </w:rPr>
        <w:t xml:space="preserve"> </w:t>
      </w:r>
      <w:r w:rsidRPr="00D87414">
        <w:rPr>
          <w:i/>
          <w:iCs/>
          <w:szCs w:val="26"/>
        </w:rPr>
        <w:t xml:space="preserve">Larson v. UHS of Rancho Springs, Inc. </w:t>
      </w:r>
      <w:r w:rsidRPr="00D87414">
        <w:rPr>
          <w:szCs w:val="26"/>
        </w:rPr>
        <w:t>(2014) 230</w:t>
      </w:r>
      <w:r w:rsidRPr="00D87414">
        <w:rPr>
          <w:szCs w:val="26"/>
          <w:shd w:val="clear" w:color="auto" w:fill="FFFFFF"/>
        </w:rPr>
        <w:t> </w:t>
      </w:r>
      <w:r w:rsidRPr="00D87414">
        <w:rPr>
          <w:szCs w:val="26"/>
        </w:rPr>
        <w:t>Cal.App.4th 336, 351–352</w:t>
      </w:r>
      <w:r w:rsidR="00E2393A" w:rsidRPr="00D87414">
        <w:rPr>
          <w:szCs w:val="26"/>
        </w:rPr>
        <w:t xml:space="preserve">; </w:t>
      </w:r>
      <w:r w:rsidR="00E2393A" w:rsidRPr="00D87414">
        <w:rPr>
          <w:i/>
          <w:iCs/>
          <w:szCs w:val="26"/>
        </w:rPr>
        <w:t>David M. v. Beverly Hospital</w:t>
      </w:r>
      <w:r w:rsidR="00E2393A" w:rsidRPr="00D87414">
        <w:rPr>
          <w:szCs w:val="26"/>
          <w:shd w:val="clear" w:color="auto" w:fill="FFFFFF"/>
        </w:rPr>
        <w:t xml:space="preserve"> </w:t>
      </w:r>
      <w:r w:rsidR="00E2393A" w:rsidRPr="00D87414">
        <w:rPr>
          <w:szCs w:val="26"/>
        </w:rPr>
        <w:t>(2005) 131</w:t>
      </w:r>
      <w:r w:rsidR="00627FD7" w:rsidRPr="00D87414">
        <w:rPr>
          <w:szCs w:val="26"/>
        </w:rPr>
        <w:t> </w:t>
      </w:r>
      <w:r w:rsidR="00E2393A" w:rsidRPr="00D87414">
        <w:rPr>
          <w:szCs w:val="26"/>
        </w:rPr>
        <w:t>Cal.App.4th 1272, 1278</w:t>
      </w:r>
      <w:r w:rsidRPr="00D87414">
        <w:rPr>
          <w:szCs w:val="26"/>
        </w:rPr>
        <w:t xml:space="preserve">.)  </w:t>
      </w:r>
    </w:p>
    <w:p w14:paraId="21C888A1" w14:textId="4CA28B87" w:rsidR="003B49A5" w:rsidRPr="00D87414" w:rsidRDefault="003B49A5" w:rsidP="00D87414">
      <w:pPr>
        <w:ind w:firstLine="720"/>
        <w:rPr>
          <w:szCs w:val="26"/>
          <w:shd w:val="clear" w:color="auto" w:fill="FFFFFF"/>
        </w:rPr>
      </w:pPr>
      <w:r w:rsidRPr="00D87414">
        <w:rPr>
          <w:szCs w:val="26"/>
        </w:rPr>
        <w:t xml:space="preserve">Neither our case law nor the language of MICRA suggests that the possibility of professional discipline or criminal liability necessarily places a health care provider’s actions outside </w:t>
      </w:r>
      <w:r w:rsidRPr="00D87414">
        <w:rPr>
          <w:szCs w:val="26"/>
          <w:shd w:val="clear" w:color="auto" w:fill="FFFFFF"/>
        </w:rPr>
        <w:t xml:space="preserve">“the scope of services for which [he or she] is licensed” or “within any restriction imposed by the licensing agency or licensed hospital.”  (§ 3333.2, subd. (c)(2).)  </w:t>
      </w:r>
      <w:r w:rsidR="00621E75" w:rsidRPr="00D87414">
        <w:rPr>
          <w:szCs w:val="26"/>
          <w:shd w:val="clear" w:color="auto" w:fill="FFFFFF"/>
        </w:rPr>
        <w:t>We thus</w:t>
      </w:r>
      <w:r w:rsidRPr="00D87414">
        <w:rPr>
          <w:szCs w:val="26"/>
          <w:shd w:val="clear" w:color="auto" w:fill="FFFFFF"/>
        </w:rPr>
        <w:t xml:space="preserve"> conclude that the fact that Freesemann’s and Hughes’s conduct could give rise to professional discipline or criminal liability does not render MICRA inapplicable.</w:t>
      </w:r>
    </w:p>
    <w:p w14:paraId="252E55F7" w14:textId="77777777" w:rsidR="003B49A5" w:rsidRPr="00D87414" w:rsidRDefault="003B49A5" w:rsidP="00D87414">
      <w:pPr>
        <w:pStyle w:val="Heading1"/>
        <w:rPr>
          <w:shd w:val="clear" w:color="auto" w:fill="FFFFFF"/>
        </w:rPr>
      </w:pPr>
      <w:r w:rsidRPr="00D87414">
        <w:rPr>
          <w:shd w:val="clear" w:color="auto" w:fill="FFFFFF"/>
        </w:rPr>
        <w:t>III.</w:t>
      </w:r>
    </w:p>
    <w:p w14:paraId="7DA4B786" w14:textId="76F30505" w:rsidR="003B49A5" w:rsidRPr="00D87414" w:rsidRDefault="003B49A5" w:rsidP="00D87414">
      <w:pPr>
        <w:ind w:firstLine="720"/>
        <w:rPr>
          <w:szCs w:val="26"/>
          <w:shd w:val="clear" w:color="auto" w:fill="FFFFFF"/>
        </w:rPr>
      </w:pPr>
      <w:r w:rsidRPr="00D87414">
        <w:rPr>
          <w:szCs w:val="26"/>
          <w:shd w:val="clear" w:color="auto" w:fill="FFFFFF"/>
        </w:rPr>
        <w:t xml:space="preserve">We also granted review on a second issue:  whether a DSA between a supervising physician and a physician assistant is legally effective where the physician is disabled </w:t>
      </w:r>
      <w:r w:rsidR="00896743">
        <w:rPr>
          <w:szCs w:val="26"/>
          <w:shd w:val="clear" w:color="auto" w:fill="FFFFFF"/>
        </w:rPr>
        <w:t>and unable to</w:t>
      </w:r>
      <w:r w:rsidRPr="00D87414">
        <w:rPr>
          <w:szCs w:val="26"/>
          <w:shd w:val="clear" w:color="auto" w:fill="FFFFFF"/>
        </w:rPr>
        <w:t xml:space="preserve"> practice medicine.  On closer examination, we decline to consider this issue, which was neither raised </w:t>
      </w:r>
      <w:r w:rsidR="008B1AC1">
        <w:rPr>
          <w:szCs w:val="26"/>
          <w:shd w:val="clear" w:color="auto" w:fill="FFFFFF"/>
        </w:rPr>
        <w:t xml:space="preserve">in </w:t>
      </w:r>
      <w:r w:rsidRPr="00D87414">
        <w:rPr>
          <w:szCs w:val="26"/>
          <w:shd w:val="clear" w:color="auto" w:fill="FFFFFF"/>
        </w:rPr>
        <w:t xml:space="preserve">the trial court nor timely raised </w:t>
      </w:r>
      <w:r w:rsidR="008B1AC1">
        <w:rPr>
          <w:szCs w:val="26"/>
          <w:shd w:val="clear" w:color="auto" w:fill="FFFFFF"/>
        </w:rPr>
        <w:t>in</w:t>
      </w:r>
      <w:r w:rsidR="008B1AC1" w:rsidRPr="00D87414">
        <w:rPr>
          <w:szCs w:val="26"/>
          <w:shd w:val="clear" w:color="auto" w:fill="FFFFFF"/>
        </w:rPr>
        <w:t xml:space="preserve"> </w:t>
      </w:r>
      <w:r w:rsidRPr="00D87414">
        <w:rPr>
          <w:szCs w:val="26"/>
          <w:shd w:val="clear" w:color="auto" w:fill="FFFFFF"/>
        </w:rPr>
        <w:t>the Court of Appeal.</w:t>
      </w:r>
    </w:p>
    <w:p w14:paraId="332184DE" w14:textId="0306AA43" w:rsidR="003B49A5" w:rsidRPr="00D87414" w:rsidRDefault="003B49A5" w:rsidP="00D87414">
      <w:pPr>
        <w:ind w:firstLine="720"/>
        <w:rPr>
          <w:szCs w:val="26"/>
          <w:shd w:val="clear" w:color="auto" w:fill="FFFFFF"/>
        </w:rPr>
      </w:pPr>
      <w:r w:rsidRPr="00D87414">
        <w:rPr>
          <w:szCs w:val="26"/>
          <w:shd w:val="clear" w:color="auto" w:fill="FFFFFF"/>
        </w:rPr>
        <w:t xml:space="preserve">The trial court held that the DSA between Dr. Ledesma and Freesemann was nominally in effect at the time of Freesemann’s clinical encounters with </w:t>
      </w:r>
      <w:r w:rsidR="00AC184E" w:rsidRPr="00D87414">
        <w:rPr>
          <w:szCs w:val="26"/>
          <w:shd w:val="clear" w:color="auto" w:fill="FFFFFF"/>
        </w:rPr>
        <w:t>O.S.</w:t>
      </w:r>
      <w:r w:rsidRPr="00D87414">
        <w:rPr>
          <w:szCs w:val="26"/>
          <w:shd w:val="clear" w:color="auto" w:fill="FFFFFF"/>
        </w:rPr>
        <w:t xml:space="preserve"> because “[n]either party formally revoked the DSA.”  Likewise, the trial court held that Dr. Koire and Hughes “had a [supervising </w:t>
      </w:r>
      <w:r w:rsidRPr="00D87414">
        <w:rPr>
          <w:szCs w:val="26"/>
          <w:shd w:val="clear" w:color="auto" w:fill="FFFFFF"/>
        </w:rPr>
        <w:lastRenderedPageBreak/>
        <w:t>physician</w:t>
      </w:r>
      <w:r w:rsidRPr="00D87414">
        <w:rPr>
          <w:szCs w:val="26"/>
          <w:shd w:val="clear" w:color="auto" w:fill="FFFFFF"/>
        </w:rPr>
        <w:noBreakHyphen/>
        <w:t xml:space="preserve">physician assistant] relationship” by virtue of their DSA.  Lopez raised no challenge to these findings </w:t>
      </w:r>
      <w:r w:rsidR="008B1AC1">
        <w:rPr>
          <w:szCs w:val="26"/>
          <w:shd w:val="clear" w:color="auto" w:fill="FFFFFF"/>
        </w:rPr>
        <w:t>in</w:t>
      </w:r>
      <w:r w:rsidR="008B1AC1" w:rsidRPr="00D87414">
        <w:rPr>
          <w:szCs w:val="26"/>
          <w:shd w:val="clear" w:color="auto" w:fill="FFFFFF"/>
        </w:rPr>
        <w:t xml:space="preserve"> </w:t>
      </w:r>
      <w:r w:rsidRPr="00D87414">
        <w:rPr>
          <w:szCs w:val="26"/>
          <w:shd w:val="clear" w:color="auto" w:fill="FFFFFF"/>
        </w:rPr>
        <w:t xml:space="preserve">the trial court.  Nor did Lopez challenge these findings in her briefing </w:t>
      </w:r>
      <w:r w:rsidR="008B1AC1">
        <w:rPr>
          <w:szCs w:val="26"/>
          <w:shd w:val="clear" w:color="auto" w:fill="FFFFFF"/>
        </w:rPr>
        <w:t>in</w:t>
      </w:r>
      <w:r w:rsidR="008B1AC1" w:rsidRPr="00D87414">
        <w:rPr>
          <w:szCs w:val="26"/>
          <w:shd w:val="clear" w:color="auto" w:fill="FFFFFF"/>
        </w:rPr>
        <w:t xml:space="preserve"> </w:t>
      </w:r>
      <w:r w:rsidRPr="00D87414">
        <w:rPr>
          <w:szCs w:val="26"/>
          <w:shd w:val="clear" w:color="auto" w:fill="FFFFFF"/>
        </w:rPr>
        <w:t xml:space="preserve">the Court of Appeal.  </w:t>
      </w:r>
    </w:p>
    <w:p w14:paraId="27F315C9" w14:textId="43A1D33F" w:rsidR="003B49A5" w:rsidRPr="00D87414" w:rsidRDefault="003B49A5" w:rsidP="00D87414">
      <w:pPr>
        <w:ind w:firstLine="720"/>
        <w:rPr>
          <w:szCs w:val="26"/>
          <w:shd w:val="clear" w:color="auto" w:fill="FFFFFF"/>
        </w:rPr>
      </w:pPr>
      <w:r w:rsidRPr="00D87414">
        <w:rPr>
          <w:szCs w:val="26"/>
          <w:shd w:val="clear" w:color="auto" w:fill="FFFFFF"/>
        </w:rPr>
        <w:t>In her petition for rehearing before the Court of Appeal, Lopez argued for the first time that there was no DSA legally in effect between Dr. Ledesma and Freesemann because the DSA was “revoked by operation of law” due to “incapacity of the principal.”</w:t>
      </w:r>
      <w:r w:rsidR="004E6919" w:rsidRPr="00D87414">
        <w:rPr>
          <w:szCs w:val="26"/>
          <w:shd w:val="clear" w:color="auto" w:fill="FFFFFF"/>
        </w:rPr>
        <w:t xml:space="preserve">  </w:t>
      </w:r>
      <w:r w:rsidRPr="00D87414">
        <w:rPr>
          <w:szCs w:val="26"/>
          <w:shd w:val="clear" w:color="auto" w:fill="FFFFFF"/>
        </w:rPr>
        <w:t>In her petition for review before this court, Lopez argued for the first time that the DSA between Dr. Koire and Hughes had also been revoked.</w:t>
      </w:r>
    </w:p>
    <w:p w14:paraId="33979165" w14:textId="06A53942" w:rsidR="003B49A5" w:rsidRPr="00D87414" w:rsidRDefault="003B49A5" w:rsidP="00D87414">
      <w:pPr>
        <w:ind w:firstLine="720"/>
        <w:rPr>
          <w:szCs w:val="26"/>
          <w:shd w:val="clear" w:color="auto" w:fill="FFFFFF"/>
        </w:rPr>
      </w:pPr>
      <w:r w:rsidRPr="00D87414">
        <w:rPr>
          <w:szCs w:val="26"/>
          <w:shd w:val="clear" w:color="auto" w:fill="FFFFFF"/>
        </w:rPr>
        <w:t>“[A] reviewing court ordinarily will not consider a challenge to a ruling if an objection could have been but was not made in the trial court.”  (</w:t>
      </w:r>
      <w:r w:rsidRPr="00D87414">
        <w:rPr>
          <w:i/>
          <w:iCs/>
          <w:szCs w:val="26"/>
          <w:shd w:val="clear" w:color="auto" w:fill="FFFFFF"/>
        </w:rPr>
        <w:t>In re S.B.</w:t>
      </w:r>
      <w:r w:rsidRPr="00D87414">
        <w:rPr>
          <w:szCs w:val="26"/>
          <w:shd w:val="clear" w:color="auto" w:fill="FFFFFF"/>
        </w:rPr>
        <w:t xml:space="preserve"> (2004) 32 Cal.4th 1287, 1293.)  As a matter of policy, “we normally do not consider any issue that could have been but was not timely raised in the briefs filed in the Court of Appeal.”  (</w:t>
      </w:r>
      <w:r w:rsidRPr="00D87414">
        <w:rPr>
          <w:i/>
          <w:iCs/>
          <w:szCs w:val="26"/>
          <w:shd w:val="clear" w:color="auto" w:fill="FFFFFF"/>
        </w:rPr>
        <w:t>Flannery v. Prentice</w:t>
      </w:r>
      <w:r w:rsidRPr="00D87414">
        <w:rPr>
          <w:szCs w:val="26"/>
          <w:shd w:val="clear" w:color="auto" w:fill="FFFFFF"/>
        </w:rPr>
        <w:t xml:space="preserve"> (2001) 26 Cal.4th 572, 591 (</w:t>
      </w:r>
      <w:r w:rsidRPr="00D87414">
        <w:rPr>
          <w:i/>
          <w:iCs/>
          <w:szCs w:val="26"/>
          <w:shd w:val="clear" w:color="auto" w:fill="FFFFFF"/>
        </w:rPr>
        <w:t>Flannery</w:t>
      </w:r>
      <w:r w:rsidRPr="00D87414">
        <w:rPr>
          <w:szCs w:val="26"/>
          <w:shd w:val="clear" w:color="auto" w:fill="FFFFFF"/>
        </w:rPr>
        <w:t xml:space="preserve">); Cal. Rules of Court, rule 8.500(c)(1).)  </w:t>
      </w:r>
    </w:p>
    <w:p w14:paraId="58B18D35" w14:textId="72DE763F" w:rsidR="003B49A5" w:rsidRPr="00D87414" w:rsidRDefault="003B49A5" w:rsidP="00D87414">
      <w:pPr>
        <w:ind w:firstLine="720"/>
        <w:rPr>
          <w:szCs w:val="26"/>
          <w:shd w:val="clear" w:color="auto" w:fill="FFFFFF"/>
        </w:rPr>
      </w:pPr>
      <w:r w:rsidRPr="00D87414">
        <w:rPr>
          <w:szCs w:val="26"/>
          <w:shd w:val="clear" w:color="auto" w:fill="FFFFFF"/>
        </w:rPr>
        <w:t xml:space="preserve">Lopez asks us to exercise our discretion to consider an issue of DSA revocation that was neither raised </w:t>
      </w:r>
      <w:r w:rsidR="008B1AC1">
        <w:rPr>
          <w:szCs w:val="26"/>
          <w:shd w:val="clear" w:color="auto" w:fill="FFFFFF"/>
        </w:rPr>
        <w:t>in</w:t>
      </w:r>
      <w:r w:rsidR="008B1AC1" w:rsidRPr="00D87414">
        <w:rPr>
          <w:szCs w:val="26"/>
          <w:shd w:val="clear" w:color="auto" w:fill="FFFFFF"/>
        </w:rPr>
        <w:t xml:space="preserve"> </w:t>
      </w:r>
      <w:r w:rsidRPr="00D87414">
        <w:rPr>
          <w:szCs w:val="26"/>
          <w:shd w:val="clear" w:color="auto" w:fill="FFFFFF"/>
        </w:rPr>
        <w:t xml:space="preserve">the trial court nor timely raised </w:t>
      </w:r>
      <w:r w:rsidR="008B1AC1">
        <w:rPr>
          <w:szCs w:val="26"/>
          <w:shd w:val="clear" w:color="auto" w:fill="FFFFFF"/>
        </w:rPr>
        <w:t>in</w:t>
      </w:r>
      <w:r w:rsidR="008B1AC1" w:rsidRPr="00D87414">
        <w:rPr>
          <w:szCs w:val="26"/>
          <w:shd w:val="clear" w:color="auto" w:fill="FFFFFF"/>
        </w:rPr>
        <w:t xml:space="preserve"> </w:t>
      </w:r>
      <w:r w:rsidRPr="00D87414">
        <w:rPr>
          <w:szCs w:val="26"/>
          <w:shd w:val="clear" w:color="auto" w:fill="FFFFFF"/>
        </w:rPr>
        <w:t xml:space="preserve">the Court of Appeal.  (See </w:t>
      </w:r>
      <w:r w:rsidRPr="00D87414">
        <w:rPr>
          <w:i/>
          <w:iCs/>
          <w:szCs w:val="26"/>
          <w:shd w:val="clear" w:color="auto" w:fill="FFFFFF"/>
        </w:rPr>
        <w:t>Midland Pacific Building Corporation v. King</w:t>
      </w:r>
      <w:r w:rsidRPr="00D87414">
        <w:rPr>
          <w:szCs w:val="26"/>
          <w:shd w:val="clear" w:color="auto" w:fill="FFFFFF"/>
        </w:rPr>
        <w:t xml:space="preserve"> (2007) 157 Cal.App.4th 264, 276.)  </w:t>
      </w:r>
      <w:r w:rsidR="00016AFD" w:rsidRPr="00D87414">
        <w:rPr>
          <w:szCs w:val="26"/>
          <w:shd w:val="clear" w:color="auto" w:fill="FFFFFF"/>
        </w:rPr>
        <w:t xml:space="preserve">But </w:t>
      </w:r>
      <w:r w:rsidRPr="00D87414">
        <w:rPr>
          <w:szCs w:val="26"/>
          <w:shd w:val="clear" w:color="auto" w:fill="FFFFFF"/>
        </w:rPr>
        <w:t>Lopez’s case</w:t>
      </w:r>
      <w:r w:rsidRPr="00D87414">
        <w:rPr>
          <w:szCs w:val="26"/>
          <w:shd w:val="clear" w:color="auto" w:fill="FFFFFF"/>
        </w:rPr>
        <w:noBreakHyphen/>
        <w:t>specific argument that the disabilities of Dr. Ledesma and Dr. Hughes severed the agency relationship established in their respective DSAs does not raise “ ‘extremely significant issues of public policy and public interest</w:t>
      </w:r>
      <w:r w:rsidR="003473C6">
        <w:rPr>
          <w:szCs w:val="26"/>
          <w:shd w:val="clear" w:color="auto" w:fill="FFFFFF"/>
        </w:rPr>
        <w:t>’</w:t>
      </w:r>
      <w:r w:rsidRPr="00D87414">
        <w:rPr>
          <w:szCs w:val="26"/>
          <w:shd w:val="clear" w:color="auto" w:fill="FFFFFF"/>
        </w:rPr>
        <w:t xml:space="preserve"> [citation] such as may have caused us on infrequent prior occasions to depart from” our ordinary policy.  (</w:t>
      </w:r>
      <w:r w:rsidRPr="00D87414">
        <w:rPr>
          <w:i/>
          <w:iCs/>
          <w:szCs w:val="26"/>
          <w:shd w:val="clear" w:color="auto" w:fill="FFFFFF"/>
        </w:rPr>
        <w:t>Flannery</w:t>
      </w:r>
      <w:r w:rsidRPr="00D87414">
        <w:rPr>
          <w:szCs w:val="26"/>
          <w:shd w:val="clear" w:color="auto" w:fill="FFFFFF"/>
        </w:rPr>
        <w:t xml:space="preserve">, </w:t>
      </w:r>
      <w:r w:rsidRPr="00D87414">
        <w:rPr>
          <w:i/>
          <w:iCs/>
          <w:szCs w:val="26"/>
          <w:shd w:val="clear" w:color="auto" w:fill="FFFFFF"/>
        </w:rPr>
        <w:t>supra</w:t>
      </w:r>
      <w:r w:rsidRPr="00D87414">
        <w:rPr>
          <w:szCs w:val="26"/>
          <w:shd w:val="clear" w:color="auto" w:fill="FFFFFF"/>
        </w:rPr>
        <w:t xml:space="preserve">, 26 Cal.4th at p. 591.)  </w:t>
      </w:r>
      <w:r w:rsidR="003E39CC" w:rsidRPr="00D87414">
        <w:rPr>
          <w:szCs w:val="26"/>
          <w:shd w:val="clear" w:color="auto" w:fill="FFFFFF"/>
        </w:rPr>
        <w:t xml:space="preserve">Moreover, it turns on facts not addressed by the </w:t>
      </w:r>
      <w:r w:rsidR="00CC6C8A" w:rsidRPr="00D87414">
        <w:rPr>
          <w:szCs w:val="26"/>
          <w:shd w:val="clear" w:color="auto" w:fill="FFFFFF"/>
        </w:rPr>
        <w:t>trial</w:t>
      </w:r>
      <w:r w:rsidR="003E39CC" w:rsidRPr="00D87414">
        <w:rPr>
          <w:szCs w:val="26"/>
          <w:shd w:val="clear" w:color="auto" w:fill="FFFFFF"/>
        </w:rPr>
        <w:t xml:space="preserve"> </w:t>
      </w:r>
      <w:r w:rsidR="003E39CC" w:rsidRPr="00D87414">
        <w:rPr>
          <w:szCs w:val="26"/>
          <w:shd w:val="clear" w:color="auto" w:fill="FFFFFF"/>
        </w:rPr>
        <w:lastRenderedPageBreak/>
        <w:t xml:space="preserve">court, such as the severity of Dr. Ledesma’s disability.  </w:t>
      </w:r>
      <w:r w:rsidR="00F941E6" w:rsidRPr="00D87414">
        <w:rPr>
          <w:szCs w:val="26"/>
          <w:shd w:val="clear" w:color="auto" w:fill="FFFFFF"/>
        </w:rPr>
        <w:t>W</w:t>
      </w:r>
      <w:r w:rsidRPr="00D87414">
        <w:rPr>
          <w:szCs w:val="26"/>
          <w:shd w:val="clear" w:color="auto" w:fill="FFFFFF"/>
        </w:rPr>
        <w:t>e</w:t>
      </w:r>
      <w:r w:rsidR="00F941E6" w:rsidRPr="00D87414">
        <w:rPr>
          <w:szCs w:val="26"/>
          <w:shd w:val="clear" w:color="auto" w:fill="FFFFFF"/>
        </w:rPr>
        <w:t xml:space="preserve"> therefore</w:t>
      </w:r>
      <w:r w:rsidRPr="00D87414">
        <w:rPr>
          <w:szCs w:val="26"/>
          <w:shd w:val="clear" w:color="auto" w:fill="FFFFFF"/>
        </w:rPr>
        <w:t xml:space="preserve"> decline to consider this issue.</w:t>
      </w:r>
    </w:p>
    <w:p w14:paraId="2E8308F7" w14:textId="77777777" w:rsidR="003B49A5" w:rsidRPr="00D87414" w:rsidRDefault="003B49A5" w:rsidP="008258EC">
      <w:pPr>
        <w:jc w:val="center"/>
        <w:rPr>
          <w:b/>
          <w:bCs/>
          <w:szCs w:val="26"/>
          <w:shd w:val="clear" w:color="auto" w:fill="FFFFFF"/>
        </w:rPr>
      </w:pPr>
      <w:r w:rsidRPr="00D87414">
        <w:rPr>
          <w:b/>
          <w:bCs/>
          <w:szCs w:val="26"/>
          <w:shd w:val="clear" w:color="auto" w:fill="FFFFFF"/>
        </w:rPr>
        <w:t>CONCLUSION</w:t>
      </w:r>
    </w:p>
    <w:p w14:paraId="6A6A6B5C" w14:textId="6B0FB6F1" w:rsidR="00B31914" w:rsidRDefault="003B49A5" w:rsidP="00D87414">
      <w:pPr>
        <w:rPr>
          <w:szCs w:val="26"/>
          <w:shd w:val="clear" w:color="auto" w:fill="FFFFFF"/>
        </w:rPr>
      </w:pPr>
      <w:r w:rsidRPr="00D87414">
        <w:rPr>
          <w:szCs w:val="26"/>
          <w:shd w:val="clear" w:color="auto" w:fill="FFFFFF"/>
        </w:rPr>
        <w:tab/>
      </w:r>
      <w:r w:rsidR="00154306" w:rsidRPr="00D87414">
        <w:rPr>
          <w:szCs w:val="26"/>
          <w:shd w:val="clear" w:color="auto" w:fill="FFFFFF"/>
        </w:rPr>
        <w:t>We</w:t>
      </w:r>
      <w:r w:rsidRPr="00D87414">
        <w:rPr>
          <w:szCs w:val="26"/>
          <w:shd w:val="clear" w:color="auto" w:fill="FFFFFF"/>
        </w:rPr>
        <w:t xml:space="preserve"> affirm the judgment of the Court of Appeal.</w:t>
      </w:r>
    </w:p>
    <w:p w14:paraId="54EA1D7B" w14:textId="77777777" w:rsidR="00275249" w:rsidRDefault="00275249" w:rsidP="00D87414">
      <w:pPr>
        <w:rPr>
          <w:szCs w:val="26"/>
          <w:shd w:val="clear" w:color="auto" w:fill="FFFFFF"/>
        </w:rPr>
      </w:pPr>
    </w:p>
    <w:bookmarkEnd w:id="0"/>
    <w:p w14:paraId="6D02644F" w14:textId="77777777" w:rsidR="00F94B64" w:rsidRDefault="00F94B64" w:rsidP="00F94B64">
      <w:pPr>
        <w:ind w:left="4320" w:firstLine="720"/>
        <w:rPr>
          <w:b/>
          <w:szCs w:val="26"/>
        </w:rPr>
      </w:pPr>
      <w:r w:rsidRPr="003F439E">
        <w:rPr>
          <w:b/>
          <w:szCs w:val="26"/>
        </w:rPr>
        <w:t>LIU, J.</w:t>
      </w:r>
    </w:p>
    <w:p w14:paraId="0FCF0C09" w14:textId="77777777" w:rsidR="00F94B64" w:rsidRDefault="00F94B64" w:rsidP="00F94B64">
      <w:pPr>
        <w:spacing w:after="0" w:line="240" w:lineRule="auto"/>
        <w:jc w:val="left"/>
        <w:rPr>
          <w:b/>
          <w:szCs w:val="26"/>
        </w:rPr>
      </w:pPr>
    </w:p>
    <w:p w14:paraId="150D66F3" w14:textId="4B89A792" w:rsidR="00F94B64" w:rsidRDefault="00F94B64" w:rsidP="0031524D">
      <w:pPr>
        <w:jc w:val="left"/>
        <w:rPr>
          <w:b/>
          <w:szCs w:val="26"/>
        </w:rPr>
      </w:pPr>
      <w:r>
        <w:rPr>
          <w:b/>
          <w:szCs w:val="26"/>
        </w:rPr>
        <w:t>We Concur:</w:t>
      </w:r>
    </w:p>
    <w:p w14:paraId="74D36D92" w14:textId="4887A54F" w:rsidR="00ED630B" w:rsidRPr="00ED630B" w:rsidRDefault="00ED630B" w:rsidP="00ED630B">
      <w:pPr>
        <w:spacing w:after="0" w:line="240" w:lineRule="auto"/>
        <w:rPr>
          <w:rFonts w:ascii="Calibri" w:hAnsi="Calibri"/>
          <w:b/>
          <w:sz w:val="22"/>
          <w:lang w:val="it-IT"/>
        </w:rPr>
      </w:pPr>
      <w:r w:rsidRPr="00ED630B">
        <w:rPr>
          <w:b/>
          <w:lang w:val="it-IT"/>
        </w:rPr>
        <w:t>CANTIL-SAKAUYE, C.</w:t>
      </w:r>
      <w:r w:rsidR="00772534">
        <w:rPr>
          <w:b/>
          <w:lang w:val="it-IT"/>
        </w:rPr>
        <w:t> </w:t>
      </w:r>
      <w:r w:rsidRPr="00ED630B">
        <w:rPr>
          <w:b/>
          <w:lang w:val="it-IT"/>
        </w:rPr>
        <w:t>J.</w:t>
      </w:r>
    </w:p>
    <w:p w14:paraId="6E1F749F" w14:textId="77777777" w:rsidR="00ED630B" w:rsidRPr="00ED630B" w:rsidRDefault="00ED630B" w:rsidP="00ED630B">
      <w:pPr>
        <w:spacing w:after="0" w:line="240" w:lineRule="auto"/>
        <w:rPr>
          <w:b/>
          <w:lang w:val="it-IT"/>
        </w:rPr>
      </w:pPr>
      <w:r w:rsidRPr="00ED630B">
        <w:rPr>
          <w:b/>
          <w:lang w:val="it-IT"/>
        </w:rPr>
        <w:t>CORRIGAN, J.</w:t>
      </w:r>
    </w:p>
    <w:p w14:paraId="256C47D5" w14:textId="2CAE03A2" w:rsidR="00ED630B" w:rsidRDefault="00ED630B" w:rsidP="00ED630B">
      <w:pPr>
        <w:spacing w:after="0" w:line="240" w:lineRule="auto"/>
        <w:rPr>
          <w:b/>
          <w:lang w:val="it-IT"/>
        </w:rPr>
      </w:pPr>
      <w:r w:rsidRPr="00ED630B">
        <w:rPr>
          <w:b/>
          <w:lang w:val="it-IT"/>
        </w:rPr>
        <w:t>KRUGER, J.</w:t>
      </w:r>
    </w:p>
    <w:p w14:paraId="2ACE251C" w14:textId="50A39624" w:rsidR="0024419D" w:rsidRDefault="0024419D" w:rsidP="00ED630B">
      <w:pPr>
        <w:spacing w:after="0" w:line="240" w:lineRule="auto"/>
        <w:rPr>
          <w:b/>
          <w:lang w:val="it-IT"/>
        </w:rPr>
      </w:pPr>
      <w:r>
        <w:rPr>
          <w:b/>
          <w:lang w:val="it-IT"/>
        </w:rPr>
        <w:t>GROBAN, J.</w:t>
      </w:r>
    </w:p>
    <w:p w14:paraId="2EC3BECB" w14:textId="1C052A41" w:rsidR="0024419D" w:rsidRPr="00ED630B" w:rsidRDefault="0024419D" w:rsidP="00ED630B">
      <w:pPr>
        <w:spacing w:after="0" w:line="240" w:lineRule="auto"/>
        <w:rPr>
          <w:b/>
          <w:lang w:val="it-IT"/>
        </w:rPr>
      </w:pPr>
      <w:r>
        <w:rPr>
          <w:b/>
          <w:lang w:val="it-IT"/>
        </w:rPr>
        <w:t>JENKINS, J.</w:t>
      </w:r>
    </w:p>
    <w:p w14:paraId="755727BC" w14:textId="77777777" w:rsidR="00C271E0" w:rsidRDefault="00ED630B">
      <w:pPr>
        <w:spacing w:after="0" w:line="240" w:lineRule="auto"/>
        <w:jc w:val="left"/>
        <w:rPr>
          <w:position w:val="4"/>
          <w:vertAlign w:val="superscript"/>
          <w:lang w:val="it-IT"/>
        </w:rPr>
        <w:sectPr w:rsidR="00C271E0" w:rsidSect="00D87414">
          <w:footerReference w:type="first" r:id="rId10"/>
          <w:pgSz w:w="12240" w:h="15840"/>
          <w:pgMar w:top="1800" w:right="2160" w:bottom="1440" w:left="2160" w:header="720" w:footer="720" w:gutter="0"/>
          <w:pgNumType w:start="1"/>
          <w:cols w:space="720"/>
          <w:titlePg/>
          <w:docGrid w:linePitch="367"/>
        </w:sectPr>
      </w:pPr>
      <w:r>
        <w:rPr>
          <w:b/>
          <w:lang w:val="it-IT"/>
        </w:rPr>
        <w:t>MEEHAN</w:t>
      </w:r>
      <w:r w:rsidRPr="00ED630B">
        <w:rPr>
          <w:b/>
          <w:lang w:val="it-IT"/>
        </w:rPr>
        <w:t>, J.</w:t>
      </w:r>
      <w:r w:rsidRPr="00ED630B">
        <w:rPr>
          <w:position w:val="4"/>
          <w:vertAlign w:val="superscript"/>
          <w:lang w:val="it-IT"/>
        </w:rPr>
        <w:footnoteReference w:customMarkFollows="1" w:id="3"/>
        <w:t>*</w:t>
      </w:r>
    </w:p>
    <w:p w14:paraId="7400A8F0" w14:textId="77777777" w:rsidR="00AA2C75" w:rsidRPr="00AA2C75" w:rsidRDefault="00AA2C75" w:rsidP="00AA2C75">
      <w:pPr>
        <w:spacing w:after="0" w:line="240" w:lineRule="auto"/>
        <w:jc w:val="left"/>
        <w:rPr>
          <w:i/>
          <w:sz w:val="24"/>
          <w:szCs w:val="24"/>
        </w:rPr>
      </w:pPr>
      <w:r w:rsidRPr="00AA2C75">
        <w:rPr>
          <w:i/>
          <w:sz w:val="24"/>
          <w:szCs w:val="24"/>
        </w:rPr>
        <w:lastRenderedPageBreak/>
        <w:t>See next page for addresses and telephone numbers for counsel who argued in Supreme Court.</w:t>
      </w:r>
    </w:p>
    <w:p w14:paraId="585DEDB5" w14:textId="77777777" w:rsidR="00AA2C75" w:rsidRPr="00AA2C75" w:rsidRDefault="00AA2C75" w:rsidP="00AA2C75">
      <w:pPr>
        <w:spacing w:after="0" w:line="240" w:lineRule="auto"/>
        <w:jc w:val="left"/>
        <w:rPr>
          <w:i/>
          <w:sz w:val="24"/>
          <w:szCs w:val="24"/>
        </w:rPr>
      </w:pPr>
    </w:p>
    <w:p w14:paraId="26750F99" w14:textId="77777777" w:rsidR="00AA2C75" w:rsidRPr="00AA2C75" w:rsidRDefault="00AA2C75" w:rsidP="00AA2C75">
      <w:pPr>
        <w:spacing w:after="0" w:line="240" w:lineRule="auto"/>
        <w:jc w:val="left"/>
        <w:rPr>
          <w:bCs/>
          <w:sz w:val="24"/>
          <w:szCs w:val="24"/>
        </w:rPr>
      </w:pPr>
      <w:r w:rsidRPr="00AA2C75">
        <w:rPr>
          <w:b/>
          <w:sz w:val="24"/>
          <w:szCs w:val="24"/>
        </w:rPr>
        <w:t xml:space="preserve">Name of Opinion  </w:t>
      </w:r>
      <w:r w:rsidRPr="00AA2C75">
        <w:rPr>
          <w:bCs/>
          <w:sz w:val="24"/>
          <w:szCs w:val="24"/>
        </w:rPr>
        <w:t>Lopez v. Ledesma</w:t>
      </w:r>
    </w:p>
    <w:p w14:paraId="73E42810" w14:textId="77777777" w:rsidR="00AA2C75" w:rsidRPr="00AA2C75" w:rsidRDefault="00AA2C75" w:rsidP="00AA2C75">
      <w:pPr>
        <w:spacing w:after="0" w:line="240" w:lineRule="auto"/>
        <w:jc w:val="left"/>
        <w:rPr>
          <w:b/>
          <w:sz w:val="24"/>
          <w:szCs w:val="24"/>
        </w:rPr>
      </w:pPr>
      <w:r w:rsidRPr="00AA2C75">
        <w:rPr>
          <w:b/>
          <w:sz w:val="24"/>
          <w:szCs w:val="24"/>
        </w:rPr>
        <w:t xml:space="preserve">__________________________________________________________ </w:t>
      </w:r>
    </w:p>
    <w:p w14:paraId="12E1D298" w14:textId="77777777" w:rsidR="00AA2C75" w:rsidRPr="00AA2C75" w:rsidRDefault="00AA2C75" w:rsidP="00AA2C75">
      <w:pPr>
        <w:spacing w:after="0" w:line="240" w:lineRule="auto"/>
        <w:jc w:val="left"/>
        <w:rPr>
          <w:b/>
          <w:sz w:val="24"/>
          <w:szCs w:val="24"/>
        </w:rPr>
      </w:pPr>
    </w:p>
    <w:p w14:paraId="7C58D088" w14:textId="77777777" w:rsidR="00AA2C75" w:rsidRPr="00AA2C75" w:rsidRDefault="00AA2C75" w:rsidP="00AA2C75">
      <w:pPr>
        <w:spacing w:after="0" w:line="240" w:lineRule="auto"/>
        <w:jc w:val="left"/>
        <w:rPr>
          <w:sz w:val="24"/>
          <w:szCs w:val="24"/>
        </w:rPr>
      </w:pPr>
      <w:r w:rsidRPr="00AA2C75">
        <w:rPr>
          <w:b/>
          <w:bCs/>
          <w:sz w:val="24"/>
          <w:szCs w:val="24"/>
          <w:u w:val="single"/>
        </w:rPr>
        <w:t>Procedural Posture</w:t>
      </w:r>
      <w:r w:rsidRPr="00AA2C75">
        <w:rPr>
          <w:b/>
          <w:bCs/>
          <w:sz w:val="24"/>
          <w:szCs w:val="24"/>
        </w:rPr>
        <w:t xml:space="preserve"> </w:t>
      </w:r>
      <w:r w:rsidRPr="00AA2C75">
        <w:rPr>
          <w:sz w:val="24"/>
          <w:szCs w:val="24"/>
        </w:rPr>
        <w:t>(see XX below)</w:t>
      </w:r>
    </w:p>
    <w:p w14:paraId="7644DDE6" w14:textId="77777777" w:rsidR="00AA2C75" w:rsidRPr="00AA2C75" w:rsidRDefault="00AA2C75" w:rsidP="00AA2C75">
      <w:pPr>
        <w:spacing w:after="0" w:line="240" w:lineRule="auto"/>
        <w:jc w:val="left"/>
        <w:rPr>
          <w:sz w:val="24"/>
          <w:szCs w:val="24"/>
        </w:rPr>
      </w:pPr>
      <w:r w:rsidRPr="00AA2C75">
        <w:rPr>
          <w:b/>
          <w:bCs/>
          <w:sz w:val="24"/>
          <w:szCs w:val="24"/>
        </w:rPr>
        <w:t>Original Appeal</w:t>
      </w:r>
      <w:r w:rsidRPr="00AA2C75">
        <w:rPr>
          <w:sz w:val="24"/>
          <w:szCs w:val="24"/>
        </w:rPr>
        <w:t xml:space="preserve"> </w:t>
      </w:r>
    </w:p>
    <w:p w14:paraId="4B01C15B" w14:textId="77777777" w:rsidR="00AA2C75" w:rsidRPr="00AA2C75" w:rsidRDefault="00AA2C75" w:rsidP="00AA2C75">
      <w:pPr>
        <w:spacing w:after="0" w:line="240" w:lineRule="auto"/>
        <w:jc w:val="left"/>
        <w:rPr>
          <w:b/>
          <w:bCs/>
          <w:sz w:val="24"/>
          <w:szCs w:val="24"/>
        </w:rPr>
      </w:pPr>
      <w:r w:rsidRPr="00AA2C75">
        <w:rPr>
          <w:b/>
          <w:bCs/>
          <w:sz w:val="24"/>
          <w:szCs w:val="24"/>
        </w:rPr>
        <w:t>Original Proceeding</w:t>
      </w:r>
    </w:p>
    <w:p w14:paraId="1D63A331" w14:textId="77777777" w:rsidR="00AA2C75" w:rsidRPr="00AA2C75" w:rsidRDefault="00AA2C75" w:rsidP="00AA2C75">
      <w:pPr>
        <w:spacing w:after="0" w:line="240" w:lineRule="auto"/>
        <w:jc w:val="left"/>
        <w:rPr>
          <w:sz w:val="24"/>
          <w:szCs w:val="24"/>
        </w:rPr>
      </w:pPr>
      <w:r w:rsidRPr="00AA2C75">
        <w:rPr>
          <w:b/>
          <w:bCs/>
          <w:sz w:val="24"/>
          <w:szCs w:val="24"/>
        </w:rPr>
        <w:t>Review Granted</w:t>
      </w:r>
      <w:r w:rsidRPr="00AA2C75">
        <w:rPr>
          <w:sz w:val="24"/>
          <w:szCs w:val="24"/>
        </w:rPr>
        <w:t xml:space="preserve"> </w:t>
      </w:r>
      <w:r w:rsidRPr="00AA2C75">
        <w:rPr>
          <w:b/>
          <w:bCs/>
          <w:sz w:val="24"/>
          <w:szCs w:val="24"/>
        </w:rPr>
        <w:t xml:space="preserve">(published) </w:t>
      </w:r>
      <w:r w:rsidRPr="00AA2C75">
        <w:rPr>
          <w:sz w:val="24"/>
          <w:szCs w:val="24"/>
        </w:rPr>
        <w:t>XX 46 Cal.App.5th 980</w:t>
      </w:r>
    </w:p>
    <w:p w14:paraId="12784E31" w14:textId="77777777" w:rsidR="00AA2C75" w:rsidRPr="00AA2C75" w:rsidRDefault="00AA2C75" w:rsidP="00AA2C75">
      <w:pPr>
        <w:spacing w:after="0" w:line="240" w:lineRule="auto"/>
        <w:jc w:val="left"/>
        <w:rPr>
          <w:sz w:val="24"/>
          <w:szCs w:val="24"/>
        </w:rPr>
      </w:pPr>
      <w:r w:rsidRPr="00AA2C75">
        <w:rPr>
          <w:b/>
          <w:bCs/>
          <w:sz w:val="24"/>
          <w:szCs w:val="24"/>
        </w:rPr>
        <w:t xml:space="preserve">Review Granted (unpublished) </w:t>
      </w:r>
    </w:p>
    <w:p w14:paraId="2C5C7AE7" w14:textId="77777777" w:rsidR="00AA2C75" w:rsidRPr="00AA2C75" w:rsidRDefault="00AA2C75" w:rsidP="00AA2C75">
      <w:pPr>
        <w:spacing w:after="0" w:line="240" w:lineRule="auto"/>
        <w:jc w:val="left"/>
        <w:rPr>
          <w:b/>
          <w:bCs/>
          <w:sz w:val="24"/>
          <w:szCs w:val="24"/>
        </w:rPr>
      </w:pPr>
      <w:r w:rsidRPr="00AA2C75">
        <w:rPr>
          <w:b/>
          <w:bCs/>
          <w:sz w:val="24"/>
          <w:szCs w:val="24"/>
        </w:rPr>
        <w:t>Rehearing Granted</w:t>
      </w:r>
    </w:p>
    <w:p w14:paraId="72E3C63C" w14:textId="77777777" w:rsidR="00AA2C75" w:rsidRPr="00AA2C75" w:rsidRDefault="00AA2C75" w:rsidP="00AA2C75">
      <w:pPr>
        <w:spacing w:after="0" w:line="240" w:lineRule="auto"/>
        <w:jc w:val="left"/>
        <w:rPr>
          <w:b/>
          <w:sz w:val="24"/>
          <w:szCs w:val="24"/>
        </w:rPr>
      </w:pPr>
      <w:r w:rsidRPr="00AA2C75">
        <w:rPr>
          <w:b/>
          <w:sz w:val="24"/>
          <w:szCs w:val="24"/>
        </w:rPr>
        <w:t xml:space="preserve">__________________________________________________________ </w:t>
      </w:r>
    </w:p>
    <w:p w14:paraId="2738CF3B" w14:textId="77777777" w:rsidR="00AA2C75" w:rsidRPr="00AA2C75" w:rsidRDefault="00AA2C75" w:rsidP="00AA2C75">
      <w:pPr>
        <w:spacing w:after="0" w:line="240" w:lineRule="auto"/>
        <w:jc w:val="left"/>
        <w:rPr>
          <w:b/>
          <w:sz w:val="24"/>
          <w:szCs w:val="24"/>
        </w:rPr>
      </w:pPr>
    </w:p>
    <w:p w14:paraId="4972BF68" w14:textId="77777777" w:rsidR="00AA2C75" w:rsidRPr="00AA2C75" w:rsidRDefault="00AA2C75" w:rsidP="00AA2C75">
      <w:pPr>
        <w:spacing w:after="0" w:line="240" w:lineRule="auto"/>
        <w:jc w:val="left"/>
        <w:rPr>
          <w:bCs/>
          <w:sz w:val="24"/>
          <w:szCs w:val="24"/>
        </w:rPr>
      </w:pPr>
      <w:r w:rsidRPr="00AA2C75">
        <w:rPr>
          <w:b/>
          <w:sz w:val="24"/>
          <w:szCs w:val="24"/>
        </w:rPr>
        <w:t>Opinion No.</w:t>
      </w:r>
      <w:r w:rsidRPr="00AA2C75">
        <w:rPr>
          <w:sz w:val="24"/>
          <w:szCs w:val="24"/>
        </w:rPr>
        <w:t xml:space="preserve"> S262487</w:t>
      </w:r>
    </w:p>
    <w:p w14:paraId="5225E2BB" w14:textId="77777777" w:rsidR="00AA2C75" w:rsidRPr="00AA2C75" w:rsidRDefault="00AA2C75" w:rsidP="00AA2C75">
      <w:pPr>
        <w:spacing w:after="0" w:line="240" w:lineRule="auto"/>
        <w:jc w:val="left"/>
        <w:rPr>
          <w:bCs/>
          <w:sz w:val="24"/>
          <w:szCs w:val="24"/>
        </w:rPr>
      </w:pPr>
      <w:r w:rsidRPr="00AA2C75">
        <w:rPr>
          <w:b/>
          <w:sz w:val="24"/>
          <w:szCs w:val="24"/>
        </w:rPr>
        <w:t>Date Filed:</w:t>
      </w:r>
      <w:r w:rsidRPr="00AA2C75">
        <w:rPr>
          <w:sz w:val="24"/>
          <w:szCs w:val="24"/>
        </w:rPr>
        <w:t xml:space="preserve">  February 24, 2022</w:t>
      </w:r>
    </w:p>
    <w:p w14:paraId="1277F3A2" w14:textId="77777777" w:rsidR="00AA2C75" w:rsidRPr="00AA2C75" w:rsidRDefault="00AA2C75" w:rsidP="00AA2C75">
      <w:pPr>
        <w:spacing w:after="0" w:line="240" w:lineRule="auto"/>
        <w:jc w:val="left"/>
        <w:rPr>
          <w:b/>
          <w:sz w:val="24"/>
          <w:szCs w:val="24"/>
        </w:rPr>
      </w:pPr>
      <w:r w:rsidRPr="00AA2C75">
        <w:rPr>
          <w:b/>
          <w:sz w:val="24"/>
          <w:szCs w:val="24"/>
        </w:rPr>
        <w:t xml:space="preserve">__________________________________________________________ </w:t>
      </w:r>
    </w:p>
    <w:p w14:paraId="1ECA3D35" w14:textId="77777777" w:rsidR="00AA2C75" w:rsidRPr="00AA2C75" w:rsidRDefault="00AA2C75" w:rsidP="00AA2C75">
      <w:pPr>
        <w:spacing w:after="0" w:line="240" w:lineRule="auto"/>
        <w:jc w:val="left"/>
        <w:rPr>
          <w:b/>
          <w:sz w:val="24"/>
          <w:szCs w:val="24"/>
        </w:rPr>
      </w:pPr>
    </w:p>
    <w:p w14:paraId="4F9AEC4D" w14:textId="77777777" w:rsidR="00AA2C75" w:rsidRPr="00AA2C75" w:rsidRDefault="00AA2C75" w:rsidP="00AA2C75">
      <w:pPr>
        <w:spacing w:after="0" w:line="240" w:lineRule="auto"/>
        <w:jc w:val="left"/>
        <w:rPr>
          <w:bCs/>
          <w:sz w:val="24"/>
          <w:szCs w:val="24"/>
        </w:rPr>
      </w:pPr>
      <w:r w:rsidRPr="00AA2C75">
        <w:rPr>
          <w:b/>
          <w:sz w:val="24"/>
          <w:szCs w:val="24"/>
        </w:rPr>
        <w:t xml:space="preserve">Court:  </w:t>
      </w:r>
      <w:r w:rsidRPr="00AA2C75">
        <w:rPr>
          <w:bCs/>
          <w:sz w:val="24"/>
          <w:szCs w:val="24"/>
        </w:rPr>
        <w:t>Superior</w:t>
      </w:r>
      <w:r w:rsidRPr="00AA2C75">
        <w:rPr>
          <w:b/>
          <w:sz w:val="24"/>
          <w:szCs w:val="24"/>
        </w:rPr>
        <w:t xml:space="preserve"> </w:t>
      </w:r>
    </w:p>
    <w:p w14:paraId="05681BD8" w14:textId="77777777" w:rsidR="00AA2C75" w:rsidRPr="00AA2C75" w:rsidRDefault="00AA2C75" w:rsidP="00AA2C75">
      <w:pPr>
        <w:spacing w:after="0" w:line="240" w:lineRule="auto"/>
        <w:jc w:val="left"/>
        <w:rPr>
          <w:bCs/>
          <w:sz w:val="24"/>
          <w:szCs w:val="24"/>
        </w:rPr>
      </w:pPr>
      <w:r w:rsidRPr="00AA2C75">
        <w:rPr>
          <w:b/>
          <w:sz w:val="24"/>
          <w:szCs w:val="24"/>
        </w:rPr>
        <w:t xml:space="preserve">County: </w:t>
      </w:r>
      <w:r w:rsidRPr="00AA2C75">
        <w:rPr>
          <w:bCs/>
          <w:sz w:val="24"/>
          <w:szCs w:val="24"/>
        </w:rPr>
        <w:t>Los Angeles</w:t>
      </w:r>
      <w:r w:rsidRPr="00AA2C75">
        <w:rPr>
          <w:b/>
          <w:sz w:val="24"/>
          <w:szCs w:val="24"/>
        </w:rPr>
        <w:t xml:space="preserve"> </w:t>
      </w:r>
    </w:p>
    <w:p w14:paraId="0600E718" w14:textId="77777777" w:rsidR="00AA2C75" w:rsidRPr="00AA2C75" w:rsidRDefault="00AA2C75" w:rsidP="00AA2C75">
      <w:pPr>
        <w:spacing w:after="0" w:line="240" w:lineRule="auto"/>
        <w:ind w:left="720" w:hanging="720"/>
        <w:jc w:val="left"/>
        <w:rPr>
          <w:bCs/>
          <w:sz w:val="24"/>
          <w:szCs w:val="24"/>
        </w:rPr>
      </w:pPr>
      <w:r w:rsidRPr="00AA2C75">
        <w:rPr>
          <w:b/>
          <w:sz w:val="24"/>
          <w:szCs w:val="24"/>
        </w:rPr>
        <w:t xml:space="preserve">Judge: </w:t>
      </w:r>
      <w:r w:rsidRPr="00AA2C75">
        <w:rPr>
          <w:bCs/>
          <w:sz w:val="24"/>
          <w:szCs w:val="24"/>
        </w:rPr>
        <w:t>Lawrence P. Riff</w:t>
      </w:r>
    </w:p>
    <w:p w14:paraId="6BAE2AFB" w14:textId="77777777" w:rsidR="00AA2C75" w:rsidRPr="00AA2C75" w:rsidRDefault="00AA2C75" w:rsidP="00AA2C75">
      <w:pPr>
        <w:spacing w:after="0" w:line="240" w:lineRule="auto"/>
        <w:jc w:val="left"/>
        <w:rPr>
          <w:b/>
          <w:sz w:val="24"/>
          <w:szCs w:val="24"/>
        </w:rPr>
      </w:pPr>
      <w:r w:rsidRPr="00AA2C75">
        <w:rPr>
          <w:b/>
          <w:sz w:val="24"/>
          <w:szCs w:val="24"/>
        </w:rPr>
        <w:t xml:space="preserve">__________________________________________________________  </w:t>
      </w:r>
    </w:p>
    <w:p w14:paraId="13B3BFEB" w14:textId="77777777" w:rsidR="00AA2C75" w:rsidRPr="00AA2C75" w:rsidRDefault="00AA2C75" w:rsidP="00AA2C75">
      <w:pPr>
        <w:spacing w:after="0" w:line="240" w:lineRule="auto"/>
        <w:jc w:val="left"/>
        <w:rPr>
          <w:b/>
          <w:sz w:val="24"/>
          <w:szCs w:val="24"/>
        </w:rPr>
      </w:pPr>
    </w:p>
    <w:p w14:paraId="71D66107" w14:textId="77777777" w:rsidR="00AA2C75" w:rsidRPr="00AA2C75" w:rsidRDefault="00AA2C75" w:rsidP="00AA2C75">
      <w:pPr>
        <w:spacing w:after="0" w:line="240" w:lineRule="auto"/>
        <w:jc w:val="left"/>
        <w:rPr>
          <w:b/>
          <w:sz w:val="24"/>
          <w:szCs w:val="24"/>
        </w:rPr>
      </w:pPr>
      <w:r w:rsidRPr="00AA2C75">
        <w:rPr>
          <w:b/>
          <w:sz w:val="24"/>
          <w:szCs w:val="24"/>
        </w:rPr>
        <w:t>Counsel:</w:t>
      </w:r>
    </w:p>
    <w:p w14:paraId="48552E65" w14:textId="77777777" w:rsidR="00AA2C75" w:rsidRPr="00AA2C75" w:rsidRDefault="00AA2C75" w:rsidP="00AA2C75">
      <w:pPr>
        <w:spacing w:after="0" w:line="240" w:lineRule="auto"/>
        <w:jc w:val="left"/>
        <w:rPr>
          <w:b/>
          <w:sz w:val="24"/>
          <w:szCs w:val="24"/>
        </w:rPr>
      </w:pPr>
    </w:p>
    <w:p w14:paraId="06E1C56B" w14:textId="77777777" w:rsidR="00AA2C75" w:rsidRPr="00AA2C75" w:rsidRDefault="00AA2C75" w:rsidP="00AA2C75">
      <w:pPr>
        <w:spacing w:after="0" w:line="240" w:lineRule="auto"/>
        <w:jc w:val="left"/>
        <w:rPr>
          <w:bCs/>
          <w:sz w:val="24"/>
          <w:szCs w:val="24"/>
        </w:rPr>
      </w:pPr>
      <w:r w:rsidRPr="00AA2C75">
        <w:rPr>
          <w:bCs/>
          <w:sz w:val="24"/>
          <w:szCs w:val="24"/>
        </w:rPr>
        <w:t>Esner, Chang &amp; Boyer, Stuart B. Esner; Law Office of Neil M. Howard and Neil M. Howard for Plaintiff and Appellant.</w:t>
      </w:r>
    </w:p>
    <w:p w14:paraId="1E5F3C7E" w14:textId="77777777" w:rsidR="00AA2C75" w:rsidRPr="00AA2C75" w:rsidRDefault="00AA2C75" w:rsidP="00AA2C75">
      <w:pPr>
        <w:spacing w:after="0" w:line="240" w:lineRule="auto"/>
        <w:jc w:val="left"/>
        <w:rPr>
          <w:bCs/>
          <w:sz w:val="24"/>
          <w:szCs w:val="24"/>
        </w:rPr>
      </w:pPr>
      <w:bookmarkStart w:id="9" w:name="_Hlk96005101"/>
    </w:p>
    <w:p w14:paraId="46A05E1A" w14:textId="77777777" w:rsidR="00AA2C75" w:rsidRPr="00AA2C75" w:rsidRDefault="00AA2C75" w:rsidP="00AA2C75">
      <w:pPr>
        <w:spacing w:after="0" w:line="240" w:lineRule="auto"/>
        <w:jc w:val="left"/>
        <w:rPr>
          <w:bCs/>
          <w:sz w:val="24"/>
          <w:szCs w:val="24"/>
        </w:rPr>
      </w:pPr>
      <w:r w:rsidRPr="00AA2C75">
        <w:rPr>
          <w:bCs/>
          <w:sz w:val="24"/>
          <w:szCs w:val="24"/>
        </w:rPr>
        <w:t>Steven B. Stevens for Consumer Attorneys of California as Amicus Curiae on behalf of Plaintiff and Appellant.</w:t>
      </w:r>
    </w:p>
    <w:bookmarkEnd w:id="9"/>
    <w:p w14:paraId="1146EB5B" w14:textId="77777777" w:rsidR="00AA2C75" w:rsidRPr="00AA2C75" w:rsidRDefault="00AA2C75" w:rsidP="00AA2C75">
      <w:pPr>
        <w:spacing w:after="0" w:line="240" w:lineRule="auto"/>
        <w:jc w:val="left"/>
        <w:rPr>
          <w:bCs/>
          <w:sz w:val="24"/>
          <w:szCs w:val="24"/>
        </w:rPr>
      </w:pPr>
    </w:p>
    <w:p w14:paraId="68BFC8B7" w14:textId="77777777" w:rsidR="00AA2C75" w:rsidRPr="00AA2C75" w:rsidRDefault="00AA2C75" w:rsidP="00AA2C75">
      <w:pPr>
        <w:spacing w:after="0" w:line="240" w:lineRule="auto"/>
        <w:jc w:val="left"/>
        <w:rPr>
          <w:bCs/>
          <w:sz w:val="24"/>
          <w:szCs w:val="24"/>
        </w:rPr>
      </w:pPr>
      <w:r w:rsidRPr="00AA2C75">
        <w:rPr>
          <w:bCs/>
          <w:sz w:val="24"/>
          <w:szCs w:val="24"/>
        </w:rPr>
        <w:t xml:space="preserve">Cole Pedroza, Kenneth R. Pedroza, Matthew S. Levinson and Zena Jacobsen for Defendants and Appellants. </w:t>
      </w:r>
    </w:p>
    <w:p w14:paraId="2083F956" w14:textId="77777777" w:rsidR="00AA2C75" w:rsidRPr="00AA2C75" w:rsidRDefault="00AA2C75" w:rsidP="00AA2C75">
      <w:pPr>
        <w:spacing w:after="0" w:line="240" w:lineRule="auto"/>
        <w:jc w:val="left"/>
        <w:rPr>
          <w:bCs/>
          <w:sz w:val="24"/>
          <w:szCs w:val="24"/>
        </w:rPr>
      </w:pPr>
    </w:p>
    <w:p w14:paraId="02011E74" w14:textId="77777777" w:rsidR="00AA2C75" w:rsidRPr="00AA2C75" w:rsidRDefault="00AA2C75" w:rsidP="00AA2C75">
      <w:pPr>
        <w:spacing w:after="0" w:line="240" w:lineRule="auto"/>
        <w:jc w:val="left"/>
        <w:rPr>
          <w:bCs/>
          <w:sz w:val="24"/>
          <w:szCs w:val="24"/>
        </w:rPr>
      </w:pPr>
      <w:r w:rsidRPr="00AA2C75">
        <w:rPr>
          <w:bCs/>
          <w:sz w:val="24"/>
          <w:szCs w:val="24"/>
        </w:rPr>
        <w:t>Reback, McAndrews &amp; Blessey and Thomas F. McAndrews for Defendant and Appellant Glen Ledesma.</w:t>
      </w:r>
    </w:p>
    <w:p w14:paraId="7FFA032E" w14:textId="77777777" w:rsidR="00AA2C75" w:rsidRPr="00AA2C75" w:rsidRDefault="00AA2C75" w:rsidP="00AA2C75">
      <w:pPr>
        <w:spacing w:after="0" w:line="240" w:lineRule="auto"/>
        <w:jc w:val="left"/>
        <w:rPr>
          <w:bCs/>
          <w:sz w:val="24"/>
          <w:szCs w:val="24"/>
        </w:rPr>
      </w:pPr>
    </w:p>
    <w:p w14:paraId="35590103" w14:textId="77777777" w:rsidR="00AA2C75" w:rsidRPr="00AA2C75" w:rsidRDefault="00AA2C75" w:rsidP="00AA2C75">
      <w:pPr>
        <w:spacing w:after="0" w:line="240" w:lineRule="auto"/>
        <w:jc w:val="left"/>
        <w:rPr>
          <w:bCs/>
          <w:sz w:val="24"/>
          <w:szCs w:val="24"/>
        </w:rPr>
      </w:pPr>
      <w:r w:rsidRPr="00AA2C75">
        <w:rPr>
          <w:bCs/>
          <w:sz w:val="24"/>
          <w:szCs w:val="24"/>
        </w:rPr>
        <w:t>LaFollette Johnson De Haas Fesler &amp; Ames and Louis DeHaas for Defendant and Appellant  Suzanne Freesemann.</w:t>
      </w:r>
    </w:p>
    <w:p w14:paraId="32889FE4" w14:textId="77777777" w:rsidR="00AA2C75" w:rsidRPr="00AA2C75" w:rsidRDefault="00AA2C75" w:rsidP="00AA2C75">
      <w:pPr>
        <w:spacing w:after="0" w:line="240" w:lineRule="auto"/>
        <w:jc w:val="left"/>
        <w:rPr>
          <w:bCs/>
          <w:sz w:val="24"/>
          <w:szCs w:val="24"/>
        </w:rPr>
      </w:pPr>
    </w:p>
    <w:p w14:paraId="3E6AB276" w14:textId="77777777" w:rsidR="00AA2C75" w:rsidRPr="00AA2C75" w:rsidRDefault="00AA2C75" w:rsidP="00AA2C75">
      <w:pPr>
        <w:spacing w:after="0" w:line="240" w:lineRule="auto"/>
        <w:jc w:val="left"/>
        <w:rPr>
          <w:bCs/>
          <w:sz w:val="24"/>
          <w:szCs w:val="24"/>
        </w:rPr>
      </w:pPr>
      <w:r w:rsidRPr="00AA2C75">
        <w:rPr>
          <w:bCs/>
          <w:sz w:val="24"/>
          <w:szCs w:val="24"/>
        </w:rPr>
        <w:t>Peterson Bradford Burkwitz and Avi A. Burkwitz  for Defendant and Appellant Brian Hughes.</w:t>
      </w:r>
    </w:p>
    <w:p w14:paraId="1E4D4165" w14:textId="77777777" w:rsidR="00AA2C75" w:rsidRPr="00AA2C75" w:rsidRDefault="00AA2C75" w:rsidP="00AA2C75">
      <w:pPr>
        <w:spacing w:after="0" w:line="240" w:lineRule="auto"/>
        <w:jc w:val="left"/>
        <w:rPr>
          <w:bCs/>
          <w:sz w:val="24"/>
          <w:szCs w:val="24"/>
        </w:rPr>
      </w:pPr>
    </w:p>
    <w:p w14:paraId="14D28215" w14:textId="77777777" w:rsidR="00AA2C75" w:rsidRPr="00AA2C75" w:rsidRDefault="00AA2C75" w:rsidP="00AA2C75">
      <w:pPr>
        <w:spacing w:after="0" w:line="240" w:lineRule="auto"/>
        <w:jc w:val="left"/>
        <w:rPr>
          <w:bCs/>
          <w:sz w:val="24"/>
          <w:szCs w:val="24"/>
        </w:rPr>
      </w:pPr>
      <w:r w:rsidRPr="00AA2C75">
        <w:rPr>
          <w:bCs/>
          <w:sz w:val="24"/>
          <w:szCs w:val="24"/>
        </w:rPr>
        <w:lastRenderedPageBreak/>
        <w:t>Fred J. Hiestand for the Civil Justice Association of California as Amicus Curiae on behalf of Defendants and Appellants.</w:t>
      </w:r>
    </w:p>
    <w:p w14:paraId="6AD5108E" w14:textId="77777777" w:rsidR="00AA2C75" w:rsidRPr="00AA2C75" w:rsidRDefault="00AA2C75" w:rsidP="00AA2C75">
      <w:pPr>
        <w:spacing w:after="0" w:line="240" w:lineRule="auto"/>
        <w:jc w:val="left"/>
        <w:rPr>
          <w:bCs/>
          <w:sz w:val="24"/>
          <w:szCs w:val="24"/>
        </w:rPr>
      </w:pPr>
    </w:p>
    <w:p w14:paraId="0AE908E2" w14:textId="0E9279C9" w:rsidR="00AA2C75" w:rsidRPr="00AA2C75" w:rsidRDefault="00AA2C75" w:rsidP="00AA2C75">
      <w:pPr>
        <w:spacing w:after="0" w:line="240" w:lineRule="auto"/>
        <w:jc w:val="left"/>
        <w:rPr>
          <w:bCs/>
          <w:sz w:val="24"/>
          <w:szCs w:val="24"/>
        </w:rPr>
      </w:pPr>
      <w:r w:rsidRPr="00AA2C75">
        <w:rPr>
          <w:bCs/>
          <w:sz w:val="24"/>
          <w:szCs w:val="24"/>
        </w:rPr>
        <w:t>Tucker Ellis and Traci L. Shafroth for California Medical Association, California Dental Association, California Hospital Association, California Academy of Physician Assistants</w:t>
      </w:r>
      <w:r w:rsidR="00344E0D">
        <w:rPr>
          <w:bCs/>
          <w:sz w:val="24"/>
          <w:szCs w:val="24"/>
        </w:rPr>
        <w:t>,</w:t>
      </w:r>
      <w:r w:rsidRPr="00AA2C75">
        <w:rPr>
          <w:bCs/>
          <w:sz w:val="24"/>
          <w:szCs w:val="24"/>
        </w:rPr>
        <w:t xml:space="preserve"> and the American Medical Association as Amici Curiae on behalf of Defendants and Appellants.</w:t>
      </w:r>
    </w:p>
    <w:p w14:paraId="29066BCB" w14:textId="77777777" w:rsidR="00AA2C75" w:rsidRPr="00AA2C75" w:rsidRDefault="00AA2C75" w:rsidP="00AA2C75">
      <w:pPr>
        <w:spacing w:after="0" w:line="240" w:lineRule="auto"/>
        <w:jc w:val="left"/>
        <w:rPr>
          <w:bCs/>
          <w:sz w:val="24"/>
          <w:szCs w:val="24"/>
        </w:rPr>
      </w:pPr>
    </w:p>
    <w:p w14:paraId="76620C3B" w14:textId="77777777" w:rsidR="00AA2C75" w:rsidRPr="00AA2C75" w:rsidRDefault="00AA2C75" w:rsidP="00AA2C75">
      <w:pPr>
        <w:spacing w:after="0" w:line="240" w:lineRule="auto"/>
        <w:jc w:val="left"/>
        <w:rPr>
          <w:b/>
          <w:sz w:val="24"/>
          <w:szCs w:val="24"/>
        </w:rPr>
      </w:pPr>
      <w:r w:rsidRPr="00AA2C75">
        <w:rPr>
          <w:bCs/>
          <w:sz w:val="24"/>
          <w:szCs w:val="24"/>
        </w:rPr>
        <w:t>Prindle, Goetz, Barnes &amp; Reinholtz, Jack R. Reinholtz and Douglas S. de Heras for Defendant and Respondent.</w:t>
      </w:r>
    </w:p>
    <w:p w14:paraId="2A7C2A32" w14:textId="77777777" w:rsidR="00AA2C75" w:rsidRPr="00AA2C75" w:rsidRDefault="00AA2C75" w:rsidP="00AA2C75">
      <w:pPr>
        <w:spacing w:after="0" w:line="240" w:lineRule="auto"/>
        <w:jc w:val="left"/>
        <w:rPr>
          <w:b/>
          <w:sz w:val="24"/>
          <w:szCs w:val="24"/>
        </w:rPr>
        <w:sectPr w:rsidR="00AA2C75" w:rsidRPr="00AA2C75"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pPr>
    </w:p>
    <w:p w14:paraId="786B9641" w14:textId="77777777" w:rsidR="00AA2C75" w:rsidRPr="00AA2C75" w:rsidRDefault="00AA2C75" w:rsidP="00AA2C75">
      <w:pPr>
        <w:spacing w:after="0" w:line="240" w:lineRule="auto"/>
        <w:jc w:val="left"/>
        <w:rPr>
          <w:b/>
          <w:sz w:val="24"/>
          <w:szCs w:val="24"/>
        </w:rPr>
      </w:pPr>
      <w:r w:rsidRPr="00AA2C75">
        <w:rPr>
          <w:b/>
          <w:sz w:val="24"/>
          <w:szCs w:val="24"/>
        </w:rPr>
        <w:lastRenderedPageBreak/>
        <w:t>Counsel who argued in Supreme Court (not intended for publication with opinion):</w:t>
      </w:r>
    </w:p>
    <w:p w14:paraId="52703080" w14:textId="77777777" w:rsidR="00AA2C75" w:rsidRPr="00AA2C75" w:rsidRDefault="00AA2C75" w:rsidP="00AA2C75">
      <w:pPr>
        <w:spacing w:after="0" w:line="240" w:lineRule="auto"/>
        <w:jc w:val="left"/>
        <w:rPr>
          <w:b/>
          <w:sz w:val="24"/>
          <w:szCs w:val="24"/>
        </w:rPr>
      </w:pPr>
    </w:p>
    <w:p w14:paraId="35018620" w14:textId="77777777" w:rsidR="00AA2C75" w:rsidRPr="00AA2C75" w:rsidRDefault="00AA2C75" w:rsidP="00AA2C75">
      <w:pPr>
        <w:spacing w:after="0" w:line="240" w:lineRule="auto"/>
        <w:jc w:val="left"/>
        <w:rPr>
          <w:sz w:val="24"/>
          <w:szCs w:val="24"/>
        </w:rPr>
      </w:pPr>
      <w:r w:rsidRPr="00AA2C75">
        <w:rPr>
          <w:sz w:val="24"/>
          <w:szCs w:val="24"/>
        </w:rPr>
        <w:t>Stuart B. Esner</w:t>
      </w:r>
    </w:p>
    <w:p w14:paraId="16835B7C" w14:textId="77777777" w:rsidR="00AA2C75" w:rsidRPr="00AA2C75" w:rsidRDefault="00AA2C75" w:rsidP="00AA2C75">
      <w:pPr>
        <w:spacing w:after="0" w:line="240" w:lineRule="auto"/>
        <w:jc w:val="left"/>
        <w:rPr>
          <w:sz w:val="24"/>
          <w:szCs w:val="24"/>
        </w:rPr>
      </w:pPr>
      <w:r w:rsidRPr="00AA2C75">
        <w:rPr>
          <w:sz w:val="24"/>
          <w:szCs w:val="24"/>
        </w:rPr>
        <w:t>Esner, Chang &amp; Boyer LLP</w:t>
      </w:r>
    </w:p>
    <w:p w14:paraId="48596010" w14:textId="77777777" w:rsidR="00AA2C75" w:rsidRPr="00AA2C75" w:rsidRDefault="00AA2C75" w:rsidP="00AA2C75">
      <w:pPr>
        <w:spacing w:after="0" w:line="240" w:lineRule="auto"/>
        <w:jc w:val="left"/>
        <w:rPr>
          <w:sz w:val="24"/>
          <w:szCs w:val="24"/>
        </w:rPr>
      </w:pPr>
      <w:r w:rsidRPr="00AA2C75">
        <w:rPr>
          <w:sz w:val="24"/>
          <w:szCs w:val="24"/>
        </w:rPr>
        <w:t>234 East Colorado Boulevard, Suite 975</w:t>
      </w:r>
    </w:p>
    <w:p w14:paraId="27C7329C" w14:textId="77777777" w:rsidR="00AA2C75" w:rsidRPr="00AA2C75" w:rsidRDefault="00AA2C75" w:rsidP="00AA2C75">
      <w:pPr>
        <w:spacing w:after="0" w:line="240" w:lineRule="auto"/>
        <w:jc w:val="left"/>
        <w:rPr>
          <w:sz w:val="24"/>
          <w:szCs w:val="24"/>
        </w:rPr>
      </w:pPr>
      <w:r w:rsidRPr="00AA2C75">
        <w:rPr>
          <w:sz w:val="24"/>
          <w:szCs w:val="24"/>
        </w:rPr>
        <w:t>Pasadena, CA 91101</w:t>
      </w:r>
    </w:p>
    <w:p w14:paraId="1FED5A9F" w14:textId="77777777" w:rsidR="00AA2C75" w:rsidRPr="00AA2C75" w:rsidRDefault="00AA2C75" w:rsidP="00AA2C75">
      <w:pPr>
        <w:spacing w:after="0" w:line="240" w:lineRule="auto"/>
        <w:jc w:val="left"/>
        <w:rPr>
          <w:sz w:val="24"/>
          <w:szCs w:val="24"/>
        </w:rPr>
      </w:pPr>
      <w:r w:rsidRPr="00AA2C75">
        <w:rPr>
          <w:sz w:val="24"/>
          <w:szCs w:val="24"/>
        </w:rPr>
        <w:t>(626) 535-9860</w:t>
      </w:r>
    </w:p>
    <w:p w14:paraId="6FBA5855" w14:textId="77777777" w:rsidR="00AA2C75" w:rsidRPr="00AA2C75" w:rsidRDefault="00AA2C75" w:rsidP="00AA2C75">
      <w:pPr>
        <w:spacing w:after="0" w:line="240" w:lineRule="auto"/>
        <w:jc w:val="left"/>
        <w:rPr>
          <w:sz w:val="24"/>
          <w:szCs w:val="24"/>
        </w:rPr>
      </w:pPr>
    </w:p>
    <w:p w14:paraId="5ADB9529" w14:textId="77777777" w:rsidR="00AA2C75" w:rsidRPr="00AA2C75" w:rsidRDefault="00AA2C75" w:rsidP="00AA2C75">
      <w:pPr>
        <w:spacing w:after="0" w:line="240" w:lineRule="auto"/>
        <w:jc w:val="left"/>
        <w:rPr>
          <w:bCs/>
          <w:sz w:val="24"/>
          <w:szCs w:val="24"/>
        </w:rPr>
      </w:pPr>
      <w:r w:rsidRPr="00AA2C75">
        <w:rPr>
          <w:bCs/>
          <w:sz w:val="24"/>
          <w:szCs w:val="24"/>
        </w:rPr>
        <w:t>Matthew S. Levinson</w:t>
      </w:r>
    </w:p>
    <w:p w14:paraId="34F62F78" w14:textId="77777777" w:rsidR="00AA2C75" w:rsidRPr="00AA2C75" w:rsidRDefault="00AA2C75" w:rsidP="00AA2C75">
      <w:pPr>
        <w:spacing w:after="0" w:line="240" w:lineRule="auto"/>
        <w:jc w:val="left"/>
        <w:rPr>
          <w:bCs/>
          <w:sz w:val="24"/>
          <w:szCs w:val="24"/>
        </w:rPr>
      </w:pPr>
      <w:r w:rsidRPr="00AA2C75">
        <w:rPr>
          <w:bCs/>
          <w:sz w:val="24"/>
          <w:szCs w:val="24"/>
        </w:rPr>
        <w:t>Cole Pedroza LLP</w:t>
      </w:r>
    </w:p>
    <w:p w14:paraId="6387E5CF" w14:textId="77777777" w:rsidR="00AA2C75" w:rsidRPr="00AA2C75" w:rsidRDefault="00AA2C75" w:rsidP="00AA2C75">
      <w:pPr>
        <w:spacing w:after="0" w:line="240" w:lineRule="auto"/>
        <w:jc w:val="left"/>
        <w:rPr>
          <w:bCs/>
          <w:sz w:val="24"/>
          <w:szCs w:val="24"/>
        </w:rPr>
      </w:pPr>
      <w:r w:rsidRPr="00AA2C75">
        <w:rPr>
          <w:bCs/>
          <w:sz w:val="24"/>
          <w:szCs w:val="24"/>
        </w:rPr>
        <w:t>2295 Huntington Drive</w:t>
      </w:r>
    </w:p>
    <w:p w14:paraId="6F882085" w14:textId="77777777" w:rsidR="00AA2C75" w:rsidRPr="00AA2C75" w:rsidRDefault="00AA2C75" w:rsidP="00AA2C75">
      <w:pPr>
        <w:spacing w:after="0" w:line="240" w:lineRule="auto"/>
        <w:jc w:val="left"/>
        <w:rPr>
          <w:bCs/>
          <w:sz w:val="24"/>
          <w:szCs w:val="24"/>
        </w:rPr>
      </w:pPr>
      <w:r w:rsidRPr="00AA2C75">
        <w:rPr>
          <w:bCs/>
          <w:sz w:val="24"/>
          <w:szCs w:val="24"/>
        </w:rPr>
        <w:t>San Marino, CA 91108</w:t>
      </w:r>
    </w:p>
    <w:p w14:paraId="545484DA" w14:textId="77777777" w:rsidR="00AA2C75" w:rsidRPr="00AA2C75" w:rsidRDefault="00AA2C75" w:rsidP="00AA2C75">
      <w:pPr>
        <w:spacing w:after="0" w:line="240" w:lineRule="auto"/>
        <w:jc w:val="left"/>
        <w:rPr>
          <w:sz w:val="24"/>
          <w:szCs w:val="24"/>
        </w:rPr>
      </w:pPr>
      <w:r w:rsidRPr="00AA2C75">
        <w:rPr>
          <w:bCs/>
          <w:sz w:val="24"/>
          <w:szCs w:val="24"/>
        </w:rPr>
        <w:t>(626) 431-2787</w:t>
      </w:r>
    </w:p>
    <w:p w14:paraId="588E9D1B" w14:textId="24BFD90F" w:rsidR="00651235" w:rsidRPr="0024419D" w:rsidRDefault="00651235">
      <w:pPr>
        <w:spacing w:after="0" w:line="240" w:lineRule="auto"/>
        <w:jc w:val="left"/>
        <w:rPr>
          <w:b/>
          <w:szCs w:val="26"/>
        </w:rPr>
      </w:pPr>
    </w:p>
    <w:sectPr w:rsidR="00651235" w:rsidRPr="0024419D" w:rsidSect="00EC2BB8">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98FB" w14:textId="77777777" w:rsidR="0082199B" w:rsidRDefault="0082199B">
      <w:r>
        <w:separator/>
      </w:r>
    </w:p>
  </w:endnote>
  <w:endnote w:type="continuationSeparator" w:id="0">
    <w:p w14:paraId="283C4BF2" w14:textId="77777777" w:rsidR="0082199B" w:rsidRDefault="0082199B">
      <w:r>
        <w:continuationSeparator/>
      </w:r>
    </w:p>
  </w:endnote>
  <w:endnote w:type="continuationNotice" w:id="1">
    <w:p w14:paraId="5214372D" w14:textId="77777777" w:rsidR="0082199B" w:rsidRDefault="0082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3AE0" w14:textId="77777777" w:rsidR="008C5812" w:rsidRDefault="00280C6D">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E4A9" w14:textId="77777777" w:rsidR="00D87414" w:rsidRDefault="00D87414">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89F1" w14:textId="77777777" w:rsidR="00AA2C75" w:rsidRDefault="00AA2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468C" w14:textId="77777777" w:rsidR="00AA2C75" w:rsidRDefault="00AA2C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73A8" w14:textId="77777777" w:rsidR="00AA2C75" w:rsidRDefault="00AA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4BE9" w14:textId="77777777" w:rsidR="0082199B" w:rsidRDefault="0082199B">
      <w:r>
        <w:separator/>
      </w:r>
    </w:p>
  </w:footnote>
  <w:footnote w:type="continuationSeparator" w:id="0">
    <w:p w14:paraId="6FD56518" w14:textId="77777777" w:rsidR="0082199B" w:rsidRPr="00BE695C" w:rsidRDefault="0082199B">
      <w:r w:rsidRPr="00BE695C">
        <w:continuationSeparator/>
      </w:r>
    </w:p>
    <w:p w14:paraId="68942AF9" w14:textId="77777777" w:rsidR="0082199B" w:rsidRPr="00BE695C" w:rsidRDefault="0082199B">
      <w:pPr>
        <w:rPr>
          <w:sz w:val="20"/>
        </w:rPr>
      </w:pPr>
    </w:p>
    <w:p w14:paraId="174189F8" w14:textId="77777777" w:rsidR="0082199B" w:rsidRDefault="0082199B">
      <w:pPr>
        <w:rPr>
          <w:i/>
          <w:iCs/>
          <w:sz w:val="20"/>
        </w:rPr>
      </w:pPr>
      <w:r>
        <w:rPr>
          <w:i/>
          <w:iCs/>
          <w:sz w:val="20"/>
        </w:rPr>
        <w:t>(Footnote continued from previous page.)</w:t>
      </w:r>
    </w:p>
    <w:p w14:paraId="4856BE11" w14:textId="77777777" w:rsidR="0082199B" w:rsidRPr="00BE695C" w:rsidRDefault="0082199B">
      <w:pPr>
        <w:rPr>
          <w:i/>
          <w:sz w:val="20"/>
        </w:rPr>
      </w:pPr>
    </w:p>
  </w:footnote>
  <w:footnote w:type="continuationNotice" w:id="1">
    <w:p w14:paraId="53BFC961" w14:textId="77777777" w:rsidR="0082199B" w:rsidRPr="00BE695C" w:rsidRDefault="0082199B" w:rsidP="00BE695C">
      <w:pPr>
        <w:jc w:val="right"/>
        <w:rPr>
          <w:sz w:val="20"/>
        </w:rPr>
      </w:pPr>
    </w:p>
    <w:p w14:paraId="7F9D72DD" w14:textId="77777777" w:rsidR="0082199B" w:rsidRDefault="0082199B">
      <w:pPr>
        <w:jc w:val="right"/>
        <w:rPr>
          <w:i/>
          <w:iCs/>
          <w:sz w:val="20"/>
        </w:rPr>
      </w:pPr>
      <w:r>
        <w:rPr>
          <w:i/>
          <w:iCs/>
          <w:sz w:val="20"/>
        </w:rPr>
        <w:t>(Footnote continued on next page.)</w:t>
      </w:r>
    </w:p>
  </w:footnote>
  <w:footnote w:id="2">
    <w:p w14:paraId="3D342F1E" w14:textId="4915CDAF" w:rsidR="00ED630B" w:rsidRDefault="00ED630B" w:rsidP="00ED630B">
      <w:pPr>
        <w:pStyle w:val="FootnoteText"/>
      </w:pPr>
      <w:r>
        <w:rPr>
          <w:rStyle w:val="FootnoteReference"/>
        </w:rPr>
        <w:t>*</w:t>
      </w:r>
      <w:r>
        <w:t xml:space="preserve"> </w:t>
      </w:r>
      <w:r>
        <w:tab/>
      </w:r>
      <w:r w:rsidR="00910E8C">
        <w:t>Associate</w:t>
      </w:r>
      <w:r>
        <w:t xml:space="preserve"> Justice of the Court of Appeal, Fifth Appellate District, assigned by the Chief Justice pursuant to article VI, section 6 of the California Constitution.</w:t>
      </w:r>
    </w:p>
  </w:footnote>
  <w:footnote w:id="3">
    <w:p w14:paraId="661D5E87" w14:textId="6B467633" w:rsidR="00ED630B" w:rsidRDefault="00ED630B" w:rsidP="00ED630B">
      <w:pPr>
        <w:pStyle w:val="FootnoteText"/>
      </w:pPr>
      <w:r>
        <w:rPr>
          <w:rStyle w:val="FootnoteReference"/>
        </w:rPr>
        <w:t>*</w:t>
      </w:r>
      <w:r>
        <w:t xml:space="preserve"> </w:t>
      </w:r>
      <w:r>
        <w:tab/>
      </w:r>
      <w:r w:rsidR="00910E8C">
        <w:t>Associate</w:t>
      </w:r>
      <w:r>
        <w:t xml:space="preserve">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5842" w14:textId="1CED381D" w:rsidR="00A21E36" w:rsidRDefault="0078774B">
    <w:pPr>
      <w:pStyle w:val="Header"/>
    </w:pPr>
    <w:r>
      <w:t xml:space="preserve">LOPEZ </w:t>
    </w:r>
    <w:r w:rsidR="00D87414">
      <w:t xml:space="preserve">v. </w:t>
    </w:r>
    <w:r>
      <w:t>LEDESMA</w:t>
    </w:r>
  </w:p>
  <w:p w14:paraId="569BCF2A" w14:textId="45857C65" w:rsidR="00D87414" w:rsidRDefault="00D87414">
    <w:pPr>
      <w:pStyle w:val="Header"/>
    </w:pPr>
    <w:r>
      <w:t>Opinion of the Court by Liu, J.</w:t>
    </w:r>
  </w:p>
  <w:p w14:paraId="2D020E00" w14:textId="77777777" w:rsidR="00D87414" w:rsidRDefault="00D8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86D2" w14:textId="77777777" w:rsidR="00AA2C75" w:rsidRDefault="00AA2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55D2" w14:textId="77777777" w:rsidR="00AA2C75" w:rsidRDefault="00AA2C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A5E2" w14:textId="77777777" w:rsidR="00AA2C75" w:rsidRDefault="00AA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5A67"/>
    <w:multiLevelType w:val="hybridMultilevel"/>
    <w:tmpl w:val="0AC81FE2"/>
    <w:lvl w:ilvl="0" w:tplc="EDFC9A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34B09"/>
    <w:multiLevelType w:val="hybridMultilevel"/>
    <w:tmpl w:val="BB543F30"/>
    <w:lvl w:ilvl="0" w:tplc="605C1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26434"/>
    <w:multiLevelType w:val="hybridMultilevel"/>
    <w:tmpl w:val="AED0EAAE"/>
    <w:lvl w:ilvl="0" w:tplc="5D5AB2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2518D"/>
    <w:multiLevelType w:val="hybridMultilevel"/>
    <w:tmpl w:val="8788FF66"/>
    <w:lvl w:ilvl="0" w:tplc="A4942F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47C97"/>
    <w:multiLevelType w:val="hybridMultilevel"/>
    <w:tmpl w:val="2B94488E"/>
    <w:lvl w:ilvl="0" w:tplc="79682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EB4C53"/>
    <w:multiLevelType w:val="hybridMultilevel"/>
    <w:tmpl w:val="D31C917E"/>
    <w:lvl w:ilvl="0" w:tplc="6B2CEFD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14"/>
    <w:rsid w:val="00000C0D"/>
    <w:rsid w:val="0000132A"/>
    <w:rsid w:val="000019AC"/>
    <w:rsid w:val="00002496"/>
    <w:rsid w:val="00002671"/>
    <w:rsid w:val="00002B17"/>
    <w:rsid w:val="000033E9"/>
    <w:rsid w:val="00003962"/>
    <w:rsid w:val="0000423B"/>
    <w:rsid w:val="0000442D"/>
    <w:rsid w:val="00004960"/>
    <w:rsid w:val="00004A5F"/>
    <w:rsid w:val="00005133"/>
    <w:rsid w:val="00005AD8"/>
    <w:rsid w:val="00005BF8"/>
    <w:rsid w:val="00006B58"/>
    <w:rsid w:val="000079BF"/>
    <w:rsid w:val="00007D70"/>
    <w:rsid w:val="000100F9"/>
    <w:rsid w:val="00010BF0"/>
    <w:rsid w:val="000119A1"/>
    <w:rsid w:val="00011D49"/>
    <w:rsid w:val="000122D3"/>
    <w:rsid w:val="00012B86"/>
    <w:rsid w:val="00012D0A"/>
    <w:rsid w:val="00012EB5"/>
    <w:rsid w:val="0001311E"/>
    <w:rsid w:val="00013402"/>
    <w:rsid w:val="00013642"/>
    <w:rsid w:val="00013A73"/>
    <w:rsid w:val="00013DC1"/>
    <w:rsid w:val="00013EBD"/>
    <w:rsid w:val="00013F8E"/>
    <w:rsid w:val="00014A1C"/>
    <w:rsid w:val="00015224"/>
    <w:rsid w:val="0001589B"/>
    <w:rsid w:val="000159A2"/>
    <w:rsid w:val="00015A85"/>
    <w:rsid w:val="00015E4B"/>
    <w:rsid w:val="000160CC"/>
    <w:rsid w:val="000161DE"/>
    <w:rsid w:val="000169AF"/>
    <w:rsid w:val="00016AFD"/>
    <w:rsid w:val="00016F11"/>
    <w:rsid w:val="000175B1"/>
    <w:rsid w:val="00017827"/>
    <w:rsid w:val="000178EC"/>
    <w:rsid w:val="00017902"/>
    <w:rsid w:val="00017F8C"/>
    <w:rsid w:val="000201ED"/>
    <w:rsid w:val="000209CB"/>
    <w:rsid w:val="00021EB7"/>
    <w:rsid w:val="00021F16"/>
    <w:rsid w:val="000220FE"/>
    <w:rsid w:val="00022615"/>
    <w:rsid w:val="000228BE"/>
    <w:rsid w:val="00023000"/>
    <w:rsid w:val="000230E4"/>
    <w:rsid w:val="000242BF"/>
    <w:rsid w:val="00024612"/>
    <w:rsid w:val="00024A95"/>
    <w:rsid w:val="0002561E"/>
    <w:rsid w:val="00026061"/>
    <w:rsid w:val="00026307"/>
    <w:rsid w:val="00026542"/>
    <w:rsid w:val="00027501"/>
    <w:rsid w:val="00027520"/>
    <w:rsid w:val="00027A88"/>
    <w:rsid w:val="000300CD"/>
    <w:rsid w:val="000307F1"/>
    <w:rsid w:val="00030D5F"/>
    <w:rsid w:val="00031CBA"/>
    <w:rsid w:val="00031F08"/>
    <w:rsid w:val="00033803"/>
    <w:rsid w:val="00033F6E"/>
    <w:rsid w:val="00034B68"/>
    <w:rsid w:val="000357A9"/>
    <w:rsid w:val="00035ACE"/>
    <w:rsid w:val="00036935"/>
    <w:rsid w:val="00036EAF"/>
    <w:rsid w:val="00037075"/>
    <w:rsid w:val="00037C58"/>
    <w:rsid w:val="00037CD7"/>
    <w:rsid w:val="00037D34"/>
    <w:rsid w:val="00040503"/>
    <w:rsid w:val="000407DF"/>
    <w:rsid w:val="00040855"/>
    <w:rsid w:val="000426E5"/>
    <w:rsid w:val="00043164"/>
    <w:rsid w:val="000437C4"/>
    <w:rsid w:val="00043B32"/>
    <w:rsid w:val="00043DCA"/>
    <w:rsid w:val="00044F6A"/>
    <w:rsid w:val="00045829"/>
    <w:rsid w:val="00045BFE"/>
    <w:rsid w:val="00045FCF"/>
    <w:rsid w:val="00046135"/>
    <w:rsid w:val="000462DD"/>
    <w:rsid w:val="0004634A"/>
    <w:rsid w:val="000466DC"/>
    <w:rsid w:val="00046E27"/>
    <w:rsid w:val="0004710C"/>
    <w:rsid w:val="00047525"/>
    <w:rsid w:val="000475A2"/>
    <w:rsid w:val="0004764B"/>
    <w:rsid w:val="00047733"/>
    <w:rsid w:val="00047DBA"/>
    <w:rsid w:val="00050368"/>
    <w:rsid w:val="00050CD6"/>
    <w:rsid w:val="0005180E"/>
    <w:rsid w:val="00051923"/>
    <w:rsid w:val="00052140"/>
    <w:rsid w:val="00052474"/>
    <w:rsid w:val="000530CC"/>
    <w:rsid w:val="0005340F"/>
    <w:rsid w:val="00053717"/>
    <w:rsid w:val="00053C9B"/>
    <w:rsid w:val="00053E46"/>
    <w:rsid w:val="0005468C"/>
    <w:rsid w:val="000548CC"/>
    <w:rsid w:val="00054F0E"/>
    <w:rsid w:val="000558FB"/>
    <w:rsid w:val="0005666B"/>
    <w:rsid w:val="00056A00"/>
    <w:rsid w:val="00056BED"/>
    <w:rsid w:val="00057A0A"/>
    <w:rsid w:val="00057B7F"/>
    <w:rsid w:val="00060580"/>
    <w:rsid w:val="00060CB0"/>
    <w:rsid w:val="00060CB7"/>
    <w:rsid w:val="00061182"/>
    <w:rsid w:val="00061A3A"/>
    <w:rsid w:val="00061A84"/>
    <w:rsid w:val="00061B4D"/>
    <w:rsid w:val="00061D22"/>
    <w:rsid w:val="00061EEB"/>
    <w:rsid w:val="00062068"/>
    <w:rsid w:val="00062946"/>
    <w:rsid w:val="00062A7B"/>
    <w:rsid w:val="00063019"/>
    <w:rsid w:val="00063121"/>
    <w:rsid w:val="00063CD1"/>
    <w:rsid w:val="00063FE8"/>
    <w:rsid w:val="0006424E"/>
    <w:rsid w:val="000646CA"/>
    <w:rsid w:val="00064BC3"/>
    <w:rsid w:val="000652E2"/>
    <w:rsid w:val="00066430"/>
    <w:rsid w:val="0006659A"/>
    <w:rsid w:val="0007006B"/>
    <w:rsid w:val="000702CF"/>
    <w:rsid w:val="00070569"/>
    <w:rsid w:val="00070A5D"/>
    <w:rsid w:val="0007119D"/>
    <w:rsid w:val="00071392"/>
    <w:rsid w:val="0007140C"/>
    <w:rsid w:val="00071F1A"/>
    <w:rsid w:val="00072504"/>
    <w:rsid w:val="00072694"/>
    <w:rsid w:val="00073949"/>
    <w:rsid w:val="000748EE"/>
    <w:rsid w:val="000749A6"/>
    <w:rsid w:val="0007583F"/>
    <w:rsid w:val="00075DC8"/>
    <w:rsid w:val="00076A91"/>
    <w:rsid w:val="00077FFA"/>
    <w:rsid w:val="00080932"/>
    <w:rsid w:val="000811CA"/>
    <w:rsid w:val="00081206"/>
    <w:rsid w:val="00081315"/>
    <w:rsid w:val="00081331"/>
    <w:rsid w:val="00081447"/>
    <w:rsid w:val="00082018"/>
    <w:rsid w:val="00083508"/>
    <w:rsid w:val="0008418F"/>
    <w:rsid w:val="00084527"/>
    <w:rsid w:val="00084994"/>
    <w:rsid w:val="00084F4B"/>
    <w:rsid w:val="000856B7"/>
    <w:rsid w:val="0008580C"/>
    <w:rsid w:val="0008687E"/>
    <w:rsid w:val="00086EFA"/>
    <w:rsid w:val="0008708E"/>
    <w:rsid w:val="00087094"/>
    <w:rsid w:val="000873AD"/>
    <w:rsid w:val="00087558"/>
    <w:rsid w:val="00087942"/>
    <w:rsid w:val="00087E3B"/>
    <w:rsid w:val="00090258"/>
    <w:rsid w:val="00090544"/>
    <w:rsid w:val="0009061F"/>
    <w:rsid w:val="00090E29"/>
    <w:rsid w:val="00090E5C"/>
    <w:rsid w:val="00091814"/>
    <w:rsid w:val="000918EE"/>
    <w:rsid w:val="000921A3"/>
    <w:rsid w:val="0009274A"/>
    <w:rsid w:val="00092B3D"/>
    <w:rsid w:val="00093070"/>
    <w:rsid w:val="00093143"/>
    <w:rsid w:val="0009360E"/>
    <w:rsid w:val="00093C73"/>
    <w:rsid w:val="0009437A"/>
    <w:rsid w:val="0009439B"/>
    <w:rsid w:val="00094532"/>
    <w:rsid w:val="00094779"/>
    <w:rsid w:val="00094C1C"/>
    <w:rsid w:val="00095199"/>
    <w:rsid w:val="00095414"/>
    <w:rsid w:val="000959E1"/>
    <w:rsid w:val="0009627B"/>
    <w:rsid w:val="00096760"/>
    <w:rsid w:val="00096A82"/>
    <w:rsid w:val="0009715B"/>
    <w:rsid w:val="0009777A"/>
    <w:rsid w:val="00097F70"/>
    <w:rsid w:val="000A02FF"/>
    <w:rsid w:val="000A0737"/>
    <w:rsid w:val="000A0B64"/>
    <w:rsid w:val="000A12BC"/>
    <w:rsid w:val="000A15BC"/>
    <w:rsid w:val="000A17BC"/>
    <w:rsid w:val="000A192C"/>
    <w:rsid w:val="000A2953"/>
    <w:rsid w:val="000A3FFA"/>
    <w:rsid w:val="000A5487"/>
    <w:rsid w:val="000A5822"/>
    <w:rsid w:val="000A5C33"/>
    <w:rsid w:val="000A5E92"/>
    <w:rsid w:val="000A64F7"/>
    <w:rsid w:val="000A66BD"/>
    <w:rsid w:val="000A670D"/>
    <w:rsid w:val="000A74E8"/>
    <w:rsid w:val="000A74F5"/>
    <w:rsid w:val="000A7688"/>
    <w:rsid w:val="000A77B4"/>
    <w:rsid w:val="000A79C1"/>
    <w:rsid w:val="000B0638"/>
    <w:rsid w:val="000B0C87"/>
    <w:rsid w:val="000B0E4F"/>
    <w:rsid w:val="000B27D3"/>
    <w:rsid w:val="000B2966"/>
    <w:rsid w:val="000B33AE"/>
    <w:rsid w:val="000B437E"/>
    <w:rsid w:val="000B48B9"/>
    <w:rsid w:val="000B5438"/>
    <w:rsid w:val="000B631E"/>
    <w:rsid w:val="000B6428"/>
    <w:rsid w:val="000B6468"/>
    <w:rsid w:val="000B66F1"/>
    <w:rsid w:val="000B6782"/>
    <w:rsid w:val="000B687D"/>
    <w:rsid w:val="000B6D6C"/>
    <w:rsid w:val="000B71A2"/>
    <w:rsid w:val="000B77A2"/>
    <w:rsid w:val="000B791B"/>
    <w:rsid w:val="000B7C8E"/>
    <w:rsid w:val="000C01B0"/>
    <w:rsid w:val="000C065E"/>
    <w:rsid w:val="000C07E8"/>
    <w:rsid w:val="000C0BA9"/>
    <w:rsid w:val="000C0C0A"/>
    <w:rsid w:val="000C0C82"/>
    <w:rsid w:val="000C0E38"/>
    <w:rsid w:val="000C12EA"/>
    <w:rsid w:val="000C208D"/>
    <w:rsid w:val="000C2174"/>
    <w:rsid w:val="000C3119"/>
    <w:rsid w:val="000C460E"/>
    <w:rsid w:val="000C496D"/>
    <w:rsid w:val="000C4CA7"/>
    <w:rsid w:val="000C51F4"/>
    <w:rsid w:val="000C5A5E"/>
    <w:rsid w:val="000C62E8"/>
    <w:rsid w:val="000C7300"/>
    <w:rsid w:val="000C737A"/>
    <w:rsid w:val="000C788D"/>
    <w:rsid w:val="000D0020"/>
    <w:rsid w:val="000D05E7"/>
    <w:rsid w:val="000D1500"/>
    <w:rsid w:val="000D1501"/>
    <w:rsid w:val="000D19D4"/>
    <w:rsid w:val="000D21B3"/>
    <w:rsid w:val="000D2A9D"/>
    <w:rsid w:val="000D307C"/>
    <w:rsid w:val="000D3BE4"/>
    <w:rsid w:val="000D3D36"/>
    <w:rsid w:val="000D3DE8"/>
    <w:rsid w:val="000D5836"/>
    <w:rsid w:val="000D583F"/>
    <w:rsid w:val="000D5E6D"/>
    <w:rsid w:val="000D60FE"/>
    <w:rsid w:val="000D6337"/>
    <w:rsid w:val="000D6724"/>
    <w:rsid w:val="000D6FF0"/>
    <w:rsid w:val="000D7479"/>
    <w:rsid w:val="000D7B5F"/>
    <w:rsid w:val="000E0293"/>
    <w:rsid w:val="000E04B8"/>
    <w:rsid w:val="000E0501"/>
    <w:rsid w:val="000E1DBC"/>
    <w:rsid w:val="000E2134"/>
    <w:rsid w:val="000E2CBE"/>
    <w:rsid w:val="000E3CE2"/>
    <w:rsid w:val="000E4063"/>
    <w:rsid w:val="000E476A"/>
    <w:rsid w:val="000E4969"/>
    <w:rsid w:val="000E49FB"/>
    <w:rsid w:val="000E50AB"/>
    <w:rsid w:val="000E53CF"/>
    <w:rsid w:val="000E62A8"/>
    <w:rsid w:val="000E6479"/>
    <w:rsid w:val="000E6A77"/>
    <w:rsid w:val="000E7363"/>
    <w:rsid w:val="000E76A4"/>
    <w:rsid w:val="000E7BDA"/>
    <w:rsid w:val="000F0263"/>
    <w:rsid w:val="000F04D4"/>
    <w:rsid w:val="000F1030"/>
    <w:rsid w:val="000F1713"/>
    <w:rsid w:val="000F1FD2"/>
    <w:rsid w:val="000F27B3"/>
    <w:rsid w:val="000F2AD0"/>
    <w:rsid w:val="000F3439"/>
    <w:rsid w:val="000F35E3"/>
    <w:rsid w:val="000F46BC"/>
    <w:rsid w:val="000F58A4"/>
    <w:rsid w:val="000F5FB0"/>
    <w:rsid w:val="000F62CD"/>
    <w:rsid w:val="000F76A2"/>
    <w:rsid w:val="000F7947"/>
    <w:rsid w:val="000F7ED0"/>
    <w:rsid w:val="00100189"/>
    <w:rsid w:val="00100DFD"/>
    <w:rsid w:val="00101BCF"/>
    <w:rsid w:val="00101E8B"/>
    <w:rsid w:val="00101F65"/>
    <w:rsid w:val="0010210F"/>
    <w:rsid w:val="00102D18"/>
    <w:rsid w:val="0010353C"/>
    <w:rsid w:val="001036BE"/>
    <w:rsid w:val="00103823"/>
    <w:rsid w:val="00103B70"/>
    <w:rsid w:val="00103B97"/>
    <w:rsid w:val="00103F97"/>
    <w:rsid w:val="00104A13"/>
    <w:rsid w:val="00104A27"/>
    <w:rsid w:val="00104EC6"/>
    <w:rsid w:val="00104EDF"/>
    <w:rsid w:val="00104F4A"/>
    <w:rsid w:val="00105606"/>
    <w:rsid w:val="001056E3"/>
    <w:rsid w:val="00105C98"/>
    <w:rsid w:val="00105F12"/>
    <w:rsid w:val="0010640C"/>
    <w:rsid w:val="001067EC"/>
    <w:rsid w:val="00106E11"/>
    <w:rsid w:val="00106E42"/>
    <w:rsid w:val="0010776C"/>
    <w:rsid w:val="00107942"/>
    <w:rsid w:val="0011017A"/>
    <w:rsid w:val="00110204"/>
    <w:rsid w:val="00110AAC"/>
    <w:rsid w:val="00110DA4"/>
    <w:rsid w:val="001111F0"/>
    <w:rsid w:val="00111AED"/>
    <w:rsid w:val="00111B04"/>
    <w:rsid w:val="00111F30"/>
    <w:rsid w:val="0011286B"/>
    <w:rsid w:val="0011339E"/>
    <w:rsid w:val="0011364F"/>
    <w:rsid w:val="001137C1"/>
    <w:rsid w:val="00113A67"/>
    <w:rsid w:val="00113AF9"/>
    <w:rsid w:val="00114042"/>
    <w:rsid w:val="001141A4"/>
    <w:rsid w:val="00114996"/>
    <w:rsid w:val="001167E3"/>
    <w:rsid w:val="00120B19"/>
    <w:rsid w:val="00121482"/>
    <w:rsid w:val="00121972"/>
    <w:rsid w:val="00121F7C"/>
    <w:rsid w:val="00122497"/>
    <w:rsid w:val="00122979"/>
    <w:rsid w:val="00122C90"/>
    <w:rsid w:val="001236A8"/>
    <w:rsid w:val="00123DD1"/>
    <w:rsid w:val="001242A9"/>
    <w:rsid w:val="00124E2B"/>
    <w:rsid w:val="00125860"/>
    <w:rsid w:val="00125E09"/>
    <w:rsid w:val="00125FD2"/>
    <w:rsid w:val="0012660B"/>
    <w:rsid w:val="001266B4"/>
    <w:rsid w:val="00126791"/>
    <w:rsid w:val="00127199"/>
    <w:rsid w:val="001272DB"/>
    <w:rsid w:val="001277A9"/>
    <w:rsid w:val="00127801"/>
    <w:rsid w:val="00130165"/>
    <w:rsid w:val="00130229"/>
    <w:rsid w:val="00130E49"/>
    <w:rsid w:val="001313F1"/>
    <w:rsid w:val="00131600"/>
    <w:rsid w:val="00131A80"/>
    <w:rsid w:val="00131BF6"/>
    <w:rsid w:val="00131F7B"/>
    <w:rsid w:val="0013246E"/>
    <w:rsid w:val="001324F1"/>
    <w:rsid w:val="0013286F"/>
    <w:rsid w:val="00132950"/>
    <w:rsid w:val="001335CC"/>
    <w:rsid w:val="0013375B"/>
    <w:rsid w:val="0013442D"/>
    <w:rsid w:val="00134B44"/>
    <w:rsid w:val="00134BBE"/>
    <w:rsid w:val="00134DAB"/>
    <w:rsid w:val="00134E22"/>
    <w:rsid w:val="001353A8"/>
    <w:rsid w:val="001353AA"/>
    <w:rsid w:val="0013652E"/>
    <w:rsid w:val="00136C39"/>
    <w:rsid w:val="00137729"/>
    <w:rsid w:val="001379B6"/>
    <w:rsid w:val="00137A58"/>
    <w:rsid w:val="00137BC8"/>
    <w:rsid w:val="001400AE"/>
    <w:rsid w:val="00140838"/>
    <w:rsid w:val="00140897"/>
    <w:rsid w:val="0014121C"/>
    <w:rsid w:val="00141932"/>
    <w:rsid w:val="00141B83"/>
    <w:rsid w:val="001427F1"/>
    <w:rsid w:val="00142F17"/>
    <w:rsid w:val="00143399"/>
    <w:rsid w:val="00143C8E"/>
    <w:rsid w:val="00144145"/>
    <w:rsid w:val="0014452B"/>
    <w:rsid w:val="001445B5"/>
    <w:rsid w:val="00144D7B"/>
    <w:rsid w:val="00144FCC"/>
    <w:rsid w:val="00145C05"/>
    <w:rsid w:val="0014602C"/>
    <w:rsid w:val="001466BA"/>
    <w:rsid w:val="00146B8B"/>
    <w:rsid w:val="0014724F"/>
    <w:rsid w:val="001478F1"/>
    <w:rsid w:val="00147F9A"/>
    <w:rsid w:val="0015006C"/>
    <w:rsid w:val="0015069F"/>
    <w:rsid w:val="001506FA"/>
    <w:rsid w:val="00150B3F"/>
    <w:rsid w:val="0015125C"/>
    <w:rsid w:val="001512B7"/>
    <w:rsid w:val="001515A9"/>
    <w:rsid w:val="00151E3F"/>
    <w:rsid w:val="00151FC3"/>
    <w:rsid w:val="001521AE"/>
    <w:rsid w:val="001523B9"/>
    <w:rsid w:val="00152781"/>
    <w:rsid w:val="001528C1"/>
    <w:rsid w:val="00154306"/>
    <w:rsid w:val="00154A96"/>
    <w:rsid w:val="00154EEE"/>
    <w:rsid w:val="001550DB"/>
    <w:rsid w:val="0015571C"/>
    <w:rsid w:val="001557C5"/>
    <w:rsid w:val="001558EA"/>
    <w:rsid w:val="00155F59"/>
    <w:rsid w:val="0015616F"/>
    <w:rsid w:val="001562E8"/>
    <w:rsid w:val="00156485"/>
    <w:rsid w:val="00156B7C"/>
    <w:rsid w:val="00157286"/>
    <w:rsid w:val="0015784C"/>
    <w:rsid w:val="00157CCB"/>
    <w:rsid w:val="001600AB"/>
    <w:rsid w:val="001602B2"/>
    <w:rsid w:val="0016058E"/>
    <w:rsid w:val="001610BD"/>
    <w:rsid w:val="00162141"/>
    <w:rsid w:val="001625BB"/>
    <w:rsid w:val="00162BF2"/>
    <w:rsid w:val="00162C3A"/>
    <w:rsid w:val="00162D94"/>
    <w:rsid w:val="00164522"/>
    <w:rsid w:val="0016471F"/>
    <w:rsid w:val="00164A3E"/>
    <w:rsid w:val="0016523B"/>
    <w:rsid w:val="0016536A"/>
    <w:rsid w:val="00165668"/>
    <w:rsid w:val="00165B8B"/>
    <w:rsid w:val="0016643C"/>
    <w:rsid w:val="001669B8"/>
    <w:rsid w:val="0016726D"/>
    <w:rsid w:val="0016748D"/>
    <w:rsid w:val="0016767E"/>
    <w:rsid w:val="001704A8"/>
    <w:rsid w:val="00170B2D"/>
    <w:rsid w:val="00170C91"/>
    <w:rsid w:val="00171770"/>
    <w:rsid w:val="001717AD"/>
    <w:rsid w:val="00171928"/>
    <w:rsid w:val="001719F3"/>
    <w:rsid w:val="00171A6F"/>
    <w:rsid w:val="00171C73"/>
    <w:rsid w:val="001720B6"/>
    <w:rsid w:val="001720F0"/>
    <w:rsid w:val="00173D30"/>
    <w:rsid w:val="00174265"/>
    <w:rsid w:val="00175105"/>
    <w:rsid w:val="001754C9"/>
    <w:rsid w:val="00175FDA"/>
    <w:rsid w:val="00176824"/>
    <w:rsid w:val="00176DA6"/>
    <w:rsid w:val="001779FD"/>
    <w:rsid w:val="0018042C"/>
    <w:rsid w:val="00180788"/>
    <w:rsid w:val="00181DB1"/>
    <w:rsid w:val="00181F2F"/>
    <w:rsid w:val="00182EAF"/>
    <w:rsid w:val="00183D76"/>
    <w:rsid w:val="001844EE"/>
    <w:rsid w:val="00184AED"/>
    <w:rsid w:val="00185195"/>
    <w:rsid w:val="0018553A"/>
    <w:rsid w:val="00186E47"/>
    <w:rsid w:val="0018743A"/>
    <w:rsid w:val="0018772A"/>
    <w:rsid w:val="0018798C"/>
    <w:rsid w:val="001879EB"/>
    <w:rsid w:val="00187FEC"/>
    <w:rsid w:val="0019042E"/>
    <w:rsid w:val="00190718"/>
    <w:rsid w:val="0019073F"/>
    <w:rsid w:val="00190857"/>
    <w:rsid w:val="00191534"/>
    <w:rsid w:val="00191DD9"/>
    <w:rsid w:val="0019406C"/>
    <w:rsid w:val="0019409E"/>
    <w:rsid w:val="0019422E"/>
    <w:rsid w:val="00194356"/>
    <w:rsid w:val="00194765"/>
    <w:rsid w:val="00194A35"/>
    <w:rsid w:val="00195133"/>
    <w:rsid w:val="00195A67"/>
    <w:rsid w:val="001962CC"/>
    <w:rsid w:val="00196483"/>
    <w:rsid w:val="00196530"/>
    <w:rsid w:val="001966EB"/>
    <w:rsid w:val="001968F1"/>
    <w:rsid w:val="001969EA"/>
    <w:rsid w:val="001975C1"/>
    <w:rsid w:val="001977F8"/>
    <w:rsid w:val="00197DFB"/>
    <w:rsid w:val="001A0295"/>
    <w:rsid w:val="001A07E5"/>
    <w:rsid w:val="001A0E5A"/>
    <w:rsid w:val="001A1560"/>
    <w:rsid w:val="001A15B6"/>
    <w:rsid w:val="001A1A8F"/>
    <w:rsid w:val="001A20B1"/>
    <w:rsid w:val="001A2570"/>
    <w:rsid w:val="001A49CC"/>
    <w:rsid w:val="001A5011"/>
    <w:rsid w:val="001A51F9"/>
    <w:rsid w:val="001A520C"/>
    <w:rsid w:val="001A5CBF"/>
    <w:rsid w:val="001A6298"/>
    <w:rsid w:val="001A64AB"/>
    <w:rsid w:val="001A664A"/>
    <w:rsid w:val="001A6AA7"/>
    <w:rsid w:val="001A6F17"/>
    <w:rsid w:val="001A75CF"/>
    <w:rsid w:val="001A7722"/>
    <w:rsid w:val="001A797A"/>
    <w:rsid w:val="001A7E8D"/>
    <w:rsid w:val="001B086D"/>
    <w:rsid w:val="001B117C"/>
    <w:rsid w:val="001B25C6"/>
    <w:rsid w:val="001B2D0C"/>
    <w:rsid w:val="001B4527"/>
    <w:rsid w:val="001B492B"/>
    <w:rsid w:val="001B4CFA"/>
    <w:rsid w:val="001B4E39"/>
    <w:rsid w:val="001B5225"/>
    <w:rsid w:val="001B5673"/>
    <w:rsid w:val="001B5CFC"/>
    <w:rsid w:val="001B6753"/>
    <w:rsid w:val="001B6A4C"/>
    <w:rsid w:val="001B7A39"/>
    <w:rsid w:val="001C0387"/>
    <w:rsid w:val="001C1081"/>
    <w:rsid w:val="001C17C6"/>
    <w:rsid w:val="001C1901"/>
    <w:rsid w:val="001C1CB6"/>
    <w:rsid w:val="001C21F2"/>
    <w:rsid w:val="001C22BC"/>
    <w:rsid w:val="001C242E"/>
    <w:rsid w:val="001C2834"/>
    <w:rsid w:val="001C2D4C"/>
    <w:rsid w:val="001C2F70"/>
    <w:rsid w:val="001C3460"/>
    <w:rsid w:val="001C3A76"/>
    <w:rsid w:val="001C3D3C"/>
    <w:rsid w:val="001C3E6C"/>
    <w:rsid w:val="001C4125"/>
    <w:rsid w:val="001C450D"/>
    <w:rsid w:val="001C48AA"/>
    <w:rsid w:val="001C5A88"/>
    <w:rsid w:val="001C5EEC"/>
    <w:rsid w:val="001C73CE"/>
    <w:rsid w:val="001C79F5"/>
    <w:rsid w:val="001C7CB3"/>
    <w:rsid w:val="001D0204"/>
    <w:rsid w:val="001D086D"/>
    <w:rsid w:val="001D0A71"/>
    <w:rsid w:val="001D0BA2"/>
    <w:rsid w:val="001D1863"/>
    <w:rsid w:val="001D1D70"/>
    <w:rsid w:val="001D2151"/>
    <w:rsid w:val="001D2854"/>
    <w:rsid w:val="001D2A80"/>
    <w:rsid w:val="001D32ED"/>
    <w:rsid w:val="001D3502"/>
    <w:rsid w:val="001D3868"/>
    <w:rsid w:val="001D46A8"/>
    <w:rsid w:val="001D493C"/>
    <w:rsid w:val="001D4B5B"/>
    <w:rsid w:val="001D4B83"/>
    <w:rsid w:val="001D50F4"/>
    <w:rsid w:val="001D5972"/>
    <w:rsid w:val="001D5FFB"/>
    <w:rsid w:val="001D72E3"/>
    <w:rsid w:val="001D7ADD"/>
    <w:rsid w:val="001E03F8"/>
    <w:rsid w:val="001E0A7D"/>
    <w:rsid w:val="001E0A9C"/>
    <w:rsid w:val="001E0FF2"/>
    <w:rsid w:val="001E1126"/>
    <w:rsid w:val="001E1410"/>
    <w:rsid w:val="001E1684"/>
    <w:rsid w:val="001E1BB3"/>
    <w:rsid w:val="001E1D19"/>
    <w:rsid w:val="001E2BFC"/>
    <w:rsid w:val="001E2F6D"/>
    <w:rsid w:val="001E3654"/>
    <w:rsid w:val="001E42F7"/>
    <w:rsid w:val="001E44F7"/>
    <w:rsid w:val="001E4713"/>
    <w:rsid w:val="001E4BB5"/>
    <w:rsid w:val="001E4F3E"/>
    <w:rsid w:val="001E58C3"/>
    <w:rsid w:val="001E5DA0"/>
    <w:rsid w:val="001E63DF"/>
    <w:rsid w:val="001E6654"/>
    <w:rsid w:val="001E6C07"/>
    <w:rsid w:val="001E6CCC"/>
    <w:rsid w:val="001E71B8"/>
    <w:rsid w:val="001E7885"/>
    <w:rsid w:val="001E7C75"/>
    <w:rsid w:val="001E7E76"/>
    <w:rsid w:val="001F03D2"/>
    <w:rsid w:val="001F0500"/>
    <w:rsid w:val="001F0D06"/>
    <w:rsid w:val="001F1C1A"/>
    <w:rsid w:val="001F24EE"/>
    <w:rsid w:val="001F27B0"/>
    <w:rsid w:val="001F2C92"/>
    <w:rsid w:val="001F2D68"/>
    <w:rsid w:val="001F346A"/>
    <w:rsid w:val="001F3603"/>
    <w:rsid w:val="001F388A"/>
    <w:rsid w:val="001F40B2"/>
    <w:rsid w:val="001F4397"/>
    <w:rsid w:val="001F45F6"/>
    <w:rsid w:val="001F5019"/>
    <w:rsid w:val="001F5175"/>
    <w:rsid w:val="001F5343"/>
    <w:rsid w:val="001F59F2"/>
    <w:rsid w:val="001F5B19"/>
    <w:rsid w:val="001F5FF9"/>
    <w:rsid w:val="001F68BF"/>
    <w:rsid w:val="001F69AF"/>
    <w:rsid w:val="001F76AF"/>
    <w:rsid w:val="0020190B"/>
    <w:rsid w:val="00201BBC"/>
    <w:rsid w:val="00201EF6"/>
    <w:rsid w:val="00202422"/>
    <w:rsid w:val="002024D3"/>
    <w:rsid w:val="0020283E"/>
    <w:rsid w:val="00202886"/>
    <w:rsid w:val="00202B89"/>
    <w:rsid w:val="00202E62"/>
    <w:rsid w:val="0020341D"/>
    <w:rsid w:val="00203FB9"/>
    <w:rsid w:val="00204194"/>
    <w:rsid w:val="00205F4C"/>
    <w:rsid w:val="002061B5"/>
    <w:rsid w:val="00206727"/>
    <w:rsid w:val="00206C7F"/>
    <w:rsid w:val="00206E2C"/>
    <w:rsid w:val="002074EA"/>
    <w:rsid w:val="002079C7"/>
    <w:rsid w:val="00207C2D"/>
    <w:rsid w:val="00210111"/>
    <w:rsid w:val="0021030B"/>
    <w:rsid w:val="00210AA2"/>
    <w:rsid w:val="00210AFA"/>
    <w:rsid w:val="00210C04"/>
    <w:rsid w:val="00210FC9"/>
    <w:rsid w:val="002110DB"/>
    <w:rsid w:val="00211170"/>
    <w:rsid w:val="00211455"/>
    <w:rsid w:val="002116ED"/>
    <w:rsid w:val="00211CA6"/>
    <w:rsid w:val="0021201C"/>
    <w:rsid w:val="00212510"/>
    <w:rsid w:val="002125D9"/>
    <w:rsid w:val="00213B45"/>
    <w:rsid w:val="00213DB8"/>
    <w:rsid w:val="00214639"/>
    <w:rsid w:val="002154F9"/>
    <w:rsid w:val="00215DBE"/>
    <w:rsid w:val="00215E4B"/>
    <w:rsid w:val="00215FF4"/>
    <w:rsid w:val="0021601A"/>
    <w:rsid w:val="002168D0"/>
    <w:rsid w:val="00216D25"/>
    <w:rsid w:val="00217401"/>
    <w:rsid w:val="002179E9"/>
    <w:rsid w:val="00217B43"/>
    <w:rsid w:val="00217E3A"/>
    <w:rsid w:val="00220CB1"/>
    <w:rsid w:val="00220DFA"/>
    <w:rsid w:val="00221B75"/>
    <w:rsid w:val="002223DD"/>
    <w:rsid w:val="0022242F"/>
    <w:rsid w:val="00223B2E"/>
    <w:rsid w:val="0022430A"/>
    <w:rsid w:val="00224F5C"/>
    <w:rsid w:val="00224FC4"/>
    <w:rsid w:val="002252A0"/>
    <w:rsid w:val="00225AA5"/>
    <w:rsid w:val="00225E7E"/>
    <w:rsid w:val="0022615D"/>
    <w:rsid w:val="002267FA"/>
    <w:rsid w:val="0022682D"/>
    <w:rsid w:val="0023003C"/>
    <w:rsid w:val="002302E7"/>
    <w:rsid w:val="00230C21"/>
    <w:rsid w:val="00230E20"/>
    <w:rsid w:val="0023107A"/>
    <w:rsid w:val="0023162C"/>
    <w:rsid w:val="002317B1"/>
    <w:rsid w:val="0023190A"/>
    <w:rsid w:val="0023195F"/>
    <w:rsid w:val="00231B09"/>
    <w:rsid w:val="00232066"/>
    <w:rsid w:val="00232372"/>
    <w:rsid w:val="002323A4"/>
    <w:rsid w:val="00232C38"/>
    <w:rsid w:val="00233089"/>
    <w:rsid w:val="002336CF"/>
    <w:rsid w:val="00234DBF"/>
    <w:rsid w:val="00235357"/>
    <w:rsid w:val="0023539C"/>
    <w:rsid w:val="002357E2"/>
    <w:rsid w:val="00235A3F"/>
    <w:rsid w:val="00235A45"/>
    <w:rsid w:val="00235BD5"/>
    <w:rsid w:val="002362A3"/>
    <w:rsid w:val="0023637B"/>
    <w:rsid w:val="002373E8"/>
    <w:rsid w:val="002374CD"/>
    <w:rsid w:val="002377FC"/>
    <w:rsid w:val="0023781C"/>
    <w:rsid w:val="002378D0"/>
    <w:rsid w:val="00240A91"/>
    <w:rsid w:val="002413C5"/>
    <w:rsid w:val="0024164D"/>
    <w:rsid w:val="00241A80"/>
    <w:rsid w:val="00242769"/>
    <w:rsid w:val="002429DE"/>
    <w:rsid w:val="00242F92"/>
    <w:rsid w:val="0024338A"/>
    <w:rsid w:val="0024346A"/>
    <w:rsid w:val="00243E02"/>
    <w:rsid w:val="00243F5C"/>
    <w:rsid w:val="0024419D"/>
    <w:rsid w:val="0024475D"/>
    <w:rsid w:val="00244B83"/>
    <w:rsid w:val="00244D1A"/>
    <w:rsid w:val="00245161"/>
    <w:rsid w:val="002456F9"/>
    <w:rsid w:val="00245A2F"/>
    <w:rsid w:val="00245C92"/>
    <w:rsid w:val="0024601B"/>
    <w:rsid w:val="002468D7"/>
    <w:rsid w:val="00246D92"/>
    <w:rsid w:val="002472BB"/>
    <w:rsid w:val="0024784F"/>
    <w:rsid w:val="0024789E"/>
    <w:rsid w:val="00250C67"/>
    <w:rsid w:val="00250D69"/>
    <w:rsid w:val="00250DDF"/>
    <w:rsid w:val="00250F0E"/>
    <w:rsid w:val="00251183"/>
    <w:rsid w:val="002514F0"/>
    <w:rsid w:val="0025228E"/>
    <w:rsid w:val="00252AFD"/>
    <w:rsid w:val="00253A91"/>
    <w:rsid w:val="00253C1D"/>
    <w:rsid w:val="00255335"/>
    <w:rsid w:val="0025599F"/>
    <w:rsid w:val="002564B5"/>
    <w:rsid w:val="002565E9"/>
    <w:rsid w:val="0025661C"/>
    <w:rsid w:val="002579CF"/>
    <w:rsid w:val="00257CF2"/>
    <w:rsid w:val="00257FDA"/>
    <w:rsid w:val="00260926"/>
    <w:rsid w:val="00260B5F"/>
    <w:rsid w:val="0026102F"/>
    <w:rsid w:val="00261316"/>
    <w:rsid w:val="0026167F"/>
    <w:rsid w:val="002616B9"/>
    <w:rsid w:val="002636BA"/>
    <w:rsid w:val="00263895"/>
    <w:rsid w:val="00264991"/>
    <w:rsid w:val="00265B6B"/>
    <w:rsid w:val="0026628D"/>
    <w:rsid w:val="002662C2"/>
    <w:rsid w:val="0026664A"/>
    <w:rsid w:val="0026717B"/>
    <w:rsid w:val="00267373"/>
    <w:rsid w:val="00267792"/>
    <w:rsid w:val="0026792A"/>
    <w:rsid w:val="00267AF0"/>
    <w:rsid w:val="00267C66"/>
    <w:rsid w:val="00267DE3"/>
    <w:rsid w:val="00271601"/>
    <w:rsid w:val="00271639"/>
    <w:rsid w:val="00271AE4"/>
    <w:rsid w:val="00272192"/>
    <w:rsid w:val="00272380"/>
    <w:rsid w:val="00272529"/>
    <w:rsid w:val="00272F2A"/>
    <w:rsid w:val="0027404D"/>
    <w:rsid w:val="002743EF"/>
    <w:rsid w:val="0027443E"/>
    <w:rsid w:val="0027447C"/>
    <w:rsid w:val="00274BF2"/>
    <w:rsid w:val="00274CB3"/>
    <w:rsid w:val="00274CBB"/>
    <w:rsid w:val="00274CDB"/>
    <w:rsid w:val="00275249"/>
    <w:rsid w:val="0027641D"/>
    <w:rsid w:val="00277804"/>
    <w:rsid w:val="0027782D"/>
    <w:rsid w:val="00277F09"/>
    <w:rsid w:val="0028084A"/>
    <w:rsid w:val="00280A83"/>
    <w:rsid w:val="00280C6D"/>
    <w:rsid w:val="00280CF8"/>
    <w:rsid w:val="00280EF6"/>
    <w:rsid w:val="00282436"/>
    <w:rsid w:val="00282D43"/>
    <w:rsid w:val="00283084"/>
    <w:rsid w:val="002833DB"/>
    <w:rsid w:val="00283681"/>
    <w:rsid w:val="00284057"/>
    <w:rsid w:val="002863F7"/>
    <w:rsid w:val="002868C2"/>
    <w:rsid w:val="0028712C"/>
    <w:rsid w:val="0028775A"/>
    <w:rsid w:val="00287A78"/>
    <w:rsid w:val="00287DC8"/>
    <w:rsid w:val="00290375"/>
    <w:rsid w:val="00290382"/>
    <w:rsid w:val="002904B5"/>
    <w:rsid w:val="0029053D"/>
    <w:rsid w:val="00291751"/>
    <w:rsid w:val="00291A72"/>
    <w:rsid w:val="0029203C"/>
    <w:rsid w:val="002920D4"/>
    <w:rsid w:val="00292298"/>
    <w:rsid w:val="002924C7"/>
    <w:rsid w:val="00292AFA"/>
    <w:rsid w:val="00292B4D"/>
    <w:rsid w:val="0029365E"/>
    <w:rsid w:val="00293ACC"/>
    <w:rsid w:val="00293CBA"/>
    <w:rsid w:val="00293E2A"/>
    <w:rsid w:val="002940D2"/>
    <w:rsid w:val="002943C6"/>
    <w:rsid w:val="00294EA6"/>
    <w:rsid w:val="00294F80"/>
    <w:rsid w:val="00295026"/>
    <w:rsid w:val="0029520A"/>
    <w:rsid w:val="0029587A"/>
    <w:rsid w:val="00295A59"/>
    <w:rsid w:val="00295D9C"/>
    <w:rsid w:val="0029653B"/>
    <w:rsid w:val="00296680"/>
    <w:rsid w:val="00296A67"/>
    <w:rsid w:val="00297115"/>
    <w:rsid w:val="00297D29"/>
    <w:rsid w:val="00297F32"/>
    <w:rsid w:val="002A003A"/>
    <w:rsid w:val="002A064C"/>
    <w:rsid w:val="002A0CF6"/>
    <w:rsid w:val="002A0E9B"/>
    <w:rsid w:val="002A0EE8"/>
    <w:rsid w:val="002A1C4F"/>
    <w:rsid w:val="002A1E87"/>
    <w:rsid w:val="002A2487"/>
    <w:rsid w:val="002A299A"/>
    <w:rsid w:val="002A2E9F"/>
    <w:rsid w:val="002A3189"/>
    <w:rsid w:val="002A3D86"/>
    <w:rsid w:val="002A3DA2"/>
    <w:rsid w:val="002A4358"/>
    <w:rsid w:val="002A4977"/>
    <w:rsid w:val="002A4CFE"/>
    <w:rsid w:val="002A4F03"/>
    <w:rsid w:val="002A4FCE"/>
    <w:rsid w:val="002A5992"/>
    <w:rsid w:val="002A5C02"/>
    <w:rsid w:val="002A6B88"/>
    <w:rsid w:val="002A6CF3"/>
    <w:rsid w:val="002A7149"/>
    <w:rsid w:val="002A7338"/>
    <w:rsid w:val="002A7F14"/>
    <w:rsid w:val="002B0DA7"/>
    <w:rsid w:val="002B105B"/>
    <w:rsid w:val="002B1083"/>
    <w:rsid w:val="002B1563"/>
    <w:rsid w:val="002B1950"/>
    <w:rsid w:val="002B1FAA"/>
    <w:rsid w:val="002B208A"/>
    <w:rsid w:val="002B2581"/>
    <w:rsid w:val="002B25E3"/>
    <w:rsid w:val="002B2B89"/>
    <w:rsid w:val="002B3E6E"/>
    <w:rsid w:val="002B4275"/>
    <w:rsid w:val="002B4438"/>
    <w:rsid w:val="002B451C"/>
    <w:rsid w:val="002B4713"/>
    <w:rsid w:val="002B48E0"/>
    <w:rsid w:val="002B53A1"/>
    <w:rsid w:val="002B5DD1"/>
    <w:rsid w:val="002B6A0A"/>
    <w:rsid w:val="002C0443"/>
    <w:rsid w:val="002C1C83"/>
    <w:rsid w:val="002C2A44"/>
    <w:rsid w:val="002C2DD8"/>
    <w:rsid w:val="002C2DEA"/>
    <w:rsid w:val="002C2E2E"/>
    <w:rsid w:val="002C34BA"/>
    <w:rsid w:val="002C3C40"/>
    <w:rsid w:val="002C3F88"/>
    <w:rsid w:val="002C43BE"/>
    <w:rsid w:val="002C5127"/>
    <w:rsid w:val="002C6D09"/>
    <w:rsid w:val="002C6E96"/>
    <w:rsid w:val="002C7302"/>
    <w:rsid w:val="002C7419"/>
    <w:rsid w:val="002D0951"/>
    <w:rsid w:val="002D131E"/>
    <w:rsid w:val="002D14A7"/>
    <w:rsid w:val="002D186E"/>
    <w:rsid w:val="002D1963"/>
    <w:rsid w:val="002D1ADE"/>
    <w:rsid w:val="002D1F3D"/>
    <w:rsid w:val="002D2062"/>
    <w:rsid w:val="002D24FE"/>
    <w:rsid w:val="002D376D"/>
    <w:rsid w:val="002D3873"/>
    <w:rsid w:val="002D3A0C"/>
    <w:rsid w:val="002D3D3A"/>
    <w:rsid w:val="002D3F4E"/>
    <w:rsid w:val="002D44EF"/>
    <w:rsid w:val="002D4B67"/>
    <w:rsid w:val="002D5473"/>
    <w:rsid w:val="002D57AB"/>
    <w:rsid w:val="002D63E0"/>
    <w:rsid w:val="002D6433"/>
    <w:rsid w:val="002D65A1"/>
    <w:rsid w:val="002D6875"/>
    <w:rsid w:val="002D6B8E"/>
    <w:rsid w:val="002D6CDB"/>
    <w:rsid w:val="002D6F4B"/>
    <w:rsid w:val="002D77B6"/>
    <w:rsid w:val="002E00CF"/>
    <w:rsid w:val="002E0835"/>
    <w:rsid w:val="002E0901"/>
    <w:rsid w:val="002E1019"/>
    <w:rsid w:val="002E1818"/>
    <w:rsid w:val="002E18EC"/>
    <w:rsid w:val="002E246E"/>
    <w:rsid w:val="002E249A"/>
    <w:rsid w:val="002E2FF4"/>
    <w:rsid w:val="002E3643"/>
    <w:rsid w:val="002E4400"/>
    <w:rsid w:val="002E6439"/>
    <w:rsid w:val="002E66D1"/>
    <w:rsid w:val="002E67E9"/>
    <w:rsid w:val="002E6AEB"/>
    <w:rsid w:val="002E7134"/>
    <w:rsid w:val="002E7B11"/>
    <w:rsid w:val="002E7B8B"/>
    <w:rsid w:val="002E7C09"/>
    <w:rsid w:val="002E7CA6"/>
    <w:rsid w:val="002F09DE"/>
    <w:rsid w:val="002F0D87"/>
    <w:rsid w:val="002F1234"/>
    <w:rsid w:val="002F1733"/>
    <w:rsid w:val="002F17C2"/>
    <w:rsid w:val="002F181A"/>
    <w:rsid w:val="002F239C"/>
    <w:rsid w:val="002F255E"/>
    <w:rsid w:val="002F2720"/>
    <w:rsid w:val="002F28B5"/>
    <w:rsid w:val="002F28E2"/>
    <w:rsid w:val="002F313C"/>
    <w:rsid w:val="002F3290"/>
    <w:rsid w:val="002F3A60"/>
    <w:rsid w:val="002F3F7E"/>
    <w:rsid w:val="002F440A"/>
    <w:rsid w:val="002F4A18"/>
    <w:rsid w:val="002F4AA4"/>
    <w:rsid w:val="002F4C46"/>
    <w:rsid w:val="002F5D23"/>
    <w:rsid w:val="002F6189"/>
    <w:rsid w:val="002F623A"/>
    <w:rsid w:val="002F6566"/>
    <w:rsid w:val="002F69BC"/>
    <w:rsid w:val="002F704A"/>
    <w:rsid w:val="002F7162"/>
    <w:rsid w:val="002F7428"/>
    <w:rsid w:val="002F7529"/>
    <w:rsid w:val="002F769A"/>
    <w:rsid w:val="002F7BA8"/>
    <w:rsid w:val="003001E7"/>
    <w:rsid w:val="00300596"/>
    <w:rsid w:val="00300AAA"/>
    <w:rsid w:val="003010B9"/>
    <w:rsid w:val="0030198F"/>
    <w:rsid w:val="00301A91"/>
    <w:rsid w:val="00301A99"/>
    <w:rsid w:val="003023BC"/>
    <w:rsid w:val="00302529"/>
    <w:rsid w:val="00302EDC"/>
    <w:rsid w:val="003035C9"/>
    <w:rsid w:val="00303E4C"/>
    <w:rsid w:val="00304E86"/>
    <w:rsid w:val="003059C6"/>
    <w:rsid w:val="00305C07"/>
    <w:rsid w:val="00305CB6"/>
    <w:rsid w:val="003060FB"/>
    <w:rsid w:val="00306895"/>
    <w:rsid w:val="00307544"/>
    <w:rsid w:val="0030787D"/>
    <w:rsid w:val="003101D7"/>
    <w:rsid w:val="00310296"/>
    <w:rsid w:val="003104E7"/>
    <w:rsid w:val="003104EA"/>
    <w:rsid w:val="00310D31"/>
    <w:rsid w:val="0031110A"/>
    <w:rsid w:val="00311C8E"/>
    <w:rsid w:val="00311F78"/>
    <w:rsid w:val="003120A7"/>
    <w:rsid w:val="00312239"/>
    <w:rsid w:val="00312A4D"/>
    <w:rsid w:val="00313046"/>
    <w:rsid w:val="003135F3"/>
    <w:rsid w:val="003136DA"/>
    <w:rsid w:val="00313E11"/>
    <w:rsid w:val="0031524D"/>
    <w:rsid w:val="0031530B"/>
    <w:rsid w:val="003155C3"/>
    <w:rsid w:val="00315768"/>
    <w:rsid w:val="003163A2"/>
    <w:rsid w:val="003169DA"/>
    <w:rsid w:val="00316A1B"/>
    <w:rsid w:val="00316AD2"/>
    <w:rsid w:val="0031712D"/>
    <w:rsid w:val="00317861"/>
    <w:rsid w:val="003178AF"/>
    <w:rsid w:val="00317B16"/>
    <w:rsid w:val="003201A0"/>
    <w:rsid w:val="00321349"/>
    <w:rsid w:val="00321980"/>
    <w:rsid w:val="0032280E"/>
    <w:rsid w:val="00322B80"/>
    <w:rsid w:val="00322BFD"/>
    <w:rsid w:val="00322CF2"/>
    <w:rsid w:val="00323428"/>
    <w:rsid w:val="00323686"/>
    <w:rsid w:val="00323825"/>
    <w:rsid w:val="00323DE2"/>
    <w:rsid w:val="003249B4"/>
    <w:rsid w:val="00324A81"/>
    <w:rsid w:val="00325422"/>
    <w:rsid w:val="00325729"/>
    <w:rsid w:val="00325CEB"/>
    <w:rsid w:val="0032610A"/>
    <w:rsid w:val="00326AF6"/>
    <w:rsid w:val="00326C59"/>
    <w:rsid w:val="0032704F"/>
    <w:rsid w:val="00327106"/>
    <w:rsid w:val="00327763"/>
    <w:rsid w:val="00327770"/>
    <w:rsid w:val="00330257"/>
    <w:rsid w:val="00331569"/>
    <w:rsid w:val="00331A95"/>
    <w:rsid w:val="00331AE7"/>
    <w:rsid w:val="00331DF0"/>
    <w:rsid w:val="00331E58"/>
    <w:rsid w:val="00332215"/>
    <w:rsid w:val="003325B5"/>
    <w:rsid w:val="00332641"/>
    <w:rsid w:val="0033371D"/>
    <w:rsid w:val="00333906"/>
    <w:rsid w:val="0033393A"/>
    <w:rsid w:val="0033419D"/>
    <w:rsid w:val="003349B9"/>
    <w:rsid w:val="00334E5C"/>
    <w:rsid w:val="00334EF7"/>
    <w:rsid w:val="003353A6"/>
    <w:rsid w:val="00335FA5"/>
    <w:rsid w:val="00336387"/>
    <w:rsid w:val="00336783"/>
    <w:rsid w:val="00337078"/>
    <w:rsid w:val="003376D2"/>
    <w:rsid w:val="00337B27"/>
    <w:rsid w:val="0034013E"/>
    <w:rsid w:val="003403C2"/>
    <w:rsid w:val="00341055"/>
    <w:rsid w:val="00341421"/>
    <w:rsid w:val="0034171B"/>
    <w:rsid w:val="00341894"/>
    <w:rsid w:val="00341B41"/>
    <w:rsid w:val="0034208D"/>
    <w:rsid w:val="00342C6B"/>
    <w:rsid w:val="003438B5"/>
    <w:rsid w:val="00344357"/>
    <w:rsid w:val="003443C4"/>
    <w:rsid w:val="00344CF9"/>
    <w:rsid w:val="00344E0D"/>
    <w:rsid w:val="003452D0"/>
    <w:rsid w:val="00345725"/>
    <w:rsid w:val="003459C2"/>
    <w:rsid w:val="00345A16"/>
    <w:rsid w:val="00345A6F"/>
    <w:rsid w:val="00346477"/>
    <w:rsid w:val="0034699B"/>
    <w:rsid w:val="00346D15"/>
    <w:rsid w:val="003473C6"/>
    <w:rsid w:val="0034740F"/>
    <w:rsid w:val="0034795F"/>
    <w:rsid w:val="003479AC"/>
    <w:rsid w:val="003501E4"/>
    <w:rsid w:val="003504F1"/>
    <w:rsid w:val="00350503"/>
    <w:rsid w:val="0035056E"/>
    <w:rsid w:val="003506DD"/>
    <w:rsid w:val="003506FF"/>
    <w:rsid w:val="0035077C"/>
    <w:rsid w:val="00350961"/>
    <w:rsid w:val="003509F3"/>
    <w:rsid w:val="00350EBF"/>
    <w:rsid w:val="003510D2"/>
    <w:rsid w:val="0035124E"/>
    <w:rsid w:val="003512DB"/>
    <w:rsid w:val="00351666"/>
    <w:rsid w:val="00351D5E"/>
    <w:rsid w:val="00351E38"/>
    <w:rsid w:val="0035335A"/>
    <w:rsid w:val="00353B4B"/>
    <w:rsid w:val="00354816"/>
    <w:rsid w:val="00354869"/>
    <w:rsid w:val="00354A3A"/>
    <w:rsid w:val="00354C0A"/>
    <w:rsid w:val="0035569F"/>
    <w:rsid w:val="00355A7F"/>
    <w:rsid w:val="0035695C"/>
    <w:rsid w:val="00356E90"/>
    <w:rsid w:val="00356E93"/>
    <w:rsid w:val="003574BA"/>
    <w:rsid w:val="00357913"/>
    <w:rsid w:val="00357965"/>
    <w:rsid w:val="00357AD9"/>
    <w:rsid w:val="00357BFF"/>
    <w:rsid w:val="0036136E"/>
    <w:rsid w:val="003618E4"/>
    <w:rsid w:val="00362A78"/>
    <w:rsid w:val="00362EB4"/>
    <w:rsid w:val="0036308C"/>
    <w:rsid w:val="00363627"/>
    <w:rsid w:val="0036499D"/>
    <w:rsid w:val="00364FAB"/>
    <w:rsid w:val="0036581B"/>
    <w:rsid w:val="00365DE1"/>
    <w:rsid w:val="00366471"/>
    <w:rsid w:val="003664AC"/>
    <w:rsid w:val="003669AA"/>
    <w:rsid w:val="00366FC7"/>
    <w:rsid w:val="003673E5"/>
    <w:rsid w:val="00370B88"/>
    <w:rsid w:val="003714AA"/>
    <w:rsid w:val="0037178E"/>
    <w:rsid w:val="00371F15"/>
    <w:rsid w:val="00372700"/>
    <w:rsid w:val="003735A6"/>
    <w:rsid w:val="0037391E"/>
    <w:rsid w:val="00373963"/>
    <w:rsid w:val="00373F8E"/>
    <w:rsid w:val="003740FD"/>
    <w:rsid w:val="00374312"/>
    <w:rsid w:val="003744F4"/>
    <w:rsid w:val="00375DA2"/>
    <w:rsid w:val="00375DFE"/>
    <w:rsid w:val="00375F95"/>
    <w:rsid w:val="003763C6"/>
    <w:rsid w:val="00376649"/>
    <w:rsid w:val="00376DC3"/>
    <w:rsid w:val="00376F3D"/>
    <w:rsid w:val="00376F9F"/>
    <w:rsid w:val="0037713B"/>
    <w:rsid w:val="003775C1"/>
    <w:rsid w:val="00377E4D"/>
    <w:rsid w:val="0038024A"/>
    <w:rsid w:val="00380BE2"/>
    <w:rsid w:val="00380DAA"/>
    <w:rsid w:val="00380DAE"/>
    <w:rsid w:val="00381BAD"/>
    <w:rsid w:val="00381E89"/>
    <w:rsid w:val="0038269B"/>
    <w:rsid w:val="0038290A"/>
    <w:rsid w:val="00382981"/>
    <w:rsid w:val="00382A3B"/>
    <w:rsid w:val="00382ED0"/>
    <w:rsid w:val="003835CF"/>
    <w:rsid w:val="003835DC"/>
    <w:rsid w:val="00383F9D"/>
    <w:rsid w:val="003842EA"/>
    <w:rsid w:val="0038608A"/>
    <w:rsid w:val="00386475"/>
    <w:rsid w:val="0038674B"/>
    <w:rsid w:val="003867FA"/>
    <w:rsid w:val="003872B4"/>
    <w:rsid w:val="003879D6"/>
    <w:rsid w:val="00390057"/>
    <w:rsid w:val="00390256"/>
    <w:rsid w:val="00390AB3"/>
    <w:rsid w:val="00390C9A"/>
    <w:rsid w:val="00390D78"/>
    <w:rsid w:val="003911CB"/>
    <w:rsid w:val="003914EB"/>
    <w:rsid w:val="0039157C"/>
    <w:rsid w:val="003915B9"/>
    <w:rsid w:val="0039213F"/>
    <w:rsid w:val="0039238D"/>
    <w:rsid w:val="003923E9"/>
    <w:rsid w:val="00392786"/>
    <w:rsid w:val="0039286D"/>
    <w:rsid w:val="00392CBC"/>
    <w:rsid w:val="00392EEA"/>
    <w:rsid w:val="00393656"/>
    <w:rsid w:val="0039434A"/>
    <w:rsid w:val="0039490C"/>
    <w:rsid w:val="003949D6"/>
    <w:rsid w:val="00394A7A"/>
    <w:rsid w:val="00394A7C"/>
    <w:rsid w:val="00394FC1"/>
    <w:rsid w:val="0039544E"/>
    <w:rsid w:val="003955D8"/>
    <w:rsid w:val="003958DA"/>
    <w:rsid w:val="00395B67"/>
    <w:rsid w:val="00395DED"/>
    <w:rsid w:val="00396254"/>
    <w:rsid w:val="003963A2"/>
    <w:rsid w:val="00396455"/>
    <w:rsid w:val="0039708A"/>
    <w:rsid w:val="00397109"/>
    <w:rsid w:val="00397378"/>
    <w:rsid w:val="00397BC4"/>
    <w:rsid w:val="00397E0C"/>
    <w:rsid w:val="003A01DA"/>
    <w:rsid w:val="003A04EB"/>
    <w:rsid w:val="003A0D7E"/>
    <w:rsid w:val="003A1078"/>
    <w:rsid w:val="003A12FD"/>
    <w:rsid w:val="003A14A3"/>
    <w:rsid w:val="003A1779"/>
    <w:rsid w:val="003A1869"/>
    <w:rsid w:val="003A1965"/>
    <w:rsid w:val="003A19E1"/>
    <w:rsid w:val="003A1EA0"/>
    <w:rsid w:val="003A2367"/>
    <w:rsid w:val="003A28A2"/>
    <w:rsid w:val="003A3270"/>
    <w:rsid w:val="003A3900"/>
    <w:rsid w:val="003A3BFA"/>
    <w:rsid w:val="003A45FD"/>
    <w:rsid w:val="003A48C2"/>
    <w:rsid w:val="003A4B96"/>
    <w:rsid w:val="003A4E02"/>
    <w:rsid w:val="003A56FF"/>
    <w:rsid w:val="003A605A"/>
    <w:rsid w:val="003A647C"/>
    <w:rsid w:val="003A67B0"/>
    <w:rsid w:val="003A69A5"/>
    <w:rsid w:val="003A6BE8"/>
    <w:rsid w:val="003A723B"/>
    <w:rsid w:val="003A7C2B"/>
    <w:rsid w:val="003A7F21"/>
    <w:rsid w:val="003B0299"/>
    <w:rsid w:val="003B0625"/>
    <w:rsid w:val="003B09C0"/>
    <w:rsid w:val="003B0AA6"/>
    <w:rsid w:val="003B0AC7"/>
    <w:rsid w:val="003B0D4E"/>
    <w:rsid w:val="003B10CC"/>
    <w:rsid w:val="003B11D0"/>
    <w:rsid w:val="003B1B18"/>
    <w:rsid w:val="003B2082"/>
    <w:rsid w:val="003B208B"/>
    <w:rsid w:val="003B2284"/>
    <w:rsid w:val="003B2C6D"/>
    <w:rsid w:val="003B2DF3"/>
    <w:rsid w:val="003B34D4"/>
    <w:rsid w:val="003B4138"/>
    <w:rsid w:val="003B4670"/>
    <w:rsid w:val="003B49A5"/>
    <w:rsid w:val="003B4C7E"/>
    <w:rsid w:val="003B5546"/>
    <w:rsid w:val="003B5ECF"/>
    <w:rsid w:val="003B6480"/>
    <w:rsid w:val="003B6E59"/>
    <w:rsid w:val="003B7694"/>
    <w:rsid w:val="003B7764"/>
    <w:rsid w:val="003C0591"/>
    <w:rsid w:val="003C0660"/>
    <w:rsid w:val="003C3161"/>
    <w:rsid w:val="003C372A"/>
    <w:rsid w:val="003C38ED"/>
    <w:rsid w:val="003C39C8"/>
    <w:rsid w:val="003C3F67"/>
    <w:rsid w:val="003C4B39"/>
    <w:rsid w:val="003C50CC"/>
    <w:rsid w:val="003C54F1"/>
    <w:rsid w:val="003C55E8"/>
    <w:rsid w:val="003C5F09"/>
    <w:rsid w:val="003C6394"/>
    <w:rsid w:val="003C6893"/>
    <w:rsid w:val="003C6CE4"/>
    <w:rsid w:val="003C7581"/>
    <w:rsid w:val="003C7A25"/>
    <w:rsid w:val="003C7E0E"/>
    <w:rsid w:val="003D0C02"/>
    <w:rsid w:val="003D0F0F"/>
    <w:rsid w:val="003D1061"/>
    <w:rsid w:val="003D10AD"/>
    <w:rsid w:val="003D1520"/>
    <w:rsid w:val="003D1B06"/>
    <w:rsid w:val="003D1C4A"/>
    <w:rsid w:val="003D28F2"/>
    <w:rsid w:val="003D39EA"/>
    <w:rsid w:val="003D3E73"/>
    <w:rsid w:val="003D45A3"/>
    <w:rsid w:val="003D4E73"/>
    <w:rsid w:val="003D517A"/>
    <w:rsid w:val="003D5422"/>
    <w:rsid w:val="003D5492"/>
    <w:rsid w:val="003D5657"/>
    <w:rsid w:val="003D5B2E"/>
    <w:rsid w:val="003D5BE4"/>
    <w:rsid w:val="003D5BE5"/>
    <w:rsid w:val="003D68D0"/>
    <w:rsid w:val="003D6A5F"/>
    <w:rsid w:val="003D7C92"/>
    <w:rsid w:val="003E0425"/>
    <w:rsid w:val="003E0E4C"/>
    <w:rsid w:val="003E11AB"/>
    <w:rsid w:val="003E1CA8"/>
    <w:rsid w:val="003E202B"/>
    <w:rsid w:val="003E22BB"/>
    <w:rsid w:val="003E282A"/>
    <w:rsid w:val="003E39CC"/>
    <w:rsid w:val="003E3D1B"/>
    <w:rsid w:val="003E3D2B"/>
    <w:rsid w:val="003E40FF"/>
    <w:rsid w:val="003E4A2B"/>
    <w:rsid w:val="003E513B"/>
    <w:rsid w:val="003E524A"/>
    <w:rsid w:val="003E538E"/>
    <w:rsid w:val="003E53AF"/>
    <w:rsid w:val="003E53C7"/>
    <w:rsid w:val="003E55A4"/>
    <w:rsid w:val="003E5642"/>
    <w:rsid w:val="003E5C48"/>
    <w:rsid w:val="003E6172"/>
    <w:rsid w:val="003E6B66"/>
    <w:rsid w:val="003E7AB2"/>
    <w:rsid w:val="003F0457"/>
    <w:rsid w:val="003F0767"/>
    <w:rsid w:val="003F08E2"/>
    <w:rsid w:val="003F113A"/>
    <w:rsid w:val="003F12CF"/>
    <w:rsid w:val="003F12F0"/>
    <w:rsid w:val="003F20C2"/>
    <w:rsid w:val="003F2422"/>
    <w:rsid w:val="003F2BD3"/>
    <w:rsid w:val="003F2E5F"/>
    <w:rsid w:val="003F2F72"/>
    <w:rsid w:val="003F301B"/>
    <w:rsid w:val="003F3051"/>
    <w:rsid w:val="003F3213"/>
    <w:rsid w:val="003F3E79"/>
    <w:rsid w:val="003F4C42"/>
    <w:rsid w:val="003F57B2"/>
    <w:rsid w:val="003F5C44"/>
    <w:rsid w:val="003F5EBE"/>
    <w:rsid w:val="003F65D9"/>
    <w:rsid w:val="003F68A0"/>
    <w:rsid w:val="003F6B24"/>
    <w:rsid w:val="003F7A36"/>
    <w:rsid w:val="00400307"/>
    <w:rsid w:val="0040053F"/>
    <w:rsid w:val="00400A4D"/>
    <w:rsid w:val="00400FF0"/>
    <w:rsid w:val="00402328"/>
    <w:rsid w:val="00402464"/>
    <w:rsid w:val="004029AA"/>
    <w:rsid w:val="004036D4"/>
    <w:rsid w:val="00403865"/>
    <w:rsid w:val="00405181"/>
    <w:rsid w:val="00405950"/>
    <w:rsid w:val="00405BF8"/>
    <w:rsid w:val="0040701B"/>
    <w:rsid w:val="0040756B"/>
    <w:rsid w:val="00407BF2"/>
    <w:rsid w:val="004106B2"/>
    <w:rsid w:val="004108A5"/>
    <w:rsid w:val="00410F69"/>
    <w:rsid w:val="00411078"/>
    <w:rsid w:val="0041196C"/>
    <w:rsid w:val="0041198D"/>
    <w:rsid w:val="00411D03"/>
    <w:rsid w:val="00411D25"/>
    <w:rsid w:val="0041336C"/>
    <w:rsid w:val="0041385F"/>
    <w:rsid w:val="004145C2"/>
    <w:rsid w:val="00414B05"/>
    <w:rsid w:val="00414EA2"/>
    <w:rsid w:val="00414EBA"/>
    <w:rsid w:val="004154CA"/>
    <w:rsid w:val="00415BCD"/>
    <w:rsid w:val="00415EFA"/>
    <w:rsid w:val="004164A5"/>
    <w:rsid w:val="0041670D"/>
    <w:rsid w:val="004167C0"/>
    <w:rsid w:val="00416CBE"/>
    <w:rsid w:val="004172A3"/>
    <w:rsid w:val="00417387"/>
    <w:rsid w:val="0041753D"/>
    <w:rsid w:val="004176E9"/>
    <w:rsid w:val="004179FF"/>
    <w:rsid w:val="00417C16"/>
    <w:rsid w:val="00417C9B"/>
    <w:rsid w:val="00420441"/>
    <w:rsid w:val="00420984"/>
    <w:rsid w:val="004213EE"/>
    <w:rsid w:val="00421569"/>
    <w:rsid w:val="0042160C"/>
    <w:rsid w:val="0042169C"/>
    <w:rsid w:val="00421BC3"/>
    <w:rsid w:val="00421E10"/>
    <w:rsid w:val="004229B4"/>
    <w:rsid w:val="00422BA6"/>
    <w:rsid w:val="004234C5"/>
    <w:rsid w:val="00423941"/>
    <w:rsid w:val="00423B1C"/>
    <w:rsid w:val="00424418"/>
    <w:rsid w:val="0042454B"/>
    <w:rsid w:val="00424B6B"/>
    <w:rsid w:val="004255D5"/>
    <w:rsid w:val="00425963"/>
    <w:rsid w:val="00425A0D"/>
    <w:rsid w:val="00425D07"/>
    <w:rsid w:val="0042646B"/>
    <w:rsid w:val="004271B7"/>
    <w:rsid w:val="0042750F"/>
    <w:rsid w:val="00427DC3"/>
    <w:rsid w:val="00427F25"/>
    <w:rsid w:val="00430959"/>
    <w:rsid w:val="004314E8"/>
    <w:rsid w:val="0043197E"/>
    <w:rsid w:val="00432044"/>
    <w:rsid w:val="004342E3"/>
    <w:rsid w:val="0043447B"/>
    <w:rsid w:val="00434513"/>
    <w:rsid w:val="004346A5"/>
    <w:rsid w:val="0043499B"/>
    <w:rsid w:val="004352C9"/>
    <w:rsid w:val="00435392"/>
    <w:rsid w:val="00435407"/>
    <w:rsid w:val="004355C1"/>
    <w:rsid w:val="00435C87"/>
    <w:rsid w:val="00436611"/>
    <w:rsid w:val="004375E2"/>
    <w:rsid w:val="0044058E"/>
    <w:rsid w:val="00440F29"/>
    <w:rsid w:val="0044100D"/>
    <w:rsid w:val="0044111B"/>
    <w:rsid w:val="00441410"/>
    <w:rsid w:val="004418FD"/>
    <w:rsid w:val="00441FA9"/>
    <w:rsid w:val="00442774"/>
    <w:rsid w:val="0044278C"/>
    <w:rsid w:val="004437BA"/>
    <w:rsid w:val="00443CD7"/>
    <w:rsid w:val="004441DE"/>
    <w:rsid w:val="00444308"/>
    <w:rsid w:val="0044469C"/>
    <w:rsid w:val="00444916"/>
    <w:rsid w:val="00445639"/>
    <w:rsid w:val="00445C93"/>
    <w:rsid w:val="00446018"/>
    <w:rsid w:val="004466FD"/>
    <w:rsid w:val="00446F97"/>
    <w:rsid w:val="00447841"/>
    <w:rsid w:val="00447B28"/>
    <w:rsid w:val="004506F7"/>
    <w:rsid w:val="00450951"/>
    <w:rsid w:val="00450A65"/>
    <w:rsid w:val="00450A89"/>
    <w:rsid w:val="00450C37"/>
    <w:rsid w:val="0045100B"/>
    <w:rsid w:val="00451805"/>
    <w:rsid w:val="00452266"/>
    <w:rsid w:val="004522F3"/>
    <w:rsid w:val="00452399"/>
    <w:rsid w:val="00452EB8"/>
    <w:rsid w:val="00453333"/>
    <w:rsid w:val="004539FB"/>
    <w:rsid w:val="00453EA0"/>
    <w:rsid w:val="004547C2"/>
    <w:rsid w:val="0045484D"/>
    <w:rsid w:val="00454AD6"/>
    <w:rsid w:val="00455E16"/>
    <w:rsid w:val="00456041"/>
    <w:rsid w:val="004563E4"/>
    <w:rsid w:val="004567F9"/>
    <w:rsid w:val="0045761E"/>
    <w:rsid w:val="00457B38"/>
    <w:rsid w:val="00457F0C"/>
    <w:rsid w:val="0046031B"/>
    <w:rsid w:val="0046048F"/>
    <w:rsid w:val="00460EA4"/>
    <w:rsid w:val="00460F96"/>
    <w:rsid w:val="00461E5B"/>
    <w:rsid w:val="00462038"/>
    <w:rsid w:val="0046205A"/>
    <w:rsid w:val="0046231D"/>
    <w:rsid w:val="00462637"/>
    <w:rsid w:val="004628F1"/>
    <w:rsid w:val="00462AC4"/>
    <w:rsid w:val="00462B82"/>
    <w:rsid w:val="00463FF2"/>
    <w:rsid w:val="004648B7"/>
    <w:rsid w:val="00464B97"/>
    <w:rsid w:val="00465D96"/>
    <w:rsid w:val="00465DC6"/>
    <w:rsid w:val="0046635D"/>
    <w:rsid w:val="004667A1"/>
    <w:rsid w:val="004672C2"/>
    <w:rsid w:val="00467F83"/>
    <w:rsid w:val="004700C8"/>
    <w:rsid w:val="004704B2"/>
    <w:rsid w:val="00470705"/>
    <w:rsid w:val="004710FE"/>
    <w:rsid w:val="00471154"/>
    <w:rsid w:val="00471F2F"/>
    <w:rsid w:val="0047208F"/>
    <w:rsid w:val="0047218B"/>
    <w:rsid w:val="004726C3"/>
    <w:rsid w:val="00472DCA"/>
    <w:rsid w:val="00473000"/>
    <w:rsid w:val="004730B5"/>
    <w:rsid w:val="004739B3"/>
    <w:rsid w:val="00473CDE"/>
    <w:rsid w:val="00473D5B"/>
    <w:rsid w:val="0047491D"/>
    <w:rsid w:val="00474959"/>
    <w:rsid w:val="00474F76"/>
    <w:rsid w:val="0047583B"/>
    <w:rsid w:val="00475C5D"/>
    <w:rsid w:val="00476045"/>
    <w:rsid w:val="004766D0"/>
    <w:rsid w:val="00476AF5"/>
    <w:rsid w:val="00476E5C"/>
    <w:rsid w:val="004774C0"/>
    <w:rsid w:val="00477592"/>
    <w:rsid w:val="00477B1A"/>
    <w:rsid w:val="00477E7A"/>
    <w:rsid w:val="004800D0"/>
    <w:rsid w:val="00480C17"/>
    <w:rsid w:val="004812E6"/>
    <w:rsid w:val="00481331"/>
    <w:rsid w:val="004820B0"/>
    <w:rsid w:val="004826D9"/>
    <w:rsid w:val="00482ADC"/>
    <w:rsid w:val="00482BAB"/>
    <w:rsid w:val="00483409"/>
    <w:rsid w:val="00483512"/>
    <w:rsid w:val="004835AA"/>
    <w:rsid w:val="00483ED5"/>
    <w:rsid w:val="00483F92"/>
    <w:rsid w:val="00484266"/>
    <w:rsid w:val="0048518C"/>
    <w:rsid w:val="00485E98"/>
    <w:rsid w:val="00486CE4"/>
    <w:rsid w:val="00486DCF"/>
    <w:rsid w:val="00487302"/>
    <w:rsid w:val="004878E6"/>
    <w:rsid w:val="004878F9"/>
    <w:rsid w:val="0048798F"/>
    <w:rsid w:val="00487AE9"/>
    <w:rsid w:val="00490006"/>
    <w:rsid w:val="00490593"/>
    <w:rsid w:val="004908F1"/>
    <w:rsid w:val="00490ADE"/>
    <w:rsid w:val="00490BE4"/>
    <w:rsid w:val="00490C99"/>
    <w:rsid w:val="00491095"/>
    <w:rsid w:val="004914BF"/>
    <w:rsid w:val="00491D38"/>
    <w:rsid w:val="00492566"/>
    <w:rsid w:val="00493CDE"/>
    <w:rsid w:val="00494013"/>
    <w:rsid w:val="00494A62"/>
    <w:rsid w:val="00494F2B"/>
    <w:rsid w:val="0049513E"/>
    <w:rsid w:val="004959CE"/>
    <w:rsid w:val="00496726"/>
    <w:rsid w:val="00496C41"/>
    <w:rsid w:val="0049732D"/>
    <w:rsid w:val="004978EE"/>
    <w:rsid w:val="004A06A3"/>
    <w:rsid w:val="004A0C47"/>
    <w:rsid w:val="004A0CC2"/>
    <w:rsid w:val="004A110D"/>
    <w:rsid w:val="004A129E"/>
    <w:rsid w:val="004A1580"/>
    <w:rsid w:val="004A184A"/>
    <w:rsid w:val="004A18EE"/>
    <w:rsid w:val="004A1FE5"/>
    <w:rsid w:val="004A21B9"/>
    <w:rsid w:val="004A2521"/>
    <w:rsid w:val="004A2900"/>
    <w:rsid w:val="004A2914"/>
    <w:rsid w:val="004A2C73"/>
    <w:rsid w:val="004A2C90"/>
    <w:rsid w:val="004A2EBF"/>
    <w:rsid w:val="004A36C1"/>
    <w:rsid w:val="004A441B"/>
    <w:rsid w:val="004A479D"/>
    <w:rsid w:val="004A4850"/>
    <w:rsid w:val="004A4E8A"/>
    <w:rsid w:val="004A5826"/>
    <w:rsid w:val="004A5A65"/>
    <w:rsid w:val="004A5C1F"/>
    <w:rsid w:val="004A5C71"/>
    <w:rsid w:val="004A5F22"/>
    <w:rsid w:val="004A6AE3"/>
    <w:rsid w:val="004A6B91"/>
    <w:rsid w:val="004A788A"/>
    <w:rsid w:val="004A78DE"/>
    <w:rsid w:val="004A79E0"/>
    <w:rsid w:val="004A7B06"/>
    <w:rsid w:val="004A7B1F"/>
    <w:rsid w:val="004B0452"/>
    <w:rsid w:val="004B090B"/>
    <w:rsid w:val="004B112D"/>
    <w:rsid w:val="004B1839"/>
    <w:rsid w:val="004B1E94"/>
    <w:rsid w:val="004B29DF"/>
    <w:rsid w:val="004B2B81"/>
    <w:rsid w:val="004B2B8A"/>
    <w:rsid w:val="004B2C75"/>
    <w:rsid w:val="004B2EB8"/>
    <w:rsid w:val="004B2FB2"/>
    <w:rsid w:val="004B414C"/>
    <w:rsid w:val="004B419C"/>
    <w:rsid w:val="004B483B"/>
    <w:rsid w:val="004B5518"/>
    <w:rsid w:val="004B583F"/>
    <w:rsid w:val="004B5AF3"/>
    <w:rsid w:val="004B5BF8"/>
    <w:rsid w:val="004B5DF3"/>
    <w:rsid w:val="004B6103"/>
    <w:rsid w:val="004B6128"/>
    <w:rsid w:val="004B657D"/>
    <w:rsid w:val="004B6DA3"/>
    <w:rsid w:val="004B7200"/>
    <w:rsid w:val="004B7DA5"/>
    <w:rsid w:val="004C0115"/>
    <w:rsid w:val="004C09CD"/>
    <w:rsid w:val="004C11FA"/>
    <w:rsid w:val="004C19A0"/>
    <w:rsid w:val="004C2581"/>
    <w:rsid w:val="004C2841"/>
    <w:rsid w:val="004C2FCC"/>
    <w:rsid w:val="004C3085"/>
    <w:rsid w:val="004C350F"/>
    <w:rsid w:val="004C352F"/>
    <w:rsid w:val="004C3697"/>
    <w:rsid w:val="004C3D81"/>
    <w:rsid w:val="004C4409"/>
    <w:rsid w:val="004C50C3"/>
    <w:rsid w:val="004C5B90"/>
    <w:rsid w:val="004C5E16"/>
    <w:rsid w:val="004C5EC5"/>
    <w:rsid w:val="004C62A9"/>
    <w:rsid w:val="004C6441"/>
    <w:rsid w:val="004C6F21"/>
    <w:rsid w:val="004C71AC"/>
    <w:rsid w:val="004C769C"/>
    <w:rsid w:val="004C7EEC"/>
    <w:rsid w:val="004D02A7"/>
    <w:rsid w:val="004D0A88"/>
    <w:rsid w:val="004D0AAF"/>
    <w:rsid w:val="004D0D63"/>
    <w:rsid w:val="004D1D12"/>
    <w:rsid w:val="004D2146"/>
    <w:rsid w:val="004D2228"/>
    <w:rsid w:val="004D2A83"/>
    <w:rsid w:val="004D31F1"/>
    <w:rsid w:val="004D4993"/>
    <w:rsid w:val="004D5132"/>
    <w:rsid w:val="004D5403"/>
    <w:rsid w:val="004D5469"/>
    <w:rsid w:val="004D571C"/>
    <w:rsid w:val="004D57AE"/>
    <w:rsid w:val="004D5B9A"/>
    <w:rsid w:val="004D5D6B"/>
    <w:rsid w:val="004D5F81"/>
    <w:rsid w:val="004D5FE3"/>
    <w:rsid w:val="004D6297"/>
    <w:rsid w:val="004D6714"/>
    <w:rsid w:val="004D6A0E"/>
    <w:rsid w:val="004D70ED"/>
    <w:rsid w:val="004D72F2"/>
    <w:rsid w:val="004D7916"/>
    <w:rsid w:val="004D7E68"/>
    <w:rsid w:val="004E00C9"/>
    <w:rsid w:val="004E151E"/>
    <w:rsid w:val="004E1887"/>
    <w:rsid w:val="004E1B84"/>
    <w:rsid w:val="004E1CA4"/>
    <w:rsid w:val="004E1EED"/>
    <w:rsid w:val="004E219F"/>
    <w:rsid w:val="004E2608"/>
    <w:rsid w:val="004E286B"/>
    <w:rsid w:val="004E300B"/>
    <w:rsid w:val="004E32EC"/>
    <w:rsid w:val="004E3895"/>
    <w:rsid w:val="004E3C75"/>
    <w:rsid w:val="004E4073"/>
    <w:rsid w:val="004E43B2"/>
    <w:rsid w:val="004E44C6"/>
    <w:rsid w:val="004E4E6E"/>
    <w:rsid w:val="004E530F"/>
    <w:rsid w:val="004E5D2E"/>
    <w:rsid w:val="004E655E"/>
    <w:rsid w:val="004E676D"/>
    <w:rsid w:val="004E6919"/>
    <w:rsid w:val="004E6A09"/>
    <w:rsid w:val="004E6EF2"/>
    <w:rsid w:val="004E72A3"/>
    <w:rsid w:val="004E7490"/>
    <w:rsid w:val="004F0981"/>
    <w:rsid w:val="004F18D0"/>
    <w:rsid w:val="004F2174"/>
    <w:rsid w:val="004F26C5"/>
    <w:rsid w:val="004F27E7"/>
    <w:rsid w:val="004F29CB"/>
    <w:rsid w:val="004F2DED"/>
    <w:rsid w:val="004F2E18"/>
    <w:rsid w:val="004F3CC6"/>
    <w:rsid w:val="004F5C02"/>
    <w:rsid w:val="004F6131"/>
    <w:rsid w:val="004F68A3"/>
    <w:rsid w:val="005000F0"/>
    <w:rsid w:val="005008ED"/>
    <w:rsid w:val="00502B1B"/>
    <w:rsid w:val="00502C66"/>
    <w:rsid w:val="00502CDC"/>
    <w:rsid w:val="005032AB"/>
    <w:rsid w:val="00504EC9"/>
    <w:rsid w:val="00504FC8"/>
    <w:rsid w:val="005053AD"/>
    <w:rsid w:val="005054D6"/>
    <w:rsid w:val="00505505"/>
    <w:rsid w:val="005058BF"/>
    <w:rsid w:val="00506877"/>
    <w:rsid w:val="00506F52"/>
    <w:rsid w:val="00507B43"/>
    <w:rsid w:val="00507BFD"/>
    <w:rsid w:val="00510831"/>
    <w:rsid w:val="00510AF2"/>
    <w:rsid w:val="00511001"/>
    <w:rsid w:val="00511633"/>
    <w:rsid w:val="00511BFC"/>
    <w:rsid w:val="00511DE2"/>
    <w:rsid w:val="005129CC"/>
    <w:rsid w:val="00512A3F"/>
    <w:rsid w:val="00512AC9"/>
    <w:rsid w:val="00513257"/>
    <w:rsid w:val="00513596"/>
    <w:rsid w:val="0051370B"/>
    <w:rsid w:val="00513BA5"/>
    <w:rsid w:val="00514875"/>
    <w:rsid w:val="005149B4"/>
    <w:rsid w:val="00514A2A"/>
    <w:rsid w:val="00514E72"/>
    <w:rsid w:val="005152D5"/>
    <w:rsid w:val="00515A86"/>
    <w:rsid w:val="00515BEE"/>
    <w:rsid w:val="00515E14"/>
    <w:rsid w:val="00516E10"/>
    <w:rsid w:val="0051711E"/>
    <w:rsid w:val="0051728A"/>
    <w:rsid w:val="0051735A"/>
    <w:rsid w:val="00517EC5"/>
    <w:rsid w:val="00521648"/>
    <w:rsid w:val="00521818"/>
    <w:rsid w:val="00521A76"/>
    <w:rsid w:val="00521D00"/>
    <w:rsid w:val="00521D35"/>
    <w:rsid w:val="00521FC0"/>
    <w:rsid w:val="00522BF3"/>
    <w:rsid w:val="00522FB7"/>
    <w:rsid w:val="005231A1"/>
    <w:rsid w:val="00523635"/>
    <w:rsid w:val="00523E50"/>
    <w:rsid w:val="00524A7A"/>
    <w:rsid w:val="00525B48"/>
    <w:rsid w:val="00526345"/>
    <w:rsid w:val="00526391"/>
    <w:rsid w:val="00526CEF"/>
    <w:rsid w:val="005273C2"/>
    <w:rsid w:val="005274DA"/>
    <w:rsid w:val="00527605"/>
    <w:rsid w:val="005277FE"/>
    <w:rsid w:val="0052781A"/>
    <w:rsid w:val="00527BEF"/>
    <w:rsid w:val="00530043"/>
    <w:rsid w:val="00530C1D"/>
    <w:rsid w:val="005313B3"/>
    <w:rsid w:val="00531DC6"/>
    <w:rsid w:val="0053217D"/>
    <w:rsid w:val="0053260A"/>
    <w:rsid w:val="0053294A"/>
    <w:rsid w:val="00532A02"/>
    <w:rsid w:val="0053345E"/>
    <w:rsid w:val="00533F10"/>
    <w:rsid w:val="005340E5"/>
    <w:rsid w:val="005342E2"/>
    <w:rsid w:val="005344A8"/>
    <w:rsid w:val="005344C4"/>
    <w:rsid w:val="00534AA7"/>
    <w:rsid w:val="0053574C"/>
    <w:rsid w:val="00535F8A"/>
    <w:rsid w:val="00535FC7"/>
    <w:rsid w:val="005362B3"/>
    <w:rsid w:val="0053647A"/>
    <w:rsid w:val="005370DD"/>
    <w:rsid w:val="00537BB1"/>
    <w:rsid w:val="005402E3"/>
    <w:rsid w:val="0054056E"/>
    <w:rsid w:val="00541E58"/>
    <w:rsid w:val="00543636"/>
    <w:rsid w:val="005436B4"/>
    <w:rsid w:val="00544C06"/>
    <w:rsid w:val="00545162"/>
    <w:rsid w:val="00545289"/>
    <w:rsid w:val="005456F4"/>
    <w:rsid w:val="0054588E"/>
    <w:rsid w:val="00545A8D"/>
    <w:rsid w:val="00545BD8"/>
    <w:rsid w:val="005469AD"/>
    <w:rsid w:val="00546EB0"/>
    <w:rsid w:val="0054730F"/>
    <w:rsid w:val="00547BAA"/>
    <w:rsid w:val="00550051"/>
    <w:rsid w:val="0055058D"/>
    <w:rsid w:val="0055076F"/>
    <w:rsid w:val="00550B41"/>
    <w:rsid w:val="00551141"/>
    <w:rsid w:val="005523C1"/>
    <w:rsid w:val="00552880"/>
    <w:rsid w:val="00552C99"/>
    <w:rsid w:val="00553518"/>
    <w:rsid w:val="00553C28"/>
    <w:rsid w:val="00554E40"/>
    <w:rsid w:val="005554D5"/>
    <w:rsid w:val="00555EE1"/>
    <w:rsid w:val="00556030"/>
    <w:rsid w:val="0055674D"/>
    <w:rsid w:val="00556C7F"/>
    <w:rsid w:val="00556EC2"/>
    <w:rsid w:val="0055708B"/>
    <w:rsid w:val="00557A35"/>
    <w:rsid w:val="00560717"/>
    <w:rsid w:val="00560D90"/>
    <w:rsid w:val="005610B1"/>
    <w:rsid w:val="00561BC8"/>
    <w:rsid w:val="00561DAB"/>
    <w:rsid w:val="00562D03"/>
    <w:rsid w:val="00563318"/>
    <w:rsid w:val="00563A9B"/>
    <w:rsid w:val="00563FFB"/>
    <w:rsid w:val="00564116"/>
    <w:rsid w:val="0056424D"/>
    <w:rsid w:val="005649E7"/>
    <w:rsid w:val="00564CBC"/>
    <w:rsid w:val="00564D1F"/>
    <w:rsid w:val="005658EC"/>
    <w:rsid w:val="00565EB3"/>
    <w:rsid w:val="005662D1"/>
    <w:rsid w:val="00566983"/>
    <w:rsid w:val="0056700A"/>
    <w:rsid w:val="005673A7"/>
    <w:rsid w:val="0056789B"/>
    <w:rsid w:val="00567911"/>
    <w:rsid w:val="00567C08"/>
    <w:rsid w:val="00570391"/>
    <w:rsid w:val="005704B3"/>
    <w:rsid w:val="0057094D"/>
    <w:rsid w:val="00571586"/>
    <w:rsid w:val="00571C73"/>
    <w:rsid w:val="00571C8E"/>
    <w:rsid w:val="005723DA"/>
    <w:rsid w:val="00572DFF"/>
    <w:rsid w:val="0057301D"/>
    <w:rsid w:val="005735CA"/>
    <w:rsid w:val="00573A88"/>
    <w:rsid w:val="00573D26"/>
    <w:rsid w:val="00573EA3"/>
    <w:rsid w:val="005740CE"/>
    <w:rsid w:val="00575644"/>
    <w:rsid w:val="00575A1F"/>
    <w:rsid w:val="00575CC0"/>
    <w:rsid w:val="0057600C"/>
    <w:rsid w:val="00576DFE"/>
    <w:rsid w:val="00580845"/>
    <w:rsid w:val="00581892"/>
    <w:rsid w:val="00581934"/>
    <w:rsid w:val="00581CB5"/>
    <w:rsid w:val="00582572"/>
    <w:rsid w:val="0058267A"/>
    <w:rsid w:val="0058341F"/>
    <w:rsid w:val="0058360F"/>
    <w:rsid w:val="005837D8"/>
    <w:rsid w:val="00583F04"/>
    <w:rsid w:val="00584286"/>
    <w:rsid w:val="005842CF"/>
    <w:rsid w:val="005846E9"/>
    <w:rsid w:val="00584BBB"/>
    <w:rsid w:val="00584FA1"/>
    <w:rsid w:val="00584FC9"/>
    <w:rsid w:val="00585288"/>
    <w:rsid w:val="00585474"/>
    <w:rsid w:val="00585760"/>
    <w:rsid w:val="00585C46"/>
    <w:rsid w:val="005862BC"/>
    <w:rsid w:val="00586331"/>
    <w:rsid w:val="00586F1C"/>
    <w:rsid w:val="005870A3"/>
    <w:rsid w:val="005870CD"/>
    <w:rsid w:val="00587424"/>
    <w:rsid w:val="0059054D"/>
    <w:rsid w:val="0059076E"/>
    <w:rsid w:val="005907D2"/>
    <w:rsid w:val="00590D59"/>
    <w:rsid w:val="0059113C"/>
    <w:rsid w:val="00591573"/>
    <w:rsid w:val="0059159C"/>
    <w:rsid w:val="00591B59"/>
    <w:rsid w:val="00591C05"/>
    <w:rsid w:val="00591F41"/>
    <w:rsid w:val="0059255F"/>
    <w:rsid w:val="00592A98"/>
    <w:rsid w:val="00592BA7"/>
    <w:rsid w:val="00592E49"/>
    <w:rsid w:val="00592FEC"/>
    <w:rsid w:val="005939B6"/>
    <w:rsid w:val="00593B0E"/>
    <w:rsid w:val="00593F0F"/>
    <w:rsid w:val="005944E2"/>
    <w:rsid w:val="005946D0"/>
    <w:rsid w:val="005948B6"/>
    <w:rsid w:val="00594B0E"/>
    <w:rsid w:val="005958E1"/>
    <w:rsid w:val="00596692"/>
    <w:rsid w:val="0059676E"/>
    <w:rsid w:val="00596F84"/>
    <w:rsid w:val="00596F8D"/>
    <w:rsid w:val="005979C9"/>
    <w:rsid w:val="00597F56"/>
    <w:rsid w:val="005A01FA"/>
    <w:rsid w:val="005A04DD"/>
    <w:rsid w:val="005A07B2"/>
    <w:rsid w:val="005A0886"/>
    <w:rsid w:val="005A0FC3"/>
    <w:rsid w:val="005A131C"/>
    <w:rsid w:val="005A1942"/>
    <w:rsid w:val="005A2169"/>
    <w:rsid w:val="005A260A"/>
    <w:rsid w:val="005A2B81"/>
    <w:rsid w:val="005A2B8E"/>
    <w:rsid w:val="005A41D2"/>
    <w:rsid w:val="005A52AB"/>
    <w:rsid w:val="005A530F"/>
    <w:rsid w:val="005A5E94"/>
    <w:rsid w:val="005A6554"/>
    <w:rsid w:val="005A697D"/>
    <w:rsid w:val="005B17B8"/>
    <w:rsid w:val="005B2DDA"/>
    <w:rsid w:val="005B3546"/>
    <w:rsid w:val="005B3891"/>
    <w:rsid w:val="005B39A8"/>
    <w:rsid w:val="005B3CEC"/>
    <w:rsid w:val="005B3EAB"/>
    <w:rsid w:val="005B40DD"/>
    <w:rsid w:val="005B4269"/>
    <w:rsid w:val="005B4816"/>
    <w:rsid w:val="005B4A0E"/>
    <w:rsid w:val="005B4C62"/>
    <w:rsid w:val="005B4DE4"/>
    <w:rsid w:val="005B522E"/>
    <w:rsid w:val="005B5572"/>
    <w:rsid w:val="005B55FF"/>
    <w:rsid w:val="005B568D"/>
    <w:rsid w:val="005B5A74"/>
    <w:rsid w:val="005B5B2D"/>
    <w:rsid w:val="005B5CEA"/>
    <w:rsid w:val="005B5DCE"/>
    <w:rsid w:val="005B64F9"/>
    <w:rsid w:val="005B6848"/>
    <w:rsid w:val="005B691A"/>
    <w:rsid w:val="005B6CF1"/>
    <w:rsid w:val="005B7234"/>
    <w:rsid w:val="005B742B"/>
    <w:rsid w:val="005B7987"/>
    <w:rsid w:val="005B7D18"/>
    <w:rsid w:val="005B7D99"/>
    <w:rsid w:val="005C0122"/>
    <w:rsid w:val="005C026F"/>
    <w:rsid w:val="005C05EB"/>
    <w:rsid w:val="005C0CE4"/>
    <w:rsid w:val="005C1AA9"/>
    <w:rsid w:val="005C1B16"/>
    <w:rsid w:val="005C1B68"/>
    <w:rsid w:val="005C1D6D"/>
    <w:rsid w:val="005C21A6"/>
    <w:rsid w:val="005C270C"/>
    <w:rsid w:val="005C2F52"/>
    <w:rsid w:val="005C32CE"/>
    <w:rsid w:val="005C3380"/>
    <w:rsid w:val="005C3FB3"/>
    <w:rsid w:val="005C44AB"/>
    <w:rsid w:val="005C46C6"/>
    <w:rsid w:val="005C4EC4"/>
    <w:rsid w:val="005C500D"/>
    <w:rsid w:val="005C5143"/>
    <w:rsid w:val="005C526B"/>
    <w:rsid w:val="005C5A33"/>
    <w:rsid w:val="005C5C62"/>
    <w:rsid w:val="005C7778"/>
    <w:rsid w:val="005C7C8F"/>
    <w:rsid w:val="005D03E6"/>
    <w:rsid w:val="005D0F36"/>
    <w:rsid w:val="005D1702"/>
    <w:rsid w:val="005D2A12"/>
    <w:rsid w:val="005D2BCA"/>
    <w:rsid w:val="005D309D"/>
    <w:rsid w:val="005D3BA2"/>
    <w:rsid w:val="005D3E17"/>
    <w:rsid w:val="005D45B5"/>
    <w:rsid w:val="005D5608"/>
    <w:rsid w:val="005D5728"/>
    <w:rsid w:val="005D6B20"/>
    <w:rsid w:val="005E02A4"/>
    <w:rsid w:val="005E0393"/>
    <w:rsid w:val="005E085E"/>
    <w:rsid w:val="005E0900"/>
    <w:rsid w:val="005E0BF5"/>
    <w:rsid w:val="005E172E"/>
    <w:rsid w:val="005E2785"/>
    <w:rsid w:val="005E32D5"/>
    <w:rsid w:val="005E3AB4"/>
    <w:rsid w:val="005E3FE0"/>
    <w:rsid w:val="005E4591"/>
    <w:rsid w:val="005E50CC"/>
    <w:rsid w:val="005E5DF2"/>
    <w:rsid w:val="005E622D"/>
    <w:rsid w:val="005E7555"/>
    <w:rsid w:val="005E7599"/>
    <w:rsid w:val="005E79F4"/>
    <w:rsid w:val="005E7DB2"/>
    <w:rsid w:val="005F0156"/>
    <w:rsid w:val="005F028E"/>
    <w:rsid w:val="005F063F"/>
    <w:rsid w:val="005F088D"/>
    <w:rsid w:val="005F159B"/>
    <w:rsid w:val="005F1B20"/>
    <w:rsid w:val="005F232D"/>
    <w:rsid w:val="005F26DC"/>
    <w:rsid w:val="005F2A5A"/>
    <w:rsid w:val="005F31C9"/>
    <w:rsid w:val="005F3CD1"/>
    <w:rsid w:val="005F4759"/>
    <w:rsid w:val="005F48F1"/>
    <w:rsid w:val="005F5118"/>
    <w:rsid w:val="005F5289"/>
    <w:rsid w:val="005F52B7"/>
    <w:rsid w:val="005F54E5"/>
    <w:rsid w:val="005F5B85"/>
    <w:rsid w:val="005F5BC0"/>
    <w:rsid w:val="005F614F"/>
    <w:rsid w:val="005F6268"/>
    <w:rsid w:val="005F6AFD"/>
    <w:rsid w:val="005F7101"/>
    <w:rsid w:val="005F753E"/>
    <w:rsid w:val="005F7790"/>
    <w:rsid w:val="005F7EAB"/>
    <w:rsid w:val="006002C7"/>
    <w:rsid w:val="006004D4"/>
    <w:rsid w:val="00600797"/>
    <w:rsid w:val="00601035"/>
    <w:rsid w:val="006013B0"/>
    <w:rsid w:val="00601A56"/>
    <w:rsid w:val="00601DB7"/>
    <w:rsid w:val="00602737"/>
    <w:rsid w:val="006029E6"/>
    <w:rsid w:val="00602A3E"/>
    <w:rsid w:val="006034BE"/>
    <w:rsid w:val="006037DD"/>
    <w:rsid w:val="00603AE0"/>
    <w:rsid w:val="00603B5F"/>
    <w:rsid w:val="00603CDE"/>
    <w:rsid w:val="00604C14"/>
    <w:rsid w:val="00604F92"/>
    <w:rsid w:val="006052CD"/>
    <w:rsid w:val="00605450"/>
    <w:rsid w:val="006055E6"/>
    <w:rsid w:val="00605DC4"/>
    <w:rsid w:val="0060619A"/>
    <w:rsid w:val="00606718"/>
    <w:rsid w:val="0060691F"/>
    <w:rsid w:val="00606B48"/>
    <w:rsid w:val="00606F93"/>
    <w:rsid w:val="006078FA"/>
    <w:rsid w:val="00607A7E"/>
    <w:rsid w:val="00607CCF"/>
    <w:rsid w:val="00607E26"/>
    <w:rsid w:val="0061059E"/>
    <w:rsid w:val="006105B1"/>
    <w:rsid w:val="00610C7C"/>
    <w:rsid w:val="00610F1B"/>
    <w:rsid w:val="0061161C"/>
    <w:rsid w:val="00612417"/>
    <w:rsid w:val="00612D86"/>
    <w:rsid w:val="00613130"/>
    <w:rsid w:val="00613602"/>
    <w:rsid w:val="00613CA9"/>
    <w:rsid w:val="006141A7"/>
    <w:rsid w:val="006144C5"/>
    <w:rsid w:val="00614882"/>
    <w:rsid w:val="00615395"/>
    <w:rsid w:val="006158BC"/>
    <w:rsid w:val="0061643B"/>
    <w:rsid w:val="006175F8"/>
    <w:rsid w:val="0061795E"/>
    <w:rsid w:val="00617A0E"/>
    <w:rsid w:val="00617C8E"/>
    <w:rsid w:val="00620768"/>
    <w:rsid w:val="00620E7B"/>
    <w:rsid w:val="00620EA2"/>
    <w:rsid w:val="00621137"/>
    <w:rsid w:val="00621774"/>
    <w:rsid w:val="00621B2B"/>
    <w:rsid w:val="00621E75"/>
    <w:rsid w:val="006223A6"/>
    <w:rsid w:val="00622769"/>
    <w:rsid w:val="006232FA"/>
    <w:rsid w:val="006233BD"/>
    <w:rsid w:val="00623AC1"/>
    <w:rsid w:val="00623F17"/>
    <w:rsid w:val="006246CB"/>
    <w:rsid w:val="00625045"/>
    <w:rsid w:val="00625252"/>
    <w:rsid w:val="00625373"/>
    <w:rsid w:val="006267CA"/>
    <w:rsid w:val="00626A44"/>
    <w:rsid w:val="00626BA4"/>
    <w:rsid w:val="0062708C"/>
    <w:rsid w:val="00627380"/>
    <w:rsid w:val="0062744A"/>
    <w:rsid w:val="006275F8"/>
    <w:rsid w:val="00627B25"/>
    <w:rsid w:val="00627FD7"/>
    <w:rsid w:val="00630079"/>
    <w:rsid w:val="0063008C"/>
    <w:rsid w:val="00630209"/>
    <w:rsid w:val="0063030B"/>
    <w:rsid w:val="00630432"/>
    <w:rsid w:val="0063053D"/>
    <w:rsid w:val="00631457"/>
    <w:rsid w:val="006319BC"/>
    <w:rsid w:val="00631F63"/>
    <w:rsid w:val="006320DD"/>
    <w:rsid w:val="00632234"/>
    <w:rsid w:val="006322D0"/>
    <w:rsid w:val="00632FD7"/>
    <w:rsid w:val="0063385B"/>
    <w:rsid w:val="006347D8"/>
    <w:rsid w:val="00635211"/>
    <w:rsid w:val="006359C5"/>
    <w:rsid w:val="00635BCC"/>
    <w:rsid w:val="00635D53"/>
    <w:rsid w:val="00635FD5"/>
    <w:rsid w:val="00636123"/>
    <w:rsid w:val="00636B7A"/>
    <w:rsid w:val="00636BE3"/>
    <w:rsid w:val="00637496"/>
    <w:rsid w:val="0063759F"/>
    <w:rsid w:val="00637606"/>
    <w:rsid w:val="00637E9C"/>
    <w:rsid w:val="006405A1"/>
    <w:rsid w:val="0064135C"/>
    <w:rsid w:val="006415BE"/>
    <w:rsid w:val="006416AF"/>
    <w:rsid w:val="00642572"/>
    <w:rsid w:val="006425DB"/>
    <w:rsid w:val="00642AF3"/>
    <w:rsid w:val="006434FC"/>
    <w:rsid w:val="00643925"/>
    <w:rsid w:val="00643E47"/>
    <w:rsid w:val="006440CD"/>
    <w:rsid w:val="00644372"/>
    <w:rsid w:val="0064461A"/>
    <w:rsid w:val="00645D75"/>
    <w:rsid w:val="00646B53"/>
    <w:rsid w:val="00646E91"/>
    <w:rsid w:val="00647AB7"/>
    <w:rsid w:val="00647C95"/>
    <w:rsid w:val="0065040B"/>
    <w:rsid w:val="0065042A"/>
    <w:rsid w:val="00650BE0"/>
    <w:rsid w:val="00650BE3"/>
    <w:rsid w:val="00650FF3"/>
    <w:rsid w:val="00651235"/>
    <w:rsid w:val="00651887"/>
    <w:rsid w:val="00651CFA"/>
    <w:rsid w:val="00651E96"/>
    <w:rsid w:val="00652B65"/>
    <w:rsid w:val="00652D54"/>
    <w:rsid w:val="006548CE"/>
    <w:rsid w:val="006555DF"/>
    <w:rsid w:val="00656224"/>
    <w:rsid w:val="00656333"/>
    <w:rsid w:val="00656F54"/>
    <w:rsid w:val="00657A0D"/>
    <w:rsid w:val="00657C85"/>
    <w:rsid w:val="00657D9C"/>
    <w:rsid w:val="00657F79"/>
    <w:rsid w:val="00661E4E"/>
    <w:rsid w:val="0066222E"/>
    <w:rsid w:val="006628DA"/>
    <w:rsid w:val="00662967"/>
    <w:rsid w:val="006629CD"/>
    <w:rsid w:val="00662AD7"/>
    <w:rsid w:val="00663C7D"/>
    <w:rsid w:val="00663E46"/>
    <w:rsid w:val="0066485E"/>
    <w:rsid w:val="00664F59"/>
    <w:rsid w:val="006654E0"/>
    <w:rsid w:val="00665724"/>
    <w:rsid w:val="00665D9C"/>
    <w:rsid w:val="00665E9F"/>
    <w:rsid w:val="00666595"/>
    <w:rsid w:val="00666DD0"/>
    <w:rsid w:val="00667113"/>
    <w:rsid w:val="00667303"/>
    <w:rsid w:val="00667BAA"/>
    <w:rsid w:val="006700E0"/>
    <w:rsid w:val="00670935"/>
    <w:rsid w:val="00670EB5"/>
    <w:rsid w:val="00670FD2"/>
    <w:rsid w:val="00671B10"/>
    <w:rsid w:val="00671B74"/>
    <w:rsid w:val="006725EE"/>
    <w:rsid w:val="0067274C"/>
    <w:rsid w:val="006727EA"/>
    <w:rsid w:val="00672890"/>
    <w:rsid w:val="00672D74"/>
    <w:rsid w:val="00672EBF"/>
    <w:rsid w:val="00673041"/>
    <w:rsid w:val="00673DB9"/>
    <w:rsid w:val="0067490B"/>
    <w:rsid w:val="006749EF"/>
    <w:rsid w:val="00674F6D"/>
    <w:rsid w:val="00675292"/>
    <w:rsid w:val="006757B9"/>
    <w:rsid w:val="006758DD"/>
    <w:rsid w:val="00675D1D"/>
    <w:rsid w:val="00676248"/>
    <w:rsid w:val="0067637E"/>
    <w:rsid w:val="00677219"/>
    <w:rsid w:val="006774E8"/>
    <w:rsid w:val="0067763F"/>
    <w:rsid w:val="006777F4"/>
    <w:rsid w:val="00677940"/>
    <w:rsid w:val="00677DB5"/>
    <w:rsid w:val="00680264"/>
    <w:rsid w:val="00680298"/>
    <w:rsid w:val="0068053A"/>
    <w:rsid w:val="006806B2"/>
    <w:rsid w:val="0068077A"/>
    <w:rsid w:val="006807D2"/>
    <w:rsid w:val="006808C2"/>
    <w:rsid w:val="00681F1E"/>
    <w:rsid w:val="00682899"/>
    <w:rsid w:val="006828EB"/>
    <w:rsid w:val="00682AF0"/>
    <w:rsid w:val="00683B5F"/>
    <w:rsid w:val="00683D74"/>
    <w:rsid w:val="00684B88"/>
    <w:rsid w:val="00684EF0"/>
    <w:rsid w:val="006863F3"/>
    <w:rsid w:val="006864A0"/>
    <w:rsid w:val="00686716"/>
    <w:rsid w:val="00686AB4"/>
    <w:rsid w:val="00686F4A"/>
    <w:rsid w:val="0068791D"/>
    <w:rsid w:val="00687FB7"/>
    <w:rsid w:val="00690228"/>
    <w:rsid w:val="006902DF"/>
    <w:rsid w:val="0069122B"/>
    <w:rsid w:val="006912F0"/>
    <w:rsid w:val="00691881"/>
    <w:rsid w:val="00691B18"/>
    <w:rsid w:val="006920A8"/>
    <w:rsid w:val="00692F16"/>
    <w:rsid w:val="00693549"/>
    <w:rsid w:val="00693DCE"/>
    <w:rsid w:val="00694412"/>
    <w:rsid w:val="00694FAC"/>
    <w:rsid w:val="00695005"/>
    <w:rsid w:val="0069530E"/>
    <w:rsid w:val="00695545"/>
    <w:rsid w:val="006958F5"/>
    <w:rsid w:val="00696660"/>
    <w:rsid w:val="00696E2C"/>
    <w:rsid w:val="006973D1"/>
    <w:rsid w:val="006A0578"/>
    <w:rsid w:val="006A0CD3"/>
    <w:rsid w:val="006A12D8"/>
    <w:rsid w:val="006A1793"/>
    <w:rsid w:val="006A1B70"/>
    <w:rsid w:val="006A1D74"/>
    <w:rsid w:val="006A1D85"/>
    <w:rsid w:val="006A1DB3"/>
    <w:rsid w:val="006A203A"/>
    <w:rsid w:val="006A2185"/>
    <w:rsid w:val="006A2446"/>
    <w:rsid w:val="006A2A27"/>
    <w:rsid w:val="006A2A52"/>
    <w:rsid w:val="006A3809"/>
    <w:rsid w:val="006A3BF6"/>
    <w:rsid w:val="006A45B9"/>
    <w:rsid w:val="006A4747"/>
    <w:rsid w:val="006A54B2"/>
    <w:rsid w:val="006A5EA8"/>
    <w:rsid w:val="006A6F1B"/>
    <w:rsid w:val="006A72DE"/>
    <w:rsid w:val="006A7816"/>
    <w:rsid w:val="006A7827"/>
    <w:rsid w:val="006A78B2"/>
    <w:rsid w:val="006A78F3"/>
    <w:rsid w:val="006A7F6B"/>
    <w:rsid w:val="006B0174"/>
    <w:rsid w:val="006B02D9"/>
    <w:rsid w:val="006B09FE"/>
    <w:rsid w:val="006B1645"/>
    <w:rsid w:val="006B1974"/>
    <w:rsid w:val="006B1EF2"/>
    <w:rsid w:val="006B3002"/>
    <w:rsid w:val="006B3492"/>
    <w:rsid w:val="006B3794"/>
    <w:rsid w:val="006B38F6"/>
    <w:rsid w:val="006B3986"/>
    <w:rsid w:val="006B53C7"/>
    <w:rsid w:val="006B5B33"/>
    <w:rsid w:val="006B5CBD"/>
    <w:rsid w:val="006B6CF9"/>
    <w:rsid w:val="006B7055"/>
    <w:rsid w:val="006B7413"/>
    <w:rsid w:val="006B77B1"/>
    <w:rsid w:val="006B79F0"/>
    <w:rsid w:val="006C0436"/>
    <w:rsid w:val="006C088F"/>
    <w:rsid w:val="006C0D37"/>
    <w:rsid w:val="006C10F5"/>
    <w:rsid w:val="006C1469"/>
    <w:rsid w:val="006C1941"/>
    <w:rsid w:val="006C1AB5"/>
    <w:rsid w:val="006C24A8"/>
    <w:rsid w:val="006C24AE"/>
    <w:rsid w:val="006C2625"/>
    <w:rsid w:val="006C2EC3"/>
    <w:rsid w:val="006C37BB"/>
    <w:rsid w:val="006C40B0"/>
    <w:rsid w:val="006C4193"/>
    <w:rsid w:val="006C46BB"/>
    <w:rsid w:val="006C4963"/>
    <w:rsid w:val="006C4B05"/>
    <w:rsid w:val="006C4F7C"/>
    <w:rsid w:val="006C5233"/>
    <w:rsid w:val="006C5AF3"/>
    <w:rsid w:val="006C5B19"/>
    <w:rsid w:val="006C639A"/>
    <w:rsid w:val="006C6CD6"/>
    <w:rsid w:val="006C7B67"/>
    <w:rsid w:val="006C7F9C"/>
    <w:rsid w:val="006D0443"/>
    <w:rsid w:val="006D0A59"/>
    <w:rsid w:val="006D0FE2"/>
    <w:rsid w:val="006D1137"/>
    <w:rsid w:val="006D1279"/>
    <w:rsid w:val="006D1416"/>
    <w:rsid w:val="006D197E"/>
    <w:rsid w:val="006D1D58"/>
    <w:rsid w:val="006D230D"/>
    <w:rsid w:val="006D2D3E"/>
    <w:rsid w:val="006D2DA8"/>
    <w:rsid w:val="006D2E7E"/>
    <w:rsid w:val="006D2EEF"/>
    <w:rsid w:val="006D3057"/>
    <w:rsid w:val="006D3951"/>
    <w:rsid w:val="006D4A18"/>
    <w:rsid w:val="006D4BF2"/>
    <w:rsid w:val="006D5C8C"/>
    <w:rsid w:val="006D5E50"/>
    <w:rsid w:val="006D682A"/>
    <w:rsid w:val="006D6C3C"/>
    <w:rsid w:val="006D6C71"/>
    <w:rsid w:val="006D6E6E"/>
    <w:rsid w:val="006D7AB3"/>
    <w:rsid w:val="006D7B1C"/>
    <w:rsid w:val="006E00F5"/>
    <w:rsid w:val="006E09FA"/>
    <w:rsid w:val="006E31E3"/>
    <w:rsid w:val="006E383E"/>
    <w:rsid w:val="006E3EE2"/>
    <w:rsid w:val="006E41FE"/>
    <w:rsid w:val="006E4368"/>
    <w:rsid w:val="006E46CD"/>
    <w:rsid w:val="006E47B6"/>
    <w:rsid w:val="006E4A6C"/>
    <w:rsid w:val="006E4B28"/>
    <w:rsid w:val="006E4F3A"/>
    <w:rsid w:val="006E508D"/>
    <w:rsid w:val="006E5631"/>
    <w:rsid w:val="006E56DF"/>
    <w:rsid w:val="006E5E06"/>
    <w:rsid w:val="006E6281"/>
    <w:rsid w:val="006E6CAE"/>
    <w:rsid w:val="006E74BC"/>
    <w:rsid w:val="006E7D67"/>
    <w:rsid w:val="006E7FA7"/>
    <w:rsid w:val="006F01E6"/>
    <w:rsid w:val="006F1314"/>
    <w:rsid w:val="006F19E8"/>
    <w:rsid w:val="006F1D14"/>
    <w:rsid w:val="006F1E90"/>
    <w:rsid w:val="006F2160"/>
    <w:rsid w:val="006F2423"/>
    <w:rsid w:val="006F2746"/>
    <w:rsid w:val="006F2772"/>
    <w:rsid w:val="006F2887"/>
    <w:rsid w:val="006F2A9E"/>
    <w:rsid w:val="006F2ABE"/>
    <w:rsid w:val="006F2CB2"/>
    <w:rsid w:val="006F3BAB"/>
    <w:rsid w:val="006F3D10"/>
    <w:rsid w:val="006F3F19"/>
    <w:rsid w:val="006F4620"/>
    <w:rsid w:val="006F47B1"/>
    <w:rsid w:val="006F4AAA"/>
    <w:rsid w:val="006F4B6C"/>
    <w:rsid w:val="006F51D4"/>
    <w:rsid w:val="006F55F8"/>
    <w:rsid w:val="006F5FB4"/>
    <w:rsid w:val="006F61E4"/>
    <w:rsid w:val="006F61FD"/>
    <w:rsid w:val="006F65BA"/>
    <w:rsid w:val="006F6788"/>
    <w:rsid w:val="006F6EB1"/>
    <w:rsid w:val="00700086"/>
    <w:rsid w:val="00701487"/>
    <w:rsid w:val="00702589"/>
    <w:rsid w:val="007029F0"/>
    <w:rsid w:val="00703F96"/>
    <w:rsid w:val="007042B4"/>
    <w:rsid w:val="00704403"/>
    <w:rsid w:val="007047C7"/>
    <w:rsid w:val="00705D4B"/>
    <w:rsid w:val="007065B2"/>
    <w:rsid w:val="00706AC0"/>
    <w:rsid w:val="0070706F"/>
    <w:rsid w:val="00707499"/>
    <w:rsid w:val="0071137B"/>
    <w:rsid w:val="0071213B"/>
    <w:rsid w:val="00712144"/>
    <w:rsid w:val="00712317"/>
    <w:rsid w:val="00712C50"/>
    <w:rsid w:val="00712D09"/>
    <w:rsid w:val="00712D5D"/>
    <w:rsid w:val="0071321A"/>
    <w:rsid w:val="0071348C"/>
    <w:rsid w:val="00713938"/>
    <w:rsid w:val="00713BFB"/>
    <w:rsid w:val="00713D98"/>
    <w:rsid w:val="00713DBB"/>
    <w:rsid w:val="00713FAF"/>
    <w:rsid w:val="007142CF"/>
    <w:rsid w:val="00714D20"/>
    <w:rsid w:val="00715306"/>
    <w:rsid w:val="007156D8"/>
    <w:rsid w:val="00715E28"/>
    <w:rsid w:val="00715F86"/>
    <w:rsid w:val="00716216"/>
    <w:rsid w:val="0071675C"/>
    <w:rsid w:val="007167A1"/>
    <w:rsid w:val="00716996"/>
    <w:rsid w:val="00717504"/>
    <w:rsid w:val="00717546"/>
    <w:rsid w:val="007179BC"/>
    <w:rsid w:val="00717BB0"/>
    <w:rsid w:val="00720085"/>
    <w:rsid w:val="007202D6"/>
    <w:rsid w:val="007204E8"/>
    <w:rsid w:val="00720E9F"/>
    <w:rsid w:val="00721101"/>
    <w:rsid w:val="0072116E"/>
    <w:rsid w:val="007215AE"/>
    <w:rsid w:val="007218EC"/>
    <w:rsid w:val="00721925"/>
    <w:rsid w:val="00721B34"/>
    <w:rsid w:val="00721D66"/>
    <w:rsid w:val="00721E9F"/>
    <w:rsid w:val="00722140"/>
    <w:rsid w:val="00722D38"/>
    <w:rsid w:val="00722D61"/>
    <w:rsid w:val="0072408E"/>
    <w:rsid w:val="0072455F"/>
    <w:rsid w:val="00724783"/>
    <w:rsid w:val="00724D91"/>
    <w:rsid w:val="007256A8"/>
    <w:rsid w:val="00725C7C"/>
    <w:rsid w:val="00726581"/>
    <w:rsid w:val="007265B6"/>
    <w:rsid w:val="00726964"/>
    <w:rsid w:val="00726BA2"/>
    <w:rsid w:val="00726FF3"/>
    <w:rsid w:val="007270E7"/>
    <w:rsid w:val="007271E3"/>
    <w:rsid w:val="00727A7A"/>
    <w:rsid w:val="00727DFF"/>
    <w:rsid w:val="007300B7"/>
    <w:rsid w:val="007301CB"/>
    <w:rsid w:val="007309B0"/>
    <w:rsid w:val="00730D10"/>
    <w:rsid w:val="0073109A"/>
    <w:rsid w:val="00731FB1"/>
    <w:rsid w:val="0073258B"/>
    <w:rsid w:val="00732D44"/>
    <w:rsid w:val="0073327C"/>
    <w:rsid w:val="007343FC"/>
    <w:rsid w:val="007364EF"/>
    <w:rsid w:val="00736554"/>
    <w:rsid w:val="00736C46"/>
    <w:rsid w:val="00736C4B"/>
    <w:rsid w:val="00736CCA"/>
    <w:rsid w:val="00736D3E"/>
    <w:rsid w:val="007375BF"/>
    <w:rsid w:val="00740283"/>
    <w:rsid w:val="00742203"/>
    <w:rsid w:val="00742293"/>
    <w:rsid w:val="0074281C"/>
    <w:rsid w:val="00742A08"/>
    <w:rsid w:val="00742CBC"/>
    <w:rsid w:val="007430AE"/>
    <w:rsid w:val="007432E1"/>
    <w:rsid w:val="00743763"/>
    <w:rsid w:val="007442F5"/>
    <w:rsid w:val="007451A8"/>
    <w:rsid w:val="007453AD"/>
    <w:rsid w:val="007453FB"/>
    <w:rsid w:val="007454FF"/>
    <w:rsid w:val="00745E0F"/>
    <w:rsid w:val="00746644"/>
    <w:rsid w:val="00746670"/>
    <w:rsid w:val="00746767"/>
    <w:rsid w:val="00747472"/>
    <w:rsid w:val="00747549"/>
    <w:rsid w:val="00747632"/>
    <w:rsid w:val="007506E9"/>
    <w:rsid w:val="00751D83"/>
    <w:rsid w:val="00753358"/>
    <w:rsid w:val="00753D2B"/>
    <w:rsid w:val="00753E61"/>
    <w:rsid w:val="007545C4"/>
    <w:rsid w:val="007546A9"/>
    <w:rsid w:val="00754A5F"/>
    <w:rsid w:val="00754F72"/>
    <w:rsid w:val="0075543E"/>
    <w:rsid w:val="00756068"/>
    <w:rsid w:val="007566D8"/>
    <w:rsid w:val="00756836"/>
    <w:rsid w:val="00756BC0"/>
    <w:rsid w:val="0075789C"/>
    <w:rsid w:val="00757A68"/>
    <w:rsid w:val="00757AE9"/>
    <w:rsid w:val="00757B46"/>
    <w:rsid w:val="00761CC7"/>
    <w:rsid w:val="00761E9F"/>
    <w:rsid w:val="00762289"/>
    <w:rsid w:val="0076228A"/>
    <w:rsid w:val="00762985"/>
    <w:rsid w:val="00762A17"/>
    <w:rsid w:val="00762D06"/>
    <w:rsid w:val="00763667"/>
    <w:rsid w:val="00763784"/>
    <w:rsid w:val="00763A7A"/>
    <w:rsid w:val="00763B29"/>
    <w:rsid w:val="00763D63"/>
    <w:rsid w:val="00764753"/>
    <w:rsid w:val="00764CDF"/>
    <w:rsid w:val="00764D08"/>
    <w:rsid w:val="00765AD3"/>
    <w:rsid w:val="00765C05"/>
    <w:rsid w:val="00765E38"/>
    <w:rsid w:val="00765EDB"/>
    <w:rsid w:val="00765FAC"/>
    <w:rsid w:val="0076603C"/>
    <w:rsid w:val="00766D90"/>
    <w:rsid w:val="00766DAE"/>
    <w:rsid w:val="00767218"/>
    <w:rsid w:val="00767510"/>
    <w:rsid w:val="00767638"/>
    <w:rsid w:val="0076787B"/>
    <w:rsid w:val="00767F37"/>
    <w:rsid w:val="00770859"/>
    <w:rsid w:val="0077132A"/>
    <w:rsid w:val="00771CBA"/>
    <w:rsid w:val="00772152"/>
    <w:rsid w:val="00772534"/>
    <w:rsid w:val="007728AE"/>
    <w:rsid w:val="00772D1A"/>
    <w:rsid w:val="0077309D"/>
    <w:rsid w:val="0077355D"/>
    <w:rsid w:val="00773B36"/>
    <w:rsid w:val="00773E0A"/>
    <w:rsid w:val="00773E76"/>
    <w:rsid w:val="0077449E"/>
    <w:rsid w:val="0077466A"/>
    <w:rsid w:val="007749EC"/>
    <w:rsid w:val="007759D1"/>
    <w:rsid w:val="00775BDF"/>
    <w:rsid w:val="00775E72"/>
    <w:rsid w:val="0077633E"/>
    <w:rsid w:val="00777221"/>
    <w:rsid w:val="00777F28"/>
    <w:rsid w:val="00777F75"/>
    <w:rsid w:val="0078070E"/>
    <w:rsid w:val="007819B8"/>
    <w:rsid w:val="00781DA4"/>
    <w:rsid w:val="007827D2"/>
    <w:rsid w:val="007827F7"/>
    <w:rsid w:val="00782C42"/>
    <w:rsid w:val="00783693"/>
    <w:rsid w:val="007839AB"/>
    <w:rsid w:val="00783C44"/>
    <w:rsid w:val="0078411B"/>
    <w:rsid w:val="00784325"/>
    <w:rsid w:val="00784470"/>
    <w:rsid w:val="007845F1"/>
    <w:rsid w:val="00784612"/>
    <w:rsid w:val="00784A1D"/>
    <w:rsid w:val="00784BFA"/>
    <w:rsid w:val="00784C93"/>
    <w:rsid w:val="00785164"/>
    <w:rsid w:val="00785CF2"/>
    <w:rsid w:val="007860FE"/>
    <w:rsid w:val="00786AA1"/>
    <w:rsid w:val="007872D9"/>
    <w:rsid w:val="0078774B"/>
    <w:rsid w:val="0079048E"/>
    <w:rsid w:val="007909B9"/>
    <w:rsid w:val="00791D20"/>
    <w:rsid w:val="00791E5F"/>
    <w:rsid w:val="0079209B"/>
    <w:rsid w:val="007921CA"/>
    <w:rsid w:val="007934EF"/>
    <w:rsid w:val="0079350F"/>
    <w:rsid w:val="00794025"/>
    <w:rsid w:val="007945FB"/>
    <w:rsid w:val="00794C74"/>
    <w:rsid w:val="0079512E"/>
    <w:rsid w:val="007953E8"/>
    <w:rsid w:val="00795BF1"/>
    <w:rsid w:val="00796341"/>
    <w:rsid w:val="00796C3E"/>
    <w:rsid w:val="00796C49"/>
    <w:rsid w:val="007A07E2"/>
    <w:rsid w:val="007A0F2A"/>
    <w:rsid w:val="007A0FC6"/>
    <w:rsid w:val="007A1306"/>
    <w:rsid w:val="007A15A0"/>
    <w:rsid w:val="007A20C5"/>
    <w:rsid w:val="007A2226"/>
    <w:rsid w:val="007A2301"/>
    <w:rsid w:val="007A244C"/>
    <w:rsid w:val="007A2F36"/>
    <w:rsid w:val="007A334E"/>
    <w:rsid w:val="007A38FF"/>
    <w:rsid w:val="007A4744"/>
    <w:rsid w:val="007A4B5A"/>
    <w:rsid w:val="007A5347"/>
    <w:rsid w:val="007A59C9"/>
    <w:rsid w:val="007A5BF2"/>
    <w:rsid w:val="007A5C7D"/>
    <w:rsid w:val="007A5EA0"/>
    <w:rsid w:val="007A6496"/>
    <w:rsid w:val="007A649C"/>
    <w:rsid w:val="007A69A3"/>
    <w:rsid w:val="007A6A85"/>
    <w:rsid w:val="007A71C7"/>
    <w:rsid w:val="007A7417"/>
    <w:rsid w:val="007A748A"/>
    <w:rsid w:val="007A7653"/>
    <w:rsid w:val="007A78DB"/>
    <w:rsid w:val="007A7E62"/>
    <w:rsid w:val="007B0DD7"/>
    <w:rsid w:val="007B1499"/>
    <w:rsid w:val="007B1B58"/>
    <w:rsid w:val="007B1FFA"/>
    <w:rsid w:val="007B219A"/>
    <w:rsid w:val="007B21B0"/>
    <w:rsid w:val="007B285F"/>
    <w:rsid w:val="007B2B9B"/>
    <w:rsid w:val="007B2BF9"/>
    <w:rsid w:val="007B2F0C"/>
    <w:rsid w:val="007B3C04"/>
    <w:rsid w:val="007B43E4"/>
    <w:rsid w:val="007B4AD9"/>
    <w:rsid w:val="007B4F3A"/>
    <w:rsid w:val="007B53AC"/>
    <w:rsid w:val="007B5917"/>
    <w:rsid w:val="007B5B48"/>
    <w:rsid w:val="007B5D11"/>
    <w:rsid w:val="007B5E10"/>
    <w:rsid w:val="007B69C2"/>
    <w:rsid w:val="007C01B7"/>
    <w:rsid w:val="007C08DE"/>
    <w:rsid w:val="007C0BB5"/>
    <w:rsid w:val="007C0D36"/>
    <w:rsid w:val="007C14A6"/>
    <w:rsid w:val="007C1FEC"/>
    <w:rsid w:val="007C23AF"/>
    <w:rsid w:val="007C273C"/>
    <w:rsid w:val="007C2957"/>
    <w:rsid w:val="007C2968"/>
    <w:rsid w:val="007C36E4"/>
    <w:rsid w:val="007C3EBA"/>
    <w:rsid w:val="007C3FE5"/>
    <w:rsid w:val="007C49FF"/>
    <w:rsid w:val="007C4E1D"/>
    <w:rsid w:val="007C555D"/>
    <w:rsid w:val="007C57F1"/>
    <w:rsid w:val="007C6A8E"/>
    <w:rsid w:val="007C7388"/>
    <w:rsid w:val="007C75DA"/>
    <w:rsid w:val="007C7920"/>
    <w:rsid w:val="007D0170"/>
    <w:rsid w:val="007D01A6"/>
    <w:rsid w:val="007D1330"/>
    <w:rsid w:val="007D13E6"/>
    <w:rsid w:val="007D1513"/>
    <w:rsid w:val="007D15FD"/>
    <w:rsid w:val="007D197B"/>
    <w:rsid w:val="007D211E"/>
    <w:rsid w:val="007D2265"/>
    <w:rsid w:val="007D2313"/>
    <w:rsid w:val="007D26A9"/>
    <w:rsid w:val="007D321C"/>
    <w:rsid w:val="007D3ACB"/>
    <w:rsid w:val="007D3D88"/>
    <w:rsid w:val="007D3F2E"/>
    <w:rsid w:val="007D4408"/>
    <w:rsid w:val="007D467E"/>
    <w:rsid w:val="007D4768"/>
    <w:rsid w:val="007D49FB"/>
    <w:rsid w:val="007D52E4"/>
    <w:rsid w:val="007D5BAB"/>
    <w:rsid w:val="007D6CC5"/>
    <w:rsid w:val="007D6D40"/>
    <w:rsid w:val="007D6F28"/>
    <w:rsid w:val="007D7F1E"/>
    <w:rsid w:val="007E00B3"/>
    <w:rsid w:val="007E01C4"/>
    <w:rsid w:val="007E03F7"/>
    <w:rsid w:val="007E0790"/>
    <w:rsid w:val="007E1342"/>
    <w:rsid w:val="007E16FC"/>
    <w:rsid w:val="007E255D"/>
    <w:rsid w:val="007E273F"/>
    <w:rsid w:val="007E28EF"/>
    <w:rsid w:val="007E38C4"/>
    <w:rsid w:val="007E3E38"/>
    <w:rsid w:val="007E4886"/>
    <w:rsid w:val="007E4BD9"/>
    <w:rsid w:val="007E4BE2"/>
    <w:rsid w:val="007E4D8D"/>
    <w:rsid w:val="007E56AE"/>
    <w:rsid w:val="007E657F"/>
    <w:rsid w:val="007E6D5C"/>
    <w:rsid w:val="007E6E4F"/>
    <w:rsid w:val="007F0A16"/>
    <w:rsid w:val="007F0BBF"/>
    <w:rsid w:val="007F15A9"/>
    <w:rsid w:val="007F161B"/>
    <w:rsid w:val="007F218A"/>
    <w:rsid w:val="007F50B1"/>
    <w:rsid w:val="007F5119"/>
    <w:rsid w:val="007F5526"/>
    <w:rsid w:val="007F5930"/>
    <w:rsid w:val="007F5A8B"/>
    <w:rsid w:val="007F5D7F"/>
    <w:rsid w:val="007F5E2C"/>
    <w:rsid w:val="007F606B"/>
    <w:rsid w:val="007F6318"/>
    <w:rsid w:val="007F78D2"/>
    <w:rsid w:val="007F7EDB"/>
    <w:rsid w:val="00800405"/>
    <w:rsid w:val="008004D1"/>
    <w:rsid w:val="008013DE"/>
    <w:rsid w:val="008014C8"/>
    <w:rsid w:val="00801B1F"/>
    <w:rsid w:val="00801C28"/>
    <w:rsid w:val="00802B63"/>
    <w:rsid w:val="00802DBE"/>
    <w:rsid w:val="0080313F"/>
    <w:rsid w:val="008031DB"/>
    <w:rsid w:val="00803713"/>
    <w:rsid w:val="008040EE"/>
    <w:rsid w:val="00804AC3"/>
    <w:rsid w:val="00804CC2"/>
    <w:rsid w:val="0080528E"/>
    <w:rsid w:val="00805488"/>
    <w:rsid w:val="0080594B"/>
    <w:rsid w:val="008065A4"/>
    <w:rsid w:val="00806740"/>
    <w:rsid w:val="00806984"/>
    <w:rsid w:val="00806A37"/>
    <w:rsid w:val="00807194"/>
    <w:rsid w:val="00807A92"/>
    <w:rsid w:val="00807CDF"/>
    <w:rsid w:val="00807FD5"/>
    <w:rsid w:val="008100A9"/>
    <w:rsid w:val="008104E9"/>
    <w:rsid w:val="008106A3"/>
    <w:rsid w:val="00810DB7"/>
    <w:rsid w:val="00811259"/>
    <w:rsid w:val="008118FB"/>
    <w:rsid w:val="00811CB7"/>
    <w:rsid w:val="00811F90"/>
    <w:rsid w:val="00812D1D"/>
    <w:rsid w:val="00813522"/>
    <w:rsid w:val="00813C75"/>
    <w:rsid w:val="00814ACA"/>
    <w:rsid w:val="00815304"/>
    <w:rsid w:val="0081631B"/>
    <w:rsid w:val="00816A13"/>
    <w:rsid w:val="00817EFF"/>
    <w:rsid w:val="00820922"/>
    <w:rsid w:val="0082097F"/>
    <w:rsid w:val="008215B2"/>
    <w:rsid w:val="0082199B"/>
    <w:rsid w:val="00822026"/>
    <w:rsid w:val="00822E23"/>
    <w:rsid w:val="00823265"/>
    <w:rsid w:val="0082328F"/>
    <w:rsid w:val="00824399"/>
    <w:rsid w:val="00824431"/>
    <w:rsid w:val="00824826"/>
    <w:rsid w:val="00824C39"/>
    <w:rsid w:val="008253D0"/>
    <w:rsid w:val="008257EB"/>
    <w:rsid w:val="008258EC"/>
    <w:rsid w:val="00825F71"/>
    <w:rsid w:val="0082656B"/>
    <w:rsid w:val="008265EF"/>
    <w:rsid w:val="00826C13"/>
    <w:rsid w:val="008275D8"/>
    <w:rsid w:val="00830072"/>
    <w:rsid w:val="00830188"/>
    <w:rsid w:val="00830D1D"/>
    <w:rsid w:val="00831035"/>
    <w:rsid w:val="0083193E"/>
    <w:rsid w:val="0083234F"/>
    <w:rsid w:val="008323D9"/>
    <w:rsid w:val="0083287B"/>
    <w:rsid w:val="00832D59"/>
    <w:rsid w:val="00832DE3"/>
    <w:rsid w:val="00833E2C"/>
    <w:rsid w:val="00834026"/>
    <w:rsid w:val="00834669"/>
    <w:rsid w:val="0083498F"/>
    <w:rsid w:val="00834E37"/>
    <w:rsid w:val="008350EE"/>
    <w:rsid w:val="00835549"/>
    <w:rsid w:val="00835D34"/>
    <w:rsid w:val="0083673D"/>
    <w:rsid w:val="00836E85"/>
    <w:rsid w:val="008370AF"/>
    <w:rsid w:val="008372EE"/>
    <w:rsid w:val="008375C4"/>
    <w:rsid w:val="00837794"/>
    <w:rsid w:val="008401B3"/>
    <w:rsid w:val="00840549"/>
    <w:rsid w:val="0084116F"/>
    <w:rsid w:val="00841A76"/>
    <w:rsid w:val="00842146"/>
    <w:rsid w:val="008424F1"/>
    <w:rsid w:val="008427EE"/>
    <w:rsid w:val="00842A31"/>
    <w:rsid w:val="00842AAF"/>
    <w:rsid w:val="00842C94"/>
    <w:rsid w:val="0084305B"/>
    <w:rsid w:val="00843586"/>
    <w:rsid w:val="008436D4"/>
    <w:rsid w:val="00843AE9"/>
    <w:rsid w:val="00843BD0"/>
    <w:rsid w:val="00843DDA"/>
    <w:rsid w:val="0084424C"/>
    <w:rsid w:val="00845AA1"/>
    <w:rsid w:val="00846D71"/>
    <w:rsid w:val="0084714C"/>
    <w:rsid w:val="00850106"/>
    <w:rsid w:val="008505BF"/>
    <w:rsid w:val="008510E5"/>
    <w:rsid w:val="008511F1"/>
    <w:rsid w:val="00851430"/>
    <w:rsid w:val="00852040"/>
    <w:rsid w:val="00852168"/>
    <w:rsid w:val="00852366"/>
    <w:rsid w:val="008525FA"/>
    <w:rsid w:val="0085277C"/>
    <w:rsid w:val="00852D35"/>
    <w:rsid w:val="0085310B"/>
    <w:rsid w:val="00853707"/>
    <w:rsid w:val="00853AB0"/>
    <w:rsid w:val="00853CF9"/>
    <w:rsid w:val="00853EB5"/>
    <w:rsid w:val="00853FCC"/>
    <w:rsid w:val="008541D0"/>
    <w:rsid w:val="00854AB3"/>
    <w:rsid w:val="00854D15"/>
    <w:rsid w:val="00855298"/>
    <w:rsid w:val="008554C8"/>
    <w:rsid w:val="00855723"/>
    <w:rsid w:val="008559F0"/>
    <w:rsid w:val="00855A06"/>
    <w:rsid w:val="00855DE8"/>
    <w:rsid w:val="00855EBE"/>
    <w:rsid w:val="0085656F"/>
    <w:rsid w:val="008569F2"/>
    <w:rsid w:val="0085782B"/>
    <w:rsid w:val="008602BD"/>
    <w:rsid w:val="00860988"/>
    <w:rsid w:val="00860A69"/>
    <w:rsid w:val="0086104A"/>
    <w:rsid w:val="0086156D"/>
    <w:rsid w:val="00861640"/>
    <w:rsid w:val="008618FD"/>
    <w:rsid w:val="00862454"/>
    <w:rsid w:val="00862822"/>
    <w:rsid w:val="00863026"/>
    <w:rsid w:val="00863375"/>
    <w:rsid w:val="00863472"/>
    <w:rsid w:val="00863566"/>
    <w:rsid w:val="00863FB8"/>
    <w:rsid w:val="008644AF"/>
    <w:rsid w:val="00864F98"/>
    <w:rsid w:val="00866177"/>
    <w:rsid w:val="00867E9A"/>
    <w:rsid w:val="008707CA"/>
    <w:rsid w:val="00870CED"/>
    <w:rsid w:val="00870EA4"/>
    <w:rsid w:val="00870FEA"/>
    <w:rsid w:val="00871148"/>
    <w:rsid w:val="0087118B"/>
    <w:rsid w:val="008714A6"/>
    <w:rsid w:val="008739D3"/>
    <w:rsid w:val="00874717"/>
    <w:rsid w:val="00875DC3"/>
    <w:rsid w:val="00876A65"/>
    <w:rsid w:val="00877CE2"/>
    <w:rsid w:val="00877EDD"/>
    <w:rsid w:val="00877F9D"/>
    <w:rsid w:val="00880266"/>
    <w:rsid w:val="008805B4"/>
    <w:rsid w:val="00880675"/>
    <w:rsid w:val="008808A4"/>
    <w:rsid w:val="00880B42"/>
    <w:rsid w:val="008811D6"/>
    <w:rsid w:val="008823F0"/>
    <w:rsid w:val="008823F8"/>
    <w:rsid w:val="00882DC3"/>
    <w:rsid w:val="008830DF"/>
    <w:rsid w:val="00883B0C"/>
    <w:rsid w:val="008845B0"/>
    <w:rsid w:val="00884A97"/>
    <w:rsid w:val="00884AA3"/>
    <w:rsid w:val="00884C38"/>
    <w:rsid w:val="00884D75"/>
    <w:rsid w:val="008858AD"/>
    <w:rsid w:val="008860D8"/>
    <w:rsid w:val="0088635D"/>
    <w:rsid w:val="008875C6"/>
    <w:rsid w:val="00887805"/>
    <w:rsid w:val="008878EA"/>
    <w:rsid w:val="00887AE0"/>
    <w:rsid w:val="00887C3B"/>
    <w:rsid w:val="00887C5D"/>
    <w:rsid w:val="00890067"/>
    <w:rsid w:val="008909F5"/>
    <w:rsid w:val="00890BF6"/>
    <w:rsid w:val="00891437"/>
    <w:rsid w:val="00891636"/>
    <w:rsid w:val="00891665"/>
    <w:rsid w:val="00891AA5"/>
    <w:rsid w:val="00891E57"/>
    <w:rsid w:val="008922B6"/>
    <w:rsid w:val="00892F1C"/>
    <w:rsid w:val="008939B1"/>
    <w:rsid w:val="00893A98"/>
    <w:rsid w:val="00893BE5"/>
    <w:rsid w:val="008942A8"/>
    <w:rsid w:val="00894424"/>
    <w:rsid w:val="0089453A"/>
    <w:rsid w:val="00894B0B"/>
    <w:rsid w:val="00895658"/>
    <w:rsid w:val="00896298"/>
    <w:rsid w:val="008964BB"/>
    <w:rsid w:val="00896743"/>
    <w:rsid w:val="00896A75"/>
    <w:rsid w:val="00896ADE"/>
    <w:rsid w:val="008A0263"/>
    <w:rsid w:val="008A04B5"/>
    <w:rsid w:val="008A0AF5"/>
    <w:rsid w:val="008A0ED4"/>
    <w:rsid w:val="008A1079"/>
    <w:rsid w:val="008A1182"/>
    <w:rsid w:val="008A140A"/>
    <w:rsid w:val="008A1448"/>
    <w:rsid w:val="008A2340"/>
    <w:rsid w:val="008A249E"/>
    <w:rsid w:val="008A2590"/>
    <w:rsid w:val="008A2849"/>
    <w:rsid w:val="008A296C"/>
    <w:rsid w:val="008A296E"/>
    <w:rsid w:val="008A2F83"/>
    <w:rsid w:val="008A3014"/>
    <w:rsid w:val="008A3234"/>
    <w:rsid w:val="008A3CD4"/>
    <w:rsid w:val="008A3E2D"/>
    <w:rsid w:val="008A3FB8"/>
    <w:rsid w:val="008A55B6"/>
    <w:rsid w:val="008A56F1"/>
    <w:rsid w:val="008A5CB6"/>
    <w:rsid w:val="008A5D2A"/>
    <w:rsid w:val="008A66F1"/>
    <w:rsid w:val="008A690D"/>
    <w:rsid w:val="008A69DB"/>
    <w:rsid w:val="008A75B6"/>
    <w:rsid w:val="008A7918"/>
    <w:rsid w:val="008B012D"/>
    <w:rsid w:val="008B0966"/>
    <w:rsid w:val="008B0B08"/>
    <w:rsid w:val="008B17D3"/>
    <w:rsid w:val="008B1AC1"/>
    <w:rsid w:val="008B1FFE"/>
    <w:rsid w:val="008B478E"/>
    <w:rsid w:val="008B47AC"/>
    <w:rsid w:val="008B47CF"/>
    <w:rsid w:val="008B508D"/>
    <w:rsid w:val="008B5405"/>
    <w:rsid w:val="008B63BB"/>
    <w:rsid w:val="008B681B"/>
    <w:rsid w:val="008B6B15"/>
    <w:rsid w:val="008B71B0"/>
    <w:rsid w:val="008B7CD7"/>
    <w:rsid w:val="008B7E6A"/>
    <w:rsid w:val="008C0CB9"/>
    <w:rsid w:val="008C20D3"/>
    <w:rsid w:val="008C2443"/>
    <w:rsid w:val="008C31E2"/>
    <w:rsid w:val="008C335E"/>
    <w:rsid w:val="008C4A89"/>
    <w:rsid w:val="008C5812"/>
    <w:rsid w:val="008C582F"/>
    <w:rsid w:val="008C5DE1"/>
    <w:rsid w:val="008C6092"/>
    <w:rsid w:val="008C64C8"/>
    <w:rsid w:val="008C67DA"/>
    <w:rsid w:val="008C6E02"/>
    <w:rsid w:val="008C7073"/>
    <w:rsid w:val="008C73C4"/>
    <w:rsid w:val="008C7515"/>
    <w:rsid w:val="008C7C24"/>
    <w:rsid w:val="008C7F7F"/>
    <w:rsid w:val="008D1B3A"/>
    <w:rsid w:val="008D2A4F"/>
    <w:rsid w:val="008D2B6E"/>
    <w:rsid w:val="008D2D52"/>
    <w:rsid w:val="008D32F7"/>
    <w:rsid w:val="008D3622"/>
    <w:rsid w:val="008D38C2"/>
    <w:rsid w:val="008D3EF4"/>
    <w:rsid w:val="008D4989"/>
    <w:rsid w:val="008D49D5"/>
    <w:rsid w:val="008D4B5E"/>
    <w:rsid w:val="008D5337"/>
    <w:rsid w:val="008D557E"/>
    <w:rsid w:val="008D590D"/>
    <w:rsid w:val="008D59E8"/>
    <w:rsid w:val="008D5DAB"/>
    <w:rsid w:val="008D621B"/>
    <w:rsid w:val="008D670C"/>
    <w:rsid w:val="008D6AEA"/>
    <w:rsid w:val="008D793C"/>
    <w:rsid w:val="008D7F02"/>
    <w:rsid w:val="008E0594"/>
    <w:rsid w:val="008E0AAF"/>
    <w:rsid w:val="008E0B47"/>
    <w:rsid w:val="008E12C3"/>
    <w:rsid w:val="008E14EB"/>
    <w:rsid w:val="008E1924"/>
    <w:rsid w:val="008E1A7F"/>
    <w:rsid w:val="008E1B07"/>
    <w:rsid w:val="008E1EB0"/>
    <w:rsid w:val="008E1EE6"/>
    <w:rsid w:val="008E2224"/>
    <w:rsid w:val="008E3086"/>
    <w:rsid w:val="008E340A"/>
    <w:rsid w:val="008E3D55"/>
    <w:rsid w:val="008E3DA5"/>
    <w:rsid w:val="008E42CF"/>
    <w:rsid w:val="008E495E"/>
    <w:rsid w:val="008E592D"/>
    <w:rsid w:val="008E5D53"/>
    <w:rsid w:val="008E650E"/>
    <w:rsid w:val="008E6773"/>
    <w:rsid w:val="008E753D"/>
    <w:rsid w:val="008F0773"/>
    <w:rsid w:val="008F0FDB"/>
    <w:rsid w:val="008F101F"/>
    <w:rsid w:val="008F1412"/>
    <w:rsid w:val="008F1A69"/>
    <w:rsid w:val="008F2050"/>
    <w:rsid w:val="008F3F5E"/>
    <w:rsid w:val="008F3F94"/>
    <w:rsid w:val="008F4601"/>
    <w:rsid w:val="008F5034"/>
    <w:rsid w:val="008F5041"/>
    <w:rsid w:val="008F5584"/>
    <w:rsid w:val="008F59D2"/>
    <w:rsid w:val="008F602E"/>
    <w:rsid w:val="008F6381"/>
    <w:rsid w:val="008F6655"/>
    <w:rsid w:val="008F6A10"/>
    <w:rsid w:val="008F6BF0"/>
    <w:rsid w:val="008F6E62"/>
    <w:rsid w:val="008F7035"/>
    <w:rsid w:val="008F708C"/>
    <w:rsid w:val="008F7ABF"/>
    <w:rsid w:val="008F7D8F"/>
    <w:rsid w:val="008F7DF9"/>
    <w:rsid w:val="00900894"/>
    <w:rsid w:val="009016CD"/>
    <w:rsid w:val="00901ACE"/>
    <w:rsid w:val="00901B93"/>
    <w:rsid w:val="0090262E"/>
    <w:rsid w:val="009028AF"/>
    <w:rsid w:val="00902BBA"/>
    <w:rsid w:val="00902EA5"/>
    <w:rsid w:val="009032D9"/>
    <w:rsid w:val="00904353"/>
    <w:rsid w:val="00905458"/>
    <w:rsid w:val="00906084"/>
    <w:rsid w:val="009065D4"/>
    <w:rsid w:val="00906B58"/>
    <w:rsid w:val="00906C37"/>
    <w:rsid w:val="00906F8C"/>
    <w:rsid w:val="0090758C"/>
    <w:rsid w:val="00907E7E"/>
    <w:rsid w:val="009106A2"/>
    <w:rsid w:val="00910E7F"/>
    <w:rsid w:val="00910E8C"/>
    <w:rsid w:val="0091150D"/>
    <w:rsid w:val="0091197D"/>
    <w:rsid w:val="00911D4F"/>
    <w:rsid w:val="00911EE5"/>
    <w:rsid w:val="00912135"/>
    <w:rsid w:val="00912236"/>
    <w:rsid w:val="0091247B"/>
    <w:rsid w:val="00912635"/>
    <w:rsid w:val="0091302F"/>
    <w:rsid w:val="0091303F"/>
    <w:rsid w:val="00913237"/>
    <w:rsid w:val="00913AB5"/>
    <w:rsid w:val="00913EF2"/>
    <w:rsid w:val="00914576"/>
    <w:rsid w:val="009153EB"/>
    <w:rsid w:val="009154E8"/>
    <w:rsid w:val="0091574C"/>
    <w:rsid w:val="00916139"/>
    <w:rsid w:val="00916166"/>
    <w:rsid w:val="00916A85"/>
    <w:rsid w:val="00916AB4"/>
    <w:rsid w:val="00916C28"/>
    <w:rsid w:val="0091733D"/>
    <w:rsid w:val="0091774C"/>
    <w:rsid w:val="00917BDF"/>
    <w:rsid w:val="00920325"/>
    <w:rsid w:val="00921332"/>
    <w:rsid w:val="009216D0"/>
    <w:rsid w:val="00922597"/>
    <w:rsid w:val="00922D86"/>
    <w:rsid w:val="0092312C"/>
    <w:rsid w:val="00923320"/>
    <w:rsid w:val="00923504"/>
    <w:rsid w:val="0092453D"/>
    <w:rsid w:val="00924F24"/>
    <w:rsid w:val="00925964"/>
    <w:rsid w:val="00925A3B"/>
    <w:rsid w:val="00926335"/>
    <w:rsid w:val="00926DD9"/>
    <w:rsid w:val="00926ED5"/>
    <w:rsid w:val="00927A95"/>
    <w:rsid w:val="00927AEF"/>
    <w:rsid w:val="00927E13"/>
    <w:rsid w:val="00927F5A"/>
    <w:rsid w:val="00930796"/>
    <w:rsid w:val="00931243"/>
    <w:rsid w:val="00931695"/>
    <w:rsid w:val="00931A7D"/>
    <w:rsid w:val="009324DA"/>
    <w:rsid w:val="009335A0"/>
    <w:rsid w:val="0093437D"/>
    <w:rsid w:val="0093442B"/>
    <w:rsid w:val="009356C2"/>
    <w:rsid w:val="00935D09"/>
    <w:rsid w:val="00936E3F"/>
    <w:rsid w:val="00937583"/>
    <w:rsid w:val="00937729"/>
    <w:rsid w:val="009409F5"/>
    <w:rsid w:val="00940D1E"/>
    <w:rsid w:val="00940E22"/>
    <w:rsid w:val="0094130F"/>
    <w:rsid w:val="009416F1"/>
    <w:rsid w:val="009424F8"/>
    <w:rsid w:val="0094274B"/>
    <w:rsid w:val="009428F0"/>
    <w:rsid w:val="00943067"/>
    <w:rsid w:val="00943D11"/>
    <w:rsid w:val="00943F95"/>
    <w:rsid w:val="0094469A"/>
    <w:rsid w:val="009454E8"/>
    <w:rsid w:val="00945B2F"/>
    <w:rsid w:val="00945B7F"/>
    <w:rsid w:val="009465B9"/>
    <w:rsid w:val="009475B9"/>
    <w:rsid w:val="00947CC5"/>
    <w:rsid w:val="00950712"/>
    <w:rsid w:val="00950787"/>
    <w:rsid w:val="0095089B"/>
    <w:rsid w:val="00950A37"/>
    <w:rsid w:val="00950AE0"/>
    <w:rsid w:val="00950BAF"/>
    <w:rsid w:val="00950F7C"/>
    <w:rsid w:val="00951A92"/>
    <w:rsid w:val="00951BED"/>
    <w:rsid w:val="00951C64"/>
    <w:rsid w:val="00952DF7"/>
    <w:rsid w:val="00954003"/>
    <w:rsid w:val="0095455C"/>
    <w:rsid w:val="00954E5E"/>
    <w:rsid w:val="009554CB"/>
    <w:rsid w:val="0095601D"/>
    <w:rsid w:val="009560E1"/>
    <w:rsid w:val="00956381"/>
    <w:rsid w:val="00956870"/>
    <w:rsid w:val="00956DED"/>
    <w:rsid w:val="00956E2F"/>
    <w:rsid w:val="0095731F"/>
    <w:rsid w:val="00957425"/>
    <w:rsid w:val="00957527"/>
    <w:rsid w:val="00960A3C"/>
    <w:rsid w:val="00960C4D"/>
    <w:rsid w:val="00961513"/>
    <w:rsid w:val="009616C3"/>
    <w:rsid w:val="00961B18"/>
    <w:rsid w:val="0096206C"/>
    <w:rsid w:val="00962083"/>
    <w:rsid w:val="00962628"/>
    <w:rsid w:val="009628C2"/>
    <w:rsid w:val="009630F4"/>
    <w:rsid w:val="009632DB"/>
    <w:rsid w:val="009633B0"/>
    <w:rsid w:val="0096351D"/>
    <w:rsid w:val="009643C0"/>
    <w:rsid w:val="0096447A"/>
    <w:rsid w:val="00964803"/>
    <w:rsid w:val="009648D2"/>
    <w:rsid w:val="00964AE6"/>
    <w:rsid w:val="00965664"/>
    <w:rsid w:val="00965ABD"/>
    <w:rsid w:val="00965CBC"/>
    <w:rsid w:val="0096605B"/>
    <w:rsid w:val="00966883"/>
    <w:rsid w:val="00966BD0"/>
    <w:rsid w:val="0097092D"/>
    <w:rsid w:val="00971018"/>
    <w:rsid w:val="00971D93"/>
    <w:rsid w:val="00972852"/>
    <w:rsid w:val="00972D85"/>
    <w:rsid w:val="0097360E"/>
    <w:rsid w:val="00973D74"/>
    <w:rsid w:val="00974758"/>
    <w:rsid w:val="00974AFB"/>
    <w:rsid w:val="00975036"/>
    <w:rsid w:val="0097551C"/>
    <w:rsid w:val="00977898"/>
    <w:rsid w:val="009808F7"/>
    <w:rsid w:val="00981E04"/>
    <w:rsid w:val="00981E87"/>
    <w:rsid w:val="00981F57"/>
    <w:rsid w:val="00981F6D"/>
    <w:rsid w:val="00982179"/>
    <w:rsid w:val="00982520"/>
    <w:rsid w:val="00983B8A"/>
    <w:rsid w:val="009840AB"/>
    <w:rsid w:val="0098534A"/>
    <w:rsid w:val="00985370"/>
    <w:rsid w:val="009855F7"/>
    <w:rsid w:val="0098625D"/>
    <w:rsid w:val="00986C33"/>
    <w:rsid w:val="00987755"/>
    <w:rsid w:val="009879E6"/>
    <w:rsid w:val="00987CCF"/>
    <w:rsid w:val="00990212"/>
    <w:rsid w:val="00990E9A"/>
    <w:rsid w:val="009912E1"/>
    <w:rsid w:val="00991526"/>
    <w:rsid w:val="00991C1D"/>
    <w:rsid w:val="00991C93"/>
    <w:rsid w:val="00992065"/>
    <w:rsid w:val="009927FF"/>
    <w:rsid w:val="0099294C"/>
    <w:rsid w:val="009932E1"/>
    <w:rsid w:val="009937BE"/>
    <w:rsid w:val="00993AC0"/>
    <w:rsid w:val="00993C2F"/>
    <w:rsid w:val="009940DC"/>
    <w:rsid w:val="0099449E"/>
    <w:rsid w:val="009944B3"/>
    <w:rsid w:val="00994640"/>
    <w:rsid w:val="00994B20"/>
    <w:rsid w:val="00995275"/>
    <w:rsid w:val="009960A2"/>
    <w:rsid w:val="00996181"/>
    <w:rsid w:val="0099685E"/>
    <w:rsid w:val="00996A1F"/>
    <w:rsid w:val="00996ABB"/>
    <w:rsid w:val="009A1284"/>
    <w:rsid w:val="009A19D5"/>
    <w:rsid w:val="009A1FF5"/>
    <w:rsid w:val="009A2554"/>
    <w:rsid w:val="009A2AC5"/>
    <w:rsid w:val="009A2F66"/>
    <w:rsid w:val="009A3231"/>
    <w:rsid w:val="009A4002"/>
    <w:rsid w:val="009A4B27"/>
    <w:rsid w:val="009A4B8E"/>
    <w:rsid w:val="009A514D"/>
    <w:rsid w:val="009A55E5"/>
    <w:rsid w:val="009A5F29"/>
    <w:rsid w:val="009A60C0"/>
    <w:rsid w:val="009A6B1D"/>
    <w:rsid w:val="009A6FD5"/>
    <w:rsid w:val="009A7033"/>
    <w:rsid w:val="009A7672"/>
    <w:rsid w:val="009A7B61"/>
    <w:rsid w:val="009A7D9D"/>
    <w:rsid w:val="009A7E49"/>
    <w:rsid w:val="009B0B1D"/>
    <w:rsid w:val="009B0DB9"/>
    <w:rsid w:val="009B1088"/>
    <w:rsid w:val="009B18B4"/>
    <w:rsid w:val="009B2062"/>
    <w:rsid w:val="009B3815"/>
    <w:rsid w:val="009B4387"/>
    <w:rsid w:val="009B44AE"/>
    <w:rsid w:val="009B4A04"/>
    <w:rsid w:val="009B632D"/>
    <w:rsid w:val="009B66C4"/>
    <w:rsid w:val="009B7480"/>
    <w:rsid w:val="009B75FA"/>
    <w:rsid w:val="009B7708"/>
    <w:rsid w:val="009B7C83"/>
    <w:rsid w:val="009C0BD5"/>
    <w:rsid w:val="009C0DB3"/>
    <w:rsid w:val="009C11C5"/>
    <w:rsid w:val="009C1918"/>
    <w:rsid w:val="009C1B17"/>
    <w:rsid w:val="009C22AB"/>
    <w:rsid w:val="009C241A"/>
    <w:rsid w:val="009C2B07"/>
    <w:rsid w:val="009C2C22"/>
    <w:rsid w:val="009C2D04"/>
    <w:rsid w:val="009C3590"/>
    <w:rsid w:val="009C40F7"/>
    <w:rsid w:val="009C4EC5"/>
    <w:rsid w:val="009C5551"/>
    <w:rsid w:val="009C64E1"/>
    <w:rsid w:val="009C6A08"/>
    <w:rsid w:val="009C6A59"/>
    <w:rsid w:val="009C7E3D"/>
    <w:rsid w:val="009C7F1D"/>
    <w:rsid w:val="009D00D2"/>
    <w:rsid w:val="009D012B"/>
    <w:rsid w:val="009D02A2"/>
    <w:rsid w:val="009D06F2"/>
    <w:rsid w:val="009D16AD"/>
    <w:rsid w:val="009D229E"/>
    <w:rsid w:val="009D256E"/>
    <w:rsid w:val="009D31D7"/>
    <w:rsid w:val="009D3A9A"/>
    <w:rsid w:val="009D3C02"/>
    <w:rsid w:val="009D42AD"/>
    <w:rsid w:val="009D5695"/>
    <w:rsid w:val="009D56CD"/>
    <w:rsid w:val="009D577F"/>
    <w:rsid w:val="009D69A9"/>
    <w:rsid w:val="009D6BFE"/>
    <w:rsid w:val="009D6FA4"/>
    <w:rsid w:val="009D7536"/>
    <w:rsid w:val="009D76E8"/>
    <w:rsid w:val="009D7912"/>
    <w:rsid w:val="009D7C64"/>
    <w:rsid w:val="009D7CEC"/>
    <w:rsid w:val="009E05BC"/>
    <w:rsid w:val="009E06A0"/>
    <w:rsid w:val="009E113A"/>
    <w:rsid w:val="009E171B"/>
    <w:rsid w:val="009E27B3"/>
    <w:rsid w:val="009E2D89"/>
    <w:rsid w:val="009E354C"/>
    <w:rsid w:val="009E39A1"/>
    <w:rsid w:val="009E4049"/>
    <w:rsid w:val="009E4309"/>
    <w:rsid w:val="009E434E"/>
    <w:rsid w:val="009E4C76"/>
    <w:rsid w:val="009E4F1E"/>
    <w:rsid w:val="009E5D4E"/>
    <w:rsid w:val="009E64B6"/>
    <w:rsid w:val="009E6CAA"/>
    <w:rsid w:val="009E6E1B"/>
    <w:rsid w:val="009E7C46"/>
    <w:rsid w:val="009E7D2A"/>
    <w:rsid w:val="009E7F08"/>
    <w:rsid w:val="009F01D1"/>
    <w:rsid w:val="009F051B"/>
    <w:rsid w:val="009F0CF8"/>
    <w:rsid w:val="009F0FBA"/>
    <w:rsid w:val="009F1D3D"/>
    <w:rsid w:val="009F2247"/>
    <w:rsid w:val="009F266C"/>
    <w:rsid w:val="009F35F7"/>
    <w:rsid w:val="009F3E71"/>
    <w:rsid w:val="009F431F"/>
    <w:rsid w:val="009F4AF6"/>
    <w:rsid w:val="009F4DBA"/>
    <w:rsid w:val="009F50E7"/>
    <w:rsid w:val="009F575E"/>
    <w:rsid w:val="009F5AD0"/>
    <w:rsid w:val="009F6128"/>
    <w:rsid w:val="009F67AC"/>
    <w:rsid w:val="009F7057"/>
    <w:rsid w:val="009F779E"/>
    <w:rsid w:val="009F786B"/>
    <w:rsid w:val="009F7DAB"/>
    <w:rsid w:val="00A0019A"/>
    <w:rsid w:val="00A00757"/>
    <w:rsid w:val="00A016C8"/>
    <w:rsid w:val="00A02702"/>
    <w:rsid w:val="00A02A80"/>
    <w:rsid w:val="00A02CBC"/>
    <w:rsid w:val="00A04F67"/>
    <w:rsid w:val="00A05651"/>
    <w:rsid w:val="00A05C82"/>
    <w:rsid w:val="00A05EE1"/>
    <w:rsid w:val="00A06634"/>
    <w:rsid w:val="00A0667C"/>
    <w:rsid w:val="00A066A8"/>
    <w:rsid w:val="00A0674C"/>
    <w:rsid w:val="00A06A81"/>
    <w:rsid w:val="00A07412"/>
    <w:rsid w:val="00A102B7"/>
    <w:rsid w:val="00A10EC6"/>
    <w:rsid w:val="00A1145A"/>
    <w:rsid w:val="00A11F4C"/>
    <w:rsid w:val="00A127EE"/>
    <w:rsid w:val="00A1294F"/>
    <w:rsid w:val="00A12E25"/>
    <w:rsid w:val="00A12EB9"/>
    <w:rsid w:val="00A13754"/>
    <w:rsid w:val="00A137EB"/>
    <w:rsid w:val="00A13835"/>
    <w:rsid w:val="00A13A12"/>
    <w:rsid w:val="00A13CAB"/>
    <w:rsid w:val="00A1403D"/>
    <w:rsid w:val="00A14181"/>
    <w:rsid w:val="00A145D3"/>
    <w:rsid w:val="00A1466C"/>
    <w:rsid w:val="00A15182"/>
    <w:rsid w:val="00A15392"/>
    <w:rsid w:val="00A1556E"/>
    <w:rsid w:val="00A161C5"/>
    <w:rsid w:val="00A1634E"/>
    <w:rsid w:val="00A1768F"/>
    <w:rsid w:val="00A176D4"/>
    <w:rsid w:val="00A17C00"/>
    <w:rsid w:val="00A20093"/>
    <w:rsid w:val="00A2017A"/>
    <w:rsid w:val="00A20737"/>
    <w:rsid w:val="00A20DE5"/>
    <w:rsid w:val="00A2120B"/>
    <w:rsid w:val="00A21E36"/>
    <w:rsid w:val="00A2219B"/>
    <w:rsid w:val="00A22425"/>
    <w:rsid w:val="00A22735"/>
    <w:rsid w:val="00A23162"/>
    <w:rsid w:val="00A23382"/>
    <w:rsid w:val="00A23C46"/>
    <w:rsid w:val="00A24A80"/>
    <w:rsid w:val="00A24AB9"/>
    <w:rsid w:val="00A24F0D"/>
    <w:rsid w:val="00A24F1F"/>
    <w:rsid w:val="00A25E72"/>
    <w:rsid w:val="00A26324"/>
    <w:rsid w:val="00A27148"/>
    <w:rsid w:val="00A2742B"/>
    <w:rsid w:val="00A27682"/>
    <w:rsid w:val="00A277F4"/>
    <w:rsid w:val="00A27833"/>
    <w:rsid w:val="00A304F6"/>
    <w:rsid w:val="00A308C4"/>
    <w:rsid w:val="00A311F3"/>
    <w:rsid w:val="00A3137A"/>
    <w:rsid w:val="00A316F7"/>
    <w:rsid w:val="00A3302A"/>
    <w:rsid w:val="00A3413A"/>
    <w:rsid w:val="00A343EB"/>
    <w:rsid w:val="00A34B03"/>
    <w:rsid w:val="00A357A9"/>
    <w:rsid w:val="00A3593C"/>
    <w:rsid w:val="00A36080"/>
    <w:rsid w:val="00A36977"/>
    <w:rsid w:val="00A36BC9"/>
    <w:rsid w:val="00A37314"/>
    <w:rsid w:val="00A37938"/>
    <w:rsid w:val="00A37EDB"/>
    <w:rsid w:val="00A400FB"/>
    <w:rsid w:val="00A40852"/>
    <w:rsid w:val="00A415EA"/>
    <w:rsid w:val="00A41901"/>
    <w:rsid w:val="00A43CF9"/>
    <w:rsid w:val="00A43F3E"/>
    <w:rsid w:val="00A452AC"/>
    <w:rsid w:val="00A4610B"/>
    <w:rsid w:val="00A469D6"/>
    <w:rsid w:val="00A46C70"/>
    <w:rsid w:val="00A4768E"/>
    <w:rsid w:val="00A47C54"/>
    <w:rsid w:val="00A50322"/>
    <w:rsid w:val="00A50373"/>
    <w:rsid w:val="00A51A6E"/>
    <w:rsid w:val="00A51ACC"/>
    <w:rsid w:val="00A51FBA"/>
    <w:rsid w:val="00A5234E"/>
    <w:rsid w:val="00A5271C"/>
    <w:rsid w:val="00A52F75"/>
    <w:rsid w:val="00A52F79"/>
    <w:rsid w:val="00A53219"/>
    <w:rsid w:val="00A537DF"/>
    <w:rsid w:val="00A53D81"/>
    <w:rsid w:val="00A541BE"/>
    <w:rsid w:val="00A54398"/>
    <w:rsid w:val="00A54D61"/>
    <w:rsid w:val="00A5541F"/>
    <w:rsid w:val="00A55488"/>
    <w:rsid w:val="00A55D47"/>
    <w:rsid w:val="00A56048"/>
    <w:rsid w:val="00A561A0"/>
    <w:rsid w:val="00A56A70"/>
    <w:rsid w:val="00A56F94"/>
    <w:rsid w:val="00A571CE"/>
    <w:rsid w:val="00A57A00"/>
    <w:rsid w:val="00A57D60"/>
    <w:rsid w:val="00A60036"/>
    <w:rsid w:val="00A6022D"/>
    <w:rsid w:val="00A6063D"/>
    <w:rsid w:val="00A6131E"/>
    <w:rsid w:val="00A61903"/>
    <w:rsid w:val="00A6264C"/>
    <w:rsid w:val="00A63230"/>
    <w:rsid w:val="00A633AC"/>
    <w:rsid w:val="00A6362C"/>
    <w:rsid w:val="00A63823"/>
    <w:rsid w:val="00A63D8E"/>
    <w:rsid w:val="00A6402D"/>
    <w:rsid w:val="00A64368"/>
    <w:rsid w:val="00A66168"/>
    <w:rsid w:val="00A66B6F"/>
    <w:rsid w:val="00A66C05"/>
    <w:rsid w:val="00A672FD"/>
    <w:rsid w:val="00A67E8B"/>
    <w:rsid w:val="00A7038E"/>
    <w:rsid w:val="00A706C5"/>
    <w:rsid w:val="00A7097C"/>
    <w:rsid w:val="00A71274"/>
    <w:rsid w:val="00A717F3"/>
    <w:rsid w:val="00A71BBA"/>
    <w:rsid w:val="00A71D29"/>
    <w:rsid w:val="00A71F58"/>
    <w:rsid w:val="00A7228F"/>
    <w:rsid w:val="00A725A3"/>
    <w:rsid w:val="00A72AB9"/>
    <w:rsid w:val="00A7371F"/>
    <w:rsid w:val="00A7394A"/>
    <w:rsid w:val="00A74055"/>
    <w:rsid w:val="00A74F0D"/>
    <w:rsid w:val="00A7530E"/>
    <w:rsid w:val="00A7582D"/>
    <w:rsid w:val="00A75913"/>
    <w:rsid w:val="00A7693C"/>
    <w:rsid w:val="00A76A19"/>
    <w:rsid w:val="00A7727D"/>
    <w:rsid w:val="00A777CA"/>
    <w:rsid w:val="00A77A76"/>
    <w:rsid w:val="00A80870"/>
    <w:rsid w:val="00A80A31"/>
    <w:rsid w:val="00A80DBA"/>
    <w:rsid w:val="00A80E89"/>
    <w:rsid w:val="00A814B6"/>
    <w:rsid w:val="00A817D2"/>
    <w:rsid w:val="00A81A9D"/>
    <w:rsid w:val="00A81DF8"/>
    <w:rsid w:val="00A82B96"/>
    <w:rsid w:val="00A83BFE"/>
    <w:rsid w:val="00A83FD3"/>
    <w:rsid w:val="00A840F3"/>
    <w:rsid w:val="00A84527"/>
    <w:rsid w:val="00A852DA"/>
    <w:rsid w:val="00A85F5F"/>
    <w:rsid w:val="00A8688F"/>
    <w:rsid w:val="00A87930"/>
    <w:rsid w:val="00A87D1D"/>
    <w:rsid w:val="00A906CF"/>
    <w:rsid w:val="00A90DCA"/>
    <w:rsid w:val="00A91138"/>
    <w:rsid w:val="00A91304"/>
    <w:rsid w:val="00A91411"/>
    <w:rsid w:val="00A91791"/>
    <w:rsid w:val="00A91A40"/>
    <w:rsid w:val="00A91BD4"/>
    <w:rsid w:val="00A91D40"/>
    <w:rsid w:val="00A92081"/>
    <w:rsid w:val="00A92358"/>
    <w:rsid w:val="00A9261F"/>
    <w:rsid w:val="00A9295A"/>
    <w:rsid w:val="00A936C5"/>
    <w:rsid w:val="00A936E7"/>
    <w:rsid w:val="00A9382B"/>
    <w:rsid w:val="00A942AA"/>
    <w:rsid w:val="00A943DC"/>
    <w:rsid w:val="00A94402"/>
    <w:rsid w:val="00A94BA1"/>
    <w:rsid w:val="00A94C35"/>
    <w:rsid w:val="00A95AA9"/>
    <w:rsid w:val="00A95E87"/>
    <w:rsid w:val="00A962A1"/>
    <w:rsid w:val="00A9644F"/>
    <w:rsid w:val="00A96FBA"/>
    <w:rsid w:val="00A97224"/>
    <w:rsid w:val="00A97901"/>
    <w:rsid w:val="00AA0662"/>
    <w:rsid w:val="00AA16DC"/>
    <w:rsid w:val="00AA1718"/>
    <w:rsid w:val="00AA1EE1"/>
    <w:rsid w:val="00AA2C75"/>
    <w:rsid w:val="00AA2E2A"/>
    <w:rsid w:val="00AA3195"/>
    <w:rsid w:val="00AA32F6"/>
    <w:rsid w:val="00AA332A"/>
    <w:rsid w:val="00AA3CD9"/>
    <w:rsid w:val="00AA3D6B"/>
    <w:rsid w:val="00AA562E"/>
    <w:rsid w:val="00AA5ABF"/>
    <w:rsid w:val="00AA5F47"/>
    <w:rsid w:val="00AA6013"/>
    <w:rsid w:val="00AA6623"/>
    <w:rsid w:val="00AA6CA8"/>
    <w:rsid w:val="00AA6DA5"/>
    <w:rsid w:val="00AA6EEB"/>
    <w:rsid w:val="00AA7578"/>
    <w:rsid w:val="00AA7B68"/>
    <w:rsid w:val="00AA7CBF"/>
    <w:rsid w:val="00AA7DB5"/>
    <w:rsid w:val="00AB0245"/>
    <w:rsid w:val="00AB0AE2"/>
    <w:rsid w:val="00AB0DC9"/>
    <w:rsid w:val="00AB13D8"/>
    <w:rsid w:val="00AB1C0F"/>
    <w:rsid w:val="00AB1FE0"/>
    <w:rsid w:val="00AB21E3"/>
    <w:rsid w:val="00AB2CB0"/>
    <w:rsid w:val="00AB33BA"/>
    <w:rsid w:val="00AB3AAA"/>
    <w:rsid w:val="00AB4C58"/>
    <w:rsid w:val="00AB51FC"/>
    <w:rsid w:val="00AB524F"/>
    <w:rsid w:val="00AB5D03"/>
    <w:rsid w:val="00AB60FF"/>
    <w:rsid w:val="00AB746A"/>
    <w:rsid w:val="00AB79DE"/>
    <w:rsid w:val="00AB7AEE"/>
    <w:rsid w:val="00AB7DA0"/>
    <w:rsid w:val="00AB7F2D"/>
    <w:rsid w:val="00AC029D"/>
    <w:rsid w:val="00AC0E70"/>
    <w:rsid w:val="00AC12AF"/>
    <w:rsid w:val="00AC139B"/>
    <w:rsid w:val="00AC184E"/>
    <w:rsid w:val="00AC19CF"/>
    <w:rsid w:val="00AC2550"/>
    <w:rsid w:val="00AC2FB1"/>
    <w:rsid w:val="00AC31CC"/>
    <w:rsid w:val="00AC3530"/>
    <w:rsid w:val="00AC3623"/>
    <w:rsid w:val="00AC364A"/>
    <w:rsid w:val="00AC3E7F"/>
    <w:rsid w:val="00AC3FF2"/>
    <w:rsid w:val="00AC41B2"/>
    <w:rsid w:val="00AC48A9"/>
    <w:rsid w:val="00AC4CDA"/>
    <w:rsid w:val="00AC5C10"/>
    <w:rsid w:val="00AC7217"/>
    <w:rsid w:val="00AC7B38"/>
    <w:rsid w:val="00AC7C28"/>
    <w:rsid w:val="00AC7F68"/>
    <w:rsid w:val="00AD00F9"/>
    <w:rsid w:val="00AD0CF6"/>
    <w:rsid w:val="00AD12EA"/>
    <w:rsid w:val="00AD1371"/>
    <w:rsid w:val="00AD19A8"/>
    <w:rsid w:val="00AD28F0"/>
    <w:rsid w:val="00AD2B60"/>
    <w:rsid w:val="00AD2C6C"/>
    <w:rsid w:val="00AD3818"/>
    <w:rsid w:val="00AD39C6"/>
    <w:rsid w:val="00AD3C9F"/>
    <w:rsid w:val="00AD5597"/>
    <w:rsid w:val="00AD57DB"/>
    <w:rsid w:val="00AD5ACE"/>
    <w:rsid w:val="00AD5B01"/>
    <w:rsid w:val="00AD5C86"/>
    <w:rsid w:val="00AD609F"/>
    <w:rsid w:val="00AD63F8"/>
    <w:rsid w:val="00AD6B98"/>
    <w:rsid w:val="00AD735B"/>
    <w:rsid w:val="00AD7A41"/>
    <w:rsid w:val="00AE0118"/>
    <w:rsid w:val="00AE072A"/>
    <w:rsid w:val="00AE0754"/>
    <w:rsid w:val="00AE0B83"/>
    <w:rsid w:val="00AE0CD6"/>
    <w:rsid w:val="00AE1107"/>
    <w:rsid w:val="00AE13CA"/>
    <w:rsid w:val="00AE1BF4"/>
    <w:rsid w:val="00AE2536"/>
    <w:rsid w:val="00AE26FE"/>
    <w:rsid w:val="00AE31EC"/>
    <w:rsid w:val="00AE3421"/>
    <w:rsid w:val="00AE3682"/>
    <w:rsid w:val="00AE3919"/>
    <w:rsid w:val="00AE3A69"/>
    <w:rsid w:val="00AE3A7D"/>
    <w:rsid w:val="00AE3C69"/>
    <w:rsid w:val="00AE3CF1"/>
    <w:rsid w:val="00AE4024"/>
    <w:rsid w:val="00AE41C3"/>
    <w:rsid w:val="00AE4814"/>
    <w:rsid w:val="00AE49C7"/>
    <w:rsid w:val="00AE5426"/>
    <w:rsid w:val="00AE542D"/>
    <w:rsid w:val="00AE57EB"/>
    <w:rsid w:val="00AE59E0"/>
    <w:rsid w:val="00AE5E71"/>
    <w:rsid w:val="00AE61AE"/>
    <w:rsid w:val="00AE6AFE"/>
    <w:rsid w:val="00AE73B7"/>
    <w:rsid w:val="00AE7E9B"/>
    <w:rsid w:val="00AF1893"/>
    <w:rsid w:val="00AF1B9C"/>
    <w:rsid w:val="00AF1CDD"/>
    <w:rsid w:val="00AF2050"/>
    <w:rsid w:val="00AF27E6"/>
    <w:rsid w:val="00AF35CC"/>
    <w:rsid w:val="00AF3917"/>
    <w:rsid w:val="00AF3BC5"/>
    <w:rsid w:val="00AF40EF"/>
    <w:rsid w:val="00AF40FE"/>
    <w:rsid w:val="00AF433B"/>
    <w:rsid w:val="00AF629A"/>
    <w:rsid w:val="00AF62DA"/>
    <w:rsid w:val="00AF6B2B"/>
    <w:rsid w:val="00AF6EF8"/>
    <w:rsid w:val="00AF6F5C"/>
    <w:rsid w:val="00AF72AF"/>
    <w:rsid w:val="00B0099D"/>
    <w:rsid w:val="00B01400"/>
    <w:rsid w:val="00B0142D"/>
    <w:rsid w:val="00B01B9F"/>
    <w:rsid w:val="00B024CE"/>
    <w:rsid w:val="00B02732"/>
    <w:rsid w:val="00B03728"/>
    <w:rsid w:val="00B040FB"/>
    <w:rsid w:val="00B04114"/>
    <w:rsid w:val="00B041BA"/>
    <w:rsid w:val="00B04B10"/>
    <w:rsid w:val="00B06D5C"/>
    <w:rsid w:val="00B07CA6"/>
    <w:rsid w:val="00B10041"/>
    <w:rsid w:val="00B10B46"/>
    <w:rsid w:val="00B10C48"/>
    <w:rsid w:val="00B11FA5"/>
    <w:rsid w:val="00B12492"/>
    <w:rsid w:val="00B1250A"/>
    <w:rsid w:val="00B134CD"/>
    <w:rsid w:val="00B139CA"/>
    <w:rsid w:val="00B13A70"/>
    <w:rsid w:val="00B13E23"/>
    <w:rsid w:val="00B14CD0"/>
    <w:rsid w:val="00B15CB0"/>
    <w:rsid w:val="00B1642B"/>
    <w:rsid w:val="00B16663"/>
    <w:rsid w:val="00B16F44"/>
    <w:rsid w:val="00B17B17"/>
    <w:rsid w:val="00B202FE"/>
    <w:rsid w:val="00B2049B"/>
    <w:rsid w:val="00B209C4"/>
    <w:rsid w:val="00B217DA"/>
    <w:rsid w:val="00B226B7"/>
    <w:rsid w:val="00B226ED"/>
    <w:rsid w:val="00B22782"/>
    <w:rsid w:val="00B22B91"/>
    <w:rsid w:val="00B232C0"/>
    <w:rsid w:val="00B2438C"/>
    <w:rsid w:val="00B2634C"/>
    <w:rsid w:val="00B263D7"/>
    <w:rsid w:val="00B27235"/>
    <w:rsid w:val="00B2758B"/>
    <w:rsid w:val="00B275A5"/>
    <w:rsid w:val="00B3011E"/>
    <w:rsid w:val="00B303B0"/>
    <w:rsid w:val="00B30CE5"/>
    <w:rsid w:val="00B31914"/>
    <w:rsid w:val="00B32C16"/>
    <w:rsid w:val="00B3316A"/>
    <w:rsid w:val="00B3367A"/>
    <w:rsid w:val="00B336BD"/>
    <w:rsid w:val="00B34210"/>
    <w:rsid w:val="00B351A1"/>
    <w:rsid w:val="00B35628"/>
    <w:rsid w:val="00B36889"/>
    <w:rsid w:val="00B3711F"/>
    <w:rsid w:val="00B400B6"/>
    <w:rsid w:val="00B40637"/>
    <w:rsid w:val="00B40C56"/>
    <w:rsid w:val="00B413B2"/>
    <w:rsid w:val="00B41C35"/>
    <w:rsid w:val="00B434CF"/>
    <w:rsid w:val="00B43727"/>
    <w:rsid w:val="00B43A94"/>
    <w:rsid w:val="00B43DE3"/>
    <w:rsid w:val="00B43E70"/>
    <w:rsid w:val="00B4411F"/>
    <w:rsid w:val="00B44386"/>
    <w:rsid w:val="00B44DB6"/>
    <w:rsid w:val="00B44DC5"/>
    <w:rsid w:val="00B44F1C"/>
    <w:rsid w:val="00B44F98"/>
    <w:rsid w:val="00B45168"/>
    <w:rsid w:val="00B45689"/>
    <w:rsid w:val="00B45B99"/>
    <w:rsid w:val="00B45DCA"/>
    <w:rsid w:val="00B45DF6"/>
    <w:rsid w:val="00B46523"/>
    <w:rsid w:val="00B46744"/>
    <w:rsid w:val="00B47538"/>
    <w:rsid w:val="00B50042"/>
    <w:rsid w:val="00B50234"/>
    <w:rsid w:val="00B5093A"/>
    <w:rsid w:val="00B50D11"/>
    <w:rsid w:val="00B5119F"/>
    <w:rsid w:val="00B519A6"/>
    <w:rsid w:val="00B51F5A"/>
    <w:rsid w:val="00B5276E"/>
    <w:rsid w:val="00B532AA"/>
    <w:rsid w:val="00B53481"/>
    <w:rsid w:val="00B53DF4"/>
    <w:rsid w:val="00B53F9B"/>
    <w:rsid w:val="00B54129"/>
    <w:rsid w:val="00B5427E"/>
    <w:rsid w:val="00B5476E"/>
    <w:rsid w:val="00B55DE8"/>
    <w:rsid w:val="00B5652B"/>
    <w:rsid w:val="00B56CE0"/>
    <w:rsid w:val="00B571D9"/>
    <w:rsid w:val="00B57427"/>
    <w:rsid w:val="00B57543"/>
    <w:rsid w:val="00B57C15"/>
    <w:rsid w:val="00B60AAE"/>
    <w:rsid w:val="00B623DC"/>
    <w:rsid w:val="00B6252D"/>
    <w:rsid w:val="00B625AC"/>
    <w:rsid w:val="00B62962"/>
    <w:rsid w:val="00B62C28"/>
    <w:rsid w:val="00B64765"/>
    <w:rsid w:val="00B64FED"/>
    <w:rsid w:val="00B65650"/>
    <w:rsid w:val="00B65CB0"/>
    <w:rsid w:val="00B65FB6"/>
    <w:rsid w:val="00B6608C"/>
    <w:rsid w:val="00B66C6E"/>
    <w:rsid w:val="00B70948"/>
    <w:rsid w:val="00B71640"/>
    <w:rsid w:val="00B7167D"/>
    <w:rsid w:val="00B721D8"/>
    <w:rsid w:val="00B73C53"/>
    <w:rsid w:val="00B73E7D"/>
    <w:rsid w:val="00B74061"/>
    <w:rsid w:val="00B74355"/>
    <w:rsid w:val="00B743CE"/>
    <w:rsid w:val="00B74B55"/>
    <w:rsid w:val="00B74ECA"/>
    <w:rsid w:val="00B7567A"/>
    <w:rsid w:val="00B75AC2"/>
    <w:rsid w:val="00B75ADF"/>
    <w:rsid w:val="00B75E55"/>
    <w:rsid w:val="00B75F8A"/>
    <w:rsid w:val="00B764C7"/>
    <w:rsid w:val="00B76CFF"/>
    <w:rsid w:val="00B76E22"/>
    <w:rsid w:val="00B77C48"/>
    <w:rsid w:val="00B804C1"/>
    <w:rsid w:val="00B80732"/>
    <w:rsid w:val="00B80ADB"/>
    <w:rsid w:val="00B80AEC"/>
    <w:rsid w:val="00B80D57"/>
    <w:rsid w:val="00B81DA7"/>
    <w:rsid w:val="00B827F9"/>
    <w:rsid w:val="00B82A4E"/>
    <w:rsid w:val="00B82B25"/>
    <w:rsid w:val="00B82E6A"/>
    <w:rsid w:val="00B830A3"/>
    <w:rsid w:val="00B83B20"/>
    <w:rsid w:val="00B84328"/>
    <w:rsid w:val="00B84E79"/>
    <w:rsid w:val="00B85BC8"/>
    <w:rsid w:val="00B85E14"/>
    <w:rsid w:val="00B85FAD"/>
    <w:rsid w:val="00B86956"/>
    <w:rsid w:val="00B8717C"/>
    <w:rsid w:val="00B87508"/>
    <w:rsid w:val="00B90845"/>
    <w:rsid w:val="00B90EA9"/>
    <w:rsid w:val="00B91227"/>
    <w:rsid w:val="00B91664"/>
    <w:rsid w:val="00B921B5"/>
    <w:rsid w:val="00B92AEB"/>
    <w:rsid w:val="00B938D6"/>
    <w:rsid w:val="00B938DD"/>
    <w:rsid w:val="00B93980"/>
    <w:rsid w:val="00B93BC0"/>
    <w:rsid w:val="00B94451"/>
    <w:rsid w:val="00B94537"/>
    <w:rsid w:val="00B945DE"/>
    <w:rsid w:val="00B945F4"/>
    <w:rsid w:val="00B94B26"/>
    <w:rsid w:val="00B94C85"/>
    <w:rsid w:val="00B94DEC"/>
    <w:rsid w:val="00B9588A"/>
    <w:rsid w:val="00B95BCD"/>
    <w:rsid w:val="00B95BF7"/>
    <w:rsid w:val="00B95FA6"/>
    <w:rsid w:val="00B9618B"/>
    <w:rsid w:val="00B962E5"/>
    <w:rsid w:val="00B9641F"/>
    <w:rsid w:val="00B9658E"/>
    <w:rsid w:val="00B96BA0"/>
    <w:rsid w:val="00B97040"/>
    <w:rsid w:val="00B9715B"/>
    <w:rsid w:val="00B971FD"/>
    <w:rsid w:val="00B974E4"/>
    <w:rsid w:val="00B97638"/>
    <w:rsid w:val="00BA00AD"/>
    <w:rsid w:val="00BA0958"/>
    <w:rsid w:val="00BA0A88"/>
    <w:rsid w:val="00BA0BA2"/>
    <w:rsid w:val="00BA1285"/>
    <w:rsid w:val="00BA2582"/>
    <w:rsid w:val="00BA26A7"/>
    <w:rsid w:val="00BA29F3"/>
    <w:rsid w:val="00BA2ECE"/>
    <w:rsid w:val="00BA346B"/>
    <w:rsid w:val="00BA3B58"/>
    <w:rsid w:val="00BA3BA9"/>
    <w:rsid w:val="00BA3D8E"/>
    <w:rsid w:val="00BA4CB1"/>
    <w:rsid w:val="00BA5438"/>
    <w:rsid w:val="00BA5929"/>
    <w:rsid w:val="00BA5A79"/>
    <w:rsid w:val="00BA5D48"/>
    <w:rsid w:val="00BA60AE"/>
    <w:rsid w:val="00BA68C2"/>
    <w:rsid w:val="00BA6F56"/>
    <w:rsid w:val="00BA7416"/>
    <w:rsid w:val="00BB05AB"/>
    <w:rsid w:val="00BB1566"/>
    <w:rsid w:val="00BB1C2A"/>
    <w:rsid w:val="00BB1EE8"/>
    <w:rsid w:val="00BB26FA"/>
    <w:rsid w:val="00BB2A33"/>
    <w:rsid w:val="00BB2DE8"/>
    <w:rsid w:val="00BB2E1E"/>
    <w:rsid w:val="00BB31ED"/>
    <w:rsid w:val="00BB340B"/>
    <w:rsid w:val="00BB36DB"/>
    <w:rsid w:val="00BB3E17"/>
    <w:rsid w:val="00BB3EB9"/>
    <w:rsid w:val="00BB456F"/>
    <w:rsid w:val="00BB4591"/>
    <w:rsid w:val="00BB49A8"/>
    <w:rsid w:val="00BB5A4C"/>
    <w:rsid w:val="00BB5F90"/>
    <w:rsid w:val="00BB6229"/>
    <w:rsid w:val="00BB649B"/>
    <w:rsid w:val="00BB6A18"/>
    <w:rsid w:val="00BB6D17"/>
    <w:rsid w:val="00BB6F0A"/>
    <w:rsid w:val="00BC074F"/>
    <w:rsid w:val="00BC0CA9"/>
    <w:rsid w:val="00BC1320"/>
    <w:rsid w:val="00BC1444"/>
    <w:rsid w:val="00BC2CF7"/>
    <w:rsid w:val="00BC2EAE"/>
    <w:rsid w:val="00BC33CD"/>
    <w:rsid w:val="00BC44BC"/>
    <w:rsid w:val="00BC4D5D"/>
    <w:rsid w:val="00BC5714"/>
    <w:rsid w:val="00BC5861"/>
    <w:rsid w:val="00BC5C9A"/>
    <w:rsid w:val="00BC67A6"/>
    <w:rsid w:val="00BC68F6"/>
    <w:rsid w:val="00BC6CF8"/>
    <w:rsid w:val="00BC7D66"/>
    <w:rsid w:val="00BC7ECD"/>
    <w:rsid w:val="00BD0306"/>
    <w:rsid w:val="00BD034B"/>
    <w:rsid w:val="00BD0534"/>
    <w:rsid w:val="00BD09CC"/>
    <w:rsid w:val="00BD0F9D"/>
    <w:rsid w:val="00BD21CB"/>
    <w:rsid w:val="00BD258A"/>
    <w:rsid w:val="00BD3752"/>
    <w:rsid w:val="00BD4073"/>
    <w:rsid w:val="00BD446B"/>
    <w:rsid w:val="00BD4B99"/>
    <w:rsid w:val="00BD54FD"/>
    <w:rsid w:val="00BD5CA9"/>
    <w:rsid w:val="00BD5FCB"/>
    <w:rsid w:val="00BD72C8"/>
    <w:rsid w:val="00BD7E12"/>
    <w:rsid w:val="00BE0000"/>
    <w:rsid w:val="00BE01E3"/>
    <w:rsid w:val="00BE0607"/>
    <w:rsid w:val="00BE1329"/>
    <w:rsid w:val="00BE14F1"/>
    <w:rsid w:val="00BE19F3"/>
    <w:rsid w:val="00BE1BDC"/>
    <w:rsid w:val="00BE1C6D"/>
    <w:rsid w:val="00BE1D0C"/>
    <w:rsid w:val="00BE3684"/>
    <w:rsid w:val="00BE39BE"/>
    <w:rsid w:val="00BE3EC2"/>
    <w:rsid w:val="00BE6253"/>
    <w:rsid w:val="00BE695C"/>
    <w:rsid w:val="00BE6FDC"/>
    <w:rsid w:val="00BE7866"/>
    <w:rsid w:val="00BE7F4C"/>
    <w:rsid w:val="00BF05A3"/>
    <w:rsid w:val="00BF084F"/>
    <w:rsid w:val="00BF0EDC"/>
    <w:rsid w:val="00BF12FC"/>
    <w:rsid w:val="00BF25CF"/>
    <w:rsid w:val="00BF290B"/>
    <w:rsid w:val="00BF2A9C"/>
    <w:rsid w:val="00BF2C1F"/>
    <w:rsid w:val="00BF2CC9"/>
    <w:rsid w:val="00BF2EF4"/>
    <w:rsid w:val="00BF35B0"/>
    <w:rsid w:val="00BF36D7"/>
    <w:rsid w:val="00BF3EC3"/>
    <w:rsid w:val="00BF4D66"/>
    <w:rsid w:val="00BF522F"/>
    <w:rsid w:val="00BF5B65"/>
    <w:rsid w:val="00BF631C"/>
    <w:rsid w:val="00BF6D38"/>
    <w:rsid w:val="00BF7421"/>
    <w:rsid w:val="00C01C69"/>
    <w:rsid w:val="00C01D81"/>
    <w:rsid w:val="00C02B89"/>
    <w:rsid w:val="00C031BE"/>
    <w:rsid w:val="00C03435"/>
    <w:rsid w:val="00C035C6"/>
    <w:rsid w:val="00C0386F"/>
    <w:rsid w:val="00C03D60"/>
    <w:rsid w:val="00C03EAA"/>
    <w:rsid w:val="00C044C6"/>
    <w:rsid w:val="00C04695"/>
    <w:rsid w:val="00C04FF6"/>
    <w:rsid w:val="00C07F3E"/>
    <w:rsid w:val="00C11017"/>
    <w:rsid w:val="00C111D4"/>
    <w:rsid w:val="00C11B08"/>
    <w:rsid w:val="00C12284"/>
    <w:rsid w:val="00C124C7"/>
    <w:rsid w:val="00C12626"/>
    <w:rsid w:val="00C12DEB"/>
    <w:rsid w:val="00C13AC3"/>
    <w:rsid w:val="00C1427B"/>
    <w:rsid w:val="00C1466C"/>
    <w:rsid w:val="00C146AE"/>
    <w:rsid w:val="00C14BCD"/>
    <w:rsid w:val="00C14EC1"/>
    <w:rsid w:val="00C15833"/>
    <w:rsid w:val="00C16A1E"/>
    <w:rsid w:val="00C16DDB"/>
    <w:rsid w:val="00C170C4"/>
    <w:rsid w:val="00C174A2"/>
    <w:rsid w:val="00C17BC3"/>
    <w:rsid w:val="00C202A8"/>
    <w:rsid w:val="00C2063A"/>
    <w:rsid w:val="00C20C82"/>
    <w:rsid w:val="00C219FE"/>
    <w:rsid w:val="00C21F42"/>
    <w:rsid w:val="00C22441"/>
    <w:rsid w:val="00C227B4"/>
    <w:rsid w:val="00C22835"/>
    <w:rsid w:val="00C22A34"/>
    <w:rsid w:val="00C22B04"/>
    <w:rsid w:val="00C22F30"/>
    <w:rsid w:val="00C23515"/>
    <w:rsid w:val="00C23686"/>
    <w:rsid w:val="00C236C9"/>
    <w:rsid w:val="00C2397F"/>
    <w:rsid w:val="00C23FDC"/>
    <w:rsid w:val="00C24143"/>
    <w:rsid w:val="00C248D9"/>
    <w:rsid w:val="00C24964"/>
    <w:rsid w:val="00C24B56"/>
    <w:rsid w:val="00C24F25"/>
    <w:rsid w:val="00C251B0"/>
    <w:rsid w:val="00C2540E"/>
    <w:rsid w:val="00C258A2"/>
    <w:rsid w:val="00C260CD"/>
    <w:rsid w:val="00C26447"/>
    <w:rsid w:val="00C26664"/>
    <w:rsid w:val="00C271E0"/>
    <w:rsid w:val="00C301DD"/>
    <w:rsid w:val="00C304B3"/>
    <w:rsid w:val="00C31AD3"/>
    <w:rsid w:val="00C31CC7"/>
    <w:rsid w:val="00C32556"/>
    <w:rsid w:val="00C32F9C"/>
    <w:rsid w:val="00C332F6"/>
    <w:rsid w:val="00C33724"/>
    <w:rsid w:val="00C33AD0"/>
    <w:rsid w:val="00C33CA1"/>
    <w:rsid w:val="00C3494A"/>
    <w:rsid w:val="00C34BFC"/>
    <w:rsid w:val="00C34DEC"/>
    <w:rsid w:val="00C35890"/>
    <w:rsid w:val="00C35CD6"/>
    <w:rsid w:val="00C36973"/>
    <w:rsid w:val="00C36A95"/>
    <w:rsid w:val="00C3719C"/>
    <w:rsid w:val="00C371D3"/>
    <w:rsid w:val="00C374D8"/>
    <w:rsid w:val="00C377B2"/>
    <w:rsid w:val="00C401BD"/>
    <w:rsid w:val="00C405D8"/>
    <w:rsid w:val="00C41348"/>
    <w:rsid w:val="00C4145C"/>
    <w:rsid w:val="00C4336D"/>
    <w:rsid w:val="00C43423"/>
    <w:rsid w:val="00C44946"/>
    <w:rsid w:val="00C44D91"/>
    <w:rsid w:val="00C44FB5"/>
    <w:rsid w:val="00C45868"/>
    <w:rsid w:val="00C45B0F"/>
    <w:rsid w:val="00C46ECB"/>
    <w:rsid w:val="00C471AE"/>
    <w:rsid w:val="00C47B3E"/>
    <w:rsid w:val="00C47D47"/>
    <w:rsid w:val="00C47FB8"/>
    <w:rsid w:val="00C50837"/>
    <w:rsid w:val="00C510CE"/>
    <w:rsid w:val="00C51167"/>
    <w:rsid w:val="00C541F1"/>
    <w:rsid w:val="00C547EC"/>
    <w:rsid w:val="00C54800"/>
    <w:rsid w:val="00C55BE7"/>
    <w:rsid w:val="00C55F11"/>
    <w:rsid w:val="00C567C9"/>
    <w:rsid w:val="00C57635"/>
    <w:rsid w:val="00C600DE"/>
    <w:rsid w:val="00C60873"/>
    <w:rsid w:val="00C6111D"/>
    <w:rsid w:val="00C61309"/>
    <w:rsid w:val="00C6181C"/>
    <w:rsid w:val="00C62D20"/>
    <w:rsid w:val="00C6343C"/>
    <w:rsid w:val="00C64677"/>
    <w:rsid w:val="00C647E3"/>
    <w:rsid w:val="00C64976"/>
    <w:rsid w:val="00C64CF6"/>
    <w:rsid w:val="00C66019"/>
    <w:rsid w:val="00C66F66"/>
    <w:rsid w:val="00C70405"/>
    <w:rsid w:val="00C70B7C"/>
    <w:rsid w:val="00C70D26"/>
    <w:rsid w:val="00C71928"/>
    <w:rsid w:val="00C72CB1"/>
    <w:rsid w:val="00C734D6"/>
    <w:rsid w:val="00C73D05"/>
    <w:rsid w:val="00C74149"/>
    <w:rsid w:val="00C747E4"/>
    <w:rsid w:val="00C74DE3"/>
    <w:rsid w:val="00C7522A"/>
    <w:rsid w:val="00C75C24"/>
    <w:rsid w:val="00C75EF9"/>
    <w:rsid w:val="00C76B05"/>
    <w:rsid w:val="00C77099"/>
    <w:rsid w:val="00C77273"/>
    <w:rsid w:val="00C80280"/>
    <w:rsid w:val="00C80C96"/>
    <w:rsid w:val="00C82023"/>
    <w:rsid w:val="00C82502"/>
    <w:rsid w:val="00C83423"/>
    <w:rsid w:val="00C83475"/>
    <w:rsid w:val="00C83540"/>
    <w:rsid w:val="00C83731"/>
    <w:rsid w:val="00C8387D"/>
    <w:rsid w:val="00C83C3C"/>
    <w:rsid w:val="00C83FF7"/>
    <w:rsid w:val="00C846BB"/>
    <w:rsid w:val="00C85A38"/>
    <w:rsid w:val="00C85D7F"/>
    <w:rsid w:val="00C864A4"/>
    <w:rsid w:val="00C864A6"/>
    <w:rsid w:val="00C86A74"/>
    <w:rsid w:val="00C86C5A"/>
    <w:rsid w:val="00C87768"/>
    <w:rsid w:val="00C879A4"/>
    <w:rsid w:val="00C87F8E"/>
    <w:rsid w:val="00C9051D"/>
    <w:rsid w:val="00C90B3A"/>
    <w:rsid w:val="00C91A90"/>
    <w:rsid w:val="00C920EE"/>
    <w:rsid w:val="00C92527"/>
    <w:rsid w:val="00C92779"/>
    <w:rsid w:val="00C92FDF"/>
    <w:rsid w:val="00C93362"/>
    <w:rsid w:val="00C93382"/>
    <w:rsid w:val="00C9372E"/>
    <w:rsid w:val="00C9395F"/>
    <w:rsid w:val="00C94086"/>
    <w:rsid w:val="00C946FC"/>
    <w:rsid w:val="00C94B5F"/>
    <w:rsid w:val="00C96599"/>
    <w:rsid w:val="00C96886"/>
    <w:rsid w:val="00C96B4B"/>
    <w:rsid w:val="00C96F23"/>
    <w:rsid w:val="00C974EC"/>
    <w:rsid w:val="00C9757A"/>
    <w:rsid w:val="00CA0351"/>
    <w:rsid w:val="00CA03CC"/>
    <w:rsid w:val="00CA09CB"/>
    <w:rsid w:val="00CA0CA2"/>
    <w:rsid w:val="00CA0DD0"/>
    <w:rsid w:val="00CA1F60"/>
    <w:rsid w:val="00CA3375"/>
    <w:rsid w:val="00CA33CA"/>
    <w:rsid w:val="00CA380E"/>
    <w:rsid w:val="00CA47E4"/>
    <w:rsid w:val="00CA4C8E"/>
    <w:rsid w:val="00CA604C"/>
    <w:rsid w:val="00CA6EB3"/>
    <w:rsid w:val="00CA714C"/>
    <w:rsid w:val="00CA7CC8"/>
    <w:rsid w:val="00CA7E51"/>
    <w:rsid w:val="00CA7FBF"/>
    <w:rsid w:val="00CB06C6"/>
    <w:rsid w:val="00CB0A9D"/>
    <w:rsid w:val="00CB0B08"/>
    <w:rsid w:val="00CB0F1B"/>
    <w:rsid w:val="00CB130F"/>
    <w:rsid w:val="00CB1348"/>
    <w:rsid w:val="00CB1846"/>
    <w:rsid w:val="00CB1A37"/>
    <w:rsid w:val="00CB1D05"/>
    <w:rsid w:val="00CB2A3C"/>
    <w:rsid w:val="00CB3247"/>
    <w:rsid w:val="00CB32C2"/>
    <w:rsid w:val="00CB3E05"/>
    <w:rsid w:val="00CB41A0"/>
    <w:rsid w:val="00CB4224"/>
    <w:rsid w:val="00CB45CF"/>
    <w:rsid w:val="00CB470F"/>
    <w:rsid w:val="00CB486F"/>
    <w:rsid w:val="00CB4A8F"/>
    <w:rsid w:val="00CB4BA8"/>
    <w:rsid w:val="00CB4BED"/>
    <w:rsid w:val="00CB51CF"/>
    <w:rsid w:val="00CB5573"/>
    <w:rsid w:val="00CB5A15"/>
    <w:rsid w:val="00CB60C0"/>
    <w:rsid w:val="00CB74C3"/>
    <w:rsid w:val="00CB7952"/>
    <w:rsid w:val="00CB7A32"/>
    <w:rsid w:val="00CC00C5"/>
    <w:rsid w:val="00CC13B7"/>
    <w:rsid w:val="00CC190C"/>
    <w:rsid w:val="00CC1C3D"/>
    <w:rsid w:val="00CC23B5"/>
    <w:rsid w:val="00CC2E38"/>
    <w:rsid w:val="00CC2EAE"/>
    <w:rsid w:val="00CC3829"/>
    <w:rsid w:val="00CC38E9"/>
    <w:rsid w:val="00CC4134"/>
    <w:rsid w:val="00CC4C48"/>
    <w:rsid w:val="00CC4F0F"/>
    <w:rsid w:val="00CC6546"/>
    <w:rsid w:val="00CC6C8A"/>
    <w:rsid w:val="00CC70D2"/>
    <w:rsid w:val="00CC72D2"/>
    <w:rsid w:val="00CC77CA"/>
    <w:rsid w:val="00CC78D3"/>
    <w:rsid w:val="00CC78DB"/>
    <w:rsid w:val="00CC7C87"/>
    <w:rsid w:val="00CD00DE"/>
    <w:rsid w:val="00CD04ED"/>
    <w:rsid w:val="00CD0521"/>
    <w:rsid w:val="00CD0FA4"/>
    <w:rsid w:val="00CD17A5"/>
    <w:rsid w:val="00CD2A45"/>
    <w:rsid w:val="00CD3866"/>
    <w:rsid w:val="00CD3A5F"/>
    <w:rsid w:val="00CD3BF0"/>
    <w:rsid w:val="00CD3C27"/>
    <w:rsid w:val="00CD4953"/>
    <w:rsid w:val="00CD4FC0"/>
    <w:rsid w:val="00CD5330"/>
    <w:rsid w:val="00CD5529"/>
    <w:rsid w:val="00CD5716"/>
    <w:rsid w:val="00CD59B1"/>
    <w:rsid w:val="00CD5AA5"/>
    <w:rsid w:val="00CD5B27"/>
    <w:rsid w:val="00CD601F"/>
    <w:rsid w:val="00CD637B"/>
    <w:rsid w:val="00CD6601"/>
    <w:rsid w:val="00CD6989"/>
    <w:rsid w:val="00CD69A4"/>
    <w:rsid w:val="00CD6C06"/>
    <w:rsid w:val="00CD6DA0"/>
    <w:rsid w:val="00CD6F63"/>
    <w:rsid w:val="00CD705E"/>
    <w:rsid w:val="00CE0054"/>
    <w:rsid w:val="00CE0A24"/>
    <w:rsid w:val="00CE0F98"/>
    <w:rsid w:val="00CE112E"/>
    <w:rsid w:val="00CE12F6"/>
    <w:rsid w:val="00CE1C5F"/>
    <w:rsid w:val="00CE28EF"/>
    <w:rsid w:val="00CE36FD"/>
    <w:rsid w:val="00CE5239"/>
    <w:rsid w:val="00CE6225"/>
    <w:rsid w:val="00CE63DD"/>
    <w:rsid w:val="00CE6B29"/>
    <w:rsid w:val="00CE76A3"/>
    <w:rsid w:val="00CE7D35"/>
    <w:rsid w:val="00CF0298"/>
    <w:rsid w:val="00CF096F"/>
    <w:rsid w:val="00CF15C6"/>
    <w:rsid w:val="00CF183E"/>
    <w:rsid w:val="00CF1D5F"/>
    <w:rsid w:val="00CF23D4"/>
    <w:rsid w:val="00CF2675"/>
    <w:rsid w:val="00CF2935"/>
    <w:rsid w:val="00CF3299"/>
    <w:rsid w:val="00CF4FEB"/>
    <w:rsid w:val="00CF524A"/>
    <w:rsid w:val="00CF5558"/>
    <w:rsid w:val="00CF5644"/>
    <w:rsid w:val="00CF5B52"/>
    <w:rsid w:val="00CF5BEB"/>
    <w:rsid w:val="00CF5C5B"/>
    <w:rsid w:val="00CF69C1"/>
    <w:rsid w:val="00CF77FB"/>
    <w:rsid w:val="00CF78BD"/>
    <w:rsid w:val="00D018C2"/>
    <w:rsid w:val="00D019CC"/>
    <w:rsid w:val="00D01BE3"/>
    <w:rsid w:val="00D020DD"/>
    <w:rsid w:val="00D032FB"/>
    <w:rsid w:val="00D03372"/>
    <w:rsid w:val="00D03598"/>
    <w:rsid w:val="00D03D98"/>
    <w:rsid w:val="00D04098"/>
    <w:rsid w:val="00D05359"/>
    <w:rsid w:val="00D053CB"/>
    <w:rsid w:val="00D05506"/>
    <w:rsid w:val="00D05BBE"/>
    <w:rsid w:val="00D065EE"/>
    <w:rsid w:val="00D06AE9"/>
    <w:rsid w:val="00D06CAA"/>
    <w:rsid w:val="00D0714A"/>
    <w:rsid w:val="00D1082C"/>
    <w:rsid w:val="00D11C39"/>
    <w:rsid w:val="00D124AE"/>
    <w:rsid w:val="00D126AA"/>
    <w:rsid w:val="00D127A0"/>
    <w:rsid w:val="00D12BB2"/>
    <w:rsid w:val="00D142BA"/>
    <w:rsid w:val="00D14E79"/>
    <w:rsid w:val="00D14F95"/>
    <w:rsid w:val="00D15003"/>
    <w:rsid w:val="00D1523E"/>
    <w:rsid w:val="00D1562C"/>
    <w:rsid w:val="00D16489"/>
    <w:rsid w:val="00D16E51"/>
    <w:rsid w:val="00D16E6F"/>
    <w:rsid w:val="00D171C5"/>
    <w:rsid w:val="00D1789D"/>
    <w:rsid w:val="00D20377"/>
    <w:rsid w:val="00D20E02"/>
    <w:rsid w:val="00D20EE1"/>
    <w:rsid w:val="00D20F46"/>
    <w:rsid w:val="00D21AB5"/>
    <w:rsid w:val="00D22056"/>
    <w:rsid w:val="00D22310"/>
    <w:rsid w:val="00D22499"/>
    <w:rsid w:val="00D226D9"/>
    <w:rsid w:val="00D23D66"/>
    <w:rsid w:val="00D249FC"/>
    <w:rsid w:val="00D24F9F"/>
    <w:rsid w:val="00D24FE9"/>
    <w:rsid w:val="00D25444"/>
    <w:rsid w:val="00D25517"/>
    <w:rsid w:val="00D261F3"/>
    <w:rsid w:val="00D2694D"/>
    <w:rsid w:val="00D26D8E"/>
    <w:rsid w:val="00D26FC0"/>
    <w:rsid w:val="00D270B4"/>
    <w:rsid w:val="00D2744E"/>
    <w:rsid w:val="00D274D5"/>
    <w:rsid w:val="00D277F6"/>
    <w:rsid w:val="00D309BB"/>
    <w:rsid w:val="00D30E8E"/>
    <w:rsid w:val="00D31067"/>
    <w:rsid w:val="00D311F9"/>
    <w:rsid w:val="00D31C58"/>
    <w:rsid w:val="00D3201F"/>
    <w:rsid w:val="00D33AC9"/>
    <w:rsid w:val="00D33D2E"/>
    <w:rsid w:val="00D349F4"/>
    <w:rsid w:val="00D34DA9"/>
    <w:rsid w:val="00D35269"/>
    <w:rsid w:val="00D368D2"/>
    <w:rsid w:val="00D3724E"/>
    <w:rsid w:val="00D37303"/>
    <w:rsid w:val="00D3754F"/>
    <w:rsid w:val="00D37C77"/>
    <w:rsid w:val="00D40C36"/>
    <w:rsid w:val="00D40D60"/>
    <w:rsid w:val="00D40E72"/>
    <w:rsid w:val="00D40FED"/>
    <w:rsid w:val="00D4104C"/>
    <w:rsid w:val="00D4139B"/>
    <w:rsid w:val="00D41F05"/>
    <w:rsid w:val="00D42315"/>
    <w:rsid w:val="00D4245C"/>
    <w:rsid w:val="00D4284A"/>
    <w:rsid w:val="00D437F9"/>
    <w:rsid w:val="00D43871"/>
    <w:rsid w:val="00D439B9"/>
    <w:rsid w:val="00D43F5C"/>
    <w:rsid w:val="00D449E6"/>
    <w:rsid w:val="00D44E00"/>
    <w:rsid w:val="00D453A5"/>
    <w:rsid w:val="00D453A7"/>
    <w:rsid w:val="00D45A58"/>
    <w:rsid w:val="00D4689D"/>
    <w:rsid w:val="00D468E8"/>
    <w:rsid w:val="00D47101"/>
    <w:rsid w:val="00D50637"/>
    <w:rsid w:val="00D50691"/>
    <w:rsid w:val="00D50B46"/>
    <w:rsid w:val="00D511E1"/>
    <w:rsid w:val="00D51B69"/>
    <w:rsid w:val="00D51E8F"/>
    <w:rsid w:val="00D52213"/>
    <w:rsid w:val="00D530E3"/>
    <w:rsid w:val="00D5463B"/>
    <w:rsid w:val="00D54679"/>
    <w:rsid w:val="00D54D49"/>
    <w:rsid w:val="00D552A9"/>
    <w:rsid w:val="00D55AF2"/>
    <w:rsid w:val="00D56269"/>
    <w:rsid w:val="00D57353"/>
    <w:rsid w:val="00D57382"/>
    <w:rsid w:val="00D57455"/>
    <w:rsid w:val="00D5753E"/>
    <w:rsid w:val="00D579E7"/>
    <w:rsid w:val="00D60734"/>
    <w:rsid w:val="00D60DED"/>
    <w:rsid w:val="00D60E93"/>
    <w:rsid w:val="00D60EB2"/>
    <w:rsid w:val="00D6104E"/>
    <w:rsid w:val="00D61105"/>
    <w:rsid w:val="00D6188B"/>
    <w:rsid w:val="00D61F69"/>
    <w:rsid w:val="00D62101"/>
    <w:rsid w:val="00D625DB"/>
    <w:rsid w:val="00D62695"/>
    <w:rsid w:val="00D62789"/>
    <w:rsid w:val="00D628A9"/>
    <w:rsid w:val="00D62A3A"/>
    <w:rsid w:val="00D62E2D"/>
    <w:rsid w:val="00D6341D"/>
    <w:rsid w:val="00D63E8B"/>
    <w:rsid w:val="00D63ED5"/>
    <w:rsid w:val="00D63FD4"/>
    <w:rsid w:val="00D64C11"/>
    <w:rsid w:val="00D654D6"/>
    <w:rsid w:val="00D661E6"/>
    <w:rsid w:val="00D6656D"/>
    <w:rsid w:val="00D669F7"/>
    <w:rsid w:val="00D67BF0"/>
    <w:rsid w:val="00D70970"/>
    <w:rsid w:val="00D70B71"/>
    <w:rsid w:val="00D710D6"/>
    <w:rsid w:val="00D7122B"/>
    <w:rsid w:val="00D7136F"/>
    <w:rsid w:val="00D71560"/>
    <w:rsid w:val="00D71865"/>
    <w:rsid w:val="00D71874"/>
    <w:rsid w:val="00D719F0"/>
    <w:rsid w:val="00D71B02"/>
    <w:rsid w:val="00D7236A"/>
    <w:rsid w:val="00D725AB"/>
    <w:rsid w:val="00D72D02"/>
    <w:rsid w:val="00D732F4"/>
    <w:rsid w:val="00D733B7"/>
    <w:rsid w:val="00D73CE2"/>
    <w:rsid w:val="00D73E89"/>
    <w:rsid w:val="00D740A6"/>
    <w:rsid w:val="00D74125"/>
    <w:rsid w:val="00D742E3"/>
    <w:rsid w:val="00D74F94"/>
    <w:rsid w:val="00D75627"/>
    <w:rsid w:val="00D756F8"/>
    <w:rsid w:val="00D75C25"/>
    <w:rsid w:val="00D764CF"/>
    <w:rsid w:val="00D765CE"/>
    <w:rsid w:val="00D7703B"/>
    <w:rsid w:val="00D77100"/>
    <w:rsid w:val="00D77144"/>
    <w:rsid w:val="00D77517"/>
    <w:rsid w:val="00D7770D"/>
    <w:rsid w:val="00D77895"/>
    <w:rsid w:val="00D804F4"/>
    <w:rsid w:val="00D808C6"/>
    <w:rsid w:val="00D809E9"/>
    <w:rsid w:val="00D80EF5"/>
    <w:rsid w:val="00D813EF"/>
    <w:rsid w:val="00D814C4"/>
    <w:rsid w:val="00D8158E"/>
    <w:rsid w:val="00D8194C"/>
    <w:rsid w:val="00D828C4"/>
    <w:rsid w:val="00D82F56"/>
    <w:rsid w:val="00D8316F"/>
    <w:rsid w:val="00D837EF"/>
    <w:rsid w:val="00D83EA4"/>
    <w:rsid w:val="00D84A4E"/>
    <w:rsid w:val="00D84C10"/>
    <w:rsid w:val="00D84C26"/>
    <w:rsid w:val="00D84CDE"/>
    <w:rsid w:val="00D8548E"/>
    <w:rsid w:val="00D8549B"/>
    <w:rsid w:val="00D85C2C"/>
    <w:rsid w:val="00D861E3"/>
    <w:rsid w:val="00D86427"/>
    <w:rsid w:val="00D86682"/>
    <w:rsid w:val="00D87405"/>
    <w:rsid w:val="00D87414"/>
    <w:rsid w:val="00D90108"/>
    <w:rsid w:val="00D9052B"/>
    <w:rsid w:val="00D905F3"/>
    <w:rsid w:val="00D90768"/>
    <w:rsid w:val="00D90FB1"/>
    <w:rsid w:val="00D912D1"/>
    <w:rsid w:val="00D91564"/>
    <w:rsid w:val="00D91C9B"/>
    <w:rsid w:val="00D91FD0"/>
    <w:rsid w:val="00D91FD6"/>
    <w:rsid w:val="00D921BD"/>
    <w:rsid w:val="00D92E9C"/>
    <w:rsid w:val="00D930D5"/>
    <w:rsid w:val="00D93320"/>
    <w:rsid w:val="00D9341E"/>
    <w:rsid w:val="00D93805"/>
    <w:rsid w:val="00D93992"/>
    <w:rsid w:val="00D94C05"/>
    <w:rsid w:val="00D94CB8"/>
    <w:rsid w:val="00D9626A"/>
    <w:rsid w:val="00D9662C"/>
    <w:rsid w:val="00D968F9"/>
    <w:rsid w:val="00D971C9"/>
    <w:rsid w:val="00D9727B"/>
    <w:rsid w:val="00DA043E"/>
    <w:rsid w:val="00DA0941"/>
    <w:rsid w:val="00DA1420"/>
    <w:rsid w:val="00DA1A94"/>
    <w:rsid w:val="00DA2624"/>
    <w:rsid w:val="00DA2692"/>
    <w:rsid w:val="00DA3504"/>
    <w:rsid w:val="00DA35A6"/>
    <w:rsid w:val="00DA35E0"/>
    <w:rsid w:val="00DA35E8"/>
    <w:rsid w:val="00DA3BC5"/>
    <w:rsid w:val="00DA49BD"/>
    <w:rsid w:val="00DA4E12"/>
    <w:rsid w:val="00DA5BEF"/>
    <w:rsid w:val="00DA5C3B"/>
    <w:rsid w:val="00DA6021"/>
    <w:rsid w:val="00DA7294"/>
    <w:rsid w:val="00DB064E"/>
    <w:rsid w:val="00DB0933"/>
    <w:rsid w:val="00DB19B9"/>
    <w:rsid w:val="00DB2937"/>
    <w:rsid w:val="00DB348B"/>
    <w:rsid w:val="00DB3618"/>
    <w:rsid w:val="00DB3993"/>
    <w:rsid w:val="00DB3D6E"/>
    <w:rsid w:val="00DB413E"/>
    <w:rsid w:val="00DB4642"/>
    <w:rsid w:val="00DB4C14"/>
    <w:rsid w:val="00DB4E52"/>
    <w:rsid w:val="00DB4EC2"/>
    <w:rsid w:val="00DB7CBA"/>
    <w:rsid w:val="00DC0537"/>
    <w:rsid w:val="00DC05B4"/>
    <w:rsid w:val="00DC0A1C"/>
    <w:rsid w:val="00DC0ABC"/>
    <w:rsid w:val="00DC129A"/>
    <w:rsid w:val="00DC12A5"/>
    <w:rsid w:val="00DC1E3D"/>
    <w:rsid w:val="00DC210D"/>
    <w:rsid w:val="00DC24B7"/>
    <w:rsid w:val="00DC2F6F"/>
    <w:rsid w:val="00DC33C7"/>
    <w:rsid w:val="00DC4C83"/>
    <w:rsid w:val="00DC5349"/>
    <w:rsid w:val="00DC6201"/>
    <w:rsid w:val="00DC64A2"/>
    <w:rsid w:val="00DC6811"/>
    <w:rsid w:val="00DC68B5"/>
    <w:rsid w:val="00DC6F02"/>
    <w:rsid w:val="00DC6FDF"/>
    <w:rsid w:val="00DC7011"/>
    <w:rsid w:val="00DC7B97"/>
    <w:rsid w:val="00DD0B14"/>
    <w:rsid w:val="00DD0E7A"/>
    <w:rsid w:val="00DD1A62"/>
    <w:rsid w:val="00DD2912"/>
    <w:rsid w:val="00DD2EAF"/>
    <w:rsid w:val="00DD37A3"/>
    <w:rsid w:val="00DD4BBD"/>
    <w:rsid w:val="00DD5321"/>
    <w:rsid w:val="00DD59DD"/>
    <w:rsid w:val="00DD5BA4"/>
    <w:rsid w:val="00DD5D6C"/>
    <w:rsid w:val="00DD5EC6"/>
    <w:rsid w:val="00DD663B"/>
    <w:rsid w:val="00DD6A1B"/>
    <w:rsid w:val="00DD6E2C"/>
    <w:rsid w:val="00DD75DD"/>
    <w:rsid w:val="00DD788E"/>
    <w:rsid w:val="00DD7968"/>
    <w:rsid w:val="00DE072E"/>
    <w:rsid w:val="00DE08B8"/>
    <w:rsid w:val="00DE1200"/>
    <w:rsid w:val="00DE1E2A"/>
    <w:rsid w:val="00DE1E4E"/>
    <w:rsid w:val="00DE2176"/>
    <w:rsid w:val="00DE2CAA"/>
    <w:rsid w:val="00DE2E91"/>
    <w:rsid w:val="00DE3385"/>
    <w:rsid w:val="00DE4120"/>
    <w:rsid w:val="00DE4808"/>
    <w:rsid w:val="00DE4A04"/>
    <w:rsid w:val="00DE4AB7"/>
    <w:rsid w:val="00DE4C78"/>
    <w:rsid w:val="00DE4EE0"/>
    <w:rsid w:val="00DE562E"/>
    <w:rsid w:val="00DE5F55"/>
    <w:rsid w:val="00DE61C6"/>
    <w:rsid w:val="00DE6B21"/>
    <w:rsid w:val="00DE7997"/>
    <w:rsid w:val="00DE7B97"/>
    <w:rsid w:val="00DF03B6"/>
    <w:rsid w:val="00DF03FE"/>
    <w:rsid w:val="00DF0854"/>
    <w:rsid w:val="00DF2173"/>
    <w:rsid w:val="00DF2370"/>
    <w:rsid w:val="00DF267D"/>
    <w:rsid w:val="00DF26D8"/>
    <w:rsid w:val="00DF2E52"/>
    <w:rsid w:val="00DF389F"/>
    <w:rsid w:val="00DF3F8D"/>
    <w:rsid w:val="00DF4151"/>
    <w:rsid w:val="00DF4EA8"/>
    <w:rsid w:val="00DF5DA8"/>
    <w:rsid w:val="00DF5E7C"/>
    <w:rsid w:val="00DF6075"/>
    <w:rsid w:val="00DF6A79"/>
    <w:rsid w:val="00DF6FBA"/>
    <w:rsid w:val="00DF7A7D"/>
    <w:rsid w:val="00DF7A86"/>
    <w:rsid w:val="00DF7CC8"/>
    <w:rsid w:val="00E0125C"/>
    <w:rsid w:val="00E01335"/>
    <w:rsid w:val="00E01733"/>
    <w:rsid w:val="00E022EC"/>
    <w:rsid w:val="00E02632"/>
    <w:rsid w:val="00E02CAC"/>
    <w:rsid w:val="00E02ECD"/>
    <w:rsid w:val="00E039A9"/>
    <w:rsid w:val="00E03BCE"/>
    <w:rsid w:val="00E0416F"/>
    <w:rsid w:val="00E043B9"/>
    <w:rsid w:val="00E04DD5"/>
    <w:rsid w:val="00E05EBF"/>
    <w:rsid w:val="00E0698A"/>
    <w:rsid w:val="00E069A5"/>
    <w:rsid w:val="00E069BD"/>
    <w:rsid w:val="00E06DCA"/>
    <w:rsid w:val="00E073F3"/>
    <w:rsid w:val="00E07439"/>
    <w:rsid w:val="00E07A9B"/>
    <w:rsid w:val="00E07DB5"/>
    <w:rsid w:val="00E07F18"/>
    <w:rsid w:val="00E102B6"/>
    <w:rsid w:val="00E103DD"/>
    <w:rsid w:val="00E1108C"/>
    <w:rsid w:val="00E1121F"/>
    <w:rsid w:val="00E117B4"/>
    <w:rsid w:val="00E1250D"/>
    <w:rsid w:val="00E12558"/>
    <w:rsid w:val="00E13109"/>
    <w:rsid w:val="00E13579"/>
    <w:rsid w:val="00E1359D"/>
    <w:rsid w:val="00E13D35"/>
    <w:rsid w:val="00E13FC3"/>
    <w:rsid w:val="00E141BF"/>
    <w:rsid w:val="00E14725"/>
    <w:rsid w:val="00E148B9"/>
    <w:rsid w:val="00E151B8"/>
    <w:rsid w:val="00E15470"/>
    <w:rsid w:val="00E15ADA"/>
    <w:rsid w:val="00E17E78"/>
    <w:rsid w:val="00E17EAD"/>
    <w:rsid w:val="00E200B2"/>
    <w:rsid w:val="00E20434"/>
    <w:rsid w:val="00E20675"/>
    <w:rsid w:val="00E207E2"/>
    <w:rsid w:val="00E20CE2"/>
    <w:rsid w:val="00E20F9F"/>
    <w:rsid w:val="00E20FBA"/>
    <w:rsid w:val="00E210FE"/>
    <w:rsid w:val="00E22062"/>
    <w:rsid w:val="00E2223B"/>
    <w:rsid w:val="00E2393A"/>
    <w:rsid w:val="00E247CD"/>
    <w:rsid w:val="00E24931"/>
    <w:rsid w:val="00E24C21"/>
    <w:rsid w:val="00E24CDF"/>
    <w:rsid w:val="00E2520A"/>
    <w:rsid w:val="00E25AC5"/>
    <w:rsid w:val="00E25D36"/>
    <w:rsid w:val="00E25F80"/>
    <w:rsid w:val="00E26219"/>
    <w:rsid w:val="00E26933"/>
    <w:rsid w:val="00E26AB2"/>
    <w:rsid w:val="00E27002"/>
    <w:rsid w:val="00E27E74"/>
    <w:rsid w:val="00E30096"/>
    <w:rsid w:val="00E30950"/>
    <w:rsid w:val="00E31404"/>
    <w:rsid w:val="00E3181A"/>
    <w:rsid w:val="00E3232F"/>
    <w:rsid w:val="00E34268"/>
    <w:rsid w:val="00E34594"/>
    <w:rsid w:val="00E34789"/>
    <w:rsid w:val="00E34B2F"/>
    <w:rsid w:val="00E34C26"/>
    <w:rsid w:val="00E35577"/>
    <w:rsid w:val="00E35AAD"/>
    <w:rsid w:val="00E36C3E"/>
    <w:rsid w:val="00E371A7"/>
    <w:rsid w:val="00E37311"/>
    <w:rsid w:val="00E40431"/>
    <w:rsid w:val="00E40AC0"/>
    <w:rsid w:val="00E40DCF"/>
    <w:rsid w:val="00E40EBB"/>
    <w:rsid w:val="00E411DF"/>
    <w:rsid w:val="00E41718"/>
    <w:rsid w:val="00E41C86"/>
    <w:rsid w:val="00E41DC0"/>
    <w:rsid w:val="00E42370"/>
    <w:rsid w:val="00E42D9A"/>
    <w:rsid w:val="00E43E1E"/>
    <w:rsid w:val="00E44033"/>
    <w:rsid w:val="00E44C8A"/>
    <w:rsid w:val="00E4663C"/>
    <w:rsid w:val="00E46D9A"/>
    <w:rsid w:val="00E4764F"/>
    <w:rsid w:val="00E50431"/>
    <w:rsid w:val="00E504C7"/>
    <w:rsid w:val="00E50B0E"/>
    <w:rsid w:val="00E50C03"/>
    <w:rsid w:val="00E50F9C"/>
    <w:rsid w:val="00E51E08"/>
    <w:rsid w:val="00E52361"/>
    <w:rsid w:val="00E5286F"/>
    <w:rsid w:val="00E52C1B"/>
    <w:rsid w:val="00E52C8A"/>
    <w:rsid w:val="00E52CEE"/>
    <w:rsid w:val="00E5459C"/>
    <w:rsid w:val="00E545E0"/>
    <w:rsid w:val="00E5467B"/>
    <w:rsid w:val="00E55253"/>
    <w:rsid w:val="00E554FD"/>
    <w:rsid w:val="00E557DB"/>
    <w:rsid w:val="00E55B7E"/>
    <w:rsid w:val="00E55DDB"/>
    <w:rsid w:val="00E561BA"/>
    <w:rsid w:val="00E562C5"/>
    <w:rsid w:val="00E5684D"/>
    <w:rsid w:val="00E56A67"/>
    <w:rsid w:val="00E60A83"/>
    <w:rsid w:val="00E611D9"/>
    <w:rsid w:val="00E622D7"/>
    <w:rsid w:val="00E62A65"/>
    <w:rsid w:val="00E6312F"/>
    <w:rsid w:val="00E632A4"/>
    <w:rsid w:val="00E636A7"/>
    <w:rsid w:val="00E637A5"/>
    <w:rsid w:val="00E63866"/>
    <w:rsid w:val="00E63F18"/>
    <w:rsid w:val="00E64551"/>
    <w:rsid w:val="00E6501C"/>
    <w:rsid w:val="00E656AE"/>
    <w:rsid w:val="00E66053"/>
    <w:rsid w:val="00E66B2D"/>
    <w:rsid w:val="00E6722B"/>
    <w:rsid w:val="00E67892"/>
    <w:rsid w:val="00E679C0"/>
    <w:rsid w:val="00E67B79"/>
    <w:rsid w:val="00E7150F"/>
    <w:rsid w:val="00E719ED"/>
    <w:rsid w:val="00E71B36"/>
    <w:rsid w:val="00E72C89"/>
    <w:rsid w:val="00E72C8A"/>
    <w:rsid w:val="00E734D5"/>
    <w:rsid w:val="00E739E1"/>
    <w:rsid w:val="00E739FE"/>
    <w:rsid w:val="00E74DF6"/>
    <w:rsid w:val="00E74F2D"/>
    <w:rsid w:val="00E7504A"/>
    <w:rsid w:val="00E75905"/>
    <w:rsid w:val="00E75DF7"/>
    <w:rsid w:val="00E764F4"/>
    <w:rsid w:val="00E76B9D"/>
    <w:rsid w:val="00E774FE"/>
    <w:rsid w:val="00E7799E"/>
    <w:rsid w:val="00E77D9A"/>
    <w:rsid w:val="00E77E47"/>
    <w:rsid w:val="00E806CA"/>
    <w:rsid w:val="00E80E19"/>
    <w:rsid w:val="00E8159F"/>
    <w:rsid w:val="00E81B5D"/>
    <w:rsid w:val="00E81E2F"/>
    <w:rsid w:val="00E8207F"/>
    <w:rsid w:val="00E82682"/>
    <w:rsid w:val="00E83256"/>
    <w:rsid w:val="00E83312"/>
    <w:rsid w:val="00E8338A"/>
    <w:rsid w:val="00E8354F"/>
    <w:rsid w:val="00E835F6"/>
    <w:rsid w:val="00E836D9"/>
    <w:rsid w:val="00E83A4D"/>
    <w:rsid w:val="00E83B08"/>
    <w:rsid w:val="00E83C81"/>
    <w:rsid w:val="00E84A02"/>
    <w:rsid w:val="00E84B14"/>
    <w:rsid w:val="00E84D03"/>
    <w:rsid w:val="00E853AA"/>
    <w:rsid w:val="00E853D4"/>
    <w:rsid w:val="00E85476"/>
    <w:rsid w:val="00E85AEE"/>
    <w:rsid w:val="00E86199"/>
    <w:rsid w:val="00E863D1"/>
    <w:rsid w:val="00E8658D"/>
    <w:rsid w:val="00E86768"/>
    <w:rsid w:val="00E86E40"/>
    <w:rsid w:val="00E87124"/>
    <w:rsid w:val="00E87664"/>
    <w:rsid w:val="00E87987"/>
    <w:rsid w:val="00E901D2"/>
    <w:rsid w:val="00E91011"/>
    <w:rsid w:val="00E91BFC"/>
    <w:rsid w:val="00E91CC3"/>
    <w:rsid w:val="00E91D61"/>
    <w:rsid w:val="00E91E9C"/>
    <w:rsid w:val="00E92475"/>
    <w:rsid w:val="00E92DDA"/>
    <w:rsid w:val="00E92F38"/>
    <w:rsid w:val="00E93505"/>
    <w:rsid w:val="00E938F4"/>
    <w:rsid w:val="00E944F6"/>
    <w:rsid w:val="00E9465C"/>
    <w:rsid w:val="00E94D09"/>
    <w:rsid w:val="00E94DC4"/>
    <w:rsid w:val="00E94EA1"/>
    <w:rsid w:val="00E95407"/>
    <w:rsid w:val="00E95B2E"/>
    <w:rsid w:val="00E95DAD"/>
    <w:rsid w:val="00E95F50"/>
    <w:rsid w:val="00E96CEE"/>
    <w:rsid w:val="00E96E14"/>
    <w:rsid w:val="00E975F2"/>
    <w:rsid w:val="00E979AC"/>
    <w:rsid w:val="00EA1225"/>
    <w:rsid w:val="00EA1967"/>
    <w:rsid w:val="00EA19E2"/>
    <w:rsid w:val="00EA1E38"/>
    <w:rsid w:val="00EA2366"/>
    <w:rsid w:val="00EA2DEF"/>
    <w:rsid w:val="00EA4100"/>
    <w:rsid w:val="00EA50B5"/>
    <w:rsid w:val="00EA55DF"/>
    <w:rsid w:val="00EA6D10"/>
    <w:rsid w:val="00EA718C"/>
    <w:rsid w:val="00EA7298"/>
    <w:rsid w:val="00EA7CBD"/>
    <w:rsid w:val="00EA7E0A"/>
    <w:rsid w:val="00EB0686"/>
    <w:rsid w:val="00EB16FB"/>
    <w:rsid w:val="00EB18DC"/>
    <w:rsid w:val="00EB18E6"/>
    <w:rsid w:val="00EB2973"/>
    <w:rsid w:val="00EB3576"/>
    <w:rsid w:val="00EB4280"/>
    <w:rsid w:val="00EB42EF"/>
    <w:rsid w:val="00EB438B"/>
    <w:rsid w:val="00EB442C"/>
    <w:rsid w:val="00EB46F3"/>
    <w:rsid w:val="00EB46FF"/>
    <w:rsid w:val="00EB4B44"/>
    <w:rsid w:val="00EB4C7E"/>
    <w:rsid w:val="00EB545E"/>
    <w:rsid w:val="00EB59C8"/>
    <w:rsid w:val="00EB61C4"/>
    <w:rsid w:val="00EB6748"/>
    <w:rsid w:val="00EB6AA4"/>
    <w:rsid w:val="00EB731A"/>
    <w:rsid w:val="00EB7D0F"/>
    <w:rsid w:val="00EC047B"/>
    <w:rsid w:val="00EC08A9"/>
    <w:rsid w:val="00EC0DA8"/>
    <w:rsid w:val="00EC100C"/>
    <w:rsid w:val="00EC12CF"/>
    <w:rsid w:val="00EC13B0"/>
    <w:rsid w:val="00EC16A5"/>
    <w:rsid w:val="00EC1DD4"/>
    <w:rsid w:val="00EC2412"/>
    <w:rsid w:val="00EC253C"/>
    <w:rsid w:val="00EC2893"/>
    <w:rsid w:val="00EC29F8"/>
    <w:rsid w:val="00EC33D6"/>
    <w:rsid w:val="00EC3EA5"/>
    <w:rsid w:val="00EC5AD7"/>
    <w:rsid w:val="00EC7506"/>
    <w:rsid w:val="00EC7C93"/>
    <w:rsid w:val="00EC7D60"/>
    <w:rsid w:val="00ED014F"/>
    <w:rsid w:val="00ED01A0"/>
    <w:rsid w:val="00ED0461"/>
    <w:rsid w:val="00ED0A0E"/>
    <w:rsid w:val="00ED1592"/>
    <w:rsid w:val="00ED1C14"/>
    <w:rsid w:val="00ED1F2D"/>
    <w:rsid w:val="00ED22ED"/>
    <w:rsid w:val="00ED3052"/>
    <w:rsid w:val="00ED30C5"/>
    <w:rsid w:val="00ED339C"/>
    <w:rsid w:val="00ED459B"/>
    <w:rsid w:val="00ED4806"/>
    <w:rsid w:val="00ED4814"/>
    <w:rsid w:val="00ED4BAB"/>
    <w:rsid w:val="00ED4DD5"/>
    <w:rsid w:val="00ED5826"/>
    <w:rsid w:val="00ED59E9"/>
    <w:rsid w:val="00ED61B6"/>
    <w:rsid w:val="00ED630B"/>
    <w:rsid w:val="00ED676B"/>
    <w:rsid w:val="00ED6BEB"/>
    <w:rsid w:val="00ED6F1D"/>
    <w:rsid w:val="00ED7496"/>
    <w:rsid w:val="00EE08E6"/>
    <w:rsid w:val="00EE0B20"/>
    <w:rsid w:val="00EE1347"/>
    <w:rsid w:val="00EE192B"/>
    <w:rsid w:val="00EE19A0"/>
    <w:rsid w:val="00EE1BC5"/>
    <w:rsid w:val="00EE278F"/>
    <w:rsid w:val="00EE2AAA"/>
    <w:rsid w:val="00EE2DA5"/>
    <w:rsid w:val="00EE5013"/>
    <w:rsid w:val="00EE52E1"/>
    <w:rsid w:val="00EE5A83"/>
    <w:rsid w:val="00EE67D9"/>
    <w:rsid w:val="00EE6CFC"/>
    <w:rsid w:val="00EE6EB4"/>
    <w:rsid w:val="00EE7250"/>
    <w:rsid w:val="00EE7654"/>
    <w:rsid w:val="00EE7ABC"/>
    <w:rsid w:val="00EE7BB6"/>
    <w:rsid w:val="00EF02C9"/>
    <w:rsid w:val="00EF052E"/>
    <w:rsid w:val="00EF0DBB"/>
    <w:rsid w:val="00EF0E59"/>
    <w:rsid w:val="00EF132E"/>
    <w:rsid w:val="00EF1A5F"/>
    <w:rsid w:val="00EF1C03"/>
    <w:rsid w:val="00EF1E37"/>
    <w:rsid w:val="00EF30FF"/>
    <w:rsid w:val="00EF3723"/>
    <w:rsid w:val="00EF41EF"/>
    <w:rsid w:val="00EF4CF5"/>
    <w:rsid w:val="00EF4F82"/>
    <w:rsid w:val="00EF566F"/>
    <w:rsid w:val="00EF5865"/>
    <w:rsid w:val="00EF60A8"/>
    <w:rsid w:val="00EF612A"/>
    <w:rsid w:val="00EF6269"/>
    <w:rsid w:val="00EF6989"/>
    <w:rsid w:val="00EF6A88"/>
    <w:rsid w:val="00EF6FE2"/>
    <w:rsid w:val="00EF7658"/>
    <w:rsid w:val="00EF7E67"/>
    <w:rsid w:val="00F005B9"/>
    <w:rsid w:val="00F00CEB"/>
    <w:rsid w:val="00F017D0"/>
    <w:rsid w:val="00F017D5"/>
    <w:rsid w:val="00F0228F"/>
    <w:rsid w:val="00F023A9"/>
    <w:rsid w:val="00F03082"/>
    <w:rsid w:val="00F03279"/>
    <w:rsid w:val="00F04587"/>
    <w:rsid w:val="00F04B33"/>
    <w:rsid w:val="00F04B91"/>
    <w:rsid w:val="00F04F71"/>
    <w:rsid w:val="00F05598"/>
    <w:rsid w:val="00F05E19"/>
    <w:rsid w:val="00F05E9B"/>
    <w:rsid w:val="00F05FE7"/>
    <w:rsid w:val="00F0652B"/>
    <w:rsid w:val="00F0679C"/>
    <w:rsid w:val="00F06B8E"/>
    <w:rsid w:val="00F06C0F"/>
    <w:rsid w:val="00F06C51"/>
    <w:rsid w:val="00F06F67"/>
    <w:rsid w:val="00F07321"/>
    <w:rsid w:val="00F10609"/>
    <w:rsid w:val="00F10736"/>
    <w:rsid w:val="00F108B2"/>
    <w:rsid w:val="00F1170A"/>
    <w:rsid w:val="00F12700"/>
    <w:rsid w:val="00F12DB3"/>
    <w:rsid w:val="00F1328B"/>
    <w:rsid w:val="00F1382D"/>
    <w:rsid w:val="00F13E5B"/>
    <w:rsid w:val="00F145D0"/>
    <w:rsid w:val="00F1472C"/>
    <w:rsid w:val="00F1476E"/>
    <w:rsid w:val="00F149F6"/>
    <w:rsid w:val="00F14E06"/>
    <w:rsid w:val="00F156DB"/>
    <w:rsid w:val="00F15C48"/>
    <w:rsid w:val="00F15D2F"/>
    <w:rsid w:val="00F163D3"/>
    <w:rsid w:val="00F17A74"/>
    <w:rsid w:val="00F17C1D"/>
    <w:rsid w:val="00F17D12"/>
    <w:rsid w:val="00F201BD"/>
    <w:rsid w:val="00F20BE9"/>
    <w:rsid w:val="00F21356"/>
    <w:rsid w:val="00F21692"/>
    <w:rsid w:val="00F21701"/>
    <w:rsid w:val="00F21FD0"/>
    <w:rsid w:val="00F226FF"/>
    <w:rsid w:val="00F22817"/>
    <w:rsid w:val="00F22AC4"/>
    <w:rsid w:val="00F23394"/>
    <w:rsid w:val="00F2359E"/>
    <w:rsid w:val="00F2487B"/>
    <w:rsid w:val="00F252C5"/>
    <w:rsid w:val="00F25410"/>
    <w:rsid w:val="00F25767"/>
    <w:rsid w:val="00F258BE"/>
    <w:rsid w:val="00F259AC"/>
    <w:rsid w:val="00F264C8"/>
    <w:rsid w:val="00F267D5"/>
    <w:rsid w:val="00F269A9"/>
    <w:rsid w:val="00F271FD"/>
    <w:rsid w:val="00F2767A"/>
    <w:rsid w:val="00F27B18"/>
    <w:rsid w:val="00F27D5A"/>
    <w:rsid w:val="00F30111"/>
    <w:rsid w:val="00F3033D"/>
    <w:rsid w:val="00F3050E"/>
    <w:rsid w:val="00F31471"/>
    <w:rsid w:val="00F31604"/>
    <w:rsid w:val="00F31863"/>
    <w:rsid w:val="00F31EA7"/>
    <w:rsid w:val="00F31EE0"/>
    <w:rsid w:val="00F31F10"/>
    <w:rsid w:val="00F32188"/>
    <w:rsid w:val="00F32201"/>
    <w:rsid w:val="00F323CC"/>
    <w:rsid w:val="00F32668"/>
    <w:rsid w:val="00F32671"/>
    <w:rsid w:val="00F327A0"/>
    <w:rsid w:val="00F32A9F"/>
    <w:rsid w:val="00F32AC2"/>
    <w:rsid w:val="00F32B1E"/>
    <w:rsid w:val="00F333A5"/>
    <w:rsid w:val="00F33521"/>
    <w:rsid w:val="00F33DDD"/>
    <w:rsid w:val="00F345D4"/>
    <w:rsid w:val="00F347D5"/>
    <w:rsid w:val="00F3488F"/>
    <w:rsid w:val="00F348B0"/>
    <w:rsid w:val="00F35268"/>
    <w:rsid w:val="00F358C9"/>
    <w:rsid w:val="00F35D92"/>
    <w:rsid w:val="00F36D61"/>
    <w:rsid w:val="00F36F7D"/>
    <w:rsid w:val="00F37FEC"/>
    <w:rsid w:val="00F4021E"/>
    <w:rsid w:val="00F4047F"/>
    <w:rsid w:val="00F40745"/>
    <w:rsid w:val="00F40B47"/>
    <w:rsid w:val="00F41F3A"/>
    <w:rsid w:val="00F421A4"/>
    <w:rsid w:val="00F43F8A"/>
    <w:rsid w:val="00F441C5"/>
    <w:rsid w:val="00F4439F"/>
    <w:rsid w:val="00F443BE"/>
    <w:rsid w:val="00F444B3"/>
    <w:rsid w:val="00F4459E"/>
    <w:rsid w:val="00F4537D"/>
    <w:rsid w:val="00F457E2"/>
    <w:rsid w:val="00F45FB8"/>
    <w:rsid w:val="00F46782"/>
    <w:rsid w:val="00F46B1F"/>
    <w:rsid w:val="00F46BEC"/>
    <w:rsid w:val="00F5154E"/>
    <w:rsid w:val="00F521E3"/>
    <w:rsid w:val="00F5238E"/>
    <w:rsid w:val="00F52428"/>
    <w:rsid w:val="00F528E6"/>
    <w:rsid w:val="00F53486"/>
    <w:rsid w:val="00F53975"/>
    <w:rsid w:val="00F55092"/>
    <w:rsid w:val="00F5579F"/>
    <w:rsid w:val="00F55D39"/>
    <w:rsid w:val="00F56632"/>
    <w:rsid w:val="00F567C6"/>
    <w:rsid w:val="00F56EC2"/>
    <w:rsid w:val="00F570A0"/>
    <w:rsid w:val="00F571E5"/>
    <w:rsid w:val="00F5751A"/>
    <w:rsid w:val="00F5755A"/>
    <w:rsid w:val="00F579FD"/>
    <w:rsid w:val="00F57D16"/>
    <w:rsid w:val="00F57D22"/>
    <w:rsid w:val="00F600C5"/>
    <w:rsid w:val="00F602B9"/>
    <w:rsid w:val="00F61729"/>
    <w:rsid w:val="00F63235"/>
    <w:rsid w:val="00F63733"/>
    <w:rsid w:val="00F63847"/>
    <w:rsid w:val="00F63BC9"/>
    <w:rsid w:val="00F642E2"/>
    <w:rsid w:val="00F647A4"/>
    <w:rsid w:val="00F64B09"/>
    <w:rsid w:val="00F65A3F"/>
    <w:rsid w:val="00F65F50"/>
    <w:rsid w:val="00F66273"/>
    <w:rsid w:val="00F6758C"/>
    <w:rsid w:val="00F67A76"/>
    <w:rsid w:val="00F67CD1"/>
    <w:rsid w:val="00F67DB1"/>
    <w:rsid w:val="00F70433"/>
    <w:rsid w:val="00F7062F"/>
    <w:rsid w:val="00F7093B"/>
    <w:rsid w:val="00F719D3"/>
    <w:rsid w:val="00F7223A"/>
    <w:rsid w:val="00F72289"/>
    <w:rsid w:val="00F72BF1"/>
    <w:rsid w:val="00F72DB1"/>
    <w:rsid w:val="00F734B9"/>
    <w:rsid w:val="00F738E9"/>
    <w:rsid w:val="00F73FE6"/>
    <w:rsid w:val="00F74889"/>
    <w:rsid w:val="00F74E8F"/>
    <w:rsid w:val="00F74F2D"/>
    <w:rsid w:val="00F74FAE"/>
    <w:rsid w:val="00F75070"/>
    <w:rsid w:val="00F7526D"/>
    <w:rsid w:val="00F752DB"/>
    <w:rsid w:val="00F760C6"/>
    <w:rsid w:val="00F76423"/>
    <w:rsid w:val="00F766A8"/>
    <w:rsid w:val="00F76C3D"/>
    <w:rsid w:val="00F77235"/>
    <w:rsid w:val="00F77A4E"/>
    <w:rsid w:val="00F8015D"/>
    <w:rsid w:val="00F80DC9"/>
    <w:rsid w:val="00F814A7"/>
    <w:rsid w:val="00F818CF"/>
    <w:rsid w:val="00F819C8"/>
    <w:rsid w:val="00F81A7E"/>
    <w:rsid w:val="00F81D39"/>
    <w:rsid w:val="00F8245B"/>
    <w:rsid w:val="00F84892"/>
    <w:rsid w:val="00F84CBE"/>
    <w:rsid w:val="00F84CEF"/>
    <w:rsid w:val="00F84F0E"/>
    <w:rsid w:val="00F8526D"/>
    <w:rsid w:val="00F85821"/>
    <w:rsid w:val="00F859E7"/>
    <w:rsid w:val="00F85B31"/>
    <w:rsid w:val="00F86268"/>
    <w:rsid w:val="00F87740"/>
    <w:rsid w:val="00F90233"/>
    <w:rsid w:val="00F9068E"/>
    <w:rsid w:val="00F90A74"/>
    <w:rsid w:val="00F90F2D"/>
    <w:rsid w:val="00F919E7"/>
    <w:rsid w:val="00F91AB4"/>
    <w:rsid w:val="00F91BA4"/>
    <w:rsid w:val="00F926CB"/>
    <w:rsid w:val="00F92CF7"/>
    <w:rsid w:val="00F933DB"/>
    <w:rsid w:val="00F941E6"/>
    <w:rsid w:val="00F94B64"/>
    <w:rsid w:val="00F95D01"/>
    <w:rsid w:val="00F95D44"/>
    <w:rsid w:val="00F978AB"/>
    <w:rsid w:val="00FA077D"/>
    <w:rsid w:val="00FA158E"/>
    <w:rsid w:val="00FA1FCA"/>
    <w:rsid w:val="00FA22D2"/>
    <w:rsid w:val="00FA2B8E"/>
    <w:rsid w:val="00FA3913"/>
    <w:rsid w:val="00FA3B56"/>
    <w:rsid w:val="00FA3FCF"/>
    <w:rsid w:val="00FA4703"/>
    <w:rsid w:val="00FA5051"/>
    <w:rsid w:val="00FA5859"/>
    <w:rsid w:val="00FA6C69"/>
    <w:rsid w:val="00FA6C8C"/>
    <w:rsid w:val="00FA6D9D"/>
    <w:rsid w:val="00FA7281"/>
    <w:rsid w:val="00FA79C7"/>
    <w:rsid w:val="00FA7CB0"/>
    <w:rsid w:val="00FB036B"/>
    <w:rsid w:val="00FB03F7"/>
    <w:rsid w:val="00FB0EA3"/>
    <w:rsid w:val="00FB199F"/>
    <w:rsid w:val="00FB1F82"/>
    <w:rsid w:val="00FB22AB"/>
    <w:rsid w:val="00FB2572"/>
    <w:rsid w:val="00FB26F2"/>
    <w:rsid w:val="00FB2B13"/>
    <w:rsid w:val="00FB2F5B"/>
    <w:rsid w:val="00FB3149"/>
    <w:rsid w:val="00FB32FC"/>
    <w:rsid w:val="00FB355C"/>
    <w:rsid w:val="00FB39AD"/>
    <w:rsid w:val="00FB3D8B"/>
    <w:rsid w:val="00FB407D"/>
    <w:rsid w:val="00FB446C"/>
    <w:rsid w:val="00FB4AB2"/>
    <w:rsid w:val="00FB4BC1"/>
    <w:rsid w:val="00FB4CA8"/>
    <w:rsid w:val="00FB5CC3"/>
    <w:rsid w:val="00FB6961"/>
    <w:rsid w:val="00FB6B14"/>
    <w:rsid w:val="00FB6D39"/>
    <w:rsid w:val="00FB7132"/>
    <w:rsid w:val="00FB767B"/>
    <w:rsid w:val="00FC0149"/>
    <w:rsid w:val="00FC026A"/>
    <w:rsid w:val="00FC0B2F"/>
    <w:rsid w:val="00FC10E9"/>
    <w:rsid w:val="00FC215B"/>
    <w:rsid w:val="00FC264A"/>
    <w:rsid w:val="00FC28E0"/>
    <w:rsid w:val="00FC3095"/>
    <w:rsid w:val="00FC31E1"/>
    <w:rsid w:val="00FC390B"/>
    <w:rsid w:val="00FC40C5"/>
    <w:rsid w:val="00FC4896"/>
    <w:rsid w:val="00FC534A"/>
    <w:rsid w:val="00FC5651"/>
    <w:rsid w:val="00FC5893"/>
    <w:rsid w:val="00FC5DE6"/>
    <w:rsid w:val="00FC5FC6"/>
    <w:rsid w:val="00FC691E"/>
    <w:rsid w:val="00FC6AD5"/>
    <w:rsid w:val="00FC7413"/>
    <w:rsid w:val="00FC75D4"/>
    <w:rsid w:val="00FC7A07"/>
    <w:rsid w:val="00FC7A48"/>
    <w:rsid w:val="00FD0795"/>
    <w:rsid w:val="00FD0A8B"/>
    <w:rsid w:val="00FD120B"/>
    <w:rsid w:val="00FD13EC"/>
    <w:rsid w:val="00FD1B0B"/>
    <w:rsid w:val="00FD274E"/>
    <w:rsid w:val="00FD2B21"/>
    <w:rsid w:val="00FD2CCC"/>
    <w:rsid w:val="00FD2E90"/>
    <w:rsid w:val="00FD3272"/>
    <w:rsid w:val="00FD33C5"/>
    <w:rsid w:val="00FD390B"/>
    <w:rsid w:val="00FD3A23"/>
    <w:rsid w:val="00FD4AC3"/>
    <w:rsid w:val="00FD5388"/>
    <w:rsid w:val="00FD5443"/>
    <w:rsid w:val="00FD571A"/>
    <w:rsid w:val="00FD6953"/>
    <w:rsid w:val="00FD6C96"/>
    <w:rsid w:val="00FD70EE"/>
    <w:rsid w:val="00FD7407"/>
    <w:rsid w:val="00FD7C40"/>
    <w:rsid w:val="00FD7F90"/>
    <w:rsid w:val="00FE00CC"/>
    <w:rsid w:val="00FE067C"/>
    <w:rsid w:val="00FE0A32"/>
    <w:rsid w:val="00FE0C7C"/>
    <w:rsid w:val="00FE14A4"/>
    <w:rsid w:val="00FE1536"/>
    <w:rsid w:val="00FE18E3"/>
    <w:rsid w:val="00FE1930"/>
    <w:rsid w:val="00FE1943"/>
    <w:rsid w:val="00FE1BBC"/>
    <w:rsid w:val="00FE2212"/>
    <w:rsid w:val="00FE2C85"/>
    <w:rsid w:val="00FE3D3A"/>
    <w:rsid w:val="00FE43A3"/>
    <w:rsid w:val="00FE4FDF"/>
    <w:rsid w:val="00FE54C8"/>
    <w:rsid w:val="00FE5C35"/>
    <w:rsid w:val="00FE631A"/>
    <w:rsid w:val="00FE6B5C"/>
    <w:rsid w:val="00FE7618"/>
    <w:rsid w:val="00FE7E16"/>
    <w:rsid w:val="00FF00A6"/>
    <w:rsid w:val="00FF06F9"/>
    <w:rsid w:val="00FF0BD4"/>
    <w:rsid w:val="00FF198C"/>
    <w:rsid w:val="00FF1ABD"/>
    <w:rsid w:val="00FF1C1B"/>
    <w:rsid w:val="00FF1D5F"/>
    <w:rsid w:val="00FF1E5C"/>
    <w:rsid w:val="00FF21E0"/>
    <w:rsid w:val="00FF248D"/>
    <w:rsid w:val="00FF2495"/>
    <w:rsid w:val="00FF26D1"/>
    <w:rsid w:val="00FF2940"/>
    <w:rsid w:val="00FF296E"/>
    <w:rsid w:val="00FF2B2C"/>
    <w:rsid w:val="00FF2C36"/>
    <w:rsid w:val="00FF35A6"/>
    <w:rsid w:val="00FF36D2"/>
    <w:rsid w:val="00FF3992"/>
    <w:rsid w:val="00FF3C30"/>
    <w:rsid w:val="00FF4075"/>
    <w:rsid w:val="00FF4227"/>
    <w:rsid w:val="00FF45EC"/>
    <w:rsid w:val="00FF48AF"/>
    <w:rsid w:val="00FF4C24"/>
    <w:rsid w:val="00FF4CAC"/>
    <w:rsid w:val="00FF5717"/>
    <w:rsid w:val="00FF5CBB"/>
    <w:rsid w:val="00FF6949"/>
    <w:rsid w:val="00FF72D5"/>
    <w:rsid w:val="00FF7308"/>
    <w:rsid w:val="00FF7933"/>
    <w:rsid w:val="00FF7D46"/>
    <w:rsid w:val="00FF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14"/>
    <w:pPr>
      <w:spacing w:after="100" w:line="400" w:lineRule="exact"/>
      <w:jc w:val="both"/>
    </w:pPr>
    <w:rPr>
      <w:rFonts w:ascii="Century Schoolbook" w:hAnsi="Century Schoolbook"/>
      <w:sz w:val="27"/>
    </w:rPr>
  </w:style>
  <w:style w:type="paragraph" w:styleId="Heading1">
    <w:name w:val="heading 1"/>
    <w:basedOn w:val="Normal"/>
    <w:next w:val="Normal"/>
    <w:qFormat/>
    <w:rsid w:val="00D87414"/>
    <w:pPr>
      <w:keepNext/>
      <w:spacing w:before="140" w:line="240" w:lineRule="atLeast"/>
      <w:jc w:val="center"/>
      <w:outlineLvl w:val="0"/>
    </w:pPr>
    <w:rPr>
      <w:b/>
      <w:smallCaps/>
    </w:rPr>
  </w:style>
  <w:style w:type="paragraph" w:styleId="Heading2">
    <w:name w:val="heading 2"/>
    <w:basedOn w:val="Normal"/>
    <w:next w:val="Normal"/>
    <w:qFormat/>
    <w:rsid w:val="00D8741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87414"/>
    <w:pPr>
      <w:keepNext/>
      <w:tabs>
        <w:tab w:val="left" w:pos="1584"/>
      </w:tabs>
      <w:spacing w:before="140" w:line="240" w:lineRule="atLeast"/>
      <w:ind w:left="1584" w:hanging="432"/>
      <w:jc w:val="left"/>
      <w:outlineLvl w:val="2"/>
    </w:pPr>
    <w:rPr>
      <w:i/>
    </w:rPr>
  </w:style>
  <w:style w:type="paragraph" w:styleId="Heading4">
    <w:name w:val="heading 4"/>
    <w:basedOn w:val="Normal"/>
    <w:rsid w:val="00D87414"/>
    <w:pPr>
      <w:keepNext/>
      <w:tabs>
        <w:tab w:val="left" w:pos="2016"/>
      </w:tabs>
      <w:spacing w:before="140" w:line="240" w:lineRule="atLeast"/>
      <w:ind w:left="2016" w:hanging="432"/>
      <w:jc w:val="left"/>
      <w:outlineLvl w:val="3"/>
    </w:pPr>
    <w:rPr>
      <w:i/>
    </w:rPr>
  </w:style>
  <w:style w:type="paragraph" w:styleId="Heading5">
    <w:name w:val="heading 5"/>
    <w:basedOn w:val="Normal"/>
    <w:rsid w:val="00D8741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D87414"/>
    <w:pPr>
      <w:tabs>
        <w:tab w:val="center" w:pos="3960"/>
        <w:tab w:val="right" w:pos="10080"/>
      </w:tabs>
      <w:spacing w:after="0" w:line="240" w:lineRule="auto"/>
      <w:jc w:val="center"/>
    </w:pPr>
    <w:rPr>
      <w:sz w:val="22"/>
    </w:rPr>
  </w:style>
  <w:style w:type="character" w:styleId="FootnoteReference">
    <w:name w:val="footnote reference"/>
    <w:basedOn w:val="DefaultParagraphFont"/>
    <w:uiPriority w:val="99"/>
    <w:rsid w:val="00D87414"/>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D87414"/>
    <w:pPr>
      <w:spacing w:line="300" w:lineRule="exact"/>
    </w:pPr>
  </w:style>
  <w:style w:type="paragraph" w:styleId="Date">
    <w:name w:val="Date"/>
    <w:basedOn w:val="Normal"/>
    <w:semiHidden/>
    <w:rsid w:val="00D87414"/>
    <w:pPr>
      <w:jc w:val="right"/>
    </w:pPr>
  </w:style>
  <w:style w:type="paragraph" w:styleId="Header">
    <w:name w:val="header"/>
    <w:basedOn w:val="Normal"/>
    <w:qFormat/>
    <w:rsid w:val="00D87414"/>
    <w:pPr>
      <w:tabs>
        <w:tab w:val="center" w:pos="3960"/>
        <w:tab w:val="right" w:pos="10080"/>
      </w:tabs>
      <w:spacing w:after="80" w:line="240" w:lineRule="auto"/>
      <w:jc w:val="center"/>
    </w:pPr>
    <w:rPr>
      <w:sz w:val="22"/>
    </w:rPr>
  </w:style>
  <w:style w:type="paragraph" w:styleId="NormalIndent">
    <w:name w:val="Normal Indent"/>
    <w:basedOn w:val="Normal"/>
    <w:semiHidden/>
    <w:rsid w:val="00D87414"/>
    <w:pPr>
      <w:ind w:left="720"/>
    </w:pPr>
  </w:style>
  <w:style w:type="character" w:styleId="PageNumber">
    <w:name w:val="page number"/>
    <w:basedOn w:val="DefaultParagraphFont"/>
    <w:rsid w:val="00D87414"/>
  </w:style>
  <w:style w:type="paragraph" w:customStyle="1" w:styleId="Recommend">
    <w:name w:val="Recommend"/>
    <w:basedOn w:val="Normal"/>
    <w:rsid w:val="00D87414"/>
  </w:style>
  <w:style w:type="paragraph" w:customStyle="1" w:styleId="subject">
    <w:name w:val="subject"/>
    <w:basedOn w:val="Normal"/>
    <w:rsid w:val="00D87414"/>
    <w:pPr>
      <w:tabs>
        <w:tab w:val="left" w:pos="1008"/>
      </w:tabs>
      <w:ind w:left="990" w:hanging="990"/>
    </w:pPr>
    <w:rPr>
      <w:b/>
    </w:rPr>
  </w:style>
  <w:style w:type="paragraph" w:customStyle="1" w:styleId="Summary">
    <w:name w:val="Summary"/>
    <w:basedOn w:val="Normal"/>
    <w:rsid w:val="00D87414"/>
    <w:pPr>
      <w:ind w:left="2160" w:hanging="2160"/>
    </w:pPr>
  </w:style>
  <w:style w:type="paragraph" w:customStyle="1" w:styleId="Text">
    <w:name w:val="Text"/>
    <w:basedOn w:val="Normal"/>
    <w:rsid w:val="00D87414"/>
    <w:pPr>
      <w:tabs>
        <w:tab w:val="left" w:pos="720"/>
        <w:tab w:val="left" w:pos="1440"/>
        <w:tab w:val="left" w:pos="2160"/>
        <w:tab w:val="center" w:pos="4320"/>
      </w:tabs>
      <w:spacing w:line="480" w:lineRule="atLeast"/>
      <w:ind w:firstLine="540"/>
    </w:pPr>
  </w:style>
  <w:style w:type="paragraph" w:customStyle="1" w:styleId="Title1">
    <w:name w:val="Title1"/>
    <w:basedOn w:val="Normal"/>
    <w:rsid w:val="00D87414"/>
    <w:pPr>
      <w:tabs>
        <w:tab w:val="left" w:pos="5760"/>
        <w:tab w:val="left" w:pos="6480"/>
      </w:tabs>
      <w:spacing w:line="240" w:lineRule="atLeast"/>
    </w:pPr>
  </w:style>
  <w:style w:type="paragraph" w:customStyle="1" w:styleId="Titles">
    <w:name w:val="Titles"/>
    <w:basedOn w:val="Normal"/>
    <w:rsid w:val="00D87414"/>
    <w:pPr>
      <w:tabs>
        <w:tab w:val="left" w:pos="2160"/>
      </w:tabs>
      <w:ind w:left="2160" w:hanging="2160"/>
    </w:pPr>
    <w:rPr>
      <w:b/>
    </w:rPr>
  </w:style>
  <w:style w:type="paragraph" w:styleId="TOAHeading">
    <w:name w:val="toa heading"/>
    <w:basedOn w:val="Normal"/>
    <w:next w:val="Normal"/>
    <w:semiHidden/>
    <w:rsid w:val="00D87414"/>
    <w:pPr>
      <w:spacing w:before="120"/>
    </w:pPr>
    <w:rPr>
      <w:b/>
    </w:rPr>
  </w:style>
  <w:style w:type="paragraph" w:styleId="TOC1">
    <w:name w:val="toc 1"/>
    <w:basedOn w:val="Normal"/>
    <w:next w:val="Normal"/>
    <w:autoRedefine/>
    <w:semiHidden/>
    <w:rsid w:val="00D87414"/>
  </w:style>
  <w:style w:type="paragraph" w:styleId="TOC2">
    <w:name w:val="toc 2"/>
    <w:basedOn w:val="Normal"/>
    <w:next w:val="Normal"/>
    <w:autoRedefine/>
    <w:semiHidden/>
    <w:rsid w:val="00D87414"/>
    <w:pPr>
      <w:ind w:left="259"/>
    </w:pPr>
  </w:style>
  <w:style w:type="paragraph" w:styleId="TOC3">
    <w:name w:val="toc 3"/>
    <w:basedOn w:val="Normal"/>
    <w:next w:val="Normal"/>
    <w:autoRedefine/>
    <w:semiHidden/>
    <w:rsid w:val="00D87414"/>
    <w:pPr>
      <w:ind w:left="520"/>
    </w:pPr>
  </w:style>
  <w:style w:type="paragraph" w:styleId="TOC4">
    <w:name w:val="toc 4"/>
    <w:basedOn w:val="Normal"/>
    <w:next w:val="Normal"/>
    <w:autoRedefine/>
    <w:semiHidden/>
    <w:rsid w:val="00D87414"/>
    <w:pPr>
      <w:ind w:left="780"/>
    </w:pPr>
  </w:style>
  <w:style w:type="paragraph" w:styleId="TOC5">
    <w:name w:val="toc 5"/>
    <w:basedOn w:val="Normal"/>
    <w:next w:val="Normal"/>
    <w:autoRedefine/>
    <w:semiHidden/>
    <w:rsid w:val="00D87414"/>
    <w:pPr>
      <w:ind w:left="1040"/>
    </w:pPr>
  </w:style>
  <w:style w:type="paragraph" w:styleId="TOC6">
    <w:name w:val="toc 6"/>
    <w:basedOn w:val="Normal"/>
    <w:next w:val="Normal"/>
    <w:autoRedefine/>
    <w:semiHidden/>
    <w:rsid w:val="00D87414"/>
    <w:pPr>
      <w:ind w:left="1300"/>
    </w:pPr>
  </w:style>
  <w:style w:type="paragraph" w:styleId="TOC7">
    <w:name w:val="toc 7"/>
    <w:basedOn w:val="Normal"/>
    <w:next w:val="Normal"/>
    <w:autoRedefine/>
    <w:semiHidden/>
    <w:rsid w:val="00D87414"/>
    <w:pPr>
      <w:ind w:left="1560"/>
    </w:pPr>
  </w:style>
  <w:style w:type="paragraph" w:styleId="TOC8">
    <w:name w:val="toc 8"/>
    <w:basedOn w:val="Normal"/>
    <w:next w:val="Normal"/>
    <w:autoRedefine/>
    <w:semiHidden/>
    <w:rsid w:val="00D87414"/>
    <w:pPr>
      <w:ind w:left="1820"/>
    </w:pPr>
  </w:style>
  <w:style w:type="paragraph" w:styleId="TOC9">
    <w:name w:val="toc 9"/>
    <w:basedOn w:val="Normal"/>
    <w:next w:val="Normal"/>
    <w:autoRedefine/>
    <w:semiHidden/>
    <w:rsid w:val="00D87414"/>
    <w:pPr>
      <w:ind w:left="2080"/>
    </w:pPr>
  </w:style>
  <w:style w:type="paragraph" w:customStyle="1" w:styleId="Contents">
    <w:name w:val="Contents"/>
    <w:basedOn w:val="Normal"/>
    <w:rsid w:val="00D87414"/>
    <w:pPr>
      <w:jc w:val="center"/>
    </w:pPr>
    <w:rPr>
      <w:b/>
      <w:spacing w:val="100"/>
    </w:rPr>
  </w:style>
  <w:style w:type="character" w:styleId="Emphasis">
    <w:name w:val="Emphasis"/>
    <w:basedOn w:val="DefaultParagraphFont"/>
    <w:uiPriority w:val="20"/>
    <w:qFormat/>
    <w:rsid w:val="003B49A5"/>
    <w:rPr>
      <w:i/>
      <w:iCs/>
    </w:rPr>
  </w:style>
  <w:style w:type="character" w:styleId="Hyperlink">
    <w:name w:val="Hyperlink"/>
    <w:basedOn w:val="DefaultParagraphFont"/>
    <w:uiPriority w:val="99"/>
    <w:unhideWhenUsed/>
    <w:rsid w:val="003B49A5"/>
    <w:rPr>
      <w:color w:val="0000FF"/>
      <w:u w:val="single"/>
    </w:rPr>
  </w:style>
  <w:style w:type="character" w:customStyle="1" w:styleId="coinlinekeyciteflag">
    <w:name w:val="co_inlinekeyciteflag"/>
    <w:basedOn w:val="DefaultParagraphFont"/>
    <w:rsid w:val="003B49A5"/>
  </w:style>
  <w:style w:type="character" w:customStyle="1" w:styleId="costarpage">
    <w:name w:val="co_starpage"/>
    <w:basedOn w:val="DefaultParagraphFont"/>
    <w:rsid w:val="003B49A5"/>
  </w:style>
  <w:style w:type="character" w:styleId="CommentReference">
    <w:name w:val="annotation reference"/>
    <w:basedOn w:val="DefaultParagraphFont"/>
    <w:uiPriority w:val="99"/>
    <w:semiHidden/>
    <w:unhideWhenUsed/>
    <w:rsid w:val="003B49A5"/>
    <w:rPr>
      <w:sz w:val="16"/>
      <w:szCs w:val="16"/>
    </w:rPr>
  </w:style>
  <w:style w:type="paragraph" w:styleId="CommentText">
    <w:name w:val="annotation text"/>
    <w:basedOn w:val="Normal"/>
    <w:link w:val="CommentTextChar"/>
    <w:uiPriority w:val="99"/>
    <w:unhideWhenUsed/>
    <w:rsid w:val="003B49A5"/>
    <w:rPr>
      <w:sz w:val="20"/>
    </w:rPr>
  </w:style>
  <w:style w:type="character" w:customStyle="1" w:styleId="CommentTextChar">
    <w:name w:val="Comment Text Char"/>
    <w:basedOn w:val="DefaultParagraphFont"/>
    <w:link w:val="CommentText"/>
    <w:uiPriority w:val="99"/>
    <w:rsid w:val="003B49A5"/>
  </w:style>
  <w:style w:type="paragraph" w:styleId="CommentSubject">
    <w:name w:val="annotation subject"/>
    <w:basedOn w:val="CommentText"/>
    <w:next w:val="CommentText"/>
    <w:link w:val="CommentSubjectChar"/>
    <w:uiPriority w:val="99"/>
    <w:semiHidden/>
    <w:unhideWhenUsed/>
    <w:rsid w:val="003B49A5"/>
    <w:rPr>
      <w:b/>
      <w:bCs/>
    </w:rPr>
  </w:style>
  <w:style w:type="character" w:customStyle="1" w:styleId="CommentSubjectChar">
    <w:name w:val="Comment Subject Char"/>
    <w:basedOn w:val="CommentTextChar"/>
    <w:link w:val="CommentSubject"/>
    <w:uiPriority w:val="99"/>
    <w:semiHidden/>
    <w:rsid w:val="003B49A5"/>
    <w:rPr>
      <w:b/>
      <w:bCs/>
    </w:rPr>
  </w:style>
  <w:style w:type="paragraph" w:styleId="BalloonText">
    <w:name w:val="Balloon Text"/>
    <w:basedOn w:val="Normal"/>
    <w:link w:val="BalloonTextChar"/>
    <w:uiPriority w:val="99"/>
    <w:semiHidden/>
    <w:unhideWhenUsed/>
    <w:rsid w:val="003B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A5"/>
    <w:rPr>
      <w:rFonts w:ascii="Segoe UI" w:hAnsi="Segoe UI" w:cs="Segoe UI"/>
      <w:sz w:val="18"/>
      <w:szCs w:val="18"/>
    </w:rPr>
  </w:style>
  <w:style w:type="paragraph" w:styleId="Revision">
    <w:name w:val="Revision"/>
    <w:hidden/>
    <w:uiPriority w:val="99"/>
    <w:semiHidden/>
    <w:rsid w:val="003B49A5"/>
    <w:rPr>
      <w:sz w:val="26"/>
    </w:rPr>
  </w:style>
  <w:style w:type="paragraph" w:styleId="ListParagraph">
    <w:name w:val="List Paragraph"/>
    <w:basedOn w:val="Normal"/>
    <w:uiPriority w:val="34"/>
    <w:qFormat/>
    <w:rsid w:val="003B49A5"/>
    <w:pPr>
      <w:ind w:left="720"/>
      <w:contextualSpacing/>
    </w:pPr>
  </w:style>
  <w:style w:type="character" w:styleId="UnresolvedMention">
    <w:name w:val="Unresolved Mention"/>
    <w:basedOn w:val="DefaultParagraphFont"/>
    <w:uiPriority w:val="99"/>
    <w:semiHidden/>
    <w:unhideWhenUsed/>
    <w:rsid w:val="003B49A5"/>
    <w:rPr>
      <w:color w:val="605E5C"/>
      <w:shd w:val="clear" w:color="auto" w:fill="E1DFDD"/>
    </w:rPr>
  </w:style>
  <w:style w:type="character" w:styleId="FollowedHyperlink">
    <w:name w:val="FollowedHyperlink"/>
    <w:basedOn w:val="DefaultParagraphFont"/>
    <w:uiPriority w:val="99"/>
    <w:semiHidden/>
    <w:unhideWhenUsed/>
    <w:rsid w:val="003B49A5"/>
    <w:rPr>
      <w:color w:val="800080" w:themeColor="followedHyperlink"/>
      <w:u w:val="single"/>
    </w:rPr>
  </w:style>
  <w:style w:type="paragraph" w:styleId="BodyText">
    <w:name w:val="Body Text"/>
    <w:basedOn w:val="Normal"/>
    <w:link w:val="BodyTextChar"/>
    <w:qFormat/>
    <w:rsid w:val="00D87414"/>
  </w:style>
  <w:style w:type="character" w:customStyle="1" w:styleId="BodyTextChar">
    <w:name w:val="Body Text Char"/>
    <w:basedOn w:val="DefaultParagraphFont"/>
    <w:link w:val="BodyText"/>
    <w:rsid w:val="00D87414"/>
    <w:rPr>
      <w:rFonts w:ascii="Century Schoolbook" w:hAnsi="Century Schoolbook"/>
      <w:sz w:val="27"/>
    </w:rPr>
  </w:style>
  <w:style w:type="paragraph" w:customStyle="1" w:styleId="Body">
    <w:name w:val="Body"/>
    <w:basedOn w:val="Normal"/>
    <w:link w:val="BodyChar"/>
    <w:qFormat/>
    <w:rsid w:val="000300CD"/>
    <w:pPr>
      <w:tabs>
        <w:tab w:val="left" w:pos="1440"/>
      </w:tabs>
      <w:spacing w:line="480" w:lineRule="atLeast"/>
      <w:ind w:firstLine="720"/>
    </w:pPr>
  </w:style>
  <w:style w:type="character" w:customStyle="1" w:styleId="BodyChar">
    <w:name w:val="Body Char"/>
    <w:basedOn w:val="DefaultParagraphFont"/>
    <w:link w:val="Body"/>
    <w:rsid w:val="000300CD"/>
    <w:rPr>
      <w:rFonts w:ascii="Century Schoolbook" w:hAnsi="Century Schoolbook"/>
      <w:sz w:val="27"/>
    </w:rPr>
  </w:style>
  <w:style w:type="character" w:customStyle="1" w:styleId="FootnoteTextChar">
    <w:name w:val="Footnote Text Char"/>
    <w:link w:val="FootnoteText"/>
    <w:uiPriority w:val="99"/>
    <w:rsid w:val="00ED630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8210">
      <w:bodyDiv w:val="1"/>
      <w:marLeft w:val="0"/>
      <w:marRight w:val="0"/>
      <w:marTop w:val="0"/>
      <w:marBottom w:val="0"/>
      <w:divBdr>
        <w:top w:val="none" w:sz="0" w:space="0" w:color="auto"/>
        <w:left w:val="none" w:sz="0" w:space="0" w:color="auto"/>
        <w:bottom w:val="none" w:sz="0" w:space="0" w:color="auto"/>
        <w:right w:val="none" w:sz="0" w:space="0" w:color="auto"/>
      </w:divBdr>
      <w:divsChild>
        <w:div w:id="2131894639">
          <w:marLeft w:val="0"/>
          <w:marRight w:val="0"/>
          <w:marTop w:val="0"/>
          <w:marBottom w:val="0"/>
          <w:divBdr>
            <w:top w:val="none" w:sz="0" w:space="0" w:color="auto"/>
            <w:left w:val="none" w:sz="0" w:space="0" w:color="auto"/>
            <w:bottom w:val="none" w:sz="0" w:space="0" w:color="auto"/>
            <w:right w:val="none" w:sz="0" w:space="0" w:color="auto"/>
          </w:divBdr>
          <w:divsChild>
            <w:div w:id="519702815">
              <w:marLeft w:val="0"/>
              <w:marRight w:val="0"/>
              <w:marTop w:val="0"/>
              <w:marBottom w:val="0"/>
              <w:divBdr>
                <w:top w:val="none" w:sz="0" w:space="0" w:color="auto"/>
                <w:left w:val="none" w:sz="0" w:space="0" w:color="auto"/>
                <w:bottom w:val="none" w:sz="0" w:space="0" w:color="auto"/>
                <w:right w:val="none" w:sz="0" w:space="0" w:color="auto"/>
              </w:divBdr>
              <w:divsChild>
                <w:div w:id="19438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372">
          <w:marLeft w:val="0"/>
          <w:marRight w:val="0"/>
          <w:marTop w:val="0"/>
          <w:marBottom w:val="0"/>
          <w:divBdr>
            <w:top w:val="none" w:sz="0" w:space="0" w:color="auto"/>
            <w:left w:val="none" w:sz="0" w:space="0" w:color="auto"/>
            <w:bottom w:val="none" w:sz="0" w:space="0" w:color="auto"/>
            <w:right w:val="none" w:sz="0" w:space="0" w:color="auto"/>
          </w:divBdr>
          <w:divsChild>
            <w:div w:id="929777941">
              <w:marLeft w:val="0"/>
              <w:marRight w:val="0"/>
              <w:marTop w:val="0"/>
              <w:marBottom w:val="0"/>
              <w:divBdr>
                <w:top w:val="none" w:sz="0" w:space="0" w:color="auto"/>
                <w:left w:val="none" w:sz="0" w:space="0" w:color="auto"/>
                <w:bottom w:val="none" w:sz="0" w:space="0" w:color="auto"/>
                <w:right w:val="none" w:sz="0" w:space="0" w:color="auto"/>
              </w:divBdr>
              <w:divsChild>
                <w:div w:id="1015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073">
      <w:bodyDiv w:val="1"/>
      <w:marLeft w:val="0"/>
      <w:marRight w:val="0"/>
      <w:marTop w:val="0"/>
      <w:marBottom w:val="0"/>
      <w:divBdr>
        <w:top w:val="none" w:sz="0" w:space="0" w:color="auto"/>
        <w:left w:val="none" w:sz="0" w:space="0" w:color="auto"/>
        <w:bottom w:val="none" w:sz="0" w:space="0" w:color="auto"/>
        <w:right w:val="none" w:sz="0" w:space="0" w:color="auto"/>
      </w:divBdr>
      <w:divsChild>
        <w:div w:id="779448697">
          <w:marLeft w:val="0"/>
          <w:marRight w:val="0"/>
          <w:marTop w:val="0"/>
          <w:marBottom w:val="0"/>
          <w:divBdr>
            <w:top w:val="none" w:sz="0" w:space="0" w:color="auto"/>
            <w:left w:val="none" w:sz="0" w:space="0" w:color="auto"/>
            <w:bottom w:val="none" w:sz="0" w:space="0" w:color="auto"/>
            <w:right w:val="none" w:sz="0" w:space="0" w:color="auto"/>
          </w:divBdr>
          <w:divsChild>
            <w:div w:id="1558203485">
              <w:marLeft w:val="0"/>
              <w:marRight w:val="0"/>
              <w:marTop w:val="0"/>
              <w:marBottom w:val="0"/>
              <w:divBdr>
                <w:top w:val="none" w:sz="0" w:space="0" w:color="auto"/>
                <w:left w:val="none" w:sz="0" w:space="0" w:color="auto"/>
                <w:bottom w:val="none" w:sz="0" w:space="0" w:color="auto"/>
                <w:right w:val="none" w:sz="0" w:space="0" w:color="auto"/>
              </w:divBdr>
            </w:div>
          </w:divsChild>
        </w:div>
        <w:div w:id="1628466099">
          <w:marLeft w:val="0"/>
          <w:marRight w:val="0"/>
          <w:marTop w:val="0"/>
          <w:marBottom w:val="0"/>
          <w:divBdr>
            <w:top w:val="none" w:sz="0" w:space="0" w:color="auto"/>
            <w:left w:val="none" w:sz="0" w:space="0" w:color="auto"/>
            <w:bottom w:val="none" w:sz="0" w:space="0" w:color="auto"/>
            <w:right w:val="none" w:sz="0" w:space="0" w:color="auto"/>
          </w:divBdr>
          <w:divsChild>
            <w:div w:id="1721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5052">
      <w:bodyDiv w:val="1"/>
      <w:marLeft w:val="0"/>
      <w:marRight w:val="0"/>
      <w:marTop w:val="0"/>
      <w:marBottom w:val="0"/>
      <w:divBdr>
        <w:top w:val="none" w:sz="0" w:space="0" w:color="auto"/>
        <w:left w:val="none" w:sz="0" w:space="0" w:color="auto"/>
        <w:bottom w:val="none" w:sz="0" w:space="0" w:color="auto"/>
        <w:right w:val="none" w:sz="0" w:space="0" w:color="auto"/>
      </w:divBdr>
      <w:divsChild>
        <w:div w:id="146277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9AAA-90D8-49B1-B021-B339F9BA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6034</Words>
  <Characters>34398</Characters>
  <Application>Microsoft Office Word</Application>
  <DocSecurity>0</DocSecurity>
  <Lines>286</Lines>
  <Paragraphs>80</Paragraphs>
  <ScaleCrop>false</ScaleCrop>
  <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2022-02-24T18:29:00Z</dcterms:created>
  <dcterms:modified xsi:type="dcterms:W3CDTF">2022-02-24T18:29:00Z</dcterms:modified>
</cp:coreProperties>
</file>