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17DC86" w14:textId="74863634" w:rsidR="00AE7CF6" w:rsidRDefault="00B46CAD" w:rsidP="00B46CAD">
      <w:pPr>
        <w:tabs>
          <w:tab w:val="left" w:pos="1440"/>
          <w:tab w:val="left" w:pos="4680"/>
          <w:tab w:val="center" w:pos="7200"/>
        </w:tabs>
        <w:spacing w:after="0"/>
        <w:jc w:val="center"/>
        <w:rPr>
          <w:sz w:val="36"/>
        </w:rPr>
      </w:pPr>
      <w:r>
        <w:rPr>
          <w:b/>
          <w:sz w:val="36"/>
        </w:rPr>
        <w:t>IN THE SUPREME COURT OF CALIFORNIA</w:t>
      </w:r>
    </w:p>
    <w:p w14:paraId="370301B3" w14:textId="0964FB09" w:rsidR="00B46CAD" w:rsidRDefault="00B46CAD" w:rsidP="00B46CAD">
      <w:pPr>
        <w:tabs>
          <w:tab w:val="left" w:pos="1440"/>
          <w:tab w:val="left" w:pos="4680"/>
          <w:tab w:val="center" w:pos="7200"/>
        </w:tabs>
        <w:spacing w:after="0"/>
        <w:jc w:val="center"/>
      </w:pPr>
    </w:p>
    <w:p w14:paraId="01FF34EE" w14:textId="76704085" w:rsidR="00B46CAD" w:rsidRDefault="00B46CAD" w:rsidP="00B46CAD">
      <w:pPr>
        <w:tabs>
          <w:tab w:val="left" w:pos="1440"/>
          <w:tab w:val="left" w:pos="4680"/>
          <w:tab w:val="center" w:pos="7200"/>
        </w:tabs>
        <w:spacing w:after="0"/>
        <w:jc w:val="center"/>
      </w:pPr>
      <w:r>
        <w:t>LEGISLATURE OF THE STATE OF CALIFORNIA,</w:t>
      </w:r>
    </w:p>
    <w:p w14:paraId="4D2332E2" w14:textId="4B681A10" w:rsidR="00B46CAD" w:rsidRDefault="00B46CAD" w:rsidP="00B46CAD">
      <w:pPr>
        <w:tabs>
          <w:tab w:val="left" w:pos="1440"/>
          <w:tab w:val="left" w:pos="4680"/>
          <w:tab w:val="center" w:pos="7200"/>
        </w:tabs>
        <w:spacing w:after="0"/>
        <w:jc w:val="center"/>
      </w:pPr>
      <w:r>
        <w:t>Petitioner,</w:t>
      </w:r>
    </w:p>
    <w:p w14:paraId="30A9EE18" w14:textId="19FC0C39" w:rsidR="00B46CAD" w:rsidRDefault="00B46CAD" w:rsidP="00B46CAD">
      <w:pPr>
        <w:tabs>
          <w:tab w:val="left" w:pos="1440"/>
          <w:tab w:val="left" w:pos="4680"/>
          <w:tab w:val="center" w:pos="7200"/>
        </w:tabs>
        <w:spacing w:after="0"/>
        <w:jc w:val="center"/>
      </w:pPr>
      <w:r>
        <w:t>v.</w:t>
      </w:r>
    </w:p>
    <w:p w14:paraId="756DA918" w14:textId="4291C2DD" w:rsidR="00B46CAD" w:rsidRDefault="00B46CAD" w:rsidP="00B46CAD">
      <w:pPr>
        <w:tabs>
          <w:tab w:val="left" w:pos="1440"/>
          <w:tab w:val="left" w:pos="4680"/>
          <w:tab w:val="center" w:pos="7200"/>
        </w:tabs>
        <w:spacing w:after="0"/>
        <w:jc w:val="center"/>
      </w:pPr>
      <w:r>
        <w:t>ALEX PADILLA, as Secretary of State</w:t>
      </w:r>
      <w:r w:rsidR="00FD1BA8">
        <w:t>, etc.</w:t>
      </w:r>
      <w:r>
        <w:t>,</w:t>
      </w:r>
    </w:p>
    <w:p w14:paraId="60142F60" w14:textId="7ACC37C1" w:rsidR="00B46CAD" w:rsidRDefault="00B46CAD" w:rsidP="00B46CAD">
      <w:pPr>
        <w:tabs>
          <w:tab w:val="left" w:pos="1440"/>
          <w:tab w:val="left" w:pos="4680"/>
          <w:tab w:val="center" w:pos="7200"/>
        </w:tabs>
        <w:spacing w:after="0"/>
        <w:jc w:val="center"/>
      </w:pPr>
      <w:r>
        <w:t>Respondent.</w:t>
      </w:r>
    </w:p>
    <w:p w14:paraId="4FF56F45" w14:textId="15BA80D6" w:rsidR="00B46CAD" w:rsidRDefault="00B46CAD" w:rsidP="00B46CAD">
      <w:pPr>
        <w:tabs>
          <w:tab w:val="left" w:pos="1440"/>
          <w:tab w:val="left" w:pos="4680"/>
          <w:tab w:val="center" w:pos="7200"/>
        </w:tabs>
        <w:spacing w:after="0"/>
        <w:jc w:val="center"/>
      </w:pPr>
    </w:p>
    <w:p w14:paraId="2EED5242" w14:textId="0ADE36D2" w:rsidR="00B46CAD" w:rsidRDefault="00B46CAD" w:rsidP="00B46CAD">
      <w:pPr>
        <w:tabs>
          <w:tab w:val="left" w:pos="1440"/>
          <w:tab w:val="left" w:pos="4680"/>
          <w:tab w:val="center" w:pos="7200"/>
        </w:tabs>
        <w:spacing w:after="0"/>
        <w:jc w:val="center"/>
      </w:pPr>
      <w:r>
        <w:t>S262530</w:t>
      </w:r>
    </w:p>
    <w:p w14:paraId="1ACF55E0" w14:textId="1F1E41A7" w:rsidR="00B46CAD" w:rsidRDefault="00B46CAD" w:rsidP="00B46CAD">
      <w:pPr>
        <w:pBdr>
          <w:bottom w:val="single" w:sz="4" w:space="1" w:color="auto"/>
        </w:pBdr>
        <w:tabs>
          <w:tab w:val="left" w:pos="1440"/>
          <w:tab w:val="left" w:pos="4680"/>
          <w:tab w:val="center" w:pos="7200"/>
        </w:tabs>
        <w:spacing w:after="0"/>
        <w:jc w:val="center"/>
      </w:pPr>
    </w:p>
    <w:p w14:paraId="66C95DE3" w14:textId="5623AC79" w:rsidR="00B46CAD" w:rsidRDefault="00B46CAD" w:rsidP="00B46CAD">
      <w:pPr>
        <w:tabs>
          <w:tab w:val="left" w:pos="1440"/>
          <w:tab w:val="left" w:pos="4680"/>
          <w:tab w:val="center" w:pos="7200"/>
        </w:tabs>
        <w:spacing w:after="0"/>
        <w:jc w:val="center"/>
      </w:pPr>
    </w:p>
    <w:p w14:paraId="319C8416" w14:textId="2BA8E485" w:rsidR="00B46CAD" w:rsidRDefault="00B46CAD" w:rsidP="00B46CAD">
      <w:pPr>
        <w:tabs>
          <w:tab w:val="left" w:pos="1440"/>
          <w:tab w:val="left" w:pos="4680"/>
          <w:tab w:val="center" w:pos="7200"/>
        </w:tabs>
        <w:spacing w:after="0"/>
        <w:jc w:val="center"/>
      </w:pPr>
      <w:r>
        <w:t xml:space="preserve">July </w:t>
      </w:r>
      <w:r w:rsidR="00DE4979">
        <w:t>17</w:t>
      </w:r>
      <w:r>
        <w:t>, 2020</w:t>
      </w:r>
    </w:p>
    <w:p w14:paraId="4D5B8998" w14:textId="4BBA745E" w:rsidR="00B46CAD" w:rsidRDefault="00B46CAD" w:rsidP="00B46CAD">
      <w:pPr>
        <w:tabs>
          <w:tab w:val="left" w:pos="1440"/>
          <w:tab w:val="left" w:pos="4680"/>
          <w:tab w:val="center" w:pos="7200"/>
        </w:tabs>
        <w:spacing w:after="0"/>
        <w:jc w:val="left"/>
      </w:pPr>
    </w:p>
    <w:p w14:paraId="2D9FE9E1" w14:textId="77777777" w:rsidR="00DE4979" w:rsidRDefault="00DE4979" w:rsidP="00DE4979">
      <w:pPr>
        <w:pBdr>
          <w:bottom w:val="single" w:sz="4" w:space="1" w:color="auto"/>
        </w:pBdr>
        <w:tabs>
          <w:tab w:val="left" w:pos="1440"/>
          <w:tab w:val="left" w:pos="4680"/>
          <w:tab w:val="center" w:pos="7200"/>
        </w:tabs>
        <w:spacing w:after="0"/>
        <w:jc w:val="left"/>
      </w:pPr>
      <w:r>
        <w:t>Justice Kruger authored the opinion of the Court, in which Chief Justice Cantil-Sakauye and Justices Chin, Corrigan, Liu, Cuéllar, and Groban concurred.</w:t>
      </w:r>
    </w:p>
    <w:p w14:paraId="38D9C89F" w14:textId="77777777" w:rsidR="00B46CAD" w:rsidRPr="00B46CAD" w:rsidRDefault="00B46CAD" w:rsidP="00B46CAD">
      <w:pPr>
        <w:pBdr>
          <w:bottom w:val="single" w:sz="4" w:space="1" w:color="auto"/>
        </w:pBdr>
        <w:tabs>
          <w:tab w:val="left" w:pos="1440"/>
          <w:tab w:val="left" w:pos="4680"/>
          <w:tab w:val="center" w:pos="7200"/>
        </w:tabs>
        <w:spacing w:line="480" w:lineRule="atLeast"/>
        <w:jc w:val="left"/>
      </w:pPr>
      <w:bookmarkStart w:id="0" w:name="Return"/>
      <w:bookmarkEnd w:id="0"/>
    </w:p>
    <w:p w14:paraId="7758B2A3" w14:textId="77777777" w:rsidR="00B46CAD" w:rsidRDefault="00B46CAD">
      <w:pPr>
        <w:tabs>
          <w:tab w:val="left" w:pos="1440"/>
          <w:tab w:val="left" w:pos="4680"/>
          <w:tab w:val="center" w:pos="7200"/>
        </w:tabs>
        <w:spacing w:line="480" w:lineRule="atLeast"/>
        <w:sectPr w:rsidR="00B46CAD" w:rsidSect="00B46CAD">
          <w:headerReference w:type="default" r:id="rId8"/>
          <w:footerReference w:type="default" r:id="rId9"/>
          <w:pgSz w:w="12240" w:h="15840"/>
          <w:pgMar w:top="1800" w:right="2160" w:bottom="1440" w:left="2160" w:header="720" w:footer="720" w:gutter="0"/>
          <w:cols w:space="720"/>
          <w:titlePg/>
          <w:docGrid w:linePitch="367"/>
        </w:sectPr>
      </w:pPr>
    </w:p>
    <w:p w14:paraId="6BF6CF08" w14:textId="16D2E478" w:rsidR="00B46CAD" w:rsidRDefault="00B46CAD" w:rsidP="00B46CAD">
      <w:pPr>
        <w:tabs>
          <w:tab w:val="left" w:pos="1440"/>
          <w:tab w:val="left" w:pos="4680"/>
          <w:tab w:val="center" w:pos="7200"/>
        </w:tabs>
        <w:jc w:val="center"/>
      </w:pPr>
      <w:r>
        <w:lastRenderedPageBreak/>
        <w:t xml:space="preserve">LEGISLATURE </w:t>
      </w:r>
      <w:r w:rsidR="00FD1BA8">
        <w:t xml:space="preserve">OF THE STATE OF CALIFORNIA </w:t>
      </w:r>
      <w:r>
        <w:t>v. PADILLA</w:t>
      </w:r>
    </w:p>
    <w:p w14:paraId="4DE80F3E" w14:textId="6C2ECC29" w:rsidR="00B46CAD" w:rsidRDefault="00B46CAD" w:rsidP="00B46CAD">
      <w:pPr>
        <w:tabs>
          <w:tab w:val="left" w:pos="1440"/>
          <w:tab w:val="left" w:pos="4680"/>
          <w:tab w:val="center" w:pos="7200"/>
        </w:tabs>
        <w:jc w:val="center"/>
      </w:pPr>
      <w:r>
        <w:t>S262530</w:t>
      </w:r>
    </w:p>
    <w:p w14:paraId="5A5B2C1E" w14:textId="76B85209" w:rsidR="00B46CAD" w:rsidRDefault="00B46CAD" w:rsidP="00B46CAD">
      <w:pPr>
        <w:tabs>
          <w:tab w:val="left" w:pos="1440"/>
          <w:tab w:val="left" w:pos="4680"/>
          <w:tab w:val="center" w:pos="7200"/>
        </w:tabs>
        <w:jc w:val="center"/>
      </w:pPr>
    </w:p>
    <w:p w14:paraId="18302CFE" w14:textId="670C03BB" w:rsidR="00B46CAD" w:rsidRDefault="00B46CAD" w:rsidP="00B46CAD">
      <w:pPr>
        <w:tabs>
          <w:tab w:val="left" w:pos="1440"/>
          <w:tab w:val="left" w:pos="4680"/>
          <w:tab w:val="center" w:pos="7200"/>
        </w:tabs>
        <w:jc w:val="center"/>
      </w:pPr>
      <w:r>
        <w:t>Opinion of the Court by Kruger, J.</w:t>
      </w:r>
    </w:p>
    <w:p w14:paraId="52F8127F" w14:textId="77777777" w:rsidR="00B46CAD" w:rsidRPr="00B46CAD" w:rsidRDefault="00B46CAD" w:rsidP="00B46CAD">
      <w:pPr>
        <w:tabs>
          <w:tab w:val="left" w:pos="1440"/>
          <w:tab w:val="left" w:pos="4680"/>
          <w:tab w:val="center" w:pos="7200"/>
        </w:tabs>
        <w:jc w:val="center"/>
      </w:pPr>
    </w:p>
    <w:p w14:paraId="1FEBD3FF" w14:textId="2481840B" w:rsidR="003D65EE" w:rsidRPr="00CD1F04" w:rsidRDefault="001473AB" w:rsidP="00B46CAD">
      <w:pPr>
        <w:tabs>
          <w:tab w:val="left" w:pos="1440"/>
        </w:tabs>
        <w:ind w:firstLine="720"/>
      </w:pPr>
      <w:bookmarkStart w:id="1" w:name="mainstory"/>
      <w:bookmarkEnd w:id="1"/>
      <w:r w:rsidRPr="00B46CAD">
        <w:t xml:space="preserve">Every </w:t>
      </w:r>
      <w:r w:rsidR="00606B50" w:rsidRPr="00B46CAD">
        <w:t>10</w:t>
      </w:r>
      <w:r w:rsidRPr="00B46CAD">
        <w:t xml:space="preserve"> years, following the federal census, new maps must be drawn establishing the boundaries of the state’s congressional, Assembly, Senate, and Board of Equalization districts.</w:t>
      </w:r>
      <w:r w:rsidR="00B70AD5" w:rsidRPr="00B46CAD">
        <w:t xml:space="preserve">  </w:t>
      </w:r>
      <w:r w:rsidRPr="00B46CAD">
        <w:t xml:space="preserve">California </w:t>
      </w:r>
      <w:r w:rsidR="00E86A3A" w:rsidRPr="00B46CAD">
        <w:t xml:space="preserve">law </w:t>
      </w:r>
      <w:r w:rsidRPr="00B46CAD">
        <w:t xml:space="preserve">assigns the task of </w:t>
      </w:r>
      <w:r w:rsidR="00EC687F">
        <w:t xml:space="preserve">redistricting </w:t>
      </w:r>
      <w:r w:rsidRPr="00B46CAD">
        <w:t>to the Citizens Redistricting Commission</w:t>
      </w:r>
      <w:r w:rsidR="00B65598">
        <w:t xml:space="preserve">, which draws new maps based on the federal census data.  The law </w:t>
      </w:r>
      <w:r w:rsidR="00700B7C">
        <w:t xml:space="preserve">also </w:t>
      </w:r>
      <w:r w:rsidR="00B65598">
        <w:t xml:space="preserve">specifies a series of fixed deadlines for the Commission to </w:t>
      </w:r>
      <w:r w:rsidR="00617C1C">
        <w:t xml:space="preserve">solicit public input on </w:t>
      </w:r>
      <w:r w:rsidR="00B65598">
        <w:t xml:space="preserve">its work and finalize </w:t>
      </w:r>
      <w:r w:rsidR="00C53DB2">
        <w:t xml:space="preserve">updated </w:t>
      </w:r>
      <w:r w:rsidR="00B65598">
        <w:t xml:space="preserve">maps </w:t>
      </w:r>
      <w:r w:rsidR="00617C1C">
        <w:t xml:space="preserve">for </w:t>
      </w:r>
      <w:r w:rsidR="00C53DB2">
        <w:t>the next round of</w:t>
      </w:r>
      <w:r w:rsidR="00617C1C">
        <w:t xml:space="preserve"> elections</w:t>
      </w:r>
      <w:r w:rsidRPr="00B46CAD">
        <w:t xml:space="preserve">.  As a result of the </w:t>
      </w:r>
      <w:r w:rsidR="00895121" w:rsidRPr="00B46CAD">
        <w:t xml:space="preserve">current </w:t>
      </w:r>
      <w:r w:rsidRPr="00B46CAD">
        <w:t xml:space="preserve">COVID-19 pandemic, however, </w:t>
      </w:r>
      <w:r w:rsidR="00DB0134" w:rsidRPr="00B46CAD">
        <w:t xml:space="preserve">the federal Census Bureau has </w:t>
      </w:r>
      <w:r w:rsidR="00FB7516" w:rsidRPr="00B46CAD">
        <w:t xml:space="preserve">announced </w:t>
      </w:r>
      <w:r w:rsidR="009B5560" w:rsidRPr="00B46CAD">
        <w:t>that census data collection and processing will be delayed</w:t>
      </w:r>
      <w:r w:rsidR="009D5C75" w:rsidRPr="00B46CAD">
        <w:t xml:space="preserve">.  Under the </w:t>
      </w:r>
      <w:r w:rsidR="00DB0134" w:rsidRPr="00B46CAD">
        <w:t xml:space="preserve">Census Bureau’s </w:t>
      </w:r>
      <w:r w:rsidR="00C33A33" w:rsidRPr="00B46CAD">
        <w:t xml:space="preserve">modified </w:t>
      </w:r>
      <w:r w:rsidR="00CE1AF4" w:rsidRPr="00B46CAD">
        <w:t>timeline</w:t>
      </w:r>
      <w:r w:rsidR="00DB0134" w:rsidRPr="00B46CAD">
        <w:t>,</w:t>
      </w:r>
      <w:r w:rsidR="009B5560" w:rsidRPr="00B46CAD">
        <w:t xml:space="preserve"> the </w:t>
      </w:r>
      <w:r w:rsidR="004D16B1" w:rsidRPr="00B46CAD">
        <w:t xml:space="preserve">data </w:t>
      </w:r>
      <w:r w:rsidRPr="00B46CAD">
        <w:t xml:space="preserve">required to draw </w:t>
      </w:r>
      <w:r w:rsidR="009A0037" w:rsidRPr="00B46CAD">
        <w:t xml:space="preserve">new district </w:t>
      </w:r>
      <w:r w:rsidRPr="00B46CAD">
        <w:t xml:space="preserve">maps </w:t>
      </w:r>
      <w:r w:rsidR="00895121" w:rsidRPr="00B46CAD">
        <w:t xml:space="preserve">will not be </w:t>
      </w:r>
      <w:r w:rsidRPr="00B46CAD">
        <w:t>released to the state</w:t>
      </w:r>
      <w:r w:rsidR="004D16B1" w:rsidRPr="00B46CAD">
        <w:t>s</w:t>
      </w:r>
      <w:r w:rsidRPr="00B46CAD">
        <w:t xml:space="preserve"> in time for the Commission to meet the redistricting deadlines set forth in </w:t>
      </w:r>
      <w:r w:rsidR="00E86A3A" w:rsidRPr="00B46CAD">
        <w:t>California law</w:t>
      </w:r>
      <w:r w:rsidRPr="00B46CAD">
        <w:t>.</w:t>
      </w:r>
    </w:p>
    <w:p w14:paraId="10B35E46" w14:textId="3550601B" w:rsidR="00B46CAD" w:rsidRDefault="00DC7DAC" w:rsidP="00B46CAD">
      <w:pPr>
        <w:tabs>
          <w:tab w:val="left" w:pos="1440"/>
        </w:tabs>
        <w:ind w:firstLine="720"/>
      </w:pPr>
      <w:r w:rsidRPr="00B46CAD">
        <w:t xml:space="preserve">In view of the anticipated delay and to </w:t>
      </w:r>
      <w:r w:rsidR="006C681D" w:rsidRPr="00B46CAD">
        <w:t xml:space="preserve">ensure that </w:t>
      </w:r>
      <w:r w:rsidR="009C2521" w:rsidRPr="00B46CAD">
        <w:t xml:space="preserve">the Commission </w:t>
      </w:r>
      <w:r w:rsidR="002622B4" w:rsidRPr="00B46CAD">
        <w:t xml:space="preserve">will be able </w:t>
      </w:r>
      <w:r w:rsidR="00531376">
        <w:t xml:space="preserve">to </w:t>
      </w:r>
      <w:r w:rsidR="00F83CAE" w:rsidRPr="00B46CAD">
        <w:t xml:space="preserve">perform its </w:t>
      </w:r>
      <w:r w:rsidRPr="00B46CAD">
        <w:t xml:space="preserve">redistricting </w:t>
      </w:r>
      <w:r w:rsidR="00F83CAE" w:rsidRPr="00B46CAD">
        <w:t xml:space="preserve">function in time for the 2022 elections, </w:t>
      </w:r>
      <w:r w:rsidR="00F22B93" w:rsidRPr="00B46CAD">
        <w:t>t</w:t>
      </w:r>
      <w:r w:rsidR="001473AB" w:rsidRPr="00B46CAD">
        <w:t xml:space="preserve">he Legislature </w:t>
      </w:r>
      <w:r w:rsidR="0003727C" w:rsidRPr="00B46CAD">
        <w:t xml:space="preserve">has </w:t>
      </w:r>
      <w:r w:rsidR="001473AB" w:rsidRPr="00B46CAD">
        <w:t>filed an emergency petition for a peremptory writ of mandate seeking relief from the deadlines</w:t>
      </w:r>
      <w:r w:rsidR="004C5E84" w:rsidRPr="00B46CAD">
        <w:t xml:space="preserve"> </w:t>
      </w:r>
      <w:r w:rsidR="00E86A3A" w:rsidRPr="00B46CAD">
        <w:t>set by California law</w:t>
      </w:r>
      <w:r w:rsidR="00F83CAE" w:rsidRPr="00B46CAD">
        <w:t>.  T</w:t>
      </w:r>
      <w:r w:rsidR="001473AB" w:rsidRPr="00B46CAD">
        <w:t xml:space="preserve">he Secretary of State and the Commission </w:t>
      </w:r>
      <w:r w:rsidR="00C65345">
        <w:t xml:space="preserve">have </w:t>
      </w:r>
      <w:r w:rsidR="001473AB" w:rsidRPr="00B46CAD">
        <w:t xml:space="preserve">joined in the Legislature’s request.  We issued an order notifying the parties </w:t>
      </w:r>
      <w:r w:rsidR="00B10CF6">
        <w:t xml:space="preserve">of our intent </w:t>
      </w:r>
      <w:r w:rsidR="001473AB" w:rsidRPr="00B46CAD">
        <w:t xml:space="preserve">to issue a peremptory writ of mandate in the first instance.  </w:t>
      </w:r>
      <w:r w:rsidR="00670348" w:rsidRPr="00B46CAD">
        <w:t xml:space="preserve">(See </w:t>
      </w:r>
      <w:r w:rsidR="00670348" w:rsidRPr="00B46CAD">
        <w:rPr>
          <w:i/>
        </w:rPr>
        <w:lastRenderedPageBreak/>
        <w:t>Palma v. U.S. Industrial Fasteners, Inc.</w:t>
      </w:r>
      <w:r w:rsidR="00670348" w:rsidRPr="00B46CAD">
        <w:t xml:space="preserve"> (1984) 36 Cal.3d 171.) </w:t>
      </w:r>
      <w:r w:rsidR="009A0037" w:rsidRPr="00B46CAD">
        <w:t xml:space="preserve"> </w:t>
      </w:r>
      <w:r w:rsidR="003A6D63" w:rsidRPr="00B46CAD">
        <w:t>W</w:t>
      </w:r>
      <w:r w:rsidR="001473AB" w:rsidRPr="00B46CAD">
        <w:t xml:space="preserve">e now grant the petition and issue </w:t>
      </w:r>
      <w:r w:rsidR="00143F6A" w:rsidRPr="00B46CAD">
        <w:t>the</w:t>
      </w:r>
      <w:r w:rsidR="001473AB" w:rsidRPr="00B46CAD">
        <w:t xml:space="preserve"> writ.</w:t>
      </w:r>
    </w:p>
    <w:p w14:paraId="61E9042C" w14:textId="77777777" w:rsidR="001473AB" w:rsidRPr="00B46CAD" w:rsidRDefault="001473AB" w:rsidP="00B46CAD">
      <w:pPr>
        <w:tabs>
          <w:tab w:val="left" w:pos="1440"/>
        </w:tabs>
        <w:jc w:val="center"/>
        <w:rPr>
          <w:b/>
        </w:rPr>
      </w:pPr>
      <w:r w:rsidRPr="00B46CAD">
        <w:rPr>
          <w:b/>
        </w:rPr>
        <w:t>I.</w:t>
      </w:r>
    </w:p>
    <w:p w14:paraId="00DB192D" w14:textId="28D4714B" w:rsidR="001473AB" w:rsidRPr="00B46CAD" w:rsidRDefault="001473AB" w:rsidP="00B46CAD">
      <w:pPr>
        <w:tabs>
          <w:tab w:val="left" w:pos="1440"/>
        </w:tabs>
        <w:ind w:firstLine="720"/>
      </w:pPr>
      <w:r w:rsidRPr="00B46CAD">
        <w:t>At the start of each decade, the federal government conducts a national census.  Beginning on April 1 of the census year, the U</w:t>
      </w:r>
      <w:r w:rsidR="00D47611" w:rsidRPr="00B46CAD">
        <w:t xml:space="preserve">nited States </w:t>
      </w:r>
      <w:r w:rsidRPr="00B46CAD">
        <w:t>Census Bureau collects population and demographic data for the entire country.  (13 U.S.C</w:t>
      </w:r>
      <w:r w:rsidR="00FC4108" w:rsidRPr="00B46CAD">
        <w:t>.</w:t>
      </w:r>
      <w:r w:rsidRPr="00B46CAD">
        <w:t xml:space="preserve"> </w:t>
      </w:r>
      <w:r w:rsidR="00FC4108" w:rsidRPr="00B46CAD">
        <w:t>§ </w:t>
      </w:r>
      <w:r w:rsidRPr="00B46CAD">
        <w:t xml:space="preserve">141(a).)  Within one year of this date, the </w:t>
      </w:r>
      <w:r w:rsidR="00383F32">
        <w:t xml:space="preserve">Census </w:t>
      </w:r>
      <w:r w:rsidRPr="00B46CAD">
        <w:t xml:space="preserve">Bureau </w:t>
      </w:r>
      <w:r w:rsidR="007A2C74">
        <w:t>must</w:t>
      </w:r>
      <w:r w:rsidRPr="00B46CAD">
        <w:t xml:space="preserve"> deliver these census data to each state </w:t>
      </w:r>
      <w:r w:rsidR="007A2C74">
        <w:t xml:space="preserve">for purposes of </w:t>
      </w:r>
      <w:r w:rsidRPr="00B46CAD">
        <w:t>draw</w:t>
      </w:r>
      <w:r w:rsidR="007A2C74">
        <w:t>ing</w:t>
      </w:r>
      <w:r w:rsidRPr="00B46CAD">
        <w:t xml:space="preserve"> new district</w:t>
      </w:r>
      <w:r w:rsidR="009A0037" w:rsidRPr="00B46CAD">
        <w:t>s</w:t>
      </w:r>
      <w:r w:rsidRPr="00B46CAD">
        <w:t xml:space="preserve"> for </w:t>
      </w:r>
      <w:r w:rsidR="003832A5">
        <w:t xml:space="preserve">the </w:t>
      </w:r>
      <w:r w:rsidRPr="00B46CAD">
        <w:t>U</w:t>
      </w:r>
      <w:r w:rsidR="00D47611" w:rsidRPr="00B46CAD">
        <w:t>nited States</w:t>
      </w:r>
      <w:r w:rsidRPr="00B46CAD">
        <w:t xml:space="preserve"> Congress, state legislatures, and other bodies of government.  (</w:t>
      </w:r>
      <w:r w:rsidR="00D47611" w:rsidRPr="00B46CAD">
        <w:rPr>
          <w:i/>
        </w:rPr>
        <w:t>Id.</w:t>
      </w:r>
      <w:r w:rsidR="00D47611" w:rsidRPr="00B46CAD">
        <w:t>,</w:t>
      </w:r>
      <w:r w:rsidR="00ED0D77" w:rsidRPr="00B46CAD">
        <w:t xml:space="preserve"> §</w:t>
      </w:r>
      <w:r w:rsidR="00606B50" w:rsidRPr="00B46CAD">
        <w:t> </w:t>
      </w:r>
      <w:r w:rsidR="00ED0D77" w:rsidRPr="00B46CAD">
        <w:t>141</w:t>
      </w:r>
      <w:r w:rsidRPr="00B46CAD">
        <w:t>(c).)  At that point, each state begins its redistricting process</w:t>
      </w:r>
      <w:r w:rsidR="00A86227">
        <w:t>.  The goal of redistricting is</w:t>
      </w:r>
      <w:r w:rsidR="00790790" w:rsidRPr="00B46CAD">
        <w:t xml:space="preserve"> to </w:t>
      </w:r>
      <w:r w:rsidR="007C386C">
        <w:t>craft</w:t>
      </w:r>
      <w:r w:rsidR="00790790" w:rsidRPr="00B46CAD">
        <w:t xml:space="preserve"> new </w:t>
      </w:r>
      <w:r w:rsidR="00FB57BB">
        <w:t xml:space="preserve">district </w:t>
      </w:r>
      <w:r w:rsidR="00790790" w:rsidRPr="00B46CAD">
        <w:t>maps that reflect current population numbers</w:t>
      </w:r>
      <w:r w:rsidR="00A90A68">
        <w:t xml:space="preserve">, to ensure </w:t>
      </w:r>
      <w:r w:rsidR="00E5461B">
        <w:t xml:space="preserve">compliance with the constitutional </w:t>
      </w:r>
      <w:r w:rsidR="00212A79">
        <w:t>one-person, one-vote rule</w:t>
      </w:r>
      <w:r w:rsidRPr="00B46CAD">
        <w:t>.</w:t>
      </w:r>
      <w:r w:rsidR="00CA45F8">
        <w:t xml:space="preserve">  </w:t>
      </w:r>
      <w:r w:rsidR="00AD61B2">
        <w:t>(</w:t>
      </w:r>
      <w:r w:rsidR="00C177E9">
        <w:t xml:space="preserve">See, e.g., </w:t>
      </w:r>
      <w:proofErr w:type="spellStart"/>
      <w:r w:rsidR="00671515" w:rsidRPr="008D5E52">
        <w:rPr>
          <w:i/>
        </w:rPr>
        <w:t>Evenwel</w:t>
      </w:r>
      <w:proofErr w:type="spellEnd"/>
      <w:r w:rsidR="00671515" w:rsidRPr="008D5E52">
        <w:rPr>
          <w:i/>
        </w:rPr>
        <w:t xml:space="preserve"> v. Abbott</w:t>
      </w:r>
      <w:r w:rsidR="00671515">
        <w:t xml:space="preserve"> (2016) </w:t>
      </w:r>
      <w:r w:rsidR="0010149B">
        <w:t>___ U.S. ___, ___</w:t>
      </w:r>
      <w:r w:rsidR="00E53076">
        <w:t xml:space="preserve"> [</w:t>
      </w:r>
      <w:r w:rsidR="00671515">
        <w:t xml:space="preserve">136 </w:t>
      </w:r>
      <w:proofErr w:type="spellStart"/>
      <w:r w:rsidR="00671515">
        <w:t>S.Ct</w:t>
      </w:r>
      <w:proofErr w:type="spellEnd"/>
      <w:r w:rsidR="00671515">
        <w:t>.</w:t>
      </w:r>
      <w:r w:rsidR="004973A2">
        <w:t xml:space="preserve"> </w:t>
      </w:r>
      <w:r w:rsidR="00671515">
        <w:t>1120, 1123–1124</w:t>
      </w:r>
      <w:r w:rsidR="00E53076">
        <w:t>]</w:t>
      </w:r>
      <w:r w:rsidR="00671515">
        <w:t xml:space="preserve">; </w:t>
      </w:r>
      <w:r w:rsidR="00AD61B2">
        <w:t>Cal. Const., art. XXI, §</w:t>
      </w:r>
      <w:r w:rsidR="00DC2C1D">
        <w:t> </w:t>
      </w:r>
      <w:r w:rsidR="00AD61B2">
        <w:t xml:space="preserve">2, </w:t>
      </w:r>
      <w:proofErr w:type="spellStart"/>
      <w:r w:rsidR="00AD61B2">
        <w:t>subd</w:t>
      </w:r>
      <w:proofErr w:type="spellEnd"/>
      <w:r w:rsidR="00AD61B2">
        <w:t>. (d)(1).)</w:t>
      </w:r>
    </w:p>
    <w:p w14:paraId="23849635" w14:textId="17E90FE9" w:rsidR="00226CB8" w:rsidRPr="00B46CAD" w:rsidRDefault="001473AB" w:rsidP="00B46CAD">
      <w:pPr>
        <w:tabs>
          <w:tab w:val="left" w:pos="1440"/>
        </w:tabs>
        <w:ind w:firstLine="720"/>
      </w:pPr>
      <w:r w:rsidRPr="00B46CAD">
        <w:t xml:space="preserve">In California, the </w:t>
      </w:r>
      <w:r w:rsidR="003A2F08">
        <w:t xml:space="preserve">redistricting </w:t>
      </w:r>
      <w:r w:rsidRPr="00B46CAD">
        <w:t xml:space="preserve">process begins with the Legislature preparing a dataset </w:t>
      </w:r>
      <w:r w:rsidR="00ED0D77" w:rsidRPr="00B46CAD">
        <w:t xml:space="preserve">that combines </w:t>
      </w:r>
      <w:r w:rsidRPr="00B46CAD">
        <w:t>the federal census data with voter registration data and historical statewide election results.  (Gov. Code, §</w:t>
      </w:r>
      <w:r w:rsidR="00606B50" w:rsidRPr="00B46CAD">
        <w:t> </w:t>
      </w:r>
      <w:r w:rsidRPr="00B46CAD">
        <w:t xml:space="preserve">8253, </w:t>
      </w:r>
      <w:proofErr w:type="spellStart"/>
      <w:r w:rsidRPr="00B46CAD">
        <w:t>subd</w:t>
      </w:r>
      <w:proofErr w:type="spellEnd"/>
      <w:r w:rsidRPr="00B46CAD">
        <w:t xml:space="preserve">. (b).)  </w:t>
      </w:r>
      <w:r w:rsidR="00926C07">
        <w:t>T</w:t>
      </w:r>
      <w:r w:rsidR="000E6D51">
        <w:t xml:space="preserve">he </w:t>
      </w:r>
      <w:r w:rsidR="00AF553C" w:rsidRPr="00B46CAD">
        <w:t xml:space="preserve">Legislature then provides this </w:t>
      </w:r>
      <w:r w:rsidRPr="00B46CAD">
        <w:t>dataset to the Citizens Redistricting Commission</w:t>
      </w:r>
      <w:r w:rsidR="00E86A3A" w:rsidRPr="00B46CAD">
        <w:t>,</w:t>
      </w:r>
      <w:r w:rsidRPr="00B46CAD">
        <w:t xml:space="preserve"> an independent panel of 14 Californians of different </w:t>
      </w:r>
      <w:r w:rsidR="004126C7" w:rsidRPr="00B46CAD">
        <w:t>party affiliations</w:t>
      </w:r>
      <w:r w:rsidRPr="00B46CAD">
        <w:t xml:space="preserve"> </w:t>
      </w:r>
      <w:r w:rsidR="001F40CB" w:rsidRPr="00B46CAD">
        <w:t>that is</w:t>
      </w:r>
      <w:r w:rsidRPr="00B46CAD">
        <w:t xml:space="preserve"> tasked with drawing new maps for the state’s congressional, Assembly, Senate, and Board of Equalization districts.  (Cal. Const., art. XXI, § 2.)</w:t>
      </w:r>
      <w:r w:rsidR="00D04801" w:rsidRPr="00B46CAD">
        <w:t xml:space="preserve">  The Commission was </w:t>
      </w:r>
      <w:r w:rsidR="00D673DD" w:rsidRPr="00B46CAD">
        <w:t xml:space="preserve">first </w:t>
      </w:r>
      <w:r w:rsidR="00D04801" w:rsidRPr="00B46CAD">
        <w:t xml:space="preserve">created </w:t>
      </w:r>
      <w:r w:rsidR="00D673DD" w:rsidRPr="00B46CAD">
        <w:t xml:space="preserve">with the passage of </w:t>
      </w:r>
      <w:r w:rsidR="00D04801" w:rsidRPr="00B46CAD">
        <w:t>Proposition 11 in 2008</w:t>
      </w:r>
      <w:r w:rsidR="00887774" w:rsidRPr="00B46CAD">
        <w:t xml:space="preserve">, which </w:t>
      </w:r>
      <w:r w:rsidR="00B0354C" w:rsidRPr="00B46CAD">
        <w:t>transferred the power to draw Assembly, Senate, and Board of Equalization districts from the Legislature to the newly formed Commission</w:t>
      </w:r>
      <w:r w:rsidR="00D673DD" w:rsidRPr="00B46CAD">
        <w:t xml:space="preserve">; two years later, </w:t>
      </w:r>
      <w:r w:rsidR="00D673DD" w:rsidRPr="00B46CAD">
        <w:lastRenderedPageBreak/>
        <w:t xml:space="preserve">voters passed </w:t>
      </w:r>
      <w:r w:rsidR="00D04801" w:rsidRPr="00B46CAD">
        <w:t>Proposition 20</w:t>
      </w:r>
      <w:r w:rsidR="005C2095" w:rsidRPr="00B46CAD">
        <w:t>,</w:t>
      </w:r>
      <w:r w:rsidR="00D673DD" w:rsidRPr="00B46CAD">
        <w:t xml:space="preserve"> which expanded the Commission’s responsibilities to include congressional redistricting.  </w:t>
      </w:r>
      <w:r w:rsidR="00B9709E" w:rsidRPr="00B46CAD">
        <w:t>Under the California Constitution, as amended by these two initiatives, the Commission</w:t>
      </w:r>
      <w:r w:rsidRPr="00B46CAD">
        <w:t xml:space="preserve"> must conduct an open and transparent redistricting process that allows public comment on draft maps produced by the Commission. </w:t>
      </w:r>
      <w:r w:rsidR="00670348" w:rsidRPr="00B46CAD">
        <w:t xml:space="preserve"> </w:t>
      </w:r>
      <w:r w:rsidRPr="00B46CAD">
        <w:t>(</w:t>
      </w:r>
      <w:r w:rsidR="00670348" w:rsidRPr="00B46CAD">
        <w:t>Cal. Const., art. XXI, § 2</w:t>
      </w:r>
      <w:r w:rsidRPr="00B46CAD">
        <w:t xml:space="preserve">, </w:t>
      </w:r>
      <w:proofErr w:type="spellStart"/>
      <w:r w:rsidRPr="00B46CAD">
        <w:t>subd</w:t>
      </w:r>
      <w:proofErr w:type="spellEnd"/>
      <w:r w:rsidRPr="00B46CAD">
        <w:t>. (b); Gov. Code, §</w:t>
      </w:r>
      <w:r w:rsidR="00606B50" w:rsidRPr="00B46CAD">
        <w:t> </w:t>
      </w:r>
      <w:r w:rsidRPr="00B46CAD">
        <w:t>8253.)</w:t>
      </w:r>
      <w:r w:rsidR="00EB6C7C" w:rsidRPr="00B46CAD">
        <w:t xml:space="preserve">  </w:t>
      </w:r>
      <w:r w:rsidR="00ED0D77" w:rsidRPr="00B46CAD">
        <w:t>T</w:t>
      </w:r>
      <w:r w:rsidR="00F176A0" w:rsidRPr="00B46CAD">
        <w:t xml:space="preserve">o carry out these duties, the </w:t>
      </w:r>
      <w:r w:rsidR="00EB6C7C" w:rsidRPr="00B46CAD">
        <w:t xml:space="preserve">Commission </w:t>
      </w:r>
      <w:r w:rsidR="00F176A0" w:rsidRPr="00B46CAD">
        <w:t xml:space="preserve">typically </w:t>
      </w:r>
      <w:r w:rsidR="00EB6C7C" w:rsidRPr="00B46CAD">
        <w:t>beg</w:t>
      </w:r>
      <w:r w:rsidR="00F176A0" w:rsidRPr="00B46CAD">
        <w:t>ins</w:t>
      </w:r>
      <w:r w:rsidR="00EB6C7C" w:rsidRPr="00B46CAD">
        <w:t xml:space="preserve"> its work even before the census data are delivered to the state</w:t>
      </w:r>
      <w:r w:rsidR="00B91A12">
        <w:t xml:space="preserve">.  As the chair of the previous redistricting commission </w:t>
      </w:r>
      <w:r w:rsidR="009A1106">
        <w:t>explains</w:t>
      </w:r>
      <w:r w:rsidR="00B91A12">
        <w:t xml:space="preserve"> in a declaration submitted to this court, this </w:t>
      </w:r>
      <w:r w:rsidR="00847D3E">
        <w:t xml:space="preserve">preliminary </w:t>
      </w:r>
      <w:r w:rsidR="00E8790C" w:rsidRPr="00B46CAD">
        <w:t xml:space="preserve">work includes </w:t>
      </w:r>
      <w:r w:rsidR="00EB6C7C" w:rsidRPr="00B46CAD">
        <w:t>arranging public hearings, soliciting public participation, and hiring staff and consultants.</w:t>
      </w:r>
    </w:p>
    <w:p w14:paraId="19137D50" w14:textId="1FC5538B" w:rsidR="00F35EB7" w:rsidRPr="00B46CAD" w:rsidRDefault="001473AB" w:rsidP="00B46CAD">
      <w:pPr>
        <w:tabs>
          <w:tab w:val="left" w:pos="1440"/>
        </w:tabs>
        <w:ind w:firstLine="720"/>
      </w:pPr>
      <w:r w:rsidRPr="00B46CAD">
        <w:t xml:space="preserve">State law sets forth deadlines by which the Commission must release draft maps for public comment and later, approve and certify final maps to the Secretary of State.  </w:t>
      </w:r>
      <w:r w:rsidR="00341BDB" w:rsidRPr="00B46CAD">
        <w:t xml:space="preserve">The Government Code provides that </w:t>
      </w:r>
      <w:r w:rsidR="00226CB8" w:rsidRPr="00B46CAD">
        <w:t>t</w:t>
      </w:r>
      <w:r w:rsidRPr="00B46CAD">
        <w:t>he Commission must release at least one set of draft maps for public comment by July 1 of the year following the census year.  (Gov. Code, §</w:t>
      </w:r>
      <w:r w:rsidR="00606B50" w:rsidRPr="00B46CAD">
        <w:t> </w:t>
      </w:r>
      <w:r w:rsidRPr="00B46CAD">
        <w:t xml:space="preserve">8253, </w:t>
      </w:r>
      <w:proofErr w:type="spellStart"/>
      <w:r w:rsidRPr="00B46CAD">
        <w:t>subd</w:t>
      </w:r>
      <w:proofErr w:type="spellEnd"/>
      <w:r w:rsidRPr="00B46CAD">
        <w:t>. (a)(7) [“Public comment shall be taken for at least 14 days from the date of public display of the first preliminary statewide maps of the congressional, State Senatorial, Assembly, and State Board of Equalization districts, which shall be publicly displayed no later than July 1 in each year ending in the number one.”].</w:t>
      </w:r>
      <w:r w:rsidR="009A1106">
        <w:t xml:space="preserve">)  </w:t>
      </w:r>
      <w:r w:rsidR="00F35EB7" w:rsidRPr="00B46CAD">
        <w:t>The</w:t>
      </w:r>
      <w:r w:rsidR="00341BDB" w:rsidRPr="00B46CAD">
        <w:t xml:space="preserve"> California Constitution provides that the Commission must then </w:t>
      </w:r>
      <w:r w:rsidRPr="00B46CAD">
        <w:t>approve and certify final maps to the Secretary of State</w:t>
      </w:r>
      <w:r w:rsidR="00341BDB" w:rsidRPr="00B46CAD">
        <w:t xml:space="preserve"> by August 15</w:t>
      </w:r>
      <w:r w:rsidR="00DE3C99">
        <w:t xml:space="preserve"> of the year following the census year</w:t>
      </w:r>
      <w:r w:rsidRPr="00B46CAD">
        <w:t>.  (Cal. Const., art. XXI, §</w:t>
      </w:r>
      <w:r w:rsidR="00606B50" w:rsidRPr="00B46CAD">
        <w:t> </w:t>
      </w:r>
      <w:r w:rsidRPr="00B46CAD">
        <w:t xml:space="preserve">2, </w:t>
      </w:r>
      <w:proofErr w:type="spellStart"/>
      <w:r w:rsidRPr="00B46CAD">
        <w:t>subd</w:t>
      </w:r>
      <w:proofErr w:type="spellEnd"/>
      <w:r w:rsidRPr="00B46CAD">
        <w:t>. (g) [“By August 15</w:t>
      </w:r>
      <w:r w:rsidR="007E7579" w:rsidRPr="00B46CAD">
        <w:t xml:space="preserve"> in </w:t>
      </w:r>
      <w:r w:rsidRPr="00B46CAD">
        <w:t xml:space="preserve">2011, and in each year ending in the number one thereafter, the commission shall approve four final maps that separately set forth the district boundary lines for the congressional, Senatorial, Assembly, and </w:t>
      </w:r>
      <w:r w:rsidRPr="00B46CAD">
        <w:lastRenderedPageBreak/>
        <w:t xml:space="preserve">State Board of Equalization districts.  Upon approval, the commission shall certify the four final maps to the Secretary of State.”].)  </w:t>
      </w:r>
    </w:p>
    <w:p w14:paraId="67B4E760" w14:textId="1644A079" w:rsidR="001473AB" w:rsidRPr="00B46CAD" w:rsidRDefault="00312845" w:rsidP="00B46CAD">
      <w:pPr>
        <w:tabs>
          <w:tab w:val="left" w:pos="1440"/>
        </w:tabs>
        <w:ind w:firstLine="720"/>
      </w:pPr>
      <w:r w:rsidRPr="00B46CAD">
        <w:t xml:space="preserve">The </w:t>
      </w:r>
      <w:r w:rsidR="001473AB" w:rsidRPr="00B46CAD">
        <w:t>map</w:t>
      </w:r>
      <w:r w:rsidRPr="00B46CAD">
        <w:t>s</w:t>
      </w:r>
      <w:r w:rsidR="001473AB" w:rsidRPr="00B46CAD">
        <w:t xml:space="preserve"> </w:t>
      </w:r>
      <w:r w:rsidRPr="00B46CAD">
        <w:t xml:space="preserve">are </w:t>
      </w:r>
      <w:r w:rsidR="001473AB" w:rsidRPr="00B46CAD">
        <w:t>subject to referendum under the ordinary procedures for placing an enactment on the ballot for a popular vote under the Constitution.  (</w:t>
      </w:r>
      <w:r w:rsidR="00BF3561" w:rsidRPr="00B46CAD">
        <w:t>Cal. Const., art. XXI, §</w:t>
      </w:r>
      <w:r w:rsidR="00606B50" w:rsidRPr="00B46CAD">
        <w:t> </w:t>
      </w:r>
      <w:r w:rsidR="00BF3561" w:rsidRPr="00B46CAD">
        <w:t>2</w:t>
      </w:r>
      <w:r w:rsidR="001473AB" w:rsidRPr="00B46CAD">
        <w:t xml:space="preserve">, </w:t>
      </w:r>
      <w:proofErr w:type="spellStart"/>
      <w:r w:rsidR="001473AB" w:rsidRPr="00B46CAD">
        <w:t>subd</w:t>
      </w:r>
      <w:proofErr w:type="spellEnd"/>
      <w:r w:rsidR="001473AB" w:rsidRPr="00B46CAD">
        <w:t>. (</w:t>
      </w:r>
      <w:proofErr w:type="spellStart"/>
      <w:r w:rsidR="001473AB" w:rsidRPr="00B46CAD">
        <w:t>i</w:t>
      </w:r>
      <w:proofErr w:type="spellEnd"/>
      <w:r w:rsidR="001473AB" w:rsidRPr="00B46CAD">
        <w:t xml:space="preserve">); </w:t>
      </w:r>
      <w:r w:rsidR="001473AB" w:rsidRPr="00B46CAD">
        <w:rPr>
          <w:i/>
        </w:rPr>
        <w:t>id.</w:t>
      </w:r>
      <w:r w:rsidR="001473AB" w:rsidRPr="00B46CAD">
        <w:t>, art. II, §</w:t>
      </w:r>
      <w:r w:rsidR="00606B50" w:rsidRPr="00B46CAD">
        <w:t> </w:t>
      </w:r>
      <w:r w:rsidR="001473AB" w:rsidRPr="00B46CAD">
        <w:t>9.)  If the Commission does not approve a final map by the requisite votes</w:t>
      </w:r>
      <w:r w:rsidRPr="00B46CAD">
        <w:t>,</w:t>
      </w:r>
      <w:r w:rsidR="001473AB" w:rsidRPr="00B46CAD">
        <w:t xml:space="preserve"> or if voters disapprove a map in a referendum election, the </w:t>
      </w:r>
      <w:r w:rsidR="00FD18F3" w:rsidRPr="00B46CAD">
        <w:t xml:space="preserve">Constitution provides that the </w:t>
      </w:r>
      <w:r w:rsidR="001473AB" w:rsidRPr="00B46CAD">
        <w:t xml:space="preserve">Secretary of State “shall immediately petition the California Supreme Court for an order directing the appointment of special masters” to </w:t>
      </w:r>
      <w:r w:rsidR="003832A5">
        <w:t>adjust district boundaries</w:t>
      </w:r>
      <w:r w:rsidR="001473AB" w:rsidRPr="00B46CAD">
        <w:t xml:space="preserve"> using the census data.  At that point, the court </w:t>
      </w:r>
      <w:r w:rsidR="00491815">
        <w:t>becomes</w:t>
      </w:r>
      <w:r w:rsidR="001473AB" w:rsidRPr="00B46CAD">
        <w:t xml:space="preserve"> responsible for approving </w:t>
      </w:r>
      <w:r w:rsidR="00DE3C99">
        <w:t xml:space="preserve">and certifying </w:t>
      </w:r>
      <w:r w:rsidR="001473AB" w:rsidRPr="00B46CAD">
        <w:t>the special masters’ map to the Secretary of State.  (</w:t>
      </w:r>
      <w:r w:rsidR="001473AB" w:rsidRPr="00B46CAD">
        <w:rPr>
          <w:i/>
        </w:rPr>
        <w:t>Id.</w:t>
      </w:r>
      <w:r w:rsidR="001473AB" w:rsidRPr="00B46CAD">
        <w:t>, art. XXI, §</w:t>
      </w:r>
      <w:r w:rsidR="00606B50" w:rsidRPr="00B46CAD">
        <w:t> </w:t>
      </w:r>
      <w:r w:rsidR="001473AB" w:rsidRPr="00B46CAD">
        <w:t xml:space="preserve">2, </w:t>
      </w:r>
      <w:proofErr w:type="spellStart"/>
      <w:r w:rsidR="001473AB" w:rsidRPr="00B46CAD">
        <w:t>subd</w:t>
      </w:r>
      <w:proofErr w:type="spellEnd"/>
      <w:r w:rsidR="001473AB" w:rsidRPr="00B46CAD">
        <w:t xml:space="preserve">. (j); see also </w:t>
      </w:r>
      <w:r w:rsidR="001473AB" w:rsidRPr="00B46CAD">
        <w:rPr>
          <w:i/>
        </w:rPr>
        <w:t>id.</w:t>
      </w:r>
      <w:r w:rsidR="001473AB" w:rsidRPr="00B46CAD">
        <w:t>, §</w:t>
      </w:r>
      <w:r w:rsidR="00606B50" w:rsidRPr="00B46CAD">
        <w:t> </w:t>
      </w:r>
      <w:r w:rsidR="001473AB" w:rsidRPr="00B46CAD">
        <w:t xml:space="preserve">3, </w:t>
      </w:r>
      <w:proofErr w:type="spellStart"/>
      <w:r w:rsidR="001473AB" w:rsidRPr="00B46CAD">
        <w:t>subd</w:t>
      </w:r>
      <w:proofErr w:type="spellEnd"/>
      <w:r w:rsidR="001473AB" w:rsidRPr="00B46CAD">
        <w:t>. (b)(1).)</w:t>
      </w:r>
    </w:p>
    <w:p w14:paraId="0BB0E90C" w14:textId="734EDC1B" w:rsidR="00EC4DB2" w:rsidRDefault="001473AB" w:rsidP="00064AC2">
      <w:pPr>
        <w:tabs>
          <w:tab w:val="left" w:pos="1440"/>
        </w:tabs>
        <w:ind w:firstLine="720"/>
      </w:pPr>
      <w:r w:rsidRPr="00B46CAD">
        <w:t xml:space="preserve">This year, the usual order of </w:t>
      </w:r>
      <w:r w:rsidR="005F503C" w:rsidRPr="00B46CAD">
        <w:t xml:space="preserve">redistricting </w:t>
      </w:r>
      <w:r w:rsidRPr="00B46CAD">
        <w:t>operations has been upended by the COVID-19 pandemic</w:t>
      </w:r>
      <w:r w:rsidR="00A43A79">
        <w:t>, a public health crisis caused by a newly discovered coronavirus</w:t>
      </w:r>
      <w:r w:rsidR="00AA743A">
        <w:t xml:space="preserve"> that has spread rapidly </w:t>
      </w:r>
      <w:r w:rsidR="00A51CEC">
        <w:t xml:space="preserve">around the </w:t>
      </w:r>
      <w:r w:rsidR="006A4365">
        <w:t>globe</w:t>
      </w:r>
      <w:r w:rsidR="003A7EE0">
        <w:t xml:space="preserve">, </w:t>
      </w:r>
      <w:r w:rsidR="00F3607C">
        <w:t>on a scale not seen in a century</w:t>
      </w:r>
      <w:r w:rsidR="00A51CEC">
        <w:t xml:space="preserve">.  </w:t>
      </w:r>
      <w:r w:rsidRPr="00B46CAD">
        <w:t xml:space="preserve">In response to </w:t>
      </w:r>
      <w:r w:rsidR="00EC4DB2">
        <w:t xml:space="preserve">the </w:t>
      </w:r>
      <w:r w:rsidRPr="00B46CAD">
        <w:t xml:space="preserve">crisis, the Governor of California declared a state of emergency on March 4, and the President of the United States </w:t>
      </w:r>
      <w:r w:rsidR="00F571B9">
        <w:t>proclaimed</w:t>
      </w:r>
      <w:r w:rsidR="00F571B9" w:rsidRPr="00B46CAD">
        <w:t xml:space="preserve"> </w:t>
      </w:r>
      <w:r w:rsidRPr="00B46CAD">
        <w:t>a national emergency under federal law on March 13.</w:t>
      </w:r>
      <w:r w:rsidR="004C2B39">
        <w:rPr>
          <w:rStyle w:val="FootnoteReference"/>
        </w:rPr>
        <w:footnoteReference w:id="2"/>
      </w:r>
      <w:r w:rsidRPr="00B46CAD">
        <w:t xml:space="preserve">  </w:t>
      </w:r>
      <w:r w:rsidR="00EC4DB2">
        <w:t xml:space="preserve">As infection rates rose across California and the United </w:t>
      </w:r>
      <w:r w:rsidR="00EC4DB2">
        <w:lastRenderedPageBreak/>
        <w:t xml:space="preserve">States, </w:t>
      </w:r>
      <w:r w:rsidR="00505FE4">
        <w:t xml:space="preserve">governments issued stay-at-home orders drastically curtailing </w:t>
      </w:r>
      <w:r w:rsidR="00EC4DB2">
        <w:t xml:space="preserve">daily activities </w:t>
      </w:r>
      <w:r w:rsidR="00505FE4">
        <w:t>in an attempt</w:t>
      </w:r>
      <w:r w:rsidR="00EC4DB2">
        <w:t xml:space="preserve"> to limit </w:t>
      </w:r>
      <w:r w:rsidR="00F17926">
        <w:t xml:space="preserve">the spread </w:t>
      </w:r>
      <w:r w:rsidR="00EC4DB2">
        <w:t xml:space="preserve">of the virus.  </w:t>
      </w:r>
    </w:p>
    <w:p w14:paraId="582F739C" w14:textId="312A10E9" w:rsidR="001473AB" w:rsidRPr="00B46CAD" w:rsidRDefault="001473AB" w:rsidP="00B46CAD">
      <w:pPr>
        <w:tabs>
          <w:tab w:val="left" w:pos="1440"/>
        </w:tabs>
        <w:ind w:firstLine="720"/>
      </w:pPr>
      <w:r w:rsidRPr="00B46CAD">
        <w:t>On April 13, the U</w:t>
      </w:r>
      <w:r w:rsidR="00D47611" w:rsidRPr="00B46CAD">
        <w:t>nited States</w:t>
      </w:r>
      <w:r w:rsidRPr="00B46CAD">
        <w:t xml:space="preserve"> Secretary of Commerce</w:t>
      </w:r>
      <w:r w:rsidR="00494653">
        <w:t xml:space="preserve"> </w:t>
      </w:r>
      <w:r w:rsidRPr="00B46CAD">
        <w:t xml:space="preserve">announced that the </w:t>
      </w:r>
      <w:r w:rsidR="00383F32">
        <w:t xml:space="preserve">Census </w:t>
      </w:r>
      <w:r w:rsidRPr="00B46CAD">
        <w:t xml:space="preserve">Bureau had halted its field operations due to the </w:t>
      </w:r>
      <w:r w:rsidRPr="00CD1F04">
        <w:t>pandemic</w:t>
      </w:r>
      <w:r w:rsidR="00EE1C1A">
        <w:t xml:space="preserve">.  The </w:t>
      </w:r>
      <w:r w:rsidR="003A2F08">
        <w:t xml:space="preserve">agency adopted a phased approach to resuming the collection of census data </w:t>
      </w:r>
      <w:r w:rsidR="009A1106">
        <w:t xml:space="preserve">in </w:t>
      </w:r>
      <w:r w:rsidR="003A2F08">
        <w:t xml:space="preserve">the weeks and months that followed.  </w:t>
      </w:r>
      <w:r w:rsidRPr="00CD1F04">
        <w:t xml:space="preserve">As a result, the </w:t>
      </w:r>
      <w:r w:rsidR="00383F32" w:rsidRPr="00CD1F04">
        <w:t xml:space="preserve">Census </w:t>
      </w:r>
      <w:r w:rsidRPr="00CD1F04">
        <w:t>Bureau predicted that its delivery of</w:t>
      </w:r>
      <w:r w:rsidRPr="00B46CAD">
        <w:t xml:space="preserve"> census data to the states </w:t>
      </w:r>
      <w:r w:rsidR="00FB7516" w:rsidRPr="00B46CAD">
        <w:t>w</w:t>
      </w:r>
      <w:r w:rsidRPr="00B46CAD">
        <w:t xml:space="preserve">ould be delayed </w:t>
      </w:r>
      <w:r w:rsidR="00FB7516" w:rsidRPr="00B46CAD">
        <w:t xml:space="preserve">by </w:t>
      </w:r>
      <w:r w:rsidRPr="00B46CAD">
        <w:t xml:space="preserve">up to four months.  </w:t>
      </w:r>
      <w:r w:rsidR="00491815">
        <w:t>Because</w:t>
      </w:r>
      <w:r w:rsidR="00491815" w:rsidRPr="00B46CAD">
        <w:t xml:space="preserve"> </w:t>
      </w:r>
      <w:r w:rsidR="007E2675" w:rsidRPr="00B46CAD">
        <w:t xml:space="preserve">the </w:t>
      </w:r>
      <w:r w:rsidR="00E544C9" w:rsidRPr="00B46CAD">
        <w:t xml:space="preserve">current </w:t>
      </w:r>
      <w:r w:rsidR="007E2675" w:rsidRPr="00B46CAD">
        <w:t xml:space="preserve">March 31, 2021, deadline for releasing federal census data </w:t>
      </w:r>
      <w:r w:rsidR="000E36EF">
        <w:t xml:space="preserve">to the states </w:t>
      </w:r>
      <w:r w:rsidR="00FB7516" w:rsidRPr="00B46CAD">
        <w:t>is set by federal statute</w:t>
      </w:r>
      <w:r w:rsidR="00E544C9" w:rsidRPr="00B46CAD">
        <w:t xml:space="preserve">, the </w:t>
      </w:r>
      <w:r w:rsidR="00383F32">
        <w:t xml:space="preserve">Census </w:t>
      </w:r>
      <w:r w:rsidR="00E544C9" w:rsidRPr="00B46CAD">
        <w:t>Bureau has asked the U</w:t>
      </w:r>
      <w:r w:rsidR="00D47611" w:rsidRPr="00B46CAD">
        <w:t>nited States</w:t>
      </w:r>
      <w:r w:rsidR="00E544C9" w:rsidRPr="00B46CAD">
        <w:t xml:space="preserve"> Congress to authorize 120 additional days </w:t>
      </w:r>
      <w:r w:rsidR="00330A02">
        <w:t xml:space="preserve">— </w:t>
      </w:r>
      <w:r w:rsidR="00330A02" w:rsidRPr="00C95A55">
        <w:rPr>
          <w:iCs/>
        </w:rPr>
        <w:t>i.e.</w:t>
      </w:r>
      <w:r w:rsidR="00330A02" w:rsidRPr="00C95A55">
        <w:t>,</w:t>
      </w:r>
      <w:r w:rsidR="00330A02">
        <w:t xml:space="preserve"> until July 31, 2021 — to deliver the data</w:t>
      </w:r>
      <w:r w:rsidRPr="00B46CAD">
        <w:t>.</w:t>
      </w:r>
      <w:r w:rsidR="00D47611" w:rsidRPr="00B46CAD">
        <w:t xml:space="preserve"> </w:t>
      </w:r>
      <w:r w:rsidRPr="00B46CAD">
        <w:t xml:space="preserve"> To date, the U</w:t>
      </w:r>
      <w:r w:rsidR="00D47611" w:rsidRPr="00B46CAD">
        <w:t>nited States</w:t>
      </w:r>
      <w:r w:rsidRPr="00B46CAD">
        <w:t xml:space="preserve"> House of Representatives has passed one bill authorizing this four-month extension</w:t>
      </w:r>
      <w:r w:rsidR="00EE1C1A">
        <w:t>;</w:t>
      </w:r>
      <w:r w:rsidR="00E544C9" w:rsidRPr="00B46CAD">
        <w:t xml:space="preserve"> </w:t>
      </w:r>
      <w:r w:rsidRPr="00B46CAD">
        <w:t xml:space="preserve">additional </w:t>
      </w:r>
      <w:r w:rsidR="00931B9A" w:rsidRPr="00B46CAD">
        <w:t xml:space="preserve">bills </w:t>
      </w:r>
      <w:r w:rsidRPr="00B46CAD">
        <w:t xml:space="preserve">containing similar </w:t>
      </w:r>
      <w:r w:rsidR="00340D03" w:rsidRPr="00B46CAD">
        <w:t xml:space="preserve">authorizations </w:t>
      </w:r>
      <w:r w:rsidRPr="00B46CAD">
        <w:t xml:space="preserve">have been introduced in both houses.  (H.R. </w:t>
      </w:r>
      <w:r w:rsidR="006A482F">
        <w:t>No. </w:t>
      </w:r>
      <w:r w:rsidRPr="00B46CAD">
        <w:t xml:space="preserve">6800, 116th Cong., 2d Sess., </w:t>
      </w:r>
      <w:r w:rsidR="00BB73F8">
        <w:t xml:space="preserve">Div. G, tit. II, </w:t>
      </w:r>
      <w:r w:rsidRPr="00B46CAD">
        <w:t>§</w:t>
      </w:r>
      <w:r w:rsidR="00606B50" w:rsidRPr="00B46CAD">
        <w:t> </w:t>
      </w:r>
      <w:r w:rsidRPr="00B46CAD">
        <w:t>70201</w:t>
      </w:r>
      <w:r w:rsidR="00257D57">
        <w:t>, pp. 771</w:t>
      </w:r>
      <w:r w:rsidR="00257D57" w:rsidRPr="00B46CAD">
        <w:t>–</w:t>
      </w:r>
      <w:r w:rsidR="00257D57">
        <w:t>772</w:t>
      </w:r>
      <w:r w:rsidRPr="00B46CAD">
        <w:t xml:space="preserve"> (2020)</w:t>
      </w:r>
      <w:r w:rsidR="00A07A53">
        <w:t xml:space="preserve"> bill passed </w:t>
      </w:r>
      <w:r w:rsidR="00D9662F">
        <w:t>in</w:t>
      </w:r>
      <w:r w:rsidR="00A07A53">
        <w:t xml:space="preserve"> House May 15, 2020</w:t>
      </w:r>
      <w:r w:rsidRPr="00B46CAD">
        <w:t>; H.R. No.</w:t>
      </w:r>
      <w:r w:rsidR="00986317" w:rsidRPr="00B46CAD">
        <w:t> </w:t>
      </w:r>
      <w:r w:rsidRPr="00B46CAD">
        <w:t>7034, 116th Cong., 2d Sess.</w:t>
      </w:r>
      <w:r w:rsidR="00257D57">
        <w:t xml:space="preserve">, </w:t>
      </w:r>
      <w:r w:rsidR="00BB73F8">
        <w:t>§ </w:t>
      </w:r>
      <w:r w:rsidR="002665F8">
        <w:t xml:space="preserve">2, </w:t>
      </w:r>
      <w:r w:rsidR="00257D57">
        <w:t>p. 3</w:t>
      </w:r>
      <w:r w:rsidRPr="00B46CAD">
        <w:t xml:space="preserve"> (</w:t>
      </w:r>
      <w:r w:rsidR="00D9662F">
        <w:t>2020</w:t>
      </w:r>
      <w:r w:rsidR="00B831F2">
        <w:t>)</w:t>
      </w:r>
      <w:r w:rsidR="00D9662F">
        <w:t xml:space="preserve"> as introduced May 27, 2020</w:t>
      </w:r>
      <w:r w:rsidRPr="00B46CAD">
        <w:t>; Sen. No.</w:t>
      </w:r>
      <w:r w:rsidR="00986317" w:rsidRPr="00B46CAD">
        <w:t> </w:t>
      </w:r>
      <w:r w:rsidRPr="00B46CAD">
        <w:t>4048, 116th Cong., 2d Sess. (</w:t>
      </w:r>
      <w:r w:rsidR="00B831F2">
        <w:t xml:space="preserve">2020) as introduced </w:t>
      </w:r>
      <w:r w:rsidRPr="00B46CAD">
        <w:t>June 23, 2020.)</w:t>
      </w:r>
    </w:p>
    <w:p w14:paraId="2F73154B" w14:textId="22EF86F6" w:rsidR="001473AB" w:rsidRPr="00B46CAD" w:rsidRDefault="001473AB" w:rsidP="00B46CAD">
      <w:pPr>
        <w:tabs>
          <w:tab w:val="left" w:pos="1440"/>
        </w:tabs>
        <w:ind w:firstLine="720"/>
      </w:pPr>
      <w:r w:rsidRPr="00B46CAD">
        <w:t xml:space="preserve">On June 4, the Legislature filed an emergency petition in this court seeking a peremptory writ of mandate </w:t>
      </w:r>
      <w:r w:rsidR="00311823" w:rsidRPr="00B46CAD">
        <w:t xml:space="preserve">that would </w:t>
      </w:r>
      <w:r w:rsidR="00140FA6" w:rsidRPr="00B46CAD">
        <w:t xml:space="preserve">effectively </w:t>
      </w:r>
      <w:r w:rsidR="00691F0D" w:rsidRPr="00B46CAD">
        <w:t>grant</w:t>
      </w:r>
      <w:r w:rsidR="00311823" w:rsidRPr="00B46CAD">
        <w:t xml:space="preserve"> the Commission</w:t>
      </w:r>
      <w:r w:rsidR="00691F0D" w:rsidRPr="00B46CAD">
        <w:t xml:space="preserve"> </w:t>
      </w:r>
      <w:r w:rsidR="00311823" w:rsidRPr="00B46CAD">
        <w:t xml:space="preserve">equivalent </w:t>
      </w:r>
      <w:r w:rsidR="00691F0D" w:rsidRPr="00B46CAD">
        <w:t>four-month extension</w:t>
      </w:r>
      <w:r w:rsidR="00605BFC">
        <w:t>s</w:t>
      </w:r>
      <w:r w:rsidR="00691F0D" w:rsidRPr="00B46CAD">
        <w:t xml:space="preserve"> </w:t>
      </w:r>
      <w:r w:rsidRPr="00B46CAD">
        <w:t xml:space="preserve">to release draft maps for public comment and </w:t>
      </w:r>
      <w:r w:rsidR="00DE3C99">
        <w:t xml:space="preserve">to </w:t>
      </w:r>
      <w:r w:rsidR="00DE3C99">
        <w:lastRenderedPageBreak/>
        <w:t xml:space="preserve">approve and </w:t>
      </w:r>
      <w:r w:rsidRPr="00B46CAD">
        <w:t xml:space="preserve">certify final maps.  Specifically, the Legislature seeks a writ </w:t>
      </w:r>
      <w:r w:rsidR="00D35E61" w:rsidRPr="00B46CAD">
        <w:t xml:space="preserve">extending the date by which the Commission must release draft maps for public comment from </w:t>
      </w:r>
      <w:r w:rsidR="00356B5B" w:rsidRPr="00B46CAD">
        <w:t xml:space="preserve">July 1, 2021, </w:t>
      </w:r>
      <w:r w:rsidR="00D35E61" w:rsidRPr="00B46CAD">
        <w:t xml:space="preserve">to November 1, 2021, </w:t>
      </w:r>
      <w:r w:rsidR="00356B5B" w:rsidRPr="00B46CAD">
        <w:t xml:space="preserve">and </w:t>
      </w:r>
      <w:r w:rsidRPr="00B46CAD">
        <w:t xml:space="preserve">requiring the Secretary of State to accept the final Commission redistricting maps </w:t>
      </w:r>
      <w:r w:rsidR="00FC5197" w:rsidRPr="00B46CAD">
        <w:t xml:space="preserve">by </w:t>
      </w:r>
      <w:r w:rsidRPr="00B46CAD">
        <w:t xml:space="preserve">December 15, 2021.  The Legislature </w:t>
      </w:r>
      <w:r w:rsidR="00927BFF" w:rsidRPr="00B46CAD">
        <w:t>has no power to change the</w:t>
      </w:r>
      <w:r w:rsidR="003A6D63" w:rsidRPr="00B46CAD">
        <w:t>se</w:t>
      </w:r>
      <w:r w:rsidR="00927BFF" w:rsidRPr="00B46CAD">
        <w:t xml:space="preserve"> deadlines by </w:t>
      </w:r>
      <w:r w:rsidR="008A06D0">
        <w:t>statute</w:t>
      </w:r>
      <w:r w:rsidR="00C02D37" w:rsidRPr="00B46CAD">
        <w:t xml:space="preserve">:  The </w:t>
      </w:r>
      <w:r w:rsidRPr="00B46CAD">
        <w:t xml:space="preserve">deadline for the release of the draft maps is </w:t>
      </w:r>
      <w:r w:rsidR="00980A62" w:rsidRPr="00B46CAD">
        <w:t xml:space="preserve">set forth </w:t>
      </w:r>
      <w:r w:rsidRPr="00B46CAD">
        <w:t xml:space="preserve">in a state statute that the Legislature </w:t>
      </w:r>
      <w:r w:rsidR="00C02D37" w:rsidRPr="00B46CAD">
        <w:t xml:space="preserve">is prohibited from amending </w:t>
      </w:r>
      <w:r w:rsidR="002F6186" w:rsidRPr="00B46CAD">
        <w:t>either this year or next,</w:t>
      </w:r>
      <w:r w:rsidRPr="00B46CAD">
        <w:t xml:space="preserve"> and the deadline for the approval of final maps is specified in the </w:t>
      </w:r>
      <w:r w:rsidR="00D063DC" w:rsidRPr="00B46CAD">
        <w:t xml:space="preserve">California </w:t>
      </w:r>
      <w:r w:rsidRPr="00B46CAD">
        <w:t>Constitution.  (Gov. Code, §</w:t>
      </w:r>
      <w:r w:rsidR="00D063DC" w:rsidRPr="00B46CAD">
        <w:t> </w:t>
      </w:r>
      <w:r w:rsidRPr="00B46CAD">
        <w:t xml:space="preserve">8251, </w:t>
      </w:r>
      <w:proofErr w:type="spellStart"/>
      <w:r w:rsidRPr="00B46CAD">
        <w:t>subd</w:t>
      </w:r>
      <w:proofErr w:type="spellEnd"/>
      <w:r w:rsidRPr="00B46CAD">
        <w:t>. (c)(5) [the Legislature cannot amend any statute governing the Commission’s work in years that end in 9, 0, or 1]; Cal. Const., art. XXI, §</w:t>
      </w:r>
      <w:r w:rsidR="00986317" w:rsidRPr="00B46CAD">
        <w:t> </w:t>
      </w:r>
      <w:r w:rsidRPr="00B46CAD">
        <w:t xml:space="preserve">2, </w:t>
      </w:r>
      <w:proofErr w:type="spellStart"/>
      <w:r w:rsidRPr="00B46CAD">
        <w:t>subd</w:t>
      </w:r>
      <w:proofErr w:type="spellEnd"/>
      <w:r w:rsidRPr="00B46CAD">
        <w:t xml:space="preserve">. (g).)  According to the Legislature, it has filed this emergency petition because, without </w:t>
      </w:r>
      <w:r w:rsidR="00456E15">
        <w:t>the requested</w:t>
      </w:r>
      <w:r w:rsidR="00456E15" w:rsidRPr="00B46CAD">
        <w:t xml:space="preserve"> </w:t>
      </w:r>
      <w:r w:rsidRPr="00B46CAD">
        <w:t xml:space="preserve">relief, the Legislature’s only </w:t>
      </w:r>
      <w:r w:rsidR="00067E11">
        <w:t xml:space="preserve">alternative will be to </w:t>
      </w:r>
      <w:r w:rsidR="00C2404D">
        <w:t xml:space="preserve">ask voters to enact </w:t>
      </w:r>
      <w:r w:rsidRPr="00B46CAD">
        <w:t xml:space="preserve">a constitutional amendment </w:t>
      </w:r>
      <w:r w:rsidR="00012F78">
        <w:t>that</w:t>
      </w:r>
      <w:r w:rsidRPr="00B46CAD">
        <w:t xml:space="preserve"> alter</w:t>
      </w:r>
      <w:r w:rsidR="00012F78">
        <w:t>s</w:t>
      </w:r>
      <w:r w:rsidRPr="00B46CAD">
        <w:t xml:space="preserve"> the Commission’s deadlines</w:t>
      </w:r>
      <w:r w:rsidR="000C465B">
        <w:t xml:space="preserve"> </w:t>
      </w:r>
      <w:r w:rsidR="00545274">
        <w:t>for purposes of the 2020 redistricting cycle</w:t>
      </w:r>
      <w:r w:rsidRPr="00B46CAD">
        <w:t xml:space="preserve">.  The </w:t>
      </w:r>
      <w:r w:rsidR="00DA5CA2">
        <w:t xml:space="preserve">Legislature </w:t>
      </w:r>
      <w:r w:rsidR="00827F31">
        <w:t>reports</w:t>
      </w:r>
      <w:r w:rsidR="00DA5CA2">
        <w:t xml:space="preserve"> that the </w:t>
      </w:r>
      <w:r w:rsidRPr="00B46CAD">
        <w:t xml:space="preserve">last day that </w:t>
      </w:r>
      <w:r w:rsidR="00827F31">
        <w:t>it</w:t>
      </w:r>
      <w:r w:rsidRPr="00B46CAD">
        <w:t xml:space="preserve"> can pass a bill placing a constitutional amendment on the </w:t>
      </w:r>
      <w:r w:rsidR="000C465B" w:rsidRPr="00B46CAD">
        <w:t xml:space="preserve">November </w:t>
      </w:r>
      <w:r w:rsidRPr="00B46CAD">
        <w:t>ballot is July 26, 2020.</w:t>
      </w:r>
      <w:r w:rsidR="00B873DD" w:rsidRPr="00B46CAD">
        <w:t xml:space="preserve"> </w:t>
      </w:r>
    </w:p>
    <w:p w14:paraId="18D3695E" w14:textId="7A7410EA" w:rsidR="00E23201" w:rsidRPr="00B46CAD" w:rsidRDefault="001473AB" w:rsidP="00B46CAD">
      <w:pPr>
        <w:tabs>
          <w:tab w:val="left" w:pos="1440"/>
        </w:tabs>
        <w:ind w:firstLine="720"/>
      </w:pPr>
      <w:r w:rsidRPr="00B46CAD">
        <w:t>In response to the Legislature’s petition, we sought preliminary oppositions from the Commission and the Secretary of State.  Both filed preliminary responses supporting the Legislature’s request.</w:t>
      </w:r>
      <w:r w:rsidRPr="00E12BBC">
        <w:rPr>
          <w:b/>
          <w:szCs w:val="27"/>
          <w:vertAlign w:val="superscript"/>
        </w:rPr>
        <w:footnoteReference w:id="3"/>
      </w:r>
      <w:r w:rsidRPr="00B46CAD">
        <w:t xml:space="preserve">  Shortly thereafter, we issued a </w:t>
      </w:r>
      <w:r w:rsidRPr="00B46CAD">
        <w:rPr>
          <w:i/>
        </w:rPr>
        <w:t>Palma</w:t>
      </w:r>
      <w:r w:rsidRPr="00B46CAD">
        <w:t xml:space="preserve"> </w:t>
      </w:r>
      <w:r w:rsidRPr="00B46CAD">
        <w:lastRenderedPageBreak/>
        <w:t xml:space="preserve">notice </w:t>
      </w:r>
      <w:r w:rsidR="00DA5CA2">
        <w:t>advising</w:t>
      </w:r>
      <w:r w:rsidR="00DA5CA2" w:rsidRPr="00B46CAD">
        <w:t xml:space="preserve"> </w:t>
      </w:r>
      <w:r w:rsidRPr="00B46CAD">
        <w:t xml:space="preserve">the parties that we </w:t>
      </w:r>
      <w:r w:rsidR="00DA5CA2">
        <w:t>m</w:t>
      </w:r>
      <w:r w:rsidR="00C34EA9">
        <w:t>ight</w:t>
      </w:r>
      <w:r w:rsidRPr="00B46CAD">
        <w:t xml:space="preserve"> issue a peremptory writ </w:t>
      </w:r>
      <w:r w:rsidR="00A748D1">
        <w:t xml:space="preserve">of mandate </w:t>
      </w:r>
      <w:r w:rsidRPr="00B46CAD">
        <w:t xml:space="preserve">in the first instance extending the time limits for the Commission to release draft and final maps and </w:t>
      </w:r>
      <w:r w:rsidR="00E23201" w:rsidRPr="00B46CAD">
        <w:t xml:space="preserve">inviting </w:t>
      </w:r>
      <w:r w:rsidRPr="00B46CAD">
        <w:t>the Commission and the Secretary of State to file any formal oppositions by June 29.  (</w:t>
      </w:r>
      <w:r w:rsidRPr="00B46CAD">
        <w:rPr>
          <w:i/>
          <w:iCs/>
        </w:rPr>
        <w:t>Palma v. U.S. Industrial Fasteners, Inc</w:t>
      </w:r>
      <w:r w:rsidRPr="00B46CAD">
        <w:t>.</w:t>
      </w:r>
      <w:r w:rsidR="00175A4F" w:rsidRPr="00B46CAD">
        <w:t xml:space="preserve">, </w:t>
      </w:r>
      <w:r w:rsidR="00175A4F" w:rsidRPr="00B46CAD">
        <w:rPr>
          <w:i/>
        </w:rPr>
        <w:t>supra</w:t>
      </w:r>
      <w:r w:rsidR="00175A4F" w:rsidRPr="00B46CAD">
        <w:t>,</w:t>
      </w:r>
      <w:r w:rsidRPr="00B46CAD">
        <w:t xml:space="preserve"> 36 Cal.3d 171;</w:t>
      </w:r>
      <w:r w:rsidR="00175A4F" w:rsidRPr="00B46CAD">
        <w:t xml:space="preserve"> see</w:t>
      </w:r>
      <w:r w:rsidRPr="00B46CAD">
        <w:rPr>
          <w:i/>
          <w:iCs/>
        </w:rPr>
        <w:t xml:space="preserve"> Lewis v. Superior Court</w:t>
      </w:r>
      <w:r w:rsidRPr="00B46CAD">
        <w:t xml:space="preserve"> (1999) 19 Cal.4th 1232.)  Both </w:t>
      </w:r>
      <w:r w:rsidR="00852EA8">
        <w:t xml:space="preserve">the Commission and the Secretary of State </w:t>
      </w:r>
      <w:r w:rsidRPr="00B46CAD">
        <w:t>again filed statements support</w:t>
      </w:r>
      <w:r w:rsidR="00BA37B8">
        <w:t>ing</w:t>
      </w:r>
      <w:r w:rsidRPr="00B46CAD">
        <w:t xml:space="preserve"> the Legislature’s request.</w:t>
      </w:r>
    </w:p>
    <w:p w14:paraId="329538EF" w14:textId="568FA061" w:rsidR="00121130" w:rsidRDefault="00660B8F" w:rsidP="00B46CAD">
      <w:pPr>
        <w:tabs>
          <w:tab w:val="left" w:pos="1440"/>
        </w:tabs>
        <w:ind w:firstLine="720"/>
      </w:pPr>
      <w:r w:rsidRPr="00B46CAD">
        <w:t>In its request, the Legislature invokes our authority to issue an extraordinary writ under article VI, section 10 of the California Constitution, which grants this court original jurisdiction in proceedings for extraordinary mandamus relief.  We have previously exercised this jurisdiction to consider and grant appropriate relief when necessary to the orderly functioning of our electoral system, and it is undisputed that we have the same authority here.  (</w:t>
      </w:r>
      <w:proofErr w:type="spellStart"/>
      <w:r w:rsidRPr="00B46CAD">
        <w:rPr>
          <w:i/>
        </w:rPr>
        <w:t>Vandermost</w:t>
      </w:r>
      <w:proofErr w:type="spellEnd"/>
      <w:r w:rsidRPr="00B46CAD">
        <w:rPr>
          <w:i/>
        </w:rPr>
        <w:t xml:space="preserve"> v. Bowen</w:t>
      </w:r>
      <w:r w:rsidRPr="00B46CAD">
        <w:t xml:space="preserve"> (2012) 53 Cal.4th 421, 451–453.)  </w:t>
      </w:r>
      <w:r w:rsidR="001473AB" w:rsidRPr="00B46CAD">
        <w:t xml:space="preserve">For the reasons explained below, we grant the Legislature’s petition and issue a peremptory writ of mandate </w:t>
      </w:r>
      <w:r w:rsidR="00943123">
        <w:t>adjusting the relevant deadlines in accordance with the forecasted delay in the Census Bureau’s release of the federal census data necessary to draw the new district maps</w:t>
      </w:r>
      <w:r w:rsidR="00D93595" w:rsidRPr="00B46CAD">
        <w:t>.</w:t>
      </w:r>
      <w:r w:rsidR="001473AB" w:rsidRPr="00362F0C">
        <w:rPr>
          <w:b/>
          <w:szCs w:val="27"/>
          <w:vertAlign w:val="superscript"/>
        </w:rPr>
        <w:footnoteReference w:id="4"/>
      </w:r>
    </w:p>
    <w:p w14:paraId="21B5F87A" w14:textId="77777777" w:rsidR="001473AB" w:rsidRPr="00B46CAD" w:rsidRDefault="001473AB" w:rsidP="00E12BBC">
      <w:pPr>
        <w:tabs>
          <w:tab w:val="left" w:pos="1440"/>
        </w:tabs>
        <w:jc w:val="center"/>
        <w:rPr>
          <w:b/>
        </w:rPr>
      </w:pPr>
      <w:r w:rsidRPr="00B46CAD">
        <w:rPr>
          <w:b/>
        </w:rPr>
        <w:t>II.</w:t>
      </w:r>
    </w:p>
    <w:p w14:paraId="3D3C6079" w14:textId="17A91DD5" w:rsidR="00067343" w:rsidRPr="00B46CAD" w:rsidRDefault="001473AB" w:rsidP="00B46CAD">
      <w:pPr>
        <w:tabs>
          <w:tab w:val="left" w:pos="1440"/>
        </w:tabs>
        <w:ind w:firstLine="720"/>
      </w:pPr>
      <w:r w:rsidRPr="00B46CAD">
        <w:t xml:space="preserve">The first deadline faced by the Commission is the July 1, 2021, deadline for </w:t>
      </w:r>
      <w:r w:rsidR="00171527" w:rsidRPr="00B46CAD">
        <w:t xml:space="preserve">displaying </w:t>
      </w:r>
      <w:r w:rsidRPr="00B46CAD">
        <w:t xml:space="preserve">the first preliminary statewide maps </w:t>
      </w:r>
      <w:r w:rsidR="00884CC6" w:rsidRPr="00B46CAD">
        <w:t xml:space="preserve">for </w:t>
      </w:r>
      <w:r w:rsidRPr="00B46CAD">
        <w:t>public comment.  (Gov. Code, §</w:t>
      </w:r>
      <w:r w:rsidR="00175A4F" w:rsidRPr="00B46CAD">
        <w:t> </w:t>
      </w:r>
      <w:r w:rsidRPr="00B46CAD">
        <w:t xml:space="preserve">8253, </w:t>
      </w:r>
      <w:proofErr w:type="spellStart"/>
      <w:r w:rsidRPr="00B46CAD">
        <w:t>subd</w:t>
      </w:r>
      <w:proofErr w:type="spellEnd"/>
      <w:r w:rsidRPr="00B46CAD">
        <w:t xml:space="preserve">. (a)(7).)  </w:t>
      </w:r>
      <w:r w:rsidR="00067343" w:rsidRPr="00B46CAD">
        <w:t>Because of the COVID-19 pandemic, t</w:t>
      </w:r>
      <w:r w:rsidR="00660B8F" w:rsidRPr="00B46CAD">
        <w:t xml:space="preserve">he </w:t>
      </w:r>
      <w:r w:rsidR="00383F32">
        <w:t xml:space="preserve">Census </w:t>
      </w:r>
      <w:r w:rsidR="00660B8F" w:rsidRPr="00B46CAD">
        <w:t>Bureau</w:t>
      </w:r>
      <w:r w:rsidR="00067343" w:rsidRPr="00B46CAD">
        <w:t xml:space="preserve"> </w:t>
      </w:r>
      <w:r w:rsidR="00C177E9">
        <w:t xml:space="preserve">has announced </w:t>
      </w:r>
      <w:r w:rsidR="00313E2B">
        <w:t xml:space="preserve">that </w:t>
      </w:r>
      <w:r w:rsidR="00F67DAE">
        <w:t>it</w:t>
      </w:r>
      <w:r w:rsidR="00C177E9">
        <w:t xml:space="preserve"> anticipates moving its scheduled deadline </w:t>
      </w:r>
      <w:r w:rsidR="001D4AA3">
        <w:t xml:space="preserve">for </w:t>
      </w:r>
      <w:r w:rsidR="00067343" w:rsidRPr="00B46CAD">
        <w:lastRenderedPageBreak/>
        <w:t>releas</w:t>
      </w:r>
      <w:r w:rsidR="001D4AA3">
        <w:t>ing</w:t>
      </w:r>
      <w:r w:rsidR="00067343" w:rsidRPr="00B46CAD">
        <w:t xml:space="preserve"> the federal census data </w:t>
      </w:r>
      <w:r w:rsidR="001D125B">
        <w:t>needed</w:t>
      </w:r>
      <w:r w:rsidR="001D125B" w:rsidRPr="00B46CAD">
        <w:t xml:space="preserve"> </w:t>
      </w:r>
      <w:r w:rsidR="00067343" w:rsidRPr="00B46CAD">
        <w:t xml:space="preserve">to draw the maps </w:t>
      </w:r>
      <w:r w:rsidR="00012F78">
        <w:t>to</w:t>
      </w:r>
      <w:r w:rsidR="00012F78" w:rsidRPr="00B46CAD">
        <w:t xml:space="preserve"> </w:t>
      </w:r>
      <w:r w:rsidR="00067343" w:rsidRPr="00B46CAD">
        <w:t>July 31, 2021</w:t>
      </w:r>
      <w:r w:rsidR="00827F31">
        <w:t xml:space="preserve"> </w:t>
      </w:r>
      <w:r w:rsidR="00067343" w:rsidRPr="00B46CAD">
        <w:t>—</w:t>
      </w:r>
      <w:r w:rsidR="00827F31">
        <w:t xml:space="preserve"> </w:t>
      </w:r>
      <w:r w:rsidR="00067343" w:rsidRPr="00B46CAD">
        <w:t>nearly a month after the Commission’s statutory deadline</w:t>
      </w:r>
      <w:r w:rsidR="006946C9">
        <w:t xml:space="preserve"> for publishing the draft maps</w:t>
      </w:r>
      <w:r w:rsidR="00067343" w:rsidRPr="00B46CAD">
        <w:t xml:space="preserve">.  Indeed, as a practical matter, the delay is even more </w:t>
      </w:r>
      <w:r w:rsidR="00882D6A">
        <w:t>substantial</w:t>
      </w:r>
      <w:r w:rsidR="00882D6A" w:rsidRPr="00B46CAD">
        <w:t xml:space="preserve"> </w:t>
      </w:r>
      <w:r w:rsidR="00067343" w:rsidRPr="00B46CAD">
        <w:t xml:space="preserve">than it might </w:t>
      </w:r>
      <w:r w:rsidR="00171527" w:rsidRPr="00B46CAD">
        <w:t xml:space="preserve">at first </w:t>
      </w:r>
      <w:r w:rsidR="00067343" w:rsidRPr="00B46CAD">
        <w:t>seem.  T</w:t>
      </w:r>
      <w:r w:rsidRPr="00B46CAD">
        <w:t xml:space="preserve">he </w:t>
      </w:r>
      <w:r w:rsidR="00067343" w:rsidRPr="00B46CAD">
        <w:t xml:space="preserve">Legislature reports that the </w:t>
      </w:r>
      <w:r w:rsidRPr="00B46CAD">
        <w:t xml:space="preserve">Commission cannot begin the process of </w:t>
      </w:r>
      <w:r w:rsidR="005337B3">
        <w:t>creating</w:t>
      </w:r>
      <w:r w:rsidR="005337B3" w:rsidRPr="00B46CAD">
        <w:t xml:space="preserve"> </w:t>
      </w:r>
      <w:r w:rsidRPr="00B46CAD">
        <w:t>the maps until the Legislature has first built the redistricting database for the Commission to use.  (</w:t>
      </w:r>
      <w:r w:rsidRPr="00B46CAD">
        <w:rPr>
          <w:i/>
        </w:rPr>
        <w:t>Id.</w:t>
      </w:r>
      <w:r w:rsidRPr="00B46CAD">
        <w:t xml:space="preserve">, </w:t>
      </w:r>
      <w:r w:rsidR="00D974C6">
        <w:t>§ </w:t>
      </w:r>
      <w:r w:rsidR="006A482F">
        <w:t xml:space="preserve">8253, </w:t>
      </w:r>
      <w:proofErr w:type="spellStart"/>
      <w:r w:rsidRPr="00B46CAD">
        <w:t>subd</w:t>
      </w:r>
      <w:proofErr w:type="spellEnd"/>
      <w:r w:rsidRPr="00B46CAD">
        <w:t xml:space="preserve">. (b).)  </w:t>
      </w:r>
      <w:r w:rsidR="00206A6E">
        <w:t xml:space="preserve">In a declaration submitted with the Legislature’s petition, the director of the database explains </w:t>
      </w:r>
      <w:r w:rsidR="00AC4633" w:rsidRPr="00B46CAD">
        <w:t xml:space="preserve">that </w:t>
      </w:r>
      <w:r w:rsidR="00F67DAE">
        <w:t xml:space="preserve">it </w:t>
      </w:r>
      <w:r w:rsidRPr="00B46CAD">
        <w:t xml:space="preserve">takes approximately one month to </w:t>
      </w:r>
      <w:r w:rsidR="00206A6E">
        <w:t>create</w:t>
      </w:r>
      <w:r w:rsidR="00206A6E" w:rsidRPr="00B46CAD">
        <w:t xml:space="preserve"> th</w:t>
      </w:r>
      <w:r w:rsidR="00206A6E">
        <w:t>is</w:t>
      </w:r>
      <w:r w:rsidR="00206A6E" w:rsidRPr="00B46CAD">
        <w:t xml:space="preserve"> </w:t>
      </w:r>
      <w:r w:rsidRPr="00B46CAD">
        <w:t xml:space="preserve">database after the </w:t>
      </w:r>
      <w:r w:rsidR="00C4669A">
        <w:t xml:space="preserve">state receives </w:t>
      </w:r>
      <w:r w:rsidRPr="00B46CAD">
        <w:t xml:space="preserve">the census data.  This means that if the census data are </w:t>
      </w:r>
      <w:r w:rsidR="00FA0C7F" w:rsidRPr="00B46CAD">
        <w:t xml:space="preserve">not </w:t>
      </w:r>
      <w:r w:rsidRPr="00B46CAD">
        <w:t xml:space="preserve">delivered </w:t>
      </w:r>
      <w:r w:rsidR="00FA0C7F" w:rsidRPr="00B46CAD">
        <w:t xml:space="preserve">until </w:t>
      </w:r>
      <w:r w:rsidRPr="00B46CAD">
        <w:t xml:space="preserve">July 31, 2021, </w:t>
      </w:r>
      <w:r w:rsidR="00067343" w:rsidRPr="00B46CAD">
        <w:t xml:space="preserve">then </w:t>
      </w:r>
      <w:r w:rsidRPr="00B46CAD">
        <w:t>the earliest the Commission could begin drawing maps would be August 31, 2021</w:t>
      </w:r>
      <w:r w:rsidR="00827F31">
        <w:t xml:space="preserve"> </w:t>
      </w:r>
      <w:r w:rsidRPr="00B46CAD">
        <w:t>—</w:t>
      </w:r>
      <w:r w:rsidR="00827F31">
        <w:t xml:space="preserve"> </w:t>
      </w:r>
      <w:r w:rsidR="00067343" w:rsidRPr="00B46CAD">
        <w:t xml:space="preserve">fully </w:t>
      </w:r>
      <w:r w:rsidRPr="00B46CAD">
        <w:t xml:space="preserve">two months </w:t>
      </w:r>
      <w:r w:rsidRPr="00B46CAD">
        <w:rPr>
          <w:iCs/>
        </w:rPr>
        <w:t>after</w:t>
      </w:r>
      <w:r w:rsidRPr="00B46CAD">
        <w:t xml:space="preserve"> the statutory deadline for the Commission to publicly </w:t>
      </w:r>
      <w:r w:rsidR="0057067D" w:rsidRPr="00B46CAD">
        <w:t xml:space="preserve">release </w:t>
      </w:r>
      <w:r w:rsidRPr="00B46CAD">
        <w:t xml:space="preserve">the first </w:t>
      </w:r>
      <w:r w:rsidR="005B76C9">
        <w:t>round of draft</w:t>
      </w:r>
      <w:r w:rsidRPr="00B46CAD">
        <w:t xml:space="preserve"> maps.  </w:t>
      </w:r>
    </w:p>
    <w:p w14:paraId="1A637D59" w14:textId="32D5B898" w:rsidR="001473AB" w:rsidRPr="00B46CAD" w:rsidRDefault="00687EE4" w:rsidP="00B46CAD">
      <w:pPr>
        <w:tabs>
          <w:tab w:val="left" w:pos="1440"/>
        </w:tabs>
        <w:ind w:firstLine="720"/>
      </w:pPr>
      <w:r>
        <w:t xml:space="preserve">In </w:t>
      </w:r>
      <w:r w:rsidR="008A06D0">
        <w:t>other words</w:t>
      </w:r>
      <w:r>
        <w:t>, t</w:t>
      </w:r>
      <w:r w:rsidR="00067343" w:rsidRPr="00B46CAD">
        <w:t xml:space="preserve">he </w:t>
      </w:r>
      <w:r w:rsidR="00383F32">
        <w:t xml:space="preserve">Census </w:t>
      </w:r>
      <w:r w:rsidR="00067343" w:rsidRPr="00B46CAD">
        <w:t xml:space="preserve">Bureau’s adjusted timeline for release of the census data will make it impossible for </w:t>
      </w:r>
      <w:r w:rsidR="001473AB" w:rsidRPr="00B46CAD">
        <w:t xml:space="preserve">the Commission to meet </w:t>
      </w:r>
      <w:r w:rsidR="00616DE9">
        <w:t xml:space="preserve">the </w:t>
      </w:r>
      <w:r w:rsidR="00067343" w:rsidRPr="00B46CAD">
        <w:t xml:space="preserve">statutory </w:t>
      </w:r>
      <w:r w:rsidR="00616DE9">
        <w:t xml:space="preserve">July 1 </w:t>
      </w:r>
      <w:r w:rsidR="001473AB" w:rsidRPr="00B46CAD">
        <w:t>deadline</w:t>
      </w:r>
      <w:r w:rsidR="00FA1814">
        <w:t xml:space="preserve"> for release of the first preliminary statewide redistricting maps</w:t>
      </w:r>
      <w:r w:rsidR="001473AB" w:rsidRPr="00B46CAD">
        <w:t xml:space="preserve">.  </w:t>
      </w:r>
      <w:r w:rsidR="00A74EFE">
        <w:t>T</w:t>
      </w:r>
      <w:r w:rsidR="001473AB" w:rsidRPr="00B46CAD">
        <w:t>he Legislature, Secretary of State, and Commission all contend that</w:t>
      </w:r>
      <w:r w:rsidR="009C0FE7">
        <w:t xml:space="preserve">, given the extraordinary and unforeseen circumstances that have rendered compliance with the deadline impossible, </w:t>
      </w:r>
      <w:r w:rsidR="00CA47D9">
        <w:t xml:space="preserve">the proper remedy is </w:t>
      </w:r>
      <w:r w:rsidR="00926C07">
        <w:t xml:space="preserve">for this court </w:t>
      </w:r>
      <w:r w:rsidR="00CA47D9">
        <w:t xml:space="preserve">to extend </w:t>
      </w:r>
      <w:r w:rsidR="006F6E6C">
        <w:t xml:space="preserve">the deadline </w:t>
      </w:r>
      <w:r w:rsidR="002C74EB">
        <w:t xml:space="preserve">and thereby </w:t>
      </w:r>
      <w:r w:rsidR="001473AB" w:rsidRPr="00B46CAD">
        <w:t xml:space="preserve">preserve the </w:t>
      </w:r>
      <w:r w:rsidR="001373DF">
        <w:t>intended</w:t>
      </w:r>
      <w:r w:rsidR="00926C07">
        <w:t xml:space="preserve"> operation of </w:t>
      </w:r>
      <w:r w:rsidR="00CD0D65">
        <w:t xml:space="preserve">the </w:t>
      </w:r>
      <w:r w:rsidR="00A12DF2">
        <w:t>statut</w:t>
      </w:r>
      <w:r w:rsidR="00AC52C2">
        <w:t>ory framework</w:t>
      </w:r>
      <w:r w:rsidR="001473AB" w:rsidRPr="00B46CAD">
        <w:t>.  We agree</w:t>
      </w:r>
      <w:r w:rsidR="00B57862" w:rsidRPr="00B46CAD">
        <w:t xml:space="preserve">, and </w:t>
      </w:r>
      <w:r w:rsidR="00171527" w:rsidRPr="00B46CAD">
        <w:t xml:space="preserve">we </w:t>
      </w:r>
      <w:r w:rsidR="00B57862" w:rsidRPr="00B46CAD">
        <w:t>do so here</w:t>
      </w:r>
      <w:r w:rsidR="001473AB" w:rsidRPr="00B46CAD">
        <w:t xml:space="preserve">.  </w:t>
      </w:r>
    </w:p>
    <w:p w14:paraId="1E8565E7" w14:textId="29D71BF1" w:rsidR="00121534" w:rsidRDefault="00EC33C6" w:rsidP="00B46CAD">
      <w:pPr>
        <w:tabs>
          <w:tab w:val="left" w:pos="1440"/>
        </w:tabs>
        <w:ind w:firstLine="720"/>
      </w:pPr>
      <w:r w:rsidRPr="00B46CAD">
        <w:t xml:space="preserve">We </w:t>
      </w:r>
      <w:r w:rsidR="002803C2" w:rsidRPr="00B46CAD">
        <w:t xml:space="preserve">comprehensively </w:t>
      </w:r>
      <w:r w:rsidR="00D111AF" w:rsidRPr="00B46CAD">
        <w:t xml:space="preserve">discussed </w:t>
      </w:r>
      <w:r w:rsidRPr="00B46CAD">
        <w:t xml:space="preserve">our power to grant </w:t>
      </w:r>
      <w:r w:rsidR="006157A8">
        <w:t xml:space="preserve">the kind of </w:t>
      </w:r>
      <w:r w:rsidRPr="00B46CAD">
        <w:t xml:space="preserve">relief </w:t>
      </w:r>
      <w:r w:rsidR="006157A8">
        <w:t xml:space="preserve">the Legislature seeks </w:t>
      </w:r>
      <w:r w:rsidR="002803C2" w:rsidRPr="00B46CAD">
        <w:t xml:space="preserve">in </w:t>
      </w:r>
      <w:r w:rsidR="001473AB" w:rsidRPr="00B46CAD">
        <w:rPr>
          <w:i/>
        </w:rPr>
        <w:t>Kopp v. Fair Po</w:t>
      </w:r>
      <w:r w:rsidR="00D47611" w:rsidRPr="00B46CAD">
        <w:rPr>
          <w:i/>
        </w:rPr>
        <w:t>l.</w:t>
      </w:r>
      <w:r w:rsidR="001473AB" w:rsidRPr="00B46CAD">
        <w:rPr>
          <w:i/>
        </w:rPr>
        <w:t xml:space="preserve"> Practices Com</w:t>
      </w:r>
      <w:r w:rsidR="00D47611" w:rsidRPr="00B46CAD">
        <w:rPr>
          <w:i/>
        </w:rPr>
        <w:t>.</w:t>
      </w:r>
      <w:r w:rsidR="001473AB" w:rsidRPr="00B46CAD">
        <w:t xml:space="preserve"> (1995) 11 Cal.4th 607 (</w:t>
      </w:r>
      <w:r w:rsidR="001473AB" w:rsidRPr="00B46CAD">
        <w:rPr>
          <w:i/>
        </w:rPr>
        <w:t>Kopp</w:t>
      </w:r>
      <w:r w:rsidR="001473AB" w:rsidRPr="00B46CAD">
        <w:t>)</w:t>
      </w:r>
      <w:r w:rsidR="00305721" w:rsidRPr="00B46CAD">
        <w:t>.  In that case</w:t>
      </w:r>
      <w:r w:rsidR="00594909">
        <w:t>,</w:t>
      </w:r>
      <w:r w:rsidR="001473AB" w:rsidRPr="00B46CAD">
        <w:t xml:space="preserve"> we addressed a challenge to the constitutionality of a suite of voter-enacted statutes that governed the financing of state and local political </w:t>
      </w:r>
      <w:r w:rsidR="001473AB" w:rsidRPr="00B46CAD">
        <w:lastRenderedPageBreak/>
        <w:t>campaigns.  (</w:t>
      </w:r>
      <w:r w:rsidR="001473AB" w:rsidRPr="00B46CAD">
        <w:rPr>
          <w:i/>
        </w:rPr>
        <w:t>Id.</w:t>
      </w:r>
      <w:r w:rsidR="001473AB" w:rsidRPr="00B46CAD">
        <w:t xml:space="preserve"> at p.</w:t>
      </w:r>
      <w:r w:rsidR="00606B50" w:rsidRPr="00B46CAD">
        <w:t> </w:t>
      </w:r>
      <w:r w:rsidR="001473AB" w:rsidRPr="00B46CAD">
        <w:t xml:space="preserve">614.)  After </w:t>
      </w:r>
      <w:r w:rsidR="00C44FF4" w:rsidRPr="00B46CAD">
        <w:t xml:space="preserve">holding </w:t>
      </w:r>
      <w:r w:rsidR="001473AB" w:rsidRPr="00B46CAD">
        <w:t>certain statutes were unconstitutional as written, we considered whether, in</w:t>
      </w:r>
      <w:r w:rsidR="00882D6A">
        <w:t>stead</w:t>
      </w:r>
      <w:r w:rsidR="001473AB" w:rsidRPr="00B46CAD">
        <w:t xml:space="preserve"> of invalidating the statutes, we could reform the statutes to preserve them.  (</w:t>
      </w:r>
      <w:r w:rsidR="001473AB" w:rsidRPr="00B46CAD">
        <w:rPr>
          <w:i/>
        </w:rPr>
        <w:t>Id.</w:t>
      </w:r>
      <w:r w:rsidR="001473AB" w:rsidRPr="00B46CAD">
        <w:t xml:space="preserve"> at p.</w:t>
      </w:r>
      <w:r w:rsidR="00606B50" w:rsidRPr="00B46CAD">
        <w:t> </w:t>
      </w:r>
      <w:r w:rsidR="001473AB" w:rsidRPr="00B46CAD">
        <w:t xml:space="preserve">615.)  We </w:t>
      </w:r>
      <w:r w:rsidRPr="00B46CAD">
        <w:t xml:space="preserve">explained </w:t>
      </w:r>
      <w:r w:rsidR="001473AB" w:rsidRPr="00B46CAD">
        <w:t>that “[u]</w:t>
      </w:r>
      <w:proofErr w:type="spellStart"/>
      <w:r w:rsidR="001473AB" w:rsidRPr="00B46CAD">
        <w:t>nder</w:t>
      </w:r>
      <w:proofErr w:type="spellEnd"/>
      <w:r w:rsidR="001473AB" w:rsidRPr="00B46CAD">
        <w:t xml:space="preserve"> established decisions of this court and the United States Supreme Court, a reviewing court may, in appropriate circumstances, and consistently with the separation of powers doctrine, reform a statute to conform it to constitutional requirements in lieu of simply declaring it unconstitutional and unenforceable.  The guiding principle is consistency with the Legislature’s (or, as here, the electorate’s) intent.”  (</w:t>
      </w:r>
      <w:r w:rsidR="001473AB" w:rsidRPr="00B46CAD">
        <w:rPr>
          <w:i/>
        </w:rPr>
        <w:t>Ibid</w:t>
      </w:r>
      <w:r w:rsidR="001473AB" w:rsidRPr="00B46CAD">
        <w:t>.)  “</w:t>
      </w:r>
      <w:r w:rsidR="00D47611" w:rsidRPr="00B46CAD">
        <w:t>[</w:t>
      </w:r>
      <w:r w:rsidR="001473AB" w:rsidRPr="00B46CAD">
        <w:t>A</w:t>
      </w:r>
      <w:r w:rsidR="00D47611" w:rsidRPr="00B46CAD">
        <w:t>]</w:t>
      </w:r>
      <w:r w:rsidR="001473AB" w:rsidRPr="00B46CAD">
        <w:t xml:space="preserve"> court may reform a statute to satisfy constitutional requirements if it can conclude with confidence that (</w:t>
      </w:r>
      <w:proofErr w:type="spellStart"/>
      <w:r w:rsidR="001473AB" w:rsidRPr="00B46CAD">
        <w:t>i</w:t>
      </w:r>
      <w:proofErr w:type="spellEnd"/>
      <w:r w:rsidR="001473AB" w:rsidRPr="00B46CAD">
        <w:t>) it is possible to reform the statute in a manner that closely effectuates policy judgments clearly articulated by the enacting body, and (ii) the enacting body would have preferred such a reformed version of the statute to invalidation of the statute.”  (</w:t>
      </w:r>
      <w:r w:rsidR="001473AB" w:rsidRPr="00B46CAD">
        <w:rPr>
          <w:i/>
        </w:rPr>
        <w:t>Ibid</w:t>
      </w:r>
      <w:r w:rsidR="001473AB" w:rsidRPr="00B46CAD">
        <w:t>.)</w:t>
      </w:r>
    </w:p>
    <w:p w14:paraId="75CC774D" w14:textId="73BA1A50" w:rsidR="001473AB" w:rsidRPr="00B46CAD" w:rsidRDefault="0096330D" w:rsidP="00B46CAD">
      <w:pPr>
        <w:tabs>
          <w:tab w:val="left" w:pos="1440"/>
        </w:tabs>
        <w:ind w:firstLine="720"/>
      </w:pPr>
      <w:r>
        <w:t xml:space="preserve">In </w:t>
      </w:r>
      <w:r>
        <w:rPr>
          <w:i/>
          <w:iCs/>
        </w:rPr>
        <w:t>Kopp</w:t>
      </w:r>
      <w:r w:rsidR="006F65DF">
        <w:rPr>
          <w:iCs/>
        </w:rPr>
        <w:t>,</w:t>
      </w:r>
      <w:r>
        <w:t xml:space="preserve"> w</w:t>
      </w:r>
      <w:r w:rsidR="001473AB" w:rsidRPr="00B46CAD">
        <w:t>e concluded</w:t>
      </w:r>
      <w:r w:rsidR="00762A28" w:rsidRPr="00B46CAD">
        <w:t xml:space="preserve"> </w:t>
      </w:r>
      <w:r w:rsidR="001473AB" w:rsidRPr="00B46CAD">
        <w:t>that the statutes in question could not be reformed consistent with the intent of the voters in enacting the statutes.  (</w:t>
      </w:r>
      <w:r w:rsidR="001473AB" w:rsidRPr="00B46CAD">
        <w:rPr>
          <w:i/>
        </w:rPr>
        <w:t>Id.</w:t>
      </w:r>
      <w:r w:rsidR="001473AB" w:rsidRPr="00B46CAD">
        <w:t xml:space="preserve"> at p.</w:t>
      </w:r>
      <w:r w:rsidR="00606B50" w:rsidRPr="00B46CAD">
        <w:t> </w:t>
      </w:r>
      <w:r w:rsidR="001473AB" w:rsidRPr="00B46CAD">
        <w:t xml:space="preserve">671.)  </w:t>
      </w:r>
      <w:r w:rsidR="00762A28" w:rsidRPr="00B46CAD">
        <w:t>But i</w:t>
      </w:r>
      <w:r w:rsidR="001473AB" w:rsidRPr="00B46CAD">
        <w:t xml:space="preserve">n the years since, we have applied </w:t>
      </w:r>
      <w:r w:rsidR="001473AB" w:rsidRPr="00B46CAD">
        <w:rPr>
          <w:i/>
        </w:rPr>
        <w:t>Kopp</w:t>
      </w:r>
      <w:r w:rsidR="001473AB" w:rsidRPr="00B46CAD">
        <w:t xml:space="preserve"> to reform statutes where it was feasible to do so in a manner that would effectuate the clearly articulated policy judgments of the enactors.  (See, e.g., </w:t>
      </w:r>
      <w:r w:rsidR="001473AB" w:rsidRPr="00B46CAD">
        <w:rPr>
          <w:i/>
        </w:rPr>
        <w:t>Property Reserve, Inc. v. Superior Court</w:t>
      </w:r>
      <w:r w:rsidR="001473AB" w:rsidRPr="00B46CAD">
        <w:t xml:space="preserve"> (2016) 1 Cal.5th 151, 208–209 [reforming statute to remedy a constitutional flaw</w:t>
      </w:r>
      <w:r w:rsidR="00A762A8" w:rsidRPr="00B46CAD">
        <w:t xml:space="preserve"> by </w:t>
      </w:r>
      <w:r w:rsidR="001473AB" w:rsidRPr="00B46CAD">
        <w:t>provid</w:t>
      </w:r>
      <w:r w:rsidR="00155289" w:rsidRPr="00B46CAD">
        <w:t>ing</w:t>
      </w:r>
      <w:r w:rsidR="001473AB" w:rsidRPr="00B46CAD">
        <w:t xml:space="preserve"> property owners the right to a jury trial in </w:t>
      </w:r>
      <w:proofErr w:type="spellStart"/>
      <w:r w:rsidR="001473AB" w:rsidRPr="00B46CAD">
        <w:t>precondemnation</w:t>
      </w:r>
      <w:proofErr w:type="spellEnd"/>
      <w:r w:rsidR="001473AB" w:rsidRPr="00B46CAD">
        <w:t xml:space="preserve"> proceedings].)</w:t>
      </w:r>
    </w:p>
    <w:p w14:paraId="4009B91D" w14:textId="4590587D" w:rsidR="001473AB" w:rsidRPr="00B46CAD" w:rsidRDefault="001473AB" w:rsidP="00B46CAD">
      <w:pPr>
        <w:tabs>
          <w:tab w:val="left" w:pos="1440"/>
        </w:tabs>
        <w:ind w:firstLine="720"/>
      </w:pPr>
      <w:r w:rsidRPr="00B46CAD">
        <w:t xml:space="preserve">In </w:t>
      </w:r>
      <w:r w:rsidRPr="00B46CAD">
        <w:rPr>
          <w:i/>
        </w:rPr>
        <w:t xml:space="preserve">California Redevelopment Assn. v. </w:t>
      </w:r>
      <w:proofErr w:type="spellStart"/>
      <w:r w:rsidRPr="00B46CAD">
        <w:rPr>
          <w:i/>
        </w:rPr>
        <w:t>Matosantos</w:t>
      </w:r>
      <w:proofErr w:type="spellEnd"/>
      <w:r w:rsidRPr="00B46CAD">
        <w:t xml:space="preserve"> (2011) 53 Cal.4th 231 (</w:t>
      </w:r>
      <w:proofErr w:type="spellStart"/>
      <w:r w:rsidRPr="00B46CAD">
        <w:rPr>
          <w:i/>
        </w:rPr>
        <w:t>Matosantos</w:t>
      </w:r>
      <w:proofErr w:type="spellEnd"/>
      <w:r w:rsidRPr="00B46CAD">
        <w:t xml:space="preserve">), we applied </w:t>
      </w:r>
      <w:r w:rsidRPr="00B46CAD">
        <w:rPr>
          <w:i/>
        </w:rPr>
        <w:t>Kopp</w:t>
      </w:r>
      <w:r w:rsidRPr="00B46CAD">
        <w:t xml:space="preserve"> to </w:t>
      </w:r>
      <w:r w:rsidR="00373183" w:rsidRPr="00B46CAD">
        <w:t xml:space="preserve">a </w:t>
      </w:r>
      <w:r w:rsidRPr="00B46CAD">
        <w:t xml:space="preserve">situation in which a statute </w:t>
      </w:r>
      <w:r w:rsidR="00373183" w:rsidRPr="00B46CAD">
        <w:t>could not be implemented as written</w:t>
      </w:r>
      <w:r w:rsidRPr="00B46CAD">
        <w:t xml:space="preserve"> because </w:t>
      </w:r>
      <w:r w:rsidRPr="00B46CAD">
        <w:lastRenderedPageBreak/>
        <w:t xml:space="preserve">circumstances had made it </w:t>
      </w:r>
      <w:r w:rsidRPr="00B46CAD">
        <w:rPr>
          <w:iCs/>
        </w:rPr>
        <w:t>impossible</w:t>
      </w:r>
      <w:r w:rsidRPr="00B46CAD">
        <w:t xml:space="preserve"> for the statute to </w:t>
      </w:r>
      <w:r w:rsidR="00373183" w:rsidRPr="00B46CAD">
        <w:t>be carried out in accordance with the deadlines written into it</w:t>
      </w:r>
      <w:r w:rsidRPr="00B46CAD">
        <w:t xml:space="preserve">.  In </w:t>
      </w:r>
      <w:proofErr w:type="spellStart"/>
      <w:r w:rsidRPr="00B46CAD">
        <w:rPr>
          <w:i/>
        </w:rPr>
        <w:t>Matosantos</w:t>
      </w:r>
      <w:proofErr w:type="spellEnd"/>
      <w:r w:rsidRPr="00B46CAD">
        <w:t xml:space="preserve">, we had partially stayed the implementation of </w:t>
      </w:r>
      <w:r w:rsidR="00373183" w:rsidRPr="00B46CAD">
        <w:t xml:space="preserve">two </w:t>
      </w:r>
      <w:r w:rsidRPr="00B46CAD">
        <w:t>statute</w:t>
      </w:r>
      <w:r w:rsidR="00373183" w:rsidRPr="00B46CAD">
        <w:t>s</w:t>
      </w:r>
      <w:r w:rsidRPr="00B46CAD">
        <w:t xml:space="preserve"> pending our review of a challenge to </w:t>
      </w:r>
      <w:r w:rsidR="00373183" w:rsidRPr="00B46CAD">
        <w:t xml:space="preserve">their </w:t>
      </w:r>
      <w:r w:rsidRPr="00B46CAD">
        <w:t>validity.  (</w:t>
      </w:r>
      <w:r w:rsidRPr="00B46CAD">
        <w:rPr>
          <w:i/>
        </w:rPr>
        <w:t>Id.</w:t>
      </w:r>
      <w:r w:rsidRPr="00B46CAD">
        <w:t xml:space="preserve"> at p.</w:t>
      </w:r>
      <w:r w:rsidR="00606B50" w:rsidRPr="00B46CAD">
        <w:t> </w:t>
      </w:r>
      <w:r w:rsidRPr="00B46CAD">
        <w:t xml:space="preserve">274.)  After upholding </w:t>
      </w:r>
      <w:r w:rsidR="00373183" w:rsidRPr="00B46CAD">
        <w:t xml:space="preserve">the </w:t>
      </w:r>
      <w:r w:rsidRPr="00B46CAD">
        <w:t>validity</w:t>
      </w:r>
      <w:r w:rsidR="00FC5197" w:rsidRPr="00B46CAD">
        <w:t xml:space="preserve"> of one of the two statutes</w:t>
      </w:r>
      <w:r w:rsidRPr="00B46CAD">
        <w:t xml:space="preserve">, we recognized that several “critical deadlines” in </w:t>
      </w:r>
      <w:r w:rsidR="00373183" w:rsidRPr="00B46CAD">
        <w:t>th</w:t>
      </w:r>
      <w:r w:rsidR="00884CC6" w:rsidRPr="00B46CAD">
        <w:t>e</w:t>
      </w:r>
      <w:r w:rsidR="00373183" w:rsidRPr="00B46CAD">
        <w:t xml:space="preserve"> </w:t>
      </w:r>
      <w:r w:rsidRPr="00B46CAD">
        <w:t>statute had passed and could no longer be met.  (</w:t>
      </w:r>
      <w:r w:rsidRPr="00B46CAD">
        <w:rPr>
          <w:i/>
        </w:rPr>
        <w:t>Ibid.</w:t>
      </w:r>
      <w:r w:rsidRPr="00B46CAD">
        <w:t>)  “This impossibility,” we said, “ought not to prevent the Legislature’s valid enactment from taking effect.”  (</w:t>
      </w:r>
      <w:r w:rsidRPr="00B46CAD">
        <w:rPr>
          <w:i/>
        </w:rPr>
        <w:t>Ibid.</w:t>
      </w:r>
      <w:r w:rsidRPr="00B46CAD">
        <w:t xml:space="preserve">)  In situations like these, </w:t>
      </w:r>
      <w:r w:rsidR="00643DE4" w:rsidRPr="00B46CAD">
        <w:t xml:space="preserve">we </w:t>
      </w:r>
      <w:r w:rsidR="00FC5197" w:rsidRPr="00B46CAD">
        <w:t>explained</w:t>
      </w:r>
      <w:r w:rsidR="00643DE4" w:rsidRPr="00B46CAD">
        <w:t xml:space="preserve">, </w:t>
      </w:r>
      <w:r w:rsidRPr="00B46CAD">
        <w:t xml:space="preserve">the standard from </w:t>
      </w:r>
      <w:r w:rsidRPr="00B46CAD">
        <w:rPr>
          <w:i/>
        </w:rPr>
        <w:t>Kopp</w:t>
      </w:r>
      <w:r w:rsidRPr="00B46CAD">
        <w:t xml:space="preserve"> applies for deciding whether a statutory deadline can be reformed:  “Reformation is proper when it is feasible to do so in a manner that carries out those policy choices clearly expressed in the original legislation</w:t>
      </w:r>
      <w:r w:rsidR="00D47611" w:rsidRPr="00B46CAD">
        <w:t>,</w:t>
      </w:r>
      <w:r w:rsidRPr="00B46CAD">
        <w:t xml:space="preserve"> and when the legislative body would have preferred reform to ineffectuality.”  (</w:t>
      </w:r>
      <w:proofErr w:type="spellStart"/>
      <w:r w:rsidR="00643DE4" w:rsidRPr="00B46CAD">
        <w:rPr>
          <w:i/>
        </w:rPr>
        <w:t>Matosantos</w:t>
      </w:r>
      <w:proofErr w:type="spellEnd"/>
      <w:r w:rsidR="00643DE4" w:rsidRPr="00B46CAD">
        <w:t>,</w:t>
      </w:r>
      <w:r w:rsidRPr="00B46CAD">
        <w:t xml:space="preserve"> at p. 274</w:t>
      </w:r>
      <w:r w:rsidR="00B55A14">
        <w:t xml:space="preserve">; see </w:t>
      </w:r>
      <w:r w:rsidR="00B55A14" w:rsidRPr="00B55A14">
        <w:rPr>
          <w:i/>
          <w:iCs/>
        </w:rPr>
        <w:t>id.</w:t>
      </w:r>
      <w:r w:rsidR="00B55A14">
        <w:t xml:space="preserve"> at p. 275</w:t>
      </w:r>
      <w:r w:rsidRPr="00B46CAD">
        <w:t>.)  “By exercising the power of reform .</w:t>
      </w:r>
      <w:r w:rsidR="00606B50" w:rsidRPr="00B46CAD">
        <w:t> </w:t>
      </w:r>
      <w:r w:rsidRPr="00B46CAD">
        <w:t>.</w:t>
      </w:r>
      <w:r w:rsidR="00606B50" w:rsidRPr="00B46CAD">
        <w:t> </w:t>
      </w:r>
      <w:r w:rsidRPr="00B46CAD">
        <w:t>. we may as closely as possible effectuate the Legislature’s intent and allow its valid enactment to have its intended effect.”  (</w:t>
      </w:r>
      <w:r w:rsidRPr="00B46CAD">
        <w:rPr>
          <w:i/>
        </w:rPr>
        <w:t>Id.</w:t>
      </w:r>
      <w:r w:rsidR="00B55A14">
        <w:rPr>
          <w:i/>
        </w:rPr>
        <w:t xml:space="preserve"> </w:t>
      </w:r>
      <w:r w:rsidR="00B55A14">
        <w:rPr>
          <w:iCs/>
        </w:rPr>
        <w:t>at p. 274.</w:t>
      </w:r>
      <w:r w:rsidRPr="00B46CAD">
        <w:t xml:space="preserve">)  In other words, the court has the inherent authority to reform a statute in situations where </w:t>
      </w:r>
      <w:r w:rsidRPr="00B46CAD">
        <w:rPr>
          <w:i/>
        </w:rPr>
        <w:t>impossibility</w:t>
      </w:r>
      <w:r w:rsidRPr="00B46CAD">
        <w:t xml:space="preserve"> would have the same effect as invalidity, </w:t>
      </w:r>
      <w:r w:rsidR="00643DE4" w:rsidRPr="00B46CAD">
        <w:t xml:space="preserve">preventing </w:t>
      </w:r>
      <w:r w:rsidRPr="00B46CAD">
        <w:t xml:space="preserve">the statute </w:t>
      </w:r>
      <w:r w:rsidR="00643DE4" w:rsidRPr="00B46CAD">
        <w:t>from being carried out in accordance with its literal terms</w:t>
      </w:r>
      <w:r w:rsidRPr="00B46CAD">
        <w:t xml:space="preserve">, but only if the court can do so consistent with the enactors’ intent.  In </w:t>
      </w:r>
      <w:proofErr w:type="spellStart"/>
      <w:r w:rsidRPr="00B46CAD">
        <w:rPr>
          <w:i/>
        </w:rPr>
        <w:t>Matosantos</w:t>
      </w:r>
      <w:proofErr w:type="spellEnd"/>
      <w:r w:rsidRPr="00B46CAD">
        <w:t xml:space="preserve">, we extended </w:t>
      </w:r>
      <w:r w:rsidR="00907B6B" w:rsidRPr="00B46CAD">
        <w:t xml:space="preserve">several </w:t>
      </w:r>
      <w:r w:rsidRPr="00B46CAD">
        <w:t>statutory deadline</w:t>
      </w:r>
      <w:r w:rsidR="00907B6B" w:rsidRPr="00B46CAD">
        <w:t>s</w:t>
      </w:r>
      <w:r w:rsidRPr="00B46CAD">
        <w:t xml:space="preserve"> by the duration of the court’s stay to “retain the relative spacing of events originally intended by the Legislature and simplify compliance for all affected parties.”  </w:t>
      </w:r>
      <w:r w:rsidR="001127A9">
        <w:t>(</w:t>
      </w:r>
      <w:r w:rsidR="001127A9" w:rsidRPr="001127A9">
        <w:rPr>
          <w:i/>
        </w:rPr>
        <w:t>Id.</w:t>
      </w:r>
      <w:r w:rsidR="001127A9">
        <w:t xml:space="preserve"> at p. 275.)  </w:t>
      </w:r>
      <w:r w:rsidR="00907B6B" w:rsidRPr="00B46CAD">
        <w:t xml:space="preserve">This included deadlines that had passed during the stay as well as future deadlines that </w:t>
      </w:r>
      <w:r w:rsidR="00D50E29" w:rsidRPr="00B46CAD">
        <w:t>needed</w:t>
      </w:r>
      <w:r w:rsidR="00907B6B" w:rsidRPr="00B46CAD">
        <w:t xml:space="preserve"> to be adjusted to maintain the sequence of </w:t>
      </w:r>
      <w:r w:rsidR="009830DD" w:rsidRPr="00B46CAD">
        <w:t>events</w:t>
      </w:r>
      <w:r w:rsidR="00907B6B" w:rsidRPr="00B46CAD">
        <w:t xml:space="preserve"> </w:t>
      </w:r>
      <w:r w:rsidR="009830DD" w:rsidRPr="00B46CAD">
        <w:t xml:space="preserve">spelled out </w:t>
      </w:r>
      <w:r w:rsidR="00907B6B" w:rsidRPr="00B46CAD">
        <w:t xml:space="preserve">in the statute.  </w:t>
      </w:r>
      <w:r w:rsidRPr="00B46CAD">
        <w:t>(</w:t>
      </w:r>
      <w:r w:rsidRPr="00B46CAD">
        <w:rPr>
          <w:i/>
        </w:rPr>
        <w:t>I</w:t>
      </w:r>
      <w:r w:rsidR="001127A9">
        <w:rPr>
          <w:i/>
        </w:rPr>
        <w:t>bi</w:t>
      </w:r>
      <w:r w:rsidRPr="00B46CAD">
        <w:rPr>
          <w:i/>
        </w:rPr>
        <w:t>d.</w:t>
      </w:r>
      <w:r w:rsidRPr="00B46CAD">
        <w:t xml:space="preserve">; see also </w:t>
      </w:r>
      <w:r w:rsidRPr="00B46CAD">
        <w:rPr>
          <w:i/>
        </w:rPr>
        <w:t>Briggs v. Brow</w:t>
      </w:r>
      <w:r w:rsidRPr="009A1106">
        <w:rPr>
          <w:i/>
        </w:rPr>
        <w:t>n</w:t>
      </w:r>
      <w:r w:rsidRPr="00B46CAD">
        <w:t xml:space="preserve"> (2017) </w:t>
      </w:r>
      <w:r w:rsidR="00D47611" w:rsidRPr="00B46CAD">
        <w:t xml:space="preserve">3 </w:t>
      </w:r>
      <w:r w:rsidRPr="00B46CAD">
        <w:t xml:space="preserve">Cal.5th 808, 861–862 [exercising the court’s “inherent power of reformation to revise </w:t>
      </w:r>
      <w:r w:rsidRPr="00B46CAD">
        <w:lastRenderedPageBreak/>
        <w:t>the effective date of stayed legislation in order to avoid problems of compliance with statutory deadlines”</w:t>
      </w:r>
      <w:r w:rsidR="005A77A9" w:rsidRPr="00B46CAD">
        <w:t xml:space="preserve"> affected by the stay</w:t>
      </w:r>
      <w:r w:rsidRPr="00B46CAD">
        <w:t>].)</w:t>
      </w:r>
    </w:p>
    <w:p w14:paraId="4D5DFEA3" w14:textId="7A823E5F" w:rsidR="00884CC6" w:rsidRPr="00B46CAD" w:rsidRDefault="00884CC6" w:rsidP="00B46CAD">
      <w:pPr>
        <w:tabs>
          <w:tab w:val="left" w:pos="1440"/>
        </w:tabs>
        <w:ind w:firstLine="720"/>
      </w:pPr>
      <w:r w:rsidRPr="00B46CAD">
        <w:t xml:space="preserve">The situation we confront here is similar.  </w:t>
      </w:r>
      <w:r w:rsidR="00594909">
        <w:t>B</w:t>
      </w:r>
      <w:r w:rsidR="00BE520A" w:rsidRPr="00B46CAD">
        <w:t xml:space="preserve">ecause the release of the federal census data will be delayed by four months under the </w:t>
      </w:r>
      <w:r w:rsidR="00383F32">
        <w:t xml:space="preserve">Census </w:t>
      </w:r>
      <w:r w:rsidR="00BE520A" w:rsidRPr="00B46CAD">
        <w:t xml:space="preserve">Bureau’s plan, it will be impossible </w:t>
      </w:r>
      <w:r w:rsidR="001473AB" w:rsidRPr="00B46CAD">
        <w:t xml:space="preserve">for the Commission to meet the July 1, 2021, deadline </w:t>
      </w:r>
      <w:r w:rsidR="00171527" w:rsidRPr="00B46CAD">
        <w:t xml:space="preserve">for displaying </w:t>
      </w:r>
      <w:r w:rsidR="001473AB" w:rsidRPr="00B46CAD">
        <w:t xml:space="preserve">the first round of draft maps for public comment.  (Gov. Code, </w:t>
      </w:r>
      <w:r w:rsidR="00747C66" w:rsidRPr="00B46CAD">
        <w:t>§ </w:t>
      </w:r>
      <w:r w:rsidR="001473AB" w:rsidRPr="00B46CAD">
        <w:t xml:space="preserve">8253, </w:t>
      </w:r>
      <w:proofErr w:type="spellStart"/>
      <w:r w:rsidR="001473AB" w:rsidRPr="00B46CAD">
        <w:t>subd</w:t>
      </w:r>
      <w:proofErr w:type="spellEnd"/>
      <w:r w:rsidR="001473AB" w:rsidRPr="00B46CAD">
        <w:t xml:space="preserve">. (a)(7).)  </w:t>
      </w:r>
      <w:r w:rsidR="00F85C74">
        <w:t>What we must ask</w:t>
      </w:r>
      <w:r w:rsidR="001473AB" w:rsidRPr="00B46CAD">
        <w:t xml:space="preserve">, then, </w:t>
      </w:r>
      <w:r w:rsidR="00F85C74">
        <w:t>is</w:t>
      </w:r>
      <w:r w:rsidR="00F85C74" w:rsidRPr="00B46CAD">
        <w:t xml:space="preserve"> </w:t>
      </w:r>
      <w:r w:rsidR="001473AB" w:rsidRPr="00B46CAD">
        <w:t xml:space="preserve">whether this deadline can be reformed in a manner that closely </w:t>
      </w:r>
      <w:r w:rsidR="007C6F74" w:rsidRPr="00B46CAD">
        <w:t xml:space="preserve">approximates </w:t>
      </w:r>
      <w:r w:rsidR="001473AB" w:rsidRPr="00B46CAD">
        <w:t xml:space="preserve">the </w:t>
      </w:r>
      <w:r w:rsidR="004745BD" w:rsidRPr="00B46CAD">
        <w:t xml:space="preserve">framework designed by </w:t>
      </w:r>
      <w:r w:rsidR="001473AB" w:rsidRPr="00B46CAD">
        <w:t xml:space="preserve">its enactors, and whether the enactors would have preferred the reform </w:t>
      </w:r>
      <w:r w:rsidR="009560A9">
        <w:t xml:space="preserve">to </w:t>
      </w:r>
      <w:r w:rsidR="001473AB" w:rsidRPr="00B46CAD">
        <w:t xml:space="preserve">the effective </w:t>
      </w:r>
      <w:r w:rsidR="004745BD" w:rsidRPr="00B46CAD">
        <w:t xml:space="preserve">nullification </w:t>
      </w:r>
      <w:r w:rsidR="001473AB" w:rsidRPr="00B46CAD">
        <w:t>of the statutory language.  (</w:t>
      </w:r>
      <w:proofErr w:type="spellStart"/>
      <w:r w:rsidR="001473AB" w:rsidRPr="00B46CAD">
        <w:rPr>
          <w:i/>
        </w:rPr>
        <w:t>Matosantos</w:t>
      </w:r>
      <w:proofErr w:type="spellEnd"/>
      <w:r w:rsidR="001473AB" w:rsidRPr="00B46CAD">
        <w:t xml:space="preserve">, </w:t>
      </w:r>
      <w:r w:rsidR="001473AB" w:rsidRPr="00B46CAD">
        <w:rPr>
          <w:i/>
        </w:rPr>
        <w:t>supra</w:t>
      </w:r>
      <w:r w:rsidR="001473AB" w:rsidRPr="00B46CAD">
        <w:t>, 53 Cal.4th at p.</w:t>
      </w:r>
      <w:r w:rsidR="00606B50" w:rsidRPr="00B46CAD">
        <w:t> </w:t>
      </w:r>
      <w:r w:rsidR="001473AB" w:rsidRPr="00B46CAD">
        <w:t xml:space="preserve">275.)  The answer </w:t>
      </w:r>
      <w:r w:rsidR="007C6F74" w:rsidRPr="00B46CAD">
        <w:t xml:space="preserve">to both questions </w:t>
      </w:r>
      <w:r w:rsidR="001473AB" w:rsidRPr="00B46CAD">
        <w:t>is yes</w:t>
      </w:r>
      <w:r w:rsidRPr="00B46CAD">
        <w:t xml:space="preserve">.  </w:t>
      </w:r>
    </w:p>
    <w:p w14:paraId="7762BD8C" w14:textId="3CB418CD" w:rsidR="001473AB" w:rsidRPr="00B46CAD" w:rsidRDefault="00884CC6" w:rsidP="00A82E46">
      <w:pPr>
        <w:tabs>
          <w:tab w:val="left" w:pos="1440"/>
        </w:tabs>
        <w:ind w:firstLine="720"/>
      </w:pPr>
      <w:r w:rsidRPr="00B46CAD">
        <w:t xml:space="preserve">The basic purpose of the </w:t>
      </w:r>
      <w:r w:rsidR="00882D6A">
        <w:t>deadline</w:t>
      </w:r>
      <w:r w:rsidR="00882D6A" w:rsidRPr="00B46CAD">
        <w:t xml:space="preserve"> </w:t>
      </w:r>
      <w:r w:rsidRPr="00B46CAD">
        <w:t xml:space="preserve">set out in Government Code section 8253 is to ensure the timely </w:t>
      </w:r>
      <w:r w:rsidR="00121534">
        <w:t xml:space="preserve">display </w:t>
      </w:r>
      <w:r w:rsidRPr="00B46CAD">
        <w:t>of draft redistricting maps to the public so that Californians can voice their views about the proposed district boundaries.</w:t>
      </w:r>
      <w:r w:rsidR="0045572E">
        <w:t xml:space="preserve"> </w:t>
      </w:r>
      <w:r w:rsidRPr="00B46CAD">
        <w:t xml:space="preserve"> </w:t>
      </w:r>
      <w:r w:rsidR="00A82E46">
        <w:t>The statute</w:t>
      </w:r>
      <w:r w:rsidR="001473AB" w:rsidRPr="00B46CAD">
        <w:t xml:space="preserve"> was first enacted as part of Proposition 11</w:t>
      </w:r>
      <w:r w:rsidR="00BA72E6">
        <w:t xml:space="preserve"> —</w:t>
      </w:r>
      <w:r w:rsidR="00BA72E6" w:rsidRPr="00B46CAD">
        <w:t xml:space="preserve"> </w:t>
      </w:r>
      <w:r w:rsidR="001473AB" w:rsidRPr="00B46CAD">
        <w:t>the 2008 ballot initiative that created the Commission</w:t>
      </w:r>
      <w:r w:rsidR="003F2821">
        <w:t xml:space="preserve">, </w:t>
      </w:r>
      <w:r w:rsidR="001473AB" w:rsidRPr="00B46CAD">
        <w:t>outlined a selection process for its members, and assigned it the responsibility of drawing the boundaries for the State Assembly, Senate, and Board of Equalization districts.  (</w:t>
      </w:r>
      <w:r w:rsidR="00E57FC4">
        <w:t>Voter Information Guide</w:t>
      </w:r>
      <w:r w:rsidR="001473AB" w:rsidRPr="00B46CAD">
        <w:t xml:space="preserve">, Gen. Elec. (Nov. 4, 2008) analysis </w:t>
      </w:r>
      <w:r w:rsidR="006A482F">
        <w:t xml:space="preserve">of Prop. 11 </w:t>
      </w:r>
      <w:r w:rsidR="001473AB" w:rsidRPr="00B46CAD">
        <w:t>by Leg</w:t>
      </w:r>
      <w:r w:rsidR="00D47611" w:rsidRPr="00B46CAD">
        <w:t>is</w:t>
      </w:r>
      <w:r w:rsidR="001473AB" w:rsidRPr="00B46CAD">
        <w:t>. Analyst, pp.</w:t>
      </w:r>
      <w:r w:rsidR="00D47611" w:rsidRPr="00B46CAD">
        <w:t> </w:t>
      </w:r>
      <w:r w:rsidR="001473AB" w:rsidRPr="00B46CAD">
        <w:t>70–71</w:t>
      </w:r>
      <w:r w:rsidR="00D47611" w:rsidRPr="00B46CAD">
        <w:t>;</w:t>
      </w:r>
      <w:r w:rsidR="001473AB" w:rsidRPr="00B46CAD">
        <w:t xml:space="preserve"> </w:t>
      </w:r>
      <w:r w:rsidR="00B55A14" w:rsidRPr="00B55A14">
        <w:rPr>
          <w:i/>
          <w:iCs/>
        </w:rPr>
        <w:t>id.</w:t>
      </w:r>
      <w:r w:rsidR="00B55A14">
        <w:t xml:space="preserve">, </w:t>
      </w:r>
      <w:r w:rsidR="001473AB" w:rsidRPr="00B46CAD">
        <w:t>text of Prop.</w:t>
      </w:r>
      <w:r w:rsidR="00D47611" w:rsidRPr="00B46CAD">
        <w:t> </w:t>
      </w:r>
      <w:r w:rsidR="001473AB" w:rsidRPr="00FF1FE5">
        <w:t xml:space="preserve">11, </w:t>
      </w:r>
      <w:r w:rsidR="006A482F">
        <w:t>p</w:t>
      </w:r>
      <w:r w:rsidR="001473AB" w:rsidRPr="00B46CAD">
        <w:t>p.</w:t>
      </w:r>
      <w:r w:rsidR="00606B50" w:rsidRPr="00B46CAD">
        <w:t> </w:t>
      </w:r>
      <w:r w:rsidR="001473AB" w:rsidRPr="00B46CAD">
        <w:t xml:space="preserve">137–140.)  As relevant here, </w:t>
      </w:r>
      <w:r w:rsidR="003F2821">
        <w:t xml:space="preserve">Proposition 11 amended article XXI of the Constitution to specify that </w:t>
      </w:r>
      <w:r w:rsidR="001473AB" w:rsidRPr="00B46CAD">
        <w:t xml:space="preserve">the Commission shall “conduct an open and transparent process enabling full public consideration of and comment on the drawing of </w:t>
      </w:r>
      <w:r w:rsidR="00024C4D">
        <w:t xml:space="preserve">district </w:t>
      </w:r>
      <w:r w:rsidR="001473AB" w:rsidRPr="00B46CAD">
        <w:t>lines.”  (Cal. Const., art. XXI, §</w:t>
      </w:r>
      <w:r w:rsidR="00606B50" w:rsidRPr="00B46CAD">
        <w:t> </w:t>
      </w:r>
      <w:r w:rsidR="001473AB" w:rsidRPr="00B46CAD">
        <w:t xml:space="preserve">2, </w:t>
      </w:r>
      <w:proofErr w:type="spellStart"/>
      <w:r w:rsidR="001473AB" w:rsidRPr="00B46CAD">
        <w:t>subd</w:t>
      </w:r>
      <w:proofErr w:type="spellEnd"/>
      <w:r w:rsidR="001473AB" w:rsidRPr="00B46CAD">
        <w:t xml:space="preserve">. (b)(1).)  </w:t>
      </w:r>
      <w:r w:rsidR="00121534">
        <w:t xml:space="preserve">This process is described in </w:t>
      </w:r>
      <w:r w:rsidR="00FA28D7">
        <w:t>Government Code s</w:t>
      </w:r>
      <w:r w:rsidR="001473AB" w:rsidRPr="00B46CAD">
        <w:t>ection 8253</w:t>
      </w:r>
      <w:r w:rsidR="00121534">
        <w:t xml:space="preserve">, which </w:t>
      </w:r>
      <w:r w:rsidR="001473AB" w:rsidRPr="00B46CAD">
        <w:t xml:space="preserve">guarantees public access to the redistricting process by </w:t>
      </w:r>
      <w:r w:rsidR="00347F39">
        <w:t xml:space="preserve">requiring </w:t>
      </w:r>
      <w:r w:rsidR="001473AB" w:rsidRPr="00B46CAD">
        <w:t xml:space="preserve">open meetings, public notice for </w:t>
      </w:r>
      <w:r w:rsidR="00E04CFE">
        <w:t>each</w:t>
      </w:r>
      <w:r w:rsidR="00E04CFE" w:rsidRPr="00B46CAD">
        <w:t xml:space="preserve"> </w:t>
      </w:r>
      <w:r w:rsidR="001473AB" w:rsidRPr="00B46CAD">
        <w:lastRenderedPageBreak/>
        <w:t>meeting, and procedures for public input on the proposed maps.  (</w:t>
      </w:r>
      <w:r w:rsidR="00FA28D7">
        <w:t xml:space="preserve">Gov. Code, </w:t>
      </w:r>
      <w:r w:rsidR="001473AB" w:rsidRPr="00B46CAD">
        <w:t>§</w:t>
      </w:r>
      <w:r w:rsidR="00606B50" w:rsidRPr="00B46CAD">
        <w:t> </w:t>
      </w:r>
      <w:r w:rsidR="001473AB" w:rsidRPr="00B46CAD">
        <w:t xml:space="preserve">8253, </w:t>
      </w:r>
      <w:proofErr w:type="spellStart"/>
      <w:r w:rsidR="001473AB" w:rsidRPr="00B46CAD">
        <w:t>subd</w:t>
      </w:r>
      <w:proofErr w:type="spellEnd"/>
      <w:r w:rsidR="001473AB" w:rsidRPr="00B46CAD">
        <w:t>. (a).)  Additionally, the statute directs the Legislature to establish procedures to provide the public with access to redistricting data and mapping software to facilitate participation in the process.  (</w:t>
      </w:r>
      <w:r w:rsidR="001473AB" w:rsidRPr="00B46CAD">
        <w:rPr>
          <w:i/>
        </w:rPr>
        <w:t>Id.</w:t>
      </w:r>
      <w:r w:rsidR="001473AB" w:rsidRPr="00B46CAD">
        <w:t xml:space="preserve">, </w:t>
      </w:r>
      <w:proofErr w:type="spellStart"/>
      <w:r w:rsidR="001473AB" w:rsidRPr="00B46CAD">
        <w:t>subd</w:t>
      </w:r>
      <w:proofErr w:type="spellEnd"/>
      <w:r w:rsidR="001473AB" w:rsidRPr="00B46CAD">
        <w:t>. (b).)  The framework reflects a</w:t>
      </w:r>
      <w:r w:rsidR="00FD2952">
        <w:t xml:space="preserve"> policy</w:t>
      </w:r>
      <w:r w:rsidR="001473AB" w:rsidRPr="00B46CAD">
        <w:t xml:space="preserve"> judgment that the public </w:t>
      </w:r>
      <w:r w:rsidR="00121534">
        <w:t xml:space="preserve">should </w:t>
      </w:r>
      <w:r w:rsidR="001473AB" w:rsidRPr="00B46CAD">
        <w:t>have the opportunity to be involved throughout the redistricting process.</w:t>
      </w:r>
      <w:r w:rsidR="00747C66" w:rsidRPr="00B46CAD">
        <w:t xml:space="preserve">  (</w:t>
      </w:r>
      <w:proofErr w:type="spellStart"/>
      <w:r w:rsidR="00747C66" w:rsidRPr="00B46CAD">
        <w:rPr>
          <w:i/>
        </w:rPr>
        <w:t>Vandermost</w:t>
      </w:r>
      <w:proofErr w:type="spellEnd"/>
      <w:r w:rsidR="00747C66" w:rsidRPr="00B46CAD">
        <w:rPr>
          <w:i/>
        </w:rPr>
        <w:t xml:space="preserve"> v. Bowen</w:t>
      </w:r>
      <w:r w:rsidR="00FC5197" w:rsidRPr="00B46CAD">
        <w:t xml:space="preserve">, </w:t>
      </w:r>
      <w:r w:rsidR="00FC5197" w:rsidRPr="00B46CAD">
        <w:rPr>
          <w:i/>
        </w:rPr>
        <w:t>supra</w:t>
      </w:r>
      <w:r w:rsidR="00FC5197" w:rsidRPr="00B46CAD">
        <w:t>,</w:t>
      </w:r>
      <w:r w:rsidR="00747C66" w:rsidRPr="00B46CAD">
        <w:t xml:space="preserve"> 53 Cal.4th </w:t>
      </w:r>
      <w:r w:rsidR="00FC5197" w:rsidRPr="00B46CAD">
        <w:t>at p.</w:t>
      </w:r>
      <w:r w:rsidR="00B829F0">
        <w:t> </w:t>
      </w:r>
      <w:r w:rsidR="00747C66" w:rsidRPr="00B46CAD">
        <w:t>445 [</w:t>
      </w:r>
      <w:r w:rsidR="00E57FC4">
        <w:t>Cal. Const.</w:t>
      </w:r>
      <w:r w:rsidR="00E57FC4" w:rsidRPr="00E57FC4">
        <w:rPr>
          <w:rStyle w:val="CommentReference"/>
          <w:rFonts w:eastAsiaTheme="minorHAnsi" w:cstheme="minorBidi"/>
        </w:rPr>
        <w:t xml:space="preserve"> </w:t>
      </w:r>
      <w:r w:rsidR="00747C66" w:rsidRPr="00B46CAD">
        <w:t xml:space="preserve"> and statutes “establish a public redistricting process”].) </w:t>
      </w:r>
      <w:r w:rsidR="009B74E4">
        <w:t xml:space="preserve"> </w:t>
      </w:r>
      <w:r w:rsidR="002D37F1">
        <w:t>And p</w:t>
      </w:r>
      <w:r w:rsidR="002D37F1" w:rsidRPr="00B46CAD">
        <w:t xml:space="preserve">ublic </w:t>
      </w:r>
      <w:r w:rsidR="009B74E4" w:rsidRPr="00B46CAD">
        <w:t>comment is typically robust</w:t>
      </w:r>
      <w:r w:rsidR="000572ED">
        <w:t>:</w:t>
      </w:r>
      <w:r w:rsidR="000572ED" w:rsidRPr="00B46CAD">
        <w:t xml:space="preserve"> </w:t>
      </w:r>
      <w:r w:rsidR="00BA72E6">
        <w:t xml:space="preserve"> I</w:t>
      </w:r>
      <w:r w:rsidR="00BA72E6" w:rsidRPr="00B46CAD">
        <w:t xml:space="preserve">n </w:t>
      </w:r>
      <w:r w:rsidR="009B74E4" w:rsidRPr="00B46CAD">
        <w:t xml:space="preserve">the 2010 redistricting cycle, the Commission held 34 public hearings in 32 cities, reviewed more than 2,000 written submissions, and received input from more than 20,000 </w:t>
      </w:r>
      <w:r w:rsidR="009B74E4">
        <w:t>entities</w:t>
      </w:r>
      <w:r w:rsidR="009B74E4" w:rsidRPr="00B46CAD">
        <w:t xml:space="preserve"> and individuals.</w:t>
      </w:r>
    </w:p>
    <w:p w14:paraId="220EA09E" w14:textId="72EB784B" w:rsidR="001473AB" w:rsidRPr="00B46CAD" w:rsidRDefault="00D81E3A" w:rsidP="00500C2F">
      <w:pPr>
        <w:tabs>
          <w:tab w:val="left" w:pos="1440"/>
        </w:tabs>
        <w:ind w:firstLine="720"/>
      </w:pPr>
      <w:r>
        <w:t>Of course, f</w:t>
      </w:r>
      <w:r w:rsidR="00F57035">
        <w:t>or the public to provide feedback on proposed district boundaries, the Commission must</w:t>
      </w:r>
      <w:r w:rsidR="00C12E57">
        <w:t xml:space="preserve"> first</w:t>
      </w:r>
      <w:r w:rsidR="00F57035">
        <w:t xml:space="preserve"> make its work available for public review.</w:t>
      </w:r>
      <w:r w:rsidR="00EE19FA">
        <w:t xml:space="preserve"> </w:t>
      </w:r>
      <w:r w:rsidR="009D6501">
        <w:t xml:space="preserve"> </w:t>
      </w:r>
      <w:r w:rsidR="00196E70">
        <w:t xml:space="preserve">As initially passed </w:t>
      </w:r>
      <w:r w:rsidR="008E758E">
        <w:t xml:space="preserve">by the voters </w:t>
      </w:r>
      <w:r w:rsidR="00196E70">
        <w:t xml:space="preserve">in 2008, </w:t>
      </w:r>
      <w:r w:rsidR="008E758E">
        <w:t>s</w:t>
      </w:r>
      <w:r w:rsidR="008E758E" w:rsidRPr="00B46CAD">
        <w:t xml:space="preserve">ubdivision (a)(7) </w:t>
      </w:r>
      <w:r w:rsidR="008E758E">
        <w:t xml:space="preserve">of Government Code section 8253 </w:t>
      </w:r>
      <w:r w:rsidR="008E758E" w:rsidRPr="00B46CAD">
        <w:t>stated, in relevant part:  “The commission shall display the maps for public comment in a manner designed to achieve the widest public access reasonably possible.  Public comment shall be taken for at least 14 days from the date of public display of any map.”  (</w:t>
      </w:r>
      <w:r w:rsidR="00E57FC4">
        <w:t>Voter Information Guide</w:t>
      </w:r>
      <w:r w:rsidR="008E758E">
        <w:t xml:space="preserve">, Gen. Elec. (Nov. 4, 2008), </w:t>
      </w:r>
      <w:r w:rsidR="008E758E" w:rsidRPr="00B46CAD">
        <w:rPr>
          <w:i/>
        </w:rPr>
        <w:t>supra</w:t>
      </w:r>
      <w:r w:rsidR="008E758E" w:rsidRPr="00B46CAD">
        <w:t>, text of Prop. 11, p. 140.)</w:t>
      </w:r>
      <w:r w:rsidR="008E758E">
        <w:t xml:space="preserve">  In </w:t>
      </w:r>
      <w:r w:rsidR="00500C2F">
        <w:t xml:space="preserve">2012, </w:t>
      </w:r>
      <w:r w:rsidR="001473AB" w:rsidRPr="00B46CAD">
        <w:t>the Legislature amended this language to read, as relevant here</w:t>
      </w:r>
      <w:r w:rsidR="00181668" w:rsidRPr="00B46CAD">
        <w:t>:</w:t>
      </w:r>
      <w:r w:rsidR="001473AB" w:rsidRPr="00B46CAD">
        <w:t xml:space="preserve"> </w:t>
      </w:r>
      <w:r w:rsidR="00DC2C1D">
        <w:t xml:space="preserve"> </w:t>
      </w:r>
      <w:r w:rsidR="001473AB" w:rsidRPr="00B46CAD">
        <w:t xml:space="preserve">“Public comment shall be taken for at least 14 days from the date of public display of the </w:t>
      </w:r>
      <w:r w:rsidR="001473AB" w:rsidRPr="00B46CAD">
        <w:rPr>
          <w:i/>
        </w:rPr>
        <w:t>first preliminary</w:t>
      </w:r>
      <w:r w:rsidR="001473AB" w:rsidRPr="00B46CAD">
        <w:t xml:space="preserve"> statewide maps of the congressional, State Senatorial, Assembly, and State Board of Equalization districts, which shall be publicly displayed </w:t>
      </w:r>
      <w:r w:rsidR="001473AB" w:rsidRPr="00B46CAD">
        <w:rPr>
          <w:i/>
        </w:rPr>
        <w:t>no later than July 1 in each year ending in the number one</w:t>
      </w:r>
      <w:r w:rsidR="001473AB" w:rsidRPr="00B46CAD">
        <w:t>.  The commission shall not display any other map for public comment during the 14-day period.</w:t>
      </w:r>
      <w:r w:rsidR="00606B50" w:rsidRPr="00B46CAD">
        <w:t> </w:t>
      </w:r>
      <w:r w:rsidR="001473AB" w:rsidRPr="00B46CAD">
        <w:t>.</w:t>
      </w:r>
      <w:r w:rsidR="00606B50" w:rsidRPr="00B46CAD">
        <w:t> </w:t>
      </w:r>
      <w:r w:rsidR="001473AB" w:rsidRPr="00B46CAD">
        <w:t>.</w:t>
      </w:r>
      <w:r w:rsidR="00606B50" w:rsidRPr="00B46CAD">
        <w:t> </w:t>
      </w:r>
      <w:r w:rsidR="001473AB" w:rsidRPr="00B46CAD">
        <w:t xml:space="preserve">. </w:t>
      </w:r>
      <w:r w:rsidR="00606B50" w:rsidRPr="00B46CAD">
        <w:t xml:space="preserve"> </w:t>
      </w:r>
      <w:r w:rsidR="001473AB" w:rsidRPr="00B46CAD">
        <w:t xml:space="preserve">Public comment shall be taken for </w:t>
      </w:r>
      <w:r w:rsidR="001473AB" w:rsidRPr="00B46CAD">
        <w:lastRenderedPageBreak/>
        <w:t>at least seven days from the date of public display of any subsequent preliminary statewide maps and for at least three days from the date of public display of any final statewide maps.”  (</w:t>
      </w:r>
      <w:r w:rsidR="006A482F">
        <w:t xml:space="preserve">Gov. Code, § 8253, </w:t>
      </w:r>
      <w:proofErr w:type="spellStart"/>
      <w:r w:rsidR="006A482F">
        <w:t>subd</w:t>
      </w:r>
      <w:proofErr w:type="spellEnd"/>
      <w:r w:rsidR="006A482F">
        <w:t xml:space="preserve">. (a)(7), as amended by </w:t>
      </w:r>
      <w:r w:rsidR="00887602" w:rsidRPr="00B46CAD">
        <w:t xml:space="preserve">Stats. 2012, </w:t>
      </w:r>
      <w:proofErr w:type="spellStart"/>
      <w:r w:rsidR="00887602" w:rsidRPr="00B46CAD">
        <w:t>ch.</w:t>
      </w:r>
      <w:proofErr w:type="spellEnd"/>
      <w:r w:rsidR="00986317" w:rsidRPr="00B46CAD">
        <w:t> </w:t>
      </w:r>
      <w:r w:rsidR="00887602" w:rsidRPr="00B46CAD">
        <w:t xml:space="preserve">271, </w:t>
      </w:r>
      <w:r w:rsidR="001473AB" w:rsidRPr="00B46CAD">
        <w:t>§</w:t>
      </w:r>
      <w:r w:rsidR="00606B50" w:rsidRPr="00B46CAD">
        <w:t> </w:t>
      </w:r>
      <w:r w:rsidR="001473AB" w:rsidRPr="00B46CAD">
        <w:t xml:space="preserve">4, italics added.)  As an Assembly bill analysis explained, the </w:t>
      </w:r>
      <w:r w:rsidR="00012F78">
        <w:t>requirement</w:t>
      </w:r>
      <w:r w:rsidR="001473AB" w:rsidRPr="00B46CAD">
        <w:t xml:space="preserve"> “guarantee[d] that the public will have the ability and time to review the maps and respond to the Commission” at least six weeks before the August 15 deadline for the final maps</w:t>
      </w:r>
      <w:r w:rsidR="00A04585" w:rsidRPr="00B46CAD">
        <w:t xml:space="preserve"> set by the California Constitution</w:t>
      </w:r>
      <w:r w:rsidR="001473AB" w:rsidRPr="00B46CAD">
        <w:t>.  (Assem. Com. on Elections &amp; Redistricting, Analysis of Sen. Bill No.</w:t>
      </w:r>
      <w:r w:rsidR="00606B50" w:rsidRPr="00B46CAD">
        <w:t> </w:t>
      </w:r>
      <w:r w:rsidR="001473AB" w:rsidRPr="00B46CAD">
        <w:t>1096 (2011–2012 Reg. Sess.) July 3, 2012, p.</w:t>
      </w:r>
      <w:r w:rsidR="00606B50" w:rsidRPr="00B46CAD">
        <w:t> </w:t>
      </w:r>
      <w:r w:rsidR="001473AB" w:rsidRPr="00B46CAD">
        <w:t>5.)  The amendments also limited the 14-day public display requirement to the first set of draft maps released by the Commission, as opposed to all of the draft maps.  (</w:t>
      </w:r>
      <w:r w:rsidR="001473AB" w:rsidRPr="00B46CAD">
        <w:rPr>
          <w:i/>
        </w:rPr>
        <w:t>Id.</w:t>
      </w:r>
      <w:r w:rsidR="001473AB" w:rsidRPr="00B46CAD">
        <w:t xml:space="preserve"> at pp.</w:t>
      </w:r>
      <w:r w:rsidR="00606B50" w:rsidRPr="00B46CAD">
        <w:t> </w:t>
      </w:r>
      <w:r w:rsidR="001473AB" w:rsidRPr="00B46CAD">
        <w:t xml:space="preserve">1–2.)  The </w:t>
      </w:r>
      <w:r w:rsidR="00232DFA">
        <w:t>deadline</w:t>
      </w:r>
      <w:r w:rsidR="00232DFA" w:rsidRPr="00B46CAD">
        <w:t xml:space="preserve"> </w:t>
      </w:r>
      <w:r w:rsidR="001473AB" w:rsidRPr="00B46CAD">
        <w:t xml:space="preserve">ensured the public would be given </w:t>
      </w:r>
      <w:r w:rsidR="0041385C">
        <w:t xml:space="preserve">adequate </w:t>
      </w:r>
      <w:r w:rsidR="001473AB" w:rsidRPr="00B46CAD">
        <w:t xml:space="preserve">time to comment on </w:t>
      </w:r>
      <w:r w:rsidR="00232DFA">
        <w:t>at least one set of draft</w:t>
      </w:r>
      <w:r w:rsidR="00232DFA" w:rsidRPr="00B46CAD">
        <w:t xml:space="preserve"> </w:t>
      </w:r>
      <w:r w:rsidR="001473AB" w:rsidRPr="00B46CAD">
        <w:t>maps (and the Commission would have time to respond) before the August 15 deadline.</w:t>
      </w:r>
    </w:p>
    <w:p w14:paraId="26349183" w14:textId="499A7696" w:rsidR="001473AB" w:rsidRPr="00B46CAD" w:rsidRDefault="00151E23">
      <w:pPr>
        <w:tabs>
          <w:tab w:val="left" w:pos="1440"/>
        </w:tabs>
        <w:ind w:firstLine="720"/>
      </w:pPr>
      <w:r>
        <w:t xml:space="preserve">In short, </w:t>
      </w:r>
      <w:r w:rsidR="00350AA7">
        <w:t xml:space="preserve">the July 1 deadline for displaying preliminary maps was chosen </w:t>
      </w:r>
      <w:r w:rsidR="00976182">
        <w:t>to</w:t>
      </w:r>
      <w:r w:rsidR="008F25D1">
        <w:t xml:space="preserve"> ensur</w:t>
      </w:r>
      <w:r w:rsidR="00976182">
        <w:t>e</w:t>
      </w:r>
      <w:r w:rsidR="008F25D1">
        <w:t xml:space="preserve"> that the </w:t>
      </w:r>
      <w:r w:rsidR="008F25D1" w:rsidRPr="00B46CAD">
        <w:t xml:space="preserve">public has the opportunity to provide input on the </w:t>
      </w:r>
      <w:r w:rsidR="004C2A9D">
        <w:t>proposed maps</w:t>
      </w:r>
      <w:r w:rsidR="008F25D1" w:rsidRPr="00B46CAD">
        <w:t xml:space="preserve"> </w:t>
      </w:r>
      <w:r w:rsidR="008F25D1">
        <w:t xml:space="preserve">before the Commission </w:t>
      </w:r>
      <w:r w:rsidR="004C2A9D">
        <w:t>certifies them as final</w:t>
      </w:r>
      <w:r w:rsidR="008F25D1">
        <w:t xml:space="preserve">.  </w:t>
      </w:r>
      <w:r w:rsidR="008C6A95">
        <w:t>But if the Census Bureau does not deliver the federal data until July 31, 2021, as i</w:t>
      </w:r>
      <w:r w:rsidR="00E1463F">
        <w:t>t anticipates</w:t>
      </w:r>
      <w:r w:rsidR="008C6A95">
        <w:t xml:space="preserve">, it </w:t>
      </w:r>
      <w:r w:rsidR="00E1463F">
        <w:t xml:space="preserve">will be </w:t>
      </w:r>
      <w:r w:rsidR="00EB38EC">
        <w:t xml:space="preserve">impossible </w:t>
      </w:r>
      <w:r w:rsidR="004C2A9D">
        <w:t xml:space="preserve">for the Commission </w:t>
      </w:r>
      <w:r w:rsidR="00EB38EC">
        <w:t xml:space="preserve">to comply with the July 1 deadline.  </w:t>
      </w:r>
      <w:r w:rsidR="0083053B">
        <w:t xml:space="preserve">The remedy the Legislature seeks is both temporary and </w:t>
      </w:r>
      <w:r w:rsidR="009D2043">
        <w:t>limited in nature:  a</w:t>
      </w:r>
      <w:r w:rsidR="004C5ED6">
        <w:t xml:space="preserve"> one-time</w:t>
      </w:r>
      <w:r w:rsidR="009D2043">
        <w:t xml:space="preserve"> adjustment of the statutory deadline</w:t>
      </w:r>
      <w:r w:rsidR="007B22F8">
        <w:t xml:space="preserve">, </w:t>
      </w:r>
      <w:r w:rsidR="009D2043">
        <w:t xml:space="preserve">for purposes of this redistricting </w:t>
      </w:r>
      <w:r w:rsidR="00290A04">
        <w:t>cycle</w:t>
      </w:r>
      <w:r w:rsidR="007B22F8">
        <w:t xml:space="preserve">, in accordance with the </w:t>
      </w:r>
      <w:r w:rsidR="008C6A95">
        <w:t>adjustment to the schedule for releasing the federal census data</w:t>
      </w:r>
      <w:r w:rsidR="009D2043">
        <w:t xml:space="preserve">.  </w:t>
      </w:r>
      <w:r w:rsidR="007B22F8">
        <w:t xml:space="preserve">By granting this limited remedy, </w:t>
      </w:r>
      <w:r w:rsidR="00C362EC">
        <w:t xml:space="preserve">we </w:t>
      </w:r>
      <w:r w:rsidR="001473AB" w:rsidRPr="00B46CAD">
        <w:t xml:space="preserve">effectuate the </w:t>
      </w:r>
      <w:r w:rsidR="00F67DAE">
        <w:t>polic</w:t>
      </w:r>
      <w:r w:rsidR="00975EA3">
        <w:t>y</w:t>
      </w:r>
      <w:r w:rsidR="00F67DAE" w:rsidRPr="00B46CAD">
        <w:t xml:space="preserve"> </w:t>
      </w:r>
      <w:r w:rsidR="001473AB" w:rsidRPr="00B46CAD">
        <w:t xml:space="preserve">judgment </w:t>
      </w:r>
      <w:r w:rsidR="00874550">
        <w:t>underlying the provision</w:t>
      </w:r>
      <w:r w:rsidR="0095333A">
        <w:t xml:space="preserve"> and </w:t>
      </w:r>
      <w:r w:rsidR="008C6A95">
        <w:t xml:space="preserve">preserve the public’s right to provide input </w:t>
      </w:r>
      <w:r w:rsidR="00E1463F">
        <w:t xml:space="preserve">on electoral district maps </w:t>
      </w:r>
      <w:r w:rsidR="00CE7645">
        <w:t>before th</w:t>
      </w:r>
      <w:r w:rsidR="00E1463F">
        <w:t>ose</w:t>
      </w:r>
      <w:r w:rsidR="00D24342">
        <w:t xml:space="preserve"> </w:t>
      </w:r>
      <w:r w:rsidR="00CE7645">
        <w:t xml:space="preserve">maps are finalized.  </w:t>
      </w:r>
      <w:r w:rsidR="00BA5CFC">
        <w:t xml:space="preserve">We consider it clear </w:t>
      </w:r>
      <w:r w:rsidR="001473AB" w:rsidRPr="00B46CAD">
        <w:t xml:space="preserve">that the enactors </w:t>
      </w:r>
      <w:r w:rsidR="001473AB" w:rsidRPr="00B46CAD">
        <w:lastRenderedPageBreak/>
        <w:t xml:space="preserve">would have preferred this deadline be </w:t>
      </w:r>
      <w:r w:rsidR="00CE7645">
        <w:t>adjusted</w:t>
      </w:r>
      <w:r w:rsidR="00DE0295">
        <w:t xml:space="preserve"> —</w:t>
      </w:r>
      <w:r w:rsidR="00DE0295" w:rsidRPr="00B46CAD">
        <w:t xml:space="preserve"> </w:t>
      </w:r>
      <w:r w:rsidR="00A04585" w:rsidRPr="00B46CAD">
        <w:t xml:space="preserve">and </w:t>
      </w:r>
      <w:r w:rsidR="001473AB" w:rsidRPr="00B46CAD">
        <w:t xml:space="preserve">the opportunity for public comment on </w:t>
      </w:r>
      <w:r w:rsidR="00F35031">
        <w:t xml:space="preserve">the </w:t>
      </w:r>
      <w:r w:rsidR="001473AB" w:rsidRPr="00B46CAD">
        <w:t>preliminary maps</w:t>
      </w:r>
      <w:r w:rsidR="00F3516F" w:rsidRPr="00B46CAD">
        <w:t xml:space="preserve"> preserved</w:t>
      </w:r>
      <w:r w:rsidR="00DE0295">
        <w:t xml:space="preserve"> —</w:t>
      </w:r>
      <w:r w:rsidR="00DE0295" w:rsidRPr="00B46CAD">
        <w:t xml:space="preserve"> </w:t>
      </w:r>
      <w:r w:rsidR="00CE7645">
        <w:t xml:space="preserve">to </w:t>
      </w:r>
      <w:r w:rsidR="00DE0295">
        <w:t>effective</w:t>
      </w:r>
      <w:r w:rsidR="00BA5CFC">
        <w:t>ly</w:t>
      </w:r>
      <w:r w:rsidR="00DE0295">
        <w:t xml:space="preserve"> </w:t>
      </w:r>
      <w:r w:rsidR="008834D3">
        <w:t>eliminati</w:t>
      </w:r>
      <w:r w:rsidR="00BA5CFC">
        <w:t>ng</w:t>
      </w:r>
      <w:r w:rsidR="00FB68CF">
        <w:t xml:space="preserve"> </w:t>
      </w:r>
      <w:r w:rsidR="008834D3">
        <w:t xml:space="preserve">the </w:t>
      </w:r>
      <w:r w:rsidR="00A04585" w:rsidRPr="00B46CAD">
        <w:t xml:space="preserve">public comment process </w:t>
      </w:r>
      <w:r w:rsidR="008A44DF">
        <w:t xml:space="preserve">because of </w:t>
      </w:r>
      <w:r w:rsidR="00131C78" w:rsidRPr="00B46CAD">
        <w:t xml:space="preserve">extraordinary circumstances </w:t>
      </w:r>
      <w:r w:rsidR="00181668" w:rsidRPr="00B46CAD">
        <w:t xml:space="preserve">that </w:t>
      </w:r>
      <w:r w:rsidR="00BA5CFC">
        <w:t>make compliance with the statutory deadline impossible.</w:t>
      </w:r>
    </w:p>
    <w:p w14:paraId="3C86697E" w14:textId="53D651F3" w:rsidR="001473AB" w:rsidRPr="00B46CAD" w:rsidRDefault="001473AB" w:rsidP="00B46CAD">
      <w:pPr>
        <w:tabs>
          <w:tab w:val="left" w:pos="1440"/>
        </w:tabs>
        <w:ind w:firstLine="720"/>
      </w:pPr>
      <w:r w:rsidRPr="00B46CAD">
        <w:t xml:space="preserve">This brings us to the </w:t>
      </w:r>
      <w:r w:rsidR="007328CE">
        <w:t xml:space="preserve">second </w:t>
      </w:r>
      <w:r w:rsidR="0095009A">
        <w:t xml:space="preserve">relevant </w:t>
      </w:r>
      <w:r w:rsidR="007328CE">
        <w:t>deadline faced by the Commission</w:t>
      </w:r>
      <w:r w:rsidR="009D6501">
        <w:t xml:space="preserve">: </w:t>
      </w:r>
      <w:r w:rsidR="00234422">
        <w:t xml:space="preserve"> </w:t>
      </w:r>
      <w:r w:rsidR="007328CE">
        <w:t xml:space="preserve">the </w:t>
      </w:r>
      <w:r w:rsidRPr="00B46CAD">
        <w:t>August 15, 2021</w:t>
      </w:r>
      <w:r w:rsidR="009F3C2B" w:rsidRPr="00B46CAD">
        <w:t>,</w:t>
      </w:r>
      <w:r w:rsidRPr="00B46CAD">
        <w:t xml:space="preserve"> deadline for approving and certifying final redistricting maps to the Secretary of State.  (Cal. Const., art. XXI, §</w:t>
      </w:r>
      <w:r w:rsidR="00505269" w:rsidRPr="00B46CAD">
        <w:t> </w:t>
      </w:r>
      <w:r w:rsidRPr="00B46CAD">
        <w:t xml:space="preserve">2, </w:t>
      </w:r>
      <w:proofErr w:type="spellStart"/>
      <w:r w:rsidRPr="00B46CAD">
        <w:t>subd</w:t>
      </w:r>
      <w:proofErr w:type="spellEnd"/>
      <w:r w:rsidRPr="00B46CAD">
        <w:t xml:space="preserve">. (g).)  If a delay in the federal data makes the July 1 deadline for the draft maps impossible to meet, it stands to reason that the deadline for the final maps, which the Constitution sets at just six weeks later, will be </w:t>
      </w:r>
      <w:r w:rsidR="003832A5">
        <w:t>impossible to meet</w:t>
      </w:r>
      <w:r w:rsidRPr="00B46CAD">
        <w:t xml:space="preserve"> as well.  If the census data are sent to the states on July 31, 2021, and the Legislature takes one month to prepare the dataset to be used for redistricting, the Commission cannot begin its work until September 2021 at the earliest</w:t>
      </w:r>
      <w:r w:rsidR="00827F31">
        <w:t xml:space="preserve"> </w:t>
      </w:r>
      <w:r w:rsidR="00DB0548" w:rsidRPr="00B46CAD">
        <w:t>—</w:t>
      </w:r>
      <w:r w:rsidR="00827F31">
        <w:t xml:space="preserve"> </w:t>
      </w:r>
      <w:r w:rsidR="00EA4CDF" w:rsidRPr="00B46CAD">
        <w:t>well</w:t>
      </w:r>
      <w:r w:rsidR="00DB0548" w:rsidRPr="00B46CAD">
        <w:t xml:space="preserve"> after the constitutionally prescribed August 15, 2021, deadline.  Allowing a period for public comment</w:t>
      </w:r>
      <w:r w:rsidR="00905350">
        <w:t xml:space="preserve">, as the </w:t>
      </w:r>
      <w:r w:rsidR="0054656B">
        <w:t>statutory scheme envisions</w:t>
      </w:r>
      <w:r w:rsidR="00905350">
        <w:t>,</w:t>
      </w:r>
      <w:r w:rsidR="00DB0548" w:rsidRPr="00B46CAD">
        <w:t xml:space="preserve"> will result in even greater delay.</w:t>
      </w:r>
    </w:p>
    <w:p w14:paraId="50F6AA62" w14:textId="45C4284A" w:rsidR="0020617C" w:rsidRDefault="00000186" w:rsidP="00B46CAD">
      <w:pPr>
        <w:tabs>
          <w:tab w:val="left" w:pos="1440"/>
        </w:tabs>
        <w:ind w:firstLine="720"/>
      </w:pPr>
      <w:r w:rsidRPr="00B46CAD">
        <w:t>A</w:t>
      </w:r>
      <w:r w:rsidR="00905350">
        <w:t xml:space="preserve">s </w:t>
      </w:r>
      <w:r w:rsidR="00CC267D">
        <w:t xml:space="preserve">we </w:t>
      </w:r>
      <w:r w:rsidR="00905350">
        <w:t>explained</w:t>
      </w:r>
      <w:r w:rsidR="00CC267D">
        <w:t xml:space="preserve"> above</w:t>
      </w:r>
      <w:r w:rsidRPr="00B46CAD">
        <w:t xml:space="preserve">, </w:t>
      </w:r>
      <w:r w:rsidR="004F191D" w:rsidRPr="00B46CAD">
        <w:t xml:space="preserve">this court’s </w:t>
      </w:r>
      <w:r w:rsidRPr="00B46CAD">
        <w:t xml:space="preserve">precedent </w:t>
      </w:r>
      <w:r w:rsidR="004F191D" w:rsidRPr="00B46CAD">
        <w:t xml:space="preserve">establishes that </w:t>
      </w:r>
      <w:r w:rsidRPr="00B46CAD">
        <w:t xml:space="preserve">a court may reform statutory deadlines </w:t>
      </w:r>
      <w:r w:rsidR="001473AB" w:rsidRPr="00B46CAD">
        <w:t xml:space="preserve">to effectuate the enactors’ clearly articulated policy judgments when it is feasible to do so and when the enacting body </w:t>
      </w:r>
      <w:r w:rsidR="00771EBC" w:rsidRPr="00B46CAD">
        <w:t xml:space="preserve">clearly </w:t>
      </w:r>
      <w:r w:rsidR="001473AB" w:rsidRPr="00B46CAD">
        <w:t xml:space="preserve">would have preferred </w:t>
      </w:r>
      <w:r w:rsidR="00B30EE6">
        <w:t xml:space="preserve">reformation </w:t>
      </w:r>
      <w:r w:rsidR="001473AB" w:rsidRPr="00B46CAD">
        <w:t>to invalidation.  (</w:t>
      </w:r>
      <w:r w:rsidR="001473AB" w:rsidRPr="00B46CAD">
        <w:rPr>
          <w:i/>
        </w:rPr>
        <w:t>Kopp</w:t>
      </w:r>
      <w:r w:rsidR="001473AB" w:rsidRPr="00B46CAD">
        <w:t xml:space="preserve">, </w:t>
      </w:r>
      <w:r w:rsidR="001473AB" w:rsidRPr="00B46CAD">
        <w:rPr>
          <w:i/>
        </w:rPr>
        <w:t>supra</w:t>
      </w:r>
      <w:r w:rsidR="001473AB" w:rsidRPr="00B46CAD">
        <w:t>, 11 Cal.4th at p.</w:t>
      </w:r>
      <w:r w:rsidR="00D47611" w:rsidRPr="00B46CAD">
        <w:t> </w:t>
      </w:r>
      <w:r w:rsidR="001473AB" w:rsidRPr="00B46CAD">
        <w:t>615</w:t>
      </w:r>
      <w:r w:rsidRPr="00B46CAD">
        <w:t xml:space="preserve">; </w:t>
      </w:r>
      <w:proofErr w:type="spellStart"/>
      <w:r w:rsidRPr="00B46CAD">
        <w:rPr>
          <w:i/>
          <w:iCs/>
        </w:rPr>
        <w:t>Matosantos</w:t>
      </w:r>
      <w:proofErr w:type="spellEnd"/>
      <w:r w:rsidR="00B127B5" w:rsidRPr="00B46CAD">
        <w:rPr>
          <w:iCs/>
        </w:rPr>
        <w:t xml:space="preserve">, </w:t>
      </w:r>
      <w:r w:rsidR="00B127B5" w:rsidRPr="00B46CAD">
        <w:rPr>
          <w:i/>
          <w:iCs/>
        </w:rPr>
        <w:t>supra</w:t>
      </w:r>
      <w:r w:rsidR="00B127B5" w:rsidRPr="00B46CAD">
        <w:rPr>
          <w:iCs/>
        </w:rPr>
        <w:t>, 53 Cal.4th at pp.</w:t>
      </w:r>
      <w:r w:rsidR="0076668B" w:rsidRPr="00B46CAD">
        <w:rPr>
          <w:iCs/>
        </w:rPr>
        <w:t> </w:t>
      </w:r>
      <w:r w:rsidR="00B127B5" w:rsidRPr="00B46CAD">
        <w:rPr>
          <w:iCs/>
        </w:rPr>
        <w:t>274–275</w:t>
      </w:r>
      <w:r w:rsidR="001473AB" w:rsidRPr="00B46CAD">
        <w:t xml:space="preserve">.)  </w:t>
      </w:r>
      <w:r w:rsidR="00685B40" w:rsidRPr="00B46CAD">
        <w:t xml:space="preserve">Although the </w:t>
      </w:r>
      <w:r w:rsidR="00D0528F" w:rsidRPr="00B46CAD">
        <w:t xml:space="preserve">August 15 deadline is set by a constitutional amendment passed by the voters, rather than by statute, we see no reason why the same principles would not </w:t>
      </w:r>
      <w:r w:rsidR="00CC267D">
        <w:t xml:space="preserve">permit </w:t>
      </w:r>
      <w:r w:rsidR="00C2787A">
        <w:t xml:space="preserve">a </w:t>
      </w:r>
      <w:r w:rsidR="00F84D60">
        <w:t xml:space="preserve">one-time </w:t>
      </w:r>
      <w:r w:rsidR="00C2787A">
        <w:t xml:space="preserve">adjustment </w:t>
      </w:r>
      <w:r w:rsidR="00CC267D">
        <w:t xml:space="preserve">of the deadline </w:t>
      </w:r>
      <w:r w:rsidR="00AB0E96">
        <w:t>given the</w:t>
      </w:r>
      <w:r w:rsidR="009618A8">
        <w:t xml:space="preserve"> </w:t>
      </w:r>
      <w:r w:rsidR="000E13B6">
        <w:t xml:space="preserve">extraordinary </w:t>
      </w:r>
      <w:r w:rsidR="00AB0E96">
        <w:t xml:space="preserve">circumstances </w:t>
      </w:r>
      <w:r w:rsidR="00CC267D">
        <w:t>we confront here</w:t>
      </w:r>
      <w:r w:rsidR="0020617C">
        <w:t>.</w:t>
      </w:r>
    </w:p>
    <w:p w14:paraId="5762FF6D" w14:textId="114A89E2" w:rsidR="00000186" w:rsidRPr="00B46CAD" w:rsidRDefault="00424895" w:rsidP="00853E38">
      <w:pPr>
        <w:tabs>
          <w:tab w:val="left" w:pos="1440"/>
        </w:tabs>
        <w:ind w:firstLine="720"/>
      </w:pPr>
      <w:r w:rsidRPr="00B46CAD">
        <w:lastRenderedPageBreak/>
        <w:t>T</w:t>
      </w:r>
      <w:r w:rsidR="007E7579" w:rsidRPr="00B46CAD">
        <w:t>he</w:t>
      </w:r>
      <w:r w:rsidR="00000186" w:rsidRPr="00B46CAD">
        <w:t xml:space="preserve"> August 15 deadline was enacted against the backdrop of the federal deadline that requires the </w:t>
      </w:r>
      <w:r w:rsidR="00383F32">
        <w:t xml:space="preserve">Census </w:t>
      </w:r>
      <w:r w:rsidR="00000186" w:rsidRPr="00B46CAD">
        <w:t>Bureau to transmit census data to the states by March 31 of the year following the census.  (13 U.S.C. §</w:t>
      </w:r>
      <w:r w:rsidR="00505269" w:rsidRPr="00B46CAD">
        <w:t> </w:t>
      </w:r>
      <w:r w:rsidR="00000186" w:rsidRPr="00B46CAD">
        <w:t xml:space="preserve">141(c).)  We presume </w:t>
      </w:r>
      <w:r w:rsidR="002D23D1">
        <w:t xml:space="preserve">that </w:t>
      </w:r>
      <w:r w:rsidR="00000186" w:rsidRPr="00B46CAD">
        <w:t>the voters who approved the initiatives establishing the Commission and the deadline for the approval of the final redistricting maps were aware of this federal deadline</w:t>
      </w:r>
      <w:r w:rsidR="00F30105">
        <w:t xml:space="preserve">, and </w:t>
      </w:r>
      <w:r w:rsidR="002D23D1">
        <w:t xml:space="preserve">that </w:t>
      </w:r>
      <w:r w:rsidR="00853E38">
        <w:t xml:space="preserve">the choice of the August 15 date reflects </w:t>
      </w:r>
      <w:r w:rsidR="002B3AF2">
        <w:t xml:space="preserve">their </w:t>
      </w:r>
      <w:r w:rsidR="00853E38">
        <w:t xml:space="preserve">judgment about the amount of time that is ordinarily appropriate for an effective redistricting process after the necessary federal census data </w:t>
      </w:r>
      <w:r w:rsidR="001F438C">
        <w:t>are released</w:t>
      </w:r>
      <w:r w:rsidR="00000186" w:rsidRPr="00B46CAD">
        <w:t>.  (</w:t>
      </w:r>
      <w:r w:rsidR="00F30105">
        <w:t xml:space="preserve">See </w:t>
      </w:r>
      <w:r w:rsidR="00000186" w:rsidRPr="00B46CAD">
        <w:rPr>
          <w:i/>
        </w:rPr>
        <w:t>In re Lance W.</w:t>
      </w:r>
      <w:r w:rsidR="00000186" w:rsidRPr="00B46CAD">
        <w:t xml:space="preserve"> (1985) 37 Cal.3d 873, 890</w:t>
      </w:r>
      <w:r w:rsidR="0076668B" w:rsidRPr="00B46CAD">
        <w:t>,</w:t>
      </w:r>
      <w:r w:rsidR="00000186" w:rsidRPr="00B46CAD">
        <w:t xml:space="preserve"> fn.</w:t>
      </w:r>
      <w:r w:rsidR="00E03733" w:rsidRPr="00B46CAD">
        <w:t> </w:t>
      </w:r>
      <w:r w:rsidR="00000186" w:rsidRPr="00B46CAD">
        <w:t>11</w:t>
      </w:r>
      <w:r w:rsidR="002F51E9">
        <w:t xml:space="preserve">; </w:t>
      </w:r>
      <w:r w:rsidR="00E57FC4">
        <w:t>Voter Information Guide</w:t>
      </w:r>
      <w:r w:rsidR="002F51E9">
        <w:t xml:space="preserve">, Gen. Elec. (Nov. 4, 2008), </w:t>
      </w:r>
      <w:r w:rsidR="002F51E9" w:rsidRPr="00B46CAD">
        <w:rPr>
          <w:i/>
        </w:rPr>
        <w:t>supra</w:t>
      </w:r>
      <w:r w:rsidR="002F51E9">
        <w:t xml:space="preserve">, </w:t>
      </w:r>
      <w:r w:rsidR="002F51E9" w:rsidRPr="00B46CAD">
        <w:t xml:space="preserve">text of Prop. 11, p. 138 [setting the deadline for the Commission’s final maps as Sept. 15 of the year following the census]; </w:t>
      </w:r>
      <w:r w:rsidR="00E57FC4">
        <w:t>Voter Information Guide</w:t>
      </w:r>
      <w:r w:rsidR="002F51E9" w:rsidRPr="00B46CAD">
        <w:t xml:space="preserve">, Gen. Elec. (Nov. 2, 2010) analysis </w:t>
      </w:r>
      <w:r w:rsidR="002F51E9">
        <w:t xml:space="preserve">of Prop. 20 </w:t>
      </w:r>
      <w:r w:rsidR="002F51E9" w:rsidRPr="00B46CAD">
        <w:t xml:space="preserve">by Legis. Analyst, pp. 18–19; </w:t>
      </w:r>
      <w:r w:rsidR="002F51E9" w:rsidRPr="00FA28D7">
        <w:rPr>
          <w:i/>
          <w:iCs/>
        </w:rPr>
        <w:t>id.</w:t>
      </w:r>
      <w:r w:rsidR="002F51E9">
        <w:t xml:space="preserve">, </w:t>
      </w:r>
      <w:r w:rsidR="002F51E9" w:rsidRPr="00B46CAD">
        <w:t xml:space="preserve">text of Prop. 20, p. 96 [changing the deadline for the </w:t>
      </w:r>
      <w:r w:rsidR="00F35031">
        <w:t>approval</w:t>
      </w:r>
      <w:r w:rsidR="002F51E9" w:rsidRPr="00B46CAD">
        <w:t xml:space="preserve"> of final maps from Sept. 15 to Aug. 15].</w:t>
      </w:r>
      <w:r w:rsidR="00000186" w:rsidRPr="00B46CAD">
        <w:t>)</w:t>
      </w:r>
      <w:r w:rsidR="0050642F">
        <w:t xml:space="preserve"> </w:t>
      </w:r>
    </w:p>
    <w:p w14:paraId="2E07C814" w14:textId="68EE5027" w:rsidR="00AC7786" w:rsidRDefault="003A74D4" w:rsidP="00685155">
      <w:pPr>
        <w:tabs>
          <w:tab w:val="left" w:pos="1440"/>
        </w:tabs>
        <w:ind w:firstLine="720"/>
      </w:pPr>
      <w:r>
        <w:t>We consider it clear from the constitutional framework that</w:t>
      </w:r>
      <w:r w:rsidR="00316F21">
        <w:t xml:space="preserve">, confronted with extraordinary pandemic-related federal delay, </w:t>
      </w:r>
      <w:r>
        <w:t xml:space="preserve">the enactors </w:t>
      </w:r>
      <w:r w:rsidR="00316F21">
        <w:t xml:space="preserve">of article XXI, section 2, would have preferred </w:t>
      </w:r>
      <w:r w:rsidR="00D34B01">
        <w:t xml:space="preserve">shifting </w:t>
      </w:r>
      <w:r w:rsidR="00644DDF">
        <w:t xml:space="preserve">the date for </w:t>
      </w:r>
      <w:r w:rsidR="003832A5">
        <w:t xml:space="preserve">approval </w:t>
      </w:r>
      <w:r w:rsidR="007E7235">
        <w:t xml:space="preserve">of </w:t>
      </w:r>
      <w:r w:rsidR="00623192">
        <w:t xml:space="preserve">the Commission’s </w:t>
      </w:r>
      <w:r w:rsidR="007E7235">
        <w:t xml:space="preserve">final maps </w:t>
      </w:r>
      <w:r w:rsidR="00407F4A">
        <w:t xml:space="preserve">to </w:t>
      </w:r>
      <w:r w:rsidR="00C92624">
        <w:t>the available alternatives</w:t>
      </w:r>
      <w:r w:rsidR="00407F4A">
        <w:t>.</w:t>
      </w:r>
      <w:r w:rsidR="00B931DE">
        <w:t xml:space="preserve"> </w:t>
      </w:r>
      <w:r w:rsidR="00B931DE" w:rsidDel="00B931DE">
        <w:t xml:space="preserve"> </w:t>
      </w:r>
      <w:r w:rsidR="0045791A">
        <w:t>It is true that the Constitution</w:t>
      </w:r>
      <w:r w:rsidR="0008116D">
        <w:t xml:space="preserve"> </w:t>
      </w:r>
      <w:r w:rsidR="005C2BA4">
        <w:t>provides</w:t>
      </w:r>
      <w:r w:rsidR="00994B4F">
        <w:t xml:space="preserve"> </w:t>
      </w:r>
      <w:r w:rsidR="0045791A">
        <w:t xml:space="preserve">for </w:t>
      </w:r>
      <w:r w:rsidR="005C2BA4">
        <w:t xml:space="preserve">certain </w:t>
      </w:r>
      <w:r w:rsidR="0083160F">
        <w:t xml:space="preserve">scenarios </w:t>
      </w:r>
      <w:r w:rsidR="0046753B">
        <w:t xml:space="preserve">in which the Commission is unable to approve a final map.  </w:t>
      </w:r>
      <w:r w:rsidR="00E27F60" w:rsidRPr="00B46CAD">
        <w:t xml:space="preserve">In that event, the Secretary of State must petition this court for an order appointing special masters to </w:t>
      </w:r>
      <w:r w:rsidR="003832A5">
        <w:t>adjust district boundaries</w:t>
      </w:r>
      <w:r w:rsidR="00E27F60" w:rsidRPr="00B46CAD">
        <w:t xml:space="preserve"> instead.  (Cal. Const., art. XXI, §</w:t>
      </w:r>
      <w:r w:rsidR="00505269" w:rsidRPr="00B46CAD">
        <w:t> </w:t>
      </w:r>
      <w:r w:rsidR="00E27F60" w:rsidRPr="00B46CAD">
        <w:t xml:space="preserve">2, </w:t>
      </w:r>
      <w:proofErr w:type="spellStart"/>
      <w:r w:rsidR="00E27F60" w:rsidRPr="00B46CAD">
        <w:t>subd</w:t>
      </w:r>
      <w:proofErr w:type="spellEnd"/>
      <w:r w:rsidR="00E27F60" w:rsidRPr="00B46CAD">
        <w:t xml:space="preserve">. (j).)  But by its terms, the Constitution reserves this backstop for situations in which the Commission </w:t>
      </w:r>
      <w:r w:rsidR="0038304D">
        <w:t xml:space="preserve">fails to </w:t>
      </w:r>
      <w:r w:rsidR="00E27F60" w:rsidRPr="00B46CAD">
        <w:t>approve a final map because it cannot muster “the requisite votes”</w:t>
      </w:r>
      <w:r w:rsidR="00905919" w:rsidRPr="00B46CAD">
        <w:t xml:space="preserve"> </w:t>
      </w:r>
      <w:r w:rsidR="007E7579" w:rsidRPr="00B46CAD">
        <w:t>(</w:t>
      </w:r>
      <w:r w:rsidR="00905919" w:rsidRPr="00B46CAD">
        <w:t>or voters disapprove of a final map</w:t>
      </w:r>
      <w:r w:rsidR="0046753B">
        <w:t xml:space="preserve"> </w:t>
      </w:r>
      <w:r w:rsidR="0046753B">
        <w:lastRenderedPageBreak/>
        <w:t>by referendum</w:t>
      </w:r>
      <w:r w:rsidR="007E7579" w:rsidRPr="00B46CAD">
        <w:t>)</w:t>
      </w:r>
      <w:r w:rsidR="00DE10CA">
        <w:t xml:space="preserve">.  </w:t>
      </w:r>
      <w:r w:rsidR="00E27F60" w:rsidRPr="00B46CAD">
        <w:t>(</w:t>
      </w:r>
      <w:r w:rsidR="00DE10CA">
        <w:rPr>
          <w:i/>
          <w:iCs/>
        </w:rPr>
        <w:t>I</w:t>
      </w:r>
      <w:r w:rsidR="00E27F60" w:rsidRPr="00B46CAD">
        <w:rPr>
          <w:i/>
          <w:iCs/>
        </w:rPr>
        <w:t>bid</w:t>
      </w:r>
      <w:r w:rsidR="00E27F60" w:rsidRPr="00B46CAD">
        <w:t>.)</w:t>
      </w:r>
      <w:r w:rsidR="00DE10CA">
        <w:t xml:space="preserve">  I</w:t>
      </w:r>
      <w:r w:rsidR="00E27F60" w:rsidRPr="00B46CAD">
        <w:t xml:space="preserve">t is not designed to address the situation here, </w:t>
      </w:r>
      <w:r w:rsidR="00B931DE">
        <w:t>where</w:t>
      </w:r>
      <w:r w:rsidR="00E27F60" w:rsidRPr="00B46CAD">
        <w:t xml:space="preserve"> the Commission </w:t>
      </w:r>
      <w:r w:rsidR="00B931DE">
        <w:t>will be</w:t>
      </w:r>
      <w:r w:rsidR="0038304D">
        <w:t xml:space="preserve"> </w:t>
      </w:r>
      <w:r w:rsidR="00E27F60" w:rsidRPr="00B46CAD">
        <w:t>unable to complete its work by the prescribed deadline because of extraordinary events</w:t>
      </w:r>
      <w:r w:rsidR="00C91348">
        <w:t xml:space="preserve"> outside of its control</w:t>
      </w:r>
      <w:r w:rsidR="00E27F60" w:rsidRPr="00B46CAD">
        <w:t>.</w:t>
      </w:r>
      <w:r w:rsidR="003A2D1E">
        <w:t xml:space="preserve">  </w:t>
      </w:r>
      <w:r w:rsidR="00641173">
        <w:t>There are, moreover, strong reasons to believe voters would not have preferred</w:t>
      </w:r>
      <w:r w:rsidR="00994B4F">
        <w:t xml:space="preserve"> deploying this backstop</w:t>
      </w:r>
      <w:r w:rsidR="00827F31">
        <w:t xml:space="preserve"> </w:t>
      </w:r>
      <w:r w:rsidR="00F86D78">
        <w:t>—</w:t>
      </w:r>
      <w:r w:rsidR="00827F31">
        <w:t xml:space="preserve"> </w:t>
      </w:r>
      <w:r w:rsidR="00F86D78">
        <w:t xml:space="preserve">and </w:t>
      </w:r>
      <w:r w:rsidR="009D6501">
        <w:t xml:space="preserve">thereby </w:t>
      </w:r>
      <w:r w:rsidR="00F86D78">
        <w:t>transfer</w:t>
      </w:r>
      <w:r w:rsidR="009D6501">
        <w:t>ring</w:t>
      </w:r>
      <w:r w:rsidR="00F86D78">
        <w:t xml:space="preserve"> primary responsibility for redistricting from the Commission to this court</w:t>
      </w:r>
      <w:r w:rsidR="00827F31">
        <w:t xml:space="preserve"> </w:t>
      </w:r>
      <w:r w:rsidR="00F86D78">
        <w:t>—</w:t>
      </w:r>
      <w:r w:rsidR="00827F31">
        <w:t xml:space="preserve"> </w:t>
      </w:r>
      <w:r w:rsidR="00994B4F">
        <w:t xml:space="preserve">to </w:t>
      </w:r>
      <w:r w:rsidR="007065AD">
        <w:t xml:space="preserve">employing </w:t>
      </w:r>
      <w:r w:rsidR="0083005E">
        <w:t xml:space="preserve">the usual redistricting procedures </w:t>
      </w:r>
      <w:r w:rsidR="009D6501">
        <w:t>on</w:t>
      </w:r>
      <w:r w:rsidR="0083005E">
        <w:t xml:space="preserve"> an adjusted timeline.</w:t>
      </w:r>
      <w:r w:rsidR="00F86D78">
        <w:t xml:space="preserve">  </w:t>
      </w:r>
      <w:r w:rsidR="00D31720" w:rsidRPr="00B46CAD">
        <w:t>The voters enacted Propositions 11 and 20 to transfer the responsibility of drawing new district maps from the Legislature to an independent panel of citizens.  (</w:t>
      </w:r>
      <w:r w:rsidR="00E57FC4">
        <w:t>Voter Information Guide</w:t>
      </w:r>
      <w:r w:rsidR="00D31720">
        <w:t xml:space="preserve">, Gen. Elec. (Nov. 4, 2008), </w:t>
      </w:r>
      <w:r w:rsidR="00D31720" w:rsidRPr="00B46CAD">
        <w:rPr>
          <w:i/>
        </w:rPr>
        <w:t>supra</w:t>
      </w:r>
      <w:r w:rsidR="00D31720" w:rsidRPr="00B46CAD">
        <w:t xml:space="preserve">, analysis </w:t>
      </w:r>
      <w:r w:rsidR="00D31720">
        <w:t xml:space="preserve">of Prop. 11 </w:t>
      </w:r>
      <w:r w:rsidR="00D31720" w:rsidRPr="00B46CAD">
        <w:t xml:space="preserve">by Legis. Analyst, pp. 70–71; </w:t>
      </w:r>
      <w:r w:rsidR="00D31720">
        <w:t xml:space="preserve">see </w:t>
      </w:r>
      <w:r w:rsidR="00D31720">
        <w:rPr>
          <w:i/>
        </w:rPr>
        <w:t>Wilson v. Eu</w:t>
      </w:r>
      <w:r w:rsidR="00D31720">
        <w:t xml:space="preserve"> (1991) 54 Cal.3d 471, 473</w:t>
      </w:r>
      <w:r w:rsidR="00127705">
        <w:t>.)</w:t>
      </w:r>
      <w:r w:rsidR="002472D1">
        <w:t xml:space="preserve">  </w:t>
      </w:r>
      <w:r w:rsidR="00404C02">
        <w:t xml:space="preserve">In so doing, the voters </w:t>
      </w:r>
      <w:r w:rsidR="002472D1">
        <w:t xml:space="preserve">tasked this court with redistricting only as a matter of last resort.  </w:t>
      </w:r>
      <w:r w:rsidR="0082495F">
        <w:t>(Cal. Const., art. XXI, §</w:t>
      </w:r>
      <w:r w:rsidR="00DC2C1D">
        <w:t> </w:t>
      </w:r>
      <w:r w:rsidR="0082495F">
        <w:t xml:space="preserve">2, </w:t>
      </w:r>
      <w:proofErr w:type="spellStart"/>
      <w:r w:rsidR="0082495F">
        <w:t>subd</w:t>
      </w:r>
      <w:proofErr w:type="spellEnd"/>
      <w:r w:rsidR="0082495F">
        <w:t>. (j).)</w:t>
      </w:r>
      <w:r w:rsidR="0045265D">
        <w:t xml:space="preserve">  For this court to undertake to draw maps in the first instance would </w:t>
      </w:r>
      <w:r w:rsidR="0002026E">
        <w:t>both</w:t>
      </w:r>
      <w:r w:rsidR="0045265D">
        <w:t xml:space="preserve"> </w:t>
      </w:r>
      <w:r w:rsidR="00896F60">
        <w:t xml:space="preserve">displace the role voters envisioned for the Commission </w:t>
      </w:r>
      <w:r w:rsidR="0002026E">
        <w:t>and</w:t>
      </w:r>
      <w:r w:rsidR="00896F60">
        <w:t xml:space="preserve"> preclude </w:t>
      </w:r>
      <w:r w:rsidR="007B5033">
        <w:t xml:space="preserve">opportunities for the </w:t>
      </w:r>
      <w:r w:rsidR="00896F60">
        <w:t xml:space="preserve">public to participate in the process </w:t>
      </w:r>
      <w:r w:rsidR="007B5033">
        <w:t xml:space="preserve">as </w:t>
      </w:r>
      <w:r w:rsidR="001F438C">
        <w:t xml:space="preserve">the </w:t>
      </w:r>
      <w:r w:rsidR="007B5033">
        <w:t>voters intended</w:t>
      </w:r>
      <w:r w:rsidR="00896F60">
        <w:t xml:space="preserve">.  </w:t>
      </w:r>
      <w:r w:rsidR="0050642F">
        <w:t>(</w:t>
      </w:r>
      <w:r w:rsidR="00C605B4">
        <w:t xml:space="preserve">See </w:t>
      </w:r>
      <w:r w:rsidR="0050642F">
        <w:t xml:space="preserve">Cal. Const., art. XXI, </w:t>
      </w:r>
      <w:r w:rsidR="00DC2C1D">
        <w:t>§ </w:t>
      </w:r>
      <w:r w:rsidR="0050642F">
        <w:t xml:space="preserve">2, </w:t>
      </w:r>
      <w:proofErr w:type="spellStart"/>
      <w:r w:rsidR="0050642F">
        <w:t>subd</w:t>
      </w:r>
      <w:proofErr w:type="spellEnd"/>
      <w:r w:rsidR="0050642F">
        <w:t>. (b)(1) [</w:t>
      </w:r>
      <w:r w:rsidR="0025042E">
        <w:t xml:space="preserve">instructing the Commission to “conduct </w:t>
      </w:r>
      <w:r w:rsidR="0050642F" w:rsidRPr="0050642F">
        <w:t>an open and transparent process enabling full public consideration of and comment on the drawing of district lines</w:t>
      </w:r>
      <w:r w:rsidR="0050642F">
        <w:t xml:space="preserve"> .</w:t>
      </w:r>
      <w:r w:rsidR="005778A3">
        <w:t> </w:t>
      </w:r>
      <w:r w:rsidR="0050642F">
        <w:t>.</w:t>
      </w:r>
      <w:r w:rsidR="005778A3">
        <w:t> </w:t>
      </w:r>
      <w:r w:rsidR="0050642F">
        <w:t>.”].)</w:t>
      </w:r>
      <w:r w:rsidR="00656BF0">
        <w:t xml:space="preserve">  </w:t>
      </w:r>
      <w:r w:rsidR="004C2A9D">
        <w:t>A</w:t>
      </w:r>
      <w:r w:rsidR="00656BF0">
        <w:t>djust</w:t>
      </w:r>
      <w:r w:rsidR="004C2A9D">
        <w:t>ing</w:t>
      </w:r>
      <w:r w:rsidR="00656BF0">
        <w:t xml:space="preserve"> the August 15 deadline, by contrast, gives effect to the voters’ intent that the Commission play the lead role in drawing new district maps, </w:t>
      </w:r>
      <w:r w:rsidR="004C2A9D">
        <w:t>with</w:t>
      </w:r>
      <w:r w:rsidR="00656BF0">
        <w:t xml:space="preserve"> input from the public</w:t>
      </w:r>
      <w:r w:rsidR="00EA5033">
        <w:t xml:space="preserve"> received in a timely manner</w:t>
      </w:r>
      <w:r w:rsidR="00656BF0">
        <w:t>.</w:t>
      </w:r>
    </w:p>
    <w:p w14:paraId="3E2EE147" w14:textId="3871A417" w:rsidR="00AD6AE1" w:rsidRDefault="00675AFE">
      <w:pPr>
        <w:tabs>
          <w:tab w:val="left" w:pos="1440"/>
        </w:tabs>
        <w:ind w:firstLine="720"/>
      </w:pPr>
      <w:r>
        <w:t>As always, o</w:t>
      </w:r>
      <w:r w:rsidR="00747C66" w:rsidRPr="00B46CAD">
        <w:t xml:space="preserve">ur goal </w:t>
      </w:r>
      <w:r w:rsidR="0020617C">
        <w:t xml:space="preserve">in fashioning </w:t>
      </w:r>
      <w:r w:rsidR="00CB7CE6">
        <w:t xml:space="preserve">such </w:t>
      </w:r>
      <w:r w:rsidR="0020617C">
        <w:t xml:space="preserve">a remedy </w:t>
      </w:r>
      <w:r w:rsidR="00747C66" w:rsidRPr="00B46CAD">
        <w:t>is to disturb the original language of the provision as little as possible.  (</w:t>
      </w:r>
      <w:r w:rsidR="00747C66" w:rsidRPr="00B46CAD">
        <w:rPr>
          <w:i/>
        </w:rPr>
        <w:t>Kopp</w:t>
      </w:r>
      <w:r w:rsidR="00747C66" w:rsidRPr="00B46CAD">
        <w:t xml:space="preserve">, </w:t>
      </w:r>
      <w:r w:rsidR="00747C66" w:rsidRPr="00B46CAD">
        <w:rPr>
          <w:i/>
        </w:rPr>
        <w:t>supra</w:t>
      </w:r>
      <w:r w:rsidR="00747C66" w:rsidRPr="00B46CAD">
        <w:t>, 11 Cal.4th at p.</w:t>
      </w:r>
      <w:r w:rsidR="00505269" w:rsidRPr="00B46CAD">
        <w:t> </w:t>
      </w:r>
      <w:r w:rsidR="00747C66" w:rsidRPr="00B46CAD">
        <w:t>661.)  The Legislature proposes that</w:t>
      </w:r>
      <w:r w:rsidR="00320DC1">
        <w:t xml:space="preserve">, for purposes of the 2020 redistricting process, </w:t>
      </w:r>
      <w:r w:rsidR="00747C66" w:rsidRPr="00B46CAD">
        <w:t>we adjust the deadlines to account for the anticipated federal delay</w:t>
      </w:r>
      <w:r w:rsidR="00827F31">
        <w:t xml:space="preserve"> </w:t>
      </w:r>
      <w:r w:rsidR="00747C66" w:rsidRPr="00B46CAD">
        <w:lastRenderedPageBreak/>
        <w:t>—</w:t>
      </w:r>
      <w:r w:rsidR="00827F31">
        <w:t xml:space="preserve"> </w:t>
      </w:r>
      <w:r w:rsidR="00747C66" w:rsidRPr="00B46CAD">
        <w:t>here, four months.  The Commission and</w:t>
      </w:r>
      <w:r w:rsidR="000A211A">
        <w:t xml:space="preserve"> the</w:t>
      </w:r>
      <w:r w:rsidR="00747C66" w:rsidRPr="00B46CAD">
        <w:t xml:space="preserve"> Secretary of State concur.  </w:t>
      </w:r>
      <w:r w:rsidR="007553B2" w:rsidRPr="00B46CAD">
        <w:t xml:space="preserve">We agree this adjustment is appropriate.  </w:t>
      </w:r>
      <w:r w:rsidR="00AD6AE1">
        <w:t>The state</w:t>
      </w:r>
      <w:r w:rsidR="00CD45B1">
        <w:t xml:space="preserve"> </w:t>
      </w:r>
      <w:r w:rsidR="00AD6AE1">
        <w:t xml:space="preserve">law </w:t>
      </w:r>
      <w:r w:rsidR="000556B1">
        <w:t xml:space="preserve">provisions setting forth the </w:t>
      </w:r>
      <w:r w:rsidR="00AD6AE1">
        <w:t>deadlines</w:t>
      </w:r>
      <w:r w:rsidR="000556B1">
        <w:t xml:space="preserve"> for the Commission to release draft maps and approv</w:t>
      </w:r>
      <w:r w:rsidR="005828E3">
        <w:t>e</w:t>
      </w:r>
      <w:r w:rsidR="000556B1">
        <w:t xml:space="preserve"> final maps</w:t>
      </w:r>
      <w:r w:rsidR="00AD6AE1">
        <w:t xml:space="preserve"> were designed to ensure that the Commission can take the necessary steps to prepare for a public redistricting process with some degree of certainty about when those steps will occur.  </w:t>
      </w:r>
      <w:r w:rsidR="000556B1">
        <w:t xml:space="preserve">The Commission’s forecasted delay runs the risk of rendering these provisions hollow.  </w:t>
      </w:r>
      <w:r w:rsidR="00AD6AE1">
        <w:t xml:space="preserve">As the Legislature and </w:t>
      </w:r>
      <w:r w:rsidR="000A211A">
        <w:t xml:space="preserve">the </w:t>
      </w:r>
      <w:r w:rsidR="00AD6AE1">
        <w:t xml:space="preserve">Secretary of State explain, without clear deadlines, the Commission </w:t>
      </w:r>
      <w:r w:rsidR="00F27425">
        <w:t xml:space="preserve">will </w:t>
      </w:r>
      <w:r w:rsidR="00AD6AE1">
        <w:t xml:space="preserve">be ill equipped to </w:t>
      </w:r>
      <w:r w:rsidR="00CD45B1">
        <w:t>plan and coordinate</w:t>
      </w:r>
      <w:r w:rsidR="00AD6AE1">
        <w:t xml:space="preserve"> the public process of drawing new maps.  </w:t>
      </w:r>
      <w:r w:rsidR="004D2047">
        <w:t xml:space="preserve">A four-month adjustment of </w:t>
      </w:r>
      <w:r w:rsidR="00836B53">
        <w:t xml:space="preserve">these </w:t>
      </w:r>
      <w:r w:rsidR="004D2047">
        <w:t xml:space="preserve">deadlines </w:t>
      </w:r>
      <w:r w:rsidR="00836B53">
        <w:t xml:space="preserve">addresses this issue while </w:t>
      </w:r>
      <w:r w:rsidR="004D2047">
        <w:t>leav</w:t>
      </w:r>
      <w:r w:rsidR="000556B1">
        <w:t xml:space="preserve">ing </w:t>
      </w:r>
      <w:r w:rsidR="004D2047">
        <w:t xml:space="preserve">sufficient time </w:t>
      </w:r>
      <w:r w:rsidR="00232415">
        <w:t xml:space="preserve">for </w:t>
      </w:r>
      <w:r w:rsidR="0019113D" w:rsidRPr="00B46CAD">
        <w:t xml:space="preserve">the maps </w:t>
      </w:r>
      <w:r w:rsidR="00232415">
        <w:t xml:space="preserve">to be finalized </w:t>
      </w:r>
      <w:r w:rsidR="0019113D" w:rsidRPr="00B46CAD">
        <w:t>in advance of the 2022 primaries.</w:t>
      </w:r>
      <w:r w:rsidR="0019113D" w:rsidRPr="00E12BBC">
        <w:rPr>
          <w:rStyle w:val="FootnoteReference"/>
          <w:position w:val="0"/>
          <w:szCs w:val="27"/>
        </w:rPr>
        <w:footnoteReference w:id="5"/>
      </w:r>
      <w:r w:rsidR="0019113D" w:rsidRPr="00B46CAD">
        <w:t xml:space="preserve">  </w:t>
      </w:r>
      <w:r w:rsidR="00AD6AE1">
        <w:t>For these reasons, we agree that a</w:t>
      </w:r>
      <w:r w:rsidR="00E543D6">
        <w:t xml:space="preserve"> </w:t>
      </w:r>
      <w:r w:rsidR="00AD6AE1">
        <w:t>four-month adjustment of the deadlines for the release of the draft maps and the approval of the final maps is appropriate.</w:t>
      </w:r>
      <w:r w:rsidR="00320DC1">
        <w:t xml:space="preserve">  </w:t>
      </w:r>
    </w:p>
    <w:p w14:paraId="464B8A5D" w14:textId="36BA41C8" w:rsidR="008546CF" w:rsidRDefault="00155E63" w:rsidP="008546CF">
      <w:pPr>
        <w:tabs>
          <w:tab w:val="left" w:pos="1440"/>
        </w:tabs>
        <w:ind w:firstLine="720"/>
      </w:pPr>
      <w:r>
        <w:t>We recognize</w:t>
      </w:r>
      <w:r w:rsidR="009074CA">
        <w:t xml:space="preserve">, however, </w:t>
      </w:r>
      <w:r w:rsidR="00E543D6">
        <w:t xml:space="preserve">that </w:t>
      </w:r>
      <w:r w:rsidR="004025E6">
        <w:t>t</w:t>
      </w:r>
      <w:r w:rsidR="00AD6AE1">
        <w:t xml:space="preserve">he dynamic </w:t>
      </w:r>
      <w:r w:rsidR="00BD635F">
        <w:t xml:space="preserve">nature </w:t>
      </w:r>
      <w:r w:rsidR="00AD6AE1">
        <w:t>of the global pandemic</w:t>
      </w:r>
      <w:r w:rsidR="004025E6">
        <w:t xml:space="preserve"> may </w:t>
      </w:r>
      <w:r w:rsidR="00077B68">
        <w:t>lead t</w:t>
      </w:r>
      <w:r w:rsidR="001B79C8">
        <w:t>he federal government t</w:t>
      </w:r>
      <w:r w:rsidR="00077B68">
        <w:t xml:space="preserve">o further </w:t>
      </w:r>
      <w:r w:rsidR="001B79C8">
        <w:t>postpone its</w:t>
      </w:r>
      <w:r w:rsidR="003307B7">
        <w:t xml:space="preserve"> </w:t>
      </w:r>
      <w:r w:rsidR="003C2DD2">
        <w:t xml:space="preserve">delivery of the census data.  </w:t>
      </w:r>
      <w:r w:rsidR="00437E3E">
        <w:t xml:space="preserve">In </w:t>
      </w:r>
      <w:r w:rsidR="008E37DF">
        <w:t xml:space="preserve">the event of further </w:t>
      </w:r>
      <w:r w:rsidR="00A80C06">
        <w:t xml:space="preserve">federal </w:t>
      </w:r>
      <w:r w:rsidR="008E37DF">
        <w:t xml:space="preserve">delay, </w:t>
      </w:r>
      <w:r w:rsidR="00F27425">
        <w:t xml:space="preserve">we conclude </w:t>
      </w:r>
      <w:r w:rsidR="0025389E">
        <w:t xml:space="preserve">the relevant state deadlines </w:t>
      </w:r>
      <w:r w:rsidR="003747FF">
        <w:t>should be sh</w:t>
      </w:r>
      <w:r w:rsidR="008E37DF">
        <w:t>ifted accordingly</w:t>
      </w:r>
      <w:r w:rsidR="001B79C8">
        <w:t>, for the reasons outlined here</w:t>
      </w:r>
      <w:r w:rsidR="003747FF">
        <w:t xml:space="preserve">.  </w:t>
      </w:r>
      <w:r w:rsidR="008C3702">
        <w:t xml:space="preserve">Thus, while we today grant a minimum four-month adjustment to the relevant deadlines, we also order that the deadlines be further extended by the length of any additional delay in release of the federal census data </w:t>
      </w:r>
      <w:r w:rsidR="006D7F6B">
        <w:t>beyond four months</w:t>
      </w:r>
      <w:r w:rsidR="008C3702">
        <w:t>.</w:t>
      </w:r>
      <w:r w:rsidR="00C04705">
        <w:t xml:space="preserve">  </w:t>
      </w:r>
      <w:r w:rsidR="00A80C06">
        <w:t>I</w:t>
      </w:r>
      <w:r w:rsidR="00C04705">
        <w:t xml:space="preserve">n the event that an </w:t>
      </w:r>
      <w:r w:rsidR="006D7F6B">
        <w:lastRenderedPageBreak/>
        <w:t xml:space="preserve">additional </w:t>
      </w:r>
      <w:r w:rsidR="00C04705">
        <w:t xml:space="preserve">extension of time risks interference with the </w:t>
      </w:r>
      <w:r w:rsidR="000F53E5">
        <w:t xml:space="preserve">timeline </w:t>
      </w:r>
      <w:r w:rsidR="00F271C0">
        <w:t xml:space="preserve">for conducting </w:t>
      </w:r>
      <w:r w:rsidR="000F53E5">
        <w:t>elections</w:t>
      </w:r>
      <w:r w:rsidR="00A80C06">
        <w:t>, appropriate parties may seek further relief in this court</w:t>
      </w:r>
      <w:r w:rsidR="00C04705">
        <w:t>.</w:t>
      </w:r>
      <w:r w:rsidR="0021471D">
        <w:t xml:space="preserve">  Conversely, should the federal government release the census data </w:t>
      </w:r>
      <w:r w:rsidR="0013786D">
        <w:t xml:space="preserve">sooner than </w:t>
      </w:r>
      <w:r w:rsidR="0021471D">
        <w:t xml:space="preserve">July 31, 2021, </w:t>
      </w:r>
      <w:r w:rsidR="008546CF" w:rsidRPr="00B46CAD">
        <w:t xml:space="preserve">the Commission should make every effort to expedite its process and release the preliminary and final maps in advance of the deadlines set forth </w:t>
      </w:r>
      <w:r w:rsidR="008546CF">
        <w:t xml:space="preserve">in </w:t>
      </w:r>
      <w:r w:rsidR="006D7F6B">
        <w:t xml:space="preserve">this </w:t>
      </w:r>
      <w:r w:rsidR="008546CF">
        <w:t>order</w:t>
      </w:r>
      <w:r w:rsidR="008546CF" w:rsidRPr="00B46CAD">
        <w:t>.</w:t>
      </w:r>
    </w:p>
    <w:p w14:paraId="51FFB480" w14:textId="61FFFC14" w:rsidR="00675AFE" w:rsidRDefault="00675AFE" w:rsidP="008546CF">
      <w:pPr>
        <w:tabs>
          <w:tab w:val="left" w:pos="1440"/>
        </w:tabs>
        <w:ind w:firstLine="720"/>
      </w:pPr>
      <w:r>
        <w:t xml:space="preserve">Finally, we again </w:t>
      </w:r>
      <w:r w:rsidRPr="00712DF5">
        <w:t xml:space="preserve">emphasize that these adjustments </w:t>
      </w:r>
      <w:r>
        <w:t xml:space="preserve">to the relevant deadlines </w:t>
      </w:r>
      <w:r w:rsidRPr="00712DF5">
        <w:t xml:space="preserve">are limited to this redistricting cycle and these </w:t>
      </w:r>
      <w:r w:rsidR="003918F2">
        <w:t xml:space="preserve">extraordinary </w:t>
      </w:r>
      <w:r w:rsidRPr="00712DF5">
        <w:t xml:space="preserve">circumstances.  </w:t>
      </w:r>
      <w:r>
        <w:t xml:space="preserve">It is these circumstances that necessitate the remedy we authorize today:  </w:t>
      </w:r>
      <w:r w:rsidRPr="00712DF5">
        <w:t>a</w:t>
      </w:r>
      <w:r>
        <w:t xml:space="preserve"> public health crisis </w:t>
      </w:r>
      <w:r w:rsidRPr="00712DF5">
        <w:t xml:space="preserve">that has </w:t>
      </w:r>
      <w:r>
        <w:t xml:space="preserve">compelled declarations of emergency by both the President and the Governor, and that has compelled </w:t>
      </w:r>
      <w:r w:rsidRPr="00712DF5">
        <w:t xml:space="preserve">the federal government to pause the </w:t>
      </w:r>
      <w:r>
        <w:t xml:space="preserve">decennial census </w:t>
      </w:r>
      <w:r w:rsidRPr="00712DF5">
        <w:t xml:space="preserve">and seek </w:t>
      </w:r>
      <w:r>
        <w:t>congressional</w:t>
      </w:r>
      <w:r w:rsidRPr="00712DF5">
        <w:t xml:space="preserve"> authorization for a</w:t>
      </w:r>
      <w:r w:rsidR="007A3781">
        <w:t>n</w:t>
      </w:r>
      <w:r w:rsidRPr="00712DF5">
        <w:t xml:space="preserve"> </w:t>
      </w:r>
      <w:r>
        <w:t>extension of its own deadline</w:t>
      </w:r>
      <w:r w:rsidRPr="00712DF5">
        <w:t>.</w:t>
      </w:r>
      <w:r>
        <w:t xml:space="preserve">  And the remedy </w:t>
      </w:r>
      <w:r w:rsidR="003918F2">
        <w:t xml:space="preserve">we authorize is </w:t>
      </w:r>
      <w:r>
        <w:t>a narrow one</w:t>
      </w:r>
      <w:r w:rsidR="003918F2">
        <w:t xml:space="preserve">:  </w:t>
      </w:r>
      <w:r>
        <w:t xml:space="preserve">a one-time adjustment to the deadlines, </w:t>
      </w:r>
      <w:r w:rsidR="003918F2">
        <w:t xml:space="preserve">to enable the relevant </w:t>
      </w:r>
      <w:r w:rsidRPr="00712DF5">
        <w:t xml:space="preserve">constitutional and statutory </w:t>
      </w:r>
      <w:r>
        <w:t xml:space="preserve">redistricting </w:t>
      </w:r>
      <w:r w:rsidRPr="00712DF5">
        <w:t xml:space="preserve">provisions </w:t>
      </w:r>
      <w:r w:rsidR="00A07DCE">
        <w:t xml:space="preserve">otherwise </w:t>
      </w:r>
      <w:r w:rsidR="003918F2">
        <w:t xml:space="preserve">to </w:t>
      </w:r>
      <w:r>
        <w:t xml:space="preserve">operate as </w:t>
      </w:r>
      <w:r w:rsidR="00D60295">
        <w:t>written and intended.</w:t>
      </w:r>
    </w:p>
    <w:p w14:paraId="24298501" w14:textId="3D86C22D" w:rsidR="00B117BE" w:rsidRDefault="00B117BE" w:rsidP="008264D2">
      <w:pPr>
        <w:spacing w:after="0" w:line="240" w:lineRule="auto"/>
        <w:jc w:val="left"/>
      </w:pPr>
      <w:r>
        <w:br w:type="page"/>
      </w:r>
    </w:p>
    <w:p w14:paraId="2C819398" w14:textId="77777777" w:rsidR="001473AB" w:rsidRPr="00B46CAD" w:rsidRDefault="001473AB" w:rsidP="00E12BBC">
      <w:pPr>
        <w:tabs>
          <w:tab w:val="left" w:pos="1440"/>
        </w:tabs>
        <w:jc w:val="center"/>
        <w:rPr>
          <w:b/>
        </w:rPr>
      </w:pPr>
      <w:r w:rsidRPr="00B46CAD">
        <w:rPr>
          <w:b/>
        </w:rPr>
        <w:lastRenderedPageBreak/>
        <w:t>III.</w:t>
      </w:r>
    </w:p>
    <w:p w14:paraId="0207F614" w14:textId="77777777" w:rsidR="001473AB" w:rsidRPr="00B46CAD" w:rsidRDefault="001473AB" w:rsidP="00B46CAD">
      <w:pPr>
        <w:tabs>
          <w:tab w:val="left" w:pos="1440"/>
        </w:tabs>
        <w:ind w:firstLine="720"/>
      </w:pPr>
      <w:r w:rsidRPr="00B46CAD">
        <w:t>We grant the Legislature’s petition and issue a peremptory writ of mandate as follows:</w:t>
      </w:r>
    </w:p>
    <w:p w14:paraId="0678182A" w14:textId="54874C9C" w:rsidR="001473AB" w:rsidRPr="00B46CAD" w:rsidRDefault="001473AB" w:rsidP="00B46CAD">
      <w:pPr>
        <w:numPr>
          <w:ilvl w:val="0"/>
          <w:numId w:val="2"/>
        </w:numPr>
        <w:tabs>
          <w:tab w:val="left" w:pos="1440"/>
        </w:tabs>
      </w:pPr>
      <w:r w:rsidRPr="00B46CAD">
        <w:t xml:space="preserve">The Commission is directed to release the first preliminary statewide maps for the congressional, State Senatorial, Assembly, and </w:t>
      </w:r>
      <w:r w:rsidR="00E53076">
        <w:t xml:space="preserve">State </w:t>
      </w:r>
      <w:r w:rsidRPr="00B46CAD">
        <w:t>Board of Equalization districts for public display and comment no later than November 1, 2021, notwithstanding Government Code section 8253, subdivision (a)(7).</w:t>
      </w:r>
    </w:p>
    <w:p w14:paraId="4843ADE5" w14:textId="77777777" w:rsidR="001473AB" w:rsidRPr="00B46CAD" w:rsidRDefault="001473AB" w:rsidP="00B46CAD">
      <w:pPr>
        <w:numPr>
          <w:ilvl w:val="0"/>
          <w:numId w:val="2"/>
        </w:numPr>
        <w:tabs>
          <w:tab w:val="left" w:pos="1440"/>
        </w:tabs>
        <w:rPr>
          <w:i/>
        </w:rPr>
      </w:pPr>
      <w:r w:rsidRPr="00B46CAD">
        <w:t>The Commission is directed to approve and certify the final statewide maps to the Secretary of State by no later than December 15, 2021.  If the maps are approved and certified by this date, the Secretary of State shall consider the maps approved and certified consistent with the requirements of article XXI, section 2, subdivision (g) of the California Constitution.</w:t>
      </w:r>
    </w:p>
    <w:p w14:paraId="786660CF" w14:textId="64284763" w:rsidR="009B2757" w:rsidRDefault="005D218C" w:rsidP="00B46CAD">
      <w:pPr>
        <w:tabs>
          <w:tab w:val="left" w:pos="1440"/>
        </w:tabs>
        <w:ind w:firstLine="720"/>
      </w:pPr>
      <w:r>
        <w:t xml:space="preserve">If the federal government transmits the census data to the state later than July 31, 2021, the number of days of </w:t>
      </w:r>
      <w:r w:rsidR="008436A3">
        <w:t xml:space="preserve">additional </w:t>
      </w:r>
      <w:r>
        <w:t xml:space="preserve">delay </w:t>
      </w:r>
      <w:r w:rsidR="009B2757">
        <w:t>shall</w:t>
      </w:r>
      <w:r>
        <w:t xml:space="preserve"> be considered </w:t>
      </w:r>
      <w:r w:rsidR="001D055C">
        <w:t xml:space="preserve">to be </w:t>
      </w:r>
      <w:r>
        <w:t>the “additional federal delay.</w:t>
      </w:r>
      <w:r w:rsidR="00B2544A">
        <w:t xml:space="preserve">”  </w:t>
      </w:r>
      <w:r>
        <w:t xml:space="preserve">In the event </w:t>
      </w:r>
      <w:r w:rsidR="00151650">
        <w:t>additional federal delay occurs</w:t>
      </w:r>
      <w:r>
        <w:t xml:space="preserve">, </w:t>
      </w:r>
      <w:r w:rsidR="00F67DAE">
        <w:t xml:space="preserve">the </w:t>
      </w:r>
      <w:r>
        <w:t>Commission is directed to release the first preliminary statewide maps by no later than the date following November 1, 2021, that extends the November 1 deadline by the additional federal delay</w:t>
      </w:r>
      <w:r w:rsidR="006A5F18">
        <w:t>, and</w:t>
      </w:r>
      <w:r w:rsidR="009B2757">
        <w:t xml:space="preserve"> to approve and certify the final maps by no later than the date following December 15, 2021, that extends the December 15 deadline by the additional federal delay.</w:t>
      </w:r>
      <w:r w:rsidR="00AF133D">
        <w:t xml:space="preserve">  </w:t>
      </w:r>
    </w:p>
    <w:p w14:paraId="7DCB9C91" w14:textId="654D56B3" w:rsidR="00B74109" w:rsidRPr="00B46CAD" w:rsidRDefault="001473AB" w:rsidP="00B46CAD">
      <w:pPr>
        <w:tabs>
          <w:tab w:val="left" w:pos="1440"/>
        </w:tabs>
        <w:ind w:firstLine="720"/>
      </w:pPr>
      <w:r w:rsidRPr="00B46CAD">
        <w:t xml:space="preserve">In the event the federal government transmits the census data to the state before July 31, 2021, the Commission should make every effort to expedite its process and release the </w:t>
      </w:r>
      <w:r w:rsidRPr="00B46CAD">
        <w:lastRenderedPageBreak/>
        <w:t>preliminary and final maps in advance of the deadlines set forth above.</w:t>
      </w:r>
    </w:p>
    <w:p w14:paraId="61871766" w14:textId="6592EE56" w:rsidR="00BE4478" w:rsidRPr="00B46CAD" w:rsidRDefault="007D4B80" w:rsidP="00B74109">
      <w:pPr>
        <w:tabs>
          <w:tab w:val="left" w:pos="1440"/>
        </w:tabs>
        <w:ind w:firstLine="720"/>
      </w:pPr>
      <w:r w:rsidRPr="00B46CAD">
        <w:t>T</w:t>
      </w:r>
      <w:r w:rsidR="001473AB" w:rsidRPr="00B46CAD">
        <w:t>his decision shall be final upon the filing of this opinion.  (Cal. Rules of Court, rule 8.490(b)(</w:t>
      </w:r>
      <w:r w:rsidR="00757507" w:rsidRPr="00B46CAD">
        <w:t>2</w:t>
      </w:r>
      <w:r w:rsidR="001473AB" w:rsidRPr="00B46CAD">
        <w:t>)</w:t>
      </w:r>
      <w:r w:rsidR="00757507" w:rsidRPr="00B46CAD">
        <w:t>(A)</w:t>
      </w:r>
      <w:r w:rsidR="001473AB" w:rsidRPr="00B46CAD">
        <w:t xml:space="preserve">; </w:t>
      </w:r>
      <w:r w:rsidR="001473AB" w:rsidRPr="00B46CAD">
        <w:rPr>
          <w:i/>
        </w:rPr>
        <w:t>Ng v. Superior Court</w:t>
      </w:r>
      <w:r w:rsidR="001473AB" w:rsidRPr="00B46CAD">
        <w:t xml:space="preserve"> (1992) 4 Cal.4th 29, 34, fn.</w:t>
      </w:r>
      <w:r w:rsidR="00E03733" w:rsidRPr="00B46CAD">
        <w:t> </w:t>
      </w:r>
      <w:r w:rsidR="001473AB" w:rsidRPr="00B46CAD">
        <w:t>1.)</w:t>
      </w:r>
    </w:p>
    <w:p w14:paraId="4243CBBC" w14:textId="14B239F7" w:rsidR="00792322" w:rsidRDefault="007A2159" w:rsidP="00B46CAD">
      <w:pPr>
        <w:ind w:firstLine="720"/>
        <w:rPr>
          <w:b/>
        </w:rPr>
      </w:pPr>
      <w:r w:rsidRPr="00B46CAD">
        <w:tab/>
      </w:r>
      <w:r w:rsidRPr="00B46CAD">
        <w:tab/>
      </w:r>
      <w:r w:rsidRPr="00B46CAD">
        <w:tab/>
      </w:r>
      <w:r w:rsidRPr="00B46CAD">
        <w:tab/>
      </w:r>
      <w:r w:rsidRPr="00B46CAD">
        <w:tab/>
      </w:r>
      <w:r w:rsidR="00505269" w:rsidRPr="00B46CAD">
        <w:tab/>
      </w:r>
      <w:r w:rsidR="00505269" w:rsidRPr="00B46CAD">
        <w:tab/>
        <w:t xml:space="preserve">      </w:t>
      </w:r>
      <w:r w:rsidRPr="00B46CAD">
        <w:rPr>
          <w:b/>
        </w:rPr>
        <w:t>KRUGER, J.</w:t>
      </w:r>
    </w:p>
    <w:p w14:paraId="146664A4" w14:textId="77777777" w:rsidR="00E53076" w:rsidRPr="00B46CAD" w:rsidRDefault="00E53076" w:rsidP="00E53076">
      <w:pPr>
        <w:rPr>
          <w:b/>
        </w:rPr>
      </w:pPr>
    </w:p>
    <w:p w14:paraId="7922DB66" w14:textId="03B62AD5" w:rsidR="00505269" w:rsidRDefault="00505269" w:rsidP="00B46CAD">
      <w:pPr>
        <w:rPr>
          <w:b/>
        </w:rPr>
      </w:pPr>
      <w:r w:rsidRPr="00B46CAD">
        <w:rPr>
          <w:b/>
        </w:rPr>
        <w:t>We Concur:</w:t>
      </w:r>
    </w:p>
    <w:p w14:paraId="5530D6A1" w14:textId="77777777" w:rsidR="00DE4979" w:rsidRDefault="00DE4979" w:rsidP="00DE4979">
      <w:pPr>
        <w:spacing w:after="0" w:line="240" w:lineRule="auto"/>
        <w:rPr>
          <w:b/>
        </w:rPr>
      </w:pPr>
      <w:r>
        <w:rPr>
          <w:b/>
        </w:rPr>
        <w:t>CANTIL-SAKAUYE, C. J.</w:t>
      </w:r>
    </w:p>
    <w:p w14:paraId="4DA6BC39" w14:textId="77777777" w:rsidR="00DE4979" w:rsidRDefault="00DE4979" w:rsidP="00DE4979">
      <w:pPr>
        <w:spacing w:after="0" w:line="240" w:lineRule="auto"/>
        <w:rPr>
          <w:b/>
        </w:rPr>
      </w:pPr>
      <w:r>
        <w:rPr>
          <w:b/>
        </w:rPr>
        <w:t>CHIN, J.</w:t>
      </w:r>
    </w:p>
    <w:p w14:paraId="108FB977" w14:textId="77777777" w:rsidR="00DE4979" w:rsidRDefault="00DE4979" w:rsidP="00DE4979">
      <w:pPr>
        <w:spacing w:after="0" w:line="240" w:lineRule="auto"/>
        <w:rPr>
          <w:b/>
        </w:rPr>
      </w:pPr>
      <w:r>
        <w:rPr>
          <w:b/>
        </w:rPr>
        <w:t>CORRIGAN, J.</w:t>
      </w:r>
    </w:p>
    <w:p w14:paraId="74CACD23" w14:textId="77777777" w:rsidR="00DE4979" w:rsidRDefault="00DE4979" w:rsidP="00DE4979">
      <w:pPr>
        <w:spacing w:after="0" w:line="240" w:lineRule="auto"/>
        <w:rPr>
          <w:b/>
        </w:rPr>
      </w:pPr>
      <w:r>
        <w:rPr>
          <w:b/>
        </w:rPr>
        <w:t>LIU, J.</w:t>
      </w:r>
    </w:p>
    <w:p w14:paraId="232CBFC9" w14:textId="77777777" w:rsidR="00DE4979" w:rsidRDefault="00DE4979" w:rsidP="00DE4979">
      <w:pPr>
        <w:spacing w:after="0" w:line="240" w:lineRule="auto"/>
        <w:rPr>
          <w:b/>
        </w:rPr>
      </w:pPr>
      <w:r>
        <w:rPr>
          <w:b/>
        </w:rPr>
        <w:t>CUÉLLAR, J.</w:t>
      </w:r>
    </w:p>
    <w:p w14:paraId="06C65678" w14:textId="77777777" w:rsidR="00DE4979" w:rsidRPr="00B46CAD" w:rsidRDefault="00DE4979" w:rsidP="00DE4979">
      <w:pPr>
        <w:spacing w:after="0" w:line="240" w:lineRule="auto"/>
        <w:rPr>
          <w:b/>
        </w:rPr>
      </w:pPr>
      <w:r>
        <w:rPr>
          <w:b/>
        </w:rPr>
        <w:t>GROBAN, J.</w:t>
      </w:r>
    </w:p>
    <w:p w14:paraId="52505894" w14:textId="77777777" w:rsidR="00CC07A0" w:rsidRDefault="00CC07A0" w:rsidP="00B46CAD">
      <w:pPr>
        <w:rPr>
          <w:b/>
        </w:rPr>
        <w:sectPr w:rsidR="00CC07A0" w:rsidSect="00B46CAD">
          <w:footerReference w:type="first" r:id="rId10"/>
          <w:pgSz w:w="12240" w:h="15840"/>
          <w:pgMar w:top="1800" w:right="2160" w:bottom="1440" w:left="2160" w:header="720" w:footer="720" w:gutter="0"/>
          <w:pgNumType w:start="1"/>
          <w:cols w:space="720"/>
          <w:titlePg/>
          <w:docGrid w:linePitch="367"/>
        </w:sectPr>
      </w:pPr>
    </w:p>
    <w:p w14:paraId="4B6A07D6" w14:textId="77777777" w:rsidR="00CC07A0" w:rsidRPr="00CC07A0" w:rsidRDefault="00CC07A0" w:rsidP="00CC07A0">
      <w:pPr>
        <w:spacing w:after="0" w:line="240" w:lineRule="auto"/>
        <w:jc w:val="left"/>
        <w:rPr>
          <w:rFonts w:ascii="Times New Roman" w:hAnsi="Times New Roman"/>
          <w:i/>
          <w:sz w:val="20"/>
        </w:rPr>
      </w:pPr>
      <w:r w:rsidRPr="00CC07A0">
        <w:rPr>
          <w:rFonts w:ascii="Times New Roman" w:hAnsi="Times New Roman"/>
          <w:i/>
          <w:sz w:val="20"/>
        </w:rPr>
        <w:lastRenderedPageBreak/>
        <w:t>See next page for addresses and telephone numbers for counsel who argued in Supreme Court.</w:t>
      </w:r>
    </w:p>
    <w:p w14:paraId="3DBB84AB" w14:textId="77777777" w:rsidR="00CC07A0" w:rsidRPr="00CC07A0" w:rsidRDefault="00CC07A0" w:rsidP="00CC07A0">
      <w:pPr>
        <w:spacing w:after="0" w:line="240" w:lineRule="auto"/>
        <w:jc w:val="left"/>
        <w:rPr>
          <w:rFonts w:ascii="Times New Roman" w:hAnsi="Times New Roman"/>
          <w:i/>
          <w:sz w:val="20"/>
        </w:rPr>
      </w:pPr>
    </w:p>
    <w:p w14:paraId="5DDD6B7C" w14:textId="77777777" w:rsidR="00CC07A0" w:rsidRPr="00CC07A0" w:rsidRDefault="00CC07A0" w:rsidP="00CC07A0">
      <w:pPr>
        <w:spacing w:after="0" w:line="240" w:lineRule="auto"/>
        <w:jc w:val="left"/>
        <w:rPr>
          <w:rFonts w:ascii="Times New Roman" w:hAnsi="Times New Roman"/>
          <w:bCs/>
          <w:i/>
          <w:sz w:val="20"/>
        </w:rPr>
      </w:pPr>
      <w:r w:rsidRPr="00CC07A0">
        <w:rPr>
          <w:rFonts w:ascii="Times New Roman" w:hAnsi="Times New Roman"/>
          <w:b/>
          <w:sz w:val="20"/>
        </w:rPr>
        <w:t>Name of Opinion</w:t>
      </w:r>
      <w:r w:rsidRPr="00CC07A0">
        <w:rPr>
          <w:rFonts w:ascii="Times New Roman" w:hAnsi="Times New Roman"/>
          <w:sz w:val="20"/>
        </w:rPr>
        <w:t xml:space="preserve"> Legislature of the State of California v. Padilla</w:t>
      </w:r>
    </w:p>
    <w:p w14:paraId="12716C4F"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__________________________________________________________________________________</w:t>
      </w:r>
    </w:p>
    <w:p w14:paraId="2454DAA2" w14:textId="77777777" w:rsidR="00CC07A0" w:rsidRPr="00CC07A0" w:rsidRDefault="00CC07A0" w:rsidP="00CC07A0">
      <w:pPr>
        <w:spacing w:after="0" w:line="240" w:lineRule="auto"/>
        <w:jc w:val="left"/>
        <w:rPr>
          <w:rFonts w:ascii="Times New Roman" w:hAnsi="Times New Roman"/>
          <w:b/>
          <w:sz w:val="20"/>
        </w:rPr>
      </w:pPr>
    </w:p>
    <w:p w14:paraId="66543AB6" w14:textId="77777777" w:rsidR="00CC07A0" w:rsidRPr="00CC07A0" w:rsidRDefault="00CC07A0" w:rsidP="00CC07A0">
      <w:pPr>
        <w:spacing w:after="0" w:line="240" w:lineRule="auto"/>
        <w:jc w:val="left"/>
        <w:rPr>
          <w:rFonts w:ascii="Times New Roman" w:hAnsi="Times New Roman"/>
          <w:bCs/>
          <w:sz w:val="20"/>
        </w:rPr>
      </w:pPr>
      <w:r w:rsidRPr="00CC07A0">
        <w:rPr>
          <w:rFonts w:ascii="Times New Roman" w:hAnsi="Times New Roman"/>
          <w:b/>
          <w:sz w:val="20"/>
        </w:rPr>
        <w:t>Unpublished Opinion</w:t>
      </w:r>
    </w:p>
    <w:p w14:paraId="485D4B5B"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b/>
          <w:sz w:val="20"/>
        </w:rPr>
        <w:t>Original Appeal</w:t>
      </w:r>
    </w:p>
    <w:p w14:paraId="3E20C9D6"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b/>
          <w:sz w:val="20"/>
        </w:rPr>
        <w:t>Original Proceeding</w:t>
      </w:r>
      <w:r w:rsidRPr="00CC07A0">
        <w:rPr>
          <w:rFonts w:ascii="Times New Roman" w:hAnsi="Times New Roman"/>
          <w:sz w:val="20"/>
        </w:rPr>
        <w:t xml:space="preserve"> XXX</w:t>
      </w:r>
    </w:p>
    <w:p w14:paraId="0AEBE02D"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b/>
          <w:sz w:val="20"/>
        </w:rPr>
        <w:t>Review Granted</w:t>
      </w:r>
    </w:p>
    <w:p w14:paraId="1603D220"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Rehearing Granted</w:t>
      </w:r>
    </w:p>
    <w:p w14:paraId="2BA0DCCF" w14:textId="77777777" w:rsidR="00CC07A0" w:rsidRPr="00CC07A0" w:rsidRDefault="00CC07A0" w:rsidP="00CC07A0">
      <w:pPr>
        <w:spacing w:after="0" w:line="240" w:lineRule="auto"/>
        <w:jc w:val="left"/>
        <w:rPr>
          <w:rFonts w:ascii="Times New Roman" w:hAnsi="Times New Roman"/>
          <w:b/>
          <w:sz w:val="20"/>
        </w:rPr>
      </w:pPr>
    </w:p>
    <w:p w14:paraId="5543BA1A"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__________________________________________________________________________________</w:t>
      </w:r>
    </w:p>
    <w:p w14:paraId="22476D89" w14:textId="77777777" w:rsidR="00CC07A0" w:rsidRPr="00CC07A0" w:rsidRDefault="00CC07A0" w:rsidP="00CC07A0">
      <w:pPr>
        <w:spacing w:after="0" w:line="240" w:lineRule="auto"/>
        <w:jc w:val="left"/>
        <w:rPr>
          <w:rFonts w:ascii="Times New Roman" w:hAnsi="Times New Roman"/>
          <w:b/>
          <w:sz w:val="20"/>
        </w:rPr>
      </w:pPr>
    </w:p>
    <w:p w14:paraId="2941DE70" w14:textId="77777777" w:rsidR="00CC07A0" w:rsidRPr="00CC07A0" w:rsidRDefault="00CC07A0" w:rsidP="00CC07A0">
      <w:pPr>
        <w:spacing w:after="0" w:line="240" w:lineRule="auto"/>
        <w:jc w:val="left"/>
        <w:rPr>
          <w:rFonts w:ascii="Times New Roman" w:hAnsi="Times New Roman"/>
          <w:bCs/>
          <w:sz w:val="20"/>
        </w:rPr>
      </w:pPr>
      <w:r w:rsidRPr="00CC07A0">
        <w:rPr>
          <w:rFonts w:ascii="Times New Roman" w:hAnsi="Times New Roman"/>
          <w:b/>
          <w:sz w:val="20"/>
        </w:rPr>
        <w:t>Opinion No.</w:t>
      </w:r>
      <w:r w:rsidRPr="00CC07A0">
        <w:rPr>
          <w:rFonts w:ascii="Times New Roman" w:hAnsi="Times New Roman"/>
          <w:sz w:val="20"/>
        </w:rPr>
        <w:t xml:space="preserve"> S262530</w:t>
      </w:r>
    </w:p>
    <w:p w14:paraId="5EFF34F8" w14:textId="77777777" w:rsidR="00CC07A0" w:rsidRPr="00CC07A0" w:rsidRDefault="00CC07A0" w:rsidP="00CC07A0">
      <w:pPr>
        <w:spacing w:after="0" w:line="240" w:lineRule="auto"/>
        <w:jc w:val="left"/>
        <w:rPr>
          <w:rFonts w:ascii="Times New Roman" w:hAnsi="Times New Roman"/>
          <w:bCs/>
          <w:sz w:val="20"/>
        </w:rPr>
      </w:pPr>
      <w:r w:rsidRPr="00CC07A0">
        <w:rPr>
          <w:rFonts w:ascii="Times New Roman" w:hAnsi="Times New Roman"/>
          <w:b/>
          <w:sz w:val="20"/>
        </w:rPr>
        <w:t>Date Filed:</w:t>
      </w:r>
      <w:r w:rsidRPr="00CC07A0">
        <w:rPr>
          <w:rFonts w:ascii="Times New Roman" w:hAnsi="Times New Roman"/>
          <w:sz w:val="20"/>
        </w:rPr>
        <w:t xml:space="preserve"> July 17, 2020</w:t>
      </w:r>
    </w:p>
    <w:p w14:paraId="7F9FF677"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__________________________________________________________________________________</w:t>
      </w:r>
    </w:p>
    <w:p w14:paraId="36BF3468" w14:textId="77777777" w:rsidR="00CC07A0" w:rsidRPr="00CC07A0" w:rsidRDefault="00CC07A0" w:rsidP="00CC07A0">
      <w:pPr>
        <w:spacing w:after="0" w:line="240" w:lineRule="auto"/>
        <w:jc w:val="left"/>
        <w:rPr>
          <w:rFonts w:ascii="Times New Roman" w:hAnsi="Times New Roman"/>
          <w:b/>
          <w:sz w:val="20"/>
        </w:rPr>
      </w:pPr>
    </w:p>
    <w:p w14:paraId="604A5950" w14:textId="77777777" w:rsidR="00CC07A0" w:rsidRPr="00CC07A0" w:rsidRDefault="00CC07A0" w:rsidP="00CC07A0">
      <w:pPr>
        <w:spacing w:after="0" w:line="240" w:lineRule="auto"/>
        <w:jc w:val="left"/>
        <w:rPr>
          <w:rFonts w:ascii="Times New Roman" w:hAnsi="Times New Roman"/>
          <w:bCs/>
          <w:sz w:val="20"/>
        </w:rPr>
      </w:pPr>
      <w:r w:rsidRPr="00CC07A0">
        <w:rPr>
          <w:rFonts w:ascii="Times New Roman" w:hAnsi="Times New Roman"/>
          <w:b/>
          <w:sz w:val="20"/>
        </w:rPr>
        <w:t>Court:</w:t>
      </w:r>
    </w:p>
    <w:p w14:paraId="1F51429B" w14:textId="77777777" w:rsidR="00CC07A0" w:rsidRPr="00CC07A0" w:rsidRDefault="00CC07A0" w:rsidP="00CC07A0">
      <w:pPr>
        <w:spacing w:after="0" w:line="240" w:lineRule="auto"/>
        <w:jc w:val="left"/>
        <w:rPr>
          <w:rFonts w:ascii="Times New Roman" w:hAnsi="Times New Roman"/>
          <w:b/>
          <w:bCs/>
          <w:sz w:val="20"/>
        </w:rPr>
      </w:pPr>
      <w:r w:rsidRPr="00CC07A0">
        <w:rPr>
          <w:rFonts w:ascii="Times New Roman" w:hAnsi="Times New Roman"/>
          <w:b/>
          <w:sz w:val="20"/>
        </w:rPr>
        <w:t>County:</w:t>
      </w:r>
    </w:p>
    <w:p w14:paraId="0B750768" w14:textId="77777777" w:rsidR="00CC07A0" w:rsidRPr="00CC07A0" w:rsidRDefault="00CC07A0" w:rsidP="00CC07A0">
      <w:pPr>
        <w:spacing w:after="0" w:line="240" w:lineRule="auto"/>
        <w:ind w:left="720" w:hanging="720"/>
        <w:jc w:val="left"/>
        <w:rPr>
          <w:rFonts w:ascii="Times New Roman" w:hAnsi="Times New Roman"/>
          <w:bCs/>
          <w:sz w:val="20"/>
        </w:rPr>
      </w:pPr>
      <w:r w:rsidRPr="00CC07A0">
        <w:rPr>
          <w:rFonts w:ascii="Times New Roman" w:hAnsi="Times New Roman"/>
          <w:b/>
          <w:sz w:val="20"/>
        </w:rPr>
        <w:t>Judge:</w:t>
      </w:r>
    </w:p>
    <w:p w14:paraId="23A9E51E" w14:textId="77777777" w:rsidR="00CC07A0" w:rsidRPr="00CC07A0" w:rsidRDefault="00CC07A0" w:rsidP="00CC07A0">
      <w:pPr>
        <w:spacing w:after="0" w:line="240" w:lineRule="auto"/>
        <w:jc w:val="left"/>
        <w:rPr>
          <w:rFonts w:ascii="Times New Roman" w:hAnsi="Times New Roman"/>
          <w:b/>
          <w:sz w:val="20"/>
        </w:rPr>
      </w:pPr>
    </w:p>
    <w:p w14:paraId="47C77C8D"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__________________________________________________________________________________</w:t>
      </w:r>
    </w:p>
    <w:p w14:paraId="4B020018" w14:textId="77777777" w:rsidR="00CC07A0" w:rsidRPr="00CC07A0" w:rsidRDefault="00CC07A0" w:rsidP="00CC07A0">
      <w:pPr>
        <w:spacing w:after="0" w:line="240" w:lineRule="auto"/>
        <w:jc w:val="left"/>
        <w:rPr>
          <w:rFonts w:ascii="Times New Roman" w:hAnsi="Times New Roman"/>
          <w:b/>
          <w:sz w:val="20"/>
        </w:rPr>
      </w:pPr>
    </w:p>
    <w:p w14:paraId="26CA6E83"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Counsel:</w:t>
      </w:r>
    </w:p>
    <w:p w14:paraId="3EFE709B" w14:textId="77777777" w:rsidR="00CC07A0" w:rsidRPr="00CC07A0" w:rsidRDefault="00CC07A0" w:rsidP="00CC07A0">
      <w:pPr>
        <w:spacing w:after="0" w:line="240" w:lineRule="auto"/>
        <w:jc w:val="left"/>
        <w:rPr>
          <w:rFonts w:ascii="Times New Roman" w:hAnsi="Times New Roman"/>
          <w:b/>
          <w:sz w:val="20"/>
        </w:rPr>
      </w:pPr>
    </w:p>
    <w:p w14:paraId="4232BC0E"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sz w:val="20"/>
        </w:rPr>
        <w:t xml:space="preserve">Olson </w:t>
      </w:r>
      <w:proofErr w:type="spellStart"/>
      <w:r w:rsidRPr="00CC07A0">
        <w:rPr>
          <w:rFonts w:ascii="Times New Roman" w:hAnsi="Times New Roman"/>
          <w:sz w:val="20"/>
        </w:rPr>
        <w:t>Remcho</w:t>
      </w:r>
      <w:proofErr w:type="spellEnd"/>
      <w:r w:rsidRPr="00CC07A0">
        <w:rPr>
          <w:rFonts w:ascii="Times New Roman" w:hAnsi="Times New Roman"/>
          <w:sz w:val="20"/>
        </w:rPr>
        <w:t>, Robin B. Johansen and Thomas A. Willis for Petitioner.</w:t>
      </w:r>
    </w:p>
    <w:p w14:paraId="2F654572" w14:textId="77777777" w:rsidR="00CC07A0" w:rsidRPr="00CC07A0" w:rsidRDefault="00CC07A0" w:rsidP="00CC07A0">
      <w:pPr>
        <w:spacing w:after="0" w:line="240" w:lineRule="auto"/>
        <w:jc w:val="left"/>
        <w:rPr>
          <w:rFonts w:ascii="Times New Roman" w:hAnsi="Times New Roman"/>
          <w:b/>
          <w:sz w:val="20"/>
        </w:rPr>
      </w:pPr>
    </w:p>
    <w:p w14:paraId="5B25F084"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sz w:val="20"/>
        </w:rPr>
        <w:t xml:space="preserve">Xavier Becerra, Attorney General, Thomas S. Patterson, Assistant Attorney General, Anthony R. </w:t>
      </w:r>
      <w:proofErr w:type="spellStart"/>
      <w:r w:rsidRPr="00CC07A0">
        <w:rPr>
          <w:rFonts w:ascii="Times New Roman" w:hAnsi="Times New Roman"/>
          <w:sz w:val="20"/>
        </w:rPr>
        <w:t>Hakl</w:t>
      </w:r>
      <w:proofErr w:type="spellEnd"/>
      <w:r w:rsidRPr="00CC07A0">
        <w:rPr>
          <w:rFonts w:ascii="Times New Roman" w:hAnsi="Times New Roman"/>
          <w:sz w:val="20"/>
        </w:rPr>
        <w:t xml:space="preserve"> and P. Patty Li, Deputy Attorneys General, for Respondent Alex Padilla.</w:t>
      </w:r>
    </w:p>
    <w:p w14:paraId="5988EA71" w14:textId="77777777" w:rsidR="00CC07A0" w:rsidRPr="00CC07A0" w:rsidRDefault="00CC07A0" w:rsidP="00CC07A0">
      <w:pPr>
        <w:spacing w:after="0" w:line="240" w:lineRule="auto"/>
        <w:jc w:val="left"/>
        <w:rPr>
          <w:rFonts w:ascii="Times New Roman" w:hAnsi="Times New Roman"/>
          <w:sz w:val="20"/>
        </w:rPr>
      </w:pPr>
    </w:p>
    <w:p w14:paraId="7496DFDE"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sz w:val="20"/>
        </w:rPr>
        <w:t>Marian M. Johnston for Respondent Citizens Redistricting Commission.</w:t>
      </w:r>
    </w:p>
    <w:p w14:paraId="5B173A4A" w14:textId="77777777" w:rsidR="00CC07A0" w:rsidRPr="00CC07A0" w:rsidRDefault="00CC07A0" w:rsidP="00CC07A0">
      <w:pPr>
        <w:spacing w:after="0" w:line="240" w:lineRule="auto"/>
        <w:jc w:val="left"/>
        <w:rPr>
          <w:rFonts w:ascii="Times New Roman" w:hAnsi="Times New Roman"/>
          <w:sz w:val="20"/>
        </w:rPr>
      </w:pPr>
    </w:p>
    <w:p w14:paraId="2523FF6D"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sz w:val="20"/>
        </w:rPr>
        <w:t xml:space="preserve">Nielsen </w:t>
      </w:r>
      <w:proofErr w:type="spellStart"/>
      <w:r w:rsidRPr="00CC07A0">
        <w:rPr>
          <w:rFonts w:ascii="Times New Roman" w:hAnsi="Times New Roman"/>
          <w:sz w:val="20"/>
        </w:rPr>
        <w:t>Merksamer</w:t>
      </w:r>
      <w:proofErr w:type="spellEnd"/>
      <w:r w:rsidRPr="00CC07A0">
        <w:rPr>
          <w:rFonts w:ascii="Times New Roman" w:hAnsi="Times New Roman"/>
          <w:sz w:val="20"/>
        </w:rPr>
        <w:t xml:space="preserve"> </w:t>
      </w:r>
      <w:proofErr w:type="spellStart"/>
      <w:r w:rsidRPr="00CC07A0">
        <w:rPr>
          <w:rFonts w:ascii="Times New Roman" w:hAnsi="Times New Roman"/>
          <w:sz w:val="20"/>
        </w:rPr>
        <w:t>Parrinello</w:t>
      </w:r>
      <w:proofErr w:type="spellEnd"/>
      <w:r w:rsidRPr="00CC07A0">
        <w:rPr>
          <w:rFonts w:ascii="Times New Roman" w:hAnsi="Times New Roman"/>
          <w:sz w:val="20"/>
        </w:rPr>
        <w:t xml:space="preserve"> Gross &amp; Leoni and Marguerite Mary Leoni for Charles Munger, Jr., as Amicus Curiae.  </w:t>
      </w:r>
    </w:p>
    <w:p w14:paraId="710ACA91" w14:textId="77777777" w:rsidR="00CC07A0" w:rsidRPr="00CC07A0" w:rsidRDefault="00CC07A0" w:rsidP="00CC07A0">
      <w:pPr>
        <w:spacing w:after="0" w:line="240" w:lineRule="auto"/>
        <w:jc w:val="left"/>
        <w:rPr>
          <w:rFonts w:ascii="Times New Roman" w:hAnsi="Times New Roman"/>
          <w:sz w:val="20"/>
        </w:rPr>
      </w:pPr>
    </w:p>
    <w:p w14:paraId="460A11F0" w14:textId="77777777" w:rsidR="00CC07A0" w:rsidRPr="00CC07A0" w:rsidRDefault="00CC07A0" w:rsidP="00CC07A0">
      <w:pPr>
        <w:spacing w:after="0" w:line="240" w:lineRule="auto"/>
        <w:jc w:val="left"/>
        <w:rPr>
          <w:rFonts w:ascii="Times New Roman" w:hAnsi="Times New Roman"/>
          <w:b/>
          <w:sz w:val="20"/>
        </w:rPr>
      </w:pPr>
    </w:p>
    <w:p w14:paraId="0B5F085F"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br w:type="page"/>
      </w:r>
    </w:p>
    <w:p w14:paraId="57D0D25E" w14:textId="77777777" w:rsidR="00CC07A0" w:rsidRPr="00CC07A0" w:rsidRDefault="00CC07A0" w:rsidP="00CC07A0">
      <w:pPr>
        <w:spacing w:after="0" w:line="240" w:lineRule="auto"/>
        <w:jc w:val="left"/>
        <w:rPr>
          <w:rFonts w:ascii="Times New Roman" w:hAnsi="Times New Roman"/>
          <w:b/>
          <w:sz w:val="20"/>
        </w:rPr>
      </w:pPr>
    </w:p>
    <w:p w14:paraId="01234049" w14:textId="77777777" w:rsidR="00CC07A0" w:rsidRPr="00CC07A0" w:rsidRDefault="00CC07A0" w:rsidP="00CC07A0">
      <w:pPr>
        <w:spacing w:after="0" w:line="240" w:lineRule="auto"/>
        <w:jc w:val="left"/>
        <w:rPr>
          <w:rFonts w:ascii="Times New Roman" w:hAnsi="Times New Roman"/>
          <w:b/>
          <w:sz w:val="20"/>
        </w:rPr>
      </w:pPr>
    </w:p>
    <w:p w14:paraId="4065E5B8" w14:textId="77777777" w:rsidR="00CC07A0" w:rsidRPr="00CC07A0" w:rsidRDefault="00CC07A0" w:rsidP="00CC07A0">
      <w:pPr>
        <w:spacing w:after="0" w:line="240" w:lineRule="auto"/>
        <w:jc w:val="left"/>
        <w:rPr>
          <w:rFonts w:ascii="Times New Roman" w:hAnsi="Times New Roman"/>
          <w:b/>
          <w:sz w:val="20"/>
        </w:rPr>
      </w:pPr>
    </w:p>
    <w:p w14:paraId="202A9C56" w14:textId="77777777" w:rsidR="00CC07A0" w:rsidRPr="00CC07A0" w:rsidRDefault="00CC07A0" w:rsidP="00CC07A0">
      <w:pPr>
        <w:spacing w:after="0" w:line="240" w:lineRule="auto"/>
        <w:jc w:val="left"/>
        <w:rPr>
          <w:rFonts w:ascii="Times New Roman" w:hAnsi="Times New Roman"/>
          <w:b/>
          <w:sz w:val="20"/>
        </w:rPr>
      </w:pPr>
      <w:r w:rsidRPr="00CC07A0">
        <w:rPr>
          <w:rFonts w:ascii="Times New Roman" w:hAnsi="Times New Roman"/>
          <w:b/>
          <w:sz w:val="20"/>
        </w:rPr>
        <w:t>Counsel who argued in Supreme Court (not intended for publication with opinion):</w:t>
      </w:r>
    </w:p>
    <w:p w14:paraId="1DBC620A" w14:textId="77777777" w:rsidR="00CC07A0" w:rsidRPr="00CC07A0" w:rsidRDefault="00CC07A0" w:rsidP="00CC07A0">
      <w:pPr>
        <w:spacing w:after="0" w:line="240" w:lineRule="auto"/>
        <w:jc w:val="left"/>
        <w:rPr>
          <w:rFonts w:ascii="Times New Roman" w:hAnsi="Times New Roman"/>
          <w:b/>
          <w:sz w:val="20"/>
        </w:rPr>
      </w:pPr>
    </w:p>
    <w:p w14:paraId="5F09E875" w14:textId="77777777" w:rsidR="00CC07A0" w:rsidRPr="00CC07A0" w:rsidRDefault="00CC07A0" w:rsidP="00CC07A0">
      <w:pPr>
        <w:spacing w:after="0" w:line="240" w:lineRule="auto"/>
        <w:jc w:val="left"/>
        <w:rPr>
          <w:rFonts w:ascii="Times New Roman" w:hAnsi="Times New Roman"/>
          <w:sz w:val="20"/>
        </w:rPr>
      </w:pPr>
      <w:r w:rsidRPr="00CC07A0">
        <w:rPr>
          <w:rFonts w:ascii="Times New Roman" w:hAnsi="Times New Roman"/>
          <w:sz w:val="20"/>
        </w:rPr>
        <w:t>No oral argument.</w:t>
      </w:r>
    </w:p>
    <w:p w14:paraId="7E95D59D" w14:textId="2461ADAC" w:rsidR="00DE4979" w:rsidRPr="00B46CAD" w:rsidRDefault="00DE4979" w:rsidP="00B46CAD">
      <w:pPr>
        <w:rPr>
          <w:b/>
        </w:rPr>
      </w:pPr>
    </w:p>
    <w:sectPr w:rsidR="00DE4979" w:rsidRPr="00B46CAD">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396234" w14:textId="77777777" w:rsidR="002A076D" w:rsidRDefault="002A076D">
      <w:r>
        <w:separator/>
      </w:r>
    </w:p>
  </w:endnote>
  <w:endnote w:type="continuationSeparator" w:id="0">
    <w:p w14:paraId="0D7E2C27" w14:textId="77777777" w:rsidR="002A076D" w:rsidRDefault="002A07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4000ACFF" w:usb2="00000001"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01743" w14:textId="77777777" w:rsidR="00D24B97" w:rsidRDefault="00D24B97">
    <w:pPr>
      <w:pStyle w:val="Footer"/>
    </w:pPr>
    <w:r>
      <w:fldChar w:fldCharType="begin"/>
    </w:r>
    <w:r>
      <w:instrText>PAGE</w:instrText>
    </w:r>
    <w:r>
      <w:fldChar w:fldCharType="separate"/>
    </w:r>
    <w:r>
      <w:rPr>
        <w:noProof/>
      </w:rPr>
      <w:t>1</w:t>
    </w:r>
    <w:r>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9C6C70" w14:textId="77777777" w:rsidR="00D24B97" w:rsidRDefault="00D24B97">
    <w:pPr>
      <w:pStyle w:val="Footer"/>
    </w:pPr>
    <w:r>
      <w:t>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F8CB9A" w14:textId="77777777" w:rsidR="005E5BE5" w:rsidRDefault="0064775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9A0F5A" w14:textId="77777777" w:rsidR="005E5BE5" w:rsidRDefault="00647758">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0A7C29" w14:textId="77777777" w:rsidR="005E5BE5" w:rsidRDefault="0064775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95406A" w14:textId="77777777" w:rsidR="002A076D" w:rsidRDefault="002A076D">
      <w:r>
        <w:separator/>
      </w:r>
    </w:p>
  </w:footnote>
  <w:footnote w:type="continuationSeparator" w:id="0">
    <w:p w14:paraId="2724D617" w14:textId="77777777" w:rsidR="002A076D" w:rsidRDefault="002A076D">
      <w:pPr>
        <w:rPr>
          <w:sz w:val="22"/>
        </w:rPr>
      </w:pPr>
      <w:r>
        <w:continuationSeparator/>
      </w:r>
    </w:p>
  </w:footnote>
  <w:footnote w:type="continuationNotice" w:id="1">
    <w:p w14:paraId="728299B9" w14:textId="77777777" w:rsidR="002A076D" w:rsidRDefault="002A076D" w:rsidP="00214401">
      <w:pPr>
        <w:jc w:val="right"/>
        <w:rPr>
          <w:i/>
          <w:sz w:val="20"/>
        </w:rPr>
      </w:pPr>
    </w:p>
  </w:footnote>
  <w:footnote w:id="2">
    <w:p w14:paraId="09F0F41E" w14:textId="77777777" w:rsidR="00C3365F" w:rsidRDefault="00D24B97" w:rsidP="0079291D">
      <w:pPr>
        <w:pStyle w:val="FootnoteText"/>
        <w:spacing w:after="0"/>
      </w:pPr>
      <w:r>
        <w:rPr>
          <w:rStyle w:val="FootnoteReference"/>
        </w:rPr>
        <w:footnoteRef/>
      </w:r>
      <w:r>
        <w:t xml:space="preserve"> </w:t>
      </w:r>
      <w:r>
        <w:tab/>
      </w:r>
      <w:r w:rsidRPr="001473AB">
        <w:t>Office of Governor Gavin Newsom,</w:t>
      </w:r>
      <w:r w:rsidR="00347EBF">
        <w:t xml:space="preserve"> </w:t>
      </w:r>
      <w:r w:rsidR="00347EBF" w:rsidRPr="00347EBF">
        <w:t>Proclamation of a State of Emergency (Mar. 4, 2020)</w:t>
      </w:r>
      <w:r w:rsidR="00347EBF">
        <w:t xml:space="preserve"> </w:t>
      </w:r>
      <w:r w:rsidR="00347EBF" w:rsidRPr="00347EBF">
        <w:t>&lt;https://www.gov.ca.gov/</w:t>
      </w:r>
    </w:p>
    <w:p w14:paraId="556CFFF4" w14:textId="3835FB28" w:rsidR="00A744AD" w:rsidRDefault="00347EBF" w:rsidP="0079291D">
      <w:pPr>
        <w:pStyle w:val="FootnoteText"/>
        <w:spacing w:after="0"/>
      </w:pPr>
      <w:r w:rsidRPr="00347EBF">
        <w:t>wp-content/uploads/2020/03/3.4.20-Coronavirus-SOE-Proclamation.pdf</w:t>
      </w:r>
      <w:r>
        <w:t>&gt;</w:t>
      </w:r>
      <w:r w:rsidRPr="00347EBF">
        <w:t xml:space="preserve"> (as of July 17, 2020)</w:t>
      </w:r>
      <w:r>
        <w:t xml:space="preserve">; </w:t>
      </w:r>
      <w:r w:rsidR="00D24B97" w:rsidRPr="001473AB">
        <w:t xml:space="preserve">The White House, </w:t>
      </w:r>
      <w:r w:rsidR="00D24B97" w:rsidRPr="009A1106">
        <w:t>Proclamation on Declaring a National Emergency Concerning the Novel Coronavirus Disease (COVID-19) Outbreak</w:t>
      </w:r>
      <w:r w:rsidR="00D24B97" w:rsidRPr="00E57FC4">
        <w:t xml:space="preserve"> </w:t>
      </w:r>
      <w:r w:rsidR="00D24B97" w:rsidRPr="001473AB">
        <w:t xml:space="preserve">(Mar. 13, 2020) </w:t>
      </w:r>
      <w:r w:rsidR="00D24B97">
        <w:t>&lt;</w:t>
      </w:r>
      <w:r w:rsidR="00D24B97" w:rsidRPr="00CD1F04">
        <w:t>https://www.whitehouse.gov/</w:t>
      </w:r>
    </w:p>
    <w:p w14:paraId="4473FD48" w14:textId="69D6183E" w:rsidR="00D24B97" w:rsidRDefault="00D24B97" w:rsidP="0079291D">
      <w:pPr>
        <w:pStyle w:val="FootnoteText"/>
        <w:spacing w:after="0"/>
      </w:pPr>
      <w:bookmarkStart w:id="2" w:name="_GoBack"/>
      <w:r w:rsidRPr="00CD1F04">
        <w:t>presidential-actions/proclamation-declaring-national-emergency-concerning-novel-coronavirus-disease-covid-19-outbreak</w:t>
      </w:r>
      <w:bookmarkEnd w:id="2"/>
      <w:r>
        <w:t xml:space="preserve">&gt; </w:t>
      </w:r>
      <w:r w:rsidR="00E57FC4">
        <w:t>(</w:t>
      </w:r>
      <w:r>
        <w:t xml:space="preserve">as of July </w:t>
      </w:r>
      <w:r w:rsidR="00F15645">
        <w:t>17</w:t>
      </w:r>
      <w:r>
        <w:t>, 2020</w:t>
      </w:r>
      <w:r w:rsidR="00E57FC4">
        <w:t>)</w:t>
      </w:r>
      <w:r w:rsidRPr="001473AB">
        <w:t>.</w:t>
      </w:r>
      <w:r>
        <w:t xml:space="preserve">  </w:t>
      </w:r>
      <w:r w:rsidRPr="004B4421">
        <w:rPr>
          <w:color w:val="000000" w:themeColor="text1"/>
        </w:rPr>
        <w:t xml:space="preserve">All Internet citations in </w:t>
      </w:r>
      <w:r w:rsidR="00E53076">
        <w:rPr>
          <w:color w:val="000000" w:themeColor="text1"/>
        </w:rPr>
        <w:t>this</w:t>
      </w:r>
      <w:r w:rsidRPr="004B4421">
        <w:rPr>
          <w:color w:val="000000" w:themeColor="text1"/>
        </w:rPr>
        <w:t xml:space="preserve"> opinion </w:t>
      </w:r>
      <w:r w:rsidR="00E53076">
        <w:rPr>
          <w:color w:val="000000" w:themeColor="text1"/>
        </w:rPr>
        <w:t>are</w:t>
      </w:r>
      <w:r w:rsidRPr="004B4421">
        <w:rPr>
          <w:color w:val="000000" w:themeColor="text1"/>
        </w:rPr>
        <w:t xml:space="preserve"> archived by year, docket number</w:t>
      </w:r>
      <w:r w:rsidR="00E53076">
        <w:rPr>
          <w:color w:val="000000" w:themeColor="text1"/>
        </w:rPr>
        <w:t>,</w:t>
      </w:r>
      <w:r w:rsidRPr="004B4421">
        <w:rPr>
          <w:color w:val="000000" w:themeColor="text1"/>
        </w:rPr>
        <w:t xml:space="preserve"> and case name at &lt;</w:t>
      </w:r>
      <w:r w:rsidRPr="00CD1F04">
        <w:t>https://www.courts.ca.gov/38324.htm</w:t>
      </w:r>
      <w:r w:rsidRPr="00395492">
        <w:rPr>
          <w:color w:val="000000" w:themeColor="text1"/>
        </w:rPr>
        <w:t>&gt;</w:t>
      </w:r>
      <w:r>
        <w:rPr>
          <w:color w:val="000000" w:themeColor="text1"/>
        </w:rPr>
        <w:t>.</w:t>
      </w:r>
    </w:p>
  </w:footnote>
  <w:footnote w:id="3">
    <w:p w14:paraId="4AAC55D8" w14:textId="52A19B82" w:rsidR="00D24B97" w:rsidRPr="001473AB" w:rsidRDefault="00D24B97" w:rsidP="00B46CAD">
      <w:pPr>
        <w:pStyle w:val="FootnoteText"/>
        <w:rPr>
          <w:szCs w:val="26"/>
        </w:rPr>
      </w:pPr>
      <w:r w:rsidRPr="00E12BBC">
        <w:rPr>
          <w:rStyle w:val="FootnoteReference"/>
          <w:sz w:val="20"/>
          <w:vertAlign w:val="baseline"/>
        </w:rPr>
        <w:footnoteRef/>
      </w:r>
      <w:r w:rsidRPr="00E12BBC">
        <w:rPr>
          <w:sz w:val="22"/>
          <w:szCs w:val="22"/>
        </w:rPr>
        <w:t xml:space="preserve"> </w:t>
      </w:r>
      <w:r>
        <w:rPr>
          <w:szCs w:val="26"/>
        </w:rPr>
        <w:tab/>
      </w:r>
      <w:r w:rsidRPr="001473AB">
        <w:rPr>
          <w:szCs w:val="26"/>
        </w:rPr>
        <w:t xml:space="preserve">Pursuant to state statute, the Commission is created by </w:t>
      </w:r>
      <w:r>
        <w:rPr>
          <w:szCs w:val="26"/>
        </w:rPr>
        <w:t>August 15</w:t>
      </w:r>
      <w:r w:rsidRPr="001473AB">
        <w:rPr>
          <w:szCs w:val="26"/>
        </w:rPr>
        <w:t xml:space="preserve"> of each census year.  (Gov. Code, §</w:t>
      </w:r>
      <w:r>
        <w:rPr>
          <w:szCs w:val="26"/>
        </w:rPr>
        <w:t> </w:t>
      </w:r>
      <w:r w:rsidRPr="001473AB">
        <w:rPr>
          <w:szCs w:val="26"/>
        </w:rPr>
        <w:t xml:space="preserve">8252, </w:t>
      </w:r>
      <w:proofErr w:type="spellStart"/>
      <w:r w:rsidRPr="001473AB">
        <w:rPr>
          <w:szCs w:val="26"/>
        </w:rPr>
        <w:t>subd</w:t>
      </w:r>
      <w:proofErr w:type="spellEnd"/>
      <w:r w:rsidRPr="001473AB">
        <w:rPr>
          <w:szCs w:val="26"/>
        </w:rPr>
        <w:t>. (</w:t>
      </w:r>
      <w:r>
        <w:rPr>
          <w:szCs w:val="26"/>
        </w:rPr>
        <w:t>g</w:t>
      </w:r>
      <w:r w:rsidRPr="001473AB">
        <w:rPr>
          <w:szCs w:val="26"/>
        </w:rPr>
        <w:t>); see also Cal. Const., art. XXI, §</w:t>
      </w:r>
      <w:r>
        <w:rPr>
          <w:szCs w:val="26"/>
        </w:rPr>
        <w:t> </w:t>
      </w:r>
      <w:r w:rsidRPr="001473AB">
        <w:rPr>
          <w:szCs w:val="26"/>
        </w:rPr>
        <w:t xml:space="preserve">2, </w:t>
      </w:r>
      <w:proofErr w:type="spellStart"/>
      <w:r w:rsidRPr="001473AB">
        <w:rPr>
          <w:szCs w:val="26"/>
        </w:rPr>
        <w:t>subd</w:t>
      </w:r>
      <w:proofErr w:type="spellEnd"/>
      <w:r w:rsidRPr="001473AB">
        <w:rPr>
          <w:szCs w:val="26"/>
        </w:rPr>
        <w:t>. (a) [constitutional requirement that the Commission be created by December 31 of each census year].)  Because the 2020 Commission had not been formed at the time our orders were filed, the 2010 Commission filed responses.</w:t>
      </w:r>
    </w:p>
  </w:footnote>
  <w:footnote w:id="4">
    <w:p w14:paraId="506609CC" w14:textId="46A985C9" w:rsidR="00D24B97" w:rsidRPr="001473AB" w:rsidRDefault="00D24B97" w:rsidP="00B46CAD">
      <w:pPr>
        <w:pStyle w:val="FootnoteText"/>
        <w:rPr>
          <w:szCs w:val="26"/>
        </w:rPr>
      </w:pPr>
      <w:r w:rsidRPr="00362F0C">
        <w:rPr>
          <w:rStyle w:val="FootnoteReference"/>
          <w:position w:val="0"/>
          <w:szCs w:val="27"/>
        </w:rPr>
        <w:footnoteRef/>
      </w:r>
      <w:r w:rsidRPr="00362F0C">
        <w:rPr>
          <w:szCs w:val="27"/>
          <w:vertAlign w:val="superscript"/>
        </w:rPr>
        <w:t xml:space="preserve"> </w:t>
      </w:r>
      <w:r w:rsidRPr="001473AB">
        <w:rPr>
          <w:szCs w:val="26"/>
        </w:rPr>
        <w:tab/>
        <w:t xml:space="preserve">The Legislature’s request for judicial notice, which was filed in connection with its emergency petition for a writ of mandate, is granted. </w:t>
      </w:r>
    </w:p>
  </w:footnote>
  <w:footnote w:id="5">
    <w:p w14:paraId="5F19AF38" w14:textId="77777777" w:rsidR="00D24B97" w:rsidRDefault="00D24B97" w:rsidP="0019113D">
      <w:pPr>
        <w:pStyle w:val="FootnoteText"/>
      </w:pPr>
      <w:r w:rsidRPr="00E12BBC">
        <w:rPr>
          <w:rStyle w:val="FootnoteReference"/>
          <w:position w:val="0"/>
        </w:rPr>
        <w:footnoteRef/>
      </w:r>
      <w:r>
        <w:tab/>
        <w:t xml:space="preserve">We note that legislation is currently pending to move </w:t>
      </w:r>
      <w:r w:rsidRPr="00DD40F9">
        <w:t>the March 2022 primary elections to June 2022 in light of the pandemic.  (Sen. Bill No.</w:t>
      </w:r>
      <w:r>
        <w:t> </w:t>
      </w:r>
      <w:r w:rsidRPr="00DD40F9">
        <w:t>970 (2019</w:t>
      </w:r>
      <w:r w:rsidRPr="001473AB">
        <w:t>–</w:t>
      </w:r>
      <w:r w:rsidRPr="00DD40F9">
        <w:t>2020</w:t>
      </w:r>
      <w:r>
        <w:t xml:space="preserve"> Reg. Sess.</w:t>
      </w:r>
      <w:r w:rsidRPr="00DD40F9">
        <w:t>)</w:t>
      </w:r>
      <w:r>
        <w:t xml:space="preserve"> § 1, p. 2, as introduced Feb. 11, 2020.)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31273A" w14:textId="7D879BF3" w:rsidR="00D24B97" w:rsidRDefault="00D24B97">
    <w:pPr>
      <w:pStyle w:val="Header"/>
    </w:pPr>
    <w:r>
      <w:t>LEGISLATURE OF THE STATE OF CALIFORNIA v. PADILLA</w:t>
    </w:r>
  </w:p>
  <w:p w14:paraId="1F4DA87E" w14:textId="6A8585B1" w:rsidR="00D24B97" w:rsidRDefault="00D24B97">
    <w:pPr>
      <w:pStyle w:val="Header"/>
    </w:pPr>
    <w:r>
      <w:t>Opinion of the Court by Kruger, J.</w:t>
    </w:r>
  </w:p>
  <w:p w14:paraId="1F66BABC" w14:textId="77777777" w:rsidR="00D24B97" w:rsidRDefault="00D24B9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7E7728" w14:textId="77777777" w:rsidR="005E5BE5" w:rsidRDefault="0064775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E7ACB9" w14:textId="77777777" w:rsidR="005E5BE5" w:rsidRDefault="00647758">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37AD30" w14:textId="77777777" w:rsidR="005E5BE5" w:rsidRDefault="0064775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98394B"/>
    <w:multiLevelType w:val="hybridMultilevel"/>
    <w:tmpl w:val="BF8AA6B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BC33E60"/>
    <w:multiLevelType w:val="hybridMultilevel"/>
    <w:tmpl w:val="8EF84D20"/>
    <w:lvl w:ilvl="0" w:tplc="2550DE1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FBB7BA1"/>
    <w:multiLevelType w:val="hybridMultilevel"/>
    <w:tmpl w:val="8EF84D20"/>
    <w:lvl w:ilvl="0" w:tplc="2550DE12">
      <w:start w:val="1"/>
      <w:numFmt w:val="lowerRoman"/>
      <w:lvlText w:val="(%1)"/>
      <w:lvlJc w:val="left"/>
      <w:pPr>
        <w:ind w:left="1080" w:hanging="72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0"/>
  <w:removePersonalInformation/>
  <w:removeDateAndTime/>
  <w:printFractionalCharacterWidth/>
  <w:activeWritingStyle w:appName="MSWord" w:lang="en-US" w:vendorID="64" w:dllVersion="5" w:nlCheck="1" w:checkStyle="1"/>
  <w:activeWritingStyle w:appName="MSWord" w:lang="en-US" w:vendorID="64" w:dllVersion="0" w:nlCheck="1" w:checkStyle="0"/>
  <w:activeWritingStyle w:appName="MSWord" w:lang="en-US" w:vendorID="64" w:dllVersion="4096" w:nlCheck="1" w:checkStyle="0"/>
  <w:proofState w:spelling="clean"/>
  <w:defaultTabStop w:val="720"/>
  <w:doNotHyphenateCaps/>
  <w:displayHorizontalDrawingGridEvery w:val="0"/>
  <w:displayVerticalDrawingGridEvery w:val="0"/>
  <w:doNotUseMarginsForDrawingGridOrigin/>
  <w:noPunctuationKerning/>
  <w:characterSpacingControl w:val="doNotCompress"/>
  <w:hdrShapeDefaults>
    <o:shapedefaults v:ext="edit" spidmax="2252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6C3B"/>
    <w:rsid w:val="00000186"/>
    <w:rsid w:val="0000434C"/>
    <w:rsid w:val="00005BD2"/>
    <w:rsid w:val="00007257"/>
    <w:rsid w:val="0000758E"/>
    <w:rsid w:val="00011A92"/>
    <w:rsid w:val="00012160"/>
    <w:rsid w:val="00012F78"/>
    <w:rsid w:val="0001414F"/>
    <w:rsid w:val="00014A2C"/>
    <w:rsid w:val="0002026E"/>
    <w:rsid w:val="00022979"/>
    <w:rsid w:val="00022D3E"/>
    <w:rsid w:val="000247C9"/>
    <w:rsid w:val="00024C4D"/>
    <w:rsid w:val="000268D1"/>
    <w:rsid w:val="00030707"/>
    <w:rsid w:val="00033A24"/>
    <w:rsid w:val="0003415C"/>
    <w:rsid w:val="00035455"/>
    <w:rsid w:val="0003727C"/>
    <w:rsid w:val="00037C16"/>
    <w:rsid w:val="00042F27"/>
    <w:rsid w:val="00047B40"/>
    <w:rsid w:val="00050A44"/>
    <w:rsid w:val="00053355"/>
    <w:rsid w:val="00053F01"/>
    <w:rsid w:val="000556B1"/>
    <w:rsid w:val="000572ED"/>
    <w:rsid w:val="000573B3"/>
    <w:rsid w:val="00057A6D"/>
    <w:rsid w:val="000600A2"/>
    <w:rsid w:val="000631A8"/>
    <w:rsid w:val="00064AC2"/>
    <w:rsid w:val="00066D20"/>
    <w:rsid w:val="00067343"/>
    <w:rsid w:val="00067E11"/>
    <w:rsid w:val="00072A1D"/>
    <w:rsid w:val="00073A55"/>
    <w:rsid w:val="00074181"/>
    <w:rsid w:val="000768FC"/>
    <w:rsid w:val="00076FB9"/>
    <w:rsid w:val="00077246"/>
    <w:rsid w:val="00077B68"/>
    <w:rsid w:val="000809DE"/>
    <w:rsid w:val="0008116D"/>
    <w:rsid w:val="0008124F"/>
    <w:rsid w:val="00082648"/>
    <w:rsid w:val="00084D05"/>
    <w:rsid w:val="00085B3B"/>
    <w:rsid w:val="000862C9"/>
    <w:rsid w:val="000869EB"/>
    <w:rsid w:val="00087BF6"/>
    <w:rsid w:val="00090B60"/>
    <w:rsid w:val="0009318A"/>
    <w:rsid w:val="0009351A"/>
    <w:rsid w:val="0009453C"/>
    <w:rsid w:val="00095E28"/>
    <w:rsid w:val="00096466"/>
    <w:rsid w:val="00096608"/>
    <w:rsid w:val="000A211A"/>
    <w:rsid w:val="000A25B0"/>
    <w:rsid w:val="000A2AB7"/>
    <w:rsid w:val="000A2C55"/>
    <w:rsid w:val="000A33DC"/>
    <w:rsid w:val="000A5141"/>
    <w:rsid w:val="000A5ECE"/>
    <w:rsid w:val="000B094D"/>
    <w:rsid w:val="000B0DA6"/>
    <w:rsid w:val="000B25BB"/>
    <w:rsid w:val="000B4772"/>
    <w:rsid w:val="000B4B8E"/>
    <w:rsid w:val="000B7911"/>
    <w:rsid w:val="000C1718"/>
    <w:rsid w:val="000C3BC9"/>
    <w:rsid w:val="000C465B"/>
    <w:rsid w:val="000C46C9"/>
    <w:rsid w:val="000C6579"/>
    <w:rsid w:val="000D62B3"/>
    <w:rsid w:val="000E13B6"/>
    <w:rsid w:val="000E174D"/>
    <w:rsid w:val="000E1E88"/>
    <w:rsid w:val="000E2114"/>
    <w:rsid w:val="000E36EF"/>
    <w:rsid w:val="000E5CD2"/>
    <w:rsid w:val="000E6A7D"/>
    <w:rsid w:val="000E6D51"/>
    <w:rsid w:val="000F06CB"/>
    <w:rsid w:val="000F3CB7"/>
    <w:rsid w:val="000F498F"/>
    <w:rsid w:val="000F52E7"/>
    <w:rsid w:val="000F53E5"/>
    <w:rsid w:val="000F74A9"/>
    <w:rsid w:val="000F7882"/>
    <w:rsid w:val="00100943"/>
    <w:rsid w:val="0010149B"/>
    <w:rsid w:val="0010563B"/>
    <w:rsid w:val="00106643"/>
    <w:rsid w:val="001111ED"/>
    <w:rsid w:val="0011150C"/>
    <w:rsid w:val="0011164A"/>
    <w:rsid w:val="001127A9"/>
    <w:rsid w:val="001130BB"/>
    <w:rsid w:val="00113233"/>
    <w:rsid w:val="00113925"/>
    <w:rsid w:val="00113968"/>
    <w:rsid w:val="00121130"/>
    <w:rsid w:val="00121534"/>
    <w:rsid w:val="00125108"/>
    <w:rsid w:val="00125958"/>
    <w:rsid w:val="00127705"/>
    <w:rsid w:val="00131C78"/>
    <w:rsid w:val="00132BB6"/>
    <w:rsid w:val="00133FFE"/>
    <w:rsid w:val="001373DF"/>
    <w:rsid w:val="0013786D"/>
    <w:rsid w:val="00140FA6"/>
    <w:rsid w:val="00141841"/>
    <w:rsid w:val="00143F6A"/>
    <w:rsid w:val="00145933"/>
    <w:rsid w:val="001473AB"/>
    <w:rsid w:val="00151650"/>
    <w:rsid w:val="00151D4F"/>
    <w:rsid w:val="00151E23"/>
    <w:rsid w:val="00152164"/>
    <w:rsid w:val="00152675"/>
    <w:rsid w:val="001541D4"/>
    <w:rsid w:val="001543A4"/>
    <w:rsid w:val="00155289"/>
    <w:rsid w:val="00155E63"/>
    <w:rsid w:val="00162A7C"/>
    <w:rsid w:val="00165A3A"/>
    <w:rsid w:val="00165CDD"/>
    <w:rsid w:val="00171527"/>
    <w:rsid w:val="00172A55"/>
    <w:rsid w:val="00173474"/>
    <w:rsid w:val="00173C12"/>
    <w:rsid w:val="00174B87"/>
    <w:rsid w:val="00175A4F"/>
    <w:rsid w:val="001762EE"/>
    <w:rsid w:val="00176D76"/>
    <w:rsid w:val="001771A1"/>
    <w:rsid w:val="0017771D"/>
    <w:rsid w:val="001801A5"/>
    <w:rsid w:val="00181598"/>
    <w:rsid w:val="00181668"/>
    <w:rsid w:val="001818E8"/>
    <w:rsid w:val="0018297D"/>
    <w:rsid w:val="0019072B"/>
    <w:rsid w:val="0019106B"/>
    <w:rsid w:val="0019113D"/>
    <w:rsid w:val="00196546"/>
    <w:rsid w:val="00196E70"/>
    <w:rsid w:val="001A2813"/>
    <w:rsid w:val="001A331B"/>
    <w:rsid w:val="001B08C0"/>
    <w:rsid w:val="001B181C"/>
    <w:rsid w:val="001B3BA9"/>
    <w:rsid w:val="001B45A2"/>
    <w:rsid w:val="001B76A0"/>
    <w:rsid w:val="001B79C8"/>
    <w:rsid w:val="001B7F5F"/>
    <w:rsid w:val="001C4615"/>
    <w:rsid w:val="001C68D2"/>
    <w:rsid w:val="001D055C"/>
    <w:rsid w:val="001D125B"/>
    <w:rsid w:val="001D253F"/>
    <w:rsid w:val="001D4AA3"/>
    <w:rsid w:val="001D4F01"/>
    <w:rsid w:val="001D5F38"/>
    <w:rsid w:val="001D6EC5"/>
    <w:rsid w:val="001E1908"/>
    <w:rsid w:val="001E40CC"/>
    <w:rsid w:val="001E5962"/>
    <w:rsid w:val="001F0269"/>
    <w:rsid w:val="001F3C4E"/>
    <w:rsid w:val="001F40CB"/>
    <w:rsid w:val="001F438C"/>
    <w:rsid w:val="001F7A2F"/>
    <w:rsid w:val="0020617C"/>
    <w:rsid w:val="0020653F"/>
    <w:rsid w:val="00206954"/>
    <w:rsid w:val="00206A6E"/>
    <w:rsid w:val="0020752C"/>
    <w:rsid w:val="00207711"/>
    <w:rsid w:val="00211B55"/>
    <w:rsid w:val="00212A79"/>
    <w:rsid w:val="00214401"/>
    <w:rsid w:val="0021471D"/>
    <w:rsid w:val="00216836"/>
    <w:rsid w:val="00217A95"/>
    <w:rsid w:val="0022178D"/>
    <w:rsid w:val="0022549A"/>
    <w:rsid w:val="00225515"/>
    <w:rsid w:val="00226CB8"/>
    <w:rsid w:val="00231730"/>
    <w:rsid w:val="00232415"/>
    <w:rsid w:val="00232DFA"/>
    <w:rsid w:val="00234422"/>
    <w:rsid w:val="00240D2A"/>
    <w:rsid w:val="00242D07"/>
    <w:rsid w:val="00244DE2"/>
    <w:rsid w:val="00246079"/>
    <w:rsid w:val="002472D1"/>
    <w:rsid w:val="0025042E"/>
    <w:rsid w:val="0025389E"/>
    <w:rsid w:val="0025397C"/>
    <w:rsid w:val="00255B58"/>
    <w:rsid w:val="00257D57"/>
    <w:rsid w:val="00260C00"/>
    <w:rsid w:val="002622B4"/>
    <w:rsid w:val="002665F8"/>
    <w:rsid w:val="002706C3"/>
    <w:rsid w:val="00276C5E"/>
    <w:rsid w:val="002776C9"/>
    <w:rsid w:val="002803C2"/>
    <w:rsid w:val="00280492"/>
    <w:rsid w:val="00280638"/>
    <w:rsid w:val="002825C4"/>
    <w:rsid w:val="002834C9"/>
    <w:rsid w:val="00284653"/>
    <w:rsid w:val="00290A04"/>
    <w:rsid w:val="00291444"/>
    <w:rsid w:val="002927A2"/>
    <w:rsid w:val="00293249"/>
    <w:rsid w:val="002A00E1"/>
    <w:rsid w:val="002A076D"/>
    <w:rsid w:val="002A3D48"/>
    <w:rsid w:val="002A557D"/>
    <w:rsid w:val="002A6B1D"/>
    <w:rsid w:val="002A7CF7"/>
    <w:rsid w:val="002B0052"/>
    <w:rsid w:val="002B1EF9"/>
    <w:rsid w:val="002B3AF2"/>
    <w:rsid w:val="002B4020"/>
    <w:rsid w:val="002B5A59"/>
    <w:rsid w:val="002B62E5"/>
    <w:rsid w:val="002B6A10"/>
    <w:rsid w:val="002B79DB"/>
    <w:rsid w:val="002C74EB"/>
    <w:rsid w:val="002D02E3"/>
    <w:rsid w:val="002D23D1"/>
    <w:rsid w:val="002D37F1"/>
    <w:rsid w:val="002D7971"/>
    <w:rsid w:val="002E5F29"/>
    <w:rsid w:val="002E6967"/>
    <w:rsid w:val="002F0788"/>
    <w:rsid w:val="002F1D44"/>
    <w:rsid w:val="002F3DC5"/>
    <w:rsid w:val="002F406B"/>
    <w:rsid w:val="002F51E9"/>
    <w:rsid w:val="002F6186"/>
    <w:rsid w:val="00301F7B"/>
    <w:rsid w:val="00305721"/>
    <w:rsid w:val="00305E12"/>
    <w:rsid w:val="003077A1"/>
    <w:rsid w:val="00311657"/>
    <w:rsid w:val="00311823"/>
    <w:rsid w:val="00312845"/>
    <w:rsid w:val="0031291F"/>
    <w:rsid w:val="00313E2B"/>
    <w:rsid w:val="00316F21"/>
    <w:rsid w:val="0032068D"/>
    <w:rsid w:val="00320DC1"/>
    <w:rsid w:val="003250FC"/>
    <w:rsid w:val="00326D6C"/>
    <w:rsid w:val="003307B7"/>
    <w:rsid w:val="00330A02"/>
    <w:rsid w:val="00330FD4"/>
    <w:rsid w:val="00333A8D"/>
    <w:rsid w:val="00334AE9"/>
    <w:rsid w:val="00340D03"/>
    <w:rsid w:val="00341BDB"/>
    <w:rsid w:val="00344DE6"/>
    <w:rsid w:val="0034536D"/>
    <w:rsid w:val="00346D0E"/>
    <w:rsid w:val="00347EBF"/>
    <w:rsid w:val="00347F39"/>
    <w:rsid w:val="00350AA7"/>
    <w:rsid w:val="0035641F"/>
    <w:rsid w:val="00356B5B"/>
    <w:rsid w:val="00361183"/>
    <w:rsid w:val="00362F0C"/>
    <w:rsid w:val="0036401C"/>
    <w:rsid w:val="00371CE0"/>
    <w:rsid w:val="0037272A"/>
    <w:rsid w:val="00373183"/>
    <w:rsid w:val="003747FF"/>
    <w:rsid w:val="003760F2"/>
    <w:rsid w:val="003778EB"/>
    <w:rsid w:val="00381DC6"/>
    <w:rsid w:val="0038304D"/>
    <w:rsid w:val="003832A5"/>
    <w:rsid w:val="00383F32"/>
    <w:rsid w:val="0039119F"/>
    <w:rsid w:val="003918F2"/>
    <w:rsid w:val="00394DB7"/>
    <w:rsid w:val="00395BDA"/>
    <w:rsid w:val="00396234"/>
    <w:rsid w:val="003965CA"/>
    <w:rsid w:val="00397003"/>
    <w:rsid w:val="003A2D1E"/>
    <w:rsid w:val="003A2F08"/>
    <w:rsid w:val="003A50F6"/>
    <w:rsid w:val="003A6152"/>
    <w:rsid w:val="003A6382"/>
    <w:rsid w:val="003A6D63"/>
    <w:rsid w:val="003A74D4"/>
    <w:rsid w:val="003A7EE0"/>
    <w:rsid w:val="003B358E"/>
    <w:rsid w:val="003B5C4A"/>
    <w:rsid w:val="003B65C2"/>
    <w:rsid w:val="003C2697"/>
    <w:rsid w:val="003C2DD2"/>
    <w:rsid w:val="003C58F1"/>
    <w:rsid w:val="003C5D1B"/>
    <w:rsid w:val="003C5F85"/>
    <w:rsid w:val="003C6140"/>
    <w:rsid w:val="003D1429"/>
    <w:rsid w:val="003D3289"/>
    <w:rsid w:val="003D65EE"/>
    <w:rsid w:val="003E0D7C"/>
    <w:rsid w:val="003E5AB6"/>
    <w:rsid w:val="003E7C3A"/>
    <w:rsid w:val="003F0D80"/>
    <w:rsid w:val="003F2821"/>
    <w:rsid w:val="003F2892"/>
    <w:rsid w:val="004000B8"/>
    <w:rsid w:val="00400B95"/>
    <w:rsid w:val="004013E3"/>
    <w:rsid w:val="004025E6"/>
    <w:rsid w:val="00404C02"/>
    <w:rsid w:val="004067B3"/>
    <w:rsid w:val="00407F4A"/>
    <w:rsid w:val="00410B66"/>
    <w:rsid w:val="004126C7"/>
    <w:rsid w:val="0041385C"/>
    <w:rsid w:val="004170AE"/>
    <w:rsid w:val="004200E3"/>
    <w:rsid w:val="00420E6C"/>
    <w:rsid w:val="00421A90"/>
    <w:rsid w:val="004228A6"/>
    <w:rsid w:val="00424895"/>
    <w:rsid w:val="00431EAE"/>
    <w:rsid w:val="004327D2"/>
    <w:rsid w:val="00437E3E"/>
    <w:rsid w:val="004408C8"/>
    <w:rsid w:val="00446C41"/>
    <w:rsid w:val="0045265D"/>
    <w:rsid w:val="00454001"/>
    <w:rsid w:val="0045572E"/>
    <w:rsid w:val="00456E15"/>
    <w:rsid w:val="004571F8"/>
    <w:rsid w:val="0045791A"/>
    <w:rsid w:val="00464DD4"/>
    <w:rsid w:val="00466CBD"/>
    <w:rsid w:val="0046753B"/>
    <w:rsid w:val="00467769"/>
    <w:rsid w:val="0047140B"/>
    <w:rsid w:val="00472AF3"/>
    <w:rsid w:val="004745BD"/>
    <w:rsid w:val="00481796"/>
    <w:rsid w:val="0048222F"/>
    <w:rsid w:val="004916E1"/>
    <w:rsid w:val="00491815"/>
    <w:rsid w:val="00494653"/>
    <w:rsid w:val="004973A2"/>
    <w:rsid w:val="004A1317"/>
    <w:rsid w:val="004A2EC2"/>
    <w:rsid w:val="004A4A5F"/>
    <w:rsid w:val="004B1CF2"/>
    <w:rsid w:val="004B6FCE"/>
    <w:rsid w:val="004B7D47"/>
    <w:rsid w:val="004C2A9D"/>
    <w:rsid w:val="004C2B39"/>
    <w:rsid w:val="004C3A0D"/>
    <w:rsid w:val="004C45B7"/>
    <w:rsid w:val="004C5E84"/>
    <w:rsid w:val="004C5ED6"/>
    <w:rsid w:val="004C5F1E"/>
    <w:rsid w:val="004C6A88"/>
    <w:rsid w:val="004C770A"/>
    <w:rsid w:val="004D16B1"/>
    <w:rsid w:val="004D1A71"/>
    <w:rsid w:val="004D2047"/>
    <w:rsid w:val="004D4145"/>
    <w:rsid w:val="004D78EB"/>
    <w:rsid w:val="004E3449"/>
    <w:rsid w:val="004E48BE"/>
    <w:rsid w:val="004E4FBB"/>
    <w:rsid w:val="004F0A3F"/>
    <w:rsid w:val="004F12DF"/>
    <w:rsid w:val="004F12F0"/>
    <w:rsid w:val="004F191D"/>
    <w:rsid w:val="004F7515"/>
    <w:rsid w:val="00500C2F"/>
    <w:rsid w:val="00502A91"/>
    <w:rsid w:val="00503125"/>
    <w:rsid w:val="00505269"/>
    <w:rsid w:val="00505FE4"/>
    <w:rsid w:val="0050642F"/>
    <w:rsid w:val="005074F4"/>
    <w:rsid w:val="00511E7E"/>
    <w:rsid w:val="00512E09"/>
    <w:rsid w:val="00512F06"/>
    <w:rsid w:val="005137B6"/>
    <w:rsid w:val="00514313"/>
    <w:rsid w:val="00514ED8"/>
    <w:rsid w:val="00525F4B"/>
    <w:rsid w:val="0052790F"/>
    <w:rsid w:val="00531376"/>
    <w:rsid w:val="00532ADB"/>
    <w:rsid w:val="005337B3"/>
    <w:rsid w:val="005345AE"/>
    <w:rsid w:val="00534B9C"/>
    <w:rsid w:val="00540A5D"/>
    <w:rsid w:val="00545274"/>
    <w:rsid w:val="0054549B"/>
    <w:rsid w:val="00545C9D"/>
    <w:rsid w:val="00546176"/>
    <w:rsid w:val="0054619B"/>
    <w:rsid w:val="0054656B"/>
    <w:rsid w:val="005476B1"/>
    <w:rsid w:val="0055136A"/>
    <w:rsid w:val="00553B72"/>
    <w:rsid w:val="0055694D"/>
    <w:rsid w:val="00557E69"/>
    <w:rsid w:val="00562F9C"/>
    <w:rsid w:val="005637A6"/>
    <w:rsid w:val="00564A24"/>
    <w:rsid w:val="00567E08"/>
    <w:rsid w:val="0057067D"/>
    <w:rsid w:val="00571C33"/>
    <w:rsid w:val="0057586C"/>
    <w:rsid w:val="0057742C"/>
    <w:rsid w:val="005778A3"/>
    <w:rsid w:val="005828E3"/>
    <w:rsid w:val="005864E9"/>
    <w:rsid w:val="005904E5"/>
    <w:rsid w:val="00590683"/>
    <w:rsid w:val="00594909"/>
    <w:rsid w:val="00597C22"/>
    <w:rsid w:val="00597F6F"/>
    <w:rsid w:val="005A1779"/>
    <w:rsid w:val="005A1F26"/>
    <w:rsid w:val="005A238A"/>
    <w:rsid w:val="005A2F4B"/>
    <w:rsid w:val="005A43D2"/>
    <w:rsid w:val="005A46ED"/>
    <w:rsid w:val="005A4C98"/>
    <w:rsid w:val="005A77A9"/>
    <w:rsid w:val="005A77AF"/>
    <w:rsid w:val="005B0E3B"/>
    <w:rsid w:val="005B3D90"/>
    <w:rsid w:val="005B42CC"/>
    <w:rsid w:val="005B5A11"/>
    <w:rsid w:val="005B76C9"/>
    <w:rsid w:val="005C2095"/>
    <w:rsid w:val="005C2BA4"/>
    <w:rsid w:val="005C4D98"/>
    <w:rsid w:val="005D218C"/>
    <w:rsid w:val="005D74A2"/>
    <w:rsid w:val="005E076D"/>
    <w:rsid w:val="005E36F3"/>
    <w:rsid w:val="005E3BB0"/>
    <w:rsid w:val="005E5386"/>
    <w:rsid w:val="005E5ACA"/>
    <w:rsid w:val="005F03E2"/>
    <w:rsid w:val="005F503C"/>
    <w:rsid w:val="005F51F1"/>
    <w:rsid w:val="005F5D9A"/>
    <w:rsid w:val="005F6B0E"/>
    <w:rsid w:val="005F6CF1"/>
    <w:rsid w:val="0060345A"/>
    <w:rsid w:val="006042ED"/>
    <w:rsid w:val="00605AF4"/>
    <w:rsid w:val="00605BFC"/>
    <w:rsid w:val="00606B50"/>
    <w:rsid w:val="00607401"/>
    <w:rsid w:val="00611200"/>
    <w:rsid w:val="006136E3"/>
    <w:rsid w:val="006157A8"/>
    <w:rsid w:val="00616DE9"/>
    <w:rsid w:val="006175E5"/>
    <w:rsid w:val="00617C1C"/>
    <w:rsid w:val="00620B1B"/>
    <w:rsid w:val="00621593"/>
    <w:rsid w:val="00622FAE"/>
    <w:rsid w:val="00623192"/>
    <w:rsid w:val="00623900"/>
    <w:rsid w:val="00623F08"/>
    <w:rsid w:val="00624049"/>
    <w:rsid w:val="00626011"/>
    <w:rsid w:val="0062683B"/>
    <w:rsid w:val="006317D1"/>
    <w:rsid w:val="006355CA"/>
    <w:rsid w:val="006362A4"/>
    <w:rsid w:val="00640118"/>
    <w:rsid w:val="00640345"/>
    <w:rsid w:val="00641173"/>
    <w:rsid w:val="00642415"/>
    <w:rsid w:val="00643DE4"/>
    <w:rsid w:val="00644DDF"/>
    <w:rsid w:val="00645ADD"/>
    <w:rsid w:val="00647758"/>
    <w:rsid w:val="00656BF0"/>
    <w:rsid w:val="00657747"/>
    <w:rsid w:val="00660B8F"/>
    <w:rsid w:val="0066151F"/>
    <w:rsid w:val="00665277"/>
    <w:rsid w:val="00665D36"/>
    <w:rsid w:val="006677E3"/>
    <w:rsid w:val="0067008B"/>
    <w:rsid w:val="00670348"/>
    <w:rsid w:val="00670C50"/>
    <w:rsid w:val="00671515"/>
    <w:rsid w:val="0067199F"/>
    <w:rsid w:val="00672716"/>
    <w:rsid w:val="006735F6"/>
    <w:rsid w:val="00673E47"/>
    <w:rsid w:val="006752D5"/>
    <w:rsid w:val="00675AFE"/>
    <w:rsid w:val="0068039F"/>
    <w:rsid w:val="00682234"/>
    <w:rsid w:val="0068263C"/>
    <w:rsid w:val="006836C0"/>
    <w:rsid w:val="00684813"/>
    <w:rsid w:val="00685155"/>
    <w:rsid w:val="00685B40"/>
    <w:rsid w:val="00686320"/>
    <w:rsid w:val="00687129"/>
    <w:rsid w:val="00687EE4"/>
    <w:rsid w:val="00691F0D"/>
    <w:rsid w:val="00693CEA"/>
    <w:rsid w:val="006946C9"/>
    <w:rsid w:val="00696CB1"/>
    <w:rsid w:val="006A1C94"/>
    <w:rsid w:val="006A4365"/>
    <w:rsid w:val="006A482F"/>
    <w:rsid w:val="006A48E6"/>
    <w:rsid w:val="006A4C62"/>
    <w:rsid w:val="006A58F2"/>
    <w:rsid w:val="006A5F18"/>
    <w:rsid w:val="006C442E"/>
    <w:rsid w:val="006C45F3"/>
    <w:rsid w:val="006C4FA1"/>
    <w:rsid w:val="006C64C5"/>
    <w:rsid w:val="006C681D"/>
    <w:rsid w:val="006D0189"/>
    <w:rsid w:val="006D6C01"/>
    <w:rsid w:val="006D7F6B"/>
    <w:rsid w:val="006E2E90"/>
    <w:rsid w:val="006E3EAC"/>
    <w:rsid w:val="006E7D6D"/>
    <w:rsid w:val="006F1496"/>
    <w:rsid w:val="006F319E"/>
    <w:rsid w:val="006F646A"/>
    <w:rsid w:val="006F65DF"/>
    <w:rsid w:val="006F6E6C"/>
    <w:rsid w:val="00700999"/>
    <w:rsid w:val="00700B7C"/>
    <w:rsid w:val="007015F5"/>
    <w:rsid w:val="00701CAE"/>
    <w:rsid w:val="0070499D"/>
    <w:rsid w:val="00705811"/>
    <w:rsid w:val="007065AD"/>
    <w:rsid w:val="00707339"/>
    <w:rsid w:val="007105E5"/>
    <w:rsid w:val="00711009"/>
    <w:rsid w:val="00711208"/>
    <w:rsid w:val="00712DF5"/>
    <w:rsid w:val="0072179D"/>
    <w:rsid w:val="007263D7"/>
    <w:rsid w:val="007278A4"/>
    <w:rsid w:val="00727D04"/>
    <w:rsid w:val="00730D30"/>
    <w:rsid w:val="0073141A"/>
    <w:rsid w:val="007328CE"/>
    <w:rsid w:val="00736950"/>
    <w:rsid w:val="00743BD6"/>
    <w:rsid w:val="00744BF6"/>
    <w:rsid w:val="00744FA9"/>
    <w:rsid w:val="0074680F"/>
    <w:rsid w:val="00747535"/>
    <w:rsid w:val="00747C66"/>
    <w:rsid w:val="00750A54"/>
    <w:rsid w:val="007536C7"/>
    <w:rsid w:val="0075403A"/>
    <w:rsid w:val="00755155"/>
    <w:rsid w:val="007553B2"/>
    <w:rsid w:val="00755BAC"/>
    <w:rsid w:val="00756BCB"/>
    <w:rsid w:val="00757507"/>
    <w:rsid w:val="00761F2D"/>
    <w:rsid w:val="00762A28"/>
    <w:rsid w:val="007644C5"/>
    <w:rsid w:val="007656BC"/>
    <w:rsid w:val="0076668B"/>
    <w:rsid w:val="00771EBC"/>
    <w:rsid w:val="00781D31"/>
    <w:rsid w:val="00784418"/>
    <w:rsid w:val="00790790"/>
    <w:rsid w:val="00791D81"/>
    <w:rsid w:val="00792322"/>
    <w:rsid w:val="00792587"/>
    <w:rsid w:val="0079291D"/>
    <w:rsid w:val="00794867"/>
    <w:rsid w:val="00795481"/>
    <w:rsid w:val="007965C6"/>
    <w:rsid w:val="0079710C"/>
    <w:rsid w:val="007A1243"/>
    <w:rsid w:val="007A15A3"/>
    <w:rsid w:val="007A1F0D"/>
    <w:rsid w:val="007A2159"/>
    <w:rsid w:val="007A26D4"/>
    <w:rsid w:val="007A2C74"/>
    <w:rsid w:val="007A3781"/>
    <w:rsid w:val="007A3F6A"/>
    <w:rsid w:val="007A5017"/>
    <w:rsid w:val="007A5FBF"/>
    <w:rsid w:val="007A78E9"/>
    <w:rsid w:val="007B1263"/>
    <w:rsid w:val="007B22F8"/>
    <w:rsid w:val="007B5033"/>
    <w:rsid w:val="007B6A73"/>
    <w:rsid w:val="007B70C7"/>
    <w:rsid w:val="007B7155"/>
    <w:rsid w:val="007B754A"/>
    <w:rsid w:val="007B7F8E"/>
    <w:rsid w:val="007C0F10"/>
    <w:rsid w:val="007C386C"/>
    <w:rsid w:val="007C46A1"/>
    <w:rsid w:val="007C47D8"/>
    <w:rsid w:val="007C62D9"/>
    <w:rsid w:val="007C6F74"/>
    <w:rsid w:val="007C7C2C"/>
    <w:rsid w:val="007C7D12"/>
    <w:rsid w:val="007D4B80"/>
    <w:rsid w:val="007D5B19"/>
    <w:rsid w:val="007D671E"/>
    <w:rsid w:val="007D7168"/>
    <w:rsid w:val="007E0AB0"/>
    <w:rsid w:val="007E2452"/>
    <w:rsid w:val="007E2675"/>
    <w:rsid w:val="007E5F99"/>
    <w:rsid w:val="007E7235"/>
    <w:rsid w:val="007E7579"/>
    <w:rsid w:val="007F3F66"/>
    <w:rsid w:val="007F42BF"/>
    <w:rsid w:val="007F4C14"/>
    <w:rsid w:val="007F6923"/>
    <w:rsid w:val="008010D3"/>
    <w:rsid w:val="00804D5A"/>
    <w:rsid w:val="00805AA8"/>
    <w:rsid w:val="00805B17"/>
    <w:rsid w:val="00805E25"/>
    <w:rsid w:val="0081015A"/>
    <w:rsid w:val="00822188"/>
    <w:rsid w:val="00822D14"/>
    <w:rsid w:val="008238A4"/>
    <w:rsid w:val="0082390F"/>
    <w:rsid w:val="0082495F"/>
    <w:rsid w:val="00825711"/>
    <w:rsid w:val="008264D2"/>
    <w:rsid w:val="0082781E"/>
    <w:rsid w:val="00827F31"/>
    <w:rsid w:val="0083005E"/>
    <w:rsid w:val="0083053B"/>
    <w:rsid w:val="0083160F"/>
    <w:rsid w:val="00831649"/>
    <w:rsid w:val="00835109"/>
    <w:rsid w:val="00836B53"/>
    <w:rsid w:val="00840903"/>
    <w:rsid w:val="008428D2"/>
    <w:rsid w:val="00842F7D"/>
    <w:rsid w:val="008436A3"/>
    <w:rsid w:val="008463AF"/>
    <w:rsid w:val="00847D3E"/>
    <w:rsid w:val="0085020D"/>
    <w:rsid w:val="00852EA8"/>
    <w:rsid w:val="00853A7F"/>
    <w:rsid w:val="00853E38"/>
    <w:rsid w:val="008546CF"/>
    <w:rsid w:val="0086285C"/>
    <w:rsid w:val="00865007"/>
    <w:rsid w:val="0087074C"/>
    <w:rsid w:val="00870760"/>
    <w:rsid w:val="0087079E"/>
    <w:rsid w:val="00870F81"/>
    <w:rsid w:val="00872DAB"/>
    <w:rsid w:val="00874550"/>
    <w:rsid w:val="0087738C"/>
    <w:rsid w:val="00881136"/>
    <w:rsid w:val="00882D6A"/>
    <w:rsid w:val="008834D3"/>
    <w:rsid w:val="008849BC"/>
    <w:rsid w:val="00884CC6"/>
    <w:rsid w:val="008863E9"/>
    <w:rsid w:val="00887602"/>
    <w:rsid w:val="00887774"/>
    <w:rsid w:val="00887E4A"/>
    <w:rsid w:val="00894368"/>
    <w:rsid w:val="008943B4"/>
    <w:rsid w:val="00895121"/>
    <w:rsid w:val="00896F60"/>
    <w:rsid w:val="008973D1"/>
    <w:rsid w:val="00897444"/>
    <w:rsid w:val="008A06D0"/>
    <w:rsid w:val="008A3011"/>
    <w:rsid w:val="008A44DF"/>
    <w:rsid w:val="008B053A"/>
    <w:rsid w:val="008B2C65"/>
    <w:rsid w:val="008B34A1"/>
    <w:rsid w:val="008B4192"/>
    <w:rsid w:val="008B43D4"/>
    <w:rsid w:val="008B71F9"/>
    <w:rsid w:val="008C26CC"/>
    <w:rsid w:val="008C27E7"/>
    <w:rsid w:val="008C3702"/>
    <w:rsid w:val="008C682A"/>
    <w:rsid w:val="008C6899"/>
    <w:rsid w:val="008C6A95"/>
    <w:rsid w:val="008D0644"/>
    <w:rsid w:val="008D343A"/>
    <w:rsid w:val="008D368A"/>
    <w:rsid w:val="008D4C7D"/>
    <w:rsid w:val="008D5E52"/>
    <w:rsid w:val="008E37DF"/>
    <w:rsid w:val="008E3979"/>
    <w:rsid w:val="008E3B47"/>
    <w:rsid w:val="008E3D66"/>
    <w:rsid w:val="008E4AD1"/>
    <w:rsid w:val="008E758E"/>
    <w:rsid w:val="008F1187"/>
    <w:rsid w:val="008F17C4"/>
    <w:rsid w:val="008F25D1"/>
    <w:rsid w:val="008F44DA"/>
    <w:rsid w:val="00900A73"/>
    <w:rsid w:val="009023EF"/>
    <w:rsid w:val="009026F9"/>
    <w:rsid w:val="00902FB2"/>
    <w:rsid w:val="009033EF"/>
    <w:rsid w:val="00905350"/>
    <w:rsid w:val="00905378"/>
    <w:rsid w:val="00905919"/>
    <w:rsid w:val="009074CA"/>
    <w:rsid w:val="00907B6B"/>
    <w:rsid w:val="0091103D"/>
    <w:rsid w:val="00913359"/>
    <w:rsid w:val="009139D2"/>
    <w:rsid w:val="00915037"/>
    <w:rsid w:val="00915A79"/>
    <w:rsid w:val="00915AA3"/>
    <w:rsid w:val="0091709B"/>
    <w:rsid w:val="00917121"/>
    <w:rsid w:val="009233DA"/>
    <w:rsid w:val="009235B5"/>
    <w:rsid w:val="00924B26"/>
    <w:rsid w:val="00926667"/>
    <w:rsid w:val="00926A8F"/>
    <w:rsid w:val="00926C07"/>
    <w:rsid w:val="009279C1"/>
    <w:rsid w:val="00927BFF"/>
    <w:rsid w:val="00931B9A"/>
    <w:rsid w:val="00932899"/>
    <w:rsid w:val="009332BA"/>
    <w:rsid w:val="009336FB"/>
    <w:rsid w:val="00935DF5"/>
    <w:rsid w:val="0093780C"/>
    <w:rsid w:val="00943123"/>
    <w:rsid w:val="0094348C"/>
    <w:rsid w:val="00946526"/>
    <w:rsid w:val="0095009A"/>
    <w:rsid w:val="00951325"/>
    <w:rsid w:val="00951E73"/>
    <w:rsid w:val="0095333A"/>
    <w:rsid w:val="009560A9"/>
    <w:rsid w:val="009618A8"/>
    <w:rsid w:val="00962F66"/>
    <w:rsid w:val="0096330D"/>
    <w:rsid w:val="00965F8B"/>
    <w:rsid w:val="00970D86"/>
    <w:rsid w:val="00970E52"/>
    <w:rsid w:val="00971542"/>
    <w:rsid w:val="00973A9A"/>
    <w:rsid w:val="0097517F"/>
    <w:rsid w:val="009758F4"/>
    <w:rsid w:val="00975EA3"/>
    <w:rsid w:val="00976182"/>
    <w:rsid w:val="00977AE5"/>
    <w:rsid w:val="00980A62"/>
    <w:rsid w:val="009821F4"/>
    <w:rsid w:val="00983006"/>
    <w:rsid w:val="009830DD"/>
    <w:rsid w:val="00984385"/>
    <w:rsid w:val="009861AE"/>
    <w:rsid w:val="00986317"/>
    <w:rsid w:val="00992E6B"/>
    <w:rsid w:val="00993243"/>
    <w:rsid w:val="00994B4F"/>
    <w:rsid w:val="009A0037"/>
    <w:rsid w:val="009A1106"/>
    <w:rsid w:val="009A4678"/>
    <w:rsid w:val="009A7C5A"/>
    <w:rsid w:val="009B2757"/>
    <w:rsid w:val="009B3CB4"/>
    <w:rsid w:val="009B5560"/>
    <w:rsid w:val="009B74E4"/>
    <w:rsid w:val="009B7B42"/>
    <w:rsid w:val="009C0FE7"/>
    <w:rsid w:val="009C24DE"/>
    <w:rsid w:val="009C2521"/>
    <w:rsid w:val="009C77CD"/>
    <w:rsid w:val="009D0677"/>
    <w:rsid w:val="009D18FF"/>
    <w:rsid w:val="009D2043"/>
    <w:rsid w:val="009D2FFC"/>
    <w:rsid w:val="009D3A8B"/>
    <w:rsid w:val="009D48C1"/>
    <w:rsid w:val="009D4970"/>
    <w:rsid w:val="009D5C75"/>
    <w:rsid w:val="009D5F7A"/>
    <w:rsid w:val="009D6501"/>
    <w:rsid w:val="009D738C"/>
    <w:rsid w:val="009E1B1F"/>
    <w:rsid w:val="009E2CC7"/>
    <w:rsid w:val="009E77DD"/>
    <w:rsid w:val="009F3C2B"/>
    <w:rsid w:val="00A002BC"/>
    <w:rsid w:val="00A01914"/>
    <w:rsid w:val="00A02041"/>
    <w:rsid w:val="00A04585"/>
    <w:rsid w:val="00A05147"/>
    <w:rsid w:val="00A07A53"/>
    <w:rsid w:val="00A07DCE"/>
    <w:rsid w:val="00A12238"/>
    <w:rsid w:val="00A12DF2"/>
    <w:rsid w:val="00A13A8D"/>
    <w:rsid w:val="00A159B1"/>
    <w:rsid w:val="00A232A9"/>
    <w:rsid w:val="00A23D91"/>
    <w:rsid w:val="00A23F96"/>
    <w:rsid w:val="00A251DC"/>
    <w:rsid w:val="00A2669F"/>
    <w:rsid w:val="00A30000"/>
    <w:rsid w:val="00A31232"/>
    <w:rsid w:val="00A31738"/>
    <w:rsid w:val="00A34A9D"/>
    <w:rsid w:val="00A34B1A"/>
    <w:rsid w:val="00A3704A"/>
    <w:rsid w:val="00A37274"/>
    <w:rsid w:val="00A37AD9"/>
    <w:rsid w:val="00A40688"/>
    <w:rsid w:val="00A42331"/>
    <w:rsid w:val="00A43A79"/>
    <w:rsid w:val="00A43CD9"/>
    <w:rsid w:val="00A45BA8"/>
    <w:rsid w:val="00A47444"/>
    <w:rsid w:val="00A51CEC"/>
    <w:rsid w:val="00A60270"/>
    <w:rsid w:val="00A60D33"/>
    <w:rsid w:val="00A60D62"/>
    <w:rsid w:val="00A61181"/>
    <w:rsid w:val="00A62056"/>
    <w:rsid w:val="00A659BA"/>
    <w:rsid w:val="00A72525"/>
    <w:rsid w:val="00A7330B"/>
    <w:rsid w:val="00A73B0F"/>
    <w:rsid w:val="00A744AD"/>
    <w:rsid w:val="00A748D1"/>
    <w:rsid w:val="00A74EFE"/>
    <w:rsid w:val="00A75399"/>
    <w:rsid w:val="00A762A8"/>
    <w:rsid w:val="00A7738D"/>
    <w:rsid w:val="00A80452"/>
    <w:rsid w:val="00A80A6B"/>
    <w:rsid w:val="00A80C06"/>
    <w:rsid w:val="00A80EC6"/>
    <w:rsid w:val="00A82E46"/>
    <w:rsid w:val="00A844B9"/>
    <w:rsid w:val="00A8464B"/>
    <w:rsid w:val="00A85000"/>
    <w:rsid w:val="00A86227"/>
    <w:rsid w:val="00A86732"/>
    <w:rsid w:val="00A90A68"/>
    <w:rsid w:val="00A94E46"/>
    <w:rsid w:val="00A9544E"/>
    <w:rsid w:val="00A962A2"/>
    <w:rsid w:val="00A97D1A"/>
    <w:rsid w:val="00A97E4B"/>
    <w:rsid w:val="00AA1C47"/>
    <w:rsid w:val="00AA1DAE"/>
    <w:rsid w:val="00AA22DB"/>
    <w:rsid w:val="00AA2BF2"/>
    <w:rsid w:val="00AA507F"/>
    <w:rsid w:val="00AA743A"/>
    <w:rsid w:val="00AA77AC"/>
    <w:rsid w:val="00AA7F3B"/>
    <w:rsid w:val="00AB0E96"/>
    <w:rsid w:val="00AB313E"/>
    <w:rsid w:val="00AB37A6"/>
    <w:rsid w:val="00AB39F3"/>
    <w:rsid w:val="00AB41FA"/>
    <w:rsid w:val="00AB665E"/>
    <w:rsid w:val="00AB7E0F"/>
    <w:rsid w:val="00AC0074"/>
    <w:rsid w:val="00AC06E2"/>
    <w:rsid w:val="00AC33C8"/>
    <w:rsid w:val="00AC3438"/>
    <w:rsid w:val="00AC4633"/>
    <w:rsid w:val="00AC52C2"/>
    <w:rsid w:val="00AC7405"/>
    <w:rsid w:val="00AC75F0"/>
    <w:rsid w:val="00AC7786"/>
    <w:rsid w:val="00AC7A34"/>
    <w:rsid w:val="00AD0A36"/>
    <w:rsid w:val="00AD61B2"/>
    <w:rsid w:val="00AD6AE1"/>
    <w:rsid w:val="00AE3FF9"/>
    <w:rsid w:val="00AE63B5"/>
    <w:rsid w:val="00AE7CF6"/>
    <w:rsid w:val="00AF133D"/>
    <w:rsid w:val="00AF1F5A"/>
    <w:rsid w:val="00AF553C"/>
    <w:rsid w:val="00AF728F"/>
    <w:rsid w:val="00B0354C"/>
    <w:rsid w:val="00B048C2"/>
    <w:rsid w:val="00B058DE"/>
    <w:rsid w:val="00B05AA8"/>
    <w:rsid w:val="00B05EBE"/>
    <w:rsid w:val="00B10CF6"/>
    <w:rsid w:val="00B117BE"/>
    <w:rsid w:val="00B11966"/>
    <w:rsid w:val="00B127B5"/>
    <w:rsid w:val="00B12B1D"/>
    <w:rsid w:val="00B15693"/>
    <w:rsid w:val="00B171CE"/>
    <w:rsid w:val="00B214EA"/>
    <w:rsid w:val="00B226EF"/>
    <w:rsid w:val="00B23303"/>
    <w:rsid w:val="00B24B8C"/>
    <w:rsid w:val="00B2544A"/>
    <w:rsid w:val="00B25AA3"/>
    <w:rsid w:val="00B26AF1"/>
    <w:rsid w:val="00B30EE6"/>
    <w:rsid w:val="00B362EE"/>
    <w:rsid w:val="00B37D6B"/>
    <w:rsid w:val="00B42ED7"/>
    <w:rsid w:val="00B46C47"/>
    <w:rsid w:val="00B46CAD"/>
    <w:rsid w:val="00B47916"/>
    <w:rsid w:val="00B55A14"/>
    <w:rsid w:val="00B57862"/>
    <w:rsid w:val="00B64361"/>
    <w:rsid w:val="00B65598"/>
    <w:rsid w:val="00B70AD5"/>
    <w:rsid w:val="00B7155C"/>
    <w:rsid w:val="00B72222"/>
    <w:rsid w:val="00B74109"/>
    <w:rsid w:val="00B802C4"/>
    <w:rsid w:val="00B82003"/>
    <w:rsid w:val="00B829F0"/>
    <w:rsid w:val="00B831F2"/>
    <w:rsid w:val="00B873DD"/>
    <w:rsid w:val="00B91737"/>
    <w:rsid w:val="00B91A12"/>
    <w:rsid w:val="00B931DE"/>
    <w:rsid w:val="00B9709E"/>
    <w:rsid w:val="00BA337A"/>
    <w:rsid w:val="00BA37B8"/>
    <w:rsid w:val="00BA55D1"/>
    <w:rsid w:val="00BA5CFC"/>
    <w:rsid w:val="00BA72E6"/>
    <w:rsid w:val="00BB2448"/>
    <w:rsid w:val="00BB3516"/>
    <w:rsid w:val="00BB564D"/>
    <w:rsid w:val="00BB73F8"/>
    <w:rsid w:val="00BC4C76"/>
    <w:rsid w:val="00BC4DED"/>
    <w:rsid w:val="00BC550D"/>
    <w:rsid w:val="00BC55FB"/>
    <w:rsid w:val="00BC5E88"/>
    <w:rsid w:val="00BD3E14"/>
    <w:rsid w:val="00BD635F"/>
    <w:rsid w:val="00BD730F"/>
    <w:rsid w:val="00BE3DA9"/>
    <w:rsid w:val="00BE4478"/>
    <w:rsid w:val="00BE520A"/>
    <w:rsid w:val="00BF1829"/>
    <w:rsid w:val="00BF300F"/>
    <w:rsid w:val="00BF3491"/>
    <w:rsid w:val="00BF3561"/>
    <w:rsid w:val="00BF5854"/>
    <w:rsid w:val="00BF6679"/>
    <w:rsid w:val="00BF7C3A"/>
    <w:rsid w:val="00C02D37"/>
    <w:rsid w:val="00C03913"/>
    <w:rsid w:val="00C04705"/>
    <w:rsid w:val="00C11527"/>
    <w:rsid w:val="00C11562"/>
    <w:rsid w:val="00C12E57"/>
    <w:rsid w:val="00C13696"/>
    <w:rsid w:val="00C160FC"/>
    <w:rsid w:val="00C16D60"/>
    <w:rsid w:val="00C177E9"/>
    <w:rsid w:val="00C20404"/>
    <w:rsid w:val="00C23D5E"/>
    <w:rsid w:val="00C2404D"/>
    <w:rsid w:val="00C242D0"/>
    <w:rsid w:val="00C258C6"/>
    <w:rsid w:val="00C2787A"/>
    <w:rsid w:val="00C2797D"/>
    <w:rsid w:val="00C3365F"/>
    <w:rsid w:val="00C33A33"/>
    <w:rsid w:val="00C34EA9"/>
    <w:rsid w:val="00C35B62"/>
    <w:rsid w:val="00C3612F"/>
    <w:rsid w:val="00C362EC"/>
    <w:rsid w:val="00C37257"/>
    <w:rsid w:val="00C4001A"/>
    <w:rsid w:val="00C44FF4"/>
    <w:rsid w:val="00C45384"/>
    <w:rsid w:val="00C4656D"/>
    <w:rsid w:val="00C4669A"/>
    <w:rsid w:val="00C501A7"/>
    <w:rsid w:val="00C50203"/>
    <w:rsid w:val="00C53DB2"/>
    <w:rsid w:val="00C54533"/>
    <w:rsid w:val="00C559AA"/>
    <w:rsid w:val="00C60113"/>
    <w:rsid w:val="00C605B4"/>
    <w:rsid w:val="00C65345"/>
    <w:rsid w:val="00C70154"/>
    <w:rsid w:val="00C71B39"/>
    <w:rsid w:val="00C72380"/>
    <w:rsid w:val="00C741F8"/>
    <w:rsid w:val="00C7467F"/>
    <w:rsid w:val="00C7549B"/>
    <w:rsid w:val="00C75C1C"/>
    <w:rsid w:val="00C80EE1"/>
    <w:rsid w:val="00C81A05"/>
    <w:rsid w:val="00C84CB3"/>
    <w:rsid w:val="00C8532E"/>
    <w:rsid w:val="00C85BF0"/>
    <w:rsid w:val="00C91348"/>
    <w:rsid w:val="00C92624"/>
    <w:rsid w:val="00C932B9"/>
    <w:rsid w:val="00C95A55"/>
    <w:rsid w:val="00C95E93"/>
    <w:rsid w:val="00C96E78"/>
    <w:rsid w:val="00CA39E3"/>
    <w:rsid w:val="00CA45F8"/>
    <w:rsid w:val="00CA47D9"/>
    <w:rsid w:val="00CA5333"/>
    <w:rsid w:val="00CB204C"/>
    <w:rsid w:val="00CB503F"/>
    <w:rsid w:val="00CB53EF"/>
    <w:rsid w:val="00CB5C23"/>
    <w:rsid w:val="00CB6B67"/>
    <w:rsid w:val="00CB7CE6"/>
    <w:rsid w:val="00CC07A0"/>
    <w:rsid w:val="00CC0817"/>
    <w:rsid w:val="00CC267D"/>
    <w:rsid w:val="00CD0D65"/>
    <w:rsid w:val="00CD1F04"/>
    <w:rsid w:val="00CD2865"/>
    <w:rsid w:val="00CD45B1"/>
    <w:rsid w:val="00CD49D9"/>
    <w:rsid w:val="00CD4A3D"/>
    <w:rsid w:val="00CD5091"/>
    <w:rsid w:val="00CD50E6"/>
    <w:rsid w:val="00CD585E"/>
    <w:rsid w:val="00CD7703"/>
    <w:rsid w:val="00CE1AF4"/>
    <w:rsid w:val="00CE4621"/>
    <w:rsid w:val="00CE56DC"/>
    <w:rsid w:val="00CE7645"/>
    <w:rsid w:val="00CF0FC6"/>
    <w:rsid w:val="00CF23F8"/>
    <w:rsid w:val="00CF56BA"/>
    <w:rsid w:val="00D0134A"/>
    <w:rsid w:val="00D0140E"/>
    <w:rsid w:val="00D01BB1"/>
    <w:rsid w:val="00D04801"/>
    <w:rsid w:val="00D0528F"/>
    <w:rsid w:val="00D063DC"/>
    <w:rsid w:val="00D06E28"/>
    <w:rsid w:val="00D06FCA"/>
    <w:rsid w:val="00D10C5D"/>
    <w:rsid w:val="00D111AF"/>
    <w:rsid w:val="00D11E31"/>
    <w:rsid w:val="00D24342"/>
    <w:rsid w:val="00D24501"/>
    <w:rsid w:val="00D246E8"/>
    <w:rsid w:val="00D24B97"/>
    <w:rsid w:val="00D30A27"/>
    <w:rsid w:val="00D30B4A"/>
    <w:rsid w:val="00D31720"/>
    <w:rsid w:val="00D32DD3"/>
    <w:rsid w:val="00D332ED"/>
    <w:rsid w:val="00D33427"/>
    <w:rsid w:val="00D3462C"/>
    <w:rsid w:val="00D34B01"/>
    <w:rsid w:val="00D35E61"/>
    <w:rsid w:val="00D35F8F"/>
    <w:rsid w:val="00D37D96"/>
    <w:rsid w:val="00D410B1"/>
    <w:rsid w:val="00D41CF2"/>
    <w:rsid w:val="00D430DB"/>
    <w:rsid w:val="00D46B3A"/>
    <w:rsid w:val="00D47611"/>
    <w:rsid w:val="00D50E29"/>
    <w:rsid w:val="00D51FB6"/>
    <w:rsid w:val="00D544BF"/>
    <w:rsid w:val="00D56D7D"/>
    <w:rsid w:val="00D60295"/>
    <w:rsid w:val="00D673DD"/>
    <w:rsid w:val="00D676CB"/>
    <w:rsid w:val="00D71B13"/>
    <w:rsid w:val="00D7396D"/>
    <w:rsid w:val="00D743B8"/>
    <w:rsid w:val="00D7497A"/>
    <w:rsid w:val="00D77152"/>
    <w:rsid w:val="00D773C3"/>
    <w:rsid w:val="00D81E3A"/>
    <w:rsid w:val="00D85221"/>
    <w:rsid w:val="00D86285"/>
    <w:rsid w:val="00D86D01"/>
    <w:rsid w:val="00D87F0C"/>
    <w:rsid w:val="00D904EF"/>
    <w:rsid w:val="00D91088"/>
    <w:rsid w:val="00D915C3"/>
    <w:rsid w:val="00D916B2"/>
    <w:rsid w:val="00D91DA1"/>
    <w:rsid w:val="00D92693"/>
    <w:rsid w:val="00D92DBE"/>
    <w:rsid w:val="00D93595"/>
    <w:rsid w:val="00D9662F"/>
    <w:rsid w:val="00D974C6"/>
    <w:rsid w:val="00DA3984"/>
    <w:rsid w:val="00DA3BAB"/>
    <w:rsid w:val="00DA5CA2"/>
    <w:rsid w:val="00DA5D55"/>
    <w:rsid w:val="00DB0134"/>
    <w:rsid w:val="00DB0548"/>
    <w:rsid w:val="00DB2242"/>
    <w:rsid w:val="00DC0175"/>
    <w:rsid w:val="00DC0622"/>
    <w:rsid w:val="00DC16C1"/>
    <w:rsid w:val="00DC2C1D"/>
    <w:rsid w:val="00DC6665"/>
    <w:rsid w:val="00DC7DAC"/>
    <w:rsid w:val="00DD40F9"/>
    <w:rsid w:val="00DD73A2"/>
    <w:rsid w:val="00DE0295"/>
    <w:rsid w:val="00DE10CA"/>
    <w:rsid w:val="00DE1D62"/>
    <w:rsid w:val="00DE3C99"/>
    <w:rsid w:val="00DE47B0"/>
    <w:rsid w:val="00DE4979"/>
    <w:rsid w:val="00DE528C"/>
    <w:rsid w:val="00DE6286"/>
    <w:rsid w:val="00DE7103"/>
    <w:rsid w:val="00DF1258"/>
    <w:rsid w:val="00DF2375"/>
    <w:rsid w:val="00DF29B3"/>
    <w:rsid w:val="00DF3587"/>
    <w:rsid w:val="00DF3653"/>
    <w:rsid w:val="00E03733"/>
    <w:rsid w:val="00E04CFE"/>
    <w:rsid w:val="00E050FC"/>
    <w:rsid w:val="00E05284"/>
    <w:rsid w:val="00E053C4"/>
    <w:rsid w:val="00E057C7"/>
    <w:rsid w:val="00E05C4B"/>
    <w:rsid w:val="00E0653A"/>
    <w:rsid w:val="00E112B8"/>
    <w:rsid w:val="00E1254E"/>
    <w:rsid w:val="00E12950"/>
    <w:rsid w:val="00E12BBC"/>
    <w:rsid w:val="00E1463F"/>
    <w:rsid w:val="00E14B81"/>
    <w:rsid w:val="00E1675C"/>
    <w:rsid w:val="00E1771D"/>
    <w:rsid w:val="00E207C6"/>
    <w:rsid w:val="00E23201"/>
    <w:rsid w:val="00E254B1"/>
    <w:rsid w:val="00E27F60"/>
    <w:rsid w:val="00E32526"/>
    <w:rsid w:val="00E33AA7"/>
    <w:rsid w:val="00E33FEC"/>
    <w:rsid w:val="00E349B3"/>
    <w:rsid w:val="00E35914"/>
    <w:rsid w:val="00E4288C"/>
    <w:rsid w:val="00E43578"/>
    <w:rsid w:val="00E43608"/>
    <w:rsid w:val="00E53076"/>
    <w:rsid w:val="00E543D6"/>
    <w:rsid w:val="00E544C9"/>
    <w:rsid w:val="00E5461B"/>
    <w:rsid w:val="00E57CFA"/>
    <w:rsid w:val="00E57FC4"/>
    <w:rsid w:val="00E6035C"/>
    <w:rsid w:val="00E666B4"/>
    <w:rsid w:val="00E725FA"/>
    <w:rsid w:val="00E72B79"/>
    <w:rsid w:val="00E75CA0"/>
    <w:rsid w:val="00E764B6"/>
    <w:rsid w:val="00E76834"/>
    <w:rsid w:val="00E77C2B"/>
    <w:rsid w:val="00E806C1"/>
    <w:rsid w:val="00E81379"/>
    <w:rsid w:val="00E817C7"/>
    <w:rsid w:val="00E81B44"/>
    <w:rsid w:val="00E82A84"/>
    <w:rsid w:val="00E85A2F"/>
    <w:rsid w:val="00E860CA"/>
    <w:rsid w:val="00E8615C"/>
    <w:rsid w:val="00E86A3A"/>
    <w:rsid w:val="00E8724B"/>
    <w:rsid w:val="00E8790C"/>
    <w:rsid w:val="00E92B22"/>
    <w:rsid w:val="00E93007"/>
    <w:rsid w:val="00E9641E"/>
    <w:rsid w:val="00E96C0D"/>
    <w:rsid w:val="00E971A2"/>
    <w:rsid w:val="00EA4CDF"/>
    <w:rsid w:val="00EA5033"/>
    <w:rsid w:val="00EA6593"/>
    <w:rsid w:val="00EA7A65"/>
    <w:rsid w:val="00EB1186"/>
    <w:rsid w:val="00EB2DE5"/>
    <w:rsid w:val="00EB38EC"/>
    <w:rsid w:val="00EB5174"/>
    <w:rsid w:val="00EB6C7C"/>
    <w:rsid w:val="00EB6E28"/>
    <w:rsid w:val="00EC2BF1"/>
    <w:rsid w:val="00EC33C6"/>
    <w:rsid w:val="00EC4DB2"/>
    <w:rsid w:val="00EC687F"/>
    <w:rsid w:val="00ED0D6B"/>
    <w:rsid w:val="00ED0D77"/>
    <w:rsid w:val="00ED1F0B"/>
    <w:rsid w:val="00ED394E"/>
    <w:rsid w:val="00ED514E"/>
    <w:rsid w:val="00ED5B26"/>
    <w:rsid w:val="00ED6562"/>
    <w:rsid w:val="00EE0AFF"/>
    <w:rsid w:val="00EE19FA"/>
    <w:rsid w:val="00EE1C1A"/>
    <w:rsid w:val="00EE6FC4"/>
    <w:rsid w:val="00EF1F94"/>
    <w:rsid w:val="00EF2292"/>
    <w:rsid w:val="00EF3E0E"/>
    <w:rsid w:val="00EF591F"/>
    <w:rsid w:val="00EF6540"/>
    <w:rsid w:val="00F02E20"/>
    <w:rsid w:val="00F032EB"/>
    <w:rsid w:val="00F0436A"/>
    <w:rsid w:val="00F04434"/>
    <w:rsid w:val="00F122A3"/>
    <w:rsid w:val="00F15645"/>
    <w:rsid w:val="00F15BC0"/>
    <w:rsid w:val="00F176A0"/>
    <w:rsid w:val="00F17926"/>
    <w:rsid w:val="00F20171"/>
    <w:rsid w:val="00F22B93"/>
    <w:rsid w:val="00F23634"/>
    <w:rsid w:val="00F2429B"/>
    <w:rsid w:val="00F26008"/>
    <w:rsid w:val="00F271C0"/>
    <w:rsid w:val="00F27425"/>
    <w:rsid w:val="00F27838"/>
    <w:rsid w:val="00F30105"/>
    <w:rsid w:val="00F312A1"/>
    <w:rsid w:val="00F35031"/>
    <w:rsid w:val="00F3516F"/>
    <w:rsid w:val="00F35EB7"/>
    <w:rsid w:val="00F3607C"/>
    <w:rsid w:val="00F45F06"/>
    <w:rsid w:val="00F467CC"/>
    <w:rsid w:val="00F50D8F"/>
    <w:rsid w:val="00F5118F"/>
    <w:rsid w:val="00F5136E"/>
    <w:rsid w:val="00F518E4"/>
    <w:rsid w:val="00F523C7"/>
    <w:rsid w:val="00F52F9B"/>
    <w:rsid w:val="00F54A6A"/>
    <w:rsid w:val="00F54C9B"/>
    <w:rsid w:val="00F552E6"/>
    <w:rsid w:val="00F5595C"/>
    <w:rsid w:val="00F5640E"/>
    <w:rsid w:val="00F56C3B"/>
    <w:rsid w:val="00F57035"/>
    <w:rsid w:val="00F571B9"/>
    <w:rsid w:val="00F61F9C"/>
    <w:rsid w:val="00F62E90"/>
    <w:rsid w:val="00F63399"/>
    <w:rsid w:val="00F634D0"/>
    <w:rsid w:val="00F65971"/>
    <w:rsid w:val="00F67958"/>
    <w:rsid w:val="00F67DAE"/>
    <w:rsid w:val="00F70D58"/>
    <w:rsid w:val="00F71C01"/>
    <w:rsid w:val="00F7439B"/>
    <w:rsid w:val="00F754A6"/>
    <w:rsid w:val="00F77EE6"/>
    <w:rsid w:val="00F83CAE"/>
    <w:rsid w:val="00F847B6"/>
    <w:rsid w:val="00F84D60"/>
    <w:rsid w:val="00F85C74"/>
    <w:rsid w:val="00F86B1C"/>
    <w:rsid w:val="00F86D78"/>
    <w:rsid w:val="00F87DD3"/>
    <w:rsid w:val="00F9017F"/>
    <w:rsid w:val="00F94492"/>
    <w:rsid w:val="00F96E4C"/>
    <w:rsid w:val="00FA0C7F"/>
    <w:rsid w:val="00FA1814"/>
    <w:rsid w:val="00FA28D7"/>
    <w:rsid w:val="00FA381D"/>
    <w:rsid w:val="00FA689E"/>
    <w:rsid w:val="00FA6D52"/>
    <w:rsid w:val="00FA71FA"/>
    <w:rsid w:val="00FB1B05"/>
    <w:rsid w:val="00FB218C"/>
    <w:rsid w:val="00FB28FF"/>
    <w:rsid w:val="00FB411C"/>
    <w:rsid w:val="00FB52B5"/>
    <w:rsid w:val="00FB57BB"/>
    <w:rsid w:val="00FB5E93"/>
    <w:rsid w:val="00FB68CF"/>
    <w:rsid w:val="00FB7516"/>
    <w:rsid w:val="00FC05E1"/>
    <w:rsid w:val="00FC28F3"/>
    <w:rsid w:val="00FC3671"/>
    <w:rsid w:val="00FC3F69"/>
    <w:rsid w:val="00FC4108"/>
    <w:rsid w:val="00FC4B02"/>
    <w:rsid w:val="00FC5197"/>
    <w:rsid w:val="00FC6BF4"/>
    <w:rsid w:val="00FD0B1C"/>
    <w:rsid w:val="00FD18F3"/>
    <w:rsid w:val="00FD1BA8"/>
    <w:rsid w:val="00FD2952"/>
    <w:rsid w:val="00FE0EC6"/>
    <w:rsid w:val="00FE23CB"/>
    <w:rsid w:val="00FE2D43"/>
    <w:rsid w:val="00FE5E19"/>
    <w:rsid w:val="00FE68CE"/>
    <w:rsid w:val="00FE6A71"/>
    <w:rsid w:val="00FF1FE5"/>
    <w:rsid w:val="00FF5766"/>
    <w:rsid w:val="00FF60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o:shapelayout v:ext="edit">
      <o:idmap v:ext="edit" data="1"/>
    </o:shapelayout>
  </w:shapeDefaults>
  <w:decimalSymbol w:val="."/>
  <w:listSeparator w:val=","/>
  <w14:docId w14:val="60BFC9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6CAD"/>
    <w:pPr>
      <w:spacing w:after="100" w:line="400" w:lineRule="exact"/>
      <w:jc w:val="both"/>
    </w:pPr>
    <w:rPr>
      <w:rFonts w:ascii="Century Schoolbook" w:hAnsi="Century Schoolbook"/>
      <w:sz w:val="27"/>
    </w:rPr>
  </w:style>
  <w:style w:type="paragraph" w:styleId="Heading1">
    <w:name w:val="heading 1"/>
    <w:basedOn w:val="Normal"/>
    <w:next w:val="Normal"/>
    <w:qFormat/>
    <w:rsid w:val="00B46CAD"/>
    <w:pPr>
      <w:keepNext/>
      <w:spacing w:before="140" w:line="240" w:lineRule="atLeast"/>
      <w:jc w:val="center"/>
      <w:outlineLvl w:val="0"/>
    </w:pPr>
    <w:rPr>
      <w:b/>
      <w:smallCaps/>
    </w:rPr>
  </w:style>
  <w:style w:type="paragraph" w:styleId="Heading2">
    <w:name w:val="heading 2"/>
    <w:basedOn w:val="Normal"/>
    <w:next w:val="Normal"/>
    <w:qFormat/>
    <w:rsid w:val="00B46CAD"/>
    <w:pPr>
      <w:keepNext/>
      <w:tabs>
        <w:tab w:val="left" w:pos="1152"/>
      </w:tabs>
      <w:spacing w:before="140" w:line="240" w:lineRule="atLeast"/>
      <w:ind w:left="1152" w:hanging="432"/>
      <w:jc w:val="left"/>
      <w:outlineLvl w:val="1"/>
    </w:pPr>
    <w:rPr>
      <w:b/>
    </w:rPr>
  </w:style>
  <w:style w:type="paragraph" w:styleId="Heading3">
    <w:name w:val="heading 3"/>
    <w:basedOn w:val="Normal"/>
    <w:next w:val="NormalIndent"/>
    <w:qFormat/>
    <w:rsid w:val="00B46CAD"/>
    <w:pPr>
      <w:keepNext/>
      <w:tabs>
        <w:tab w:val="left" w:pos="1584"/>
      </w:tabs>
      <w:spacing w:before="140" w:line="240" w:lineRule="atLeast"/>
      <w:ind w:left="1584" w:hanging="432"/>
      <w:jc w:val="left"/>
      <w:outlineLvl w:val="2"/>
    </w:pPr>
    <w:rPr>
      <w:i/>
    </w:rPr>
  </w:style>
  <w:style w:type="paragraph" w:styleId="Heading4">
    <w:name w:val="heading 4"/>
    <w:basedOn w:val="Normal"/>
    <w:rsid w:val="00B46CAD"/>
    <w:pPr>
      <w:keepNext/>
      <w:tabs>
        <w:tab w:val="left" w:pos="2016"/>
      </w:tabs>
      <w:spacing w:before="140" w:line="240" w:lineRule="atLeast"/>
      <w:ind w:left="2016" w:hanging="432"/>
      <w:jc w:val="left"/>
      <w:outlineLvl w:val="3"/>
    </w:pPr>
    <w:rPr>
      <w:i/>
    </w:rPr>
  </w:style>
  <w:style w:type="paragraph" w:styleId="Heading5">
    <w:name w:val="heading 5"/>
    <w:basedOn w:val="Normal"/>
    <w:rsid w:val="00B46CAD"/>
    <w:pPr>
      <w:keepNext/>
      <w:tabs>
        <w:tab w:val="left" w:pos="2448"/>
      </w:tabs>
      <w:spacing w:before="140" w:line="240" w:lineRule="atLeast"/>
      <w:ind w:left="2448" w:hanging="432"/>
      <w:jc w:val="left"/>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Indent">
    <w:name w:val="Normal Indent"/>
    <w:basedOn w:val="Normal"/>
    <w:semiHidden/>
    <w:rsid w:val="00B46CAD"/>
    <w:pPr>
      <w:ind w:left="720"/>
    </w:pPr>
  </w:style>
  <w:style w:type="paragraph" w:styleId="Footer">
    <w:name w:val="footer"/>
    <w:basedOn w:val="Normal"/>
    <w:qFormat/>
    <w:rsid w:val="00B46CAD"/>
    <w:pPr>
      <w:tabs>
        <w:tab w:val="center" w:pos="3960"/>
        <w:tab w:val="right" w:pos="10080"/>
      </w:tabs>
      <w:spacing w:after="0" w:line="240" w:lineRule="auto"/>
      <w:jc w:val="center"/>
    </w:pPr>
    <w:rPr>
      <w:sz w:val="22"/>
    </w:rPr>
  </w:style>
  <w:style w:type="paragraph" w:styleId="Header">
    <w:name w:val="header"/>
    <w:basedOn w:val="Normal"/>
    <w:qFormat/>
    <w:rsid w:val="00B46CAD"/>
    <w:pPr>
      <w:tabs>
        <w:tab w:val="center" w:pos="3960"/>
        <w:tab w:val="right" w:pos="10080"/>
      </w:tabs>
      <w:spacing w:after="80" w:line="240" w:lineRule="auto"/>
      <w:jc w:val="center"/>
    </w:pPr>
    <w:rPr>
      <w:sz w:val="22"/>
    </w:rPr>
  </w:style>
  <w:style w:type="character" w:styleId="FootnoteReference">
    <w:name w:val="footnote reference"/>
    <w:basedOn w:val="DefaultParagraphFont"/>
    <w:rsid w:val="00B46CAD"/>
    <w:rPr>
      <w:rFonts w:ascii="Century Schoolbook" w:hAnsi="Century Schoolbook"/>
      <w:b/>
      <w:i w:val="0"/>
      <w:position w:val="4"/>
      <w:sz w:val="27"/>
      <w:vertAlign w:val="superscript"/>
    </w:rPr>
  </w:style>
  <w:style w:type="paragraph" w:styleId="FootnoteText">
    <w:name w:val="footnote text"/>
    <w:basedOn w:val="Normal"/>
    <w:rsid w:val="00B46CAD"/>
    <w:pPr>
      <w:spacing w:line="300" w:lineRule="exact"/>
    </w:pPr>
  </w:style>
  <w:style w:type="paragraph" w:customStyle="1" w:styleId="Title1">
    <w:name w:val="Title1"/>
    <w:basedOn w:val="Normal"/>
    <w:rsid w:val="00B46CAD"/>
    <w:pPr>
      <w:tabs>
        <w:tab w:val="left" w:pos="5760"/>
        <w:tab w:val="left" w:pos="6480"/>
      </w:tabs>
      <w:spacing w:line="240" w:lineRule="atLeast"/>
    </w:pPr>
  </w:style>
  <w:style w:type="paragraph" w:customStyle="1" w:styleId="Recommend">
    <w:name w:val="Recommend"/>
    <w:basedOn w:val="Normal"/>
    <w:rsid w:val="00B46CAD"/>
  </w:style>
  <w:style w:type="paragraph" w:customStyle="1" w:styleId="Summary">
    <w:name w:val="Summary"/>
    <w:basedOn w:val="Normal"/>
    <w:rsid w:val="00B46CAD"/>
    <w:pPr>
      <w:ind w:left="2160" w:hanging="2160"/>
    </w:pPr>
  </w:style>
  <w:style w:type="paragraph" w:customStyle="1" w:styleId="Text">
    <w:name w:val="Text"/>
    <w:basedOn w:val="Normal"/>
    <w:rsid w:val="00B46CAD"/>
    <w:pPr>
      <w:tabs>
        <w:tab w:val="left" w:pos="720"/>
        <w:tab w:val="left" w:pos="1440"/>
        <w:tab w:val="left" w:pos="2160"/>
        <w:tab w:val="center" w:pos="4320"/>
      </w:tabs>
      <w:spacing w:line="480" w:lineRule="atLeast"/>
      <w:ind w:firstLine="540"/>
    </w:pPr>
  </w:style>
  <w:style w:type="paragraph" w:styleId="Date">
    <w:name w:val="Date"/>
    <w:basedOn w:val="Normal"/>
    <w:semiHidden/>
    <w:rsid w:val="00B46CAD"/>
    <w:pPr>
      <w:jc w:val="right"/>
    </w:pPr>
  </w:style>
  <w:style w:type="character" w:styleId="PageNumber">
    <w:name w:val="page number"/>
    <w:basedOn w:val="DefaultParagraphFont"/>
    <w:semiHidden/>
    <w:rsid w:val="00B46CAD"/>
  </w:style>
  <w:style w:type="paragraph" w:customStyle="1" w:styleId="subject">
    <w:name w:val="subject"/>
    <w:basedOn w:val="Normal"/>
    <w:rsid w:val="00B46CAD"/>
    <w:pPr>
      <w:tabs>
        <w:tab w:val="left" w:pos="1008"/>
      </w:tabs>
      <w:ind w:left="990" w:hanging="990"/>
    </w:pPr>
    <w:rPr>
      <w:b/>
    </w:rPr>
  </w:style>
  <w:style w:type="paragraph" w:customStyle="1" w:styleId="Titles">
    <w:name w:val="Titles"/>
    <w:basedOn w:val="Normal"/>
    <w:rsid w:val="00B46CAD"/>
    <w:pPr>
      <w:tabs>
        <w:tab w:val="left" w:pos="2160"/>
      </w:tabs>
      <w:ind w:left="2160" w:hanging="2160"/>
    </w:pPr>
    <w:rPr>
      <w:b/>
    </w:rPr>
  </w:style>
  <w:style w:type="paragraph" w:styleId="TOAHeading">
    <w:name w:val="toa heading"/>
    <w:basedOn w:val="Normal"/>
    <w:next w:val="Normal"/>
    <w:semiHidden/>
    <w:rsid w:val="00B46CAD"/>
    <w:pPr>
      <w:spacing w:before="120"/>
    </w:pPr>
    <w:rPr>
      <w:b/>
    </w:rPr>
  </w:style>
  <w:style w:type="paragraph" w:styleId="TOC1">
    <w:name w:val="toc 1"/>
    <w:basedOn w:val="Normal"/>
    <w:next w:val="Normal"/>
    <w:autoRedefine/>
    <w:semiHidden/>
    <w:rsid w:val="00B46CAD"/>
  </w:style>
  <w:style w:type="paragraph" w:styleId="TOC2">
    <w:name w:val="toc 2"/>
    <w:basedOn w:val="Normal"/>
    <w:next w:val="Normal"/>
    <w:autoRedefine/>
    <w:semiHidden/>
    <w:rsid w:val="00B46CAD"/>
    <w:pPr>
      <w:ind w:left="259"/>
    </w:pPr>
  </w:style>
  <w:style w:type="paragraph" w:styleId="TOC3">
    <w:name w:val="toc 3"/>
    <w:basedOn w:val="Normal"/>
    <w:next w:val="Normal"/>
    <w:autoRedefine/>
    <w:semiHidden/>
    <w:rsid w:val="00B46CAD"/>
    <w:pPr>
      <w:ind w:left="520"/>
    </w:pPr>
  </w:style>
  <w:style w:type="paragraph" w:styleId="TOC4">
    <w:name w:val="toc 4"/>
    <w:basedOn w:val="Normal"/>
    <w:next w:val="Normal"/>
    <w:autoRedefine/>
    <w:semiHidden/>
    <w:rsid w:val="00B46CAD"/>
    <w:pPr>
      <w:ind w:left="780"/>
    </w:pPr>
  </w:style>
  <w:style w:type="paragraph" w:styleId="TOC5">
    <w:name w:val="toc 5"/>
    <w:basedOn w:val="Normal"/>
    <w:next w:val="Normal"/>
    <w:autoRedefine/>
    <w:semiHidden/>
    <w:rsid w:val="00B46CAD"/>
    <w:pPr>
      <w:ind w:left="1040"/>
    </w:pPr>
  </w:style>
  <w:style w:type="paragraph" w:styleId="TOC6">
    <w:name w:val="toc 6"/>
    <w:basedOn w:val="Normal"/>
    <w:next w:val="Normal"/>
    <w:autoRedefine/>
    <w:semiHidden/>
    <w:rsid w:val="00B46CAD"/>
    <w:pPr>
      <w:ind w:left="1300"/>
    </w:pPr>
  </w:style>
  <w:style w:type="paragraph" w:styleId="TOC7">
    <w:name w:val="toc 7"/>
    <w:basedOn w:val="Normal"/>
    <w:next w:val="Normal"/>
    <w:autoRedefine/>
    <w:semiHidden/>
    <w:rsid w:val="00B46CAD"/>
    <w:pPr>
      <w:ind w:left="1560"/>
    </w:pPr>
  </w:style>
  <w:style w:type="paragraph" w:styleId="TOC8">
    <w:name w:val="toc 8"/>
    <w:basedOn w:val="Normal"/>
    <w:next w:val="Normal"/>
    <w:autoRedefine/>
    <w:semiHidden/>
    <w:rsid w:val="00B46CAD"/>
    <w:pPr>
      <w:ind w:left="1820"/>
    </w:pPr>
  </w:style>
  <w:style w:type="paragraph" w:styleId="TOC9">
    <w:name w:val="toc 9"/>
    <w:basedOn w:val="Normal"/>
    <w:next w:val="Normal"/>
    <w:autoRedefine/>
    <w:semiHidden/>
    <w:rsid w:val="00B46CAD"/>
    <w:pPr>
      <w:ind w:left="2080"/>
    </w:pPr>
  </w:style>
  <w:style w:type="paragraph" w:customStyle="1" w:styleId="Contents">
    <w:name w:val="Contents"/>
    <w:basedOn w:val="Normal"/>
    <w:rsid w:val="00B46CAD"/>
    <w:pPr>
      <w:jc w:val="center"/>
    </w:pPr>
    <w:rPr>
      <w:b/>
      <w:spacing w:val="100"/>
    </w:rPr>
  </w:style>
  <w:style w:type="character" w:styleId="CommentReference">
    <w:name w:val="annotation reference"/>
    <w:basedOn w:val="DefaultParagraphFont"/>
    <w:uiPriority w:val="99"/>
    <w:semiHidden/>
    <w:unhideWhenUsed/>
    <w:rsid w:val="001473AB"/>
    <w:rPr>
      <w:sz w:val="16"/>
      <w:szCs w:val="16"/>
    </w:rPr>
  </w:style>
  <w:style w:type="paragraph" w:styleId="CommentText">
    <w:name w:val="annotation text"/>
    <w:basedOn w:val="Normal"/>
    <w:link w:val="CommentTextChar"/>
    <w:uiPriority w:val="99"/>
    <w:unhideWhenUsed/>
    <w:rsid w:val="001473AB"/>
    <w:rPr>
      <w:rFonts w:eastAsiaTheme="minorHAnsi" w:cstheme="minorBidi"/>
      <w:sz w:val="20"/>
    </w:rPr>
  </w:style>
  <w:style w:type="character" w:customStyle="1" w:styleId="CommentTextChar">
    <w:name w:val="Comment Text Char"/>
    <w:basedOn w:val="DefaultParagraphFont"/>
    <w:link w:val="CommentText"/>
    <w:uiPriority w:val="99"/>
    <w:rsid w:val="001473AB"/>
    <w:rPr>
      <w:rFonts w:eastAsiaTheme="minorHAnsi" w:cstheme="minorBidi"/>
    </w:rPr>
  </w:style>
  <w:style w:type="paragraph" w:styleId="BalloonText">
    <w:name w:val="Balloon Text"/>
    <w:basedOn w:val="Normal"/>
    <w:link w:val="BalloonTextChar"/>
    <w:uiPriority w:val="99"/>
    <w:semiHidden/>
    <w:unhideWhenUsed/>
    <w:rsid w:val="001473AB"/>
    <w:rPr>
      <w:sz w:val="18"/>
      <w:szCs w:val="18"/>
    </w:rPr>
  </w:style>
  <w:style w:type="character" w:customStyle="1" w:styleId="BalloonTextChar">
    <w:name w:val="Balloon Text Char"/>
    <w:basedOn w:val="DefaultParagraphFont"/>
    <w:link w:val="BalloonText"/>
    <w:uiPriority w:val="99"/>
    <w:semiHidden/>
    <w:rsid w:val="001473AB"/>
    <w:rPr>
      <w:sz w:val="18"/>
      <w:szCs w:val="18"/>
    </w:rPr>
  </w:style>
  <w:style w:type="character" w:styleId="Hyperlink">
    <w:name w:val="Hyperlink"/>
    <w:basedOn w:val="DefaultParagraphFont"/>
    <w:uiPriority w:val="99"/>
    <w:unhideWhenUsed/>
    <w:rsid w:val="00AD0A36"/>
    <w:rPr>
      <w:color w:val="0000FF" w:themeColor="hyperlink"/>
      <w:u w:val="single"/>
    </w:rPr>
  </w:style>
  <w:style w:type="character" w:styleId="UnresolvedMention">
    <w:name w:val="Unresolved Mention"/>
    <w:basedOn w:val="DefaultParagraphFont"/>
    <w:uiPriority w:val="99"/>
    <w:semiHidden/>
    <w:unhideWhenUsed/>
    <w:rsid w:val="00AD0A36"/>
    <w:rPr>
      <w:color w:val="605E5C"/>
      <w:shd w:val="clear" w:color="auto" w:fill="E1DFDD"/>
    </w:rPr>
  </w:style>
  <w:style w:type="paragraph" w:styleId="CommentSubject">
    <w:name w:val="annotation subject"/>
    <w:basedOn w:val="CommentText"/>
    <w:next w:val="CommentText"/>
    <w:link w:val="CommentSubjectChar"/>
    <w:uiPriority w:val="99"/>
    <w:semiHidden/>
    <w:unhideWhenUsed/>
    <w:rsid w:val="00C23D5E"/>
    <w:rPr>
      <w:rFonts w:eastAsia="Times New Roman" w:cs="Times New Roman"/>
      <w:b/>
      <w:bCs/>
    </w:rPr>
  </w:style>
  <w:style w:type="character" w:customStyle="1" w:styleId="CommentSubjectChar">
    <w:name w:val="Comment Subject Char"/>
    <w:basedOn w:val="CommentTextChar"/>
    <w:link w:val="CommentSubject"/>
    <w:uiPriority w:val="99"/>
    <w:semiHidden/>
    <w:rsid w:val="00C23D5E"/>
    <w:rPr>
      <w:rFonts w:eastAsiaTheme="minorHAnsi" w:cstheme="minorBidi"/>
      <w:b/>
      <w:bCs/>
    </w:rPr>
  </w:style>
  <w:style w:type="paragraph" w:styleId="Revision">
    <w:name w:val="Revision"/>
    <w:hidden/>
    <w:uiPriority w:val="99"/>
    <w:semiHidden/>
    <w:rsid w:val="00D41CF2"/>
    <w:rPr>
      <w:sz w:val="26"/>
    </w:rPr>
  </w:style>
  <w:style w:type="character" w:styleId="FollowedHyperlink">
    <w:name w:val="FollowedHyperlink"/>
    <w:basedOn w:val="DefaultParagraphFont"/>
    <w:uiPriority w:val="99"/>
    <w:semiHidden/>
    <w:unhideWhenUsed/>
    <w:rsid w:val="00B127B5"/>
    <w:rPr>
      <w:color w:val="800080" w:themeColor="followedHyperlink"/>
      <w:u w:val="single"/>
    </w:rPr>
  </w:style>
  <w:style w:type="paragraph" w:styleId="BodyText">
    <w:name w:val="Body Text"/>
    <w:basedOn w:val="Normal"/>
    <w:link w:val="BodyTextChar"/>
    <w:qFormat/>
    <w:rsid w:val="00B46CAD"/>
  </w:style>
  <w:style w:type="character" w:customStyle="1" w:styleId="BodyTextChar">
    <w:name w:val="Body Text Char"/>
    <w:basedOn w:val="DefaultParagraphFont"/>
    <w:link w:val="BodyText"/>
    <w:rsid w:val="00B46CAD"/>
    <w:rPr>
      <w:rFonts w:ascii="Century Schoolbook" w:hAnsi="Century Schoolbook"/>
      <w:sz w:val="27"/>
    </w:rPr>
  </w:style>
  <w:style w:type="paragraph" w:styleId="NormalWeb">
    <w:name w:val="Normal (Web)"/>
    <w:basedOn w:val="Normal"/>
    <w:uiPriority w:val="99"/>
    <w:unhideWhenUsed/>
    <w:rsid w:val="004A1317"/>
    <w:pPr>
      <w:spacing w:before="100" w:beforeAutospacing="1" w:afterAutospacing="1" w:line="240" w:lineRule="auto"/>
      <w:jc w:val="left"/>
    </w:pPr>
    <w:rPr>
      <w:rFonts w:ascii="Times New Roman" w:hAnsi="Times New Roman"/>
      <w:sz w:val="24"/>
      <w:szCs w:val="24"/>
    </w:rPr>
  </w:style>
  <w:style w:type="character" w:customStyle="1" w:styleId="apple-converted-space">
    <w:name w:val="apple-converted-space"/>
    <w:basedOn w:val="DefaultParagraphFont"/>
    <w:rsid w:val="004A1317"/>
  </w:style>
  <w:style w:type="character" w:styleId="Strong">
    <w:name w:val="Strong"/>
    <w:basedOn w:val="DefaultParagraphFont"/>
    <w:uiPriority w:val="22"/>
    <w:qFormat/>
    <w:rsid w:val="003A638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9547969">
      <w:bodyDiv w:val="1"/>
      <w:marLeft w:val="0"/>
      <w:marRight w:val="0"/>
      <w:marTop w:val="0"/>
      <w:marBottom w:val="0"/>
      <w:divBdr>
        <w:top w:val="none" w:sz="0" w:space="0" w:color="auto"/>
        <w:left w:val="none" w:sz="0" w:space="0" w:color="auto"/>
        <w:bottom w:val="none" w:sz="0" w:space="0" w:color="auto"/>
        <w:right w:val="none" w:sz="0" w:space="0" w:color="auto"/>
      </w:divBdr>
    </w:div>
    <w:div w:id="759445132">
      <w:bodyDiv w:val="1"/>
      <w:marLeft w:val="0"/>
      <w:marRight w:val="0"/>
      <w:marTop w:val="0"/>
      <w:marBottom w:val="0"/>
      <w:divBdr>
        <w:top w:val="none" w:sz="0" w:space="0" w:color="auto"/>
        <w:left w:val="none" w:sz="0" w:space="0" w:color="auto"/>
        <w:bottom w:val="none" w:sz="0" w:space="0" w:color="auto"/>
        <w:right w:val="none" w:sz="0" w:space="0" w:color="auto"/>
      </w:divBdr>
    </w:div>
    <w:div w:id="823469345">
      <w:bodyDiv w:val="1"/>
      <w:marLeft w:val="0"/>
      <w:marRight w:val="0"/>
      <w:marTop w:val="0"/>
      <w:marBottom w:val="0"/>
      <w:divBdr>
        <w:top w:val="none" w:sz="0" w:space="0" w:color="auto"/>
        <w:left w:val="none" w:sz="0" w:space="0" w:color="auto"/>
        <w:bottom w:val="none" w:sz="0" w:space="0" w:color="auto"/>
        <w:right w:val="none" w:sz="0" w:space="0" w:color="auto"/>
      </w:divBdr>
    </w:div>
    <w:div w:id="831795094">
      <w:bodyDiv w:val="1"/>
      <w:marLeft w:val="0"/>
      <w:marRight w:val="0"/>
      <w:marTop w:val="0"/>
      <w:marBottom w:val="0"/>
      <w:divBdr>
        <w:top w:val="none" w:sz="0" w:space="0" w:color="auto"/>
        <w:left w:val="none" w:sz="0" w:space="0" w:color="auto"/>
        <w:bottom w:val="none" w:sz="0" w:space="0" w:color="auto"/>
        <w:right w:val="none" w:sz="0" w:space="0" w:color="auto"/>
      </w:divBdr>
      <w:divsChild>
        <w:div w:id="356582866">
          <w:marLeft w:val="0"/>
          <w:marRight w:val="0"/>
          <w:marTop w:val="0"/>
          <w:marBottom w:val="0"/>
          <w:divBdr>
            <w:top w:val="none" w:sz="0" w:space="0" w:color="auto"/>
            <w:left w:val="none" w:sz="0" w:space="0" w:color="auto"/>
            <w:bottom w:val="none" w:sz="0" w:space="0" w:color="auto"/>
            <w:right w:val="none" w:sz="0" w:space="0" w:color="auto"/>
          </w:divBdr>
          <w:divsChild>
            <w:div w:id="219176337">
              <w:marLeft w:val="0"/>
              <w:marRight w:val="0"/>
              <w:marTop w:val="0"/>
              <w:marBottom w:val="0"/>
              <w:divBdr>
                <w:top w:val="none" w:sz="0" w:space="0" w:color="auto"/>
                <w:left w:val="none" w:sz="0" w:space="0" w:color="auto"/>
                <w:bottom w:val="none" w:sz="0" w:space="0" w:color="auto"/>
                <w:right w:val="none" w:sz="0" w:space="0" w:color="auto"/>
              </w:divBdr>
            </w:div>
          </w:divsChild>
        </w:div>
        <w:div w:id="609748920">
          <w:marLeft w:val="0"/>
          <w:marRight w:val="0"/>
          <w:marTop w:val="0"/>
          <w:marBottom w:val="0"/>
          <w:divBdr>
            <w:top w:val="none" w:sz="0" w:space="0" w:color="auto"/>
            <w:left w:val="none" w:sz="0" w:space="0" w:color="auto"/>
            <w:bottom w:val="none" w:sz="0" w:space="0" w:color="auto"/>
            <w:right w:val="none" w:sz="0" w:space="0" w:color="auto"/>
          </w:divBdr>
          <w:divsChild>
            <w:div w:id="1253588804">
              <w:marLeft w:val="0"/>
              <w:marRight w:val="0"/>
              <w:marTop w:val="0"/>
              <w:marBottom w:val="0"/>
              <w:divBdr>
                <w:top w:val="none" w:sz="0" w:space="0" w:color="auto"/>
                <w:left w:val="none" w:sz="0" w:space="0" w:color="auto"/>
                <w:bottom w:val="none" w:sz="0" w:space="0" w:color="auto"/>
                <w:right w:val="none" w:sz="0" w:space="0" w:color="auto"/>
              </w:divBdr>
              <w:divsChild>
                <w:div w:id="142889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3155558">
      <w:bodyDiv w:val="1"/>
      <w:marLeft w:val="0"/>
      <w:marRight w:val="0"/>
      <w:marTop w:val="0"/>
      <w:marBottom w:val="0"/>
      <w:divBdr>
        <w:top w:val="none" w:sz="0" w:space="0" w:color="auto"/>
        <w:left w:val="none" w:sz="0" w:space="0" w:color="auto"/>
        <w:bottom w:val="none" w:sz="0" w:space="0" w:color="auto"/>
        <w:right w:val="none" w:sz="0" w:space="0" w:color="auto"/>
      </w:divBdr>
    </w:div>
    <w:div w:id="1237324311">
      <w:bodyDiv w:val="1"/>
      <w:marLeft w:val="0"/>
      <w:marRight w:val="0"/>
      <w:marTop w:val="0"/>
      <w:marBottom w:val="0"/>
      <w:divBdr>
        <w:top w:val="none" w:sz="0" w:space="0" w:color="auto"/>
        <w:left w:val="none" w:sz="0" w:space="0" w:color="auto"/>
        <w:bottom w:val="none" w:sz="0" w:space="0" w:color="auto"/>
        <w:right w:val="none" w:sz="0" w:space="0" w:color="auto"/>
      </w:divBdr>
    </w:div>
    <w:div w:id="1371300296">
      <w:bodyDiv w:val="1"/>
      <w:marLeft w:val="0"/>
      <w:marRight w:val="0"/>
      <w:marTop w:val="0"/>
      <w:marBottom w:val="0"/>
      <w:divBdr>
        <w:top w:val="none" w:sz="0" w:space="0" w:color="auto"/>
        <w:left w:val="none" w:sz="0" w:space="0" w:color="auto"/>
        <w:bottom w:val="none" w:sz="0" w:space="0" w:color="auto"/>
        <w:right w:val="none" w:sz="0" w:space="0" w:color="auto"/>
      </w:divBdr>
      <w:divsChild>
        <w:div w:id="53941967">
          <w:marLeft w:val="0"/>
          <w:marRight w:val="0"/>
          <w:marTop w:val="0"/>
          <w:marBottom w:val="0"/>
          <w:divBdr>
            <w:top w:val="none" w:sz="0" w:space="0" w:color="auto"/>
            <w:left w:val="none" w:sz="0" w:space="0" w:color="auto"/>
            <w:bottom w:val="none" w:sz="0" w:space="0" w:color="auto"/>
            <w:right w:val="none" w:sz="0" w:space="0" w:color="auto"/>
          </w:divBdr>
          <w:divsChild>
            <w:div w:id="528762788">
              <w:marLeft w:val="0"/>
              <w:marRight w:val="0"/>
              <w:marTop w:val="0"/>
              <w:marBottom w:val="0"/>
              <w:divBdr>
                <w:top w:val="none" w:sz="0" w:space="0" w:color="auto"/>
                <w:left w:val="none" w:sz="0" w:space="0" w:color="auto"/>
                <w:bottom w:val="none" w:sz="0" w:space="0" w:color="auto"/>
                <w:right w:val="none" w:sz="0" w:space="0" w:color="auto"/>
              </w:divBdr>
            </w:div>
          </w:divsChild>
        </w:div>
        <w:div w:id="831220746">
          <w:marLeft w:val="0"/>
          <w:marRight w:val="0"/>
          <w:marTop w:val="0"/>
          <w:marBottom w:val="0"/>
          <w:divBdr>
            <w:top w:val="none" w:sz="0" w:space="0" w:color="auto"/>
            <w:left w:val="none" w:sz="0" w:space="0" w:color="auto"/>
            <w:bottom w:val="none" w:sz="0" w:space="0" w:color="auto"/>
            <w:right w:val="none" w:sz="0" w:space="0" w:color="auto"/>
          </w:divBdr>
          <w:divsChild>
            <w:div w:id="735401424">
              <w:marLeft w:val="0"/>
              <w:marRight w:val="0"/>
              <w:marTop w:val="0"/>
              <w:marBottom w:val="0"/>
              <w:divBdr>
                <w:top w:val="none" w:sz="0" w:space="0" w:color="auto"/>
                <w:left w:val="none" w:sz="0" w:space="0" w:color="auto"/>
                <w:bottom w:val="none" w:sz="0" w:space="0" w:color="auto"/>
                <w:right w:val="none" w:sz="0" w:space="0" w:color="auto"/>
              </w:divBdr>
              <w:divsChild>
                <w:div w:id="363209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9976781">
      <w:bodyDiv w:val="1"/>
      <w:marLeft w:val="0"/>
      <w:marRight w:val="0"/>
      <w:marTop w:val="0"/>
      <w:marBottom w:val="0"/>
      <w:divBdr>
        <w:top w:val="none" w:sz="0" w:space="0" w:color="auto"/>
        <w:left w:val="none" w:sz="0" w:space="0" w:color="auto"/>
        <w:bottom w:val="none" w:sz="0" w:space="0" w:color="auto"/>
        <w:right w:val="none" w:sz="0" w:space="0" w:color="auto"/>
      </w:divBdr>
    </w:div>
    <w:div w:id="1905336716">
      <w:bodyDiv w:val="1"/>
      <w:marLeft w:val="0"/>
      <w:marRight w:val="0"/>
      <w:marTop w:val="0"/>
      <w:marBottom w:val="0"/>
      <w:divBdr>
        <w:top w:val="none" w:sz="0" w:space="0" w:color="auto"/>
        <w:left w:val="none" w:sz="0" w:space="0" w:color="auto"/>
        <w:bottom w:val="none" w:sz="0" w:space="0" w:color="auto"/>
        <w:right w:val="none" w:sz="0" w:space="0" w:color="auto"/>
      </w:divBdr>
    </w:div>
    <w:div w:id="1944065617">
      <w:bodyDiv w:val="1"/>
      <w:marLeft w:val="0"/>
      <w:marRight w:val="0"/>
      <w:marTop w:val="0"/>
      <w:marBottom w:val="0"/>
      <w:divBdr>
        <w:top w:val="none" w:sz="0" w:space="0" w:color="auto"/>
        <w:left w:val="none" w:sz="0" w:space="0" w:color="auto"/>
        <w:bottom w:val="none" w:sz="0" w:space="0" w:color="auto"/>
        <w:right w:val="none" w:sz="0" w:space="0" w:color="auto"/>
      </w:divBdr>
    </w:div>
    <w:div w:id="2011906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2D531E-422E-41E0-B5D0-C1F40E3A11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23</Pages>
  <Words>5085</Words>
  <Characters>28985</Characters>
  <Application>Microsoft Office Word</Application>
  <DocSecurity>0</DocSecurity>
  <Lines>241</Lines>
  <Paragraphs>68</Paragraphs>
  <ScaleCrop>false</ScaleCrop>
  <Company/>
  <LinksUpToDate>false</LinksUpToDate>
  <CharactersWithSpaces>34002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2020-07-17T16:09:00Z</dcterms:created>
  <dcterms:modified xsi:type="dcterms:W3CDTF">2020-07-17T16:10:00Z</dcterms:modified>
</cp:coreProperties>
</file>