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B29A1" w:rsidRPr="00B56A78" w:rsidP="009852EB">
      <w:pPr>
        <w:tabs>
          <w:tab w:val="left" w:pos="1440"/>
          <w:tab w:val="left" w:pos="4680"/>
          <w:tab w:val="center" w:pos="7200"/>
        </w:tabs>
        <w:spacing w:after="0"/>
        <w:jc w:val="center"/>
        <w:rPr>
          <w:sz w:val="36"/>
        </w:rPr>
      </w:pPr>
      <w:bookmarkStart w:id="0" w:name="MarkDocLoc"/>
      <w:bookmarkStart w:id="1" w:name="_Hlk71616415"/>
      <w:bookmarkEnd w:id="0"/>
      <w:r w:rsidRPr="00B56A78">
        <w:rPr>
          <w:b/>
          <w:sz w:val="36"/>
        </w:rPr>
        <w:t>IN THE SUPREME COURT OF CALIFORNIA</w:t>
      </w:r>
    </w:p>
    <w:p w:rsidR="009852EB" w:rsidRPr="00B56A78" w:rsidP="009852EB">
      <w:pPr>
        <w:tabs>
          <w:tab w:val="left" w:pos="1440"/>
          <w:tab w:val="left" w:pos="4680"/>
          <w:tab w:val="center" w:pos="7200"/>
        </w:tabs>
        <w:spacing w:after="0"/>
        <w:jc w:val="center"/>
      </w:pPr>
    </w:p>
    <w:p w:rsidR="009852EB" w:rsidRPr="00B56A78" w:rsidP="009852EB">
      <w:pPr>
        <w:tabs>
          <w:tab w:val="left" w:pos="1440"/>
          <w:tab w:val="left" w:pos="4680"/>
          <w:tab w:val="center" w:pos="7200"/>
        </w:tabs>
        <w:spacing w:after="0"/>
        <w:jc w:val="center"/>
      </w:pPr>
      <w:r w:rsidRPr="00B56A78">
        <w:t>THE PEOPLE</w:t>
      </w:r>
      <w:r w:rsidRPr="00B56A78" w:rsidR="00A66299">
        <w:t>,</w:t>
      </w:r>
    </w:p>
    <w:p w:rsidR="009852EB" w:rsidRPr="00B56A78" w:rsidP="009852EB">
      <w:pPr>
        <w:spacing w:after="0"/>
        <w:jc w:val="center"/>
      </w:pPr>
      <w:r w:rsidRPr="00B56A78">
        <w:t>Plaintiff and Respondent</w:t>
      </w:r>
      <w:r w:rsidRPr="00B56A78" w:rsidR="00A66299">
        <w:t>,</w:t>
      </w:r>
    </w:p>
    <w:p w:rsidR="009852EB" w:rsidRPr="00B56A78" w:rsidP="009852EB">
      <w:pPr>
        <w:tabs>
          <w:tab w:val="left" w:pos="1440"/>
          <w:tab w:val="left" w:pos="4680"/>
          <w:tab w:val="center" w:pos="7200"/>
        </w:tabs>
        <w:spacing w:after="0"/>
        <w:jc w:val="center"/>
      </w:pPr>
      <w:r w:rsidRPr="00B56A78">
        <w:t>v.</w:t>
      </w:r>
    </w:p>
    <w:p w:rsidR="009852EB" w:rsidRPr="00B56A78" w:rsidP="009852EB">
      <w:pPr>
        <w:tabs>
          <w:tab w:val="left" w:pos="1440"/>
          <w:tab w:val="left" w:pos="4680"/>
          <w:tab w:val="center" w:pos="7200"/>
        </w:tabs>
        <w:spacing w:after="0"/>
        <w:jc w:val="center"/>
      </w:pPr>
      <w:r w:rsidRPr="00B56A78">
        <w:t>RANDOLPH STEVEN ESQUIVEL</w:t>
      </w:r>
      <w:r w:rsidRPr="00B56A78" w:rsidR="00A66299">
        <w:t>,</w:t>
      </w:r>
    </w:p>
    <w:p w:rsidR="009852EB" w:rsidRPr="00B56A78" w:rsidP="009852EB">
      <w:pPr>
        <w:tabs>
          <w:tab w:val="left" w:pos="1440"/>
          <w:tab w:val="left" w:pos="4680"/>
          <w:tab w:val="center" w:pos="7200"/>
        </w:tabs>
        <w:spacing w:after="0"/>
        <w:jc w:val="center"/>
      </w:pPr>
      <w:r w:rsidRPr="00B56A78">
        <w:t>Defendant and Appellant.</w:t>
      </w:r>
    </w:p>
    <w:p w:rsidR="009852EB" w:rsidRPr="00B56A78" w:rsidP="009852EB">
      <w:pPr>
        <w:tabs>
          <w:tab w:val="left" w:pos="1440"/>
          <w:tab w:val="left" w:pos="4680"/>
          <w:tab w:val="center" w:pos="7200"/>
        </w:tabs>
        <w:spacing w:after="0"/>
        <w:jc w:val="center"/>
      </w:pPr>
    </w:p>
    <w:p w:rsidR="009852EB" w:rsidRPr="00B56A78" w:rsidP="009852EB">
      <w:pPr>
        <w:tabs>
          <w:tab w:val="left" w:pos="1440"/>
          <w:tab w:val="left" w:pos="4680"/>
          <w:tab w:val="center" w:pos="7200"/>
        </w:tabs>
        <w:spacing w:after="0"/>
        <w:jc w:val="center"/>
      </w:pPr>
      <w:r w:rsidRPr="00B56A78">
        <w:t>S262551</w:t>
      </w:r>
    </w:p>
    <w:p w:rsidR="009852EB" w:rsidRPr="00B56A78" w:rsidP="009852EB">
      <w:pPr>
        <w:tabs>
          <w:tab w:val="left" w:pos="1440"/>
          <w:tab w:val="left" w:pos="4680"/>
          <w:tab w:val="center" w:pos="7200"/>
        </w:tabs>
        <w:spacing w:after="0"/>
        <w:jc w:val="center"/>
      </w:pPr>
    </w:p>
    <w:p w:rsidR="00385862" w:rsidRPr="00B56A78" w:rsidP="009852EB">
      <w:pPr>
        <w:tabs>
          <w:tab w:val="left" w:pos="1440"/>
          <w:tab w:val="left" w:pos="4680"/>
          <w:tab w:val="center" w:pos="7200"/>
        </w:tabs>
        <w:spacing w:after="0"/>
        <w:jc w:val="center"/>
      </w:pPr>
      <w:r w:rsidRPr="00B56A78">
        <w:t>Second Appellate District, Division Five</w:t>
      </w:r>
    </w:p>
    <w:p w:rsidR="00385862" w:rsidRPr="00B56A78" w:rsidP="009852EB">
      <w:pPr>
        <w:tabs>
          <w:tab w:val="left" w:pos="1440"/>
          <w:tab w:val="left" w:pos="4680"/>
          <w:tab w:val="center" w:pos="7200"/>
        </w:tabs>
        <w:spacing w:after="0"/>
        <w:jc w:val="center"/>
      </w:pPr>
      <w:r w:rsidRPr="00B56A78">
        <w:t>B294024</w:t>
      </w:r>
    </w:p>
    <w:p w:rsidR="00385862" w:rsidRPr="00B56A78" w:rsidP="009852EB">
      <w:pPr>
        <w:tabs>
          <w:tab w:val="left" w:pos="1440"/>
          <w:tab w:val="left" w:pos="4680"/>
          <w:tab w:val="center" w:pos="7200"/>
        </w:tabs>
        <w:spacing w:after="0"/>
        <w:jc w:val="center"/>
      </w:pPr>
    </w:p>
    <w:p w:rsidR="009852EB" w:rsidRPr="00B56A78" w:rsidP="009852EB">
      <w:pPr>
        <w:tabs>
          <w:tab w:val="left" w:pos="1440"/>
          <w:tab w:val="left" w:pos="4680"/>
          <w:tab w:val="center" w:pos="7200"/>
        </w:tabs>
        <w:spacing w:after="0"/>
        <w:jc w:val="center"/>
      </w:pPr>
      <w:r w:rsidRPr="00B56A78">
        <w:t>Los Angeles County</w:t>
      </w:r>
      <w:r w:rsidRPr="00B56A78" w:rsidR="00A66299">
        <w:t xml:space="preserve"> Superior Court</w:t>
      </w:r>
    </w:p>
    <w:p w:rsidR="009852EB" w:rsidRPr="00B56A78" w:rsidP="009852EB">
      <w:pPr>
        <w:tabs>
          <w:tab w:val="left" w:pos="1440"/>
          <w:tab w:val="left" w:pos="4680"/>
          <w:tab w:val="center" w:pos="7200"/>
        </w:tabs>
        <w:spacing w:after="0"/>
        <w:jc w:val="center"/>
      </w:pPr>
      <w:r w:rsidRPr="00B56A78">
        <w:t>NA102362</w:t>
      </w:r>
    </w:p>
    <w:p w:rsidR="009852EB" w:rsidRPr="00B56A78" w:rsidP="009852EB">
      <w:pPr>
        <w:pBdr>
          <w:bottom w:val="single" w:sz="4" w:space="1" w:color="auto"/>
        </w:pBdr>
        <w:tabs>
          <w:tab w:val="left" w:pos="1440"/>
          <w:tab w:val="left" w:pos="4680"/>
          <w:tab w:val="center" w:pos="7200"/>
        </w:tabs>
        <w:spacing w:after="0"/>
        <w:jc w:val="center"/>
      </w:pPr>
    </w:p>
    <w:p w:rsidR="009852EB" w:rsidRPr="00B56A78" w:rsidP="009852EB">
      <w:pPr>
        <w:tabs>
          <w:tab w:val="left" w:pos="1440"/>
          <w:tab w:val="left" w:pos="4680"/>
          <w:tab w:val="center" w:pos="7200"/>
        </w:tabs>
        <w:spacing w:after="0"/>
        <w:jc w:val="center"/>
      </w:pPr>
    </w:p>
    <w:p w:rsidR="009852EB" w:rsidRPr="00B56A78" w:rsidP="009852EB">
      <w:pPr>
        <w:tabs>
          <w:tab w:val="left" w:pos="1440"/>
          <w:tab w:val="left" w:pos="4680"/>
          <w:tab w:val="center" w:pos="7200"/>
        </w:tabs>
        <w:spacing w:after="0"/>
        <w:jc w:val="center"/>
      </w:pPr>
      <w:r>
        <w:t>June 17,</w:t>
      </w:r>
      <w:r w:rsidRPr="00B56A78">
        <w:t xml:space="preserve"> 2021</w:t>
      </w:r>
    </w:p>
    <w:p w:rsidR="009852EB" w:rsidRPr="00B56A78" w:rsidP="009852EB">
      <w:pPr>
        <w:tabs>
          <w:tab w:val="left" w:pos="1440"/>
          <w:tab w:val="left" w:pos="4680"/>
          <w:tab w:val="center" w:pos="7200"/>
        </w:tabs>
        <w:spacing w:after="0"/>
        <w:jc w:val="center"/>
      </w:pPr>
    </w:p>
    <w:p w:rsidR="009852EB" w:rsidRPr="00B56A78" w:rsidP="00D23969">
      <w:pPr>
        <w:tabs>
          <w:tab w:val="left" w:pos="1440"/>
          <w:tab w:val="left" w:pos="4680"/>
          <w:tab w:val="center" w:pos="7200"/>
        </w:tabs>
        <w:spacing w:after="0"/>
        <w:jc w:val="left"/>
      </w:pPr>
      <w:r w:rsidRPr="00B56A78">
        <w:t xml:space="preserve">Chief Justice Cantil-Sakauye authored the opinion of the Court, in which Justices </w:t>
      </w:r>
      <w:r w:rsidR="00E40F85">
        <w:t xml:space="preserve">Corrigan, Liu, Cuéllar, </w:t>
      </w:r>
      <w:r w:rsidR="00313E1F">
        <w:t>Kruger</w:t>
      </w:r>
      <w:r w:rsidR="00E40F85">
        <w:t>, Groban,</w:t>
      </w:r>
      <w:r w:rsidRPr="00B56A78">
        <w:t xml:space="preserve"> and </w:t>
      </w:r>
      <w:r w:rsidR="00E40F85">
        <w:t xml:space="preserve">Jenkins </w:t>
      </w:r>
      <w:r w:rsidRPr="00B56A78">
        <w:t xml:space="preserve">concurred. </w:t>
      </w:r>
    </w:p>
    <w:p w:rsidR="009852EB" w:rsidRPr="00B56A78" w:rsidP="009852EB">
      <w:pPr>
        <w:pBdr>
          <w:bottom w:val="single" w:sz="4" w:space="1" w:color="auto"/>
        </w:pBdr>
        <w:tabs>
          <w:tab w:val="left" w:pos="1440"/>
          <w:tab w:val="left" w:pos="4680"/>
          <w:tab w:val="center" w:pos="7200"/>
        </w:tabs>
        <w:spacing w:line="480" w:lineRule="atLeast"/>
        <w:jc w:val="left"/>
      </w:pPr>
      <w:bookmarkStart w:id="2" w:name="Return"/>
      <w:bookmarkEnd w:id="2"/>
    </w:p>
    <w:p w:rsidR="009852EB" w:rsidRPr="00B56A78">
      <w:pPr>
        <w:tabs>
          <w:tab w:val="left" w:pos="1440"/>
          <w:tab w:val="left" w:pos="4680"/>
          <w:tab w:val="center" w:pos="7200"/>
        </w:tabs>
        <w:spacing w:line="480" w:lineRule="atLeast"/>
        <w:sectPr w:rsidSect="009852E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852EB" w:rsidRPr="00B56A78" w:rsidP="00CF793B">
      <w:pPr>
        <w:tabs>
          <w:tab w:val="left" w:pos="1440"/>
          <w:tab w:val="left" w:pos="4680"/>
          <w:tab w:val="center" w:pos="7200"/>
        </w:tabs>
        <w:jc w:val="center"/>
      </w:pPr>
      <w:r w:rsidRPr="00B56A78">
        <w:t>PEOPLE v. ESQUIVEL</w:t>
      </w:r>
    </w:p>
    <w:p w:rsidR="009852EB" w:rsidRPr="00B56A78" w:rsidP="009852EB">
      <w:pPr>
        <w:tabs>
          <w:tab w:val="left" w:pos="1440"/>
          <w:tab w:val="left" w:pos="4680"/>
          <w:tab w:val="center" w:pos="7200"/>
        </w:tabs>
        <w:jc w:val="center"/>
      </w:pPr>
      <w:r w:rsidRPr="00B56A78">
        <w:t>S262551</w:t>
      </w:r>
    </w:p>
    <w:p w:rsidR="009852EB" w:rsidRPr="00B56A78" w:rsidP="009852EB">
      <w:pPr>
        <w:tabs>
          <w:tab w:val="left" w:pos="1440"/>
          <w:tab w:val="left" w:pos="4680"/>
          <w:tab w:val="center" w:pos="7200"/>
        </w:tabs>
        <w:jc w:val="center"/>
      </w:pPr>
    </w:p>
    <w:p w:rsidR="009852EB" w:rsidRPr="00B56A78" w:rsidP="009852EB">
      <w:pPr>
        <w:tabs>
          <w:tab w:val="left" w:pos="1440"/>
          <w:tab w:val="left" w:pos="4680"/>
          <w:tab w:val="center" w:pos="7200"/>
        </w:tabs>
        <w:jc w:val="center"/>
      </w:pPr>
      <w:r w:rsidRPr="00B56A78">
        <w:t>Opinion of the Court by Cantil-Sakauye, C. J.</w:t>
      </w:r>
    </w:p>
    <w:p w:rsidR="009852EB" w:rsidRPr="00B56A78" w:rsidP="009852EB">
      <w:pPr>
        <w:tabs>
          <w:tab w:val="left" w:pos="1440"/>
          <w:tab w:val="left" w:pos="4680"/>
          <w:tab w:val="center" w:pos="7200"/>
        </w:tabs>
        <w:jc w:val="center"/>
      </w:pPr>
    </w:p>
    <w:p w:rsidR="00D73343" w:rsidRPr="00B56A78" w:rsidP="009852EB">
      <w:pPr>
        <w:tabs>
          <w:tab w:val="left" w:pos="1440"/>
        </w:tabs>
        <w:ind w:firstLine="720"/>
      </w:pPr>
      <w:bookmarkStart w:id="4" w:name="mainstory"/>
      <w:bookmarkEnd w:id="4"/>
      <w:r w:rsidRPr="00B56A78">
        <w:t xml:space="preserve">When new legislation reduces the punishment for an offense, we presume that the legislation applies to all cases not yet final as of the legislation’s effective date.  </w:t>
      </w:r>
      <w:bookmarkStart w:id="5" w:name="_Hlk71617701"/>
      <w:r w:rsidRPr="00B56A78">
        <w:t>(</w:t>
      </w:r>
      <w:r w:rsidRPr="00B56A78" w:rsidR="005C7954">
        <w:rPr>
          <w:i/>
          <w:iCs/>
        </w:rPr>
        <w:t>In re Estrada</w:t>
      </w:r>
      <w:r w:rsidRPr="00B56A78" w:rsidR="005C7954">
        <w:t xml:space="preserve"> (1965) 63 Cal.2d 740</w:t>
      </w:r>
      <w:r w:rsidRPr="00B56A78" w:rsidR="002A30F3">
        <w:t xml:space="preserve"> (</w:t>
      </w:r>
      <w:r w:rsidRPr="00B56A78" w:rsidR="002A30F3">
        <w:rPr>
          <w:i/>
          <w:iCs/>
        </w:rPr>
        <w:t>Estrada</w:t>
      </w:r>
      <w:r w:rsidRPr="00B56A78" w:rsidR="002A30F3">
        <w:t>).)</w:t>
      </w:r>
      <w:r w:rsidRPr="00B56A78" w:rsidR="00FF23B2">
        <w:t xml:space="preserve"> </w:t>
      </w:r>
      <w:bookmarkEnd w:id="5"/>
      <w:r w:rsidRPr="00B56A78" w:rsidR="00FF23B2">
        <w:t xml:space="preserve"> </w:t>
      </w:r>
      <w:r w:rsidRPr="00B56A78" w:rsidR="00F42765">
        <w:t>A</w:t>
      </w:r>
      <w:r w:rsidRPr="00B56A78" w:rsidR="00E3127C">
        <w:t xml:space="preserve"> case in which </w:t>
      </w:r>
      <w:r w:rsidRPr="00B56A78" w:rsidR="00FF23B2">
        <w:t>a defendant is placed on probation with imposition of sentence suspended</w:t>
      </w:r>
      <w:r w:rsidRPr="00B56A78" w:rsidR="00F42765">
        <w:t xml:space="preserve"> </w:t>
      </w:r>
      <w:r w:rsidRPr="00B56A78" w:rsidR="00FF23B2">
        <w:t>is not yet final for this purpose if the defendant may still timely obtain direct review of a</w:t>
      </w:r>
      <w:r w:rsidRPr="00B56A78" w:rsidR="00897925">
        <w:t xml:space="preserve">n order </w:t>
      </w:r>
      <w:r w:rsidRPr="00B56A78" w:rsidR="00FF23B2">
        <w:t xml:space="preserve">revoking probation and imposing sentence.  </w:t>
      </w:r>
      <w:bookmarkStart w:id="6" w:name="_Hlk71617723"/>
      <w:r w:rsidRPr="00B56A78" w:rsidR="00F96824">
        <w:t>(</w:t>
      </w:r>
      <w:r w:rsidRPr="00B56A78" w:rsidR="002A30F3">
        <w:rPr>
          <w:i/>
          <w:iCs/>
        </w:rPr>
        <w:t>People v. McKenzie</w:t>
      </w:r>
      <w:r w:rsidRPr="00B56A78" w:rsidR="002A30F3">
        <w:t xml:space="preserve"> (2020) 9</w:t>
      </w:r>
      <w:r w:rsidRPr="00B56A78" w:rsidR="000C5950">
        <w:t> </w:t>
      </w:r>
      <w:r w:rsidRPr="00B56A78" w:rsidR="002A30F3">
        <w:t>Cal.5th 40 (</w:t>
      </w:r>
      <w:r w:rsidRPr="00B56A78" w:rsidR="002A30F3">
        <w:rPr>
          <w:i/>
          <w:iCs/>
        </w:rPr>
        <w:t>McKenzie</w:t>
      </w:r>
      <w:r w:rsidRPr="00B56A78" w:rsidR="002A30F3">
        <w:t>).)</w:t>
      </w:r>
      <w:bookmarkEnd w:id="6"/>
      <w:r w:rsidRPr="00B56A78" w:rsidR="00FF23B2">
        <w:t xml:space="preserve">  </w:t>
      </w:r>
      <w:r w:rsidRPr="00B56A78" w:rsidR="00013919">
        <w:t>We hold</w:t>
      </w:r>
      <w:r w:rsidRPr="00B56A78" w:rsidR="00FF23B2">
        <w:t xml:space="preserve"> that </w:t>
      </w:r>
      <w:r w:rsidRPr="00B56A78" w:rsidR="00E3127C">
        <w:t xml:space="preserve">a case in which a </w:t>
      </w:r>
      <w:r w:rsidRPr="00B56A78" w:rsidR="00FF23B2">
        <w:t>defendant is placed on probation with execution of an impose</w:t>
      </w:r>
      <w:r w:rsidRPr="00B56A78" w:rsidR="00C777F6">
        <w:t>d</w:t>
      </w:r>
      <w:r w:rsidRPr="00B56A78" w:rsidR="00FF23B2">
        <w:t xml:space="preserve"> </w:t>
      </w:r>
      <w:r w:rsidRPr="00B56A78" w:rsidR="00BE6D70">
        <w:t xml:space="preserve">state prison </w:t>
      </w:r>
      <w:r w:rsidRPr="00B56A78" w:rsidR="00FF23B2">
        <w:t>sentence suspended</w:t>
      </w:r>
      <w:r w:rsidRPr="00B56A78" w:rsidR="00F42765">
        <w:t xml:space="preserve"> </w:t>
      </w:r>
      <w:r w:rsidRPr="00B56A78" w:rsidR="00FF23B2">
        <w:t xml:space="preserve">is not yet final for this </w:t>
      </w:r>
      <w:r w:rsidRPr="00B56A78" w:rsidR="002B01C7">
        <w:t xml:space="preserve">purpose if the defendant may still timely obtain direct review of an order revoking probation and </w:t>
      </w:r>
      <w:r w:rsidRPr="00B56A78" w:rsidR="00874A16">
        <w:t xml:space="preserve">causing the </w:t>
      </w:r>
      <w:r w:rsidRPr="00B56A78" w:rsidR="002B4295">
        <w:t xml:space="preserve">state prison </w:t>
      </w:r>
      <w:r w:rsidRPr="00B56A78" w:rsidR="00874A16">
        <w:t>sentence to take effect</w:t>
      </w:r>
      <w:r w:rsidRPr="00B56A78" w:rsidR="002B01C7">
        <w:t>.</w:t>
      </w:r>
      <w:r w:rsidRPr="00B56A78" w:rsidR="00B046E1">
        <w:t xml:space="preserve"> </w:t>
      </w:r>
    </w:p>
    <w:p w:rsidR="00891041" w:rsidRPr="00B56A78" w:rsidP="009852EB">
      <w:pPr>
        <w:pStyle w:val="Heading1"/>
      </w:pPr>
      <w:bookmarkStart w:id="7" w:name="_Toc405367379"/>
      <w:bookmarkStart w:id="8" w:name="_Toc430379677"/>
      <w:bookmarkStart w:id="9" w:name="_Toc491684312"/>
      <w:bookmarkStart w:id="10" w:name="_Toc487629674"/>
      <w:r w:rsidRPr="00B56A78">
        <w:t xml:space="preserve">I.  </w:t>
      </w:r>
      <w:bookmarkEnd w:id="7"/>
      <w:bookmarkEnd w:id="8"/>
      <w:r w:rsidRPr="00B56A78">
        <w:t>Background</w:t>
      </w:r>
      <w:bookmarkEnd w:id="9"/>
      <w:bookmarkEnd w:id="10"/>
    </w:p>
    <w:p w:rsidR="005A3EE0" w:rsidRPr="00B56A78" w:rsidP="009852EB">
      <w:pPr>
        <w:ind w:firstLine="720"/>
      </w:pPr>
      <w:bookmarkStart w:id="11" w:name="_Toc405367380"/>
      <w:bookmarkStart w:id="12" w:name="_Toc430379678"/>
      <w:r w:rsidRPr="00B56A78">
        <w:t xml:space="preserve">Defendant </w:t>
      </w:r>
      <w:r w:rsidRPr="00B56A78" w:rsidR="00DB3803">
        <w:t xml:space="preserve">Randolph Steven Esquivel </w:t>
      </w:r>
      <w:r w:rsidRPr="00B56A78" w:rsidR="00A258E4">
        <w:t xml:space="preserve">pleaded no contest to </w:t>
      </w:r>
      <w:r w:rsidRPr="00B56A78" w:rsidR="00D3567A">
        <w:t xml:space="preserve">a felony and admitted two prior </w:t>
      </w:r>
      <w:r w:rsidRPr="00B56A78" w:rsidR="003528A0">
        <w:t>prison terms</w:t>
      </w:r>
      <w:r w:rsidRPr="00B56A78" w:rsidR="00D3567A">
        <w:t xml:space="preserve">.  </w:t>
      </w:r>
      <w:r w:rsidRPr="00B56A78" w:rsidR="009D39F0">
        <w:t>In 2015, t</w:t>
      </w:r>
      <w:r w:rsidRPr="00B56A78" w:rsidR="00C96717">
        <w:t xml:space="preserve">he </w:t>
      </w:r>
      <w:r w:rsidRPr="00B56A78" w:rsidR="00C34D6F">
        <w:t xml:space="preserve">trial </w:t>
      </w:r>
      <w:r w:rsidRPr="00B56A78" w:rsidR="00C96717">
        <w:t xml:space="preserve">court sentenced him to three </w:t>
      </w:r>
      <w:r w:rsidRPr="00B56A78" w:rsidR="00267AE0">
        <w:t>years</w:t>
      </w:r>
      <w:r w:rsidRPr="00B56A78" w:rsidR="00A66299">
        <w:t>’</w:t>
      </w:r>
      <w:r w:rsidRPr="00B56A78" w:rsidR="00267AE0">
        <w:t xml:space="preserve"> imprisonment for the felony a</w:t>
      </w:r>
      <w:r w:rsidRPr="00B56A78" w:rsidR="00CD5163">
        <w:t xml:space="preserve">nd one additional year for each of the two priors.  </w:t>
      </w:r>
      <w:r w:rsidRPr="00B56A78" w:rsidR="00564FAC">
        <w:t>The court</w:t>
      </w:r>
      <w:r w:rsidRPr="00B56A78" w:rsidR="0044257E">
        <w:t xml:space="preserve"> </w:t>
      </w:r>
      <w:r w:rsidRPr="00B56A78" w:rsidR="006759B5">
        <w:t xml:space="preserve">then </w:t>
      </w:r>
      <w:r w:rsidRPr="00B56A78" w:rsidR="0044257E">
        <w:t>suspended execution of the</w:t>
      </w:r>
      <w:r w:rsidRPr="00B56A78" w:rsidR="004F1A21">
        <w:t xml:space="preserve"> state prison</w:t>
      </w:r>
      <w:r w:rsidRPr="00B56A78" w:rsidR="0044257E">
        <w:t xml:space="preserve"> sentence </w:t>
      </w:r>
      <w:r w:rsidRPr="00B56A78" w:rsidR="000B64E1">
        <w:t xml:space="preserve">and placed </w:t>
      </w:r>
      <w:r w:rsidRPr="00B56A78" w:rsidR="008E25A4">
        <w:t xml:space="preserve">defendant </w:t>
      </w:r>
      <w:r w:rsidRPr="00B56A78" w:rsidR="000B64E1">
        <w:t>on probation.</w:t>
      </w:r>
      <w:r w:rsidRPr="00B56A78" w:rsidR="002B1B0C">
        <w:t xml:space="preserve">  </w:t>
      </w:r>
      <w:r w:rsidRPr="00B56A78" w:rsidR="008E25A4">
        <w:t>Defendant</w:t>
      </w:r>
      <w:r w:rsidRPr="00B56A78" w:rsidR="002A0F99">
        <w:t xml:space="preserve"> did not </w:t>
      </w:r>
      <w:r w:rsidRPr="00B56A78" w:rsidR="00D0455E">
        <w:t>challenge his sentence on appeal at that time</w:t>
      </w:r>
      <w:r w:rsidRPr="00B56A78" w:rsidR="00A94050">
        <w:t xml:space="preserve">.  </w:t>
      </w:r>
      <w:r w:rsidRPr="00B56A78" w:rsidR="00BB4B79">
        <w:t xml:space="preserve">About three years later, </w:t>
      </w:r>
      <w:r w:rsidRPr="00B56A78" w:rsidR="00EF35D5">
        <w:t xml:space="preserve">in 2018, </w:t>
      </w:r>
      <w:r w:rsidRPr="00B56A78" w:rsidR="00BB4B79">
        <w:t xml:space="preserve">the </w:t>
      </w:r>
      <w:r w:rsidRPr="00B56A78" w:rsidR="00525C72">
        <w:t xml:space="preserve">court found </w:t>
      </w:r>
      <w:r w:rsidRPr="00B56A78" w:rsidR="008E25A4">
        <w:t xml:space="preserve">defendant </w:t>
      </w:r>
      <w:r w:rsidRPr="00B56A78" w:rsidR="00525C72">
        <w:t xml:space="preserve">in violation of </w:t>
      </w:r>
      <w:r w:rsidRPr="00B56A78" w:rsidR="00522371">
        <w:t xml:space="preserve">a condition of </w:t>
      </w:r>
      <w:r w:rsidRPr="00B56A78" w:rsidR="00525C72">
        <w:t>probation and ordered the sentence into effect.</w:t>
      </w:r>
    </w:p>
    <w:p w:rsidR="002365FD" w:rsidRPr="00B56A78" w:rsidP="00CB6305">
      <w:pPr>
        <w:ind w:firstLine="720"/>
      </w:pPr>
      <w:r w:rsidRPr="00B56A78">
        <w:t xml:space="preserve">Defendant </w:t>
      </w:r>
      <w:r w:rsidRPr="00B56A78" w:rsidR="00670733">
        <w:t>appealed.</w:t>
      </w:r>
      <w:r w:rsidRPr="00B56A78" w:rsidR="00022BCA">
        <w:t xml:space="preserve">  </w:t>
      </w:r>
      <w:r w:rsidRPr="00B56A78" w:rsidR="00666AFE">
        <w:t xml:space="preserve">During the pendency of his appeal, </w:t>
      </w:r>
      <w:r w:rsidRPr="00B56A78" w:rsidR="009E5821">
        <w:t>the L</w:t>
      </w:r>
      <w:r w:rsidRPr="00B56A78" w:rsidR="003A2B47">
        <w:t>egislat</w:t>
      </w:r>
      <w:r w:rsidRPr="00B56A78" w:rsidR="009E5821">
        <w:t>ure</w:t>
      </w:r>
      <w:r w:rsidRPr="00B56A78" w:rsidR="003A2B47">
        <w:t xml:space="preserve"> </w:t>
      </w:r>
      <w:r w:rsidRPr="00B56A78" w:rsidR="00FB74D1">
        <w:t xml:space="preserve">amended the provision under which the </w:t>
      </w:r>
      <w:r w:rsidRPr="00B56A78" w:rsidR="000075D8">
        <w:t xml:space="preserve">trial </w:t>
      </w:r>
      <w:r w:rsidRPr="00B56A78" w:rsidR="00FB74D1">
        <w:t xml:space="preserve">court had imposed the two </w:t>
      </w:r>
      <w:r w:rsidRPr="00B56A78" w:rsidR="00A66299">
        <w:t>1</w:t>
      </w:r>
      <w:r w:rsidRPr="00B56A78" w:rsidR="00FB74D1">
        <w:t>-year enhancements</w:t>
      </w:r>
      <w:r w:rsidRPr="00B56A78" w:rsidR="00EF6303">
        <w:t>.</w:t>
      </w:r>
      <w:r w:rsidRPr="00B56A78" w:rsidR="001810E9">
        <w:t xml:space="preserve">  </w:t>
      </w:r>
      <w:r w:rsidRPr="00B56A78" w:rsidR="000231CB">
        <w:t xml:space="preserve">Specifically, the Legislature enacted Senate Bill </w:t>
      </w:r>
      <w:r w:rsidRPr="00B56A78" w:rsidR="00A66299">
        <w:t xml:space="preserve">No. </w:t>
      </w:r>
      <w:r w:rsidRPr="00B56A78" w:rsidR="000231CB">
        <w:t>136</w:t>
      </w:r>
      <w:r w:rsidRPr="00B56A78" w:rsidR="00A66299">
        <w:t xml:space="preserve"> </w:t>
      </w:r>
      <w:r w:rsidRPr="00B56A78" w:rsidR="00A66299">
        <w:rPr>
          <w:szCs w:val="27"/>
        </w:rPr>
        <w:t>(</w:t>
      </w:r>
      <w:r w:rsidRPr="00B56A78" w:rsidR="00A66299">
        <w:rPr>
          <w:rFonts w:cstheme="minorHAnsi"/>
          <w:szCs w:val="27"/>
        </w:rPr>
        <w:t xml:space="preserve">2019–2020 </w:t>
      </w:r>
      <w:r w:rsidRPr="00B56A78" w:rsidR="00A66299">
        <w:rPr>
          <w:szCs w:val="27"/>
        </w:rPr>
        <w:t>Reg. Sess.) (hereafter Senate Bill 136)</w:t>
      </w:r>
      <w:r w:rsidRPr="00B56A78" w:rsidR="000231CB">
        <w:t xml:space="preserve">, which </w:t>
      </w:r>
      <w:r w:rsidRPr="00B56A78" w:rsidR="00666746">
        <w:t xml:space="preserve">made the </w:t>
      </w:r>
      <w:r w:rsidRPr="00B56A78" w:rsidR="004967CA">
        <w:t>enhancement</w:t>
      </w:r>
      <w:r w:rsidRPr="00B56A78" w:rsidR="00923EE5">
        <w:t xml:space="preserve"> </w:t>
      </w:r>
      <w:r w:rsidRPr="00B56A78" w:rsidR="004A0388">
        <w:t xml:space="preserve">provision </w:t>
      </w:r>
      <w:r w:rsidRPr="00B56A78" w:rsidR="00923EE5">
        <w:t xml:space="preserve">applicable only to prison terms </w:t>
      </w:r>
      <w:r w:rsidRPr="00B56A78" w:rsidR="00F6084F">
        <w:t xml:space="preserve">imposed </w:t>
      </w:r>
      <w:r w:rsidRPr="00B56A78" w:rsidR="00923EE5">
        <w:t xml:space="preserve">for certain sexually violent offenses.  </w:t>
      </w:r>
      <w:r w:rsidRPr="00B56A78" w:rsidR="00470E6A">
        <w:t xml:space="preserve">(See </w:t>
      </w:r>
      <w:r w:rsidRPr="00B56A78" w:rsidR="002F3193">
        <w:t>Stats. 2019, ch.</w:t>
      </w:r>
      <w:r w:rsidRPr="00B56A78" w:rsidR="000C5950">
        <w:t> </w:t>
      </w:r>
      <w:r w:rsidRPr="00B56A78" w:rsidR="008B57F8">
        <w:t>590, § 1, eff. Jan.</w:t>
      </w:r>
      <w:r w:rsidR="00A61CB9">
        <w:t> </w:t>
      </w:r>
      <w:r w:rsidRPr="00B56A78" w:rsidR="008B57F8">
        <w:t>1, 2020</w:t>
      </w:r>
      <w:r w:rsidRPr="00B56A78" w:rsidR="00A66299">
        <w:t>, amending</w:t>
      </w:r>
      <w:r w:rsidRPr="00B56A78" w:rsidR="00CB6305">
        <w:t xml:space="preserve"> Pen. Code, § 667.5, subd. (b).</w:t>
      </w:r>
      <w:r w:rsidRPr="00B56A78" w:rsidR="00BA6AC6">
        <w:t xml:space="preserve">)  </w:t>
      </w:r>
      <w:r w:rsidRPr="00B56A78" w:rsidR="00AC662B">
        <w:t>If</w:t>
      </w:r>
      <w:r w:rsidRPr="00B56A78" w:rsidR="009102BD">
        <w:t xml:space="preserve"> the amended provision </w:t>
      </w:r>
      <w:r w:rsidRPr="00B56A78" w:rsidR="00AC662B">
        <w:t xml:space="preserve">had </w:t>
      </w:r>
      <w:r w:rsidRPr="00B56A78" w:rsidR="009102BD">
        <w:t xml:space="preserve">been </w:t>
      </w:r>
      <w:r w:rsidRPr="00B56A78" w:rsidR="00B777DB">
        <w:t xml:space="preserve">in effect at the time </w:t>
      </w:r>
      <w:r w:rsidRPr="00B56A78" w:rsidR="00AE6F87">
        <w:t xml:space="preserve">of </w:t>
      </w:r>
      <w:r w:rsidRPr="00B56A78" w:rsidR="00370D5E">
        <w:t xml:space="preserve">defendant’s </w:t>
      </w:r>
      <w:r w:rsidRPr="00B56A78" w:rsidR="00A50748">
        <w:t xml:space="preserve">sentencing, </w:t>
      </w:r>
      <w:r w:rsidRPr="00B56A78" w:rsidR="007A454B">
        <w:t>it</w:t>
      </w:r>
      <w:r w:rsidRPr="00B56A78" w:rsidR="00A50748">
        <w:t xml:space="preserve"> would not have </w:t>
      </w:r>
      <w:r w:rsidRPr="00B56A78" w:rsidR="00170F00">
        <w:t>applied</w:t>
      </w:r>
      <w:r w:rsidRPr="00B56A78" w:rsidR="002739FA">
        <w:t xml:space="preserve"> to</w:t>
      </w:r>
      <w:r w:rsidRPr="00B56A78" w:rsidR="00A50748">
        <w:t xml:space="preserve"> </w:t>
      </w:r>
      <w:r w:rsidRPr="00B56A78" w:rsidR="002B214B">
        <w:t xml:space="preserve">his prior prison terms.  </w:t>
      </w:r>
      <w:r w:rsidRPr="00B56A78" w:rsidR="002739FA">
        <w:t>The parties agreed</w:t>
      </w:r>
      <w:r w:rsidRPr="00B56A78" w:rsidR="00976FC3">
        <w:t xml:space="preserve"> </w:t>
      </w:r>
      <w:r w:rsidRPr="00B56A78" w:rsidR="002739FA">
        <w:t>that the amendment a</w:t>
      </w:r>
      <w:r w:rsidRPr="00B56A78" w:rsidR="00C76435">
        <w:t>pplie</w:t>
      </w:r>
      <w:r w:rsidRPr="00B56A78" w:rsidR="00FA4B9C">
        <w:t>s</w:t>
      </w:r>
      <w:r w:rsidRPr="00B56A78" w:rsidR="00C76435">
        <w:t xml:space="preserve"> to all cases </w:t>
      </w:r>
      <w:r w:rsidRPr="00B56A78" w:rsidR="00DB64DA">
        <w:t xml:space="preserve">that were </w:t>
      </w:r>
      <w:r w:rsidRPr="00B56A78" w:rsidR="00C76435">
        <w:t xml:space="preserve">not final </w:t>
      </w:r>
      <w:r w:rsidRPr="00B56A78" w:rsidR="00170F00">
        <w:t>when the</w:t>
      </w:r>
      <w:r w:rsidRPr="00B56A78" w:rsidR="00214D78">
        <w:t xml:space="preserve"> legislation </w:t>
      </w:r>
      <w:r w:rsidRPr="00B56A78" w:rsidR="00170F00">
        <w:t>took effect</w:t>
      </w:r>
      <w:r w:rsidRPr="00B56A78" w:rsidR="001F4C70">
        <w:t xml:space="preserve">.  </w:t>
      </w:r>
      <w:r w:rsidRPr="00B56A78" w:rsidR="00941E1B">
        <w:t>The parties</w:t>
      </w:r>
      <w:r w:rsidRPr="00B56A78" w:rsidR="00FA7835">
        <w:t xml:space="preserve"> disagreed, however, about whether </w:t>
      </w:r>
      <w:r w:rsidRPr="00B56A78" w:rsidR="005B65C9">
        <w:t>defendant</w:t>
      </w:r>
      <w:r w:rsidRPr="00B56A78" w:rsidR="00C7055A">
        <w:t xml:space="preserve">’s </w:t>
      </w:r>
      <w:r w:rsidRPr="00B56A78" w:rsidR="00A65B30">
        <w:t>case</w:t>
      </w:r>
      <w:r w:rsidRPr="00B56A78" w:rsidR="00C7055A">
        <w:t xml:space="preserve"> </w:t>
      </w:r>
      <w:r w:rsidRPr="00B56A78">
        <w:t>was already final.</w:t>
      </w:r>
    </w:p>
    <w:p w:rsidR="0003611D" w:rsidRPr="00B56A78" w:rsidP="009852EB">
      <w:pPr>
        <w:ind w:firstLine="720"/>
      </w:pPr>
      <w:r w:rsidRPr="00B56A78">
        <w:t xml:space="preserve">The Court of Appeal held that it was.  </w:t>
      </w:r>
      <w:r w:rsidRPr="00B56A78" w:rsidR="00A132DC">
        <w:t xml:space="preserve">The court reasoned that </w:t>
      </w:r>
      <w:r w:rsidRPr="00B56A78" w:rsidR="00FE2697">
        <w:t xml:space="preserve">defendant </w:t>
      </w:r>
      <w:r w:rsidRPr="00B56A78" w:rsidR="001C7E04">
        <w:t xml:space="preserve">could have appealed his sentence when </w:t>
      </w:r>
      <w:r w:rsidRPr="00B56A78" w:rsidR="009E6BEC">
        <w:t>that sentence</w:t>
      </w:r>
      <w:r w:rsidRPr="00B56A78" w:rsidR="001C7E04">
        <w:t xml:space="preserve"> was imposed</w:t>
      </w:r>
      <w:r w:rsidR="001A47E3">
        <w:t>,</w:t>
      </w:r>
      <w:r w:rsidR="00B56A78">
        <w:t xml:space="preserve"> </w:t>
      </w:r>
      <w:r w:rsidRPr="00B56A78" w:rsidR="009E6BEC">
        <w:t>in 2015</w:t>
      </w:r>
      <w:r w:rsidRPr="00B56A78" w:rsidR="001C7E04">
        <w:t xml:space="preserve">.  </w:t>
      </w:r>
      <w:r w:rsidRPr="00B56A78" w:rsidR="003D30BF">
        <w:t>The</w:t>
      </w:r>
      <w:r w:rsidRPr="00B56A78" w:rsidR="00D37425">
        <w:t xml:space="preserve"> sentence became final, the court continued, when </w:t>
      </w:r>
      <w:r w:rsidRPr="00B56A78" w:rsidR="00FE2697">
        <w:t xml:space="preserve">defendant </w:t>
      </w:r>
      <w:r w:rsidRPr="00B56A78" w:rsidR="00D37425">
        <w:t xml:space="preserve">failed </w:t>
      </w:r>
      <w:r w:rsidRPr="00B56A78" w:rsidR="00370B72">
        <w:t>to</w:t>
      </w:r>
      <w:r w:rsidRPr="00B56A78" w:rsidR="00AC662B">
        <w:t xml:space="preserve"> timely appeal </w:t>
      </w:r>
      <w:r w:rsidRPr="00B56A78" w:rsidR="00317C0A">
        <w:t>from the order</w:t>
      </w:r>
      <w:r w:rsidRPr="00B56A78" w:rsidR="00AC662B">
        <w:t xml:space="preserve"> </w:t>
      </w:r>
      <w:r w:rsidRPr="00B56A78" w:rsidR="00317C0A">
        <w:t>imposing sentence</w:t>
      </w:r>
      <w:r w:rsidRPr="00B56A78" w:rsidR="00AC662B">
        <w:t xml:space="preserve">.  </w:t>
      </w:r>
      <w:r w:rsidRPr="00B56A78" w:rsidR="00A66299">
        <w:t>(</w:t>
      </w:r>
      <w:r w:rsidRPr="00B56A78" w:rsidR="00A66299">
        <w:rPr>
          <w:i/>
          <w:iCs/>
        </w:rPr>
        <w:t xml:space="preserve">People v. Esquivel </w:t>
      </w:r>
      <w:r w:rsidRPr="00B56A78" w:rsidR="00A66299">
        <w:t xml:space="preserve">(Mar. 26, 2020, B294024) [nonpub. opn.].)  </w:t>
      </w:r>
      <w:r w:rsidRPr="00B56A78" w:rsidR="006E1380">
        <w:t>We granted review.</w:t>
      </w:r>
      <w:r>
        <w:rPr>
          <w:rStyle w:val="FootnoteReference"/>
        </w:rPr>
        <w:footnoteReference w:id="3"/>
      </w:r>
    </w:p>
    <w:p w:rsidR="00E851DF" w:rsidRPr="00B56A78" w:rsidP="009852EB">
      <w:pPr>
        <w:pStyle w:val="Heading1"/>
        <w:rPr>
          <w:iCs/>
        </w:rPr>
      </w:pPr>
      <w:bookmarkEnd w:id="11"/>
      <w:bookmarkEnd w:id="12"/>
      <w:r w:rsidRPr="00B56A78">
        <w:t xml:space="preserve">II.  </w:t>
      </w:r>
      <w:r w:rsidRPr="00B56A78" w:rsidR="002008A1">
        <w:rPr>
          <w:iCs/>
        </w:rPr>
        <w:t xml:space="preserve">The </w:t>
      </w:r>
      <w:r w:rsidRPr="00B56A78" w:rsidR="002008A1">
        <w:rPr>
          <w:i/>
        </w:rPr>
        <w:t>Estrada</w:t>
      </w:r>
      <w:r w:rsidRPr="00B56A78" w:rsidR="002008A1">
        <w:rPr>
          <w:iCs/>
        </w:rPr>
        <w:t xml:space="preserve"> </w:t>
      </w:r>
      <w:r w:rsidRPr="00B56A78" w:rsidR="006630E5">
        <w:rPr>
          <w:iCs/>
        </w:rPr>
        <w:t>Presumption</w:t>
      </w:r>
    </w:p>
    <w:p w:rsidR="001252A1" w:rsidRPr="00B56A78" w:rsidP="009852EB">
      <w:pPr>
        <w:tabs>
          <w:tab w:val="left" w:pos="1440"/>
        </w:tabs>
        <w:ind w:firstLine="720"/>
      </w:pPr>
      <w:r w:rsidRPr="00B56A78">
        <w:t xml:space="preserve">George Ramirez Estrada </w:t>
      </w:r>
      <w:r w:rsidRPr="00B56A78" w:rsidR="0059527C">
        <w:t xml:space="preserve">was convicted of a misdemeanor </w:t>
      </w:r>
      <w:r w:rsidRPr="00B56A78" w:rsidR="006D4CAB">
        <w:t>drug offense and committed to a rehabilitation center.  (</w:t>
      </w:r>
      <w:r w:rsidRPr="00B56A78" w:rsidR="006D4CAB">
        <w:rPr>
          <w:i/>
          <w:iCs/>
        </w:rPr>
        <w:t>Estrada</w:t>
      </w:r>
      <w:r w:rsidRPr="00B56A78" w:rsidR="006D4CAB">
        <w:t xml:space="preserve">, </w:t>
      </w:r>
      <w:r w:rsidRPr="00B56A78" w:rsidR="006D4CAB">
        <w:rPr>
          <w:i/>
          <w:iCs/>
        </w:rPr>
        <w:t>supra</w:t>
      </w:r>
      <w:r w:rsidRPr="00B56A78" w:rsidR="006D4CAB">
        <w:t>, 63 Cal.2d at p. 742.)</w:t>
      </w:r>
      <w:r w:rsidRPr="00B56A78" w:rsidR="00B50E19">
        <w:t xml:space="preserve">  He escaped.  (</w:t>
      </w:r>
      <w:r w:rsidRPr="00B56A78" w:rsidR="00B50E19">
        <w:rPr>
          <w:i/>
          <w:iCs/>
        </w:rPr>
        <w:t>Ibid.</w:t>
      </w:r>
      <w:r w:rsidRPr="00B56A78" w:rsidR="00B50E19">
        <w:t>)</w:t>
      </w:r>
      <w:r w:rsidRPr="00B56A78" w:rsidR="005810DF">
        <w:t xml:space="preserve">  At that time, </w:t>
      </w:r>
      <w:r w:rsidRPr="00B56A78" w:rsidR="001A4408">
        <w:t xml:space="preserve">a person convicted of such an escape could not be paroled </w:t>
      </w:r>
      <w:r w:rsidRPr="00B56A78" w:rsidR="00D712B3">
        <w:t xml:space="preserve">without </w:t>
      </w:r>
      <w:r w:rsidRPr="00B56A78" w:rsidR="00D712B3">
        <w:t>first</w:t>
      </w:r>
      <w:r w:rsidRPr="00B56A78" w:rsidR="001A4408">
        <w:t xml:space="preserve"> serving</w:t>
      </w:r>
      <w:r w:rsidRPr="00B56A78" w:rsidR="00D712B3">
        <w:t xml:space="preserve"> two years in prison.  (</w:t>
      </w:r>
      <w:r w:rsidRPr="00B56A78" w:rsidR="00D712B3">
        <w:rPr>
          <w:i/>
          <w:iCs/>
        </w:rPr>
        <w:t>Id.</w:t>
      </w:r>
      <w:r w:rsidRPr="00B56A78" w:rsidR="00D712B3">
        <w:t xml:space="preserve"> at pp. 742–744.)</w:t>
      </w:r>
      <w:r w:rsidRPr="00B56A78" w:rsidR="00EE3963">
        <w:t xml:space="preserve">  </w:t>
      </w:r>
      <w:r w:rsidRPr="00B56A78" w:rsidR="009F5D7A">
        <w:t xml:space="preserve">Before Estrada was convicted and sentenced, however, </w:t>
      </w:r>
      <w:r w:rsidRPr="00B56A78" w:rsidR="008C06A5">
        <w:t xml:space="preserve">new legislation </w:t>
      </w:r>
      <w:r w:rsidRPr="00B56A78" w:rsidR="00014983">
        <w:t xml:space="preserve">that </w:t>
      </w:r>
      <w:r w:rsidRPr="00B56A78" w:rsidR="00EC3FE9">
        <w:t>afforded</w:t>
      </w:r>
      <w:r w:rsidRPr="00B56A78" w:rsidR="009F5D7A">
        <w:t xml:space="preserve"> earlier parole</w:t>
      </w:r>
      <w:r w:rsidRPr="00B56A78" w:rsidR="00AB22DC">
        <w:t xml:space="preserve"> eligibility</w:t>
      </w:r>
      <w:r w:rsidRPr="00B56A78" w:rsidR="00014983">
        <w:t xml:space="preserve"> took effect</w:t>
      </w:r>
      <w:r w:rsidRPr="00B56A78" w:rsidR="009F5D7A">
        <w:t xml:space="preserve">.  </w:t>
      </w:r>
      <w:r w:rsidRPr="00B56A78" w:rsidR="005C1ED4">
        <w:t>(</w:t>
      </w:r>
      <w:r w:rsidRPr="00B56A78" w:rsidR="005C1ED4">
        <w:rPr>
          <w:i/>
          <w:iCs/>
        </w:rPr>
        <w:t>Id.</w:t>
      </w:r>
      <w:r w:rsidRPr="00B56A78" w:rsidR="005C1ED4">
        <w:t xml:space="preserve"> at p. 744.)</w:t>
      </w:r>
      <w:r w:rsidRPr="00B56A78" w:rsidR="00D82A70">
        <w:t xml:space="preserve">  This court held that Estrada was entitled to the benefit of the new legislation.  </w:t>
      </w:r>
      <w:r w:rsidRPr="00B56A78" w:rsidR="009107EF">
        <w:t>(</w:t>
      </w:r>
      <w:r w:rsidRPr="00B56A78" w:rsidR="009107EF">
        <w:rPr>
          <w:i/>
          <w:iCs/>
        </w:rPr>
        <w:t>Ibid.</w:t>
      </w:r>
      <w:r w:rsidRPr="00B56A78" w:rsidR="009107EF">
        <w:t>)</w:t>
      </w:r>
      <w:r w:rsidRPr="00B56A78">
        <w:t xml:space="preserve">  “If the amendatory statute lessening punishment becomes effective prior to the date the judgment of conviction becomes final,” we concluded, then “it, and not the old statute in effect when the prohibited act was committed, applies.”  (</w:t>
      </w:r>
      <w:r w:rsidRPr="00B56A78">
        <w:rPr>
          <w:i/>
          <w:iCs/>
        </w:rPr>
        <w:t>Ibid.</w:t>
      </w:r>
      <w:r w:rsidRPr="00B56A78">
        <w:t>)</w:t>
      </w:r>
    </w:p>
    <w:p w:rsidR="00E4348E" w:rsidRPr="00B56A78" w:rsidP="009852EB">
      <w:pPr>
        <w:tabs>
          <w:tab w:val="left" w:pos="1440"/>
        </w:tabs>
        <w:ind w:firstLine="720"/>
      </w:pPr>
      <w:r w:rsidRPr="00B56A78">
        <w:t>The issue, we reasoned, was one of legislative intent.  (</w:t>
      </w:r>
      <w:r w:rsidRPr="00B56A78">
        <w:rPr>
          <w:i/>
          <w:iCs/>
        </w:rPr>
        <w:t>Estrada</w:t>
      </w:r>
      <w:r w:rsidRPr="00B56A78">
        <w:t xml:space="preserve">, </w:t>
      </w:r>
      <w:r w:rsidRPr="00B56A78">
        <w:rPr>
          <w:i/>
          <w:iCs/>
        </w:rPr>
        <w:t>supra</w:t>
      </w:r>
      <w:r w:rsidRPr="00B56A78">
        <w:t>, 63</w:t>
      </w:r>
      <w:r w:rsidRPr="00B56A78" w:rsidR="000C5950">
        <w:t> </w:t>
      </w:r>
      <w:r w:rsidRPr="00B56A78">
        <w:t>Cal.2d at p. 744.)</w:t>
      </w:r>
      <w:r w:rsidRPr="00B56A78" w:rsidR="001D74C7">
        <w:t xml:space="preserve">  “Had the Legislature expressly stated which statute should apply, its determination, either way, would have been legal and constitutional.”  (</w:t>
      </w:r>
      <w:r w:rsidRPr="00B56A78" w:rsidR="001D74C7">
        <w:rPr>
          <w:i/>
          <w:iCs/>
        </w:rPr>
        <w:t>Ibid.</w:t>
      </w:r>
      <w:r w:rsidRPr="00B56A78" w:rsidR="001D74C7">
        <w:t xml:space="preserve">)  </w:t>
      </w:r>
      <w:r w:rsidRPr="00B56A78" w:rsidR="00F370FC">
        <w:t>In</w:t>
      </w:r>
      <w:r w:rsidRPr="00B56A78" w:rsidR="00C752F5">
        <w:t xml:space="preserve"> the absence </w:t>
      </w:r>
      <w:r w:rsidRPr="00B56A78" w:rsidR="00591976">
        <w:t xml:space="preserve">of </w:t>
      </w:r>
      <w:r w:rsidRPr="00B56A78" w:rsidR="000F477A">
        <w:t>such a</w:t>
      </w:r>
      <w:r w:rsidRPr="00B56A78" w:rsidR="00C752F5">
        <w:t xml:space="preserve"> declaration of intent</w:t>
      </w:r>
      <w:r w:rsidRPr="00B56A78" w:rsidR="00F370FC">
        <w:t>, we identified “one consideration of paramount importance”</w:t>
      </w:r>
      <w:r w:rsidRPr="00B56A78" w:rsidR="00A66299">
        <w:t xml:space="preserve"> (</w:t>
      </w:r>
      <w:r w:rsidRPr="00B56A78" w:rsidR="00A66299">
        <w:rPr>
          <w:i/>
          <w:iCs/>
        </w:rPr>
        <w:t>ibid.</w:t>
      </w:r>
      <w:r w:rsidRPr="00B56A78" w:rsidR="00A66299">
        <w:t>)</w:t>
      </w:r>
      <w:r w:rsidRPr="00B56A78" w:rsidR="00F370FC">
        <w:t>:  “</w:t>
      </w:r>
      <w:r w:rsidRPr="00B56A78" w:rsidR="002C15FC">
        <w:t>When the Legislature amends a statute so as to lessen the punishment</w:t>
      </w:r>
      <w:r w:rsidRPr="00B56A78" w:rsidR="00A66299">
        <w:t xml:space="preserve">[,] </w:t>
      </w:r>
      <w:r w:rsidRPr="00B56A78" w:rsidR="002C15FC">
        <w:t xml:space="preserve"> it has obviously expressly determined that its former penalty was too severe and that a lighter punishment is proper as punishment for the commission of the prohibited act.  It is an inevitable inference that the Legislature must have intended that the new statute imposing the new lighter penalty now deemed to be sufficient should apply to every case to which it constitutionally could apply.</w:t>
      </w:r>
      <w:r w:rsidRPr="00B56A78" w:rsidR="00C752F5">
        <w:t xml:space="preserve">  </w:t>
      </w:r>
      <w:r w:rsidRPr="00B56A78" w:rsidR="002C15FC">
        <w:t>The amendatory act imposing the lighter punishment can be applied constitutionally to acts committed before its passage provided the judgment convicting the defendant of the act is not final</w:t>
      </w:r>
      <w:r w:rsidRPr="00B56A78" w:rsidR="00C752F5">
        <w:t xml:space="preserve">.  </w:t>
      </w:r>
      <w:r w:rsidRPr="00B56A78" w:rsidR="002C15FC">
        <w:t>This intent seems obvious, because to hold otherwise would be to conclude that the Legislature was motivated by a desire for vengeance, a conclusion not permitted in view of modern theories of penology.</w:t>
      </w:r>
      <w:r w:rsidRPr="00B56A78" w:rsidR="00C752F5">
        <w:t>”  (</w:t>
      </w:r>
      <w:r w:rsidRPr="00B56A78" w:rsidR="00C752F5">
        <w:rPr>
          <w:i/>
          <w:iCs/>
        </w:rPr>
        <w:t>Id.</w:t>
      </w:r>
      <w:r w:rsidRPr="00B56A78" w:rsidR="00C752F5">
        <w:t xml:space="preserve"> at p. 745.)</w:t>
      </w:r>
      <w:r w:rsidRPr="00B56A78" w:rsidR="002B70F2">
        <w:t xml:space="preserve">  </w:t>
      </w:r>
      <w:r w:rsidRPr="00B56A78" w:rsidR="0016671A">
        <w:t>Under those theories, p</w:t>
      </w:r>
      <w:r w:rsidRPr="00B56A78" w:rsidR="00B339A8">
        <w:t xml:space="preserve">unishment </w:t>
      </w:r>
      <w:r w:rsidRPr="00B56A78" w:rsidR="0016671A">
        <w:t xml:space="preserve">is appropriate </w:t>
      </w:r>
      <w:r w:rsidRPr="00B56A78" w:rsidR="00B339A8">
        <w:t>to deter, confine, and rehabilitate</w:t>
      </w:r>
      <w:r w:rsidRPr="00B56A78" w:rsidR="00E807A3">
        <w:t xml:space="preserve">; </w:t>
      </w:r>
      <w:r w:rsidRPr="00B56A78" w:rsidR="0097752C">
        <w:t>“ ‘[t]here is no place in the scheme for punishment for its own sake.’ ”  (</w:t>
      </w:r>
      <w:r w:rsidRPr="00B56A78" w:rsidR="0097752C">
        <w:rPr>
          <w:i/>
          <w:iCs/>
        </w:rPr>
        <w:t>I</w:t>
      </w:r>
      <w:r w:rsidRPr="00B56A78" w:rsidR="00A66299">
        <w:rPr>
          <w:i/>
          <w:iCs/>
        </w:rPr>
        <w:t>bi</w:t>
      </w:r>
      <w:r w:rsidRPr="00B56A78" w:rsidR="0097752C">
        <w:rPr>
          <w:i/>
          <w:iCs/>
        </w:rPr>
        <w:t>d.</w:t>
      </w:r>
      <w:r w:rsidRPr="00B56A78" w:rsidR="0097752C">
        <w:t>)</w:t>
      </w:r>
      <w:r>
        <w:rPr>
          <w:rStyle w:val="FootnoteReference"/>
        </w:rPr>
        <w:footnoteReference w:id="4"/>
      </w:r>
      <w:r w:rsidRPr="00B56A78" w:rsidR="002C0A16">
        <w:t xml:space="preserve">  </w:t>
      </w:r>
    </w:p>
    <w:p w:rsidR="00B67361" w:rsidRPr="00B56A78" w:rsidP="009852EB">
      <w:pPr>
        <w:tabs>
          <w:tab w:val="left" w:pos="1440"/>
        </w:tabs>
        <w:ind w:firstLine="720"/>
      </w:pPr>
      <w:r w:rsidRPr="00B56A78">
        <w:rPr>
          <w:i/>
          <w:iCs/>
        </w:rPr>
        <w:t>Estrada</w:t>
      </w:r>
      <w:r w:rsidRPr="00B56A78" w:rsidR="009A34AB">
        <w:t xml:space="preserve">’s presumption of retroactivity has </w:t>
      </w:r>
      <w:r w:rsidRPr="00B56A78" w:rsidR="00641CAF">
        <w:t>been</w:t>
      </w:r>
      <w:r w:rsidRPr="00B56A78" w:rsidR="009A34AB">
        <w:t xml:space="preserve"> a fixture of our criminal </w:t>
      </w:r>
      <w:r w:rsidRPr="00B56A78" w:rsidR="00641CAF">
        <w:t xml:space="preserve">law for more than </w:t>
      </w:r>
      <w:r w:rsidRPr="00B56A78" w:rsidR="00A66299">
        <w:t>50</w:t>
      </w:r>
      <w:r w:rsidRPr="00B56A78" w:rsidR="00641CAF">
        <w:t xml:space="preserve"> years.  </w:t>
      </w:r>
      <w:r w:rsidRPr="00B56A78" w:rsidR="00C726F6">
        <w:t xml:space="preserve">During </w:t>
      </w:r>
      <w:r w:rsidRPr="00B56A78" w:rsidR="00385862">
        <w:t xml:space="preserve">this </w:t>
      </w:r>
      <w:r w:rsidRPr="00B56A78" w:rsidR="00C726F6">
        <w:t xml:space="preserve">time, </w:t>
      </w:r>
      <w:r w:rsidRPr="00B56A78" w:rsidR="008A22E1">
        <w:t>“the development of modern theories of penology has continued to unfold.”  (</w:t>
      </w:r>
      <w:r w:rsidRPr="00B56A78" w:rsidR="008A22E1">
        <w:rPr>
          <w:i/>
          <w:iCs/>
        </w:rPr>
        <w:t>In re Pedro T.</w:t>
      </w:r>
      <w:r w:rsidRPr="00B56A78" w:rsidR="008A22E1">
        <w:t xml:space="preserve"> (1994) 8 Cal.4th 1041, 1045</w:t>
      </w:r>
      <w:r w:rsidRPr="00B56A78" w:rsidR="00A66299">
        <w:t>, fn. 1</w:t>
      </w:r>
      <w:r w:rsidRPr="00B56A78" w:rsidR="008A22E1">
        <w:t>.)</w:t>
      </w:r>
      <w:r w:rsidRPr="00B56A78" w:rsidR="003E5A7C">
        <w:t xml:space="preserve">  </w:t>
      </w:r>
      <w:r w:rsidRPr="00B56A78" w:rsidR="00501A96">
        <w:t>About</w:t>
      </w:r>
      <w:r w:rsidRPr="00B56A78" w:rsidR="003E5A7C">
        <w:t xml:space="preserve"> </w:t>
      </w:r>
      <w:r w:rsidRPr="00B56A78" w:rsidR="00A66299">
        <w:t>10</w:t>
      </w:r>
      <w:r w:rsidRPr="00B56A78" w:rsidR="003E5A7C">
        <w:t xml:space="preserve"> years after we decided </w:t>
      </w:r>
      <w:r w:rsidRPr="00B56A78" w:rsidR="003E5A7C">
        <w:rPr>
          <w:i/>
          <w:iCs/>
        </w:rPr>
        <w:t>Estrada</w:t>
      </w:r>
      <w:r w:rsidRPr="00B56A78" w:rsidR="003E5A7C">
        <w:t xml:space="preserve">, our Legislature </w:t>
      </w:r>
      <w:r w:rsidRPr="00B56A78" w:rsidR="00B75F77">
        <w:t>“declare[d] that the purpose of imprisonment for crime is punishment.”</w:t>
      </w:r>
      <w:r w:rsidRPr="00B56A78" w:rsidR="00C041AD">
        <w:t xml:space="preserve">  </w:t>
      </w:r>
      <w:r w:rsidRPr="00B56A78" w:rsidR="00B75F77">
        <w:t>(</w:t>
      </w:r>
      <w:r w:rsidRPr="00B56A78" w:rsidR="0017393E">
        <w:t>Stats.</w:t>
      </w:r>
      <w:r w:rsidRPr="00B56A78" w:rsidR="001F1296">
        <w:t xml:space="preserve"> </w:t>
      </w:r>
      <w:r w:rsidRPr="00B56A78" w:rsidR="0017393E">
        <w:t>1976, c</w:t>
      </w:r>
      <w:r w:rsidRPr="00B56A78" w:rsidR="001A4C61">
        <w:t>h</w:t>
      </w:r>
      <w:r w:rsidRPr="00B56A78" w:rsidR="0017393E">
        <w:t>. 1139, §</w:t>
      </w:r>
      <w:r w:rsidRPr="00B56A78" w:rsidR="001F1296">
        <w:t> </w:t>
      </w:r>
      <w:r w:rsidRPr="00B56A78" w:rsidR="0017393E">
        <w:t>273</w:t>
      </w:r>
      <w:r w:rsidRPr="00B56A78" w:rsidR="001F1296">
        <w:t>, p. 5140</w:t>
      </w:r>
      <w:r w:rsidRPr="00B56A78" w:rsidR="00A66299">
        <w:t>, adding Pen. Code, § 1170</w:t>
      </w:r>
      <w:r w:rsidRPr="00B56A78" w:rsidR="00274A86">
        <w:t>.</w:t>
      </w:r>
      <w:r w:rsidRPr="00B56A78" w:rsidR="0017393E">
        <w:t>)</w:t>
      </w:r>
      <w:r w:rsidRPr="00B56A78" w:rsidR="008A22E1">
        <w:t xml:space="preserve">  </w:t>
      </w:r>
      <w:r w:rsidRPr="00B56A78" w:rsidR="009A6339">
        <w:t>The Legislature</w:t>
      </w:r>
      <w:r w:rsidRPr="00B56A78" w:rsidR="00E977ED">
        <w:t xml:space="preserve"> did not </w:t>
      </w:r>
      <w:r w:rsidRPr="00B56A78" w:rsidR="004B2893">
        <w:t>directly</w:t>
      </w:r>
      <w:r w:rsidRPr="00B56A78" w:rsidR="007134EA">
        <w:t xml:space="preserve"> address the </w:t>
      </w:r>
      <w:r w:rsidRPr="00B56A78" w:rsidR="007134EA">
        <w:rPr>
          <w:i/>
          <w:iCs/>
        </w:rPr>
        <w:t>Estrada</w:t>
      </w:r>
      <w:r w:rsidRPr="00B56A78" w:rsidR="007134EA">
        <w:t xml:space="preserve"> presumption, however, and we</w:t>
      </w:r>
      <w:r w:rsidRPr="00B56A78" w:rsidR="00901052">
        <w:t xml:space="preserve"> </w:t>
      </w:r>
      <w:r w:rsidRPr="00B56A78" w:rsidR="007134EA">
        <w:t xml:space="preserve">adhered to that presumption </w:t>
      </w:r>
      <w:r w:rsidRPr="00B56A78" w:rsidR="009A6339">
        <w:t>in the years that followed</w:t>
      </w:r>
      <w:r w:rsidRPr="00B56A78" w:rsidR="007134EA">
        <w:t xml:space="preserve">.  (See </w:t>
      </w:r>
      <w:r w:rsidRPr="00B56A78" w:rsidR="007134EA">
        <w:rPr>
          <w:i/>
          <w:iCs/>
        </w:rPr>
        <w:t>People v. Nasalga</w:t>
      </w:r>
      <w:r w:rsidRPr="00B56A78" w:rsidR="007134EA">
        <w:t xml:space="preserve"> (1996) 12 Cal.4th 784, 792</w:t>
      </w:r>
      <w:r w:rsidRPr="00B56A78" w:rsidR="0011386F">
        <w:t xml:space="preserve"> (plur. opn.);</w:t>
      </w:r>
      <w:r w:rsidRPr="00B56A78" w:rsidR="00731AED">
        <w:t xml:space="preserve"> see also </w:t>
      </w:r>
      <w:r w:rsidRPr="00B56A78" w:rsidR="00731AED">
        <w:rPr>
          <w:i/>
          <w:iCs/>
        </w:rPr>
        <w:t>id.</w:t>
      </w:r>
      <w:r w:rsidRPr="00B56A78" w:rsidR="000161E1">
        <w:rPr>
          <w:i/>
          <w:iCs/>
        </w:rPr>
        <w:t xml:space="preserve"> </w:t>
      </w:r>
      <w:r w:rsidRPr="00B56A78" w:rsidR="00731AED">
        <w:t>at p.</w:t>
      </w:r>
      <w:r w:rsidR="00A61CB9">
        <w:t> </w:t>
      </w:r>
      <w:r w:rsidRPr="00B56A78" w:rsidR="00731AED">
        <w:t>799</w:t>
      </w:r>
      <w:r w:rsidRPr="00B56A78" w:rsidR="0011386F">
        <w:t xml:space="preserve"> (</w:t>
      </w:r>
      <w:r w:rsidRPr="00B56A78" w:rsidR="005276B4">
        <w:t>conc. opn. of Kennard, J.)</w:t>
      </w:r>
      <w:r w:rsidRPr="00B56A78" w:rsidR="00F7503C">
        <w:t>.)</w:t>
      </w:r>
      <w:r w:rsidRPr="00B56A78" w:rsidR="005276B4">
        <w:t xml:space="preserve">  </w:t>
      </w:r>
      <w:r w:rsidRPr="00B56A78" w:rsidR="00731AED">
        <w:t xml:space="preserve">More recently, our Legislature </w:t>
      </w:r>
      <w:r w:rsidRPr="00B56A78" w:rsidR="006F71F1">
        <w:t>conveyed</w:t>
      </w:r>
      <w:r w:rsidRPr="00B56A78" w:rsidR="009A6339">
        <w:t xml:space="preserve"> that</w:t>
      </w:r>
      <w:r w:rsidRPr="00B56A78" w:rsidR="00DB5019">
        <w:t xml:space="preserve"> “the purpose of sentencing is public safety achieved through punishment, rehabilitation, and restorative justice” — echoing a premise on which </w:t>
      </w:r>
      <w:r w:rsidRPr="00B56A78" w:rsidR="00DB5019">
        <w:rPr>
          <w:i/>
          <w:iCs/>
        </w:rPr>
        <w:t>Estrada</w:t>
      </w:r>
      <w:r w:rsidRPr="00B56A78" w:rsidR="00DB5019">
        <w:t xml:space="preserve"> </w:t>
      </w:r>
      <w:r w:rsidRPr="00B56A78" w:rsidR="0006153C">
        <w:t>was based.  (</w:t>
      </w:r>
      <w:r w:rsidRPr="00B56A78" w:rsidR="009F08A7">
        <w:t>Pen. Code, § 1170, subd. (a)(1)</w:t>
      </w:r>
      <w:r w:rsidRPr="00B56A78" w:rsidR="00A66299">
        <w:t>, as amended by</w:t>
      </w:r>
      <w:r w:rsidRPr="00B56A78" w:rsidR="00DD0924">
        <w:t xml:space="preserve"> </w:t>
      </w:r>
      <w:r w:rsidRPr="00B56A78" w:rsidR="00821F3E">
        <w:t>Stats. 2016, c</w:t>
      </w:r>
      <w:r w:rsidRPr="00B56A78" w:rsidR="00574D36">
        <w:t>h</w:t>
      </w:r>
      <w:r w:rsidRPr="00B56A78" w:rsidR="00821F3E">
        <w:t xml:space="preserve">. </w:t>
      </w:r>
      <w:r w:rsidRPr="00B56A78" w:rsidR="00A23DCE">
        <w:t>696, §</w:t>
      </w:r>
      <w:r w:rsidRPr="00B56A78" w:rsidR="00342206">
        <w:t> 1</w:t>
      </w:r>
      <w:r w:rsidRPr="00B56A78" w:rsidR="005276B4">
        <w:t xml:space="preserve">.)  </w:t>
      </w:r>
      <w:r w:rsidRPr="00B56A78" w:rsidR="0079502D">
        <w:t>And regardless of the reason</w:t>
      </w:r>
      <w:r w:rsidRPr="00B56A78" w:rsidR="00533869">
        <w:t>s</w:t>
      </w:r>
      <w:r w:rsidRPr="00B56A78" w:rsidR="0079502D">
        <w:t xml:space="preserve"> </w:t>
      </w:r>
      <w:r w:rsidRPr="00B56A78" w:rsidR="001F30D9">
        <w:t>for imposing punishment</w:t>
      </w:r>
      <w:r w:rsidRPr="00B56A78" w:rsidR="00533869">
        <w:t>,</w:t>
      </w:r>
      <w:r w:rsidRPr="00B56A78" w:rsidR="00C842EC">
        <w:t xml:space="preserve"> ameliorative legislation reflects a determination that a “former penalty was too severe and that lighter punishment is proper.”  (</w:t>
      </w:r>
      <w:r w:rsidRPr="00B56A78" w:rsidR="00C842EC">
        <w:rPr>
          <w:i/>
          <w:iCs/>
        </w:rPr>
        <w:t>Estrada</w:t>
      </w:r>
      <w:r w:rsidRPr="00B56A78" w:rsidR="00C842EC">
        <w:t xml:space="preserve">, </w:t>
      </w:r>
      <w:r w:rsidRPr="00B56A78" w:rsidR="00A66299">
        <w:rPr>
          <w:i/>
          <w:iCs/>
        </w:rPr>
        <w:t>supra</w:t>
      </w:r>
      <w:r w:rsidRPr="00B56A78" w:rsidR="00A66299">
        <w:t xml:space="preserve">, 63 Cal.2d </w:t>
      </w:r>
      <w:r w:rsidRPr="00B56A78" w:rsidR="00C842EC">
        <w:t>at p. 74</w:t>
      </w:r>
      <w:r w:rsidRPr="00B56A78" w:rsidR="00A66299">
        <w:t>5</w:t>
      </w:r>
      <w:r w:rsidRPr="00B56A78" w:rsidR="00C842EC">
        <w:t>.)</w:t>
      </w:r>
      <w:r w:rsidRPr="00B56A78" w:rsidR="00597005">
        <w:t xml:space="preserve">  </w:t>
      </w:r>
    </w:p>
    <w:p w:rsidR="00031B57" w:rsidRPr="00B56A78" w:rsidP="009852EB">
      <w:pPr>
        <w:tabs>
          <w:tab w:val="left" w:pos="1440"/>
        </w:tabs>
        <w:ind w:firstLine="720"/>
      </w:pPr>
      <w:r w:rsidRPr="00B56A78">
        <w:rPr>
          <w:i/>
          <w:iCs/>
        </w:rPr>
        <w:t>Estrada</w:t>
      </w:r>
      <w:r w:rsidRPr="00B56A78">
        <w:t xml:space="preserve"> </w:t>
      </w:r>
      <w:r w:rsidRPr="00B56A78" w:rsidR="007D74CD">
        <w:t xml:space="preserve">thus continues to </w:t>
      </w:r>
      <w:r w:rsidRPr="00B56A78">
        <w:t>stand</w:t>
      </w:r>
      <w:r w:rsidRPr="00B56A78" w:rsidR="007D74CD">
        <w:t xml:space="preserve"> </w:t>
      </w:r>
      <w:r w:rsidRPr="00B56A78">
        <w:t>for the proposition that (i)</w:t>
      </w:r>
      <w:r w:rsidRPr="00B56A78" w:rsidR="003C0A69">
        <w:t> </w:t>
      </w:r>
      <w:r w:rsidRPr="00B56A78">
        <w:t>in the absence of a contrary indication of legislative intent, (ii)</w:t>
      </w:r>
      <w:r w:rsidRPr="00B56A78" w:rsidR="00B44FA9">
        <w:t> </w:t>
      </w:r>
      <w:r w:rsidRPr="00B56A78">
        <w:t>legislation that ameliorates punishment (iii)</w:t>
      </w:r>
      <w:r w:rsidRPr="00B56A78" w:rsidR="003C0A69">
        <w:t> </w:t>
      </w:r>
      <w:r w:rsidRPr="00B56A78">
        <w:t xml:space="preserve">applies to all cases that are not </w:t>
      </w:r>
      <w:r w:rsidRPr="00B56A78" w:rsidR="00B4610A">
        <w:t xml:space="preserve">yet </w:t>
      </w:r>
      <w:r w:rsidRPr="00B56A78">
        <w:t>final as of the legislation’s effective date.</w:t>
      </w:r>
      <w:r w:rsidRPr="00B56A78" w:rsidR="00110057">
        <w:t xml:space="preserve">  </w:t>
      </w:r>
    </w:p>
    <w:p w:rsidR="007772F0" w:rsidRPr="00B56A78" w:rsidP="009852EB">
      <w:pPr>
        <w:tabs>
          <w:tab w:val="left" w:pos="1440"/>
        </w:tabs>
        <w:ind w:firstLine="720"/>
      </w:pPr>
      <w:r w:rsidRPr="00B56A78">
        <w:t xml:space="preserve">Our case law has explored each of those </w:t>
      </w:r>
      <w:r w:rsidRPr="00B56A78" w:rsidR="00031B57">
        <w:t xml:space="preserve">three </w:t>
      </w:r>
      <w:r w:rsidRPr="00B56A78">
        <w:t>issues.</w:t>
      </w:r>
      <w:r w:rsidRPr="00B56A78" w:rsidR="00FE0907">
        <w:t xml:space="preserve">  First, w</w:t>
      </w:r>
      <w:r w:rsidRPr="00B56A78" w:rsidR="00B929FF">
        <w:t xml:space="preserve">e have </w:t>
      </w:r>
      <w:r w:rsidRPr="00B56A78" w:rsidR="00C14DA1">
        <w:t>considered whether</w:t>
      </w:r>
      <w:r w:rsidRPr="00B56A78" w:rsidR="00843E9B">
        <w:t xml:space="preserve"> </w:t>
      </w:r>
      <w:r w:rsidRPr="00B56A78" w:rsidR="000C41CF">
        <w:t>an enactment was intended</w:t>
      </w:r>
      <w:r w:rsidRPr="00B56A78" w:rsidR="00821D6A">
        <w:t xml:space="preserve"> to apply </w:t>
      </w:r>
      <w:r w:rsidRPr="00B56A78" w:rsidR="0016174C">
        <w:t xml:space="preserve">only </w:t>
      </w:r>
      <w:r w:rsidRPr="00B56A78" w:rsidR="00B06F97">
        <w:t>prospectively</w:t>
      </w:r>
      <w:r w:rsidRPr="00B56A78" w:rsidR="00821D6A">
        <w:t>.</w:t>
      </w:r>
      <w:r w:rsidRPr="00B56A78">
        <w:t xml:space="preserve">  (See, e.g., </w:t>
      </w:r>
      <w:r w:rsidRPr="00B56A78" w:rsidR="00A11E0A">
        <w:rPr>
          <w:i/>
          <w:iCs/>
        </w:rPr>
        <w:t>In re Kapperman</w:t>
      </w:r>
      <w:r w:rsidRPr="00B56A78" w:rsidR="00A11E0A">
        <w:t xml:space="preserve"> (1974) 11 Cal.3d 542, 546; </w:t>
      </w:r>
      <w:r w:rsidRPr="00B56A78" w:rsidR="00A11E0A">
        <w:rPr>
          <w:i/>
          <w:iCs/>
        </w:rPr>
        <w:t>In re Pedro T.</w:t>
      </w:r>
      <w:r w:rsidRPr="00B56A78" w:rsidR="00A66299">
        <w:t xml:space="preserve">, </w:t>
      </w:r>
      <w:r w:rsidRPr="00B56A78" w:rsidR="00A66299">
        <w:rPr>
          <w:i/>
          <w:iCs/>
        </w:rPr>
        <w:t>supra</w:t>
      </w:r>
      <w:r w:rsidRPr="00B56A78" w:rsidR="00A66299">
        <w:t xml:space="preserve">, </w:t>
      </w:r>
      <w:r w:rsidRPr="00B56A78" w:rsidR="00A11E0A">
        <w:t xml:space="preserve">8 Cal.4th </w:t>
      </w:r>
      <w:r w:rsidRPr="00B56A78" w:rsidR="00A66299">
        <w:t>at pp.</w:t>
      </w:r>
      <w:r w:rsidRPr="00B56A78" w:rsidR="00A11E0A">
        <w:t xml:space="preserve"> 1045–1047; </w:t>
      </w:r>
      <w:r w:rsidRPr="00B56A78" w:rsidR="00A11E0A">
        <w:rPr>
          <w:i/>
          <w:iCs/>
        </w:rPr>
        <w:t>People v. Floyd</w:t>
      </w:r>
      <w:r w:rsidRPr="00B56A78" w:rsidR="00A11E0A">
        <w:t xml:space="preserve"> (2003) 31 Cal.4th 179, 185–186; </w:t>
      </w:r>
      <w:bookmarkStart w:id="13" w:name="_Hlk71620165"/>
      <w:r w:rsidRPr="00B56A78" w:rsidR="00A11E0A">
        <w:rPr>
          <w:i/>
          <w:iCs/>
        </w:rPr>
        <w:t>People v. Conley</w:t>
      </w:r>
      <w:r w:rsidRPr="00B56A78" w:rsidR="00A11E0A">
        <w:t xml:space="preserve"> (2016) 63 Cal.4th 646, 657–659</w:t>
      </w:r>
      <w:r w:rsidRPr="00B56A78" w:rsidR="005D0DA6">
        <w:t xml:space="preserve"> (</w:t>
      </w:r>
      <w:r w:rsidRPr="00B56A78" w:rsidR="005D0DA6">
        <w:rPr>
          <w:i/>
          <w:iCs/>
        </w:rPr>
        <w:t>Conley</w:t>
      </w:r>
      <w:r w:rsidRPr="00B56A78" w:rsidR="005D0DA6">
        <w:t>)</w:t>
      </w:r>
      <w:r w:rsidRPr="00B56A78" w:rsidR="00A11E0A">
        <w:t xml:space="preserve">; </w:t>
      </w:r>
      <w:r w:rsidRPr="00B56A78" w:rsidR="00A11E0A">
        <w:rPr>
          <w:i/>
          <w:iCs/>
        </w:rPr>
        <w:t>People v. Dehoyos</w:t>
      </w:r>
      <w:r w:rsidRPr="00B56A78" w:rsidR="00A11E0A">
        <w:t xml:space="preserve"> (2018) 4 Cal.5th 594, 603; </w:t>
      </w:r>
      <w:r w:rsidRPr="00B56A78" w:rsidR="00A11E0A">
        <w:rPr>
          <w:i/>
          <w:iCs/>
        </w:rPr>
        <w:t>People v. Gentile</w:t>
      </w:r>
      <w:r w:rsidRPr="00B56A78" w:rsidR="00A11E0A">
        <w:t xml:space="preserve"> (2020) 10</w:t>
      </w:r>
      <w:r w:rsidRPr="00B56A78" w:rsidR="00F57E02">
        <w:t> </w:t>
      </w:r>
      <w:r w:rsidRPr="00B56A78" w:rsidR="00A11E0A">
        <w:t>Cal.5th 830, 851–859 (</w:t>
      </w:r>
      <w:r w:rsidRPr="00B56A78" w:rsidR="00A11E0A">
        <w:rPr>
          <w:i/>
          <w:iCs/>
        </w:rPr>
        <w:t>Gentile</w:t>
      </w:r>
      <w:r w:rsidRPr="00B56A78" w:rsidR="00A11E0A">
        <w:t xml:space="preserve">); </w:t>
      </w:r>
      <w:bookmarkEnd w:id="13"/>
      <w:r w:rsidRPr="00B56A78" w:rsidR="00C777F6">
        <w:t xml:space="preserve">cf. </w:t>
      </w:r>
      <w:r w:rsidRPr="00B56A78" w:rsidR="00C777F6">
        <w:rPr>
          <w:i/>
          <w:iCs/>
        </w:rPr>
        <w:t>People v. Viera</w:t>
      </w:r>
      <w:r w:rsidRPr="00B56A78" w:rsidR="00C777F6">
        <w:t xml:space="preserve"> (2005) 35</w:t>
      </w:r>
      <w:r w:rsidRPr="00B56A78" w:rsidR="00F57E02">
        <w:t> </w:t>
      </w:r>
      <w:r w:rsidRPr="00B56A78" w:rsidR="00C777F6">
        <w:t>Cal.4th 264, 305–306 [discussing legislation both enacted and repealed during pendency of a case].</w:t>
      </w:r>
      <w:r w:rsidRPr="00B56A78" w:rsidR="005526D0">
        <w:t>)</w:t>
      </w:r>
      <w:r w:rsidRPr="00B56A78" w:rsidR="00C777F6">
        <w:t xml:space="preserve">  </w:t>
      </w:r>
      <w:r w:rsidRPr="00B56A78" w:rsidR="009A6B17">
        <w:t xml:space="preserve">An express indication of intent is </w:t>
      </w:r>
      <w:r w:rsidRPr="00B56A78" w:rsidR="00494E95">
        <w:t>sufficient but not necessary</w:t>
      </w:r>
      <w:r w:rsidRPr="00B56A78" w:rsidR="005B70C0">
        <w:t xml:space="preserve"> to overcome the </w:t>
      </w:r>
      <w:r w:rsidRPr="00B56A78" w:rsidR="005B70C0">
        <w:rPr>
          <w:i/>
          <w:iCs/>
        </w:rPr>
        <w:t xml:space="preserve">Estrada </w:t>
      </w:r>
      <w:r w:rsidRPr="00B56A78" w:rsidR="005B70C0">
        <w:t>presumption</w:t>
      </w:r>
      <w:r w:rsidRPr="00B56A78" w:rsidR="00494E95">
        <w:t>.  (</w:t>
      </w:r>
      <w:r w:rsidRPr="00B56A78" w:rsidR="00494E95">
        <w:rPr>
          <w:i/>
          <w:iCs/>
        </w:rPr>
        <w:t>Conley</w:t>
      </w:r>
      <w:r w:rsidRPr="00B56A78" w:rsidR="00494E95">
        <w:t>, at p.</w:t>
      </w:r>
      <w:r w:rsidRPr="00B56A78" w:rsidR="009A6DF7">
        <w:t> </w:t>
      </w:r>
      <w:r w:rsidRPr="00B56A78" w:rsidR="0034509F">
        <w:t>656.)</w:t>
      </w:r>
      <w:r w:rsidRPr="00B56A78" w:rsidR="007E5756">
        <w:t xml:space="preserve">  For example, “</w:t>
      </w:r>
      <w:r w:rsidRPr="00B56A78" w:rsidR="00FD2967">
        <w:t>when ameliorative legislation sets out a specific mechanism as the exclusive avenue for retroactive relief, we have held that such legislation does not apply retroactively to nonfinal judgments on direct appeal.”  (</w:t>
      </w:r>
      <w:r w:rsidRPr="00B56A78" w:rsidR="00FD2967">
        <w:rPr>
          <w:i/>
          <w:iCs/>
        </w:rPr>
        <w:t>Gentile</w:t>
      </w:r>
      <w:r w:rsidRPr="00B56A78" w:rsidR="00FD2967">
        <w:t>, at p. 852.)</w:t>
      </w:r>
    </w:p>
    <w:p w:rsidR="008E6E6D" w:rsidRPr="00B56A78" w:rsidP="00B72F43">
      <w:pPr>
        <w:tabs>
          <w:tab w:val="left" w:pos="1440"/>
        </w:tabs>
        <w:ind w:firstLine="720"/>
      </w:pPr>
      <w:r w:rsidRPr="00B56A78">
        <w:t xml:space="preserve">Second, we have </w:t>
      </w:r>
      <w:r w:rsidRPr="00B56A78" w:rsidR="00576C38">
        <w:t xml:space="preserve">evaluated whether several kinds of </w:t>
      </w:r>
      <w:r w:rsidRPr="00B56A78" w:rsidR="00EB524E">
        <w:t>legislation</w:t>
      </w:r>
      <w:r w:rsidRPr="00B56A78" w:rsidR="00576C38">
        <w:t xml:space="preserve"> ameliorate punishment</w:t>
      </w:r>
      <w:r w:rsidRPr="00B56A78" w:rsidR="007935EC">
        <w:t>.</w:t>
      </w:r>
      <w:r w:rsidRPr="00B56A78">
        <w:t xml:space="preserve">  Our </w:t>
      </w:r>
      <w:r w:rsidRPr="00B56A78" w:rsidR="004579FD">
        <w:t>precedent</w:t>
      </w:r>
      <w:r w:rsidRPr="00B56A78">
        <w:t xml:space="preserve"> </w:t>
      </w:r>
      <w:r w:rsidRPr="00B56A78" w:rsidR="00811C58">
        <w:t xml:space="preserve">relevant to </w:t>
      </w:r>
      <w:r w:rsidRPr="00B56A78">
        <w:t>that issue focuses primarily on whether a change in law is ameliorative</w:t>
      </w:r>
      <w:r w:rsidRPr="00B56A78" w:rsidR="00133793">
        <w:t xml:space="preserve">.  </w:t>
      </w:r>
      <w:r w:rsidRPr="00B56A78" w:rsidR="00FE0907">
        <w:t>(See, e.g.,</w:t>
      </w:r>
      <w:r w:rsidRPr="00B56A78" w:rsidR="006D13AA">
        <w:t xml:space="preserve"> </w:t>
      </w:r>
      <w:r w:rsidRPr="00B56A78" w:rsidR="00DE79D9">
        <w:rPr>
          <w:i/>
          <w:iCs/>
        </w:rPr>
        <w:t>People v. Francis</w:t>
      </w:r>
      <w:r w:rsidRPr="00B56A78" w:rsidR="00DE79D9">
        <w:t xml:space="preserve"> (1969) 71 Cal.2d 66, 76 [discretion to impose lesser punishment]; </w:t>
      </w:r>
      <w:r w:rsidRPr="00B56A78" w:rsidR="00DE79D9">
        <w:rPr>
          <w:i/>
          <w:iCs/>
        </w:rPr>
        <w:t>In re Boyle</w:t>
      </w:r>
      <w:r w:rsidRPr="00B56A78" w:rsidR="00DE79D9">
        <w:t xml:space="preserve"> (1974) 11 Cal.3d 165, 168 [limiting class of persons who may be denied bail]; </w:t>
      </w:r>
      <w:bookmarkStart w:id="14" w:name="_Hlk71620575"/>
      <w:r w:rsidRPr="00B56A78" w:rsidR="006D13AA">
        <w:rPr>
          <w:i/>
          <w:iCs/>
        </w:rPr>
        <w:t>People v. Rossi</w:t>
      </w:r>
      <w:r w:rsidRPr="00B56A78" w:rsidR="006D13AA">
        <w:t xml:space="preserve"> (1976) 18 Cal.3d 295, 300–301 [eliminating punishment]</w:t>
      </w:r>
      <w:r w:rsidRPr="00B56A78" w:rsidR="001533E4">
        <w:t xml:space="preserve"> (</w:t>
      </w:r>
      <w:r w:rsidRPr="00B56A78" w:rsidR="001533E4">
        <w:rPr>
          <w:i/>
          <w:iCs/>
        </w:rPr>
        <w:t>Rossi</w:t>
      </w:r>
      <w:r w:rsidRPr="00B56A78" w:rsidR="001533E4">
        <w:t>)</w:t>
      </w:r>
      <w:r w:rsidRPr="00B56A78" w:rsidR="006D13AA">
        <w:t xml:space="preserve">; </w:t>
      </w:r>
      <w:bookmarkEnd w:id="14"/>
      <w:r w:rsidRPr="00B56A78" w:rsidR="00DE79D9">
        <w:rPr>
          <w:i/>
          <w:iCs/>
        </w:rPr>
        <w:t>People v. Wright</w:t>
      </w:r>
      <w:r w:rsidRPr="00B56A78" w:rsidR="00DE79D9">
        <w:t xml:space="preserve"> (2006) 40</w:t>
      </w:r>
      <w:r w:rsidRPr="00B56A78" w:rsidR="000C5950">
        <w:t> </w:t>
      </w:r>
      <w:r w:rsidRPr="00B56A78" w:rsidR="00DE79D9">
        <w:t xml:space="preserve">Cal.4th 81, 94 [making available a defense]; </w:t>
      </w:r>
      <w:r w:rsidRPr="00B56A78" w:rsidR="00DE79D9">
        <w:rPr>
          <w:i/>
          <w:iCs/>
        </w:rPr>
        <w:t xml:space="preserve">People v. Superior Court </w:t>
      </w:r>
      <w:r w:rsidRPr="00B56A78" w:rsidR="00DE79D9">
        <w:t>(</w:t>
      </w:r>
      <w:r w:rsidRPr="00B56A78" w:rsidR="00DE79D9">
        <w:rPr>
          <w:i/>
          <w:iCs/>
        </w:rPr>
        <w:t>Lara</w:t>
      </w:r>
      <w:r w:rsidRPr="00B56A78" w:rsidR="00DE79D9">
        <w:t xml:space="preserve">) (2018) 4 Cal.5th 299, 303 [possibility of trial and sentencing as a juvenile rather than an adult]; </w:t>
      </w:r>
      <w:bookmarkStart w:id="15" w:name="_Hlk71620695"/>
      <w:r w:rsidRPr="00B56A78" w:rsidR="00DE79D9">
        <w:rPr>
          <w:i/>
          <w:iCs/>
        </w:rPr>
        <w:t>People v. Frahs</w:t>
      </w:r>
      <w:r w:rsidRPr="00B56A78" w:rsidR="00DE79D9">
        <w:t xml:space="preserve"> (2020) 9 Cal.5th 618, 631 (</w:t>
      </w:r>
      <w:r w:rsidRPr="00B56A78" w:rsidR="00DE79D9">
        <w:rPr>
          <w:i/>
          <w:iCs/>
        </w:rPr>
        <w:t>Frahs</w:t>
      </w:r>
      <w:r w:rsidRPr="00B56A78" w:rsidR="00DE79D9">
        <w:t>)</w:t>
      </w:r>
      <w:bookmarkEnd w:id="15"/>
      <w:r w:rsidRPr="00B56A78" w:rsidR="00DE79D9">
        <w:t xml:space="preserve"> [pretrial diversion with potential for more lenient treatment]; </w:t>
      </w:r>
      <w:r w:rsidRPr="00B56A78" w:rsidR="00FE0907">
        <w:rPr>
          <w:i/>
          <w:iCs/>
        </w:rPr>
        <w:t>People v. Stamps</w:t>
      </w:r>
      <w:r w:rsidRPr="00B56A78" w:rsidR="00FE0907">
        <w:t xml:space="preserve"> (2020) 9</w:t>
      </w:r>
      <w:r w:rsidRPr="00B56A78" w:rsidR="000C5950">
        <w:t> </w:t>
      </w:r>
      <w:r w:rsidRPr="00B56A78" w:rsidR="00FE0907">
        <w:t xml:space="preserve">Cal.5th 685, 699 [discretion to strike an enhancement]; </w:t>
      </w:r>
      <w:r w:rsidRPr="00B56A78" w:rsidR="00DE79D9">
        <w:t>b</w:t>
      </w:r>
      <w:r w:rsidRPr="00B56A78" w:rsidR="00FE0907">
        <w:t xml:space="preserve">ut see </w:t>
      </w:r>
      <w:r w:rsidRPr="00B56A78" w:rsidR="00FE0907">
        <w:rPr>
          <w:i/>
          <w:iCs/>
        </w:rPr>
        <w:t>In re Griffin</w:t>
      </w:r>
      <w:r w:rsidRPr="00B56A78" w:rsidR="00FE0907">
        <w:t xml:space="preserve"> (1965) 63 Cal.2d 757, 760–761 [</w:t>
      </w:r>
      <w:r w:rsidRPr="00B56A78" w:rsidR="00CC0F27">
        <w:t xml:space="preserve">change that was detrimental </w:t>
      </w:r>
      <w:r w:rsidRPr="00B56A78" w:rsidR="00627D0D">
        <w:t xml:space="preserve">to </w:t>
      </w:r>
      <w:r w:rsidRPr="00B56A78" w:rsidR="00007A43">
        <w:t xml:space="preserve">defense </w:t>
      </w:r>
      <w:r w:rsidRPr="00B56A78" w:rsidR="00CC0F27">
        <w:t>overall]</w:t>
      </w:r>
      <w:r w:rsidRPr="00B56A78" w:rsidR="00822078">
        <w:t xml:space="preserve">; </w:t>
      </w:r>
      <w:r w:rsidRPr="00B56A78" w:rsidR="00761EED">
        <w:rPr>
          <w:i/>
          <w:iCs/>
        </w:rPr>
        <w:t>People v. Brown</w:t>
      </w:r>
      <w:r w:rsidRPr="00B56A78" w:rsidR="00761EED">
        <w:t xml:space="preserve"> (2012) 54 Cal.4th 314, 325 [change </w:t>
      </w:r>
      <w:r w:rsidRPr="00B56A78" w:rsidR="00493A57">
        <w:t xml:space="preserve">to </w:t>
      </w:r>
      <w:r w:rsidRPr="00B56A78" w:rsidR="00BF7BE4">
        <w:t xml:space="preserve">accrual of </w:t>
      </w:r>
      <w:r w:rsidRPr="00B56A78" w:rsidR="00493A57">
        <w:t>good behavior credit</w:t>
      </w:r>
      <w:r w:rsidRPr="00B56A78" w:rsidR="00BF7BE4">
        <w:t>s</w:t>
      </w:r>
      <w:r w:rsidRPr="00B56A78" w:rsidR="00A7296E">
        <w:t xml:space="preserve"> </w:t>
      </w:r>
      <w:r w:rsidRPr="00B56A78" w:rsidR="00396450">
        <w:t xml:space="preserve">incentivized future </w:t>
      </w:r>
      <w:r w:rsidRPr="00B56A78" w:rsidR="00215F96">
        <w:t>conduct</w:t>
      </w:r>
      <w:r w:rsidRPr="00B56A78" w:rsidR="00396450">
        <w:t xml:space="preserve"> rather than altering the penalty for a crime, and thus </w:t>
      </w:r>
      <w:r w:rsidRPr="00B56A78" w:rsidR="00AF507C">
        <w:t>did not ameliorate punishment in the relevant sense</w:t>
      </w:r>
      <w:r w:rsidRPr="00B56A78" w:rsidR="00A5031C">
        <w:t xml:space="preserve">].)  </w:t>
      </w:r>
      <w:r w:rsidRPr="00B56A78" w:rsidR="00D829B6">
        <w:t xml:space="preserve">We have also considered </w:t>
      </w:r>
      <w:r w:rsidRPr="00B56A78" w:rsidR="005554E1">
        <w:t xml:space="preserve">whether </w:t>
      </w:r>
      <w:r w:rsidRPr="00B56A78" w:rsidR="000B25B9">
        <w:t>the</w:t>
      </w:r>
      <w:r w:rsidRPr="00B56A78" w:rsidR="002B6C62">
        <w:t xml:space="preserve"> consequence ameliorated</w:t>
      </w:r>
      <w:r w:rsidRPr="00B56A78" w:rsidR="00D829B6">
        <w:t xml:space="preserve"> </w:t>
      </w:r>
      <w:r w:rsidRPr="00B56A78" w:rsidR="005554E1">
        <w:t xml:space="preserve">was </w:t>
      </w:r>
      <w:r w:rsidRPr="00B56A78" w:rsidR="00BF6297">
        <w:t>punishment</w:t>
      </w:r>
      <w:r w:rsidRPr="00B56A78" w:rsidR="009C7335">
        <w:t xml:space="preserve"> covered by the presumption</w:t>
      </w:r>
      <w:r w:rsidRPr="00B56A78" w:rsidR="00D829B6">
        <w:t>.  (See</w:t>
      </w:r>
      <w:r w:rsidRPr="00B56A78" w:rsidR="00C02BFC">
        <w:rPr>
          <w:i/>
          <w:iCs/>
        </w:rPr>
        <w:t xml:space="preserve"> People v. Durbin</w:t>
      </w:r>
      <w:r w:rsidRPr="00B56A78" w:rsidR="00C02BFC">
        <w:t xml:space="preserve"> (1966) 64 Cal.2d 474, 479 [civil penalties or forfeitures]; </w:t>
      </w:r>
      <w:r w:rsidRPr="00B56A78" w:rsidR="00D829B6">
        <w:rPr>
          <w:i/>
          <w:iCs/>
        </w:rPr>
        <w:t>People v. Foster</w:t>
      </w:r>
      <w:r w:rsidRPr="00B56A78" w:rsidR="00D829B6">
        <w:t xml:space="preserve"> (2019) 7 Cal.5th 1202, 1210 [“</w:t>
      </w:r>
      <w:r w:rsidRPr="00B56A78" w:rsidR="00732101">
        <w:t xml:space="preserve">it </w:t>
      </w:r>
      <w:r w:rsidRPr="00B56A78" w:rsidR="00D829B6">
        <w:t xml:space="preserve">is not clear that </w:t>
      </w:r>
      <w:r w:rsidRPr="00B56A78" w:rsidR="00382B94">
        <w:t xml:space="preserve">[a particular kind of] </w:t>
      </w:r>
      <w:r w:rsidRPr="00B56A78" w:rsidR="00D829B6">
        <w:t xml:space="preserve">commitment, which we have characterized as ‘not penal or punitive’ [citation], is a type of judgment covered by </w:t>
      </w:r>
      <w:r w:rsidRPr="00B56A78" w:rsidR="00D829B6">
        <w:rPr>
          <w:i/>
          <w:iCs/>
        </w:rPr>
        <w:t>Estrada</w:t>
      </w:r>
      <w:r w:rsidRPr="00B56A78" w:rsidR="00001B0A">
        <w:t>[]”]</w:t>
      </w:r>
      <w:r w:rsidRPr="00B56A78">
        <w:t xml:space="preserve">; cf. </w:t>
      </w:r>
      <w:r w:rsidRPr="00B56A78">
        <w:rPr>
          <w:i/>
          <w:iCs/>
        </w:rPr>
        <w:t>Frazer v. State Bar</w:t>
      </w:r>
      <w:r w:rsidRPr="00B56A78">
        <w:t xml:space="preserve"> (1987) 43 Cal.3d 564, 569 [</w:t>
      </w:r>
      <w:r w:rsidRPr="00B56A78" w:rsidR="00BD60C7">
        <w:t xml:space="preserve">considering application </w:t>
      </w:r>
      <w:r w:rsidRPr="00B56A78" w:rsidR="00B72F43">
        <w:t xml:space="preserve">of </w:t>
      </w:r>
      <w:r w:rsidRPr="00B56A78" w:rsidR="00CA730D">
        <w:t xml:space="preserve">amended </w:t>
      </w:r>
      <w:r w:rsidRPr="00B56A78" w:rsidR="00B72F43">
        <w:t xml:space="preserve">rule of professional conduct in </w:t>
      </w:r>
      <w:r w:rsidRPr="00B56A78">
        <w:t>state bar disciplinary proceeding]</w:t>
      </w:r>
      <w:r w:rsidRPr="00B56A78" w:rsidR="00B72F43">
        <w:t>.)</w:t>
      </w:r>
    </w:p>
    <w:p w:rsidR="000B25B9" w:rsidRPr="00B56A78" w:rsidP="009852EB">
      <w:pPr>
        <w:tabs>
          <w:tab w:val="left" w:pos="1440"/>
        </w:tabs>
        <w:ind w:firstLine="720"/>
      </w:pPr>
      <w:r w:rsidRPr="00B56A78">
        <w:t xml:space="preserve">Third, and </w:t>
      </w:r>
      <w:r w:rsidRPr="00B56A78" w:rsidR="004E5503">
        <w:t>in dispute</w:t>
      </w:r>
      <w:r w:rsidRPr="00B56A78">
        <w:t xml:space="preserve"> here, we have </w:t>
      </w:r>
      <w:r w:rsidRPr="00B56A78" w:rsidR="009B339E">
        <w:t>addressed</w:t>
      </w:r>
      <w:r w:rsidRPr="00B56A78" w:rsidR="0067468A">
        <w:t xml:space="preserve"> </w:t>
      </w:r>
      <w:r w:rsidRPr="00B56A78" w:rsidR="00E71C28">
        <w:t>when a case</w:t>
      </w:r>
      <w:r w:rsidRPr="00B56A78" w:rsidR="00770D16">
        <w:t xml:space="preserve"> becomes </w:t>
      </w:r>
      <w:r w:rsidRPr="00B56A78" w:rsidR="00E9306D">
        <w:t>“</w:t>
      </w:r>
      <w:r w:rsidRPr="00B56A78" w:rsidR="00770D16">
        <w:t>final</w:t>
      </w:r>
      <w:r w:rsidRPr="00B56A78" w:rsidR="00E9306D">
        <w:t xml:space="preserve">” for purposes of the presumption.  </w:t>
      </w:r>
      <w:r w:rsidRPr="00B56A78" w:rsidR="0034397E">
        <w:rPr>
          <w:i/>
          <w:iCs/>
        </w:rPr>
        <w:t>Estrada</w:t>
      </w:r>
      <w:r w:rsidRPr="00B56A78" w:rsidR="0034397E">
        <w:t xml:space="preserve"> used </w:t>
      </w:r>
      <w:r w:rsidRPr="00B56A78" w:rsidR="004E5503">
        <w:t>varied</w:t>
      </w:r>
      <w:r w:rsidRPr="00B56A78" w:rsidR="0034397E">
        <w:t xml:space="preserve"> terminology to describe this issue,</w:t>
      </w:r>
      <w:r w:rsidRPr="00B56A78" w:rsidR="007C330D">
        <w:t xml:space="preserve"> speaking of the finality of “the judgment of conviction” (</w:t>
      </w:r>
      <w:r w:rsidRPr="00B56A78" w:rsidR="007C330D">
        <w:rPr>
          <w:i/>
          <w:iCs/>
        </w:rPr>
        <w:t>Estrada</w:t>
      </w:r>
      <w:r w:rsidRPr="00B56A78" w:rsidR="007C330D">
        <w:t xml:space="preserve">, </w:t>
      </w:r>
      <w:r w:rsidRPr="00B56A78" w:rsidR="007C330D">
        <w:rPr>
          <w:i/>
          <w:iCs/>
        </w:rPr>
        <w:t>supra</w:t>
      </w:r>
      <w:r w:rsidRPr="00B56A78" w:rsidR="007C330D">
        <w:t>, 63</w:t>
      </w:r>
      <w:r w:rsidRPr="00B56A78" w:rsidR="000C5950">
        <w:t> </w:t>
      </w:r>
      <w:r w:rsidRPr="00B56A78" w:rsidR="007C330D">
        <w:t>Cal.2d at p. 744); of “all cases not reduced to final judgment” (</w:t>
      </w:r>
      <w:r w:rsidRPr="00B56A78" w:rsidR="007C330D">
        <w:rPr>
          <w:i/>
          <w:iCs/>
        </w:rPr>
        <w:t>id.</w:t>
      </w:r>
      <w:r w:rsidRPr="00B56A78" w:rsidR="007C330D">
        <w:t xml:space="preserve"> at p. 746); and, </w:t>
      </w:r>
      <w:r w:rsidRPr="00B56A78" w:rsidR="00E33B11">
        <w:t>when describing a related common law rule, of “all prosecutions not reduced to final judgment” (</w:t>
      </w:r>
      <w:r w:rsidRPr="00B56A78" w:rsidR="00E33B11">
        <w:rPr>
          <w:i/>
          <w:iCs/>
        </w:rPr>
        <w:t>id.</w:t>
      </w:r>
      <w:r w:rsidRPr="00B56A78" w:rsidR="00E33B11">
        <w:t xml:space="preserve"> at p. 747).  (See </w:t>
      </w:r>
      <w:r w:rsidRPr="00B56A78" w:rsidR="00BC1354">
        <w:rPr>
          <w:i/>
          <w:iCs/>
        </w:rPr>
        <w:t>McKenzie</w:t>
      </w:r>
      <w:r w:rsidRPr="00B56A78" w:rsidR="00BC1354">
        <w:t xml:space="preserve">, </w:t>
      </w:r>
      <w:r w:rsidRPr="00B56A78" w:rsidR="00BC1354">
        <w:rPr>
          <w:i/>
          <w:iCs/>
        </w:rPr>
        <w:t>supra</w:t>
      </w:r>
      <w:r w:rsidRPr="00B56A78" w:rsidR="00BC1354">
        <w:t>, 9 Cal.5th at p. 46.)</w:t>
      </w:r>
      <w:r w:rsidRPr="00B56A78" w:rsidR="00CF2BCD">
        <w:t xml:space="preserve">  Regardless of the terminology, it is well</w:t>
      </w:r>
      <w:r w:rsidRPr="00B56A78" w:rsidR="00A66299">
        <w:t xml:space="preserve"> </w:t>
      </w:r>
      <w:r w:rsidRPr="00B56A78" w:rsidR="00CF2BCD">
        <w:t xml:space="preserve">settled that </w:t>
      </w:r>
      <w:r w:rsidRPr="00B56A78" w:rsidR="00155881">
        <w:t>a matter</w:t>
      </w:r>
      <w:r w:rsidRPr="00B56A78" w:rsidR="000F5021">
        <w:t xml:space="preserve"> </w:t>
      </w:r>
      <w:r w:rsidRPr="00B56A78" w:rsidR="00155881">
        <w:t xml:space="preserve">is </w:t>
      </w:r>
      <w:r w:rsidRPr="00B56A78" w:rsidR="000F5021">
        <w:t xml:space="preserve">not “final” for this purpose merely </w:t>
      </w:r>
      <w:r w:rsidRPr="00B56A78" w:rsidR="0026571D">
        <w:t xml:space="preserve">because the defendant has already been sentenced.  </w:t>
      </w:r>
      <w:r w:rsidRPr="00B56A78" w:rsidR="00390FA8">
        <w:t>A</w:t>
      </w:r>
      <w:r w:rsidRPr="00B56A78" w:rsidR="00E63ADD">
        <w:t xml:space="preserve"> defendant </w:t>
      </w:r>
      <w:r w:rsidRPr="00B56A78" w:rsidR="00390FA8">
        <w:t xml:space="preserve">who is convicted and </w:t>
      </w:r>
      <w:r w:rsidRPr="00B56A78" w:rsidR="00E63ADD">
        <w:t xml:space="preserve">sentenced to a term of imprisonment without probation, for example, is presumptively entitled to the benefit </w:t>
      </w:r>
      <w:r w:rsidRPr="00B56A78" w:rsidR="002F3A32">
        <w:t xml:space="preserve">of ameliorative legislation that takes effect </w:t>
      </w:r>
      <w:r w:rsidRPr="00B56A78" w:rsidR="00390FA8">
        <w:t>before direct review is complete.  (</w:t>
      </w:r>
      <w:r w:rsidRPr="00B56A78" w:rsidR="00E725E6">
        <w:t xml:space="preserve">See </w:t>
      </w:r>
      <w:r w:rsidRPr="00B56A78" w:rsidR="00B52007">
        <w:rPr>
          <w:i/>
          <w:iCs/>
        </w:rPr>
        <w:t>McKenzie</w:t>
      </w:r>
      <w:r w:rsidRPr="00B56A78" w:rsidR="00B52007">
        <w:t>, at p. 45;</w:t>
      </w:r>
      <w:r w:rsidRPr="00B56A78" w:rsidR="00C84724">
        <w:t xml:space="preserve"> </w:t>
      </w:r>
      <w:r w:rsidRPr="00B56A78" w:rsidR="003D3923">
        <w:rPr>
          <w:i/>
          <w:iCs/>
        </w:rPr>
        <w:t>In re Corcoran</w:t>
      </w:r>
      <w:r w:rsidRPr="00B56A78" w:rsidR="003D3923">
        <w:t xml:space="preserve"> (1966) 64 Cal.2d 447, 4</w:t>
      </w:r>
      <w:r w:rsidRPr="00B56A78" w:rsidR="008443F5">
        <w:t>4</w:t>
      </w:r>
      <w:r w:rsidRPr="00B56A78" w:rsidR="003D3923">
        <w:t xml:space="preserve">9; </w:t>
      </w:r>
      <w:r w:rsidRPr="00B56A78" w:rsidR="00C84724">
        <w:rPr>
          <w:i/>
          <w:iCs/>
        </w:rPr>
        <w:t>In re Kirk</w:t>
      </w:r>
      <w:r w:rsidRPr="00B56A78" w:rsidR="00C84724">
        <w:t xml:space="preserve"> (1965) 63 Cal.2d 761, 763.)</w:t>
      </w:r>
      <w:r w:rsidRPr="00B56A78" w:rsidR="0033780B">
        <w:t xml:space="preserve">  </w:t>
      </w:r>
      <w:r w:rsidRPr="00B56A78" w:rsidR="00CF3D1E">
        <w:t xml:space="preserve">The question in this case arises because </w:t>
      </w:r>
      <w:r w:rsidRPr="00B56A78" w:rsidR="0040082F">
        <w:t xml:space="preserve">ameliorative legislation took effect after the initial time for </w:t>
      </w:r>
      <w:r w:rsidRPr="00B56A78" w:rsidR="000D3CC7">
        <w:t>defendant</w:t>
      </w:r>
      <w:r w:rsidRPr="00B56A78" w:rsidR="0040082F">
        <w:t xml:space="preserve"> to challenge his </w:t>
      </w:r>
      <w:r w:rsidRPr="00B56A78" w:rsidR="009F4A25">
        <w:t xml:space="preserve">2015 </w:t>
      </w:r>
      <w:r w:rsidRPr="00B56A78" w:rsidR="0040082F">
        <w:t xml:space="preserve">sentence had elapsed, but </w:t>
      </w:r>
      <w:r w:rsidRPr="00B56A78" w:rsidR="009E6E36">
        <w:t>before the conclusion</w:t>
      </w:r>
      <w:r w:rsidRPr="00B56A78" w:rsidR="009F4A25">
        <w:t xml:space="preserve"> </w:t>
      </w:r>
      <w:r w:rsidRPr="00B56A78" w:rsidR="00236A95">
        <w:t xml:space="preserve">of his </w:t>
      </w:r>
      <w:r w:rsidRPr="00B56A78" w:rsidR="009F4A25">
        <w:t xml:space="preserve">appeal from the </w:t>
      </w:r>
      <w:r w:rsidRPr="00B56A78" w:rsidR="00236A95">
        <w:t xml:space="preserve">2018 decision ordering that sentence into effect. </w:t>
      </w:r>
    </w:p>
    <w:p w:rsidR="00F07999" w:rsidRPr="00B56A78" w:rsidP="009852EB">
      <w:pPr>
        <w:pStyle w:val="Heading1"/>
        <w:rPr>
          <w:iCs/>
        </w:rPr>
      </w:pPr>
      <w:r w:rsidRPr="00B56A78">
        <w:t xml:space="preserve">III.  </w:t>
      </w:r>
      <w:r w:rsidRPr="00B56A78">
        <w:rPr>
          <w:iCs/>
        </w:rPr>
        <w:t>Discussion</w:t>
      </w:r>
    </w:p>
    <w:p w:rsidR="00EB5704" w:rsidRPr="00B56A78" w:rsidP="009852EB">
      <w:pPr>
        <w:tabs>
          <w:tab w:val="left" w:pos="1440"/>
        </w:tabs>
        <w:ind w:firstLine="720"/>
      </w:pPr>
      <w:bookmarkStart w:id="16" w:name="_Hlk74052531"/>
      <w:r w:rsidRPr="00B56A78">
        <w:rPr>
          <w:i/>
          <w:iCs/>
        </w:rPr>
        <w:t>Estrada</w:t>
      </w:r>
      <w:r w:rsidRPr="00B56A78">
        <w:t xml:space="preserve"> presumed </w:t>
      </w:r>
      <w:r w:rsidRPr="00B56A78" w:rsidR="00694EFB">
        <w:t xml:space="preserve">that our Legislature intends for ameliorative </w:t>
      </w:r>
      <w:r w:rsidRPr="00B56A78" w:rsidR="001D1427">
        <w:t xml:space="preserve">enactments </w:t>
      </w:r>
      <w:r w:rsidRPr="00B56A78" w:rsidR="00694EFB">
        <w:t xml:space="preserve">to apply as broadly as </w:t>
      </w:r>
      <w:r w:rsidRPr="00B56A78" w:rsidR="0077725D">
        <w:t xml:space="preserve">is constitutionally permissible.  </w:t>
      </w:r>
      <w:r w:rsidRPr="00B56A78" w:rsidR="001D1427">
        <w:t>The significance of finality</w:t>
      </w:r>
      <w:r w:rsidRPr="00B56A78" w:rsidR="00C63DFB">
        <w:t xml:space="preserve"> </w:t>
      </w:r>
      <w:r w:rsidRPr="00B56A78" w:rsidR="001D1427">
        <w:t xml:space="preserve">was that </w:t>
      </w:r>
      <w:r w:rsidRPr="00B56A78" w:rsidR="00CF380A">
        <w:t>legislation “constitutionally could apply” to nonfinal judgments.  (</w:t>
      </w:r>
      <w:r w:rsidRPr="00B56A78" w:rsidR="00CF380A">
        <w:rPr>
          <w:i/>
          <w:iCs/>
        </w:rPr>
        <w:t>Estrada</w:t>
      </w:r>
      <w:r w:rsidRPr="00B56A78" w:rsidR="00CF380A">
        <w:t xml:space="preserve">, </w:t>
      </w:r>
      <w:r w:rsidRPr="00B56A78" w:rsidR="00CF380A">
        <w:rPr>
          <w:i/>
          <w:iCs/>
        </w:rPr>
        <w:t>supra</w:t>
      </w:r>
      <w:r w:rsidRPr="00B56A78" w:rsidR="00CF380A">
        <w:t>, 63 Cal.2d at p. 745.</w:t>
      </w:r>
      <w:r w:rsidRPr="00B56A78" w:rsidR="0011239F">
        <w:t>)</w:t>
      </w:r>
      <w:r w:rsidRPr="00B56A78" w:rsidR="00CF380A">
        <w:t xml:space="preserve">  </w:t>
      </w:r>
      <w:r w:rsidRPr="00B56A78" w:rsidR="00FE3CE1">
        <w:t xml:space="preserve">After </w:t>
      </w:r>
      <w:r w:rsidRPr="00B56A78" w:rsidR="00F44C71">
        <w:rPr>
          <w:i/>
          <w:iCs/>
        </w:rPr>
        <w:t>Estrada</w:t>
      </w:r>
      <w:r w:rsidRPr="00B56A78" w:rsidR="00F44C71">
        <w:t xml:space="preserve">, however, various </w:t>
      </w:r>
      <w:r w:rsidRPr="00B56A78" w:rsidR="00CB1274">
        <w:t>provisions</w:t>
      </w:r>
      <w:r w:rsidRPr="00B56A78" w:rsidR="00D85A6E">
        <w:t xml:space="preserve"> </w:t>
      </w:r>
      <w:r w:rsidRPr="00B56A78" w:rsidR="00F44C71">
        <w:t>have ameliorated</w:t>
      </w:r>
      <w:r w:rsidRPr="00B56A78" w:rsidR="00D85A6E">
        <w:t xml:space="preserve"> </w:t>
      </w:r>
      <w:r w:rsidRPr="00B56A78" w:rsidR="009D7C7E">
        <w:t xml:space="preserve">punishment </w:t>
      </w:r>
      <w:r w:rsidRPr="00B56A78" w:rsidR="00FF1212">
        <w:t xml:space="preserve">in connection with </w:t>
      </w:r>
      <w:r w:rsidRPr="00B56A78" w:rsidR="009D7C7E">
        <w:t>judgments that were clearly final</w:t>
      </w:r>
      <w:r w:rsidRPr="00B56A78" w:rsidR="00D507CF">
        <w:t xml:space="preserve"> at the time </w:t>
      </w:r>
      <w:r w:rsidRPr="00B56A78" w:rsidR="007B7681">
        <w:t>the provisions were</w:t>
      </w:r>
      <w:r w:rsidRPr="00B56A78" w:rsidR="00D507CF">
        <w:t xml:space="preserve"> </w:t>
      </w:r>
      <w:r w:rsidRPr="00B56A78" w:rsidR="007B7681">
        <w:t>enacted</w:t>
      </w:r>
      <w:r w:rsidRPr="00B56A78" w:rsidR="009D7C7E">
        <w:t>, without</w:t>
      </w:r>
      <w:r w:rsidRPr="00B56A78" w:rsidR="00D363CE">
        <w:t xml:space="preserve"> apparent </w:t>
      </w:r>
      <w:r w:rsidRPr="00B56A78" w:rsidR="009D7C7E">
        <w:t>constitutional</w:t>
      </w:r>
      <w:r w:rsidRPr="00B56A78" w:rsidR="00646BCE">
        <w:t xml:space="preserve"> </w:t>
      </w:r>
      <w:r w:rsidRPr="00B56A78" w:rsidR="00D25490">
        <w:t>infirmity</w:t>
      </w:r>
      <w:r w:rsidRPr="00B56A78" w:rsidR="009D7C7E">
        <w:t>.  (</w:t>
      </w:r>
      <w:r w:rsidRPr="00B56A78" w:rsidR="00E6528A">
        <w:t xml:space="preserve">See </w:t>
      </w:r>
      <w:r w:rsidRPr="00B56A78" w:rsidR="00B06F97">
        <w:rPr>
          <w:i/>
          <w:iCs/>
        </w:rPr>
        <w:t>Gentile</w:t>
      </w:r>
      <w:r w:rsidRPr="00B56A78" w:rsidR="00B06F97">
        <w:t xml:space="preserve">, </w:t>
      </w:r>
      <w:r w:rsidRPr="00B56A78" w:rsidR="00B06F97">
        <w:rPr>
          <w:i/>
          <w:iCs/>
        </w:rPr>
        <w:t>supra</w:t>
      </w:r>
      <w:r w:rsidRPr="00B56A78" w:rsidR="00B06F97">
        <w:t>, 10 Cal.5th at p. 853 [“</w:t>
      </w:r>
      <w:r w:rsidRPr="00B56A78" w:rsidR="00303888">
        <w:t xml:space="preserve">the Legislature crafted a specific mechanism for seeking retroactive relief, and that mechanism does not distinguish between persons whose sentences are final and those whose sentences are not”]; cf., e.g., </w:t>
      </w:r>
      <w:r w:rsidRPr="00B56A78" w:rsidR="009D7C7E">
        <w:rPr>
          <w:i/>
          <w:iCs/>
        </w:rPr>
        <w:t>Conley</w:t>
      </w:r>
      <w:r w:rsidRPr="00B56A78" w:rsidR="009D7C7E">
        <w:t xml:space="preserve">, </w:t>
      </w:r>
      <w:r w:rsidRPr="00B56A78" w:rsidR="009D7C7E">
        <w:rPr>
          <w:i/>
          <w:iCs/>
        </w:rPr>
        <w:t>supra</w:t>
      </w:r>
      <w:r w:rsidRPr="00B56A78" w:rsidR="009D7C7E">
        <w:t>, 63 Cal.4th at p.</w:t>
      </w:r>
      <w:r w:rsidRPr="00B56A78" w:rsidR="00F57E02">
        <w:t> </w:t>
      </w:r>
      <w:r w:rsidRPr="00B56A78" w:rsidR="009D7C7E">
        <w:t>65</w:t>
      </w:r>
      <w:r w:rsidRPr="00B56A78" w:rsidR="00BD36D5">
        <w:t>7</w:t>
      </w:r>
      <w:r w:rsidRPr="00B56A78" w:rsidR="009D7C7E">
        <w:t xml:space="preserve"> [discussing </w:t>
      </w:r>
      <w:r w:rsidRPr="00B56A78" w:rsidR="0055711B">
        <w:t xml:space="preserve">provision enacted by the electorate </w:t>
      </w:r>
      <w:r w:rsidRPr="00B56A78" w:rsidR="00BD36D5">
        <w:t xml:space="preserve">that “draws no distinction between persons serving final sentences and those serving nonfinal sentences, entitling both categories of prisoners to petition courts for recall of sentence”].)  </w:t>
      </w:r>
      <w:r w:rsidRPr="00B56A78" w:rsidR="00D25490">
        <w:t>And i</w:t>
      </w:r>
      <w:r w:rsidRPr="00B56A78" w:rsidR="00CD31A0">
        <w:t xml:space="preserve">f the Legislature </w:t>
      </w:r>
      <w:r w:rsidRPr="00B56A78" w:rsidR="006D6E32">
        <w:t xml:space="preserve">is not categorically </w:t>
      </w:r>
      <w:r w:rsidRPr="00B56A78" w:rsidR="00FB35D3">
        <w:t>prohibited from mitigating</w:t>
      </w:r>
      <w:r w:rsidRPr="00B56A78" w:rsidR="00E40E20">
        <w:t xml:space="preserve"> punishment connected to final judgments,</w:t>
      </w:r>
      <w:r w:rsidRPr="00B56A78" w:rsidR="00CA2187">
        <w:t xml:space="preserve"> </w:t>
      </w:r>
      <w:r w:rsidR="00527E15">
        <w:t>this naturally raises questions about the precise reach of the presumption</w:t>
      </w:r>
      <w:r w:rsidRPr="00B56A78" w:rsidR="00CA2187">
        <w:t xml:space="preserve"> that </w:t>
      </w:r>
      <w:r w:rsidRPr="00B56A78" w:rsidR="00F310EE">
        <w:t xml:space="preserve">“the Legislature must have intended that the new statute imposing </w:t>
      </w:r>
      <w:r w:rsidRPr="00B56A78" w:rsidR="007003A8">
        <w:t>the new lighter penalty now deemed to be sufficient should apply to every case to which it constitutionally could apply.”  (</w:t>
      </w:r>
      <w:r w:rsidRPr="00B56A78" w:rsidR="007003A8">
        <w:rPr>
          <w:i/>
          <w:iCs/>
        </w:rPr>
        <w:t>Estrada</w:t>
      </w:r>
      <w:r w:rsidRPr="00B56A78" w:rsidR="007003A8">
        <w:t>, at p. 745.)</w:t>
      </w:r>
      <w:r w:rsidRPr="00B56A78" w:rsidR="00E40E20">
        <w:t xml:space="preserve"> </w:t>
      </w:r>
    </w:p>
    <w:p w:rsidR="00873BEE" w:rsidRPr="00576E6E" w:rsidP="00C73414">
      <w:pPr>
        <w:tabs>
          <w:tab w:val="left" w:pos="1440"/>
        </w:tabs>
        <w:ind w:firstLine="720"/>
      </w:pPr>
      <w:r w:rsidRPr="00B56A78">
        <w:t xml:space="preserve">We </w:t>
      </w:r>
      <w:r w:rsidRPr="00B56A78" w:rsidR="00287892">
        <w:t>adhere to</w:t>
      </w:r>
      <w:r w:rsidRPr="00B56A78" w:rsidR="005A50AE">
        <w:t xml:space="preserve"> the</w:t>
      </w:r>
      <w:r w:rsidRPr="00B56A78" w:rsidR="00287892">
        <w:t xml:space="preserve"> </w:t>
      </w:r>
      <w:r w:rsidRPr="00B56A78" w:rsidR="00C73414">
        <w:rPr>
          <w:i/>
          <w:iCs/>
        </w:rPr>
        <w:t>Estrada</w:t>
      </w:r>
      <w:r w:rsidRPr="00B56A78" w:rsidR="005A50AE">
        <w:t xml:space="preserve"> doctrine’</w:t>
      </w:r>
      <w:r w:rsidRPr="00B56A78" w:rsidR="00796FFF">
        <w:t xml:space="preserve">s </w:t>
      </w:r>
      <w:r w:rsidRPr="00B56A78" w:rsidR="00115865">
        <w:t>longstanding</w:t>
      </w:r>
      <w:r w:rsidRPr="00B56A78" w:rsidR="00C73414">
        <w:t xml:space="preserve"> </w:t>
      </w:r>
      <w:r w:rsidRPr="00B56A78" w:rsidR="00D25490">
        <w:t>non</w:t>
      </w:r>
      <w:r w:rsidRPr="00B56A78" w:rsidR="00E44174">
        <w:t>finality requirement</w:t>
      </w:r>
      <w:r w:rsidRPr="00B56A78" w:rsidR="008F2981">
        <w:t xml:space="preserve">, on which our Legislature may have relied </w:t>
      </w:r>
      <w:r w:rsidRPr="00B56A78" w:rsidR="00EC301F">
        <w:t>when declining to limit the retroactive application of its enactments.  (</w:t>
      </w:r>
      <w:r w:rsidRPr="00B56A78" w:rsidR="00930953">
        <w:t xml:space="preserve">Cf. </w:t>
      </w:r>
      <w:r w:rsidRPr="00B56A78" w:rsidR="00930953">
        <w:rPr>
          <w:i/>
          <w:iCs/>
        </w:rPr>
        <w:t>Frahs</w:t>
      </w:r>
      <w:r w:rsidRPr="00B56A78" w:rsidR="00930953">
        <w:t xml:space="preserve">, </w:t>
      </w:r>
      <w:r w:rsidRPr="00B56A78" w:rsidR="00930953">
        <w:rPr>
          <w:i/>
          <w:iCs/>
        </w:rPr>
        <w:t>supra</w:t>
      </w:r>
      <w:r w:rsidRPr="00B56A78" w:rsidR="00930953">
        <w:t>, 9 Cal.5th at p. </w:t>
      </w:r>
      <w:r w:rsidRPr="00B56A78" w:rsidR="001D25C1">
        <w:t>635 [“</w:t>
      </w:r>
      <w:r w:rsidRPr="00B56A78" w:rsidR="0024631D">
        <w:t>w</w:t>
      </w:r>
      <w:r w:rsidRPr="00B56A78" w:rsidR="001D25C1">
        <w:t xml:space="preserve">hen the Legislature enacted </w:t>
      </w:r>
      <w:r w:rsidRPr="00B56A78" w:rsidR="00A66299">
        <w:t xml:space="preserve">[Penal Code] </w:t>
      </w:r>
      <w:r w:rsidRPr="00B56A78" w:rsidR="001D25C1">
        <w:t xml:space="preserve">section 1001.36, it was aware that if it did not want the statute to apply retroactively </w:t>
      </w:r>
      <w:r w:rsidRPr="00B56A78" w:rsidR="001D25C1">
        <w:rPr>
          <w:i/>
          <w:iCs/>
        </w:rPr>
        <w:t>to nonfinal judgments</w:t>
      </w:r>
      <w:r w:rsidRPr="00B56A78" w:rsidR="001D25C1">
        <w:t>, it needed to clearly and directly indicate such intent”</w:t>
      </w:r>
      <w:r w:rsidRPr="00B56A78" w:rsidR="001767D7">
        <w:t xml:space="preserve"> (italics added)</w:t>
      </w:r>
      <w:r w:rsidRPr="00B56A78" w:rsidR="00E06250">
        <w:t>]</w:t>
      </w:r>
      <w:r w:rsidRPr="00B56A78" w:rsidR="00345CD3">
        <w:t>.</w:t>
      </w:r>
      <w:r w:rsidRPr="00B56A78" w:rsidR="00D17A71">
        <w:t>)</w:t>
      </w:r>
      <w:r w:rsidRPr="00B56A78" w:rsidR="00603884">
        <w:t xml:space="preserve">  </w:t>
      </w:r>
      <w:r w:rsidRPr="00B56A78">
        <w:t>But</w:t>
      </w:r>
      <w:r w:rsidRPr="00B56A78" w:rsidR="00BC2F63">
        <w:t xml:space="preserve"> the role of finality </w:t>
      </w:r>
      <w:r w:rsidRPr="00B56A78" w:rsidR="00E94517">
        <w:t xml:space="preserve">in </w:t>
      </w:r>
      <w:r w:rsidRPr="00B56A78" w:rsidR="00E94517">
        <w:rPr>
          <w:i/>
          <w:iCs/>
        </w:rPr>
        <w:t>Estrada</w:t>
      </w:r>
      <w:r w:rsidRPr="00B56A78" w:rsidR="00E94517">
        <w:t>’s reasoning</w:t>
      </w:r>
      <w:r w:rsidRPr="00B56A78" w:rsidR="00E47D6F">
        <w:t xml:space="preserve"> </w:t>
      </w:r>
      <w:r w:rsidRPr="00B56A78" w:rsidR="00A27890">
        <w:t xml:space="preserve">counsels against </w:t>
      </w:r>
      <w:r w:rsidR="00576E6E">
        <w:t xml:space="preserve">importing </w:t>
      </w:r>
      <w:r w:rsidRPr="00B56A78" w:rsidR="00A27890">
        <w:t>a rigid understanding of the term</w:t>
      </w:r>
      <w:r w:rsidRPr="00B56A78" w:rsidR="008B5320">
        <w:t xml:space="preserve"> “final”</w:t>
      </w:r>
      <w:r w:rsidRPr="00B56A78" w:rsidR="002F10DF">
        <w:t xml:space="preserve"> </w:t>
      </w:r>
      <w:r w:rsidRPr="00B56A78" w:rsidR="009E1675">
        <w:t>in</w:t>
      </w:r>
      <w:r w:rsidR="00576E6E">
        <w:t>to</w:t>
      </w:r>
      <w:r w:rsidRPr="00B56A78" w:rsidR="009E1675">
        <w:t xml:space="preserve"> this context</w:t>
      </w:r>
      <w:r w:rsidRPr="00B56A78" w:rsidR="00A27890">
        <w:t xml:space="preserve">.  </w:t>
      </w:r>
      <w:r w:rsidRPr="00B56A78" w:rsidR="0081738E">
        <w:t xml:space="preserve">(See </w:t>
      </w:r>
      <w:r w:rsidRPr="00B56A78" w:rsidR="0081738E">
        <w:rPr>
          <w:i/>
          <w:iCs/>
        </w:rPr>
        <w:t>McKenzie</w:t>
      </w:r>
      <w:r w:rsidRPr="00B56A78" w:rsidR="0081738E">
        <w:t xml:space="preserve">, </w:t>
      </w:r>
      <w:r w:rsidRPr="00B56A78" w:rsidR="0081738E">
        <w:rPr>
          <w:i/>
          <w:iCs/>
        </w:rPr>
        <w:t>supra</w:t>
      </w:r>
      <w:r w:rsidRPr="00B56A78" w:rsidR="0081738E">
        <w:t>, 9</w:t>
      </w:r>
      <w:r w:rsidR="00847799">
        <w:t> </w:t>
      </w:r>
      <w:r w:rsidRPr="00B56A78" w:rsidR="0081738E">
        <w:t>Cal.5th at p. 48</w:t>
      </w:r>
      <w:r w:rsidRPr="00B56A78" w:rsidR="00F727DC">
        <w:t>.)</w:t>
      </w:r>
      <w:r w:rsidR="00295E8E">
        <w:t xml:space="preserve">  Instead, </w:t>
      </w:r>
      <w:r w:rsidR="00576E6E">
        <w:t xml:space="preserve">we must look deeper to discern the meaning and significance of </w:t>
      </w:r>
      <w:r w:rsidR="00576E6E">
        <w:rPr>
          <w:i/>
          <w:iCs/>
        </w:rPr>
        <w:t>Estrada</w:t>
      </w:r>
      <w:r w:rsidR="00576E6E">
        <w:t xml:space="preserve">’s finality limit. </w:t>
      </w:r>
    </w:p>
    <w:p w:rsidR="00347CE6" w:rsidRPr="00B56A78" w:rsidP="009852EB">
      <w:pPr>
        <w:tabs>
          <w:tab w:val="left" w:pos="1440"/>
        </w:tabs>
        <w:ind w:firstLine="720"/>
      </w:pPr>
      <w:bookmarkEnd w:id="16"/>
      <w:r w:rsidRPr="00B56A78">
        <w:t>R</w:t>
      </w:r>
      <w:r w:rsidRPr="00B56A78" w:rsidR="005A48BF">
        <w:t xml:space="preserve">ecently, in </w:t>
      </w:r>
      <w:r w:rsidRPr="00B56A78" w:rsidR="005A48BF">
        <w:rPr>
          <w:i/>
          <w:iCs/>
        </w:rPr>
        <w:t>McKenzie</w:t>
      </w:r>
      <w:r w:rsidRPr="00B56A78" w:rsidR="005A48BF">
        <w:t xml:space="preserve">, we </w:t>
      </w:r>
      <w:r w:rsidRPr="00B56A78">
        <w:t>held that “a convicted defendant who [was] placed on probation after imposition of sentence [was] suspended, and who [did] not timely appeal from the order granting probation, [could] take advantage of ameliorative statutory amendments that [took] effect during a later appeal from a judgment revoking probation and imposing sentence.”  (</w:t>
      </w:r>
      <w:r w:rsidRPr="00B56A78">
        <w:rPr>
          <w:i/>
          <w:iCs/>
        </w:rPr>
        <w:t>McKenzie</w:t>
      </w:r>
      <w:r w:rsidRPr="00B56A78">
        <w:t xml:space="preserve">, </w:t>
      </w:r>
      <w:r w:rsidRPr="00B56A78">
        <w:rPr>
          <w:i/>
          <w:iCs/>
        </w:rPr>
        <w:t>supra</w:t>
      </w:r>
      <w:r w:rsidRPr="00B56A78">
        <w:t xml:space="preserve">, 9 Cal.5th at p. 43.)  </w:t>
      </w:r>
      <w:r w:rsidRPr="00B56A78" w:rsidR="00A94D74">
        <w:t xml:space="preserve">We </w:t>
      </w:r>
      <w:r w:rsidRPr="00B56A78" w:rsidR="0079386D">
        <w:t xml:space="preserve">reasoned that </w:t>
      </w:r>
      <w:r w:rsidRPr="00B56A78" w:rsidR="00F042DB">
        <w:t xml:space="preserve">the </w:t>
      </w:r>
      <w:r w:rsidR="00E94880">
        <w:t xml:space="preserve">defendant’s </w:t>
      </w:r>
      <w:r w:rsidRPr="00B56A78" w:rsidR="0079386D">
        <w:t xml:space="preserve">“prosecution had not been ‘reduced to final judgment at the time’ ” </w:t>
      </w:r>
      <w:r w:rsidRPr="00B56A78" w:rsidR="00A34291">
        <w:t xml:space="preserve">the </w:t>
      </w:r>
      <w:r w:rsidR="00552CD0">
        <w:t xml:space="preserve">ameliorative </w:t>
      </w:r>
      <w:r w:rsidRPr="00B56A78" w:rsidR="0079386D">
        <w:t xml:space="preserve">legislation </w:t>
      </w:r>
      <w:r w:rsidRPr="00B56A78" w:rsidR="00A34291">
        <w:t>was enacted</w:t>
      </w:r>
      <w:r w:rsidRPr="00B56A78" w:rsidR="00AD39A3">
        <w:t xml:space="preserve"> (</w:t>
      </w:r>
      <w:r w:rsidRPr="00B56A78" w:rsidR="00AD39A3">
        <w:rPr>
          <w:i/>
          <w:iCs/>
        </w:rPr>
        <w:t>id.</w:t>
      </w:r>
      <w:r w:rsidRPr="00B56A78" w:rsidR="00AD39A3">
        <w:t xml:space="preserve"> at p. 45)</w:t>
      </w:r>
      <w:r w:rsidRPr="00B56A78" w:rsidR="00A34291">
        <w:t xml:space="preserve">, </w:t>
      </w:r>
      <w:r w:rsidRPr="00B56A78" w:rsidR="00D96594">
        <w:t>as the “ ‘ “criminal proceeding . . . ha[d] not yet reached final disposition in the highest court authorized to review it” ’ ”  (</w:t>
      </w:r>
      <w:r w:rsidRPr="00B56A78" w:rsidR="00AD39A3">
        <w:rPr>
          <w:i/>
          <w:iCs/>
        </w:rPr>
        <w:t>ibi</w:t>
      </w:r>
      <w:r w:rsidRPr="00B56A78" w:rsidR="00D96594">
        <w:rPr>
          <w:i/>
          <w:iCs/>
        </w:rPr>
        <w:t>d.</w:t>
      </w:r>
      <w:r w:rsidRPr="00B56A78" w:rsidR="004C0778">
        <w:t>)</w:t>
      </w:r>
      <w:r w:rsidRPr="00B56A78" w:rsidR="00AD39A3">
        <w:t>.</w:t>
      </w:r>
    </w:p>
    <w:p w:rsidR="00C462BF" w:rsidRPr="00B56A78" w:rsidP="00C674C6">
      <w:pPr>
        <w:tabs>
          <w:tab w:val="left" w:pos="1440"/>
        </w:tabs>
        <w:ind w:firstLine="720"/>
      </w:pPr>
      <w:r w:rsidRPr="00B56A78">
        <w:t xml:space="preserve">We then turned to the People’s </w:t>
      </w:r>
      <w:r w:rsidRPr="00B56A78" w:rsidR="001341FE">
        <w:t>position</w:t>
      </w:r>
      <w:r w:rsidRPr="00B56A78">
        <w:t xml:space="preserve">.  </w:t>
      </w:r>
      <w:r w:rsidRPr="00B56A78" w:rsidR="00E25320">
        <w:t>The</w:t>
      </w:r>
      <w:r w:rsidRPr="00B56A78" w:rsidR="00BD2563">
        <w:t xml:space="preserve">y </w:t>
      </w:r>
      <w:r w:rsidRPr="00B56A78" w:rsidR="001341FE">
        <w:t xml:space="preserve">argued </w:t>
      </w:r>
      <w:r w:rsidRPr="00B56A78" w:rsidR="00E25320">
        <w:t xml:space="preserve">that “[t]he relevant cutoff point under </w:t>
      </w:r>
      <w:r w:rsidRPr="00B56A78" w:rsidR="00E25320">
        <w:rPr>
          <w:i/>
          <w:iCs/>
        </w:rPr>
        <w:t>Estrada</w:t>
      </w:r>
      <w:r w:rsidRPr="00B56A78" w:rsidR="00E25320">
        <w:t xml:space="preserve"> </w:t>
      </w:r>
      <w:r w:rsidRPr="00B56A78" w:rsidR="00AD39A3">
        <w:t xml:space="preserve">for applying ameliorative amendments </w:t>
      </w:r>
      <w:r w:rsidRPr="00B56A78" w:rsidR="00E25320">
        <w:t>is the date the ‘judgment of conviction becomes final</w:t>
      </w:r>
      <w:r w:rsidRPr="00B56A78" w:rsidR="00631D90">
        <w:t>,</w:t>
      </w:r>
      <w:r w:rsidRPr="00B56A78" w:rsidR="00E25320">
        <w:t xml:space="preserve">’ ” </w:t>
      </w:r>
      <w:r w:rsidRPr="00B56A78" w:rsidR="007C0BC8">
        <w:t>and</w:t>
      </w:r>
      <w:r w:rsidRPr="00B56A78" w:rsidR="00485B69">
        <w:t xml:space="preserve"> that </w:t>
      </w:r>
      <w:r w:rsidRPr="00B56A78" w:rsidR="00BD2563">
        <w:t xml:space="preserve">the </w:t>
      </w:r>
      <w:r w:rsidRPr="00B56A78" w:rsidR="00485B69">
        <w:t xml:space="preserve">defendant’s underlying conviction became final when he did not appeal the order placing him on probation.  </w:t>
      </w:r>
      <w:r w:rsidRPr="00B56A78" w:rsidR="00E25320">
        <w:t>(</w:t>
      </w:r>
      <w:r w:rsidRPr="00B56A78" w:rsidR="00E25320">
        <w:rPr>
          <w:i/>
          <w:iCs/>
        </w:rPr>
        <w:t>McKenzie</w:t>
      </w:r>
      <w:r w:rsidRPr="00B56A78" w:rsidR="00E25320">
        <w:t xml:space="preserve">, </w:t>
      </w:r>
      <w:r w:rsidRPr="00B56A78" w:rsidR="00E25320">
        <w:rPr>
          <w:i/>
          <w:iCs/>
        </w:rPr>
        <w:t>supra</w:t>
      </w:r>
      <w:r w:rsidRPr="00B56A78" w:rsidR="00E25320">
        <w:t>, 9</w:t>
      </w:r>
      <w:r w:rsidRPr="00B56A78" w:rsidR="00CC6BB9">
        <w:t> </w:t>
      </w:r>
      <w:r w:rsidRPr="00B56A78" w:rsidR="00E25320">
        <w:t>Cal.5th at p. 46.)</w:t>
      </w:r>
      <w:r w:rsidRPr="00B56A78" w:rsidR="00C64682">
        <w:t xml:space="preserve">  We disagreed.  </w:t>
      </w:r>
      <w:r w:rsidRPr="00B56A78" w:rsidR="00E45BBD">
        <w:t>Part of our reasoning was specific to the suspend</w:t>
      </w:r>
      <w:r w:rsidRPr="00B56A78" w:rsidR="00A53D3A">
        <w:t>ed</w:t>
      </w:r>
      <w:r w:rsidRPr="00B56A78" w:rsidR="00E45BBD">
        <w:t>-imposition context</w:t>
      </w:r>
      <w:r w:rsidRPr="00B56A78" w:rsidR="009A3A39">
        <w:t xml:space="preserve">; we observed that </w:t>
      </w:r>
      <w:r w:rsidRPr="00B56A78" w:rsidR="00174816">
        <w:t>“the terms ‘judgment’ and ‘</w:t>
      </w:r>
      <w:r w:rsidRPr="00B56A78" w:rsidR="00AD39A3">
        <w:t> “</w:t>
      </w:r>
      <w:r w:rsidRPr="00B56A78" w:rsidR="00174816">
        <w:t>sentence</w:t>
      </w:r>
      <w:r w:rsidRPr="00B56A78" w:rsidR="00AD39A3">
        <w:t>” </w:t>
      </w:r>
      <w:r w:rsidRPr="00B56A78" w:rsidR="00174816">
        <w:t>’ are generally considered ‘synonymous</w:t>
      </w:r>
      <w:r w:rsidRPr="00B56A78" w:rsidR="009A3A39">
        <w:t>,</w:t>
      </w:r>
      <w:r w:rsidRPr="00B56A78" w:rsidR="00174816">
        <w:t xml:space="preserve">’ ” </w:t>
      </w:r>
      <w:r w:rsidRPr="00B56A78" w:rsidR="009A3A39">
        <w:t xml:space="preserve">such that the absence of a sentence </w:t>
      </w:r>
      <w:r w:rsidRPr="00B56A78" w:rsidR="00647CE3">
        <w:t xml:space="preserve">in a suspended-imposition case </w:t>
      </w:r>
      <w:r w:rsidRPr="00B56A78" w:rsidR="009A3A39">
        <w:t>also implies the absence of a final judgment.  (</w:t>
      </w:r>
      <w:r w:rsidRPr="00B56A78" w:rsidR="009A3A39">
        <w:rPr>
          <w:i/>
          <w:iCs/>
        </w:rPr>
        <w:t>Ibid.</w:t>
      </w:r>
      <w:r w:rsidRPr="00B56A78" w:rsidR="009A3A39">
        <w:t>)  But part of our reasoning was more general;</w:t>
      </w:r>
      <w:r w:rsidRPr="00B56A78" w:rsidR="003D7F0A">
        <w:t xml:space="preserve"> </w:t>
      </w:r>
      <w:r w:rsidRPr="00B56A78" w:rsidR="00B244D6">
        <w:t xml:space="preserve">we </w:t>
      </w:r>
      <w:r w:rsidRPr="00B56A78" w:rsidR="0099067E">
        <w:t xml:space="preserve">further </w:t>
      </w:r>
      <w:r w:rsidRPr="00B56A78" w:rsidR="007C78A2">
        <w:t xml:space="preserve">observed that </w:t>
      </w:r>
      <w:r w:rsidRPr="00B56A78" w:rsidR="007C78A2">
        <w:rPr>
          <w:i/>
          <w:iCs/>
        </w:rPr>
        <w:t>Estrada</w:t>
      </w:r>
      <w:r w:rsidRPr="00B56A78" w:rsidR="007C78A2">
        <w:t xml:space="preserve"> </w:t>
      </w:r>
      <w:r w:rsidRPr="00B56A78" w:rsidR="003D7F0A">
        <w:t>referred not only to the finality of the judgment</w:t>
      </w:r>
      <w:r w:rsidRPr="00B56A78" w:rsidR="00BD13F1">
        <w:t xml:space="preserve"> of conviction</w:t>
      </w:r>
      <w:r w:rsidRPr="00B56A78" w:rsidR="003D7F0A">
        <w:t xml:space="preserve">, but also </w:t>
      </w:r>
      <w:r w:rsidRPr="00B56A78" w:rsidR="007C78A2">
        <w:t>to the finality of the “ ‘case[]’ ” or “ ‘prosecution[].’ ”</w:t>
      </w:r>
      <w:r w:rsidRPr="00B56A78" w:rsidR="0099067E">
        <w:t xml:space="preserve">  (</w:t>
      </w:r>
      <w:r w:rsidRPr="00B56A78" w:rsidR="00F25873">
        <w:rPr>
          <w:i/>
          <w:iCs/>
        </w:rPr>
        <w:t>McKenzie</w:t>
      </w:r>
      <w:r w:rsidRPr="00B56A78" w:rsidR="00F25873">
        <w:t>, at p. 46.)</w:t>
      </w:r>
      <w:r w:rsidRPr="00B56A78" w:rsidR="00994C43">
        <w:t xml:space="preserve">  </w:t>
      </w:r>
      <w:r w:rsidRPr="00B56A78" w:rsidR="00926348">
        <w:t>A</w:t>
      </w:r>
      <w:r w:rsidRPr="00B56A78" w:rsidR="00F57E02">
        <w:t> </w:t>
      </w:r>
      <w:r w:rsidRPr="00B56A78" w:rsidR="00926348">
        <w:t xml:space="preserve">decision </w:t>
      </w:r>
      <w:r w:rsidRPr="00B56A78" w:rsidR="00EB1499">
        <w:t xml:space="preserve">issued </w:t>
      </w:r>
      <w:r w:rsidRPr="00B56A78" w:rsidR="000D042C">
        <w:t>after</w:t>
      </w:r>
      <w:r w:rsidRPr="00B56A78" w:rsidR="00206E9F">
        <w:t xml:space="preserve"> </w:t>
      </w:r>
      <w:r w:rsidRPr="00B56A78" w:rsidR="00206E9F">
        <w:rPr>
          <w:i/>
          <w:iCs/>
        </w:rPr>
        <w:t>Estrada</w:t>
      </w:r>
      <w:r w:rsidRPr="00B56A78" w:rsidR="00206E9F">
        <w:t xml:space="preserve"> similarly spoke in terms of the criminal proceeding</w:t>
      </w:r>
      <w:r w:rsidRPr="00B56A78" w:rsidR="00B46DED">
        <w:t xml:space="preserve"> as a whole.  (</w:t>
      </w:r>
      <w:r w:rsidRPr="00B56A78" w:rsidR="00C674C6">
        <w:rPr>
          <w:i/>
          <w:iCs/>
        </w:rPr>
        <w:t>McKenzie</w:t>
      </w:r>
      <w:r w:rsidRPr="00B56A78" w:rsidR="00C674C6">
        <w:t>, at p. 46</w:t>
      </w:r>
      <w:r w:rsidRPr="00B56A78" w:rsidR="00C674C6">
        <w:rPr>
          <w:i/>
          <w:iCs/>
        </w:rPr>
        <w:t xml:space="preserve">, </w:t>
      </w:r>
      <w:r w:rsidRPr="00B56A78" w:rsidR="00463239">
        <w:t>citing</w:t>
      </w:r>
      <w:r w:rsidRPr="00B56A78" w:rsidR="006D13AA">
        <w:t xml:space="preserve"> </w:t>
      </w:r>
      <w:r w:rsidRPr="00B56A78" w:rsidR="006D13AA">
        <w:rPr>
          <w:i/>
          <w:iCs/>
        </w:rPr>
        <w:t>Rossi</w:t>
      </w:r>
      <w:r w:rsidRPr="00B56A78" w:rsidR="006D13AA">
        <w:t xml:space="preserve">, </w:t>
      </w:r>
      <w:r w:rsidRPr="00B56A78" w:rsidR="006D13AA">
        <w:rPr>
          <w:i/>
          <w:iCs/>
        </w:rPr>
        <w:t>supra</w:t>
      </w:r>
      <w:r w:rsidRPr="00B56A78" w:rsidR="006D13AA">
        <w:t xml:space="preserve">, </w:t>
      </w:r>
      <w:r w:rsidRPr="00B56A78" w:rsidR="00B13057">
        <w:t xml:space="preserve">18 Cal.3d </w:t>
      </w:r>
      <w:r w:rsidRPr="00B56A78" w:rsidR="006D13AA">
        <w:t>at p. </w:t>
      </w:r>
      <w:r w:rsidRPr="00B56A78" w:rsidR="00B13057">
        <w:t xml:space="preserve">304.)  </w:t>
      </w:r>
      <w:r w:rsidRPr="00B56A78" w:rsidR="003D7F0A">
        <w:t xml:space="preserve">Accordingly, we </w:t>
      </w:r>
      <w:r w:rsidRPr="00B56A78" w:rsidR="00B25E4E">
        <w:t xml:space="preserve">concluded that </w:t>
      </w:r>
      <w:r w:rsidRPr="00B56A78" w:rsidR="006D13AA">
        <w:t xml:space="preserve">the defendant in </w:t>
      </w:r>
      <w:r w:rsidRPr="00B56A78" w:rsidR="006D13AA">
        <w:rPr>
          <w:i/>
          <w:iCs/>
        </w:rPr>
        <w:t>McKenzie</w:t>
      </w:r>
      <w:r w:rsidRPr="00B56A78" w:rsidR="006D13AA">
        <w:t xml:space="preserve"> </w:t>
      </w:r>
      <w:r w:rsidRPr="00B56A78" w:rsidR="00A670F7">
        <w:t xml:space="preserve">was entitled to relief because </w:t>
      </w:r>
      <w:r w:rsidRPr="00B56A78" w:rsidR="00B25E4E">
        <w:t xml:space="preserve">“it [could not] </w:t>
      </w:r>
      <w:r w:rsidRPr="00B56A78" w:rsidR="00A670F7">
        <w:t>be said that this criminal prosecution or proceeding concluded before the ameliorative legislation took effect.”</w:t>
      </w:r>
      <w:r w:rsidRPr="00B56A78" w:rsidR="00EE6C39">
        <w:t xml:space="preserve">  (</w:t>
      </w:r>
      <w:r w:rsidRPr="00B56A78" w:rsidR="00C87F62">
        <w:rPr>
          <w:i/>
          <w:iCs/>
        </w:rPr>
        <w:t>McKenzie</w:t>
      </w:r>
      <w:r w:rsidRPr="00B56A78" w:rsidR="00C87F62">
        <w:t>, at p. 46.</w:t>
      </w:r>
      <w:r w:rsidRPr="00B56A78" w:rsidR="00D7640A">
        <w:t>)</w:t>
      </w:r>
    </w:p>
    <w:p w:rsidR="00505733" w:rsidRPr="00B56A78" w:rsidP="001E588F">
      <w:pPr>
        <w:tabs>
          <w:tab w:val="left" w:pos="1440"/>
        </w:tabs>
        <w:ind w:firstLine="720"/>
      </w:pPr>
      <w:r w:rsidRPr="00B56A78">
        <w:t>So too here.</w:t>
      </w:r>
      <w:r w:rsidRPr="00B56A78" w:rsidR="002E0CD4">
        <w:t xml:space="preserve">  </w:t>
      </w:r>
      <w:r w:rsidRPr="00B56A78" w:rsidR="00BD7861">
        <w:t xml:space="preserve">This case </w:t>
      </w:r>
      <w:r w:rsidRPr="00B56A78" w:rsidR="00D129E6">
        <w:t>was</w:t>
      </w:r>
      <w:r w:rsidRPr="00B56A78" w:rsidR="00BD7861">
        <w:t xml:space="preserve"> not final, for purposes of the </w:t>
      </w:r>
      <w:r w:rsidRPr="00B56A78" w:rsidR="00BD7861">
        <w:rPr>
          <w:i/>
          <w:iCs/>
        </w:rPr>
        <w:t>Estrada</w:t>
      </w:r>
      <w:r w:rsidRPr="00B56A78" w:rsidR="00BD7861">
        <w:t xml:space="preserve"> presumption, because </w:t>
      </w:r>
      <w:r w:rsidRPr="00B56A78" w:rsidR="00DD4652">
        <w:t>t</w:t>
      </w:r>
      <w:r w:rsidRPr="00B56A78" w:rsidR="00773EBE">
        <w:t xml:space="preserve">he </w:t>
      </w:r>
      <w:r w:rsidRPr="00B56A78" w:rsidR="001920C2">
        <w:t xml:space="preserve">“criminal prosecution or proceeding” brought against </w:t>
      </w:r>
      <w:r w:rsidRPr="00B56A78" w:rsidR="00706971">
        <w:t>defendant</w:t>
      </w:r>
      <w:r w:rsidRPr="00B56A78" w:rsidR="001920C2">
        <w:t xml:space="preserve"> </w:t>
      </w:r>
      <w:r w:rsidRPr="00B56A78" w:rsidR="0019775C">
        <w:t xml:space="preserve">was not </w:t>
      </w:r>
      <w:r w:rsidRPr="00B56A78" w:rsidR="009E3DA4">
        <w:t>complete when the ameliorative legislation</w:t>
      </w:r>
      <w:r w:rsidRPr="00B56A78" w:rsidR="000B5127">
        <w:t xml:space="preserve"> at issue</w:t>
      </w:r>
      <w:r w:rsidRPr="00B56A78" w:rsidR="009E3DA4">
        <w:t xml:space="preserve"> </w:t>
      </w:r>
      <w:r w:rsidRPr="00B56A78" w:rsidR="002936E6">
        <w:t>took effect</w:t>
      </w:r>
      <w:r w:rsidRPr="00B56A78" w:rsidR="0019775C">
        <w:t>.  (</w:t>
      </w:r>
      <w:r w:rsidRPr="00B56A78" w:rsidR="0019775C">
        <w:rPr>
          <w:i/>
          <w:iCs/>
        </w:rPr>
        <w:t>McKenzie</w:t>
      </w:r>
      <w:r w:rsidRPr="00B56A78" w:rsidR="0019775C">
        <w:t xml:space="preserve">, </w:t>
      </w:r>
      <w:r w:rsidRPr="00B56A78" w:rsidR="0019775C">
        <w:rPr>
          <w:i/>
          <w:iCs/>
        </w:rPr>
        <w:t>supra</w:t>
      </w:r>
      <w:r w:rsidRPr="00B56A78" w:rsidR="0019775C">
        <w:t>, 9 Cal.5th at p. 46</w:t>
      </w:r>
      <w:r w:rsidRPr="00B56A78" w:rsidR="00AD2CAC">
        <w:t>.)</w:t>
      </w:r>
      <w:r w:rsidRPr="00B56A78" w:rsidR="0095631A">
        <w:t xml:space="preserve">  </w:t>
      </w:r>
      <w:r w:rsidRPr="00B56A78" w:rsidR="000C0F39">
        <w:t>Defendant had not exhausted direct review of the order causing his carceral punishment to take effect</w:t>
      </w:r>
      <w:r w:rsidRPr="00B56A78" w:rsidR="00630FE3">
        <w:t>.  T</w:t>
      </w:r>
      <w:r w:rsidRPr="00B56A78" w:rsidR="000C0F39">
        <w:t>he time for him to seek that review had not expired</w:t>
      </w:r>
      <w:r w:rsidRPr="00B56A78" w:rsidR="00630FE3">
        <w:t>.  A</w:t>
      </w:r>
      <w:r w:rsidRPr="00B56A78" w:rsidR="000C0F39">
        <w:t xml:space="preserve">nd he had not successfully completed probation.  </w:t>
      </w:r>
      <w:r w:rsidRPr="00B56A78" w:rsidR="005072AA">
        <w:t xml:space="preserve">(Cf. </w:t>
      </w:r>
      <w:r w:rsidRPr="00B56A78" w:rsidR="005072AA">
        <w:rPr>
          <w:i/>
          <w:iCs/>
        </w:rPr>
        <w:t>ibid.</w:t>
      </w:r>
      <w:r w:rsidRPr="00B56A78" w:rsidR="005072AA">
        <w:t xml:space="preserve"> [noting our rejection in </w:t>
      </w:r>
      <w:bookmarkStart w:id="17" w:name="_Hlk71621231"/>
      <w:r w:rsidRPr="00B56A78" w:rsidR="005072AA">
        <w:rPr>
          <w:i/>
          <w:iCs/>
        </w:rPr>
        <w:t>People v. Chavez</w:t>
      </w:r>
      <w:r w:rsidRPr="00B56A78" w:rsidR="005072AA">
        <w:t xml:space="preserve"> (2018) 4 Cal.5th 771 (</w:t>
      </w:r>
      <w:r w:rsidRPr="00B56A78" w:rsidR="005072AA">
        <w:rPr>
          <w:i/>
          <w:iCs/>
        </w:rPr>
        <w:t>Chavez</w:t>
      </w:r>
      <w:r w:rsidRPr="00B56A78" w:rsidR="005072AA">
        <w:t>)</w:t>
      </w:r>
      <w:bookmarkEnd w:id="17"/>
      <w:r w:rsidRPr="00B56A78" w:rsidR="005072AA">
        <w:t xml:space="preserve"> of an argument that “ ‘the criminal action </w:t>
      </w:r>
      <w:r w:rsidRPr="00B56A78" w:rsidR="00C674C6">
        <w:t>terminates</w:t>
      </w:r>
      <w:r w:rsidRPr="00B56A78" w:rsidR="00C87F62">
        <w:t>’</w:t>
      </w:r>
      <w:r w:rsidRPr="00B56A78" w:rsidR="00C674C6">
        <w:t xml:space="preserve"> </w:t>
      </w:r>
      <w:r w:rsidRPr="00B56A78" w:rsidR="005072AA">
        <w:t>when ‘the court orders a grant of probation’ ”].)</w:t>
      </w:r>
    </w:p>
    <w:p w:rsidR="00247B7F" w:rsidRPr="00B56A78" w:rsidP="00D35F21">
      <w:pPr>
        <w:tabs>
          <w:tab w:val="left" w:pos="1440"/>
        </w:tabs>
        <w:ind w:firstLine="720"/>
      </w:pPr>
      <w:r w:rsidRPr="00B56A78">
        <w:t xml:space="preserve">To the extent they are discernable, the constitutional concerns underlying </w:t>
      </w:r>
      <w:r w:rsidRPr="00B56A78">
        <w:rPr>
          <w:i/>
          <w:iCs/>
        </w:rPr>
        <w:t>Estrada</w:t>
      </w:r>
      <w:r w:rsidRPr="00B56A78">
        <w:t xml:space="preserve">’s </w:t>
      </w:r>
      <w:r w:rsidRPr="00B56A78" w:rsidR="00520257">
        <w:t xml:space="preserve">rationale </w:t>
      </w:r>
      <w:r w:rsidRPr="00B56A78" w:rsidR="00376F35">
        <w:t xml:space="preserve">comport </w:t>
      </w:r>
      <w:r w:rsidRPr="00B56A78" w:rsidR="00217B7E">
        <w:t xml:space="preserve">with our focus on the end of the </w:t>
      </w:r>
      <w:r w:rsidRPr="00B56A78" w:rsidR="00A26DEE">
        <w:t xml:space="preserve">criminal </w:t>
      </w:r>
      <w:r w:rsidRPr="00B56A78" w:rsidR="00217B7E">
        <w:t xml:space="preserve">prosecution </w:t>
      </w:r>
      <w:r w:rsidRPr="00B56A78" w:rsidR="00E06E08">
        <w:t>or proceeding</w:t>
      </w:r>
      <w:r w:rsidRPr="00B56A78" w:rsidR="00217B7E">
        <w:t>.</w:t>
      </w:r>
      <w:r w:rsidRPr="00B56A78" w:rsidR="00520257">
        <w:t xml:space="preserve">  </w:t>
      </w:r>
      <w:r w:rsidRPr="00B56A78" w:rsidR="005D63BE">
        <w:rPr>
          <w:i/>
          <w:iCs/>
        </w:rPr>
        <w:t>Estrada</w:t>
      </w:r>
      <w:r w:rsidRPr="00B56A78" w:rsidR="005D63BE">
        <w:t xml:space="preserve"> reasoned that nonfinal judgments could be modified constitutionally</w:t>
      </w:r>
      <w:r w:rsidRPr="00B56A78" w:rsidR="00F847EE">
        <w:t xml:space="preserve">; it did not </w:t>
      </w:r>
      <w:r w:rsidRPr="00B56A78" w:rsidR="00EB76B1">
        <w:t xml:space="preserve">explicitly </w:t>
      </w:r>
      <w:r w:rsidRPr="00B56A78" w:rsidR="00D35F21">
        <w:t>say that final judgments could n</w:t>
      </w:r>
      <w:r w:rsidRPr="00B56A78" w:rsidR="00D4741C">
        <w:t>ever</w:t>
      </w:r>
      <w:r w:rsidRPr="00B56A78" w:rsidR="00D35F21">
        <w:t xml:space="preserve"> be modified.  </w:t>
      </w:r>
      <w:r w:rsidRPr="00B56A78" w:rsidR="003E23F2">
        <w:t>(</w:t>
      </w:r>
      <w:r w:rsidRPr="00B56A78" w:rsidR="003E23F2">
        <w:rPr>
          <w:i/>
          <w:iCs/>
        </w:rPr>
        <w:t>Estrada</w:t>
      </w:r>
      <w:r w:rsidRPr="00B56A78" w:rsidR="003E23F2">
        <w:t xml:space="preserve">, </w:t>
      </w:r>
      <w:r w:rsidRPr="00B56A78" w:rsidR="003E23F2">
        <w:rPr>
          <w:i/>
          <w:iCs/>
        </w:rPr>
        <w:t>supra</w:t>
      </w:r>
      <w:r w:rsidRPr="00B56A78" w:rsidR="003E23F2">
        <w:t>, 63 Cal.2d at p.</w:t>
      </w:r>
      <w:r w:rsidRPr="00B56A78" w:rsidR="00F57E02">
        <w:t> </w:t>
      </w:r>
      <w:r w:rsidRPr="00B56A78" w:rsidR="003E23F2">
        <w:t>745</w:t>
      </w:r>
      <w:r w:rsidRPr="00B56A78" w:rsidR="00524F0C">
        <w:t>.</w:t>
      </w:r>
      <w:r w:rsidRPr="00B56A78" w:rsidR="003E23F2">
        <w:t>)</w:t>
      </w:r>
      <w:r w:rsidRPr="00B56A78" w:rsidR="0092347B">
        <w:t xml:space="preserve">  </w:t>
      </w:r>
      <w:r w:rsidRPr="00B56A78" w:rsidR="0006022B">
        <w:t xml:space="preserve">Presumably, </w:t>
      </w:r>
      <w:r w:rsidRPr="00B56A78" w:rsidR="00AE6ECB">
        <w:rPr>
          <w:i/>
          <w:iCs/>
        </w:rPr>
        <w:t>Estrada</w:t>
      </w:r>
      <w:r w:rsidRPr="00B56A78" w:rsidR="00AE6ECB">
        <w:t xml:space="preserve"> understood finality to trigger at least a potential </w:t>
      </w:r>
      <w:r w:rsidRPr="00B56A78" w:rsidR="00C640F5">
        <w:t xml:space="preserve">constitutional restraint </w:t>
      </w:r>
      <w:r w:rsidRPr="00B56A78" w:rsidR="00DF1E1B">
        <w:t>(i) </w:t>
      </w:r>
      <w:r w:rsidRPr="00B56A78" w:rsidR="009C3732">
        <w:t xml:space="preserve">on </w:t>
      </w:r>
      <w:r w:rsidRPr="00B56A78" w:rsidR="00C640F5">
        <w:t>the Legislature’s power to intervene in judicial decisionmaking</w:t>
      </w:r>
      <w:r w:rsidRPr="00B56A78" w:rsidR="00855F37">
        <w:t xml:space="preserve"> </w:t>
      </w:r>
      <w:r w:rsidRPr="00B56A78" w:rsidR="00DF1E1B">
        <w:t>or (ii)</w:t>
      </w:r>
      <w:r w:rsidRPr="00B56A78" w:rsidR="009C3732">
        <w:t xml:space="preserve"> on </w:t>
      </w:r>
      <w:r w:rsidRPr="00B56A78" w:rsidR="00DF1E1B">
        <w:t xml:space="preserve">the judiciary’s power </w:t>
      </w:r>
      <w:r w:rsidRPr="00B56A78" w:rsidR="00E36CCA">
        <w:t xml:space="preserve">to </w:t>
      </w:r>
      <w:r w:rsidRPr="00B56A78" w:rsidR="002453E9">
        <w:t>affect matters that were no longer pending</w:t>
      </w:r>
      <w:r w:rsidRPr="00B56A78" w:rsidR="00855F37">
        <w:t>.</w:t>
      </w:r>
      <w:r w:rsidRPr="00B56A78" w:rsidR="00636C54">
        <w:t xml:space="preserve">  But any constraint on the </w:t>
      </w:r>
      <w:r w:rsidRPr="00B56A78" w:rsidR="008526B2">
        <w:t>L</w:t>
      </w:r>
      <w:r w:rsidRPr="00B56A78" w:rsidR="00636C54">
        <w:t xml:space="preserve">egislature’s </w:t>
      </w:r>
      <w:r w:rsidRPr="00B56A78" w:rsidR="008526B2">
        <w:t xml:space="preserve">power to affect “final” </w:t>
      </w:r>
      <w:r w:rsidRPr="00B56A78" w:rsidR="00195620">
        <w:t xml:space="preserve">criminal </w:t>
      </w:r>
      <w:r w:rsidRPr="00B56A78" w:rsidR="008526B2">
        <w:t xml:space="preserve">judgments would appear to arise from the conclusion of a </w:t>
      </w:r>
      <w:r w:rsidRPr="00B56A78" w:rsidR="004016E8">
        <w:t xml:space="preserve">criminal </w:t>
      </w:r>
      <w:r w:rsidRPr="00B56A78" w:rsidR="008526B2">
        <w:t>proceeding as a whole</w:t>
      </w:r>
      <w:r w:rsidRPr="00B56A78" w:rsidR="008C7CA3">
        <w:t xml:space="preserve">.  </w:t>
      </w:r>
      <w:r w:rsidRPr="00B56A78" w:rsidR="00D067DA">
        <w:t xml:space="preserve">(Cf. </w:t>
      </w:r>
      <w:r w:rsidRPr="00B56A78" w:rsidR="00D067DA">
        <w:rPr>
          <w:i/>
          <w:iCs/>
        </w:rPr>
        <w:t>Plaut v. Spendthrift Farm, Inc.</w:t>
      </w:r>
      <w:r w:rsidRPr="00B56A78" w:rsidR="00D067DA">
        <w:t xml:space="preserve"> (1995) 514 U.S. 211</w:t>
      </w:r>
      <w:r w:rsidRPr="00B56A78" w:rsidR="004518E7">
        <w:t xml:space="preserve">, 227 </w:t>
      </w:r>
      <w:r w:rsidRPr="00B56A78" w:rsidR="00F70DE1">
        <w:t>[focusing on “the last word of the judicial department with regard to a particular case or controversy”]</w:t>
      </w:r>
      <w:r w:rsidRPr="00B56A78" w:rsidR="00F66FEE">
        <w:t>.</w:t>
      </w:r>
      <w:r w:rsidRPr="00B56A78" w:rsidR="00D067DA">
        <w:t xml:space="preserve">)  </w:t>
      </w:r>
      <w:r w:rsidRPr="00B56A78" w:rsidR="008C7CA3">
        <w:t>Certainly, the</w:t>
      </w:r>
      <w:r w:rsidRPr="00B56A78" w:rsidR="00BC4F94">
        <w:t xml:space="preserve"> mere</w:t>
      </w:r>
      <w:r w:rsidRPr="00B56A78" w:rsidR="008C7CA3">
        <w:t xml:space="preserve"> fact that </w:t>
      </w:r>
      <w:r w:rsidRPr="00B56A78" w:rsidR="00D067DA">
        <w:t xml:space="preserve">a court has already addressed an issue in a case </w:t>
      </w:r>
      <w:r w:rsidRPr="00B56A78" w:rsidR="008C7CA3">
        <w:t>poses no insuperable constitutional bar to legislative activity</w:t>
      </w:r>
      <w:r w:rsidRPr="00B56A78" w:rsidR="00D067DA">
        <w:t xml:space="preserve"> affecting </w:t>
      </w:r>
      <w:r w:rsidRPr="00B56A78" w:rsidR="007A476D">
        <w:t xml:space="preserve">resolution of </w:t>
      </w:r>
      <w:r w:rsidRPr="00B56A78" w:rsidR="00D067DA">
        <w:t>that issue</w:t>
      </w:r>
      <w:r w:rsidRPr="00B56A78" w:rsidR="008C7CA3">
        <w:t xml:space="preserve">.  (See </w:t>
      </w:r>
      <w:r w:rsidRPr="00B56A78" w:rsidR="008C7CA3">
        <w:rPr>
          <w:i/>
          <w:iCs/>
        </w:rPr>
        <w:t>People v. Babylon</w:t>
      </w:r>
      <w:r w:rsidRPr="00B56A78" w:rsidR="008C7CA3">
        <w:t xml:space="preserve"> (1985) 39 Cal.3d 719, 727 &amp; fn. 10; </w:t>
      </w:r>
      <w:r w:rsidRPr="00B56A78" w:rsidR="008C7CA3">
        <w:rPr>
          <w:i/>
          <w:iCs/>
        </w:rPr>
        <w:t>People v. Charles</w:t>
      </w:r>
      <w:r w:rsidRPr="00B56A78" w:rsidR="008C7CA3">
        <w:t xml:space="preserve"> (1967) 66 Cal.2d 330, 335</w:t>
      </w:r>
      <w:r w:rsidRPr="00B56A78" w:rsidR="00D35ABC">
        <w:t xml:space="preserve">; cf. </w:t>
      </w:r>
      <w:r w:rsidRPr="00B56A78" w:rsidR="00D35ABC">
        <w:rPr>
          <w:i/>
          <w:iCs/>
        </w:rPr>
        <w:t>Bank Markazi v. Peterson</w:t>
      </w:r>
      <w:r w:rsidRPr="00B56A78" w:rsidR="00AC3E1A">
        <w:t xml:space="preserve"> (2016) </w:t>
      </w:r>
      <w:r w:rsidRPr="00B56A78" w:rsidR="007A529D">
        <w:t xml:space="preserve">___ U.S. ___, ___ </w:t>
      </w:r>
      <w:r w:rsidRPr="00B56A78" w:rsidR="007118BE">
        <w:t xml:space="preserve">[136 S.Ct. 1310, 1325] </w:t>
      </w:r>
      <w:r w:rsidRPr="00B56A78" w:rsidR="007A529D">
        <w:t xml:space="preserve">[“Congress may indeed direct courts to apply newly enacted, outcome-altering legislation in pending civil cases”].)  </w:t>
      </w:r>
      <w:r w:rsidRPr="00B56A78" w:rsidR="00B11C89">
        <w:t>N</w:t>
      </w:r>
      <w:r w:rsidRPr="00B56A78" w:rsidR="007829C3">
        <w:t xml:space="preserve">or does there appear to be any constitutional obstacle to the judiciary’s </w:t>
      </w:r>
      <w:r w:rsidRPr="00B56A78" w:rsidR="00D20B2C">
        <w:t>reduction</w:t>
      </w:r>
      <w:r w:rsidRPr="00B56A78" w:rsidR="003744C7">
        <w:t xml:space="preserve"> of a sentence imposed in a criminal prosecution that remains pending</w:t>
      </w:r>
      <w:r w:rsidRPr="00B56A78" w:rsidR="00F42CF1">
        <w:t xml:space="preserve"> before that branch.  </w:t>
      </w:r>
      <w:r w:rsidRPr="00B56A78" w:rsidR="00CF23EE">
        <w:t>True, t</w:t>
      </w:r>
      <w:r w:rsidRPr="00B56A78" w:rsidR="0051436F">
        <w:t>he</w:t>
      </w:r>
      <w:r w:rsidRPr="00B56A78" w:rsidR="005250FD">
        <w:t xml:space="preserve">re are </w:t>
      </w:r>
      <w:r w:rsidRPr="00B56A78" w:rsidR="00CF23EE">
        <w:t xml:space="preserve">some </w:t>
      </w:r>
      <w:r w:rsidRPr="00B56A78" w:rsidR="0051436F">
        <w:t xml:space="preserve">constraints on a trial court’s </w:t>
      </w:r>
      <w:r w:rsidRPr="00B56A78" w:rsidR="00CF23EE">
        <w:t xml:space="preserve">ordinary discretion to modify suspended execution sentences.  (See </w:t>
      </w:r>
      <w:r w:rsidRPr="00B56A78" w:rsidR="00CF23EE">
        <w:rPr>
          <w:i/>
          <w:iCs/>
        </w:rPr>
        <w:t>People v. Howard</w:t>
      </w:r>
      <w:r w:rsidRPr="00B56A78" w:rsidR="00CF23EE">
        <w:t xml:space="preserve"> (1997) 16 Cal.4th 1081</w:t>
      </w:r>
      <w:r w:rsidRPr="00B56A78" w:rsidR="00567155">
        <w:t>.</w:t>
      </w:r>
      <w:r w:rsidRPr="00B56A78" w:rsidR="00CF23EE">
        <w:t xml:space="preserve">)  But those constraints are statutory, </w:t>
      </w:r>
      <w:r w:rsidRPr="00B56A78" w:rsidR="003C2DF0">
        <w:t xml:space="preserve">and in any event, defendants entitled to the benefit of ameliorative legislation may be able to obtain </w:t>
      </w:r>
      <w:r w:rsidRPr="00B56A78" w:rsidR="00DC7DA7">
        <w:t>relief</w:t>
      </w:r>
      <w:r w:rsidRPr="00B56A78" w:rsidR="003C2DF0">
        <w:t xml:space="preserve"> by other procedural means.  (</w:t>
      </w:r>
      <w:r w:rsidRPr="00B56A78" w:rsidR="003C2DF0">
        <w:rPr>
          <w:i/>
          <w:iCs/>
        </w:rPr>
        <w:t>People v. Buycks</w:t>
      </w:r>
      <w:r w:rsidRPr="00B56A78" w:rsidR="003C2DF0">
        <w:t xml:space="preserve"> (2018) 5 Cal.5th 857, 895.)</w:t>
      </w:r>
      <w:r>
        <w:rPr>
          <w:rStyle w:val="FootnoteReference"/>
        </w:rPr>
        <w:footnoteReference w:id="5"/>
      </w:r>
      <w:r w:rsidRPr="00B56A78" w:rsidR="003C2DF0">
        <w:t xml:space="preserve">  </w:t>
      </w:r>
    </w:p>
    <w:p w:rsidR="008D1963" w:rsidRPr="00B56A78" w:rsidP="00C14F0C">
      <w:pPr>
        <w:tabs>
          <w:tab w:val="left" w:pos="1440"/>
        </w:tabs>
        <w:ind w:firstLine="720"/>
      </w:pPr>
      <w:r w:rsidRPr="00B56A78">
        <w:t>To be clear, w</w:t>
      </w:r>
      <w:r w:rsidRPr="00B56A78" w:rsidR="00F42CF1">
        <w:t xml:space="preserve">e need not and do not draw any precise constitutional lines </w:t>
      </w:r>
      <w:r w:rsidRPr="00B56A78" w:rsidR="00567CB4">
        <w:t xml:space="preserve">to resolve </w:t>
      </w:r>
      <w:r w:rsidRPr="00B56A78" w:rsidR="00961B85">
        <w:t>this case</w:t>
      </w:r>
      <w:r w:rsidRPr="00B56A78" w:rsidR="00614D55">
        <w:t>.</w:t>
      </w:r>
      <w:r w:rsidRPr="00B56A78" w:rsidR="00FD519B">
        <w:t xml:space="preserve">  </w:t>
      </w:r>
      <w:r w:rsidRPr="00B56A78" w:rsidR="00162758">
        <w:t xml:space="preserve">The </w:t>
      </w:r>
      <w:r w:rsidRPr="00B56A78" w:rsidR="00162758">
        <w:rPr>
          <w:i/>
          <w:iCs/>
        </w:rPr>
        <w:t>Estrada</w:t>
      </w:r>
      <w:r w:rsidRPr="00B56A78" w:rsidR="00162758">
        <w:t xml:space="preserve"> doctrine is </w:t>
      </w:r>
      <w:r w:rsidRPr="00B56A78" w:rsidR="00DB5C6E">
        <w:t>one</w:t>
      </w:r>
      <w:r w:rsidRPr="00B56A78" w:rsidR="00162758">
        <w:t xml:space="preserve"> of presumed legislative intent, not of constitutional law.  </w:t>
      </w:r>
      <w:r w:rsidRPr="00B56A78" w:rsidR="00D77085">
        <w:t>The point is that t</w:t>
      </w:r>
      <w:r w:rsidRPr="00B56A78" w:rsidR="0000741F">
        <w:t xml:space="preserve">o the extent </w:t>
      </w:r>
      <w:r w:rsidRPr="00B56A78" w:rsidR="0000741F">
        <w:rPr>
          <w:i/>
          <w:iCs/>
        </w:rPr>
        <w:t>Estrada</w:t>
      </w:r>
      <w:r w:rsidRPr="00B56A78" w:rsidR="0000741F">
        <w:t xml:space="preserve">’s unarticulated constitutional concerns </w:t>
      </w:r>
      <w:r w:rsidRPr="00B56A78" w:rsidR="00293E9E">
        <w:t>shed light</w:t>
      </w:r>
      <w:r w:rsidRPr="00B56A78" w:rsidR="0000741F">
        <w:t xml:space="preserve"> on the meaning of “final” for purposes of the </w:t>
      </w:r>
      <w:r w:rsidRPr="00B56A78" w:rsidR="004A46F8">
        <w:t>presumption</w:t>
      </w:r>
      <w:r w:rsidRPr="00B56A78" w:rsidR="008D6B98">
        <w:t xml:space="preserve"> of retroactivity</w:t>
      </w:r>
      <w:r w:rsidRPr="00B56A78" w:rsidR="0000741F">
        <w:t xml:space="preserve">, </w:t>
      </w:r>
      <w:r w:rsidRPr="00B56A78" w:rsidR="00CD623A">
        <w:t>th</w:t>
      </w:r>
      <w:r w:rsidRPr="00B56A78" w:rsidR="00411952">
        <w:t>ose concerns</w:t>
      </w:r>
      <w:r w:rsidRPr="00B56A78" w:rsidR="00CD623A">
        <w:t xml:space="preserve"> </w:t>
      </w:r>
      <w:r w:rsidRPr="00B56A78" w:rsidR="00614D55">
        <w:t xml:space="preserve">appear to </w:t>
      </w:r>
      <w:r w:rsidRPr="00B56A78" w:rsidR="00EC77AB">
        <w:t>point toward</w:t>
      </w:r>
      <w:r w:rsidRPr="00B56A78" w:rsidR="00CD623A">
        <w:t xml:space="preserve"> an inquiry focused on whether the criminal prosecution or proceeding </w:t>
      </w:r>
      <w:r w:rsidRPr="00B56A78" w:rsidR="007A4F18">
        <w:t xml:space="preserve">as a whole </w:t>
      </w:r>
      <w:r w:rsidRPr="00B56A78" w:rsidR="00F04346">
        <w:t>is complete</w:t>
      </w:r>
      <w:r w:rsidRPr="00B56A78" w:rsidR="00CD623A">
        <w:t xml:space="preserve">.  </w:t>
      </w:r>
    </w:p>
    <w:p w:rsidR="00284604" w:rsidRPr="00B56A78" w:rsidP="00EF43DF">
      <w:pPr>
        <w:tabs>
          <w:tab w:val="left" w:pos="1440"/>
        </w:tabs>
        <w:ind w:firstLine="720"/>
      </w:pPr>
      <w:r w:rsidRPr="00B56A78">
        <w:t>Viewed through th</w:t>
      </w:r>
      <w:r w:rsidRPr="00B56A78" w:rsidR="003C3CDA">
        <w:t>at</w:t>
      </w:r>
      <w:r w:rsidRPr="00B56A78">
        <w:t xml:space="preserve"> </w:t>
      </w:r>
      <w:r w:rsidRPr="00B56A78" w:rsidR="00564560">
        <w:t xml:space="preserve">lens, much of the People’s briefing is </w:t>
      </w:r>
      <w:r w:rsidR="004C6813">
        <w:t>unpersuasive</w:t>
      </w:r>
      <w:r w:rsidRPr="00B56A78" w:rsidR="00564560">
        <w:t xml:space="preserve">.  </w:t>
      </w:r>
      <w:r w:rsidRPr="00B56A78" w:rsidR="00A9529F">
        <w:t xml:space="preserve">Whether </w:t>
      </w:r>
      <w:r w:rsidRPr="00B56A78" w:rsidR="00590736">
        <w:t xml:space="preserve">the imposition of defendant’s </w:t>
      </w:r>
      <w:r w:rsidRPr="00B56A78" w:rsidR="0079158A">
        <w:t>suspended</w:t>
      </w:r>
      <w:r w:rsidRPr="00B56A78" w:rsidR="00590736">
        <w:t xml:space="preserve"> </w:t>
      </w:r>
      <w:r w:rsidRPr="00B56A78" w:rsidR="0079158A">
        <w:t>execution</w:t>
      </w:r>
      <w:r w:rsidRPr="00B56A78" w:rsidR="00A9529F">
        <w:t xml:space="preserve"> </w:t>
      </w:r>
      <w:r w:rsidRPr="00B56A78" w:rsidR="0079158A">
        <w:t xml:space="preserve">sentence </w:t>
      </w:r>
      <w:r w:rsidRPr="00B56A78" w:rsidR="00D51D53">
        <w:t xml:space="preserve">gave rise to a final judgment for purposes of appealability says little about whether </w:t>
      </w:r>
      <w:r w:rsidRPr="00B56A78" w:rsidR="00EF43DF">
        <w:t xml:space="preserve">the criminal prosecution </w:t>
      </w:r>
      <w:r w:rsidR="001510F5">
        <w:t>or proceeding</w:t>
      </w:r>
      <w:r w:rsidRPr="00B56A78" w:rsidR="004670A6">
        <w:t xml:space="preserve"> </w:t>
      </w:r>
      <w:r w:rsidRPr="00B56A78" w:rsidR="00AB562A">
        <w:t>had</w:t>
      </w:r>
      <w:r w:rsidRPr="00B56A78" w:rsidR="0079158A">
        <w:t xml:space="preserve"> </w:t>
      </w:r>
      <w:r w:rsidRPr="00B56A78" w:rsidR="00D51D53">
        <w:t>concluded</w:t>
      </w:r>
      <w:r w:rsidRPr="00B56A78" w:rsidR="002839F8">
        <w:t xml:space="preserve"> — and, thus, says little about whether the matter is “final” for purposes of </w:t>
      </w:r>
      <w:r w:rsidRPr="00B56A78" w:rsidR="002839F8">
        <w:rPr>
          <w:i/>
          <w:iCs/>
        </w:rPr>
        <w:t>Estrada</w:t>
      </w:r>
      <w:r w:rsidRPr="00B56A78" w:rsidR="0092052F">
        <w:t>.</w:t>
      </w:r>
    </w:p>
    <w:p w:rsidR="00EE744F" w:rsidRPr="00B56A78" w:rsidP="008E0E6D">
      <w:pPr>
        <w:tabs>
          <w:tab w:val="left" w:pos="1440"/>
        </w:tabs>
        <w:ind w:firstLine="720"/>
      </w:pPr>
      <w:r w:rsidRPr="00B56A78">
        <w:t>T</w:t>
      </w:r>
      <w:r w:rsidRPr="00B56A78" w:rsidR="0005754C">
        <w:t xml:space="preserve">he People also briefly argue that </w:t>
      </w:r>
      <w:r w:rsidRPr="00B56A78">
        <w:t xml:space="preserve">“[t]reating an imposed but suspended sentence as the source of a final judgment for </w:t>
      </w:r>
      <w:r w:rsidRPr="00B56A78">
        <w:rPr>
          <w:i/>
          <w:iCs/>
        </w:rPr>
        <w:t>Estrada</w:t>
      </w:r>
      <w:r w:rsidRPr="00B56A78">
        <w:t xml:space="preserve"> purposes is consistent with the goals of the different forms of probation.</w:t>
      </w:r>
      <w:r w:rsidRPr="00B56A78" w:rsidR="003D27BD">
        <w:t>”</w:t>
      </w:r>
      <w:r w:rsidRPr="00B56A78" w:rsidR="008E0E6D">
        <w:t xml:space="preserve">  </w:t>
      </w:r>
      <w:r w:rsidRPr="00B56A78" w:rsidR="00EF0FB9">
        <w:t xml:space="preserve">They contend that “by imposing and suspending a sentence, the trial court tells a defendant that violating probation will result in ‘irreversible consequences.’  Telling defendants that these ‘irreversible consequences’ can </w:t>
      </w:r>
      <w:r w:rsidRPr="00B56A78" w:rsidR="00AE61DD">
        <w:t xml:space="preserve">. . . </w:t>
      </w:r>
      <w:r w:rsidRPr="00B56A78" w:rsidR="00EF0FB9">
        <w:t xml:space="preserve">be reversed if the Legislature passes a new law — allowing them to escape from a sentence that is supposed to be ‘hanging over’ their heads — would tend to undermine this message.” </w:t>
      </w:r>
    </w:p>
    <w:p w:rsidR="00FF4547" w:rsidRPr="00B56A78" w:rsidP="00574A04">
      <w:pPr>
        <w:tabs>
          <w:tab w:val="left" w:pos="1440"/>
        </w:tabs>
        <w:ind w:firstLine="720"/>
      </w:pPr>
      <w:r w:rsidRPr="00B56A78">
        <w:t>This is no doubt true, to a point</w:t>
      </w:r>
      <w:r w:rsidRPr="00B56A78" w:rsidR="00773CB6">
        <w:t>.  T</w:t>
      </w:r>
      <w:r w:rsidRPr="00B56A78">
        <w:t xml:space="preserve">he possibility that a punishment will be ameliorated </w:t>
      </w:r>
      <w:r w:rsidRPr="00B56A78" w:rsidR="00F015CE">
        <w:t xml:space="preserve">may reduce the deterrent effect of that punishment.  </w:t>
      </w:r>
      <w:r w:rsidRPr="00B56A78" w:rsidR="004B5E18">
        <w:t xml:space="preserve">But </w:t>
      </w:r>
      <w:r w:rsidRPr="00B56A78" w:rsidR="0055236F">
        <w:t>this</w:t>
      </w:r>
      <w:r w:rsidRPr="00B56A78" w:rsidR="004B5E18">
        <w:t xml:space="preserve"> possibility </w:t>
      </w:r>
      <w:r w:rsidRPr="00B56A78" w:rsidR="00A44C95">
        <w:t xml:space="preserve">already exists in the </w:t>
      </w:r>
      <w:r w:rsidRPr="00B56A78" w:rsidR="002C6D8E">
        <w:t>suspended execution</w:t>
      </w:r>
      <w:r w:rsidRPr="00B56A78" w:rsidR="00A44C95">
        <w:t xml:space="preserve"> context</w:t>
      </w:r>
      <w:r w:rsidRPr="00B56A78" w:rsidR="00FA231B">
        <w:t xml:space="preserve"> — </w:t>
      </w:r>
      <w:r w:rsidRPr="00B56A78" w:rsidR="003A568E">
        <w:t>threats of irreversible consequences notwithstanding.  A</w:t>
      </w:r>
      <w:r w:rsidRPr="00B56A78" w:rsidR="005C4F64">
        <w:t xml:space="preserve"> </w:t>
      </w:r>
      <w:r w:rsidRPr="00B56A78" w:rsidR="002E7CA7">
        <w:t xml:space="preserve">case in which a defendant is convicted and </w:t>
      </w:r>
      <w:r w:rsidRPr="00B56A78" w:rsidR="00FA231B">
        <w:t xml:space="preserve">placed on probation with execution of sentence suspended </w:t>
      </w:r>
      <w:r w:rsidRPr="00B56A78" w:rsidR="00723CBC">
        <w:t xml:space="preserve">is not final </w:t>
      </w:r>
      <w:r w:rsidRPr="00B56A78" w:rsidR="00871FD0">
        <w:t xml:space="preserve">while direct review of the order imposing sentence remains ongoing.  </w:t>
      </w:r>
      <w:r w:rsidRPr="00B56A78" w:rsidR="009942C2">
        <w:t xml:space="preserve">(See </w:t>
      </w:r>
      <w:r w:rsidRPr="00B56A78" w:rsidR="009942C2">
        <w:rPr>
          <w:i/>
          <w:iCs/>
        </w:rPr>
        <w:t>McKenzie</w:t>
      </w:r>
      <w:r w:rsidRPr="00B56A78" w:rsidR="009942C2">
        <w:t xml:space="preserve">, </w:t>
      </w:r>
      <w:r w:rsidRPr="00B56A78" w:rsidR="009942C2">
        <w:rPr>
          <w:i/>
          <w:iCs/>
        </w:rPr>
        <w:t>supra</w:t>
      </w:r>
      <w:r w:rsidRPr="00B56A78" w:rsidR="009942C2">
        <w:t xml:space="preserve">, </w:t>
      </w:r>
      <w:r w:rsidRPr="00B56A78" w:rsidR="00FA231B">
        <w:t>9 Cal.5th at p. </w:t>
      </w:r>
      <w:r w:rsidRPr="00B56A78" w:rsidR="0093423D">
        <w:t>46</w:t>
      </w:r>
      <w:r w:rsidRPr="00B56A78" w:rsidR="009942C2">
        <w:t xml:space="preserve">.)  </w:t>
      </w:r>
      <w:r w:rsidRPr="00B56A78" w:rsidR="00F71916">
        <w:t>T</w:t>
      </w:r>
      <w:r w:rsidRPr="00B56A78" w:rsidR="0081471E">
        <w:t xml:space="preserve">hat process of direct review can </w:t>
      </w:r>
      <w:r w:rsidRPr="00B56A78" w:rsidR="006E3C64">
        <w:t>be time consuming, including</w:t>
      </w:r>
      <w:r w:rsidRPr="00B56A78" w:rsidR="00636A46">
        <w:t>, for example,</w:t>
      </w:r>
      <w:r w:rsidRPr="00B56A78" w:rsidR="006E3C64">
        <w:t xml:space="preserve"> </w:t>
      </w:r>
      <w:r w:rsidRPr="00B56A78" w:rsidR="0081471E">
        <w:t xml:space="preserve">an appeal to the Court of Appeal; a petition for review directed to this court; and a petition for writ of certiorari directed to the </w:t>
      </w:r>
      <w:r w:rsidRPr="00B56A78" w:rsidR="00622B09">
        <w:t>United States Supreme Court</w:t>
      </w:r>
      <w:r w:rsidRPr="00B56A78" w:rsidR="0081471E">
        <w:t>.</w:t>
      </w:r>
      <w:r w:rsidRPr="00B56A78" w:rsidR="009F652E">
        <w:t xml:space="preserve">  </w:t>
      </w:r>
      <w:r w:rsidRPr="00B56A78" w:rsidR="00622B09">
        <w:t>Through all th</w:t>
      </w:r>
      <w:r w:rsidRPr="00B56A78" w:rsidR="0043150B">
        <w:t>e</w:t>
      </w:r>
      <w:r w:rsidRPr="00B56A78" w:rsidR="00622B09">
        <w:t xml:space="preserve">se steps, </w:t>
      </w:r>
      <w:r w:rsidRPr="00B56A78" w:rsidR="009F652E">
        <w:t>a</w:t>
      </w:r>
      <w:r w:rsidRPr="00B56A78" w:rsidR="00622B09">
        <w:t xml:space="preserve"> suspended execution sentence is </w:t>
      </w:r>
      <w:r w:rsidRPr="00B56A78" w:rsidR="009942C2">
        <w:t xml:space="preserve">not final, and the </w:t>
      </w:r>
      <w:r w:rsidRPr="00B56A78" w:rsidR="009942C2">
        <w:rPr>
          <w:i/>
          <w:iCs/>
        </w:rPr>
        <w:t>Estrada</w:t>
      </w:r>
      <w:r w:rsidRPr="00B56A78" w:rsidR="009942C2">
        <w:t xml:space="preserve"> presumption remains available.  Through all th</w:t>
      </w:r>
      <w:r w:rsidRPr="00B56A78" w:rsidR="0043150B">
        <w:t>e</w:t>
      </w:r>
      <w:r w:rsidRPr="00B56A78" w:rsidR="009942C2">
        <w:t xml:space="preserve">se steps, </w:t>
      </w:r>
      <w:r w:rsidRPr="00B56A78" w:rsidR="00C45718">
        <w:t xml:space="preserve">the </w:t>
      </w:r>
      <w:r w:rsidRPr="00B56A78" w:rsidR="009942C2">
        <w:t>“i</w:t>
      </w:r>
      <w:r w:rsidRPr="00B56A78" w:rsidR="00450800">
        <w:t xml:space="preserve">rreversible consequences” threatened at sentencing </w:t>
      </w:r>
      <w:r w:rsidRPr="00B56A78" w:rsidR="009F652E">
        <w:t>remain reversible</w:t>
      </w:r>
      <w:r w:rsidRPr="00B56A78" w:rsidR="00C57B6D">
        <w:t xml:space="preserve"> by legislative enactment</w:t>
      </w:r>
      <w:r w:rsidRPr="00B56A78" w:rsidR="00450800">
        <w:t>.</w:t>
      </w:r>
      <w:r w:rsidRPr="00B56A78" w:rsidR="000A1526">
        <w:t xml:space="preserve">  The People’s argument </w:t>
      </w:r>
      <w:r w:rsidRPr="00B56A78" w:rsidR="00C57B6D">
        <w:t xml:space="preserve">fails to </w:t>
      </w:r>
      <w:r w:rsidRPr="00B56A78" w:rsidR="00D01FC4">
        <w:t xml:space="preserve">explain why </w:t>
      </w:r>
      <w:r w:rsidRPr="00B56A78" w:rsidR="00550E5B">
        <w:t>the Legislature would wish to ameliorate</w:t>
      </w:r>
      <w:r w:rsidRPr="00B56A78" w:rsidR="00800F19">
        <w:t xml:space="preserve"> </w:t>
      </w:r>
      <w:r w:rsidRPr="00B56A78" w:rsidR="00550E5B">
        <w:t xml:space="preserve">consequences </w:t>
      </w:r>
      <w:r w:rsidRPr="00B56A78" w:rsidR="003A568E">
        <w:t xml:space="preserve">during an appeal from </w:t>
      </w:r>
      <w:r w:rsidRPr="00B56A78" w:rsidR="00800F19">
        <w:t>an</w:t>
      </w:r>
      <w:r w:rsidRPr="00B56A78" w:rsidR="003A568E">
        <w:t xml:space="preserve"> order imposing </w:t>
      </w:r>
      <w:r w:rsidRPr="00B56A78" w:rsidR="00763479">
        <w:t xml:space="preserve">a suspended execution </w:t>
      </w:r>
      <w:r w:rsidRPr="00B56A78" w:rsidR="003A568E">
        <w:t>sentence, but not during an appeal from an order causing that sentence to take effect.</w:t>
      </w:r>
      <w:r w:rsidRPr="00B56A78" w:rsidR="00800F19">
        <w:t xml:space="preserve">  We are not persuaded that any marginal </w:t>
      </w:r>
      <w:r w:rsidRPr="00B56A78" w:rsidR="00B216EF">
        <w:t>difference</w:t>
      </w:r>
      <w:r w:rsidRPr="00B56A78" w:rsidR="00800F19">
        <w:t xml:space="preserve"> in deterrence </w:t>
      </w:r>
      <w:r w:rsidRPr="00B56A78" w:rsidR="00C45718">
        <w:t xml:space="preserve">warrants </w:t>
      </w:r>
      <w:r w:rsidRPr="00B56A78" w:rsidR="00961FA0">
        <w:t>denial of relief to</w:t>
      </w:r>
      <w:r w:rsidRPr="00B56A78" w:rsidR="006649F4">
        <w:t xml:space="preserve"> those in defendant’s position</w:t>
      </w:r>
      <w:r w:rsidRPr="00B56A78" w:rsidR="00587888">
        <w:t xml:space="preserve">.  </w:t>
      </w:r>
      <w:r w:rsidRPr="00B56A78" w:rsidR="00A427AB">
        <w:t xml:space="preserve">(Cf. </w:t>
      </w:r>
      <w:r w:rsidRPr="00B56A78" w:rsidR="00A427AB">
        <w:rPr>
          <w:i/>
          <w:iCs/>
        </w:rPr>
        <w:t>McKenzie</w:t>
      </w:r>
      <w:r w:rsidRPr="00B56A78" w:rsidR="00FA231B">
        <w:t xml:space="preserve">, </w:t>
      </w:r>
      <w:r w:rsidRPr="00B56A78" w:rsidR="00A427AB">
        <w:t>at p. </w:t>
      </w:r>
      <w:r w:rsidRPr="00B56A78" w:rsidR="00E27E55">
        <w:t xml:space="preserve">49 [argument regarding deterrence “did not persuade us in </w:t>
      </w:r>
      <w:r w:rsidRPr="00B56A78" w:rsidR="00E27E55">
        <w:rPr>
          <w:i/>
          <w:iCs/>
        </w:rPr>
        <w:t>Estrada</w:t>
      </w:r>
      <w:r w:rsidRPr="00B56A78" w:rsidR="00E27E55">
        <w:t xml:space="preserve"> not to apply ameliorative revisions to defendants who have already committed criminal acts</w:t>
      </w:r>
      <w:r w:rsidRPr="00B56A78" w:rsidR="00B235B7">
        <w:t>”].)</w:t>
      </w:r>
      <w:r w:rsidRPr="00B56A78" w:rsidR="00C75F5D">
        <w:t xml:space="preserve">  </w:t>
      </w:r>
    </w:p>
    <w:p w:rsidR="00522357" w:rsidRPr="00B56A78" w:rsidP="009852EB">
      <w:pPr>
        <w:tabs>
          <w:tab w:val="left" w:pos="1440"/>
        </w:tabs>
        <w:ind w:firstLine="720"/>
      </w:pPr>
      <w:r w:rsidRPr="00B56A78">
        <w:t>Finally,</w:t>
      </w:r>
      <w:r w:rsidRPr="00B56A78" w:rsidR="00FF4547">
        <w:t xml:space="preserve"> </w:t>
      </w:r>
      <w:r w:rsidRPr="00B56A78">
        <w:t xml:space="preserve">the </w:t>
      </w:r>
      <w:r w:rsidRPr="00B56A78" w:rsidR="00FF4547">
        <w:t>People assert that “[r]eopening” suspended execution “case[s]</w:t>
      </w:r>
      <w:r w:rsidRPr="00B56A78" w:rsidR="00017C73">
        <w:t xml:space="preserve">” </w:t>
      </w:r>
      <w:r w:rsidRPr="00B56A78" w:rsidR="00FF4547">
        <w:t>would deprive victims of a “certain degree of closure</w:t>
      </w:r>
      <w:r w:rsidRPr="00B56A78" w:rsidR="00017C73">
        <w:t xml:space="preserve">.”  </w:t>
      </w:r>
      <w:r w:rsidRPr="00B56A78" w:rsidR="005242C5">
        <w:t>But w</w:t>
      </w:r>
      <w:r w:rsidRPr="00B56A78" w:rsidR="00FF4547">
        <w:t>hen an appeal from an order causing</w:t>
      </w:r>
      <w:r w:rsidRPr="00B56A78" w:rsidR="00365C6D">
        <w:t xml:space="preserve"> punishment to take effect</w:t>
      </w:r>
      <w:r w:rsidRPr="00B56A78" w:rsidR="00FF4547">
        <w:t xml:space="preserve"> is ongoing, there is no closed case to </w:t>
      </w:r>
      <w:r w:rsidRPr="00B56A78" w:rsidR="00BF14C8">
        <w:t>r</w:t>
      </w:r>
      <w:r w:rsidRPr="00B56A78" w:rsidR="00FF4547">
        <w:t>eopen; the criminal proceeding remains pending, and closure has yet to be obtained.</w:t>
      </w:r>
      <w:r w:rsidRPr="00B56A78" w:rsidR="00970F0A">
        <w:t xml:space="preserve">  Indeed, at the time when the People would have us deem suspended execution cases final (after </w:t>
      </w:r>
      <w:r w:rsidRPr="00B56A78" w:rsidR="00CD67D2">
        <w:t xml:space="preserve">direct review of the order imposing sentence is complete), it may </w:t>
      </w:r>
      <w:r w:rsidRPr="00B56A78" w:rsidR="007D6A1C">
        <w:t>be un</w:t>
      </w:r>
      <w:r w:rsidRPr="00B56A78" w:rsidR="00CD67D2">
        <w:t xml:space="preserve">clear whether the </w:t>
      </w:r>
      <w:r w:rsidRPr="00B56A78" w:rsidR="00206EFC">
        <w:t xml:space="preserve">court will revoke probation and require the </w:t>
      </w:r>
      <w:r w:rsidRPr="00B56A78" w:rsidR="00CD67D2">
        <w:t xml:space="preserve">defendant </w:t>
      </w:r>
      <w:r w:rsidRPr="00B56A78" w:rsidR="006D2130">
        <w:t>to suffer the punishment imposed</w:t>
      </w:r>
      <w:r w:rsidRPr="00B56A78">
        <w:t>.</w:t>
      </w:r>
      <w:r w:rsidRPr="00B56A78" w:rsidR="00206EFC">
        <w:t xml:space="preserve">  Even the terms of probation itself remain </w:t>
      </w:r>
      <w:r w:rsidRPr="00B56A78" w:rsidR="005A7AF8">
        <w:t xml:space="preserve">subject to modification.  </w:t>
      </w:r>
      <w:r w:rsidRPr="00B56A78" w:rsidR="00571106">
        <w:t>(</w:t>
      </w:r>
      <w:r w:rsidRPr="00B56A78" w:rsidR="00571106">
        <w:rPr>
          <w:i/>
          <w:iCs/>
        </w:rPr>
        <w:t>Chavez</w:t>
      </w:r>
      <w:r w:rsidRPr="00B56A78" w:rsidR="009E7065">
        <w:t xml:space="preserve">, </w:t>
      </w:r>
      <w:r w:rsidRPr="00B56A78" w:rsidR="009E7065">
        <w:rPr>
          <w:i/>
          <w:iCs/>
        </w:rPr>
        <w:t>supra</w:t>
      </w:r>
      <w:r w:rsidRPr="00B56A78" w:rsidR="009E7065">
        <w:t xml:space="preserve">, </w:t>
      </w:r>
      <w:r w:rsidRPr="00B56A78" w:rsidR="00571106">
        <w:t>4 Cal.5th</w:t>
      </w:r>
      <w:r w:rsidRPr="00B56A78" w:rsidR="009E7065">
        <w:t xml:space="preserve"> at p. </w:t>
      </w:r>
      <w:r w:rsidRPr="00B56A78" w:rsidR="00571106">
        <w:t xml:space="preserve">782.)  </w:t>
      </w:r>
      <w:r w:rsidRPr="00B56A78">
        <w:t xml:space="preserve">So whatever degree of closure attends imposition of the sentence </w:t>
      </w:r>
      <w:r w:rsidRPr="00B56A78" w:rsidR="00081599">
        <w:t>is not much closure at all</w:t>
      </w:r>
      <w:r w:rsidRPr="00B56A78" w:rsidR="005A7AF8">
        <w:t>; the defendant’s ultimate fate “ ‘depends on the outcome of the probationary proceeding.’ ”  (</w:t>
      </w:r>
      <w:r w:rsidRPr="00B56A78" w:rsidR="005A7AF8">
        <w:rPr>
          <w:i/>
          <w:iCs/>
        </w:rPr>
        <w:t>Id.</w:t>
      </w:r>
      <w:r w:rsidRPr="00B56A78" w:rsidR="005A7AF8">
        <w:t xml:space="preserve"> at p. 781.)  </w:t>
      </w:r>
    </w:p>
    <w:p w:rsidR="003E140D" w:rsidRPr="00B56A78" w:rsidP="008527DF">
      <w:pPr>
        <w:tabs>
          <w:tab w:val="left" w:pos="1440"/>
        </w:tabs>
        <w:ind w:firstLine="720"/>
      </w:pPr>
      <w:r w:rsidRPr="00B56A78">
        <w:t>At bottom, this is a case about presumed legislative intent.</w:t>
      </w:r>
      <w:r w:rsidRPr="00B56A78" w:rsidR="00C90BFB">
        <w:t xml:space="preserve">  W</w:t>
      </w:r>
      <w:r w:rsidRPr="00B56A78" w:rsidR="002C3544">
        <w:t>e</w:t>
      </w:r>
      <w:r w:rsidRPr="00B56A78" w:rsidR="00023BE7">
        <w:t xml:space="preserve"> see no persuasive reason to presume that the Legislature would wish to extend the benefit of ameliorative legislation to suspended-imposition defendants whose probation is revoked</w:t>
      </w:r>
      <w:r w:rsidRPr="00B56A78" w:rsidR="002337A6">
        <w:t xml:space="preserve"> (per </w:t>
      </w:r>
      <w:r w:rsidRPr="00B56A78" w:rsidR="002337A6">
        <w:rPr>
          <w:i/>
          <w:iCs/>
        </w:rPr>
        <w:t>McKenzie</w:t>
      </w:r>
      <w:r w:rsidRPr="00B56A78" w:rsidR="002337A6">
        <w:t>)</w:t>
      </w:r>
      <w:r w:rsidRPr="00B56A78" w:rsidR="00023BE7">
        <w:t>, but not to suspended-execution defendants whose probation is revoked</w:t>
      </w:r>
      <w:r w:rsidRPr="00B56A78" w:rsidR="00C90BFB">
        <w:t>.</w:t>
      </w:r>
      <w:r w:rsidRPr="00B56A78" w:rsidR="00BF14C8">
        <w:t xml:space="preserve">  </w:t>
      </w:r>
      <w:r w:rsidRPr="00B56A78" w:rsidR="00023BE7">
        <w:t>Accordingly, we conclude that</w:t>
      </w:r>
      <w:r w:rsidRPr="00B56A78">
        <w:t xml:space="preserve"> legislation </w:t>
      </w:r>
      <w:r w:rsidRPr="00B56A78" w:rsidR="008F0496">
        <w:t>ameliorating punishment</w:t>
      </w:r>
      <w:r w:rsidRPr="00B56A78">
        <w:t xml:space="preserve"> </w:t>
      </w:r>
      <w:r w:rsidRPr="00B56A78" w:rsidR="00A326CB">
        <w:t xml:space="preserve">presumptively </w:t>
      </w:r>
      <w:r w:rsidRPr="00B56A78">
        <w:t xml:space="preserve">applies to </w:t>
      </w:r>
      <w:r w:rsidRPr="00B56A78" w:rsidR="00D6727A">
        <w:t xml:space="preserve">suspended execution </w:t>
      </w:r>
      <w:r w:rsidRPr="00B56A78">
        <w:t xml:space="preserve">cases pending </w:t>
      </w:r>
      <w:r w:rsidRPr="00B56A78" w:rsidR="008527DF">
        <w:t xml:space="preserve">on </w:t>
      </w:r>
      <w:r w:rsidRPr="00B56A78" w:rsidR="00D1650C">
        <w:t>appeal from an order causing a previously imposed sentence to take effect.</w:t>
      </w:r>
    </w:p>
    <w:p w:rsidR="00CA798D" w:rsidRPr="00B56A78" w:rsidP="009852EB">
      <w:pPr>
        <w:pStyle w:val="Heading1"/>
      </w:pPr>
      <w:r w:rsidRPr="00B56A78">
        <w:t>I</w:t>
      </w:r>
      <w:r w:rsidRPr="00B56A78">
        <w:t xml:space="preserve">V.  </w:t>
      </w:r>
      <w:r w:rsidRPr="00B56A78" w:rsidR="006A010D">
        <w:t>Disposition</w:t>
      </w:r>
    </w:p>
    <w:p w:rsidR="00616EE5" w:rsidRPr="00B56A78" w:rsidP="00E82FF7">
      <w:pPr>
        <w:tabs>
          <w:tab w:val="left" w:pos="1440"/>
        </w:tabs>
        <w:ind w:firstLine="720"/>
      </w:pPr>
      <w:r w:rsidRPr="00B56A78">
        <w:t>W</w:t>
      </w:r>
      <w:r w:rsidRPr="00B56A78" w:rsidR="00BB1F05">
        <w:t xml:space="preserve">e reverse the judgment of the Court of Appeal and remand the matter for further proceedings consistent with </w:t>
      </w:r>
      <w:r w:rsidRPr="00B56A78" w:rsidR="007947F9">
        <w:t xml:space="preserve">this </w:t>
      </w:r>
      <w:r w:rsidRPr="00B56A78" w:rsidR="00BB1F05">
        <w:t>opinion</w:t>
      </w:r>
      <w:r w:rsidRPr="00B56A78" w:rsidR="000E2394">
        <w:t>.</w:t>
      </w:r>
    </w:p>
    <w:p w:rsidR="00CC6BB9" w:rsidRPr="00B56A78" w:rsidP="00CC6BB9">
      <w:pPr>
        <w:jc w:val="right"/>
        <w:rPr>
          <w:b/>
          <w:bCs/>
        </w:rPr>
      </w:pPr>
      <w:r w:rsidRPr="00B56A78">
        <w:rPr>
          <w:b/>
          <w:bCs/>
        </w:rPr>
        <w:t>CANTIL-SAKAUYE, C. J.</w:t>
      </w:r>
    </w:p>
    <w:p w:rsidR="00CC6BB9" w:rsidRPr="00B56A78" w:rsidP="009852EB"/>
    <w:p w:rsidR="00CC6BB9" w:rsidRPr="00B56A78" w:rsidP="009852EB">
      <w:pPr>
        <w:rPr>
          <w:b/>
          <w:bCs/>
        </w:rPr>
      </w:pPr>
      <w:r w:rsidRPr="00B56A78">
        <w:rPr>
          <w:b/>
          <w:bCs/>
        </w:rPr>
        <w:t>We Concur:</w:t>
      </w:r>
    </w:p>
    <w:p w:rsidR="00CC6BB9" w:rsidRPr="00E40F85" w:rsidP="00E40F85">
      <w:pPr>
        <w:spacing w:after="0" w:line="240" w:lineRule="auto"/>
        <w:rPr>
          <w:b/>
          <w:bCs/>
        </w:rPr>
      </w:pPr>
      <w:r w:rsidRPr="00E40F85">
        <w:rPr>
          <w:b/>
          <w:bCs/>
        </w:rPr>
        <w:t>CORRIGAN, J.</w:t>
      </w:r>
    </w:p>
    <w:p w:rsidR="00E40F85" w:rsidRPr="00E40F85" w:rsidP="00E40F85">
      <w:pPr>
        <w:spacing w:after="0" w:line="240" w:lineRule="auto"/>
        <w:rPr>
          <w:b/>
          <w:bCs/>
        </w:rPr>
      </w:pPr>
      <w:r w:rsidRPr="00E40F85">
        <w:rPr>
          <w:b/>
          <w:bCs/>
        </w:rPr>
        <w:t>LIU, J.</w:t>
      </w:r>
    </w:p>
    <w:p w:rsidR="00E40F85" w:rsidRPr="00E40F85" w:rsidP="00E40F85">
      <w:pPr>
        <w:spacing w:after="0" w:line="240" w:lineRule="auto"/>
        <w:rPr>
          <w:b/>
          <w:bCs/>
        </w:rPr>
      </w:pPr>
      <w:r w:rsidRPr="00E40F85">
        <w:rPr>
          <w:b/>
          <w:bCs/>
        </w:rPr>
        <w:t>CUÉLLAR, J.</w:t>
      </w:r>
    </w:p>
    <w:p w:rsidR="00E40F85" w:rsidRPr="00E40F85" w:rsidP="00E40F85">
      <w:pPr>
        <w:spacing w:after="0" w:line="240" w:lineRule="auto"/>
        <w:rPr>
          <w:b/>
          <w:bCs/>
        </w:rPr>
      </w:pPr>
      <w:r>
        <w:rPr>
          <w:b/>
          <w:bCs/>
        </w:rPr>
        <w:t>KRUGER</w:t>
      </w:r>
      <w:r w:rsidRPr="00E40F85">
        <w:rPr>
          <w:b/>
          <w:bCs/>
        </w:rPr>
        <w:t>, J.</w:t>
      </w:r>
    </w:p>
    <w:p w:rsidR="00E40F85" w:rsidRPr="00E40F85" w:rsidP="00E40F85">
      <w:pPr>
        <w:spacing w:after="0" w:line="240" w:lineRule="auto"/>
        <w:rPr>
          <w:b/>
          <w:bCs/>
        </w:rPr>
      </w:pPr>
      <w:r w:rsidRPr="00E40F85">
        <w:rPr>
          <w:b/>
          <w:bCs/>
        </w:rPr>
        <w:t>GROBAN, J.</w:t>
      </w:r>
    </w:p>
    <w:p w:rsidR="0082428E" w:rsidP="00E40F85">
      <w:pPr>
        <w:tabs>
          <w:tab w:val="left" w:pos="1440"/>
        </w:tabs>
        <w:spacing w:after="0" w:line="240" w:lineRule="auto"/>
        <w:rPr>
          <w:b/>
          <w:bCs/>
        </w:rPr>
      </w:pPr>
      <w:bookmarkEnd w:id="1"/>
      <w:r w:rsidRPr="00E40F85">
        <w:rPr>
          <w:b/>
          <w:bCs/>
        </w:rPr>
        <w:t>JENKINS, J.</w:t>
      </w:r>
    </w:p>
    <w:p w:rsidR="00783577" w:rsidP="00E40F85">
      <w:pPr>
        <w:tabs>
          <w:tab w:val="left" w:pos="1440"/>
        </w:tabs>
        <w:spacing w:after="0" w:line="240" w:lineRule="auto"/>
        <w:sectPr w:rsidSect="00CF793B">
          <w:footerReference w:type="default" r:id="rId11"/>
          <w:pgSz w:w="12240" w:h="15840"/>
          <w:pgMar w:top="1800" w:right="2160" w:bottom="1440" w:left="2160" w:header="720" w:footer="720" w:gutter="0"/>
          <w:pgNumType w:start="1"/>
          <w:cols w:space="720"/>
          <w:titlePg/>
          <w:docGrid w:linePitch="367"/>
        </w:sectPr>
      </w:pPr>
    </w:p>
    <w:p w:rsidR="00783577" w:rsidRPr="00783577" w:rsidP="00783577">
      <w:pPr>
        <w:spacing w:after="0" w:line="240" w:lineRule="auto"/>
        <w:jc w:val="left"/>
        <w:rPr>
          <w:i/>
          <w:sz w:val="24"/>
          <w:szCs w:val="24"/>
        </w:rPr>
      </w:pPr>
      <w:r w:rsidRPr="00783577">
        <w:rPr>
          <w:i/>
          <w:sz w:val="24"/>
          <w:szCs w:val="24"/>
        </w:rPr>
        <w:t>See next page for addresses and telephone numbers for counsel who argued in Supreme Court.</w:t>
      </w:r>
    </w:p>
    <w:p w:rsidR="00783577" w:rsidRPr="00783577" w:rsidP="00783577">
      <w:pPr>
        <w:spacing w:after="0" w:line="240" w:lineRule="auto"/>
        <w:jc w:val="left"/>
        <w:rPr>
          <w:i/>
          <w:sz w:val="24"/>
          <w:szCs w:val="24"/>
        </w:rPr>
      </w:pPr>
    </w:p>
    <w:p w:rsidR="00783577" w:rsidRPr="00783577" w:rsidP="00783577">
      <w:pPr>
        <w:spacing w:after="0" w:line="240" w:lineRule="auto"/>
        <w:jc w:val="left"/>
        <w:rPr>
          <w:b/>
          <w:sz w:val="24"/>
          <w:szCs w:val="24"/>
        </w:rPr>
      </w:pPr>
      <w:r w:rsidRPr="00783577">
        <w:rPr>
          <w:b/>
          <w:sz w:val="24"/>
          <w:szCs w:val="24"/>
        </w:rPr>
        <w:t xml:space="preserve">Name of Opinion </w:t>
      </w:r>
      <w:r w:rsidRPr="00783577">
        <w:rPr>
          <w:bCs/>
          <w:sz w:val="24"/>
          <w:szCs w:val="24"/>
        </w:rPr>
        <w:t xml:space="preserve">People v. Esquivel </w:t>
      </w:r>
      <w:r w:rsidRPr="00783577">
        <w:rPr>
          <w:b/>
          <w:sz w:val="24"/>
          <w:szCs w:val="24"/>
        </w:rPr>
        <w:t xml:space="preserve">__________________________________________________________________ </w:t>
      </w:r>
    </w:p>
    <w:p w:rsidR="00783577" w:rsidRPr="00783577" w:rsidP="00783577">
      <w:pPr>
        <w:spacing w:after="0" w:line="240" w:lineRule="auto"/>
        <w:jc w:val="left"/>
        <w:rPr>
          <w:b/>
          <w:sz w:val="24"/>
          <w:szCs w:val="24"/>
        </w:rPr>
      </w:pPr>
    </w:p>
    <w:p w:rsidR="00783577" w:rsidRPr="00783577" w:rsidP="00783577">
      <w:pPr>
        <w:spacing w:after="0" w:line="240" w:lineRule="auto"/>
        <w:jc w:val="left"/>
        <w:rPr>
          <w:sz w:val="24"/>
          <w:szCs w:val="24"/>
        </w:rPr>
      </w:pPr>
      <w:r w:rsidRPr="00783577">
        <w:rPr>
          <w:b/>
          <w:bCs/>
          <w:sz w:val="24"/>
          <w:szCs w:val="24"/>
          <w:u w:val="single"/>
        </w:rPr>
        <w:t>Procedural Posture</w:t>
      </w:r>
      <w:r w:rsidRPr="00783577">
        <w:rPr>
          <w:b/>
          <w:bCs/>
          <w:sz w:val="24"/>
          <w:szCs w:val="24"/>
        </w:rPr>
        <w:t xml:space="preserve"> </w:t>
      </w:r>
      <w:r w:rsidRPr="00783577">
        <w:rPr>
          <w:sz w:val="24"/>
          <w:szCs w:val="24"/>
        </w:rPr>
        <w:t>(see XX below)</w:t>
      </w:r>
    </w:p>
    <w:p w:rsidR="00783577" w:rsidRPr="00783577" w:rsidP="00783577">
      <w:pPr>
        <w:spacing w:after="0" w:line="240" w:lineRule="auto"/>
        <w:jc w:val="left"/>
        <w:rPr>
          <w:b/>
          <w:bCs/>
          <w:sz w:val="24"/>
          <w:szCs w:val="24"/>
        </w:rPr>
      </w:pPr>
      <w:r w:rsidRPr="00783577">
        <w:rPr>
          <w:b/>
          <w:bCs/>
          <w:sz w:val="24"/>
          <w:szCs w:val="24"/>
        </w:rPr>
        <w:t>Original Appeal</w:t>
      </w:r>
    </w:p>
    <w:p w:rsidR="00783577" w:rsidRPr="00783577" w:rsidP="00783577">
      <w:pPr>
        <w:spacing w:after="0" w:line="240" w:lineRule="auto"/>
        <w:jc w:val="left"/>
        <w:rPr>
          <w:b/>
          <w:bCs/>
          <w:sz w:val="24"/>
          <w:szCs w:val="24"/>
        </w:rPr>
      </w:pPr>
      <w:r w:rsidRPr="00783577">
        <w:rPr>
          <w:b/>
          <w:bCs/>
          <w:sz w:val="24"/>
          <w:szCs w:val="24"/>
        </w:rPr>
        <w:t>Original Proceeding</w:t>
      </w:r>
    </w:p>
    <w:p w:rsidR="00783577" w:rsidRPr="00783577" w:rsidP="00783577">
      <w:pPr>
        <w:spacing w:after="0" w:line="240" w:lineRule="auto"/>
        <w:jc w:val="left"/>
        <w:rPr>
          <w:sz w:val="24"/>
          <w:szCs w:val="24"/>
        </w:rPr>
      </w:pPr>
      <w:r w:rsidRPr="00783577">
        <w:rPr>
          <w:b/>
          <w:bCs/>
          <w:sz w:val="24"/>
          <w:szCs w:val="24"/>
        </w:rPr>
        <w:t>Review Granted</w:t>
      </w:r>
      <w:r w:rsidRPr="00783577">
        <w:rPr>
          <w:sz w:val="24"/>
          <w:szCs w:val="24"/>
        </w:rPr>
        <w:t xml:space="preserve"> </w:t>
      </w:r>
      <w:r w:rsidRPr="00783577">
        <w:rPr>
          <w:b/>
          <w:bCs/>
          <w:sz w:val="24"/>
          <w:szCs w:val="24"/>
        </w:rPr>
        <w:t xml:space="preserve">(published) </w:t>
      </w:r>
      <w:r w:rsidRPr="00783577">
        <w:rPr>
          <w:sz w:val="24"/>
          <w:szCs w:val="24"/>
        </w:rPr>
        <w:t xml:space="preserve"> </w:t>
      </w:r>
    </w:p>
    <w:p w:rsidR="00783577" w:rsidRPr="00783577" w:rsidP="00783577">
      <w:pPr>
        <w:spacing w:after="0" w:line="240" w:lineRule="auto"/>
        <w:jc w:val="left"/>
        <w:rPr>
          <w:sz w:val="24"/>
          <w:szCs w:val="24"/>
        </w:rPr>
      </w:pPr>
      <w:r w:rsidRPr="00783577">
        <w:rPr>
          <w:b/>
          <w:bCs/>
          <w:sz w:val="24"/>
          <w:szCs w:val="24"/>
        </w:rPr>
        <w:t xml:space="preserve">Review Granted (unpublished) </w:t>
      </w:r>
      <w:r w:rsidRPr="00783577">
        <w:rPr>
          <w:sz w:val="24"/>
          <w:szCs w:val="24"/>
        </w:rPr>
        <w:t xml:space="preserve">XX NP opn. filed 3/26/2020 </w:t>
      </w:r>
      <w:r w:rsidR="00A42E59">
        <w:t>–</w:t>
      </w:r>
      <w:r w:rsidRPr="00783577">
        <w:rPr>
          <w:sz w:val="24"/>
          <w:szCs w:val="24"/>
        </w:rPr>
        <w:t xml:space="preserve"> 2d Dist., Div. 5</w:t>
      </w:r>
    </w:p>
    <w:p w:rsidR="00783577" w:rsidRPr="00783577" w:rsidP="00783577">
      <w:pPr>
        <w:spacing w:after="0" w:line="240" w:lineRule="auto"/>
        <w:jc w:val="left"/>
        <w:rPr>
          <w:b/>
          <w:bCs/>
          <w:sz w:val="24"/>
          <w:szCs w:val="24"/>
        </w:rPr>
      </w:pPr>
      <w:r w:rsidRPr="00783577">
        <w:rPr>
          <w:b/>
          <w:bCs/>
          <w:sz w:val="24"/>
          <w:szCs w:val="24"/>
        </w:rPr>
        <w:t>Rehearing Granted</w:t>
      </w:r>
    </w:p>
    <w:p w:rsidR="00783577" w:rsidRPr="00783577" w:rsidP="00783577">
      <w:pPr>
        <w:spacing w:after="0" w:line="240" w:lineRule="auto"/>
        <w:jc w:val="left"/>
        <w:rPr>
          <w:b/>
          <w:sz w:val="24"/>
          <w:szCs w:val="24"/>
        </w:rPr>
      </w:pPr>
      <w:r w:rsidRPr="00783577">
        <w:rPr>
          <w:b/>
          <w:sz w:val="24"/>
          <w:szCs w:val="24"/>
        </w:rPr>
        <w:t xml:space="preserve">__________________________________________________________________ </w:t>
      </w:r>
    </w:p>
    <w:p w:rsidR="00783577" w:rsidRPr="00783577" w:rsidP="00783577">
      <w:pPr>
        <w:spacing w:after="0" w:line="240" w:lineRule="auto"/>
        <w:jc w:val="left"/>
        <w:rPr>
          <w:b/>
          <w:sz w:val="24"/>
          <w:szCs w:val="24"/>
        </w:rPr>
      </w:pPr>
    </w:p>
    <w:p w:rsidR="00783577" w:rsidRPr="00783577" w:rsidP="00783577">
      <w:pPr>
        <w:spacing w:after="0" w:line="240" w:lineRule="auto"/>
        <w:jc w:val="left"/>
        <w:rPr>
          <w:bCs/>
          <w:sz w:val="24"/>
          <w:szCs w:val="24"/>
        </w:rPr>
      </w:pPr>
      <w:r w:rsidRPr="00783577">
        <w:rPr>
          <w:b/>
          <w:sz w:val="24"/>
          <w:szCs w:val="24"/>
        </w:rPr>
        <w:t>Opinion No.</w:t>
      </w:r>
      <w:r w:rsidRPr="00783577">
        <w:rPr>
          <w:sz w:val="24"/>
          <w:szCs w:val="24"/>
        </w:rPr>
        <w:t xml:space="preserve"> S262551</w:t>
      </w:r>
    </w:p>
    <w:p w:rsidR="00783577" w:rsidRPr="00783577" w:rsidP="00783577">
      <w:pPr>
        <w:spacing w:after="0" w:line="240" w:lineRule="auto"/>
        <w:jc w:val="left"/>
        <w:rPr>
          <w:bCs/>
          <w:sz w:val="24"/>
          <w:szCs w:val="24"/>
        </w:rPr>
      </w:pPr>
      <w:r w:rsidRPr="00783577">
        <w:rPr>
          <w:b/>
          <w:sz w:val="24"/>
          <w:szCs w:val="24"/>
        </w:rPr>
        <w:t>Date Filed:</w:t>
      </w:r>
      <w:r w:rsidRPr="00783577">
        <w:rPr>
          <w:sz w:val="24"/>
          <w:szCs w:val="24"/>
        </w:rPr>
        <w:t xml:space="preserve">  June 17, 2021</w:t>
      </w:r>
    </w:p>
    <w:p w:rsidR="00783577" w:rsidRPr="00783577" w:rsidP="00783577">
      <w:pPr>
        <w:spacing w:after="0" w:line="240" w:lineRule="auto"/>
        <w:jc w:val="left"/>
        <w:rPr>
          <w:b/>
          <w:sz w:val="24"/>
          <w:szCs w:val="24"/>
        </w:rPr>
      </w:pPr>
      <w:r w:rsidRPr="00783577">
        <w:rPr>
          <w:b/>
          <w:sz w:val="24"/>
          <w:szCs w:val="24"/>
        </w:rPr>
        <w:t xml:space="preserve">__________________________________________________________________ </w:t>
      </w:r>
    </w:p>
    <w:p w:rsidR="00783577" w:rsidRPr="00783577" w:rsidP="00783577">
      <w:pPr>
        <w:spacing w:after="0" w:line="240" w:lineRule="auto"/>
        <w:jc w:val="left"/>
        <w:rPr>
          <w:b/>
          <w:sz w:val="24"/>
          <w:szCs w:val="24"/>
        </w:rPr>
      </w:pPr>
    </w:p>
    <w:p w:rsidR="00783577" w:rsidRPr="00783577" w:rsidP="00783577">
      <w:pPr>
        <w:spacing w:after="0" w:line="240" w:lineRule="auto"/>
        <w:jc w:val="left"/>
        <w:rPr>
          <w:bCs/>
          <w:sz w:val="24"/>
          <w:szCs w:val="24"/>
        </w:rPr>
      </w:pPr>
      <w:r w:rsidRPr="00783577">
        <w:rPr>
          <w:b/>
          <w:sz w:val="24"/>
          <w:szCs w:val="24"/>
        </w:rPr>
        <w:t xml:space="preserve">Court:  </w:t>
      </w:r>
      <w:r w:rsidRPr="00783577">
        <w:rPr>
          <w:bCs/>
          <w:sz w:val="24"/>
          <w:szCs w:val="24"/>
        </w:rPr>
        <w:t xml:space="preserve">Superior  </w:t>
      </w:r>
      <w:r w:rsidRPr="00783577">
        <w:rPr>
          <w:b/>
          <w:sz w:val="24"/>
          <w:szCs w:val="24"/>
        </w:rPr>
        <w:t xml:space="preserve">  </w:t>
      </w:r>
    </w:p>
    <w:p w:rsidR="00783577" w:rsidRPr="00783577" w:rsidP="00783577">
      <w:pPr>
        <w:spacing w:after="0" w:line="240" w:lineRule="auto"/>
        <w:jc w:val="left"/>
        <w:rPr>
          <w:bCs/>
          <w:sz w:val="24"/>
          <w:szCs w:val="24"/>
        </w:rPr>
      </w:pPr>
      <w:r w:rsidRPr="00783577">
        <w:rPr>
          <w:b/>
          <w:sz w:val="24"/>
          <w:szCs w:val="24"/>
        </w:rPr>
        <w:t xml:space="preserve">County:  </w:t>
      </w:r>
      <w:r w:rsidRPr="00783577">
        <w:rPr>
          <w:bCs/>
          <w:sz w:val="24"/>
          <w:szCs w:val="24"/>
        </w:rPr>
        <w:t>Los Angeles</w:t>
      </w:r>
      <w:r w:rsidRPr="00783577">
        <w:rPr>
          <w:b/>
          <w:sz w:val="24"/>
          <w:szCs w:val="24"/>
        </w:rPr>
        <w:t xml:space="preserve">  </w:t>
      </w:r>
      <w:r w:rsidRPr="00783577">
        <w:rPr>
          <w:bCs/>
          <w:sz w:val="24"/>
          <w:szCs w:val="24"/>
        </w:rPr>
        <w:t xml:space="preserve"> </w:t>
      </w:r>
    </w:p>
    <w:p w:rsidR="00783577" w:rsidRPr="00783577" w:rsidP="00783577">
      <w:pPr>
        <w:spacing w:after="0" w:line="240" w:lineRule="auto"/>
        <w:ind w:left="720" w:hanging="720"/>
        <w:jc w:val="left"/>
        <w:rPr>
          <w:bCs/>
          <w:sz w:val="24"/>
          <w:szCs w:val="24"/>
        </w:rPr>
      </w:pPr>
      <w:r w:rsidRPr="00783577">
        <w:rPr>
          <w:b/>
          <w:sz w:val="24"/>
          <w:szCs w:val="24"/>
        </w:rPr>
        <w:t xml:space="preserve">Judge:  </w:t>
      </w:r>
      <w:r w:rsidRPr="00783577">
        <w:rPr>
          <w:bCs/>
          <w:sz w:val="24"/>
          <w:szCs w:val="24"/>
        </w:rPr>
        <w:t>Jesus I. Rodriguez</w:t>
      </w:r>
      <w:r w:rsidRPr="00783577">
        <w:rPr>
          <w:b/>
          <w:sz w:val="24"/>
          <w:szCs w:val="24"/>
        </w:rPr>
        <w:t xml:space="preserve">  </w:t>
      </w:r>
      <w:r w:rsidRPr="00783577">
        <w:rPr>
          <w:bCs/>
          <w:sz w:val="24"/>
          <w:szCs w:val="24"/>
        </w:rPr>
        <w:t xml:space="preserve"> </w:t>
      </w:r>
    </w:p>
    <w:p w:rsidR="00783577" w:rsidRPr="00783577" w:rsidP="00783577">
      <w:pPr>
        <w:spacing w:after="0" w:line="240" w:lineRule="auto"/>
        <w:jc w:val="left"/>
        <w:rPr>
          <w:b/>
          <w:sz w:val="24"/>
          <w:szCs w:val="24"/>
        </w:rPr>
      </w:pPr>
      <w:r w:rsidRPr="00783577">
        <w:rPr>
          <w:b/>
          <w:sz w:val="24"/>
          <w:szCs w:val="24"/>
        </w:rPr>
        <w:t xml:space="preserve">__________________________________________________________________ </w:t>
      </w:r>
    </w:p>
    <w:p w:rsidR="00783577" w:rsidRPr="00783577" w:rsidP="00783577">
      <w:pPr>
        <w:spacing w:after="0" w:line="240" w:lineRule="auto"/>
        <w:jc w:val="left"/>
        <w:rPr>
          <w:b/>
          <w:sz w:val="24"/>
          <w:szCs w:val="24"/>
        </w:rPr>
      </w:pPr>
    </w:p>
    <w:p w:rsidR="00783577" w:rsidRPr="00783577" w:rsidP="00783577">
      <w:pPr>
        <w:spacing w:after="0" w:line="240" w:lineRule="auto"/>
        <w:jc w:val="left"/>
        <w:rPr>
          <w:b/>
          <w:sz w:val="24"/>
          <w:szCs w:val="24"/>
        </w:rPr>
      </w:pPr>
      <w:r w:rsidRPr="00783577">
        <w:rPr>
          <w:b/>
          <w:sz w:val="24"/>
          <w:szCs w:val="24"/>
        </w:rPr>
        <w:t>Counsel:</w:t>
      </w:r>
    </w:p>
    <w:p w:rsidR="00783577" w:rsidRPr="00783577" w:rsidP="00783577">
      <w:pPr>
        <w:spacing w:after="0" w:line="240" w:lineRule="auto"/>
        <w:jc w:val="left"/>
        <w:rPr>
          <w:b/>
          <w:sz w:val="24"/>
          <w:szCs w:val="24"/>
        </w:rPr>
      </w:pPr>
    </w:p>
    <w:p w:rsidR="00783577" w:rsidRPr="00783577" w:rsidP="00783577">
      <w:pPr>
        <w:spacing w:after="0" w:line="240" w:lineRule="auto"/>
        <w:jc w:val="left"/>
        <w:rPr>
          <w:color w:val="212121"/>
          <w:sz w:val="24"/>
          <w:szCs w:val="24"/>
          <w:shd w:val="clear" w:color="auto" w:fill="FFFFFF"/>
        </w:rPr>
      </w:pPr>
      <w:r w:rsidRPr="00783577">
        <w:rPr>
          <w:sz w:val="24"/>
          <w:szCs w:val="24"/>
          <w:bdr w:val="none" w:sz="0" w:space="0" w:color="auto" w:frame="1"/>
        </w:rPr>
        <w:t>Mark R. Feeser</w:t>
      </w:r>
      <w:r w:rsidRPr="00783577">
        <w:rPr>
          <w:color w:val="212121"/>
          <w:sz w:val="24"/>
          <w:szCs w:val="24"/>
          <w:shd w:val="clear" w:color="auto" w:fill="FFFFFF"/>
        </w:rPr>
        <w:t xml:space="preserve">, under appointment by the Supreme Court, and </w:t>
      </w:r>
      <w:r w:rsidRPr="00783577">
        <w:rPr>
          <w:sz w:val="24"/>
          <w:szCs w:val="24"/>
          <w:bdr w:val="none" w:sz="0" w:space="0" w:color="auto" w:frame="1"/>
        </w:rPr>
        <w:t>Paul R. Kraus</w:t>
      </w:r>
      <w:r w:rsidRPr="00783577">
        <w:rPr>
          <w:color w:val="212121"/>
          <w:sz w:val="24"/>
          <w:szCs w:val="24"/>
          <w:shd w:val="clear" w:color="auto" w:fill="FFFFFF"/>
        </w:rPr>
        <w:t>, under appointment by the Court of Appeal, for Defendant and Appellant.</w:t>
      </w:r>
      <w:r w:rsidRPr="00783577">
        <w:rPr>
          <w:rFonts w:cs="Arial"/>
          <w:color w:val="212121"/>
          <w:sz w:val="24"/>
          <w:szCs w:val="24"/>
        </w:rPr>
        <w:br/>
      </w:r>
      <w:r w:rsidRPr="00783577">
        <w:rPr>
          <w:rFonts w:cs="Arial"/>
          <w:color w:val="212121"/>
          <w:sz w:val="24"/>
          <w:szCs w:val="24"/>
        </w:rPr>
        <w:br/>
      </w:r>
      <w:r w:rsidRPr="00783577">
        <w:rPr>
          <w:color w:val="000000"/>
          <w:sz w:val="24"/>
          <w:szCs w:val="24"/>
          <w:bdr w:val="none" w:sz="0" w:space="0" w:color="auto" w:frame="1"/>
        </w:rPr>
        <w:t>Xavier Becerra</w:t>
      </w:r>
      <w:r w:rsidRPr="00783577">
        <w:rPr>
          <w:color w:val="000000"/>
          <w:sz w:val="24"/>
          <w:szCs w:val="24"/>
          <w:shd w:val="clear" w:color="auto" w:fill="FFFFFF"/>
        </w:rPr>
        <w:t xml:space="preserve"> and </w:t>
      </w:r>
      <w:r w:rsidRPr="00783577">
        <w:rPr>
          <w:sz w:val="24"/>
          <w:szCs w:val="24"/>
          <w:bdr w:val="none" w:sz="0" w:space="0" w:color="auto" w:frame="1"/>
        </w:rPr>
        <w:t>Rob Bonta,</w:t>
      </w:r>
      <w:r w:rsidRPr="00783577">
        <w:rPr>
          <w:color w:val="212121"/>
          <w:sz w:val="24"/>
          <w:szCs w:val="24"/>
          <w:shd w:val="clear" w:color="auto" w:fill="FFFFFF"/>
        </w:rPr>
        <w:t xml:space="preserve"> Attorney</w:t>
      </w:r>
      <w:r w:rsidRPr="00783577">
        <w:rPr>
          <w:color w:val="000000"/>
          <w:sz w:val="24"/>
          <w:szCs w:val="24"/>
          <w:shd w:val="clear" w:color="auto" w:fill="FFFFFF"/>
        </w:rPr>
        <w:t>s</w:t>
      </w:r>
      <w:r w:rsidRPr="00783577">
        <w:rPr>
          <w:color w:val="212121"/>
          <w:sz w:val="24"/>
          <w:szCs w:val="24"/>
          <w:shd w:val="clear" w:color="auto" w:fill="FFFFFF"/>
        </w:rPr>
        <w:t xml:space="preserve"> General, </w:t>
      </w:r>
      <w:r w:rsidRPr="00783577">
        <w:rPr>
          <w:sz w:val="24"/>
          <w:szCs w:val="24"/>
          <w:bdr w:val="none" w:sz="0" w:space="0" w:color="auto" w:frame="1"/>
        </w:rPr>
        <w:t>Lance E. Winters</w:t>
      </w:r>
      <w:r w:rsidRPr="00783577">
        <w:rPr>
          <w:color w:val="212121"/>
          <w:sz w:val="24"/>
          <w:szCs w:val="24"/>
          <w:shd w:val="clear" w:color="auto" w:fill="FFFFFF"/>
        </w:rPr>
        <w:t xml:space="preserve">, Chief Assistant Attorney General, Susan Sullivan Pithey, Assistant Attorney General, Michael R. Johnsen, David W. Williams, Steven D. Matthews and </w:t>
      </w:r>
      <w:r w:rsidRPr="00783577">
        <w:rPr>
          <w:sz w:val="24"/>
          <w:szCs w:val="24"/>
          <w:bdr w:val="none" w:sz="0" w:space="0" w:color="auto" w:frame="1"/>
        </w:rPr>
        <w:t>Rama R. Maline</w:t>
      </w:r>
      <w:r w:rsidRPr="00783577">
        <w:rPr>
          <w:color w:val="212121"/>
          <w:sz w:val="24"/>
          <w:szCs w:val="24"/>
          <w:shd w:val="clear" w:color="auto" w:fill="FFFFFF"/>
        </w:rPr>
        <w:t>, Deputy Attorneys General, for Plaintiff and Respondent.</w:t>
      </w:r>
    </w:p>
    <w:p w:rsidR="00783577" w:rsidRPr="00783577" w:rsidP="00783577">
      <w:pPr>
        <w:spacing w:after="0" w:line="240" w:lineRule="auto"/>
        <w:jc w:val="left"/>
        <w:rPr>
          <w:rFonts w:ascii="inherit" w:hAnsi="inherit"/>
          <w:color w:val="212121"/>
          <w:sz w:val="26"/>
          <w:shd w:val="clear" w:color="auto" w:fill="FFFFFF"/>
        </w:rPr>
      </w:pPr>
      <w:r w:rsidRPr="00783577">
        <w:rPr>
          <w:rFonts w:ascii="inherit" w:hAnsi="inherit"/>
          <w:color w:val="212121"/>
          <w:sz w:val="26"/>
          <w:shd w:val="clear" w:color="auto" w:fill="FFFFFF"/>
        </w:rPr>
        <w:br w:type="page"/>
      </w:r>
    </w:p>
    <w:p w:rsidR="00783577" w:rsidRPr="00783577" w:rsidP="00783577">
      <w:pPr>
        <w:spacing w:after="0" w:line="240" w:lineRule="auto"/>
        <w:jc w:val="left"/>
        <w:rPr>
          <w:b/>
          <w:sz w:val="24"/>
          <w:szCs w:val="24"/>
        </w:rPr>
      </w:pPr>
      <w:r w:rsidRPr="00783577">
        <w:rPr>
          <w:b/>
          <w:sz w:val="24"/>
          <w:szCs w:val="24"/>
        </w:rPr>
        <w:t>Counsel who argued in Supreme Court (not intended for publication with opinion):</w:t>
      </w:r>
    </w:p>
    <w:p w:rsidR="00783577" w:rsidRPr="00783577" w:rsidP="00783577">
      <w:pPr>
        <w:spacing w:after="0" w:line="240" w:lineRule="auto"/>
        <w:jc w:val="left"/>
        <w:rPr>
          <w:b/>
          <w:sz w:val="24"/>
          <w:szCs w:val="24"/>
        </w:rPr>
      </w:pPr>
    </w:p>
    <w:p w:rsidR="00783577" w:rsidRPr="00783577" w:rsidP="00783577">
      <w:pPr>
        <w:spacing w:after="0" w:line="240" w:lineRule="auto"/>
        <w:jc w:val="left"/>
        <w:rPr>
          <w:sz w:val="24"/>
          <w:szCs w:val="24"/>
          <w:bdr w:val="none" w:sz="0" w:space="0" w:color="auto" w:frame="1"/>
        </w:rPr>
      </w:pPr>
      <w:r w:rsidRPr="00783577">
        <w:rPr>
          <w:sz w:val="24"/>
          <w:szCs w:val="24"/>
          <w:bdr w:val="none" w:sz="0" w:space="0" w:color="auto" w:frame="1"/>
        </w:rPr>
        <w:t>Mark R. Feeser</w:t>
      </w:r>
    </w:p>
    <w:p w:rsidR="00783577" w:rsidRPr="00783577" w:rsidP="00783577">
      <w:pPr>
        <w:spacing w:after="0" w:line="240" w:lineRule="auto"/>
        <w:jc w:val="left"/>
        <w:rPr>
          <w:sz w:val="24"/>
          <w:szCs w:val="24"/>
          <w:bdr w:val="none" w:sz="0" w:space="0" w:color="auto" w:frame="1"/>
        </w:rPr>
      </w:pPr>
      <w:r w:rsidRPr="00783577">
        <w:rPr>
          <w:sz w:val="24"/>
          <w:szCs w:val="24"/>
          <w:bdr w:val="none" w:sz="0" w:space="0" w:color="auto" w:frame="1"/>
        </w:rPr>
        <w:t>Attorney at Law</w:t>
      </w:r>
    </w:p>
    <w:p w:rsidR="00783577" w:rsidRPr="00783577" w:rsidP="00783577">
      <w:pPr>
        <w:spacing w:after="0" w:line="240" w:lineRule="auto"/>
        <w:jc w:val="left"/>
        <w:rPr>
          <w:sz w:val="24"/>
          <w:szCs w:val="24"/>
          <w:bdr w:val="none" w:sz="0" w:space="0" w:color="auto" w:frame="1"/>
        </w:rPr>
      </w:pPr>
      <w:r w:rsidRPr="00783577">
        <w:rPr>
          <w:sz w:val="24"/>
          <w:szCs w:val="24"/>
          <w:bdr w:val="none" w:sz="0" w:space="0" w:color="auto" w:frame="1"/>
        </w:rPr>
        <w:t>3940-7174 Broad Street</w:t>
      </w:r>
    </w:p>
    <w:p w:rsidR="00783577" w:rsidRPr="00783577" w:rsidP="00783577">
      <w:pPr>
        <w:spacing w:after="0" w:line="240" w:lineRule="auto"/>
        <w:jc w:val="left"/>
        <w:rPr>
          <w:sz w:val="24"/>
          <w:szCs w:val="24"/>
          <w:bdr w:val="none" w:sz="0" w:space="0" w:color="auto" w:frame="1"/>
        </w:rPr>
      </w:pPr>
      <w:r w:rsidRPr="00783577">
        <w:rPr>
          <w:sz w:val="24"/>
          <w:szCs w:val="24"/>
          <w:bdr w:val="none" w:sz="0" w:space="0" w:color="auto" w:frame="1"/>
        </w:rPr>
        <w:t>San Luis Obispo, CA 93401</w:t>
      </w:r>
    </w:p>
    <w:p w:rsidR="00783577" w:rsidRPr="00783577" w:rsidP="00783577">
      <w:pPr>
        <w:spacing w:after="0" w:line="240" w:lineRule="auto"/>
        <w:jc w:val="left"/>
        <w:rPr>
          <w:sz w:val="24"/>
          <w:szCs w:val="24"/>
          <w:bdr w:val="none" w:sz="0" w:space="0" w:color="auto" w:frame="1"/>
        </w:rPr>
      </w:pPr>
      <w:r w:rsidRPr="00783577">
        <w:rPr>
          <w:sz w:val="24"/>
          <w:szCs w:val="24"/>
          <w:bdr w:val="none" w:sz="0" w:space="0" w:color="auto" w:frame="1"/>
        </w:rPr>
        <w:t>(805) 542-0189</w:t>
      </w:r>
    </w:p>
    <w:p w:rsidR="00783577" w:rsidRPr="00783577" w:rsidP="00783577">
      <w:pPr>
        <w:spacing w:after="0" w:line="240" w:lineRule="auto"/>
        <w:jc w:val="left"/>
        <w:rPr>
          <w:sz w:val="24"/>
          <w:szCs w:val="24"/>
          <w:bdr w:val="none" w:sz="0" w:space="0" w:color="auto" w:frame="1"/>
        </w:rPr>
      </w:pPr>
    </w:p>
    <w:p w:rsidR="00783577" w:rsidRPr="00783577" w:rsidP="00783577">
      <w:pPr>
        <w:spacing w:after="0" w:line="240" w:lineRule="auto"/>
        <w:jc w:val="left"/>
        <w:rPr>
          <w:color w:val="212121"/>
          <w:sz w:val="24"/>
          <w:szCs w:val="24"/>
          <w:shd w:val="clear" w:color="auto" w:fill="FFFFFF"/>
        </w:rPr>
      </w:pPr>
      <w:r w:rsidRPr="00783577">
        <w:rPr>
          <w:color w:val="212121"/>
          <w:sz w:val="24"/>
          <w:szCs w:val="24"/>
          <w:shd w:val="clear" w:color="auto" w:fill="FFFFFF"/>
        </w:rPr>
        <w:t>David W. Williams</w:t>
      </w:r>
    </w:p>
    <w:p w:rsidR="00783577" w:rsidRPr="00783577" w:rsidP="00783577">
      <w:pPr>
        <w:spacing w:after="0" w:line="240" w:lineRule="auto"/>
        <w:jc w:val="left"/>
        <w:rPr>
          <w:color w:val="212121"/>
          <w:sz w:val="24"/>
          <w:szCs w:val="24"/>
          <w:shd w:val="clear" w:color="auto" w:fill="FFFFFF"/>
        </w:rPr>
      </w:pPr>
      <w:r w:rsidRPr="00783577">
        <w:rPr>
          <w:color w:val="212121"/>
          <w:sz w:val="24"/>
          <w:szCs w:val="24"/>
          <w:shd w:val="clear" w:color="auto" w:fill="FFFFFF"/>
        </w:rPr>
        <w:t>Deputy Attorney General</w:t>
      </w:r>
    </w:p>
    <w:p w:rsidR="00783577" w:rsidRPr="00783577" w:rsidP="00783577">
      <w:pPr>
        <w:spacing w:after="0" w:line="240" w:lineRule="auto"/>
        <w:jc w:val="left"/>
        <w:rPr>
          <w:color w:val="212121"/>
          <w:sz w:val="24"/>
          <w:szCs w:val="24"/>
          <w:shd w:val="clear" w:color="auto" w:fill="FFFFFF"/>
        </w:rPr>
      </w:pPr>
      <w:r w:rsidRPr="00783577">
        <w:rPr>
          <w:color w:val="212121"/>
          <w:sz w:val="24"/>
          <w:szCs w:val="24"/>
          <w:shd w:val="clear" w:color="auto" w:fill="FFFFFF"/>
        </w:rPr>
        <w:t>300 South Spring St., Suite 1702</w:t>
      </w:r>
    </w:p>
    <w:p w:rsidR="00783577" w:rsidRPr="00783577" w:rsidP="00783577">
      <w:pPr>
        <w:spacing w:after="0" w:line="240" w:lineRule="auto"/>
        <w:jc w:val="left"/>
        <w:rPr>
          <w:color w:val="212121"/>
          <w:sz w:val="24"/>
          <w:szCs w:val="24"/>
          <w:shd w:val="clear" w:color="auto" w:fill="FFFFFF"/>
        </w:rPr>
      </w:pPr>
      <w:r w:rsidRPr="00783577">
        <w:rPr>
          <w:color w:val="212121"/>
          <w:sz w:val="24"/>
          <w:szCs w:val="24"/>
          <w:shd w:val="clear" w:color="auto" w:fill="FFFFFF"/>
        </w:rPr>
        <w:t>Los Angeles, CA 90013</w:t>
      </w:r>
    </w:p>
    <w:p w:rsidR="00783577" w:rsidRPr="00783577" w:rsidP="00783577">
      <w:pPr>
        <w:spacing w:after="0" w:line="240" w:lineRule="auto"/>
        <w:jc w:val="left"/>
        <w:rPr>
          <w:sz w:val="24"/>
          <w:szCs w:val="24"/>
          <w:bdr w:val="none" w:sz="0" w:space="0" w:color="auto" w:frame="1"/>
        </w:rPr>
      </w:pPr>
      <w:r w:rsidRPr="00783577">
        <w:rPr>
          <w:color w:val="212121"/>
          <w:sz w:val="24"/>
          <w:szCs w:val="24"/>
          <w:shd w:val="clear" w:color="auto" w:fill="FFFFFF"/>
        </w:rPr>
        <w:t>(213) 269-6182</w:t>
      </w:r>
    </w:p>
    <w:p w:rsidR="00783577" w:rsidRPr="00783577" w:rsidP="00783577">
      <w:pPr>
        <w:spacing w:after="0" w:line="240" w:lineRule="auto"/>
        <w:jc w:val="left"/>
        <w:rPr>
          <w:rFonts w:cs="Arial"/>
          <w:color w:val="212121"/>
          <w:sz w:val="24"/>
          <w:szCs w:val="24"/>
        </w:rPr>
      </w:pPr>
    </w:p>
    <w:p w:rsidR="00783577" w:rsidRPr="00B56A78" w:rsidP="00E40F85">
      <w:pPr>
        <w:tabs>
          <w:tab w:val="left" w:pos="1440"/>
        </w:tabs>
        <w:spacing w:after="0" w:line="240" w:lineRule="auto"/>
      </w:pPr>
    </w:p>
    <w:sectPr w:rsidSect="00FD2AA6">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AAF">
    <w:pPr>
      <w:pStyle w:val="Footer"/>
    </w:pPr>
    <w:r>
      <w:fldChar w:fldCharType="begin"/>
    </w:r>
    <w:r>
      <w:instrText>PAGE</w:instrText>
    </w:r>
    <w:r>
      <w:fldChar w:fldCharType="separate"/>
    </w:r>
    <w:r w:rsidR="002C10DE">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9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298B">
    <w:pPr>
      <w:pStyle w:val="Footer"/>
    </w:pPr>
    <w:r>
      <w:fldChar w:fldCharType="begin"/>
    </w:r>
    <w:r>
      <w:instrText>PAGE</w:instrText>
    </w:r>
    <w:r>
      <w:fldChar w:fldCharType="separate"/>
    </w:r>
    <w:r>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4B45">
      <w:r>
        <w:separator/>
      </w:r>
    </w:p>
  </w:footnote>
  <w:footnote w:type="continuationSeparator" w:id="1">
    <w:p w:rsidR="00864B45">
      <w:pPr>
        <w:rPr>
          <w:sz w:val="22"/>
        </w:rPr>
      </w:pPr>
      <w:r>
        <w:continuationSeparator/>
      </w:r>
    </w:p>
  </w:footnote>
  <w:footnote w:type="continuationNotice" w:id="2">
    <w:p w:rsidR="00864B45">
      <w:pPr>
        <w:jc w:val="right"/>
        <w:rPr>
          <w:i/>
          <w:sz w:val="20"/>
        </w:rPr>
      </w:pPr>
    </w:p>
  </w:footnote>
  <w:footnote w:id="3">
    <w:p w:rsidR="00EE5487" w:rsidP="009852EB">
      <w:pPr>
        <w:pStyle w:val="FootnoteText"/>
      </w:pPr>
      <w:r>
        <w:rPr>
          <w:rStyle w:val="FootnoteReference"/>
        </w:rPr>
        <w:footnoteRef/>
      </w:r>
      <w:r>
        <w:t xml:space="preserve"> </w:t>
      </w:r>
      <w:r>
        <w:tab/>
        <w:t>The parties continue to agree, and the Court of Appeal has held, that Senate Bill 136 applies retroactively to nonfinal judgments.  (See</w:t>
      </w:r>
      <w:r w:rsidR="000F1EFE">
        <w:t xml:space="preserve">, e.g., </w:t>
      </w:r>
      <w:r w:rsidR="00103B0B">
        <w:rPr>
          <w:i/>
          <w:iCs/>
        </w:rPr>
        <w:t xml:space="preserve">People v. Lopez </w:t>
      </w:r>
      <w:r w:rsidR="00103B0B">
        <w:t>(2019) 42 Cal.App.5th 337, 341–342</w:t>
      </w:r>
      <w:r w:rsidR="000F1EFE">
        <w:t xml:space="preserve">.)  </w:t>
      </w:r>
      <w:r w:rsidR="00002EE5">
        <w:t>Our grant of review did not include that issue</w:t>
      </w:r>
      <w:r w:rsidR="00871CF3">
        <w:t xml:space="preserve">, </w:t>
      </w:r>
      <w:r w:rsidR="002104CC">
        <w:t xml:space="preserve">and nothing in this </w:t>
      </w:r>
      <w:r w:rsidR="00AF66AD">
        <w:t>opinion</w:t>
      </w:r>
      <w:r w:rsidR="002104CC">
        <w:t xml:space="preserve"> casts doubt on that</w:t>
      </w:r>
      <w:r w:rsidR="00500E3F">
        <w:t xml:space="preserve"> </w:t>
      </w:r>
      <w:r w:rsidR="002104CC">
        <w:t xml:space="preserve">conclusion.  </w:t>
      </w:r>
      <w:r w:rsidR="009F0640">
        <w:t xml:space="preserve"> </w:t>
      </w:r>
    </w:p>
  </w:footnote>
  <w:footnote w:id="4">
    <w:p w:rsidR="00B42F89" w:rsidP="009852EB">
      <w:pPr>
        <w:pStyle w:val="FootnoteText"/>
      </w:pPr>
      <w:r>
        <w:rPr>
          <w:rStyle w:val="FootnoteReference"/>
        </w:rPr>
        <w:footnoteRef/>
      </w:r>
      <w:r>
        <w:t xml:space="preserve"> </w:t>
      </w:r>
      <w:r>
        <w:tab/>
      </w:r>
      <w:r w:rsidR="00BD47FC">
        <w:t>We</w:t>
      </w:r>
      <w:r>
        <w:t xml:space="preserve"> also drew </w:t>
      </w:r>
      <w:r w:rsidR="001A4C61">
        <w:t>up</w:t>
      </w:r>
      <w:r>
        <w:t xml:space="preserve">on common law principles to </w:t>
      </w:r>
      <w:r w:rsidR="00671101">
        <w:t xml:space="preserve">contextualize two statutory provisions and explain </w:t>
      </w:r>
      <w:r>
        <w:t xml:space="preserve">why </w:t>
      </w:r>
      <w:r w:rsidR="00671101">
        <w:t xml:space="preserve">those </w:t>
      </w:r>
      <w:r>
        <w:t xml:space="preserve">provisions did not support a contrary inference regarding legislative intent.  (See </w:t>
      </w:r>
      <w:r>
        <w:rPr>
          <w:i/>
          <w:iCs/>
        </w:rPr>
        <w:t>Estrada</w:t>
      </w:r>
      <w:r w:rsidRPr="002C0A16">
        <w:t xml:space="preserve">, </w:t>
      </w:r>
      <w:r w:rsidRPr="00B42F89">
        <w:rPr>
          <w:i/>
          <w:iCs/>
        </w:rPr>
        <w:t>supra</w:t>
      </w:r>
      <w:r>
        <w:t xml:space="preserve">, 63 Cal.2d </w:t>
      </w:r>
      <w:r w:rsidRPr="00B42F89">
        <w:t>at</w:t>
      </w:r>
      <w:r>
        <w:t xml:space="preserve"> pp. 746–748 [discussing Pen</w:t>
      </w:r>
      <w:r w:rsidR="00A66299">
        <w:t>.</w:t>
      </w:r>
      <w:r w:rsidR="00847799">
        <w:t> </w:t>
      </w:r>
      <w:r>
        <w:t>Code</w:t>
      </w:r>
      <w:r w:rsidR="00A66299">
        <w:t>,</w:t>
      </w:r>
      <w:r>
        <w:t xml:space="preserve"> </w:t>
      </w:r>
      <w:r w:rsidRPr="009852EB" w:rsidR="00A66299">
        <w:t>§</w:t>
      </w:r>
      <w:r>
        <w:t xml:space="preserve"> 3 and Gov</w:t>
      </w:r>
      <w:r w:rsidR="00A66299">
        <w:t>.</w:t>
      </w:r>
      <w:r>
        <w:t xml:space="preserve"> Code</w:t>
      </w:r>
      <w:r w:rsidR="00A66299">
        <w:t>,</w:t>
      </w:r>
      <w:r>
        <w:t xml:space="preserve"> </w:t>
      </w:r>
      <w:r w:rsidRPr="009852EB" w:rsidR="00A66299">
        <w:t>§</w:t>
      </w:r>
      <w:r w:rsidR="00342107">
        <w:t> </w:t>
      </w:r>
      <w:r>
        <w:t>9608].)</w:t>
      </w:r>
    </w:p>
  </w:footnote>
  <w:footnote w:id="5">
    <w:p w:rsidR="00367575">
      <w:pPr>
        <w:pStyle w:val="FootnoteText"/>
      </w:pPr>
      <w:r>
        <w:rPr>
          <w:rStyle w:val="FootnoteReference"/>
        </w:rPr>
        <w:footnoteRef/>
      </w:r>
      <w:r>
        <w:t xml:space="preserve"> </w:t>
      </w:r>
      <w:r>
        <w:tab/>
        <w:t xml:space="preserve">Whether or not some condition of finality might bear on the manner in which the Legislature can ameliorate punishment, </w:t>
      </w:r>
      <w:r>
        <w:rPr>
          <w:i/>
          <w:iCs/>
        </w:rPr>
        <w:t>Estrada</w:t>
      </w:r>
      <w:r>
        <w:t xml:space="preserve"> does not hold, and we do not imply, that the Legislature lacks constitutional authority to mitigate punishment connected to final criminal judgments.  (</w:t>
      </w:r>
      <w:r w:rsidRPr="009852EB">
        <w:t>See</w:t>
      </w:r>
      <w:r>
        <w:t>, e.g.,</w:t>
      </w:r>
      <w:r w:rsidRPr="009852EB">
        <w:t xml:space="preserve"> </w:t>
      </w:r>
      <w:r w:rsidRPr="009852EB">
        <w:rPr>
          <w:i/>
          <w:iCs/>
        </w:rPr>
        <w:t>Gentile</w:t>
      </w:r>
      <w:r w:rsidRPr="009852EB">
        <w:t xml:space="preserve">, </w:t>
      </w:r>
      <w:r w:rsidRPr="009852EB">
        <w:rPr>
          <w:i/>
          <w:iCs/>
        </w:rPr>
        <w:t>supra</w:t>
      </w:r>
      <w:r w:rsidRPr="009852EB">
        <w:t>, 10 Cal.5th at p. 853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2EB">
    <w:pPr>
      <w:pStyle w:val="Header"/>
    </w:pPr>
    <w:bookmarkStart w:id="3" w:name="_Hlk70059834"/>
    <w:r>
      <w:t>PEOPLE v. ESQUIVEL</w:t>
    </w:r>
  </w:p>
  <w:p w:rsidR="009852EB">
    <w:pPr>
      <w:pStyle w:val="Header"/>
    </w:pPr>
    <w:r>
      <w:t>Opinion of the Court by Cantil-Sakauye, C. J.</w:t>
    </w:r>
    <w:bookmarkEnd w:id="3"/>
  </w:p>
  <w:p w:rsidR="00985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9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761F49"/>
    <w:multiLevelType w:val="hybridMultilevel"/>
    <w:tmpl w:val="3806C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5985439"/>
    <w:multiLevelType w:val="hybridMultilevel"/>
    <w:tmpl w:val="92A8B73C"/>
    <w:lvl w:ilvl="0">
      <w:start w:val="38"/>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461A101A"/>
    <w:multiLevelType w:val="hybridMultilevel"/>
    <w:tmpl w:val="ECD0A7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F47FD8"/>
    <w:multiLevelType w:val="multilevel"/>
    <w:tmpl w:val="C7D03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44FB9"/>
    <w:multiLevelType w:val="hybridMultilevel"/>
    <w:tmpl w:val="7C72A3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2237453"/>
    <w:multiLevelType w:val="hybridMultilevel"/>
    <w:tmpl w:val="DE6A45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2E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852EB"/>
    <w:pPr>
      <w:keepNext/>
      <w:spacing w:before="140" w:line="240" w:lineRule="atLeast"/>
      <w:jc w:val="center"/>
      <w:outlineLvl w:val="0"/>
    </w:pPr>
    <w:rPr>
      <w:b/>
      <w:smallCaps/>
    </w:rPr>
  </w:style>
  <w:style w:type="paragraph" w:styleId="Heading2">
    <w:name w:val="heading 2"/>
    <w:basedOn w:val="Normal"/>
    <w:next w:val="Normal"/>
    <w:link w:val="Heading2Char"/>
    <w:qFormat/>
    <w:rsid w:val="009852E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9852E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9852EB"/>
    <w:pPr>
      <w:keepNext/>
      <w:tabs>
        <w:tab w:val="left" w:pos="2016"/>
      </w:tabs>
      <w:spacing w:before="140" w:line="240" w:lineRule="atLeast"/>
      <w:ind w:left="2016" w:hanging="432"/>
      <w:jc w:val="left"/>
      <w:outlineLvl w:val="3"/>
    </w:pPr>
    <w:rPr>
      <w:i/>
    </w:rPr>
  </w:style>
  <w:style w:type="paragraph" w:styleId="Heading5">
    <w:name w:val="heading 5"/>
    <w:basedOn w:val="Normal"/>
    <w:rsid w:val="009852E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852EB"/>
    <w:pPr>
      <w:ind w:left="720"/>
    </w:pPr>
  </w:style>
  <w:style w:type="paragraph" w:styleId="Footer">
    <w:name w:val="footer"/>
    <w:basedOn w:val="Normal"/>
    <w:qFormat/>
    <w:rsid w:val="009852EB"/>
    <w:pPr>
      <w:tabs>
        <w:tab w:val="center" w:pos="3960"/>
        <w:tab w:val="right" w:pos="10080"/>
      </w:tabs>
      <w:spacing w:after="0" w:line="240" w:lineRule="auto"/>
      <w:jc w:val="center"/>
    </w:pPr>
    <w:rPr>
      <w:sz w:val="22"/>
    </w:rPr>
  </w:style>
  <w:style w:type="paragraph" w:styleId="Header">
    <w:name w:val="header"/>
    <w:basedOn w:val="Normal"/>
    <w:qFormat/>
    <w:rsid w:val="009852E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852EB"/>
    <w:rPr>
      <w:rFonts w:ascii="Century Schoolbook" w:hAnsi="Century Schoolbook"/>
      <w:b/>
      <w:i w:val="0"/>
      <w:position w:val="4"/>
      <w:sz w:val="27"/>
      <w:vertAlign w:val="superscript"/>
    </w:rPr>
  </w:style>
  <w:style w:type="paragraph" w:styleId="FootnoteText">
    <w:name w:val="footnote text"/>
    <w:basedOn w:val="Normal"/>
    <w:link w:val="FootnoteTextChar"/>
    <w:rsid w:val="009852EB"/>
    <w:pPr>
      <w:spacing w:line="300" w:lineRule="exact"/>
    </w:pPr>
  </w:style>
  <w:style w:type="paragraph" w:customStyle="1" w:styleId="Title1">
    <w:name w:val="Title1"/>
    <w:basedOn w:val="Normal"/>
    <w:rsid w:val="009852EB"/>
    <w:pPr>
      <w:tabs>
        <w:tab w:val="left" w:pos="5760"/>
        <w:tab w:val="left" w:pos="6480"/>
      </w:tabs>
      <w:spacing w:line="240" w:lineRule="atLeast"/>
    </w:pPr>
  </w:style>
  <w:style w:type="paragraph" w:customStyle="1" w:styleId="Recommend">
    <w:name w:val="Recommend"/>
    <w:basedOn w:val="Normal"/>
    <w:rsid w:val="009852EB"/>
  </w:style>
  <w:style w:type="paragraph" w:customStyle="1" w:styleId="Summary">
    <w:name w:val="Summary"/>
    <w:basedOn w:val="Normal"/>
    <w:rsid w:val="009852EB"/>
    <w:pPr>
      <w:ind w:left="2160" w:hanging="2160"/>
    </w:pPr>
  </w:style>
  <w:style w:type="paragraph" w:customStyle="1" w:styleId="Text">
    <w:name w:val="Text"/>
    <w:basedOn w:val="Normal"/>
    <w:rsid w:val="009852EB"/>
    <w:pPr>
      <w:tabs>
        <w:tab w:val="left" w:pos="720"/>
        <w:tab w:val="left" w:pos="1440"/>
        <w:tab w:val="left" w:pos="2160"/>
        <w:tab w:val="center" w:pos="4320"/>
      </w:tabs>
      <w:spacing w:line="480" w:lineRule="atLeast"/>
      <w:ind w:firstLine="540"/>
    </w:pPr>
  </w:style>
  <w:style w:type="paragraph" w:styleId="Date">
    <w:name w:val="Date"/>
    <w:basedOn w:val="Normal"/>
    <w:semiHidden/>
    <w:rsid w:val="009852EB"/>
    <w:pPr>
      <w:jc w:val="right"/>
    </w:pPr>
  </w:style>
  <w:style w:type="character" w:styleId="PageNumber">
    <w:name w:val="page number"/>
    <w:basedOn w:val="DefaultParagraphFont"/>
    <w:semiHidden/>
    <w:rsid w:val="009852EB"/>
  </w:style>
  <w:style w:type="paragraph" w:customStyle="1" w:styleId="subject">
    <w:name w:val="subject"/>
    <w:basedOn w:val="Normal"/>
    <w:rsid w:val="009852EB"/>
    <w:pPr>
      <w:tabs>
        <w:tab w:val="left" w:pos="1008"/>
      </w:tabs>
      <w:ind w:left="990" w:hanging="990"/>
    </w:pPr>
    <w:rPr>
      <w:b/>
    </w:rPr>
  </w:style>
  <w:style w:type="paragraph" w:customStyle="1" w:styleId="Titles">
    <w:name w:val="Titles"/>
    <w:basedOn w:val="Normal"/>
    <w:rsid w:val="009852EB"/>
    <w:pPr>
      <w:tabs>
        <w:tab w:val="left" w:pos="2160"/>
      </w:tabs>
      <w:ind w:left="2160" w:hanging="2160"/>
    </w:pPr>
    <w:rPr>
      <w:b/>
    </w:rPr>
  </w:style>
  <w:style w:type="paragraph" w:styleId="TOAHeading">
    <w:name w:val="toa heading"/>
    <w:basedOn w:val="Normal"/>
    <w:next w:val="Normal"/>
    <w:semiHidden/>
    <w:rsid w:val="009852EB"/>
    <w:pPr>
      <w:spacing w:before="120"/>
    </w:pPr>
    <w:rPr>
      <w:b/>
    </w:rPr>
  </w:style>
  <w:style w:type="paragraph" w:styleId="TOC1">
    <w:name w:val="toc 1"/>
    <w:basedOn w:val="Normal"/>
    <w:next w:val="Normal"/>
    <w:autoRedefine/>
    <w:semiHidden/>
    <w:rsid w:val="009852EB"/>
  </w:style>
  <w:style w:type="paragraph" w:styleId="TOC2">
    <w:name w:val="toc 2"/>
    <w:basedOn w:val="Normal"/>
    <w:next w:val="Normal"/>
    <w:autoRedefine/>
    <w:semiHidden/>
    <w:rsid w:val="009852EB"/>
    <w:pPr>
      <w:ind w:left="259"/>
    </w:pPr>
  </w:style>
  <w:style w:type="paragraph" w:styleId="TOC3">
    <w:name w:val="toc 3"/>
    <w:basedOn w:val="Normal"/>
    <w:next w:val="Normal"/>
    <w:autoRedefine/>
    <w:semiHidden/>
    <w:rsid w:val="009852EB"/>
    <w:pPr>
      <w:ind w:left="520"/>
    </w:pPr>
  </w:style>
  <w:style w:type="paragraph" w:styleId="TOC4">
    <w:name w:val="toc 4"/>
    <w:basedOn w:val="Normal"/>
    <w:next w:val="Normal"/>
    <w:autoRedefine/>
    <w:semiHidden/>
    <w:rsid w:val="009852EB"/>
    <w:pPr>
      <w:ind w:left="780"/>
    </w:pPr>
  </w:style>
  <w:style w:type="paragraph" w:styleId="TOC5">
    <w:name w:val="toc 5"/>
    <w:basedOn w:val="Normal"/>
    <w:next w:val="Normal"/>
    <w:autoRedefine/>
    <w:semiHidden/>
    <w:rsid w:val="009852EB"/>
    <w:pPr>
      <w:ind w:left="1040"/>
    </w:pPr>
  </w:style>
  <w:style w:type="paragraph" w:styleId="TOC6">
    <w:name w:val="toc 6"/>
    <w:basedOn w:val="Normal"/>
    <w:next w:val="Normal"/>
    <w:autoRedefine/>
    <w:semiHidden/>
    <w:rsid w:val="009852EB"/>
    <w:pPr>
      <w:ind w:left="1300"/>
    </w:pPr>
  </w:style>
  <w:style w:type="paragraph" w:styleId="TOC7">
    <w:name w:val="toc 7"/>
    <w:basedOn w:val="Normal"/>
    <w:next w:val="Normal"/>
    <w:autoRedefine/>
    <w:semiHidden/>
    <w:rsid w:val="009852EB"/>
    <w:pPr>
      <w:ind w:left="1560"/>
    </w:pPr>
  </w:style>
  <w:style w:type="paragraph" w:styleId="TOC8">
    <w:name w:val="toc 8"/>
    <w:basedOn w:val="Normal"/>
    <w:next w:val="Normal"/>
    <w:autoRedefine/>
    <w:semiHidden/>
    <w:rsid w:val="009852EB"/>
    <w:pPr>
      <w:ind w:left="1820"/>
    </w:pPr>
  </w:style>
  <w:style w:type="paragraph" w:styleId="TOC9">
    <w:name w:val="toc 9"/>
    <w:basedOn w:val="Normal"/>
    <w:next w:val="Normal"/>
    <w:autoRedefine/>
    <w:semiHidden/>
    <w:rsid w:val="009852EB"/>
    <w:pPr>
      <w:ind w:left="2080"/>
    </w:pPr>
  </w:style>
  <w:style w:type="paragraph" w:customStyle="1" w:styleId="Contents">
    <w:name w:val="Contents"/>
    <w:basedOn w:val="Normal"/>
    <w:rsid w:val="009852EB"/>
    <w:pPr>
      <w:jc w:val="center"/>
    </w:pPr>
    <w:rPr>
      <w:b/>
      <w:spacing w:val="100"/>
    </w:rPr>
  </w:style>
  <w:style w:type="character" w:customStyle="1" w:styleId="Heading1Char">
    <w:name w:val="Heading 1 Char"/>
    <w:basedOn w:val="DefaultParagraphFont"/>
    <w:link w:val="Heading1"/>
    <w:rsid w:val="00891041"/>
    <w:rPr>
      <w:rFonts w:ascii="Century Schoolbook" w:hAnsi="Century Schoolbook"/>
      <w:b/>
      <w:smallCaps/>
      <w:sz w:val="27"/>
    </w:rPr>
  </w:style>
  <w:style w:type="character" w:customStyle="1" w:styleId="Heading2Char">
    <w:name w:val="Heading 2 Char"/>
    <w:basedOn w:val="DefaultParagraphFont"/>
    <w:link w:val="Heading2"/>
    <w:rsid w:val="00891041"/>
    <w:rPr>
      <w:rFonts w:ascii="Century Schoolbook" w:hAnsi="Century Schoolbook"/>
      <w:b/>
      <w:sz w:val="27"/>
    </w:rPr>
  </w:style>
  <w:style w:type="character" w:customStyle="1" w:styleId="Heading3Char">
    <w:name w:val="Heading 3 Char"/>
    <w:basedOn w:val="DefaultParagraphFont"/>
    <w:link w:val="Heading3"/>
    <w:rsid w:val="00891041"/>
    <w:rPr>
      <w:rFonts w:ascii="Century Schoolbook" w:hAnsi="Century Schoolbook"/>
      <w:i/>
      <w:sz w:val="27"/>
    </w:rPr>
  </w:style>
  <w:style w:type="character" w:customStyle="1" w:styleId="Heading4Char">
    <w:name w:val="Heading 4 Char"/>
    <w:basedOn w:val="DefaultParagraphFont"/>
    <w:link w:val="Heading4"/>
    <w:rsid w:val="00891041"/>
    <w:rPr>
      <w:rFonts w:ascii="Century Schoolbook" w:hAnsi="Century Schoolbook"/>
      <w:i/>
      <w:sz w:val="27"/>
    </w:rPr>
  </w:style>
  <w:style w:type="character" w:customStyle="1" w:styleId="cohl">
    <w:name w:val="co_hl"/>
    <w:basedOn w:val="DefaultParagraphFont"/>
    <w:rsid w:val="00BF4D13"/>
  </w:style>
  <w:style w:type="character" w:styleId="Emphasis">
    <w:name w:val="Emphasis"/>
    <w:basedOn w:val="DefaultParagraphFont"/>
    <w:uiPriority w:val="20"/>
    <w:qFormat/>
    <w:rsid w:val="0040070B"/>
    <w:rPr>
      <w:i/>
      <w:iCs/>
    </w:rPr>
  </w:style>
  <w:style w:type="character" w:customStyle="1" w:styleId="cosmallcaps">
    <w:name w:val="co_smallcaps"/>
    <w:basedOn w:val="DefaultParagraphFont"/>
    <w:rsid w:val="005C3FE0"/>
  </w:style>
  <w:style w:type="character" w:customStyle="1" w:styleId="costarpage">
    <w:name w:val="co_starpage"/>
    <w:basedOn w:val="DefaultParagraphFont"/>
    <w:rsid w:val="00362053"/>
  </w:style>
  <w:style w:type="character" w:styleId="Strong">
    <w:name w:val="Strong"/>
    <w:basedOn w:val="DefaultParagraphFont"/>
    <w:uiPriority w:val="22"/>
    <w:qFormat/>
    <w:rsid w:val="00443084"/>
    <w:rPr>
      <w:b/>
      <w:bCs/>
    </w:rPr>
  </w:style>
  <w:style w:type="character" w:customStyle="1" w:styleId="cosearchterm">
    <w:name w:val="co_searchterm"/>
    <w:basedOn w:val="DefaultParagraphFont"/>
    <w:rsid w:val="007F53DA"/>
  </w:style>
  <w:style w:type="character" w:styleId="CommentReference">
    <w:name w:val="annotation reference"/>
    <w:basedOn w:val="DefaultParagraphFont"/>
    <w:uiPriority w:val="99"/>
    <w:semiHidden/>
    <w:unhideWhenUsed/>
    <w:rsid w:val="00DD22EF"/>
    <w:rPr>
      <w:sz w:val="16"/>
      <w:szCs w:val="16"/>
    </w:rPr>
  </w:style>
  <w:style w:type="paragraph" w:styleId="CommentText">
    <w:name w:val="annotation text"/>
    <w:basedOn w:val="Normal"/>
    <w:link w:val="CommentTextChar"/>
    <w:uiPriority w:val="99"/>
    <w:unhideWhenUsed/>
    <w:rsid w:val="00DD22EF"/>
    <w:rPr>
      <w:sz w:val="20"/>
    </w:rPr>
  </w:style>
  <w:style w:type="character" w:customStyle="1" w:styleId="CommentTextChar">
    <w:name w:val="Comment Text Char"/>
    <w:basedOn w:val="DefaultParagraphFont"/>
    <w:link w:val="CommentText"/>
    <w:uiPriority w:val="99"/>
    <w:rsid w:val="00DD22EF"/>
  </w:style>
  <w:style w:type="paragraph" w:styleId="CommentSubject">
    <w:name w:val="annotation subject"/>
    <w:basedOn w:val="CommentText"/>
    <w:next w:val="CommentText"/>
    <w:link w:val="CommentSubjectChar"/>
    <w:uiPriority w:val="99"/>
    <w:semiHidden/>
    <w:unhideWhenUsed/>
    <w:rsid w:val="00DD22EF"/>
    <w:rPr>
      <w:b/>
      <w:bCs/>
    </w:rPr>
  </w:style>
  <w:style w:type="character" w:customStyle="1" w:styleId="CommentSubjectChar">
    <w:name w:val="Comment Subject Char"/>
    <w:basedOn w:val="CommentTextChar"/>
    <w:link w:val="CommentSubject"/>
    <w:uiPriority w:val="99"/>
    <w:semiHidden/>
    <w:rsid w:val="00DD22EF"/>
    <w:rPr>
      <w:b/>
      <w:bCs/>
    </w:rPr>
  </w:style>
  <w:style w:type="paragraph" w:styleId="BalloonText">
    <w:name w:val="Balloon Text"/>
    <w:basedOn w:val="Normal"/>
    <w:link w:val="BalloonTextChar"/>
    <w:uiPriority w:val="99"/>
    <w:semiHidden/>
    <w:unhideWhenUsed/>
    <w:rsid w:val="00DD22EF"/>
    <w:rPr>
      <w:rFonts w:ascii="Tahoma" w:hAnsi="Tahoma" w:cs="Tahoma"/>
      <w:sz w:val="16"/>
      <w:szCs w:val="16"/>
    </w:rPr>
  </w:style>
  <w:style w:type="character" w:customStyle="1" w:styleId="BalloonTextChar">
    <w:name w:val="Balloon Text Char"/>
    <w:basedOn w:val="DefaultParagraphFont"/>
    <w:link w:val="BalloonText"/>
    <w:uiPriority w:val="99"/>
    <w:semiHidden/>
    <w:rsid w:val="00DD22EF"/>
    <w:rPr>
      <w:rFonts w:ascii="Tahoma" w:hAnsi="Tahoma" w:cs="Tahoma"/>
      <w:sz w:val="16"/>
      <w:szCs w:val="16"/>
    </w:rPr>
  </w:style>
  <w:style w:type="paragraph" w:styleId="ListParagraph">
    <w:name w:val="List Paragraph"/>
    <w:basedOn w:val="Normal"/>
    <w:uiPriority w:val="34"/>
    <w:qFormat/>
    <w:rsid w:val="002A5E10"/>
    <w:pPr>
      <w:ind w:left="720"/>
      <w:contextualSpacing/>
    </w:pPr>
  </w:style>
  <w:style w:type="paragraph" w:styleId="NormalWeb">
    <w:name w:val="Normal (Web)"/>
    <w:basedOn w:val="Normal"/>
    <w:uiPriority w:val="99"/>
    <w:unhideWhenUsed/>
    <w:rsid w:val="00C71FD5"/>
    <w:pPr>
      <w:spacing w:before="100" w:beforeAutospacing="1" w:afterAutospacing="1"/>
    </w:pPr>
    <w:rPr>
      <w:sz w:val="24"/>
      <w:szCs w:val="24"/>
    </w:rPr>
  </w:style>
  <w:style w:type="character" w:customStyle="1" w:styleId="cohighlightpoints">
    <w:name w:val="co_highlightpoints"/>
    <w:basedOn w:val="DefaultParagraphFont"/>
    <w:rsid w:val="00556D9F"/>
  </w:style>
  <w:style w:type="character" w:customStyle="1" w:styleId="FootnoteTextChar">
    <w:name w:val="Footnote Text Char"/>
    <w:basedOn w:val="DefaultParagraphFont"/>
    <w:link w:val="FootnoteText"/>
    <w:rsid w:val="0054561C"/>
    <w:rPr>
      <w:rFonts w:ascii="Century Schoolbook" w:hAnsi="Century Schoolbook"/>
      <w:sz w:val="27"/>
    </w:rPr>
  </w:style>
  <w:style w:type="paragraph" w:styleId="Revision">
    <w:name w:val="Revision"/>
    <w:hidden/>
    <w:uiPriority w:val="99"/>
    <w:semiHidden/>
    <w:rsid w:val="00851006"/>
    <w:rPr>
      <w:sz w:val="26"/>
    </w:rPr>
  </w:style>
  <w:style w:type="character" w:styleId="Hyperlink">
    <w:name w:val="Hyperlink"/>
    <w:basedOn w:val="DefaultParagraphFont"/>
    <w:uiPriority w:val="99"/>
    <w:unhideWhenUsed/>
    <w:rsid w:val="007E1E12"/>
    <w:rPr>
      <w:color w:val="0000FF" w:themeColor="hyperlink"/>
      <w:u w:val="single"/>
    </w:rPr>
  </w:style>
  <w:style w:type="character" w:customStyle="1" w:styleId="UnresolvedMention">
    <w:name w:val="Unresolved Mention"/>
    <w:basedOn w:val="DefaultParagraphFont"/>
    <w:uiPriority w:val="99"/>
    <w:semiHidden/>
    <w:unhideWhenUsed/>
    <w:rsid w:val="007E1E12"/>
    <w:rPr>
      <w:color w:val="605E5C"/>
      <w:shd w:val="clear" w:color="auto" w:fill="E1DFDD"/>
    </w:rPr>
  </w:style>
  <w:style w:type="character" w:styleId="FollowedHyperlink">
    <w:name w:val="FollowedHyperlink"/>
    <w:basedOn w:val="DefaultParagraphFont"/>
    <w:uiPriority w:val="99"/>
    <w:semiHidden/>
    <w:unhideWhenUsed/>
    <w:rsid w:val="007E1E12"/>
    <w:rPr>
      <w:color w:val="800080" w:themeColor="followedHyperlink"/>
      <w:u w:val="single"/>
    </w:rPr>
  </w:style>
  <w:style w:type="paragraph" w:styleId="BodyText">
    <w:name w:val="Body Text"/>
    <w:basedOn w:val="Normal"/>
    <w:link w:val="BodyTextChar"/>
    <w:qFormat/>
    <w:rsid w:val="009852EB"/>
  </w:style>
  <w:style w:type="character" w:customStyle="1" w:styleId="BodyTextChar">
    <w:name w:val="Body Text Char"/>
    <w:basedOn w:val="DefaultParagraphFont"/>
    <w:link w:val="BodyText"/>
    <w:rsid w:val="009852E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2021-06-17T16:37:56Z</dcterms:created>
  <dcterms:modified xsi:type="dcterms:W3CDTF">2021-06-17T16:37:56Z</dcterms:modified>
</cp:coreProperties>
</file>